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2024年萧山区山塘水库白蚁防治项目</w:t>
      </w:r>
    </w:p>
    <w:p>
      <w:pPr>
        <w:adjustRightInd/>
        <w:spacing w:line="360" w:lineRule="auto"/>
        <w:jc w:val="center"/>
        <w:rPr>
          <w:rFonts w:hint="eastAsia"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default" w:ascii="宋体" w:hAnsi="宋体" w:cs="宋体"/>
          <w:color w:val="auto"/>
          <w:sz w:val="30"/>
          <w:szCs w:val="30"/>
          <w:lang w:val="en-US"/>
        </w:rPr>
      </w:pPr>
      <w:r>
        <w:rPr>
          <w:rFonts w:hint="eastAsia" w:ascii="宋体" w:hAnsi="宋体" w:cs="宋体"/>
          <w:color w:val="auto"/>
          <w:sz w:val="30"/>
          <w:szCs w:val="30"/>
        </w:rPr>
        <w:t>编号:</w:t>
      </w:r>
      <w:r>
        <w:rPr>
          <w:rFonts w:hint="eastAsia" w:ascii="宋体" w:hAnsi="宋体" w:cs="宋体"/>
          <w:color w:val="auto"/>
          <w:sz w:val="36"/>
          <w:lang w:eastAsia="zh-CN"/>
        </w:rPr>
        <w:t>PYJ2024-GK-ZCY001</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pStyle w:val="11"/>
        <w:rPr>
          <w:color w:val="auto"/>
        </w:rPr>
      </w:pPr>
    </w:p>
    <w:p>
      <w:pPr>
        <w:pStyle w:val="86"/>
        <w:rPr>
          <w:rFonts w:ascii="宋体" w:hAnsi="宋体" w:cs="宋体"/>
          <w:b/>
          <w:color w:val="auto"/>
          <w:sz w:val="44"/>
          <w:szCs w:val="44"/>
        </w:rPr>
      </w:pPr>
    </w:p>
    <w:p>
      <w:pPr>
        <w:pStyle w:val="87"/>
        <w:rPr>
          <w:color w:val="auto"/>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jc w:val="center"/>
        <w:rPr>
          <w:rFonts w:ascii="宋体" w:hAnsi="宋体" w:eastAsia="宋体" w:cs="宋体"/>
          <w:color w:val="auto"/>
        </w:rPr>
      </w:pPr>
    </w:p>
    <w:p>
      <w:pPr>
        <w:jc w:val="center"/>
        <w:rPr>
          <w:rFonts w:hint="eastAsia" w:ascii="宋体" w:hAnsi="宋体" w:eastAsia="宋体" w:cs="宋体"/>
          <w:color w:val="auto"/>
          <w:sz w:val="36"/>
          <w:lang w:eastAsia="zh-CN"/>
        </w:rPr>
      </w:pPr>
      <w:r>
        <w:rPr>
          <w:rFonts w:hint="eastAsia" w:ascii="宋体" w:hAnsi="宋体" w:cs="宋体"/>
          <w:color w:val="auto"/>
          <w:sz w:val="36"/>
          <w:lang w:eastAsia="zh-CN"/>
        </w:rPr>
        <w:t>杭州市萧山区浦阳江流域管理中心</w:t>
      </w:r>
    </w:p>
    <w:p>
      <w:pPr>
        <w:spacing w:line="360" w:lineRule="auto"/>
        <w:jc w:val="center"/>
        <w:rPr>
          <w:rFonts w:ascii="宋体" w:hAnsi="宋体" w:cs="宋体"/>
          <w:bCs/>
          <w:color w:val="auto"/>
          <w:sz w:val="32"/>
          <w:szCs w:val="32"/>
        </w:rPr>
      </w:pPr>
      <w:r>
        <w:rPr>
          <w:rFonts w:hint="eastAsia" w:ascii="宋体" w:hAnsi="宋体" w:eastAsia="宋体" w:cs="宋体"/>
          <w:color w:val="auto"/>
          <w:sz w:val="36"/>
        </w:rPr>
        <w:t>德威工程管理咨询有限公司</w:t>
      </w:r>
    </w:p>
    <w:p>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2024</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3</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19</w:t>
      </w:r>
      <w:r>
        <w:rPr>
          <w:rFonts w:hint="eastAsia" w:ascii="宋体" w:hAnsi="宋体" w:cs="宋体"/>
          <w:bCs/>
          <w:color w:val="auto"/>
          <w:sz w:val="32"/>
          <w:szCs w:val="32"/>
        </w:rPr>
        <w:t>日</w:t>
      </w:r>
    </w:p>
    <w:p>
      <w:pPr>
        <w:jc w:val="center"/>
        <w:rPr>
          <w:color w:val="auto"/>
        </w:rPr>
      </w:pPr>
      <w:r>
        <w:rPr>
          <w:rFonts w:hint="eastAsia"/>
          <w:color w:val="auto"/>
        </w:rPr>
        <w:t>本招标文件为202</w:t>
      </w:r>
      <w:r>
        <w:rPr>
          <w:rFonts w:hint="eastAsia"/>
          <w:color w:val="auto"/>
          <w:lang w:val="en-US" w:eastAsia="zh-CN"/>
        </w:rPr>
        <w:t>3年5月1日稿</w:t>
      </w:r>
      <w:r>
        <w:rPr>
          <w:rFonts w:hint="eastAsia"/>
          <w:color w:val="auto"/>
        </w:rPr>
        <w:t>，请各位投标人详细阅读各项条款</w:t>
      </w:r>
    </w:p>
    <w:p>
      <w:pPr>
        <w:pStyle w:val="11"/>
        <w:rPr>
          <w:color w:val="auto"/>
        </w:rPr>
      </w:pP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40"/>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2024年萧山区山塘水库白蚁防治项目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83"/>
          <w:rFonts w:hint="eastAsia" w:ascii="宋体" w:hAnsi="宋体" w:eastAsia="宋体" w:cs="宋体"/>
          <w:snapToGrid/>
          <w:color w:val="auto"/>
          <w:kern w:val="2"/>
          <w:sz w:val="24"/>
          <w:szCs w:val="24"/>
        </w:rPr>
        <w:t>https://www.zcygov.cn/）获取（下载）招标文件，并于</w:t>
      </w:r>
      <w:r>
        <w:rPr>
          <w:rStyle w:val="83"/>
          <w:rFonts w:hint="eastAsia" w:ascii="宋体" w:hAnsi="宋体" w:cs="宋体"/>
          <w:snapToGrid/>
          <w:color w:val="auto"/>
          <w:kern w:val="2"/>
          <w:sz w:val="24"/>
          <w:szCs w:val="24"/>
          <w:lang w:eastAsia="zh-CN"/>
        </w:rPr>
        <w:t>202</w:t>
      </w:r>
      <w:r>
        <w:rPr>
          <w:rStyle w:val="83"/>
          <w:rFonts w:hint="eastAsia" w:ascii="宋体" w:hAnsi="宋体" w:cs="宋体"/>
          <w:snapToGrid/>
          <w:color w:val="auto"/>
          <w:kern w:val="2"/>
          <w:sz w:val="24"/>
          <w:szCs w:val="24"/>
          <w:lang w:val="en-US" w:eastAsia="zh-CN"/>
        </w:rPr>
        <w:t>4</w:t>
      </w:r>
      <w:r>
        <w:rPr>
          <w:rStyle w:val="83"/>
          <w:rFonts w:hint="eastAsia" w:ascii="宋体" w:hAnsi="宋体" w:cs="宋体"/>
          <w:snapToGrid/>
          <w:color w:val="auto"/>
          <w:kern w:val="2"/>
          <w:sz w:val="24"/>
          <w:szCs w:val="24"/>
          <w:lang w:eastAsia="zh-CN"/>
        </w:rPr>
        <w:t>年</w:t>
      </w:r>
      <w:r>
        <w:rPr>
          <w:rStyle w:val="83"/>
          <w:rFonts w:hint="eastAsia" w:ascii="宋体" w:hAnsi="宋体" w:cs="宋体"/>
          <w:snapToGrid/>
          <w:color w:val="auto"/>
          <w:kern w:val="2"/>
          <w:sz w:val="24"/>
          <w:szCs w:val="24"/>
          <w:lang w:val="en-US" w:eastAsia="zh-CN"/>
        </w:rPr>
        <w:t>3</w:t>
      </w:r>
      <w:r>
        <w:rPr>
          <w:rStyle w:val="83"/>
          <w:rFonts w:hint="eastAsia" w:ascii="宋体" w:hAnsi="宋体" w:cs="宋体"/>
          <w:snapToGrid/>
          <w:color w:val="auto"/>
          <w:kern w:val="2"/>
          <w:sz w:val="24"/>
          <w:szCs w:val="24"/>
          <w:lang w:eastAsia="zh-CN"/>
        </w:rPr>
        <w:t>月</w:t>
      </w:r>
      <w:r>
        <w:rPr>
          <w:rStyle w:val="83"/>
          <w:rFonts w:hint="eastAsia" w:ascii="宋体" w:hAnsi="宋体" w:cs="宋体"/>
          <w:snapToGrid/>
          <w:color w:val="auto"/>
          <w:kern w:val="2"/>
          <w:sz w:val="24"/>
          <w:szCs w:val="24"/>
          <w:lang w:val="en-US" w:eastAsia="zh-CN"/>
        </w:rPr>
        <w:t>29</w:t>
      </w:r>
      <w:r>
        <w:rPr>
          <w:rStyle w:val="83"/>
          <w:rFonts w:hint="eastAsia" w:ascii="宋体" w:hAnsi="宋体" w:cs="宋体"/>
          <w:snapToGrid/>
          <w:color w:val="auto"/>
          <w:kern w:val="2"/>
          <w:sz w:val="24"/>
          <w:szCs w:val="24"/>
          <w:lang w:eastAsia="zh-CN"/>
        </w:rPr>
        <w:t>日</w:t>
      </w:r>
      <w:r>
        <w:rPr>
          <w:rStyle w:val="83"/>
          <w:rFonts w:hint="eastAsia" w:ascii="宋体" w:hAnsi="宋体" w:cs="宋体"/>
          <w:snapToGrid/>
          <w:color w:val="auto"/>
          <w:kern w:val="2"/>
          <w:sz w:val="24"/>
          <w:szCs w:val="24"/>
          <w:lang w:val="en-US" w:eastAsia="zh-CN"/>
        </w:rPr>
        <w:t>09</w:t>
      </w:r>
      <w:r>
        <w:rPr>
          <w:rStyle w:val="83"/>
          <w:rFonts w:hint="eastAsia" w:ascii="宋体" w:hAnsi="宋体" w:cs="宋体"/>
          <w:snapToGrid/>
          <w:color w:val="auto"/>
          <w:kern w:val="2"/>
          <w:sz w:val="24"/>
          <w:szCs w:val="24"/>
          <w:lang w:eastAsia="zh-CN"/>
        </w:rPr>
        <w:t>点</w:t>
      </w:r>
      <w:r>
        <w:rPr>
          <w:rStyle w:val="83"/>
          <w:rFonts w:hint="eastAsia" w:ascii="宋体" w:hAnsi="宋体" w:cs="宋体"/>
          <w:snapToGrid/>
          <w:color w:val="auto"/>
          <w:kern w:val="2"/>
          <w:sz w:val="24"/>
          <w:szCs w:val="24"/>
          <w:lang w:val="en-US" w:eastAsia="zh-CN"/>
        </w:rPr>
        <w:t>30</w:t>
      </w:r>
      <w:r>
        <w:rPr>
          <w:rStyle w:val="83"/>
          <w:rFonts w:hint="eastAsia" w:ascii="宋体" w:hAnsi="宋体" w:cs="宋体"/>
          <w:snapToGrid/>
          <w:color w:val="auto"/>
          <w:kern w:val="2"/>
          <w:sz w:val="24"/>
          <w:szCs w:val="24"/>
          <w:lang w:eastAsia="zh-CN"/>
        </w:rPr>
        <w:t>分00秒</w:t>
      </w:r>
      <w:r>
        <w:rPr>
          <w:rStyle w:val="83"/>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val="0"/>
          <w:bCs/>
          <w:color w:val="auto"/>
          <w:sz w:val="24"/>
          <w:lang w:eastAsia="zh-CN"/>
        </w:rPr>
        <w:t>PYJ2024-GK-ZCY001</w:t>
      </w:r>
    </w:p>
    <w:p>
      <w:pPr>
        <w:spacing w:line="360" w:lineRule="auto"/>
        <w:ind w:firstLine="480"/>
        <w:rPr>
          <w:rFonts w:hint="eastAsia" w:ascii="宋体" w:hAnsi="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2024年萧山区山塘水库白蚁防治项目</w:t>
      </w:r>
    </w:p>
    <w:p>
      <w:pPr>
        <w:spacing w:line="360" w:lineRule="auto"/>
        <w:ind w:firstLine="480"/>
        <w:rPr>
          <w:rFonts w:hint="default" w:ascii="宋体" w:hAnsi="宋体" w:cs="宋体"/>
          <w:color w:val="auto"/>
          <w:sz w:val="24"/>
          <w:lang w:val="en-US"/>
        </w:rPr>
      </w:pPr>
      <w:r>
        <w:rPr>
          <w:rFonts w:hint="eastAsia" w:ascii="宋体" w:hAnsi="宋体" w:cs="宋体"/>
          <w:b/>
          <w:color w:val="auto"/>
          <w:sz w:val="24"/>
        </w:rPr>
        <w:t>预算金额（元）：</w:t>
      </w:r>
      <w:r>
        <w:rPr>
          <w:rFonts w:hint="eastAsia" w:ascii="宋体" w:hAnsi="宋体" w:cs="宋体"/>
          <w:color w:val="auto"/>
          <w:sz w:val="24"/>
          <w:lang w:val="en-US" w:eastAsia="zh-CN"/>
        </w:rPr>
        <w:t>300000</w:t>
      </w:r>
    </w:p>
    <w:p>
      <w:pPr>
        <w:spacing w:line="360" w:lineRule="auto"/>
        <w:ind w:firstLine="480"/>
        <w:rPr>
          <w:rFonts w:hint="default" w:ascii="宋体" w:hAnsi="宋体" w:cs="宋体"/>
          <w:color w:val="auto"/>
          <w:sz w:val="24"/>
          <w:lang w:val="en-US"/>
        </w:rPr>
      </w:pPr>
      <w:r>
        <w:rPr>
          <w:rFonts w:hint="eastAsia" w:ascii="宋体" w:hAnsi="宋体" w:cs="宋体"/>
          <w:b/>
          <w:color w:val="auto"/>
          <w:sz w:val="24"/>
        </w:rPr>
        <w:t>最高限价（元）：</w:t>
      </w:r>
      <w:r>
        <w:rPr>
          <w:rFonts w:hint="eastAsia" w:ascii="宋体" w:hAnsi="宋体" w:cs="宋体"/>
          <w:color w:val="auto"/>
          <w:sz w:val="24"/>
          <w:lang w:val="en-US" w:eastAsia="zh-CN"/>
        </w:rPr>
        <w:t>300000</w:t>
      </w:r>
    </w:p>
    <w:p>
      <w:pPr>
        <w:pStyle w:val="23"/>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2024年萧山区山塘水库白蚁防治项目，</w:t>
      </w:r>
      <w:r>
        <w:rPr>
          <w:rFonts w:hint="eastAsia" w:hAnsi="宋体" w:cs="宋体"/>
          <w:bCs/>
          <w:snapToGrid/>
          <w:color w:val="auto"/>
          <w:kern w:val="2"/>
          <w:sz w:val="24"/>
          <w:szCs w:val="24"/>
        </w:rPr>
        <w:t xml:space="preserve">主要内容： </w:t>
      </w:r>
      <w:r>
        <w:rPr>
          <w:rFonts w:hint="eastAsia" w:hAnsi="宋体" w:cs="宋体"/>
          <w:bCs/>
          <w:snapToGrid/>
          <w:color w:val="auto"/>
          <w:kern w:val="2"/>
          <w:sz w:val="24"/>
          <w:szCs w:val="24"/>
          <w:lang w:eastAsia="zh-CN"/>
        </w:rPr>
        <w:t>详见采购需求</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7"/>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color w:val="auto"/>
          <w:sz w:val="24"/>
          <w:lang w:val="en-US" w:eastAsia="zh-CN"/>
        </w:rPr>
        <w:t>服务期为一年</w:t>
      </w:r>
      <w:r>
        <w:rPr>
          <w:rFonts w:ascii="宋体" w:hAnsi="宋体" w:cs="宋体"/>
          <w:color w:val="auto"/>
        </w:rPr>
        <w:t xml:space="preserve"> </w:t>
      </w:r>
    </w:p>
    <w:p>
      <w:pPr>
        <w:pStyle w:val="23"/>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highlight w:val="cyan"/>
        </w:rPr>
      </w:pPr>
      <w:r>
        <w:rPr>
          <w:rFonts w:ascii="宋体" w:hAnsi="宋体" w:cs="宋体"/>
          <w:color w:val="auto"/>
          <w:sz w:val="24"/>
          <w:highlight w:val="cyan"/>
        </w:rPr>
        <w:t>4</w:t>
      </w:r>
      <w:r>
        <w:rPr>
          <w:rFonts w:hint="eastAsia" w:ascii="宋体" w:hAnsi="宋体" w:cs="宋体"/>
          <w:color w:val="auto"/>
          <w:sz w:val="24"/>
          <w:highlight w:val="cyan"/>
        </w:rPr>
        <w:t>.本项目的特定资格要求：</w:t>
      </w:r>
    </w:p>
    <w:p>
      <w:pPr>
        <w:snapToGrid w:val="0"/>
        <w:spacing w:line="360" w:lineRule="auto"/>
        <w:ind w:firstLine="480" w:firstLineChars="200"/>
        <w:rPr>
          <w:rFonts w:ascii="宋体" w:hAnsi="宋体" w:cs="宋体"/>
          <w:color w:val="auto"/>
          <w:sz w:val="24"/>
          <w:highlight w:val="cyan"/>
        </w:rPr>
      </w:pPr>
      <w:sdt>
        <w:sdtPr>
          <w:rPr>
            <w:rFonts w:hint="eastAsia" w:ascii="宋体" w:hAnsi="宋体" w:cs="宋体"/>
            <w:color w:val="auto"/>
            <w:kern w:val="0"/>
            <w:sz w:val="24"/>
            <w:highlight w:val="cyan"/>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cyan"/>
          </w:rPr>
        </w:sdtEndPr>
        <w:sdtContent>
          <w:r>
            <w:rPr>
              <w:rFonts w:hint="eastAsia" w:ascii="Wingdings" w:hAnsi="Wingdings" w:eastAsia="MS Gothic" w:cs="宋体"/>
              <w:color w:val="auto"/>
              <w:kern w:val="0"/>
              <w:sz w:val="24"/>
              <w:szCs w:val="24"/>
              <w:highlight w:val="cyan"/>
              <w:lang w:val="en-US" w:eastAsia="zh-CN" w:bidi="ar-SA"/>
            </w:rPr>
            <w:t>þ</w:t>
          </w:r>
        </w:sdtContent>
      </w:sdt>
      <w:r>
        <w:rPr>
          <w:rFonts w:hint="eastAsia" w:ascii="宋体" w:hAnsi="宋体" w:cs="宋体"/>
          <w:color w:val="auto"/>
          <w:sz w:val="24"/>
          <w:highlight w:val="cyan"/>
        </w:rPr>
        <w:t>无</w:t>
      </w:r>
    </w:p>
    <w:p>
      <w:pPr>
        <w:snapToGrid w:val="0"/>
        <w:spacing w:line="360" w:lineRule="auto"/>
        <w:ind w:firstLine="480" w:firstLineChars="200"/>
        <w:rPr>
          <w:rFonts w:hint="eastAsia" w:ascii="宋体" w:hAnsi="宋体" w:cs="宋体"/>
          <w:color w:val="auto"/>
          <w:sz w:val="24"/>
          <w:highlight w:val="cyan"/>
        </w:rPr>
      </w:pPr>
      <w:sdt>
        <w:sdtPr>
          <w:rPr>
            <w:rFonts w:hint="eastAsia" w:ascii="宋体" w:hAnsi="宋体" w:cs="宋体"/>
            <w:color w:val="auto"/>
            <w:kern w:val="0"/>
            <w:sz w:val="24"/>
            <w:highlight w:val="cyan"/>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cyan"/>
          </w:rPr>
        </w:sdtEndPr>
        <w:sdtContent>
          <w:r>
            <w:rPr>
              <w:rFonts w:hint="eastAsia" w:ascii="MS Gothic" w:hAnsi="MS Gothic" w:eastAsia="MS Gothic" w:cs="宋体"/>
              <w:color w:val="auto"/>
              <w:kern w:val="0"/>
              <w:sz w:val="24"/>
              <w:szCs w:val="24"/>
              <w:highlight w:val="cyan"/>
              <w:lang w:val="en-US" w:eastAsia="zh-CN" w:bidi="ar-SA"/>
            </w:rPr>
            <w:t>☐</w:t>
          </w:r>
        </w:sdtContent>
      </w:sdt>
      <w:r>
        <w:rPr>
          <w:rFonts w:hint="eastAsia" w:ascii="宋体" w:hAnsi="宋体" w:cs="宋体"/>
          <w:color w:val="auto"/>
          <w:sz w:val="24"/>
          <w:highlight w:val="cyan"/>
        </w:rPr>
        <w:t>有特定资格要求：</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3</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29</w:t>
      </w:r>
      <w:r>
        <w:rPr>
          <w:rFonts w:hint="eastAsia" w:ascii="宋体" w:hAnsi="宋体" w:cs="宋体"/>
          <w:color w:val="auto"/>
          <w:sz w:val="24"/>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Style w:val="83"/>
          <w:rFonts w:hint="eastAsia" w:ascii="宋体" w:hAnsi="宋体" w:cs="宋体"/>
          <w:snapToGrid/>
          <w:color w:val="auto"/>
          <w:kern w:val="2"/>
          <w:sz w:val="24"/>
          <w:szCs w:val="24"/>
          <w:lang w:eastAsia="zh-CN"/>
        </w:rPr>
        <w:t>202</w:t>
      </w:r>
      <w:r>
        <w:rPr>
          <w:rStyle w:val="83"/>
          <w:rFonts w:hint="eastAsia" w:ascii="宋体" w:hAnsi="宋体" w:cs="宋体"/>
          <w:snapToGrid/>
          <w:color w:val="auto"/>
          <w:kern w:val="2"/>
          <w:sz w:val="24"/>
          <w:szCs w:val="24"/>
          <w:lang w:val="en-US" w:eastAsia="zh-CN"/>
        </w:rPr>
        <w:t>4</w:t>
      </w:r>
      <w:r>
        <w:rPr>
          <w:rStyle w:val="83"/>
          <w:rFonts w:hint="eastAsia" w:ascii="宋体" w:hAnsi="宋体" w:cs="宋体"/>
          <w:snapToGrid/>
          <w:color w:val="auto"/>
          <w:kern w:val="2"/>
          <w:sz w:val="24"/>
          <w:szCs w:val="24"/>
          <w:lang w:eastAsia="zh-CN"/>
        </w:rPr>
        <w:t>年</w:t>
      </w:r>
      <w:r>
        <w:rPr>
          <w:rStyle w:val="83"/>
          <w:rFonts w:hint="eastAsia" w:ascii="宋体" w:hAnsi="宋体" w:cs="宋体"/>
          <w:snapToGrid/>
          <w:color w:val="auto"/>
          <w:kern w:val="2"/>
          <w:sz w:val="24"/>
          <w:szCs w:val="24"/>
          <w:lang w:val="en-US" w:eastAsia="zh-CN"/>
        </w:rPr>
        <w:t>3</w:t>
      </w:r>
      <w:r>
        <w:rPr>
          <w:rStyle w:val="83"/>
          <w:rFonts w:hint="eastAsia" w:ascii="宋体" w:hAnsi="宋体" w:cs="宋体"/>
          <w:snapToGrid/>
          <w:color w:val="auto"/>
          <w:kern w:val="2"/>
          <w:sz w:val="24"/>
          <w:szCs w:val="24"/>
          <w:lang w:eastAsia="zh-CN"/>
        </w:rPr>
        <w:t>月</w:t>
      </w:r>
      <w:r>
        <w:rPr>
          <w:rStyle w:val="83"/>
          <w:rFonts w:hint="eastAsia" w:ascii="宋体" w:hAnsi="宋体" w:cs="宋体"/>
          <w:snapToGrid/>
          <w:color w:val="auto"/>
          <w:kern w:val="2"/>
          <w:sz w:val="24"/>
          <w:szCs w:val="24"/>
          <w:lang w:val="en-US" w:eastAsia="zh-CN"/>
        </w:rPr>
        <w:t>29</w:t>
      </w:r>
      <w:r>
        <w:rPr>
          <w:rStyle w:val="83"/>
          <w:rFonts w:hint="eastAsia" w:ascii="宋体" w:hAnsi="宋体" w:cs="宋体"/>
          <w:snapToGrid/>
          <w:color w:val="auto"/>
          <w:kern w:val="2"/>
          <w:sz w:val="24"/>
          <w:szCs w:val="24"/>
          <w:lang w:eastAsia="zh-CN"/>
        </w:rPr>
        <w:t>日</w:t>
      </w:r>
      <w:r>
        <w:rPr>
          <w:rStyle w:val="83"/>
          <w:rFonts w:hint="eastAsia" w:ascii="宋体" w:hAnsi="宋体" w:cs="宋体"/>
          <w:snapToGrid/>
          <w:color w:val="auto"/>
          <w:kern w:val="2"/>
          <w:sz w:val="24"/>
          <w:szCs w:val="24"/>
          <w:lang w:val="en-US" w:eastAsia="zh-CN"/>
        </w:rPr>
        <w:t>09</w:t>
      </w:r>
      <w:r>
        <w:rPr>
          <w:rStyle w:val="83"/>
          <w:rFonts w:hint="eastAsia" w:ascii="宋体" w:hAnsi="宋体" w:cs="宋体"/>
          <w:snapToGrid/>
          <w:color w:val="auto"/>
          <w:kern w:val="2"/>
          <w:sz w:val="24"/>
          <w:szCs w:val="24"/>
          <w:lang w:eastAsia="zh-CN"/>
        </w:rPr>
        <w:t>点</w:t>
      </w:r>
      <w:r>
        <w:rPr>
          <w:rStyle w:val="83"/>
          <w:rFonts w:hint="eastAsia" w:ascii="宋体" w:hAnsi="宋体" w:cs="宋体"/>
          <w:snapToGrid/>
          <w:color w:val="auto"/>
          <w:kern w:val="2"/>
          <w:sz w:val="24"/>
          <w:szCs w:val="24"/>
          <w:lang w:val="en-US" w:eastAsia="zh-CN"/>
        </w:rPr>
        <w:t>30</w:t>
      </w:r>
      <w:r>
        <w:rPr>
          <w:rStyle w:val="83"/>
          <w:rFonts w:hint="eastAsia" w:ascii="宋体" w:hAnsi="宋体" w:cs="宋体"/>
          <w:snapToGrid/>
          <w:color w:val="auto"/>
          <w:kern w:val="2"/>
          <w:sz w:val="24"/>
          <w:szCs w:val="24"/>
          <w:lang w:eastAsia="zh-CN"/>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bookmarkStart w:id="519" w:name="_GoBack"/>
      <w:bookmarkEnd w:id="519"/>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Style w:val="83"/>
          <w:rFonts w:hint="eastAsia" w:ascii="宋体" w:hAnsi="宋体" w:cs="宋体"/>
          <w:snapToGrid/>
          <w:color w:val="auto"/>
          <w:kern w:val="2"/>
          <w:sz w:val="24"/>
          <w:szCs w:val="24"/>
          <w:lang w:eastAsia="zh-CN"/>
        </w:rPr>
        <w:t>202</w:t>
      </w:r>
      <w:r>
        <w:rPr>
          <w:rStyle w:val="83"/>
          <w:rFonts w:hint="eastAsia" w:ascii="宋体" w:hAnsi="宋体" w:cs="宋体"/>
          <w:snapToGrid/>
          <w:color w:val="auto"/>
          <w:kern w:val="2"/>
          <w:sz w:val="24"/>
          <w:szCs w:val="24"/>
          <w:lang w:val="en-US" w:eastAsia="zh-CN"/>
        </w:rPr>
        <w:t>4</w:t>
      </w:r>
      <w:r>
        <w:rPr>
          <w:rStyle w:val="83"/>
          <w:rFonts w:hint="eastAsia" w:ascii="宋体" w:hAnsi="宋体" w:cs="宋体"/>
          <w:snapToGrid/>
          <w:color w:val="auto"/>
          <w:kern w:val="2"/>
          <w:sz w:val="24"/>
          <w:szCs w:val="24"/>
          <w:lang w:eastAsia="zh-CN"/>
        </w:rPr>
        <w:t>年</w:t>
      </w:r>
      <w:r>
        <w:rPr>
          <w:rStyle w:val="83"/>
          <w:rFonts w:hint="eastAsia" w:ascii="宋体" w:hAnsi="宋体" w:cs="宋体"/>
          <w:snapToGrid/>
          <w:color w:val="auto"/>
          <w:kern w:val="2"/>
          <w:sz w:val="24"/>
          <w:szCs w:val="24"/>
          <w:lang w:val="en-US" w:eastAsia="zh-CN"/>
        </w:rPr>
        <w:t>3</w:t>
      </w:r>
      <w:r>
        <w:rPr>
          <w:rStyle w:val="83"/>
          <w:rFonts w:hint="eastAsia" w:ascii="宋体" w:hAnsi="宋体" w:cs="宋体"/>
          <w:snapToGrid/>
          <w:color w:val="auto"/>
          <w:kern w:val="2"/>
          <w:sz w:val="24"/>
          <w:szCs w:val="24"/>
          <w:lang w:eastAsia="zh-CN"/>
        </w:rPr>
        <w:t>月</w:t>
      </w:r>
      <w:r>
        <w:rPr>
          <w:rStyle w:val="83"/>
          <w:rFonts w:hint="eastAsia" w:ascii="宋体" w:hAnsi="宋体" w:cs="宋体"/>
          <w:snapToGrid/>
          <w:color w:val="auto"/>
          <w:kern w:val="2"/>
          <w:sz w:val="24"/>
          <w:szCs w:val="24"/>
          <w:lang w:val="en-US" w:eastAsia="zh-CN"/>
        </w:rPr>
        <w:t>29</w:t>
      </w:r>
      <w:r>
        <w:rPr>
          <w:rStyle w:val="83"/>
          <w:rFonts w:hint="eastAsia" w:ascii="宋体" w:hAnsi="宋体" w:cs="宋体"/>
          <w:snapToGrid/>
          <w:color w:val="auto"/>
          <w:kern w:val="2"/>
          <w:sz w:val="24"/>
          <w:szCs w:val="24"/>
          <w:lang w:eastAsia="zh-CN"/>
        </w:rPr>
        <w:t>日</w:t>
      </w:r>
      <w:r>
        <w:rPr>
          <w:rStyle w:val="83"/>
          <w:rFonts w:hint="eastAsia" w:ascii="宋体" w:hAnsi="宋体" w:cs="宋体"/>
          <w:snapToGrid/>
          <w:color w:val="auto"/>
          <w:kern w:val="2"/>
          <w:sz w:val="24"/>
          <w:szCs w:val="24"/>
          <w:lang w:val="en-US" w:eastAsia="zh-CN"/>
        </w:rPr>
        <w:t>09</w:t>
      </w:r>
      <w:r>
        <w:rPr>
          <w:rStyle w:val="83"/>
          <w:rFonts w:hint="eastAsia" w:ascii="宋体" w:hAnsi="宋体" w:cs="宋体"/>
          <w:snapToGrid/>
          <w:color w:val="auto"/>
          <w:kern w:val="2"/>
          <w:sz w:val="24"/>
          <w:szCs w:val="24"/>
          <w:lang w:eastAsia="zh-CN"/>
        </w:rPr>
        <w:t>点</w:t>
      </w:r>
      <w:r>
        <w:rPr>
          <w:rStyle w:val="83"/>
          <w:rFonts w:hint="eastAsia" w:ascii="宋体" w:hAnsi="宋体" w:cs="宋体"/>
          <w:snapToGrid/>
          <w:color w:val="auto"/>
          <w:kern w:val="2"/>
          <w:sz w:val="24"/>
          <w:szCs w:val="24"/>
          <w:lang w:val="en-US" w:eastAsia="zh-CN"/>
        </w:rPr>
        <w:t>30</w:t>
      </w:r>
      <w:r>
        <w:rPr>
          <w:rStyle w:val="83"/>
          <w:rFonts w:hint="eastAsia" w:ascii="宋体" w:hAnsi="宋体" w:cs="宋体"/>
          <w:snapToGrid/>
          <w:color w:val="auto"/>
          <w:kern w:val="2"/>
          <w:sz w:val="24"/>
          <w:szCs w:val="24"/>
          <w:lang w:eastAsia="zh-CN"/>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1.采购人信息</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名称：杭州市萧山区浦阳江流域管理中心</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地址：杭州市萧山区临浦镇人民路28号</w:t>
      </w:r>
    </w:p>
    <w:p>
      <w:pPr>
        <w:spacing w:line="360" w:lineRule="auto"/>
        <w:ind w:firstLine="480"/>
        <w:jc w:val="left"/>
        <w:rPr>
          <w:rFonts w:hint="eastAsia" w:ascii="宋体" w:hAnsi="宋体" w:eastAsia="宋体" w:cs="宋体"/>
          <w:color w:val="auto"/>
          <w:sz w:val="24"/>
          <w:lang w:val="en-US" w:eastAsia="zh-CN"/>
        </w:rPr>
      </w:pPr>
      <w:r>
        <w:rPr>
          <w:rFonts w:hint="eastAsia" w:ascii="宋体" w:hAnsi="宋体" w:eastAsia="宋体" w:cs="宋体"/>
          <w:color w:val="auto"/>
          <w:sz w:val="24"/>
        </w:rPr>
        <w:t>项目联系人（询问）：</w:t>
      </w:r>
      <w:r>
        <w:rPr>
          <w:rFonts w:hint="eastAsia" w:ascii="宋体" w:hAnsi="宋体" w:eastAsia="宋体" w:cs="宋体"/>
          <w:color w:val="auto"/>
          <w:sz w:val="24"/>
          <w:lang w:eastAsia="zh-CN"/>
        </w:rPr>
        <w:t>朱女士</w:t>
      </w:r>
      <w:r>
        <w:rPr>
          <w:rFonts w:hint="eastAsia" w:ascii="宋体" w:hAnsi="宋体" w:eastAsia="宋体" w:cs="宋体"/>
          <w:color w:val="auto"/>
          <w:sz w:val="24"/>
          <w:lang w:val="en-US" w:eastAsia="zh-CN"/>
        </w:rPr>
        <w:t xml:space="preserve"> </w:t>
      </w:r>
    </w:p>
    <w:p>
      <w:pPr>
        <w:spacing w:line="360" w:lineRule="auto"/>
        <w:ind w:firstLine="480"/>
        <w:jc w:val="left"/>
        <w:rPr>
          <w:rFonts w:hint="default" w:ascii="宋体" w:hAnsi="宋体" w:eastAsia="宋体" w:cs="宋体"/>
          <w:color w:val="auto"/>
          <w:sz w:val="24"/>
          <w:lang w:val="en-US" w:eastAsia="zh-CN"/>
        </w:rPr>
      </w:pPr>
      <w:r>
        <w:rPr>
          <w:rFonts w:hint="eastAsia" w:ascii="宋体" w:hAnsi="宋体" w:eastAsia="宋体" w:cs="宋体"/>
          <w:color w:val="auto"/>
          <w:sz w:val="24"/>
        </w:rPr>
        <w:t>项目联系方式（询问）：13819165825</w:t>
      </w:r>
      <w:r>
        <w:rPr>
          <w:rFonts w:hint="eastAsia" w:ascii="宋体" w:hAnsi="宋体" w:eastAsia="宋体" w:cs="宋体"/>
          <w:color w:val="auto"/>
          <w:sz w:val="24"/>
          <w:lang w:val="en-US" w:eastAsia="zh-CN"/>
        </w:rPr>
        <w:t xml:space="preserve"> </w:t>
      </w:r>
    </w:p>
    <w:p>
      <w:pPr>
        <w:spacing w:line="360" w:lineRule="auto"/>
        <w:ind w:firstLine="480"/>
        <w:jc w:val="left"/>
        <w:rPr>
          <w:rFonts w:hint="eastAsia" w:ascii="宋体" w:hAnsi="宋体" w:eastAsia="宋体" w:cs="宋体"/>
          <w:color w:val="auto"/>
          <w:sz w:val="24"/>
          <w:lang w:eastAsia="zh-CN"/>
        </w:rPr>
      </w:pPr>
      <w:r>
        <w:rPr>
          <w:rFonts w:hint="eastAsia" w:ascii="宋体" w:hAnsi="宋体" w:eastAsia="宋体" w:cs="宋体"/>
          <w:color w:val="auto"/>
          <w:sz w:val="24"/>
        </w:rPr>
        <w:t>质疑联系人：傅孙杰</w:t>
      </w:r>
      <w:r>
        <w:rPr>
          <w:rFonts w:hint="eastAsia" w:ascii="宋体" w:hAnsi="宋体" w:cs="宋体"/>
          <w:color w:val="auto"/>
          <w:sz w:val="24"/>
          <w:lang w:val="en-US" w:eastAsia="zh-CN"/>
        </w:rPr>
        <w:t xml:space="preserve"> </w:t>
      </w:r>
    </w:p>
    <w:p>
      <w:pPr>
        <w:spacing w:line="360" w:lineRule="auto"/>
        <w:ind w:firstLine="480"/>
        <w:jc w:val="left"/>
        <w:rPr>
          <w:rFonts w:hint="eastAsia" w:ascii="宋体" w:hAnsi="宋体" w:eastAsia="宋体" w:cs="宋体"/>
          <w:color w:val="auto"/>
          <w:sz w:val="24"/>
          <w:lang w:val="en-US" w:eastAsia="zh-CN"/>
        </w:rPr>
      </w:pPr>
      <w:r>
        <w:rPr>
          <w:rFonts w:hint="eastAsia" w:ascii="宋体" w:hAnsi="宋体" w:eastAsia="宋体" w:cs="宋体"/>
          <w:color w:val="auto"/>
          <w:sz w:val="24"/>
        </w:rPr>
        <w:t>质疑联系方式：13736415739</w:t>
      </w:r>
      <w:r>
        <w:rPr>
          <w:rFonts w:hint="eastAsia" w:ascii="宋体" w:hAnsi="宋体" w:cs="宋体"/>
          <w:color w:val="auto"/>
          <w:sz w:val="24"/>
          <w:lang w:val="en-US" w:eastAsia="zh-CN"/>
        </w:rPr>
        <w:t xml:space="preserve"> </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2.采购代理机构信息</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名称：德威工程管理咨询有限公司</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地址：萧山区通惠南路782号憬天国际5幢23楼</w:t>
      </w:r>
    </w:p>
    <w:p>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项目联系人（询问）：胡松华</w:t>
      </w:r>
    </w:p>
    <w:p>
      <w:pPr>
        <w:spacing w:line="360" w:lineRule="auto"/>
        <w:ind w:firstLine="480"/>
        <w:jc w:val="left"/>
        <w:rPr>
          <w:rFonts w:hint="default" w:ascii="宋体" w:hAnsi="宋体" w:eastAsia="宋体" w:cs="宋体"/>
          <w:color w:val="auto"/>
          <w:sz w:val="24"/>
          <w:lang w:val="en-US" w:eastAsia="zh-CN"/>
        </w:rPr>
      </w:pPr>
      <w:r>
        <w:rPr>
          <w:rFonts w:hint="eastAsia" w:ascii="宋体" w:hAnsi="宋体" w:eastAsia="宋体" w:cs="宋体"/>
          <w:color w:val="auto"/>
          <w:sz w:val="24"/>
        </w:rPr>
        <w:t>项目联系方式（询问）：0571-82756806</w:t>
      </w:r>
      <w:r>
        <w:rPr>
          <w:rFonts w:hint="eastAsia" w:ascii="宋体" w:hAnsi="宋体" w:eastAsia="宋体" w:cs="宋体"/>
          <w:color w:val="auto"/>
          <w:sz w:val="24"/>
          <w:lang w:val="en-US" w:eastAsia="zh-CN"/>
        </w:rPr>
        <w:t xml:space="preserve">  15397030968</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质疑联系人： </w:t>
      </w:r>
      <w:r>
        <w:rPr>
          <w:rFonts w:hint="eastAsia" w:ascii="宋体" w:hAnsi="宋体" w:cs="宋体"/>
          <w:color w:val="auto"/>
          <w:sz w:val="24"/>
          <w:lang w:eastAsia="zh-CN"/>
        </w:rPr>
        <w:t>张哲</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15906607701</w:t>
      </w:r>
    </w:p>
    <w:p>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rPr>
          <w:rFonts w:hint="eastAsia" w:ascii="宋体" w:hAnsi="宋体" w:cs="宋体"/>
          <w:color w:val="auto"/>
          <w:sz w:val="24"/>
        </w:rPr>
      </w:pPr>
      <w:r>
        <w:rPr>
          <w:rFonts w:hint="eastAsia" w:ascii="宋体" w:hAnsi="宋体" w:cs="宋体"/>
          <w:color w:val="auto"/>
          <w:sz w:val="24"/>
        </w:rPr>
        <w:t xml:space="preserve">   名称：萧山区财政局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lang w:val="en-US" w:eastAsia="zh-CN"/>
        </w:rPr>
        <w:t>杭州市上城区四季青街道新业路市民之家G03办公室（快递仅限ems或顺丰）</w:t>
      </w:r>
    </w:p>
    <w:p>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w:t>
      </w:r>
      <w:r>
        <w:rPr>
          <w:rFonts w:hint="eastAsia" w:ascii="宋体" w:hAnsi="宋体" w:eastAsia="宋体" w:cs="宋体"/>
          <w:color w:val="auto"/>
          <w:sz w:val="24"/>
        </w:rPr>
        <w:t> </w:t>
      </w:r>
      <w:r>
        <w:rPr>
          <w:rFonts w:hint="eastAsia" w:ascii="宋体" w:hAnsi="宋体" w:cs="宋体"/>
          <w:color w:val="auto"/>
          <w:sz w:val="24"/>
        </w:rPr>
        <w:t xml:space="preserve"> </w:t>
      </w:r>
      <w:r>
        <w:rPr>
          <w:rFonts w:hint="eastAsia" w:ascii="宋体" w:hAnsi="宋体" w:eastAsia="宋体" w:cs="宋体"/>
          <w:color w:val="auto"/>
          <w:sz w:val="24"/>
        </w:rPr>
        <w:t> </w:t>
      </w:r>
      <w:r>
        <w:rPr>
          <w:rFonts w:hint="eastAsia" w:ascii="宋体" w:hAnsi="宋体" w:cs="宋体"/>
          <w:color w:val="auto"/>
          <w:sz w:val="24"/>
        </w:rPr>
        <w:t>真：</w:t>
      </w:r>
      <w:r>
        <w:rPr>
          <w:rFonts w:hint="eastAsia" w:ascii="宋体" w:hAnsi="宋体" w:cs="宋体"/>
          <w:color w:val="auto"/>
          <w:sz w:val="24"/>
          <w:lang w:val="en-US" w:eastAsia="zh-CN"/>
        </w:rPr>
        <w:t>/</w:t>
      </w:r>
    </w:p>
    <w:p>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w:t>
      </w:r>
      <w:r>
        <w:rPr>
          <w:rFonts w:hint="eastAsia" w:ascii="宋体" w:hAnsi="宋体" w:cs="宋体"/>
          <w:color w:val="auto"/>
          <w:sz w:val="24"/>
          <w:lang w:val="en-US" w:eastAsia="zh-CN"/>
        </w:rPr>
        <w:t>朱女士/王女士</w:t>
      </w:r>
    </w:p>
    <w:p>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cs="宋体"/>
          <w:color w:val="auto"/>
          <w:sz w:val="24"/>
          <w:lang w:val="en-US" w:eastAsia="zh-CN"/>
        </w:rPr>
        <w:t>0571-85252453</w:t>
      </w:r>
      <w:r>
        <w:rPr>
          <w:rFonts w:hint="eastAsia" w:ascii="宋体" w:hAnsi="宋体" w:cs="宋体"/>
          <w:color w:val="auto"/>
          <w:sz w:val="24"/>
        </w:rPr>
        <w:t xml:space="preserve">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rPr>
        <w:t>  </w:t>
      </w:r>
      <w:r>
        <w:rPr>
          <w:rFonts w:hint="eastAsia" w:ascii="宋体" w:hAnsi="宋体" w:eastAsia="宋体" w:cs="宋体"/>
          <w:color w:val="auto"/>
          <w:sz w:val="24"/>
          <w:lang w:eastAsia="zh-CN"/>
        </w:rPr>
        <w:t>（汤先生）</w:t>
      </w:r>
    </w:p>
    <w:p>
      <w:pPr>
        <w:spacing w:line="360" w:lineRule="auto"/>
        <w:ind w:firstLine="48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pacing w:after="0" w:line="360" w:lineRule="auto"/>
              <w:rPr>
                <w:rFonts w:hint="eastAsia" w:ascii="Times New Roman" w:hAnsi="Times New Roman" w:eastAsia="宋体" w:cs="仿宋"/>
                <w:b w:val="0"/>
                <w:bCs w:val="0"/>
                <w:color w:val="auto"/>
                <w:kern w:val="2"/>
                <w:sz w:val="22"/>
                <w:szCs w:val="24"/>
                <w:lang w:val="en-US" w:eastAsia="zh-CN" w:bidi="ar-SA"/>
              </w:rPr>
            </w:pPr>
            <w:r>
              <w:rPr>
                <w:rFonts w:hint="eastAsia" w:ascii="Times New Roman" w:hAnsi="Times New Roman" w:eastAsia="宋体" w:cs="仿宋"/>
                <w:b w:val="0"/>
                <w:bCs w:val="0"/>
                <w:color w:val="auto"/>
                <w:kern w:val="2"/>
                <w:sz w:val="22"/>
                <w:szCs w:val="24"/>
                <w:lang w:val="en-US" w:eastAsia="zh-CN" w:bidi="ar-SA"/>
              </w:rPr>
              <w:t>标的：</w:t>
            </w:r>
            <w:r>
              <w:rPr>
                <w:rFonts w:hint="eastAsia" w:ascii="宋体" w:hAnsi="宋体" w:cs="宋体"/>
                <w:color w:val="auto"/>
                <w:sz w:val="24"/>
                <w:lang w:eastAsia="zh-CN"/>
              </w:rPr>
              <w:t>2024年萧山区山塘水库白蚁防治项目</w:t>
            </w:r>
            <w:r>
              <w:rPr>
                <w:rFonts w:hint="eastAsia" w:ascii="Times New Roman" w:hAnsi="Times New Roman" w:eastAsia="宋体" w:cs="仿宋"/>
                <w:b w:val="0"/>
                <w:bCs w:val="0"/>
                <w:color w:val="auto"/>
                <w:kern w:val="2"/>
                <w:sz w:val="22"/>
                <w:szCs w:val="24"/>
                <w:lang w:val="en-US" w:eastAsia="zh-CN" w:bidi="ar-SA"/>
              </w:rPr>
              <w:t>，属于</w:t>
            </w:r>
            <w:r>
              <w:rPr>
                <w:rFonts w:hint="eastAsia" w:ascii="仿宋" w:hAnsi="仿宋" w:eastAsia="仿宋" w:cs="仿宋"/>
                <w:bCs/>
                <w:i w:val="0"/>
                <w:iCs w:val="0"/>
                <w:color w:val="auto"/>
                <w:u w:val="single"/>
                <w:lang w:eastAsia="zh-CN"/>
              </w:rPr>
              <w:t xml:space="preserve"> </w:t>
            </w:r>
            <w:r>
              <w:rPr>
                <w:rFonts w:hint="eastAsia" w:ascii="仿宋" w:hAnsi="仿宋" w:eastAsia="仿宋" w:cs="仿宋"/>
                <w:b/>
                <w:bCs w:val="0"/>
                <w:i w:val="0"/>
                <w:iCs w:val="0"/>
                <w:color w:val="auto"/>
                <w:sz w:val="24"/>
                <w:szCs w:val="24"/>
                <w:highlight w:val="none"/>
                <w:u w:val="single"/>
                <w:lang w:val="en-US" w:eastAsia="zh-CN"/>
              </w:rPr>
              <w:t>其他未列明行业</w:t>
            </w:r>
            <w:r>
              <w:rPr>
                <w:rFonts w:hint="eastAsia" w:ascii="Times New Roman" w:hAnsi="Times New Roman" w:eastAsia="宋体" w:cs="仿宋"/>
                <w:b w:val="0"/>
                <w:bCs w:val="0"/>
                <w:color w:val="auto"/>
                <w:kern w:val="2"/>
                <w:sz w:val="22"/>
                <w:szCs w:val="24"/>
                <w:lang w:val="en-US" w:eastAsia="zh-CN" w:bidi="ar-SA"/>
              </w:rPr>
              <w:t>；</w:t>
            </w:r>
          </w:p>
          <w:p>
            <w:pPr>
              <w:numPr>
                <w:ilvl w:val="0"/>
                <w:numId w:val="2"/>
              </w:numPr>
              <w:spacing w:after="0" w:line="360" w:lineRule="auto"/>
              <w:rPr>
                <w:rFonts w:cs="仿宋"/>
                <w:color w:val="auto"/>
                <w:sz w:val="22"/>
              </w:rPr>
            </w:pPr>
            <w:r>
              <w:rPr>
                <w:rFonts w:hint="eastAsia" w:cs="仿宋"/>
                <w:color w:val="auto"/>
                <w:sz w:val="22"/>
              </w:rPr>
              <w:t>行业划分标准：</w:t>
            </w:r>
          </w:p>
          <w:p>
            <w:pPr>
              <w:rPr>
                <w:color w:val="auto"/>
                <w:lang w:val="en-US"/>
              </w:rPr>
            </w:pPr>
            <w:r>
              <w:rPr>
                <w:rFonts w:hint="eastAsia" w:cs="仿宋"/>
                <w:color w:val="auto"/>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color w:val="auto"/>
                <w:kern w:val="0"/>
                <w:sz w:val="24"/>
                <w:lang w:val="zh-CN"/>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A</w:t>
            </w:r>
            <w:r>
              <w:rPr>
                <w:rFonts w:hint="eastAsia" w:ascii="宋体" w:hAnsi="宋体" w:cs="宋体"/>
                <w:color w:val="auto"/>
                <w:kern w:val="0"/>
                <w:sz w:val="24"/>
                <w:highlight w:val="none"/>
                <w:lang w:eastAsia="zh-CN"/>
              </w:rPr>
              <w:t>不</w:t>
            </w:r>
            <w:r>
              <w:rPr>
                <w:rFonts w:hint="eastAsia" w:ascii="宋体" w:hAnsi="宋体" w:cs="宋体"/>
                <w:color w:val="auto"/>
                <w:kern w:val="0"/>
                <w:sz w:val="24"/>
                <w:highlight w:val="none"/>
              </w:rPr>
              <w:t>组</w:t>
            </w:r>
            <w:r>
              <w:rPr>
                <w:rFonts w:hint="eastAsia" w:ascii="宋体" w:hAnsi="宋体" w:eastAsia="宋体" w:cs="宋体"/>
                <w:color w:val="auto"/>
                <w:kern w:val="0"/>
                <w:sz w:val="24"/>
                <w:highlight w:val="none"/>
              </w:rPr>
              <w:t>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本项目支持《杭州市萧山区政府采购支持中小企业信用融资暂行办法》。</w:t>
            </w:r>
          </w:p>
          <w:p>
            <w:pPr>
              <w:spacing w:line="360" w:lineRule="auto"/>
              <w:ind w:firstLine="480" w:firstLineChars="200"/>
              <w:jc w:val="left"/>
              <w:rPr>
                <w:rFonts w:ascii="宋体" w:hAnsi="宋体" w:cs="宋体"/>
                <w:color w:val="auto"/>
                <w:sz w:val="24"/>
              </w:rPr>
            </w:pPr>
            <w:r>
              <w:rPr>
                <w:rFonts w:hint="eastAsia" w:ascii="宋体" w:hAnsi="宋体" w:cs="宋体"/>
                <w:snapToGrid w:val="0"/>
                <w:color w:val="auto"/>
                <w:kern w:val="28"/>
                <w:sz w:val="24"/>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4"/>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备份文件是否收取：不收取/可提交备份</w:t>
            </w:r>
          </w:p>
          <w:p>
            <w:pPr>
              <w:pStyle w:val="24"/>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rPr>
              <w:t>杭州市萧山区通惠南路782号憬天国际5幢23</w:t>
            </w:r>
            <w:r>
              <w:rPr>
                <w:rFonts w:hint="eastAsia" w:ascii="宋体" w:hAnsi="宋体" w:cs="宋体"/>
                <w:color w:val="auto"/>
                <w:sz w:val="24"/>
                <w:lang w:eastAsia="zh-CN"/>
              </w:rPr>
              <w:t>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15397030968</w:t>
            </w:r>
            <w:r>
              <w:rPr>
                <w:rFonts w:hint="eastAsia" w:hAnsi="宋体" w:cs="宋体"/>
                <w:color w:val="auto"/>
                <w:sz w:val="24"/>
                <w:szCs w:val="24"/>
                <w:highlight w:val="none"/>
              </w:rPr>
              <w:t>。</w:t>
            </w:r>
          </w:p>
          <w:p>
            <w:pPr>
              <w:pStyle w:val="24"/>
              <w:spacing w:line="360" w:lineRule="auto"/>
              <w:rPr>
                <w:rFonts w:hAnsi="宋体" w:cs="宋体"/>
                <w:color w:val="auto"/>
                <w:kern w:val="28"/>
                <w:sz w:val="24"/>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Times New Roman" w:hAnsi="Times New Roman" w:eastAsia="宋体" w:cs="Times New Roman"/>
                <w:color w:val="auto"/>
                <w:kern w:val="2"/>
                <w:sz w:val="21"/>
                <w:szCs w:val="24"/>
                <w:lang w:val="en-US" w:eastAsia="zh-CN" w:bidi="ar-SA"/>
              </w:rPr>
            </w:pPr>
            <w:r>
              <w:rPr>
                <w:rFonts w:hint="eastAsia"/>
                <w:color w:val="auto"/>
              </w:rPr>
              <w:t>1</w:t>
            </w:r>
            <w:r>
              <w:rPr>
                <w:rFonts w:hint="eastAsia"/>
                <w:color w:val="auto"/>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auto"/>
                <w:kern w:val="2"/>
                <w:sz w:val="21"/>
                <w:szCs w:val="24"/>
                <w:lang w:val="en-US" w:eastAsia="zh-CN" w:bidi="ar-SA"/>
              </w:rPr>
            </w:pPr>
            <w:r>
              <w:rPr>
                <w:rFonts w:hint="eastAsia" w:cs="仿宋"/>
                <w:b/>
                <w:color w:val="auto"/>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auto"/>
                <w:kern w:val="2"/>
                <w:sz w:val="21"/>
                <w:szCs w:val="24"/>
                <w:lang w:val="en-US" w:eastAsia="zh-CN" w:bidi="ar-SA"/>
              </w:rPr>
            </w:pPr>
            <w:r>
              <w:rPr>
                <w:rFonts w:hint="eastAsia" w:cs="仿宋_GB2312"/>
                <w:color w:val="auto"/>
                <w:sz w:val="22"/>
              </w:rPr>
              <w:t>本项目</w:t>
            </w:r>
            <w:r>
              <w:rPr>
                <w:rFonts w:cs="仿宋_GB2312"/>
                <w:color w:val="auto"/>
                <w:sz w:val="22"/>
              </w:rPr>
              <w:t>由采购人</w:t>
            </w:r>
            <w:r>
              <w:rPr>
                <w:rFonts w:hint="eastAsia" w:cs="仿宋_GB2312"/>
                <w:color w:val="auto"/>
                <w:sz w:val="22"/>
              </w:rPr>
              <w:t>进行</w:t>
            </w:r>
            <w:r>
              <w:rPr>
                <w:rFonts w:cs="仿宋_GB2312"/>
                <w:color w:val="auto"/>
                <w:sz w:val="22"/>
              </w:rPr>
              <w:t>资格文件</w:t>
            </w:r>
            <w:r>
              <w:rPr>
                <w:rFonts w:hint="eastAsia" w:cs="仿宋_GB2312"/>
                <w:color w:val="auto"/>
                <w:sz w:val="22"/>
              </w:rPr>
              <w:t>及</w:t>
            </w:r>
            <w:r>
              <w:rPr>
                <w:rFonts w:cs="仿宋_GB2312"/>
                <w:color w:val="auto"/>
                <w:sz w:val="22"/>
              </w:rPr>
              <w:t>信用信息</w:t>
            </w:r>
            <w:r>
              <w:rPr>
                <w:rFonts w:hint="eastAsia" w:cs="仿宋_GB2312"/>
                <w:color w:val="auto"/>
                <w:sz w:val="22"/>
              </w:rPr>
              <w:t>查询</w:t>
            </w:r>
            <w:r>
              <w:rPr>
                <w:rFonts w:cs="仿宋_GB2312"/>
                <w:color w:val="auto"/>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eastAsia="宋体"/>
                <w:color w:val="auto"/>
                <w:lang w:eastAsia="zh-CN"/>
              </w:rPr>
            </w:pPr>
            <w:r>
              <w:rPr>
                <w:rFonts w:hint="eastAsia"/>
                <w:color w:val="auto"/>
              </w:rPr>
              <w:t>1</w:t>
            </w:r>
            <w:r>
              <w:rPr>
                <w:rFonts w:hint="eastAsia"/>
                <w:color w:val="auto"/>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cs="仿宋"/>
                <w:b/>
                <w:color w:val="auto"/>
                <w:sz w:val="22"/>
              </w:rPr>
            </w:pPr>
            <w:r>
              <w:rPr>
                <w:rFonts w:hint="eastAsia" w:cs="仿宋"/>
                <w:b/>
                <w:color w:val="auto"/>
                <w:sz w:val="22"/>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color w:val="auto"/>
                <w:sz w:val="22"/>
                <w:u w:val="single"/>
              </w:rPr>
            </w:pPr>
            <w:r>
              <w:rPr>
                <w:rFonts w:hint="eastAsia"/>
                <w:color w:val="auto"/>
                <w:sz w:val="22"/>
              </w:rPr>
              <w:t>采购</w:t>
            </w:r>
            <w:r>
              <w:rPr>
                <w:color w:val="auto"/>
                <w:sz w:val="22"/>
              </w:rPr>
              <w:t>人、</w:t>
            </w:r>
            <w:r>
              <w:rPr>
                <w:rFonts w:hint="eastAsia"/>
                <w:color w:val="auto"/>
                <w:sz w:val="22"/>
              </w:rPr>
              <w:t>采购</w:t>
            </w:r>
            <w:r>
              <w:rPr>
                <w:color w:val="auto"/>
                <w:sz w:val="22"/>
              </w:rPr>
              <w:t>机构质疑接收人</w:t>
            </w:r>
            <w:r>
              <w:rPr>
                <w:rFonts w:hint="eastAsia"/>
                <w:color w:val="auto"/>
                <w:sz w:val="22"/>
              </w:rPr>
              <w:t>、联系方式</w:t>
            </w:r>
            <w:r>
              <w:rPr>
                <w:color w:val="auto"/>
                <w:sz w:val="22"/>
              </w:rPr>
              <w:t>：</w:t>
            </w:r>
            <w:r>
              <w:rPr>
                <w:rFonts w:hint="eastAsia"/>
                <w:color w:val="auto"/>
                <w:sz w:val="22"/>
              </w:rPr>
              <w:t>详见公告</w:t>
            </w:r>
          </w:p>
          <w:p>
            <w:pPr>
              <w:snapToGrid w:val="0"/>
              <w:spacing w:after="0" w:line="360" w:lineRule="auto"/>
              <w:rPr>
                <w:b/>
                <w:color w:val="auto"/>
                <w:sz w:val="22"/>
              </w:rPr>
            </w:pPr>
            <w:r>
              <w:rPr>
                <w:rFonts w:hint="eastAsia"/>
                <w:b/>
                <w:color w:val="auto"/>
                <w:sz w:val="22"/>
              </w:rPr>
              <w:t>线上提交质疑方式：政采云线上质疑路径：项目采购-询问质疑投诉-质疑列表。请使用ca签章在每一页质疑文件中加盖电子公章，上传完整附件。</w:t>
            </w:r>
          </w:p>
          <w:p>
            <w:pPr>
              <w:snapToGrid w:val="0"/>
              <w:spacing w:after="0" w:line="360" w:lineRule="auto"/>
              <w:rPr>
                <w:color w:val="auto"/>
                <w:sz w:val="22"/>
              </w:rPr>
            </w:pPr>
            <w:r>
              <w:rPr>
                <w:rFonts w:hint="eastAsia"/>
                <w:color w:val="auto"/>
                <w:sz w:val="22"/>
              </w:rPr>
              <w:t>本项目涉及资格条件、采购需求、评分办法及采购过程中有关现场考察或开标前答疑会等事项由</w:t>
            </w:r>
            <w:r>
              <w:rPr>
                <w:color w:val="auto"/>
                <w:sz w:val="22"/>
              </w:rPr>
              <w:t>采购人进行答复。</w:t>
            </w:r>
          </w:p>
          <w:p>
            <w:pPr>
              <w:spacing w:after="0"/>
              <w:rPr>
                <w:rFonts w:hint="eastAsia" w:cs="仿宋_GB2312"/>
                <w:color w:val="auto"/>
                <w:sz w:val="22"/>
              </w:rPr>
            </w:pPr>
            <w:r>
              <w:rPr>
                <w:rFonts w:hint="eastAsia"/>
                <w:color w:val="auto"/>
                <w:sz w:val="22"/>
              </w:rPr>
              <w:t>涉及</w:t>
            </w:r>
            <w:r>
              <w:rPr>
                <w:color w:val="auto"/>
                <w:sz w:val="22"/>
              </w:rPr>
              <w:t>流程规范性、组织程序等</w:t>
            </w:r>
            <w:r>
              <w:rPr>
                <w:rFonts w:hint="eastAsia"/>
                <w:color w:val="auto"/>
                <w:sz w:val="22"/>
              </w:rPr>
              <w:t>相关</w:t>
            </w:r>
            <w:r>
              <w:rPr>
                <w:color w:val="auto"/>
                <w:sz w:val="22"/>
              </w:rPr>
              <w:t>事项，由</w:t>
            </w:r>
            <w:r>
              <w:rPr>
                <w:rFonts w:hint="eastAsia"/>
                <w:color w:val="auto"/>
                <w:sz w:val="22"/>
              </w:rPr>
              <w:t>采购</w:t>
            </w:r>
            <w:r>
              <w:rPr>
                <w:color w:val="auto"/>
                <w:sz w:val="22"/>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default" w:eastAsia="宋体"/>
                <w:color w:val="auto"/>
                <w:lang w:val="en-US" w:eastAsia="zh-CN"/>
              </w:rPr>
            </w:pPr>
            <w:r>
              <w:rPr>
                <w:rFonts w:hint="eastAsia"/>
                <w:color w:val="auto"/>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default" w:eastAsia="宋体" w:cs="仿宋"/>
                <w:b/>
                <w:color w:val="auto"/>
                <w:sz w:val="22"/>
                <w:highlight w:val="none"/>
                <w:lang w:val="en-US" w:eastAsia="zh-CN"/>
              </w:rPr>
            </w:pPr>
            <w:r>
              <w:rPr>
                <w:rFonts w:hint="eastAsia" w:cs="仿宋"/>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auto"/>
                <w:highlight w:val="none"/>
              </w:rPr>
            </w:pPr>
            <w:r>
              <w:rPr>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auto"/>
                <w:highlight w:val="none"/>
                <w:lang w:val="en-US" w:eastAsia="zh-CN"/>
              </w:rPr>
              <w:t>后</w:t>
            </w:r>
            <w:r>
              <w:rPr>
                <w:color w:val="auto"/>
                <w:highlight w:val="none"/>
              </w:rPr>
              <w:t>已有新文件</w:t>
            </w:r>
            <w:r>
              <w:rPr>
                <w:rFonts w:hint="eastAsia"/>
                <w:color w:val="auto"/>
                <w:highlight w:val="none"/>
                <w:lang w:val="en-US" w:eastAsia="zh-CN"/>
              </w:rPr>
              <w:t>规定</w:t>
            </w:r>
            <w:r>
              <w:rPr>
                <w:color w:val="auto"/>
                <w:highlight w:val="none"/>
              </w:rPr>
              <w:t>，按照最新文件执行）。存在隐蔽工程的项目，采购单位及供应商应在货物到货并将实施</w:t>
            </w:r>
            <w:r>
              <w:rPr>
                <w:rFonts w:hint="eastAsia"/>
                <w:color w:val="auto"/>
                <w:highlight w:val="none"/>
              </w:rPr>
              <w:t>安装前，申请进行初验收。</w:t>
            </w:r>
          </w:p>
          <w:p>
            <w:pPr>
              <w:rPr>
                <w:color w:val="auto"/>
                <w:highlight w:val="none"/>
              </w:rPr>
            </w:pPr>
            <w:r>
              <w:rPr>
                <w:rFonts w:hint="eastAsia"/>
                <w:color w:val="auto"/>
                <w:highlight w:val="none"/>
              </w:rPr>
              <w:t>联系电话</w:t>
            </w:r>
            <w:r>
              <w:rPr>
                <w:color w:val="auto"/>
                <w:highlight w:val="none"/>
              </w:rPr>
              <w:t>: 0571-83587785/0571-82816012  联系地址: 萧山区通惠北路2-1号302室</w:t>
            </w:r>
          </w:p>
          <w:p>
            <w:pPr>
              <w:spacing w:after="0"/>
              <w:rPr>
                <w:rFonts w:hint="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rPr>
            </w:pPr>
            <w:sdt>
              <w:sdtPr>
                <w:rPr>
                  <w:rFonts w:hint="eastAsia"/>
                  <w:color w:val="auto"/>
                </w:rPr>
                <w:id w:val="-369766551"/>
                <w14:checkbox>
                  <w14:checked w14:val="0"/>
                  <w14:checkedState w14:val="00FE" w14:font="Wingdings"/>
                  <w14:uncheckedState w14:val="2610" w14:font="MS Gothic"/>
                </w14:checkbox>
              </w:sdtPr>
              <w:sdtEndPr>
                <w:rPr>
                  <w:rFonts w:hint="eastAsia"/>
                  <w:color w:val="auto"/>
                </w:rPr>
              </w:sdtEndPr>
              <w:sdtContent>
                <w:r>
                  <w:rPr>
                    <w:rFonts w:hint="eastAsia"/>
                    <w:color w:val="auto"/>
                  </w:rPr>
                  <w:t>☐</w:t>
                </w:r>
              </w:sdtContent>
            </w:sdt>
            <w:r>
              <w:rPr>
                <w:rFonts w:hint="eastAsia"/>
                <w:color w:val="auto"/>
              </w:rPr>
              <w:t>联合体投标的，联合体各方均需按招标文件第四部分评标标准要求提供资信证明文件，否则视为不符合相关要求。</w:t>
            </w:r>
          </w:p>
          <w:p>
            <w:pPr>
              <w:spacing w:line="360" w:lineRule="auto"/>
              <w:rPr>
                <w:rFonts w:hint="eastAsia"/>
                <w:color w:val="auto"/>
              </w:rPr>
            </w:pPr>
            <w:sdt>
              <w:sdtPr>
                <w:rPr>
                  <w:rFonts w:hint="eastAsia"/>
                  <w:color w:val="auto"/>
                </w:rPr>
                <w:id w:val="1052570136"/>
                <w14:checkbox>
                  <w14:checked w14:val="1"/>
                  <w14:checkedState w14:val="00FE" w14:font="Wingdings"/>
                  <w14:uncheckedState w14:val="2610" w14:font="MS Gothic"/>
                </w14:checkbox>
              </w:sdtPr>
              <w:sdtEndPr>
                <w:rPr>
                  <w:rFonts w:hint="eastAsia"/>
                  <w:color w:val="auto"/>
                </w:rPr>
              </w:sdtEndPr>
              <w:sdtContent>
                <w:r>
                  <w:rPr>
                    <w:rFonts w:hint="eastAsia"/>
                    <w:color w:val="auto"/>
                  </w:rPr>
                  <w:sym w:font="Wingdings" w:char="F0FE"/>
                </w:r>
              </w:sdtContent>
            </w:sdt>
            <w:r>
              <w:rPr>
                <w:rFonts w:hint="eastAsia"/>
                <w:color w:val="auto"/>
              </w:rPr>
              <w:t>联合体投标的，联合体中有一方或者联合体成员根据分工按招标文件第四部分评标标准要求提供资信证明文件的，视为符合了相关要求。</w:t>
            </w:r>
            <w:r>
              <w:rPr>
                <w:rFonts w:hint="eastAsia"/>
                <w:color w:val="auto"/>
              </w:rPr>
              <w:br w:type="textWrapping"/>
            </w:r>
            <w:r>
              <w:rPr>
                <w:rFonts w:hint="eastAsia" w:cs="Arial" w:asciiTheme="minorEastAsia" w:hAnsiTheme="minorEastAsia" w:eastAsiaTheme="minorEastAsia"/>
                <w:color w:val="auto"/>
                <w:kern w:val="0"/>
                <w:sz w:val="24"/>
                <w:highlight w:val="cyan"/>
              </w:rPr>
              <w:t>评审因素对应的要求视为采购需求的一部分。</w:t>
            </w:r>
          </w:p>
          <w:p>
            <w:pPr>
              <w:spacing w:line="360" w:lineRule="auto"/>
              <w:rPr>
                <w:rFonts w:hint="eastAsia"/>
                <w:b/>
                <w:bCs/>
                <w:color w:val="auto"/>
              </w:rPr>
            </w:pPr>
            <w:r>
              <w:rPr>
                <w:rFonts w:hint="eastAsia"/>
                <w:b/>
                <w:bCs/>
                <w:color w:val="auto"/>
              </w:rPr>
              <w:t>严格执行预算限价，项目如涉及办公用房装修、通用办公设备家具的不得超限额标准。（萧财国资【2019】389号）</w:t>
            </w:r>
          </w:p>
          <w:p>
            <w:pPr>
              <w:spacing w:line="360" w:lineRule="auto"/>
              <w:rPr>
                <w:color w:val="auto"/>
              </w:rPr>
            </w:pPr>
            <w:r>
              <w:rPr>
                <w:rFonts w:hint="eastAsia"/>
                <w:b/>
                <w:bCs/>
                <w:color w:val="auto"/>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color w:val="auto"/>
          <w:sz w:val="24"/>
          <w:highlight w:val="cyan"/>
        </w:rPr>
        <w:t>（</w:t>
      </w:r>
      <w:r>
        <w:rPr>
          <w:rFonts w:hint="eastAsia" w:ascii="宋体" w:hAnsi="宋体" w:cs="宋体"/>
          <w:snapToGrid w:val="0"/>
          <w:color w:val="auto"/>
          <w:kern w:val="28"/>
          <w:sz w:val="24"/>
          <w:highlight w:val="cyan"/>
        </w:rPr>
        <w:t>招标文件第四部分</w:t>
      </w:r>
      <w:r>
        <w:rPr>
          <w:rFonts w:hint="eastAsia" w:ascii="宋体" w:hAnsi="宋体" w:cs="宋体"/>
          <w:color w:val="auto"/>
          <w:sz w:val="24"/>
          <w:highlight w:val="cyan"/>
          <w:u w:val="single"/>
        </w:rPr>
        <w:t>评标办分法明确具体的扣除比例，未明确的，</w:t>
      </w:r>
      <w:r>
        <w:rPr>
          <w:rFonts w:hint="eastAsia" w:ascii="宋体" w:hAnsi="宋体" w:cs="宋体"/>
          <w:color w:val="auto"/>
          <w:sz w:val="24"/>
          <w:highlight w:val="cyan"/>
        </w:rPr>
        <w:t>给予</w:t>
      </w:r>
      <w:r>
        <w:rPr>
          <w:rFonts w:hint="eastAsia" w:ascii="宋体" w:hAnsi="宋体" w:cs="宋体"/>
          <w:color w:val="auto"/>
          <w:sz w:val="24"/>
          <w:highlight w:val="cyan"/>
          <w:lang w:val="en-US" w:eastAsia="zh-CN"/>
        </w:rPr>
        <w:t>2</w:t>
      </w:r>
      <w:r>
        <w:rPr>
          <w:rFonts w:ascii="宋体" w:hAnsi="宋体" w:cs="宋体"/>
          <w:color w:val="auto"/>
          <w:sz w:val="24"/>
          <w:highlight w:val="cyan"/>
        </w:rPr>
        <w:t>0</w:t>
      </w:r>
      <w:r>
        <w:rPr>
          <w:rFonts w:hint="eastAsia" w:ascii="宋体" w:hAnsi="宋体" w:cs="宋体"/>
          <w:color w:val="auto"/>
          <w:sz w:val="24"/>
          <w:highlight w:val="cyan"/>
        </w:rPr>
        <w:t>%的扣除）</w:t>
      </w:r>
      <w:r>
        <w:rPr>
          <w:rFonts w:hint="eastAsia" w:ascii="宋体" w:hAnsi="宋体" w:cs="宋体"/>
          <w:color w:val="auto"/>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w:t>
      </w:r>
      <w:r>
        <w:rPr>
          <w:rFonts w:hint="eastAsia" w:ascii="宋体" w:hAnsi="宋体" w:cs="宋体"/>
          <w:color w:val="auto"/>
          <w:sz w:val="24"/>
          <w:highlight w:val="cyan"/>
        </w:rPr>
        <w:t>（</w:t>
      </w:r>
      <w:r>
        <w:rPr>
          <w:rFonts w:hint="eastAsia" w:ascii="宋体" w:hAnsi="宋体" w:cs="宋体"/>
          <w:snapToGrid w:val="0"/>
          <w:color w:val="auto"/>
          <w:kern w:val="28"/>
          <w:sz w:val="24"/>
          <w:highlight w:val="cyan"/>
        </w:rPr>
        <w:t>招标文件第四部分</w:t>
      </w:r>
      <w:r>
        <w:rPr>
          <w:rFonts w:hint="eastAsia" w:ascii="宋体" w:hAnsi="宋体" w:cs="宋体"/>
          <w:color w:val="auto"/>
          <w:sz w:val="24"/>
          <w:highlight w:val="cyan"/>
          <w:u w:val="single"/>
        </w:rPr>
        <w:t>评标办分法明确具体的扣除比例，未明确的，</w:t>
      </w:r>
      <w:r>
        <w:rPr>
          <w:rFonts w:hint="eastAsia" w:ascii="宋体" w:hAnsi="宋体" w:cs="宋体"/>
          <w:color w:val="auto"/>
          <w:sz w:val="24"/>
          <w:highlight w:val="cyan"/>
        </w:rPr>
        <w:t>给予6%的扣除）</w:t>
      </w:r>
      <w:r>
        <w:rPr>
          <w:rFonts w:hint="eastAsia" w:ascii="宋体" w:hAnsi="宋体" w:cs="宋体"/>
          <w:color w:val="auto"/>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2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2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23"/>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2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2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2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2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2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2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2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2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91"/>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91"/>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91"/>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91"/>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color w:val="auto"/>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1"/>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37"/>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24"/>
        <w:spacing w:line="360" w:lineRule="auto"/>
        <w:rPr>
          <w:rFonts w:hAnsi="宋体" w:cs="宋体"/>
          <w:b/>
          <w:color w:val="auto"/>
          <w:sz w:val="24"/>
          <w:szCs w:val="24"/>
        </w:rPr>
      </w:pPr>
      <w:r>
        <w:rPr>
          <w:rFonts w:hint="eastAsia" w:hAnsi="宋体" w:cs="宋体"/>
          <w:b/>
          <w:color w:val="auto"/>
          <w:sz w:val="24"/>
          <w:szCs w:val="24"/>
        </w:rPr>
        <w:t>5．招标文件的构成</w:t>
      </w:r>
    </w:p>
    <w:p>
      <w:pPr>
        <w:pStyle w:val="2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2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2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2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2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2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2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24"/>
        <w:spacing w:line="360" w:lineRule="auto"/>
        <w:rPr>
          <w:rFonts w:hint="default" w:hAnsi="宋体" w:eastAsia="宋体" w:cs="宋体"/>
          <w:b/>
          <w:color w:val="auto"/>
          <w:sz w:val="24"/>
          <w:szCs w:val="24"/>
          <w:lang w:val="en-US" w:eastAsia="zh-CN"/>
        </w:rPr>
      </w:pPr>
      <w:r>
        <w:rPr>
          <w:rFonts w:hint="eastAsia" w:hAnsi="宋体" w:cs="宋体"/>
          <w:b/>
          <w:color w:val="auto"/>
          <w:sz w:val="24"/>
          <w:szCs w:val="24"/>
        </w:rPr>
        <w:t>6. 招标文件的澄清、修改</w:t>
      </w:r>
    </w:p>
    <w:p>
      <w:pPr>
        <w:pStyle w:val="137"/>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7"/>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24"/>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24"/>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2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24"/>
        <w:spacing w:line="360" w:lineRule="auto"/>
        <w:rPr>
          <w:rFonts w:hAnsi="宋体" w:cs="宋体"/>
          <w:b/>
          <w:color w:val="auto"/>
          <w:szCs w:val="24"/>
        </w:rPr>
      </w:pPr>
      <w:r>
        <w:rPr>
          <w:rFonts w:hint="eastAsia" w:hAnsi="宋体" w:cs="宋体"/>
          <w:b/>
          <w:color w:val="auto"/>
          <w:kern w:val="28"/>
          <w:sz w:val="24"/>
          <w:szCs w:val="24"/>
        </w:rPr>
        <w:t>9.投标保证金</w:t>
      </w:r>
    </w:p>
    <w:p>
      <w:pPr>
        <w:pStyle w:val="23"/>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24"/>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24"/>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37"/>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7"/>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7"/>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7"/>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7"/>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7"/>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cyan"/>
        </w:rPr>
        <w:t>供应商撤回投标不得损害国家利益、社会公共利益、采购人利益、代理机构利益、其他供应商利益，否则，供应商撤销（撤回）投标无效。</w:t>
      </w:r>
      <w:r>
        <w:rPr>
          <w:rFonts w:hint="eastAsia" w:ascii="宋体" w:hAnsi="宋体" w:cs="宋体"/>
          <w:color w:val="auto"/>
          <w:szCs w:val="24"/>
        </w:rPr>
        <w:t>投标截止时间前未完成传输的，视为撤回投标文件。投标截止时间后递交的投标文件，电子交易平台将拒收。</w:t>
      </w:r>
    </w:p>
    <w:p>
      <w:pPr>
        <w:pStyle w:val="137"/>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7"/>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24"/>
        <w:spacing w:line="360" w:lineRule="auto"/>
        <w:rPr>
          <w:rFonts w:hAnsi="宋体" w:cs="宋体"/>
          <w:b/>
          <w:color w:val="auto"/>
          <w:sz w:val="24"/>
          <w:szCs w:val="24"/>
        </w:rPr>
      </w:pPr>
      <w:r>
        <w:rPr>
          <w:rFonts w:hint="eastAsia" w:hAnsi="宋体" w:cs="宋体"/>
          <w:b/>
          <w:color w:val="auto"/>
          <w:sz w:val="24"/>
          <w:szCs w:val="24"/>
        </w:rPr>
        <w:t>15.备份投标文件</w:t>
      </w:r>
    </w:p>
    <w:p>
      <w:pPr>
        <w:pStyle w:val="2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2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2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2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2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7"/>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3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7"/>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7"/>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7"/>
        <w:spacing w:before="0"/>
        <w:ind w:firstLine="480"/>
        <w:jc w:val="left"/>
        <w:rPr>
          <w:rFonts w:hint="eastAsia"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r>
        <w:rPr>
          <w:rFonts w:hint="eastAsia" w:ascii="宋体" w:hAnsi="宋体" w:cs="宋体"/>
          <w:color w:val="auto"/>
        </w:rPr>
        <w:br w:type="textWrapping"/>
      </w:r>
      <w:r>
        <w:rPr>
          <w:rFonts w:hint="eastAsia" w:ascii="宋体" w:hAnsi="宋体" w:cs="宋体"/>
          <w:color w:val="auto"/>
          <w:lang w:val="en-US" w:eastAsia="zh-CN"/>
        </w:rPr>
        <w:t xml:space="preserve">    </w:t>
      </w:r>
      <w:r>
        <w:rPr>
          <w:rFonts w:hint="eastAsia" w:ascii="宋体" w:hAnsi="宋体" w:cs="宋体"/>
          <w:color w:val="auto"/>
          <w:highlight w:val="cyan"/>
        </w:rPr>
        <w:t>17.4在投标截止时间起至投标有效期届满，供应商投标文件不可撤销。</w:t>
      </w:r>
    </w:p>
    <w:p>
      <w:pPr>
        <w:pStyle w:val="137"/>
        <w:spacing w:before="0"/>
        <w:ind w:firstLine="480"/>
        <w:rPr>
          <w:rFonts w:ascii="宋体" w:hAnsi="宋体" w:cs="宋体"/>
          <w:color w:val="auto"/>
        </w:rPr>
      </w:pPr>
    </w:p>
    <w:p>
      <w:pPr>
        <w:pStyle w:val="137"/>
        <w:spacing w:before="0"/>
        <w:ind w:firstLine="643"/>
        <w:rPr>
          <w:rFonts w:ascii="宋体" w:hAnsi="宋体" w:cs="宋体"/>
          <w:b/>
          <w:color w:val="auto"/>
          <w:sz w:val="32"/>
        </w:rPr>
      </w:pPr>
    </w:p>
    <w:p>
      <w:pPr>
        <w:pStyle w:val="137"/>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60"/>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6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pStyle w:val="137"/>
        <w:spacing w:before="0"/>
        <w:ind w:firstLine="480"/>
        <w:rPr>
          <w:rFonts w:ascii="宋体" w:hAnsi="宋体" w:cs="宋体"/>
          <w:color w:val="auto"/>
          <w:kern w:val="0"/>
          <w:szCs w:val="24"/>
          <w:highlight w:val="cyan"/>
        </w:rPr>
      </w:pPr>
      <w:r>
        <w:rPr>
          <w:rFonts w:hint="eastAsia" w:ascii="宋体" w:hAnsi="宋体" w:cs="宋体"/>
          <w:color w:val="auto"/>
          <w:kern w:val="0"/>
          <w:szCs w:val="24"/>
          <w:highlight w:val="cyan"/>
        </w:rPr>
        <w:t>19.1开标后，采购人将依据法律法规和招标文件的规定，对投标人的资格进行审查。</w:t>
      </w:r>
    </w:p>
    <w:p>
      <w:pPr>
        <w:pStyle w:val="137"/>
        <w:spacing w:before="0"/>
        <w:ind w:firstLine="480"/>
        <w:rPr>
          <w:rFonts w:ascii="宋体" w:hAnsi="宋体" w:cs="宋体"/>
          <w:color w:val="auto"/>
          <w:highlight w:val="cyan"/>
        </w:rPr>
      </w:pPr>
      <w:r>
        <w:rPr>
          <w:rFonts w:hint="eastAsia" w:ascii="宋体" w:hAnsi="宋体" w:cs="宋体"/>
          <w:color w:val="auto"/>
          <w:kern w:val="0"/>
          <w:szCs w:val="24"/>
          <w:highlight w:val="cyan"/>
        </w:rPr>
        <w:t>19.2投标人未按照招标文件要求提供与</w:t>
      </w:r>
      <w:r>
        <w:rPr>
          <w:rFonts w:hint="eastAsia" w:ascii="宋体" w:hAnsi="宋体" w:cs="宋体"/>
          <w:color w:val="auto"/>
          <w:highlight w:val="cyan"/>
        </w:rPr>
        <w:t>资格条件相应的</w:t>
      </w:r>
      <w:r>
        <w:rPr>
          <w:rFonts w:hint="eastAsia" w:ascii="宋体" w:hAnsi="宋体" w:cs="宋体"/>
          <w:color w:val="auto"/>
          <w:kern w:val="0"/>
          <w:szCs w:val="24"/>
          <w:highlight w:val="cyan"/>
        </w:rPr>
        <w:t>有效资格证明材料的，视为</w:t>
      </w:r>
      <w:r>
        <w:rPr>
          <w:rFonts w:hint="eastAsia" w:ascii="宋体" w:hAnsi="宋体" w:cs="宋体"/>
          <w:color w:val="auto"/>
          <w:highlight w:val="cyan"/>
        </w:rPr>
        <w:t>投标人不具备招标文件中规定的资格要求，其投标无效。</w:t>
      </w:r>
    </w:p>
    <w:p>
      <w:pPr>
        <w:pStyle w:val="137"/>
        <w:spacing w:before="0"/>
        <w:ind w:firstLine="480"/>
        <w:rPr>
          <w:rFonts w:ascii="宋体" w:hAnsi="宋体" w:cs="宋体"/>
          <w:color w:val="auto"/>
          <w:highlight w:val="cyan"/>
        </w:rPr>
      </w:pPr>
      <w:r>
        <w:rPr>
          <w:rFonts w:hint="eastAsia" w:ascii="宋体" w:hAnsi="宋体" w:cs="宋体"/>
          <w:color w:val="auto"/>
          <w:kern w:val="0"/>
          <w:szCs w:val="24"/>
          <w:highlight w:val="cyan"/>
        </w:rPr>
        <w:t>19.</w:t>
      </w:r>
      <w:r>
        <w:rPr>
          <w:rFonts w:hint="eastAsia" w:ascii="宋体" w:hAnsi="宋体" w:cs="宋体"/>
          <w:color w:val="auto"/>
          <w:highlight w:val="cyan"/>
        </w:rPr>
        <w:t>3对未通过资格审查的投标人，告知其未通过的原因。</w:t>
      </w:r>
    </w:p>
    <w:p>
      <w:pPr>
        <w:pStyle w:val="137"/>
        <w:spacing w:before="0"/>
        <w:ind w:firstLine="480"/>
        <w:rPr>
          <w:rFonts w:ascii="宋体" w:hAnsi="宋体" w:cs="宋体"/>
          <w:color w:val="auto"/>
        </w:rPr>
      </w:pPr>
      <w:r>
        <w:rPr>
          <w:rFonts w:hint="eastAsia" w:ascii="宋体" w:hAnsi="宋体" w:cs="宋体"/>
          <w:color w:val="auto"/>
          <w:kern w:val="0"/>
          <w:szCs w:val="24"/>
          <w:highlight w:val="cyan"/>
        </w:rPr>
        <w:t>19.</w:t>
      </w:r>
      <w:r>
        <w:rPr>
          <w:rFonts w:hint="eastAsia" w:ascii="宋体" w:hAnsi="宋体" w:cs="宋体"/>
          <w:color w:val="auto"/>
          <w:highlight w:val="cyan"/>
        </w:rPr>
        <w:t>4合格投标人不足3家的，不再评标。</w:t>
      </w:r>
    </w:p>
    <w:p>
      <w:pPr>
        <w:pStyle w:val="137"/>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7"/>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val="en-US" w:eastAsia="zh-CN"/>
        </w:rPr>
        <w:t>采购人</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37"/>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7"/>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7"/>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7"/>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32"/>
        <w:spacing w:line="360" w:lineRule="auto"/>
        <w:ind w:left="479" w:hanging="479" w:hangingChars="199"/>
        <w:rPr>
          <w:rFonts w:cs="宋体"/>
          <w:b/>
          <w:color w:val="auto"/>
        </w:rPr>
      </w:pPr>
      <w:r>
        <w:rPr>
          <w:rFonts w:hint="eastAsia" w:cs="宋体"/>
          <w:b/>
          <w:color w:val="auto"/>
        </w:rPr>
        <w:t>22. 确定中标供应商</w:t>
      </w:r>
    </w:p>
    <w:p>
      <w:pPr>
        <w:pStyle w:val="137"/>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cyan"/>
        </w:rPr>
        <w:t>在采购结果确认环节，中标（成交）候选人撤销投标（响应）文件不能成为采购人不确认采购结果的正当理由。</w:t>
      </w:r>
      <w:r>
        <w:rPr>
          <w:rFonts w:hint="eastAsia" w:ascii="宋体" w:hAnsi="宋体" w:cs="宋体"/>
          <w:color w:val="auto"/>
          <w:szCs w:val="24"/>
        </w:rPr>
        <w:t>中标、成交通知书和中标、成交结果公告应当在规定时间内同时发出。</w:t>
      </w:r>
    </w:p>
    <w:p>
      <w:pPr>
        <w:pStyle w:val="137"/>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3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32"/>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7"/>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7"/>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7"/>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7"/>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32"/>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11"/>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11"/>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7"/>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7"/>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7"/>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7"/>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7"/>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7"/>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7"/>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32"/>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8"/>
      <w:bookmarkEnd w:id="16"/>
      <w:bookmarkStart w:id="17" w:name="_Hlt74714665"/>
      <w:bookmarkEnd w:id="17"/>
      <w:bookmarkStart w:id="18" w:name="_Hlt75236011"/>
      <w:bookmarkEnd w:id="18"/>
      <w:bookmarkStart w:id="19" w:name="_Hlt74730295"/>
      <w:bookmarkEnd w:id="19"/>
      <w:bookmarkStart w:id="20" w:name="_Hlt74729768"/>
      <w:bookmarkEnd w:id="20"/>
      <w:bookmarkStart w:id="21" w:name="_Hlt68073093"/>
      <w:bookmarkEnd w:id="21"/>
      <w:bookmarkStart w:id="22" w:name="_Hlt74707468"/>
      <w:bookmarkEnd w:id="22"/>
      <w:bookmarkStart w:id="23" w:name="_Hlt75236290"/>
      <w:bookmarkEnd w:id="23"/>
      <w:bookmarkStart w:id="24" w:name="_Hlt68057669"/>
      <w:bookmarkEnd w:id="24"/>
      <w:bookmarkStart w:id="25" w:name="_Hlt68403820"/>
      <w:bookmarkEnd w:id="25"/>
      <w:bookmarkStart w:id="26" w:name="_Hlt68072990"/>
      <w:bookmarkEnd w:id="26"/>
    </w:p>
    <w:bookmarkEnd w:id="11"/>
    <w:bookmarkEnd w:id="12"/>
    <w:p>
      <w:pPr>
        <w:pStyle w:val="10"/>
        <w:jc w:val="center"/>
        <w:rPr>
          <w:rFonts w:hint="eastAsia" w:ascii="仿宋" w:hAnsi="仿宋" w:eastAsia="仿宋" w:cs="仿宋"/>
          <w:color w:val="auto"/>
        </w:rPr>
      </w:pPr>
      <w:bookmarkStart w:id="27" w:name="第四部分"/>
      <w:r>
        <w:rPr>
          <w:rFonts w:hint="eastAsia" w:ascii="宋体" w:hAnsi="宋体" w:cs="宋体"/>
          <w:b/>
          <w:color w:val="auto"/>
          <w:sz w:val="36"/>
          <w:szCs w:val="36"/>
        </w:rPr>
        <w:t>第三部分</w:t>
      </w:r>
      <w:r>
        <w:rPr>
          <w:rFonts w:hint="eastAsia" w:ascii="宋体" w:hAnsi="宋体" w:cs="宋体"/>
          <w:b/>
          <w:color w:val="auto"/>
          <w:sz w:val="36"/>
          <w:szCs w:val="36"/>
          <w:lang w:val="en-US" w:eastAsia="zh-CN"/>
        </w:rPr>
        <w:t xml:space="preserve">  </w:t>
      </w:r>
      <w:r>
        <w:rPr>
          <w:rFonts w:hint="eastAsia" w:ascii="仿宋" w:hAnsi="仿宋" w:eastAsia="仿宋" w:cs="仿宋"/>
          <w:color w:val="auto"/>
        </w:rPr>
        <w:t>采购需求</w:t>
      </w:r>
    </w:p>
    <w:p>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属于实质性要求条款的，请用符号“▲”标明，否则属于非实质性要求。</w:t>
      </w:r>
    </w:p>
    <w:p>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“★”系产品采购项目中单一产品或核心产品。</w:t>
      </w:r>
    </w:p>
    <w:p>
      <w:pPr>
        <w:spacing w:line="360" w:lineRule="auto"/>
        <w:jc w:val="center"/>
        <w:rPr>
          <w:rFonts w:hint="eastAsia" w:ascii="宋体" w:hAnsi="宋体" w:eastAsia="宋体" w:cs="宋体"/>
          <w:b/>
          <w:color w:val="auto"/>
        </w:rPr>
      </w:pPr>
      <w:r>
        <w:rPr>
          <w:rFonts w:hint="eastAsia" w:ascii="宋体" w:hAnsi="宋体" w:eastAsia="宋体" w:cs="宋体"/>
          <w:b/>
          <w:color w:val="auto"/>
        </w:rPr>
        <w:t>一、招标一览表</w:t>
      </w:r>
    </w:p>
    <w:p>
      <w:pPr>
        <w:tabs>
          <w:tab w:val="left" w:pos="0"/>
        </w:tabs>
        <w:spacing w:line="360" w:lineRule="auto"/>
        <w:rPr>
          <w:rFonts w:hint="eastAsia" w:ascii="宋体" w:hAnsi="宋体" w:eastAsia="宋体" w:cs="宋体"/>
          <w:color w:val="auto"/>
          <w:u w:val="none"/>
          <w:lang w:eastAsia="zh-CN"/>
        </w:rPr>
      </w:pPr>
      <w:r>
        <w:rPr>
          <w:rFonts w:hint="eastAsia" w:ascii="宋体" w:hAnsi="宋体" w:eastAsia="宋体" w:cs="宋体"/>
          <w:color w:val="auto"/>
        </w:rPr>
        <w:t>标项</w:t>
      </w:r>
      <w:r>
        <w:rPr>
          <w:rFonts w:hint="eastAsia" w:ascii="宋体" w:hAnsi="宋体" w:eastAsia="宋体" w:cs="宋体"/>
          <w:color w:val="auto"/>
          <w:u w:val="none"/>
        </w:rPr>
        <w:t>：</w:t>
      </w:r>
      <w:r>
        <w:rPr>
          <w:rFonts w:hint="eastAsia" w:ascii="宋体" w:hAnsi="宋体" w:eastAsia="宋体" w:cs="宋体"/>
          <w:color w:val="auto"/>
          <w:u w:val="none"/>
          <w:lang w:val="en-US" w:eastAsia="zh-CN"/>
        </w:rPr>
        <w:t>1</w:t>
      </w:r>
    </w:p>
    <w:tbl>
      <w:tblPr>
        <w:tblStyle w:val="6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3736"/>
        <w:gridCol w:w="1897"/>
        <w:gridCol w:w="781"/>
        <w:gridCol w:w="781"/>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atLeast"/>
          <w:jc w:val="center"/>
        </w:trPr>
        <w:tc>
          <w:tcPr>
            <w:tcW w:w="633" w:type="dxa"/>
            <w:noWrap/>
            <w:tcMar>
              <w:top w:w="15" w:type="dxa"/>
              <w:left w:w="15" w:type="dxa"/>
              <w:bottom w:w="0" w:type="dxa"/>
              <w:right w:w="15" w:type="dxa"/>
            </w:tcMar>
            <w:vAlign w:val="center"/>
          </w:tcPr>
          <w:p>
            <w:pPr>
              <w:tabs>
                <w:tab w:val="left" w:pos="0"/>
              </w:tabs>
              <w:jc w:val="center"/>
              <w:rPr>
                <w:rFonts w:hint="eastAsia" w:ascii="宋体" w:hAnsi="宋体" w:eastAsia="宋体" w:cs="宋体"/>
                <w:color w:val="auto"/>
              </w:rPr>
            </w:pPr>
            <w:r>
              <w:rPr>
                <w:rFonts w:hint="eastAsia" w:ascii="宋体" w:hAnsi="宋体" w:eastAsia="宋体" w:cs="宋体"/>
                <w:color w:val="auto"/>
              </w:rPr>
              <w:t>序号</w:t>
            </w:r>
          </w:p>
        </w:tc>
        <w:tc>
          <w:tcPr>
            <w:tcW w:w="3736" w:type="dxa"/>
            <w:noWrap/>
            <w:tcMar>
              <w:top w:w="15" w:type="dxa"/>
              <w:left w:w="15" w:type="dxa"/>
              <w:bottom w:w="0" w:type="dxa"/>
              <w:right w:w="15" w:type="dxa"/>
            </w:tcMar>
            <w:vAlign w:val="center"/>
          </w:tcPr>
          <w:p>
            <w:pPr>
              <w:tabs>
                <w:tab w:val="left" w:pos="0"/>
              </w:tabs>
              <w:jc w:val="center"/>
              <w:rPr>
                <w:rFonts w:hint="eastAsia" w:ascii="宋体" w:hAnsi="宋体" w:eastAsia="宋体" w:cs="宋体"/>
                <w:color w:val="auto"/>
              </w:rPr>
            </w:pPr>
            <w:r>
              <w:rPr>
                <w:rFonts w:hint="eastAsia" w:ascii="宋体" w:hAnsi="宋体" w:eastAsia="宋体" w:cs="宋体"/>
                <w:color w:val="auto"/>
              </w:rPr>
              <w:t>名称</w:t>
            </w:r>
          </w:p>
        </w:tc>
        <w:tc>
          <w:tcPr>
            <w:tcW w:w="1897" w:type="dxa"/>
            <w:noWrap/>
            <w:tcMar>
              <w:top w:w="15" w:type="dxa"/>
              <w:left w:w="15" w:type="dxa"/>
              <w:bottom w:w="0" w:type="dxa"/>
              <w:right w:w="15" w:type="dxa"/>
            </w:tcMar>
            <w:vAlign w:val="center"/>
          </w:tcPr>
          <w:p>
            <w:pPr>
              <w:tabs>
                <w:tab w:val="left" w:pos="0"/>
              </w:tabs>
              <w:jc w:val="center"/>
              <w:rPr>
                <w:rFonts w:hint="eastAsia" w:ascii="宋体" w:hAnsi="宋体" w:eastAsia="宋体" w:cs="宋体"/>
                <w:color w:val="auto"/>
              </w:rPr>
            </w:pPr>
            <w:r>
              <w:rPr>
                <w:rFonts w:hint="eastAsia" w:ascii="宋体" w:hAnsi="宋体" w:eastAsia="宋体" w:cs="宋体"/>
                <w:color w:val="auto"/>
              </w:rPr>
              <w:t>具体服务要求</w:t>
            </w:r>
          </w:p>
        </w:tc>
        <w:tc>
          <w:tcPr>
            <w:tcW w:w="781" w:type="dxa"/>
            <w:noWrap/>
            <w:tcMar>
              <w:top w:w="15" w:type="dxa"/>
              <w:left w:w="15" w:type="dxa"/>
              <w:bottom w:w="0" w:type="dxa"/>
              <w:right w:w="15" w:type="dxa"/>
            </w:tcMar>
            <w:vAlign w:val="center"/>
          </w:tcPr>
          <w:p>
            <w:pPr>
              <w:tabs>
                <w:tab w:val="left" w:pos="0"/>
              </w:tabs>
              <w:jc w:val="center"/>
              <w:rPr>
                <w:rFonts w:hint="eastAsia" w:ascii="宋体" w:hAnsi="宋体" w:eastAsia="宋体" w:cs="宋体"/>
                <w:color w:val="auto"/>
              </w:rPr>
            </w:pPr>
            <w:r>
              <w:rPr>
                <w:rFonts w:hint="eastAsia" w:ascii="宋体" w:hAnsi="宋体" w:eastAsia="宋体" w:cs="宋体"/>
                <w:color w:val="auto"/>
              </w:rPr>
              <w:t>单位</w:t>
            </w:r>
          </w:p>
        </w:tc>
        <w:tc>
          <w:tcPr>
            <w:tcW w:w="781" w:type="dxa"/>
            <w:noWrap/>
            <w:tcMar>
              <w:top w:w="15" w:type="dxa"/>
              <w:left w:w="15" w:type="dxa"/>
              <w:bottom w:w="0" w:type="dxa"/>
              <w:right w:w="15" w:type="dxa"/>
            </w:tcMar>
            <w:vAlign w:val="center"/>
          </w:tcPr>
          <w:p>
            <w:pPr>
              <w:tabs>
                <w:tab w:val="left" w:pos="0"/>
              </w:tabs>
              <w:jc w:val="center"/>
              <w:rPr>
                <w:rFonts w:hint="eastAsia" w:ascii="宋体" w:hAnsi="宋体" w:eastAsia="宋体" w:cs="宋体"/>
                <w:color w:val="auto"/>
              </w:rPr>
            </w:pPr>
            <w:r>
              <w:rPr>
                <w:rFonts w:hint="eastAsia" w:ascii="宋体" w:hAnsi="宋体" w:eastAsia="宋体" w:cs="宋体"/>
                <w:color w:val="auto"/>
              </w:rPr>
              <w:t>数量</w:t>
            </w:r>
          </w:p>
        </w:tc>
        <w:tc>
          <w:tcPr>
            <w:tcW w:w="1072" w:type="dxa"/>
            <w:noWrap/>
            <w:vAlign w:val="center"/>
          </w:tcPr>
          <w:p>
            <w:pPr>
              <w:tabs>
                <w:tab w:val="left" w:pos="0"/>
              </w:tabs>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633" w:type="dxa"/>
            <w:noWrap/>
            <w:tcMar>
              <w:top w:w="15" w:type="dxa"/>
              <w:left w:w="15" w:type="dxa"/>
              <w:bottom w:w="0" w:type="dxa"/>
              <w:right w:w="15" w:type="dxa"/>
            </w:tcMar>
            <w:vAlign w:val="center"/>
          </w:tcPr>
          <w:p>
            <w:pPr>
              <w:tabs>
                <w:tab w:val="left" w:pos="0"/>
              </w:tabs>
              <w:jc w:val="center"/>
              <w:rPr>
                <w:rFonts w:hint="eastAsia" w:ascii="宋体" w:hAnsi="宋体" w:eastAsia="宋体" w:cs="宋体"/>
                <w:color w:val="auto"/>
              </w:rPr>
            </w:pPr>
            <w:r>
              <w:rPr>
                <w:rFonts w:hint="eastAsia" w:ascii="宋体" w:hAnsi="宋体" w:eastAsia="宋体" w:cs="宋体"/>
                <w:color w:val="auto"/>
              </w:rPr>
              <w:t>1</w:t>
            </w:r>
          </w:p>
        </w:tc>
        <w:tc>
          <w:tcPr>
            <w:tcW w:w="3736" w:type="dxa"/>
            <w:noWrap/>
            <w:tcMar>
              <w:top w:w="15" w:type="dxa"/>
              <w:left w:w="15" w:type="dxa"/>
              <w:bottom w:w="0" w:type="dxa"/>
              <w:right w:w="15" w:type="dxa"/>
            </w:tcMar>
            <w:vAlign w:val="center"/>
          </w:tcPr>
          <w:p>
            <w:pPr>
              <w:jc w:val="center"/>
              <w:rPr>
                <w:rFonts w:hint="eastAsia" w:ascii="宋体" w:hAnsi="宋体" w:eastAsia="宋体" w:cs="宋体"/>
                <w:color w:val="auto"/>
              </w:rPr>
            </w:pPr>
            <w:r>
              <w:rPr>
                <w:rFonts w:hint="eastAsia" w:ascii="宋体" w:hAnsi="宋体" w:eastAsia="宋体" w:cs="宋体"/>
                <w:color w:val="auto"/>
                <w:spacing w:val="-6"/>
              </w:rPr>
              <w:t>202</w:t>
            </w:r>
            <w:r>
              <w:rPr>
                <w:rFonts w:hint="eastAsia" w:ascii="宋体" w:hAnsi="宋体" w:eastAsia="宋体" w:cs="宋体"/>
                <w:color w:val="auto"/>
                <w:spacing w:val="-6"/>
                <w:lang w:val="en-US" w:eastAsia="zh-CN"/>
              </w:rPr>
              <w:t>4</w:t>
            </w:r>
            <w:r>
              <w:rPr>
                <w:rFonts w:hint="eastAsia" w:ascii="宋体" w:hAnsi="宋体" w:eastAsia="宋体" w:cs="宋体"/>
                <w:color w:val="auto"/>
                <w:spacing w:val="-6"/>
              </w:rPr>
              <w:t>年萧山区山塘水库白蚁防治项目</w:t>
            </w:r>
          </w:p>
        </w:tc>
        <w:tc>
          <w:tcPr>
            <w:tcW w:w="1897" w:type="dxa"/>
            <w:noWrap/>
            <w:tcMar>
              <w:top w:w="15" w:type="dxa"/>
              <w:left w:w="15" w:type="dxa"/>
              <w:bottom w:w="0" w:type="dxa"/>
              <w:right w:w="15" w:type="dxa"/>
            </w:tcMar>
            <w:vAlign w:val="center"/>
          </w:tcPr>
          <w:p>
            <w:pPr>
              <w:tabs>
                <w:tab w:val="left" w:pos="0"/>
              </w:tabs>
              <w:jc w:val="center"/>
              <w:rPr>
                <w:rFonts w:hint="eastAsia" w:ascii="宋体" w:hAnsi="宋体" w:eastAsia="宋体" w:cs="宋体"/>
                <w:color w:val="auto"/>
              </w:rPr>
            </w:pPr>
            <w:r>
              <w:rPr>
                <w:rFonts w:hint="eastAsia" w:ascii="宋体" w:hAnsi="宋体" w:eastAsia="宋体" w:cs="宋体"/>
                <w:color w:val="auto"/>
              </w:rPr>
              <w:t>详见招标需求</w:t>
            </w:r>
          </w:p>
        </w:tc>
        <w:tc>
          <w:tcPr>
            <w:tcW w:w="781" w:type="dxa"/>
            <w:noWrap/>
            <w:tcMar>
              <w:top w:w="15" w:type="dxa"/>
              <w:left w:w="15" w:type="dxa"/>
              <w:bottom w:w="0" w:type="dxa"/>
              <w:right w:w="15" w:type="dxa"/>
            </w:tcMar>
            <w:vAlign w:val="center"/>
          </w:tcPr>
          <w:p>
            <w:pPr>
              <w:tabs>
                <w:tab w:val="left" w:pos="0"/>
              </w:tabs>
              <w:jc w:val="center"/>
              <w:rPr>
                <w:rFonts w:hint="eastAsia" w:ascii="宋体" w:hAnsi="宋体" w:eastAsia="宋体" w:cs="宋体"/>
                <w:color w:val="auto"/>
              </w:rPr>
            </w:pPr>
            <w:r>
              <w:rPr>
                <w:rFonts w:hint="eastAsia" w:ascii="宋体" w:hAnsi="宋体" w:eastAsia="宋体" w:cs="宋体"/>
                <w:color w:val="auto"/>
              </w:rPr>
              <w:t xml:space="preserve">项 </w:t>
            </w:r>
          </w:p>
        </w:tc>
        <w:tc>
          <w:tcPr>
            <w:tcW w:w="781" w:type="dxa"/>
            <w:noWrap/>
            <w:tcMar>
              <w:top w:w="15" w:type="dxa"/>
              <w:left w:w="15" w:type="dxa"/>
              <w:bottom w:w="0" w:type="dxa"/>
              <w:right w:w="15" w:type="dxa"/>
            </w:tcMar>
            <w:vAlign w:val="center"/>
          </w:tcPr>
          <w:p>
            <w:pPr>
              <w:tabs>
                <w:tab w:val="left" w:pos="0"/>
              </w:tabs>
              <w:jc w:val="center"/>
              <w:rPr>
                <w:rFonts w:hint="eastAsia" w:ascii="宋体" w:hAnsi="宋体" w:eastAsia="宋体" w:cs="宋体"/>
                <w:color w:val="auto"/>
              </w:rPr>
            </w:pPr>
            <w:r>
              <w:rPr>
                <w:rFonts w:hint="eastAsia" w:ascii="宋体" w:hAnsi="宋体" w:eastAsia="宋体" w:cs="宋体"/>
                <w:color w:val="auto"/>
              </w:rPr>
              <w:t xml:space="preserve">1 </w:t>
            </w:r>
          </w:p>
        </w:tc>
        <w:tc>
          <w:tcPr>
            <w:tcW w:w="1072" w:type="dxa"/>
            <w:noWrap/>
            <w:vAlign w:val="center"/>
          </w:tcPr>
          <w:p>
            <w:pPr>
              <w:tabs>
                <w:tab w:val="left" w:pos="0"/>
              </w:tabs>
              <w:jc w:val="center"/>
              <w:rPr>
                <w:rFonts w:hint="eastAsia" w:ascii="宋体" w:hAnsi="宋体" w:eastAsia="宋体" w:cs="宋体"/>
                <w:color w:val="auto"/>
                <w:lang w:val="en-US" w:eastAsia="zh-CN"/>
              </w:rPr>
            </w:pPr>
            <w:r>
              <w:rPr>
                <w:rFonts w:hint="eastAsia" w:ascii="宋体" w:hAnsi="宋体" w:eastAsia="宋体" w:cs="宋体"/>
                <w:color w:val="auto"/>
                <w:lang w:eastAsia="zh-CN"/>
              </w:rPr>
              <w:t>防治期：</w:t>
            </w:r>
            <w:r>
              <w:rPr>
                <w:rFonts w:hint="eastAsia" w:ascii="宋体" w:hAnsi="宋体" w:cs="宋体"/>
                <w:color w:val="auto"/>
                <w:lang w:val="en-US" w:eastAsia="zh-CN"/>
              </w:rPr>
              <w:t>1</w:t>
            </w:r>
            <w:r>
              <w:rPr>
                <w:rFonts w:hint="eastAsia" w:ascii="宋体" w:hAnsi="宋体" w:eastAsia="宋体" w:cs="宋体"/>
                <w:color w:val="auto"/>
                <w:lang w:val="en-US" w:eastAsia="zh-CN"/>
              </w:rPr>
              <w:t>年</w:t>
            </w:r>
          </w:p>
        </w:tc>
      </w:tr>
    </w:tbl>
    <w:p>
      <w:pPr>
        <w:spacing w:line="360" w:lineRule="auto"/>
        <w:jc w:val="center"/>
        <w:rPr>
          <w:rFonts w:hint="eastAsia" w:ascii="宋体" w:hAnsi="宋体" w:eastAsia="宋体" w:cs="宋体"/>
          <w:b/>
          <w:bCs/>
          <w:color w:val="auto"/>
        </w:rPr>
      </w:pPr>
    </w:p>
    <w:p>
      <w:pPr>
        <w:spacing w:line="360" w:lineRule="auto"/>
        <w:jc w:val="center"/>
        <w:rPr>
          <w:rFonts w:hint="eastAsia" w:ascii="宋体" w:hAnsi="宋体" w:eastAsia="宋体" w:cs="宋体"/>
          <w:b/>
          <w:color w:val="auto"/>
        </w:rPr>
      </w:pPr>
      <w:r>
        <w:rPr>
          <w:rFonts w:hint="eastAsia" w:ascii="宋体" w:hAnsi="宋体" w:eastAsia="宋体" w:cs="宋体"/>
          <w:b/>
          <w:bCs/>
          <w:color w:val="auto"/>
        </w:rPr>
        <w:t>二、招标需求</w:t>
      </w:r>
    </w:p>
    <w:p>
      <w:pPr>
        <w:pStyle w:val="488"/>
        <w:ind w:firstLine="411" w:firstLineChars="196"/>
        <w:rPr>
          <w:rFonts w:hint="eastAsia" w:ascii="宋体" w:hAnsi="宋体" w:eastAsia="宋体" w:cs="宋体"/>
          <w:color w:val="auto"/>
        </w:rPr>
      </w:pPr>
      <w:r>
        <w:rPr>
          <w:rFonts w:hint="eastAsia" w:ascii="宋体" w:hAnsi="宋体" w:eastAsia="宋体" w:cs="宋体"/>
          <w:color w:val="auto"/>
        </w:rPr>
        <w:t>一、工程概况</w:t>
      </w:r>
    </w:p>
    <w:p>
      <w:pPr>
        <w:pStyle w:val="488"/>
        <w:ind w:firstLine="420" w:firstLineChars="200"/>
        <w:rPr>
          <w:rFonts w:hint="eastAsia" w:ascii="宋体" w:hAnsi="宋体" w:eastAsia="宋体" w:cs="宋体"/>
          <w:color w:val="auto"/>
        </w:rPr>
      </w:pPr>
      <w:r>
        <w:rPr>
          <w:rFonts w:hint="eastAsia" w:ascii="宋体" w:hAnsi="宋体" w:eastAsia="宋体" w:cs="宋体"/>
          <w:color w:val="auto"/>
        </w:rPr>
        <w:t>萧山区山塘水库概况如下：</w:t>
      </w:r>
    </w:p>
    <w:tbl>
      <w:tblPr>
        <w:tblStyle w:val="69"/>
        <w:tblW w:w="8364" w:type="dxa"/>
        <w:jc w:val="center"/>
        <w:tblLayout w:type="autofit"/>
        <w:tblCellMar>
          <w:top w:w="0" w:type="dxa"/>
          <w:left w:w="108" w:type="dxa"/>
          <w:bottom w:w="0" w:type="dxa"/>
          <w:right w:w="108" w:type="dxa"/>
        </w:tblCellMar>
      </w:tblPr>
      <w:tblGrid>
        <w:gridCol w:w="709"/>
        <w:gridCol w:w="2410"/>
        <w:gridCol w:w="2835"/>
        <w:gridCol w:w="2410"/>
      </w:tblGrid>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410" w:type="dxa"/>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2835" w:type="dxa"/>
            <w:tcBorders>
              <w:top w:val="single" w:color="auto" w:sz="4" w:space="0"/>
              <w:left w:val="single" w:color="auto" w:sz="4" w:space="0"/>
              <w:bottom w:val="single" w:color="000000"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所在镇村</w:t>
            </w:r>
          </w:p>
        </w:tc>
        <w:tc>
          <w:tcPr>
            <w:tcW w:w="2410" w:type="dxa"/>
            <w:tcBorders>
              <w:top w:val="single" w:color="auto" w:sz="4" w:space="0"/>
              <w:left w:val="single" w:color="auto" w:sz="4" w:space="0"/>
              <w:bottom w:val="single" w:color="000000"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总库容（万方）</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东纪坞水库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楼塔楼家塔</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74</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2</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上坞水库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楼塔楼英</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17.822</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3</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大塘坞水库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河上里都</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15.68</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4</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朱家坞水库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河上里都</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15.95</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5</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力坑坞水库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河上众联</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29.7</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6</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大坞水库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河上璇山下</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26.19</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7</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响天岭水库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戴村方溪</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25</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8</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东方红水库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进化欢潭</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22.44</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9</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盛家坞水库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进化天乐</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39.9</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10</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金竹岭水库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进化吉山</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17.61</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11</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坎坡坞水库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进化吉山</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15.14</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12</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黄石垅水库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义桥北坞</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139.96</w:t>
            </w:r>
          </w:p>
        </w:tc>
      </w:tr>
      <w:tr>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13</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东坞水库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所前越山</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35.95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佳山坞山塘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楼塔大同一村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9.22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横坑山塘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楼塔大同一村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8.62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大源溪山塘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楼塔大同一村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4.24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水壶湾山塘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楼塔大同一村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1.24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苎麻湾山塘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楼塔大同二村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4.73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安湾山塘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楼塔大同二村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20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横岭顶山塘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楼塔大同二村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1.67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21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岩岭脚山塘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楼塔大同二村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1.55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22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挑盐岭山塘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楼塔大同二村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1.43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23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陈斯岭山塘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楼塔大同二村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1.42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24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毛山脚山塘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楼塔大同二村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2.93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25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夏坞山塘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楼塔大同三村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6.41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26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烂沟湾山塘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楼塔大同三村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3.45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27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大塘湾山塘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楼塔大同三村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1.59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28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田房山塘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楼塔大同三村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4.94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29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钟岭山塘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戴村佛山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13.45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30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东王山山塘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楼塔大同三村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1.46</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31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前塘坞山塘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楼塔大同二村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1.98</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32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深深塘山塘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楼塔大同二村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3.15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33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茶山湾山塘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楼塔大同一村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1.67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34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堰潭山塘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楼塔大同一村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35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纸槽坞山塘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楼塔管村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1.89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36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管大坞山塘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楼塔管村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1.61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37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五岭山塘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楼塔萧南</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3.09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38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淮坞山塘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楼塔雀山岭</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3.25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39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庙后山塘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楼塔大黄岭</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2.17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40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塘岗岭山塘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楼塔雪湾桥头</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3.48</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41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杭岗坞山塘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楼塔雀山岭</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1.42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42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磨刀坑山塘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楼塔雀山岭</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1.47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43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俞家湾山塘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楼塔大黄岭</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1.92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44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泗岭山塘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楼塔萧南</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1.81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45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淡竹坞山塘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楼塔雪湾桥头</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2.03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46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高坞山塘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楼塔楼家塔村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0.68</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47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岩坞山塘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楼塔岩山村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0.89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48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王岭山塘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楼塔大黄岭村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1.02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49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瓦雪湾山塘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楼塔楼英村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0.59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50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田鸡湾山塘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楼塔岩上村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0.42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51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纸如湾山塘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楼塔大同三村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1.15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52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泰山湾山塘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楼塔楼英村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0.72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53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方家坞山塘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楼塔大黄岭村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1.02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54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乌龟山头山塘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楼塔楼家塔村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0.77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55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东升上山田山塘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楼塔萧南村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0.89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56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张家湾山塘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楼塔管村村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57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苍坞山塘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河上三联</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8.66</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58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泉水坞山塘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河上东山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8.7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59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任家坞山塘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河上凤坞</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7.44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60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老岭山塘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河上璇山下</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5.34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61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上坞山塘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河上东山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4.66</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62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鲍坞山塘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河上东山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4.05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63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烂田塘山塘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河上里都</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3.12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64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文安山山塘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河上联发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3.06</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65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小毛坞山塘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河上三联</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3.28</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66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山坞山塘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河上联发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2.97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67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白峰坞山塘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河上凤坞</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2.63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68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泉水山塘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河上众联</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2.37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69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陈家坞山塘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河上东山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2.56</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70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毛山岙山塘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河上东山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2.71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71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18"/>
                <w:szCs w:val="18"/>
              </w:rPr>
            </w:pPr>
            <w:r>
              <w:rPr>
                <w:rFonts w:hint="eastAsia" w:ascii="宋体" w:hAnsi="宋体" w:eastAsia="宋体" w:cs="宋体"/>
                <w:color w:val="auto"/>
                <w:sz w:val="18"/>
                <w:szCs w:val="18"/>
              </w:rPr>
              <w:t>乌龟山脚</w:t>
            </w:r>
            <w:r>
              <w:rPr>
                <w:rFonts w:hint="eastAsia" w:ascii="宋体" w:hAnsi="宋体" w:eastAsia="宋体" w:cs="宋体"/>
                <w:color w:val="auto"/>
                <w:sz w:val="21"/>
                <w:szCs w:val="21"/>
              </w:rPr>
              <w:t>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河上伟民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2.15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72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里家湾山塘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河上东山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1.47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73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白水山塘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河上三联</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74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董槽湾山塘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河上溪头</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3.14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75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何马湾山塘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河上里都</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1.39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76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高窑岭山塘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河上里都</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1.54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77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杜宇山塘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河上紫东</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10.49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78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长堰山塘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河上里谢</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1.45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79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梓圩潭</w:t>
            </w:r>
            <w:r>
              <w:rPr>
                <w:rFonts w:hint="eastAsia" w:ascii="宋体" w:hAnsi="宋体" w:eastAsia="宋体" w:cs="宋体"/>
                <w:color w:val="auto"/>
                <w:sz w:val="21"/>
                <w:szCs w:val="21"/>
              </w:rPr>
              <w:t>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河上东山村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0.88</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80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毛湾山塘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河上东山村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0.67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81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里湾山塘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河上众联村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1.12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82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渔顺楼山塘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河上紫东村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1.92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83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彩岭下山塘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戴村半山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6.52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84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石滨坞山塘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戴村半山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5.86</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85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五亩池山塘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戴村半山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5.14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86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张宏岭山塘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戴村半山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4.18</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87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土沙岭山塘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戴村马谷</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3.74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88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刀尖坞山塘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戴村八都</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3.23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89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项坞山塘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戴村半山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6.53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90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大塘池山塘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戴村半山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2.77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91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前山山塘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戴村郁家山下</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2.19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92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仙人坞山塘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戴村半山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1.52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93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塘池山塘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戴村青山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6.97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94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杨家坞山塘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戴村沈村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12.02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95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小毛竹园山塘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戴村青山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3.78</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96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陈家坞山塘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戴村佛山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1.84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97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上坞山塘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戴村青山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2.04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98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张家堰山塘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戴村枫桥</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1.85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99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鹅坞山塘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戴村方溪</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1.72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100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顾家溪后山</w:t>
            </w:r>
            <w:r>
              <w:rPr>
                <w:rFonts w:hint="eastAsia" w:ascii="宋体" w:hAnsi="宋体" w:eastAsia="宋体" w:cs="宋体"/>
                <w:color w:val="auto"/>
                <w:sz w:val="21"/>
                <w:szCs w:val="21"/>
              </w:rPr>
              <w:t>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戴村顾家溪村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0.6</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101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枫桥后山山塘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戴村枫桥村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0.91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102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丁刀坞山塘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戴村枫桥村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0.46</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103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塘头山塘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戴村佛山村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1.41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104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小山塘</w:t>
            </w:r>
            <w:r>
              <w:rPr>
                <w:rFonts w:hint="eastAsia" w:ascii="宋体" w:hAnsi="宋体" w:eastAsia="宋体" w:cs="宋体"/>
                <w:color w:val="auto"/>
                <w:sz w:val="21"/>
                <w:szCs w:val="21"/>
              </w:rPr>
              <w:t>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戴村八都村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105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南坞山塘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戴村青山村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0.89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106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李家坞山塘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戴村半山村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0.91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107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勤工山塘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戴村顾家溪村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0.87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108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东坞山塘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进化欢潭</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7.13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109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岳驻山塘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进化岳联</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7.93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110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红庵山塘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进化涂川</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1.99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111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黄草岭山塘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进化祝家</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3.89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112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牛坞岭山塘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进化三浦</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2.04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113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慈姑岭山塘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进化祝家</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114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资牛坞山塘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进化三浦</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1.98</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115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万寿庵山塘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进化平阳</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7.25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116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大坞山塘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进化裘家坞</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7.38</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117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欢潭岭山塘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进化太平桥</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7.58</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118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青湾山塘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进化平阳</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5.33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119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上山岭山塘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进化华丰</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5.52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120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小岩坞山塘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进化华家垫</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4.36</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121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黄建龙山塘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进化华家垫</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122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南头坞山塘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进化东山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5.66</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123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尖湾山塘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进化吉山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5.06</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124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斗潭岙山塘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进化华丰</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4.61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125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小山岭山塘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进化太平桥</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2.63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126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黄支岭山塘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进化太平桥</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3.04</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127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大湾山塘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进化平阳</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2.52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128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黄果岙山塘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进化华丰</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1.71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129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韩家坞山塘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进化太平桥</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1.67</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130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青湾山塘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进化诸坞</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1.99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131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螽斯岭山塘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进化东山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4.32</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132</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泥桥头山塘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进化新江村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1.49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133</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石门王山塘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进化华锋村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1.45</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134</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2"/>
                <w:szCs w:val="22"/>
              </w:rPr>
            </w:pPr>
            <w:r>
              <w:rPr>
                <w:rFonts w:hint="eastAsia" w:ascii="宋体" w:hAnsi="宋体" w:eastAsia="宋体" w:cs="宋体"/>
                <w:color w:val="auto"/>
                <w:sz w:val="22"/>
                <w:szCs w:val="22"/>
              </w:rPr>
              <w:t>慈姑裘山塘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进化云飞村</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1.28</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135</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笠帽坞山塘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义桥七里店</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10.1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136</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力坞山塘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义桥昇光</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5.11</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137</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南坞庄山塘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义桥昇光</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3.89</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138</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东坞山塘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义桥昇光</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139</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下曹坞山塘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浦阳曹坞</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4.63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140</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关王岭山塘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浦阳灵山</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tc>
      </w:tr>
      <w:tr>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pPr>
              <w:spacing w:after="0"/>
              <w:jc w:val="center"/>
              <w:rPr>
                <w:rFonts w:hint="eastAsia" w:ascii="宋体" w:hAnsi="宋体" w:eastAsia="宋体" w:cs="宋体"/>
                <w:color w:val="auto"/>
                <w:sz w:val="21"/>
                <w:szCs w:val="21"/>
              </w:rPr>
            </w:pPr>
            <w:r>
              <w:rPr>
                <w:rFonts w:hint="eastAsia" w:ascii="宋体" w:hAnsi="宋体" w:eastAsia="宋体" w:cs="宋体"/>
                <w:color w:val="auto"/>
              </w:rPr>
              <w:t>141</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茅草坞山塘</w:t>
            </w:r>
          </w:p>
        </w:tc>
        <w:tc>
          <w:tcPr>
            <w:tcW w:w="2835"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浦阳十三房</w:t>
            </w:r>
          </w:p>
        </w:tc>
        <w:tc>
          <w:tcPr>
            <w:tcW w:w="2410" w:type="dxa"/>
            <w:tcBorders>
              <w:top w:val="nil"/>
              <w:left w:val="nil"/>
              <w:bottom w:val="single" w:color="auto" w:sz="4" w:space="0"/>
              <w:right w:val="single" w:color="auto" w:sz="4" w:space="0"/>
            </w:tcBorders>
            <w:shd w:val="clear" w:color="auto" w:fill="auto"/>
            <w:vAlign w:val="center"/>
          </w:tcPr>
          <w:p>
            <w:pPr>
              <w:spacing w:after="0"/>
              <w:jc w:val="center"/>
              <w:rPr>
                <w:rFonts w:hint="eastAsia" w:ascii="宋体" w:hAnsi="宋体" w:eastAsia="宋体" w:cs="宋体"/>
                <w:color w:val="auto"/>
                <w:sz w:val="21"/>
                <w:szCs w:val="21"/>
              </w:rPr>
            </w:pPr>
            <w:r>
              <w:rPr>
                <w:rFonts w:hint="eastAsia" w:ascii="宋体" w:hAnsi="宋体" w:eastAsia="宋体" w:cs="宋体"/>
                <w:color w:val="auto"/>
                <w:sz w:val="21"/>
                <w:szCs w:val="21"/>
              </w:rPr>
              <w:t>1.23</w:t>
            </w:r>
          </w:p>
        </w:tc>
      </w:tr>
    </w:tbl>
    <w:p>
      <w:pPr>
        <w:pStyle w:val="488"/>
        <w:jc w:val="both"/>
        <w:rPr>
          <w:rFonts w:hint="eastAsia" w:ascii="宋体" w:hAnsi="宋体" w:eastAsia="宋体" w:cs="宋体"/>
          <w:color w:val="auto"/>
        </w:rPr>
      </w:pPr>
    </w:p>
    <w:p>
      <w:pPr>
        <w:pStyle w:val="263"/>
        <w:numPr>
          <w:ilvl w:val="0"/>
          <w:numId w:val="0"/>
        </w:numPr>
        <w:spacing w:line="360" w:lineRule="auto"/>
        <w:ind w:leftChars="0"/>
        <w:rPr>
          <w:rFonts w:hint="eastAsia" w:ascii="宋体" w:hAnsi="宋体" w:eastAsia="宋体" w:cs="宋体"/>
          <w:color w:val="auto"/>
          <w:sz w:val="28"/>
          <w:szCs w:val="28"/>
          <w:highlight w:val="none"/>
        </w:rPr>
      </w:pPr>
      <w:r>
        <w:rPr>
          <w:rFonts w:hint="eastAsia" w:ascii="宋体" w:hAnsi="宋体" w:eastAsia="宋体" w:cs="宋体"/>
          <w:b/>
          <w:color w:val="auto"/>
          <w:highlight w:val="none"/>
        </w:rPr>
        <w:t>（一）技术需求</w:t>
      </w:r>
    </w:p>
    <w:p>
      <w:pPr>
        <w:adjustRightInd/>
        <w:spacing w:line="24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bCs/>
          <w:color w:val="auto"/>
          <w:sz w:val="24"/>
          <w:highlight w:val="none"/>
          <w:lang w:eastAsia="zh-CN"/>
        </w:rPr>
        <w:t>服务目标</w:t>
      </w:r>
    </w:p>
    <w:p>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经监测灭治，杜绝山塘水库工程上的白蚁，并将管理范围内的白蚁密度控制在低水平之下，基本控制蚁害，不发生因蚁害引发的对山塘水库安全运行的危害；</w:t>
      </w:r>
    </w:p>
    <w:p>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对蚁害严重的堤塘，服务单位配合采购人拿出整治方案完成整治。(整治费用另计)。</w:t>
      </w:r>
    </w:p>
    <w:p>
      <w:pPr>
        <w:pStyle w:val="62"/>
        <w:numPr>
          <w:ilvl w:val="0"/>
          <w:numId w:val="0"/>
        </w:numPr>
        <w:spacing w:line="360" w:lineRule="auto"/>
        <w:ind w:left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1.2服务内容</w:t>
      </w:r>
    </w:p>
    <w:p>
      <w:pPr>
        <w:tabs>
          <w:tab w:val="left" w:pos="0"/>
        </w:tabs>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rPr>
        <w:t>包含</w:t>
      </w:r>
      <w:r>
        <w:rPr>
          <w:rFonts w:hint="eastAsia" w:ascii="宋体" w:hAnsi="宋体" w:eastAsia="宋体" w:cs="宋体"/>
          <w:color w:val="auto"/>
          <w:lang w:eastAsia="zh-CN"/>
        </w:rPr>
        <w:t>以上</w:t>
      </w:r>
      <w:r>
        <w:rPr>
          <w:rFonts w:hint="eastAsia" w:ascii="宋体" w:hAnsi="宋体" w:eastAsia="宋体" w:cs="宋体"/>
          <w:color w:val="auto"/>
        </w:rPr>
        <w:t>请单所列的141座山塘水库的白蚁防治</w:t>
      </w:r>
      <w:r>
        <w:rPr>
          <w:rFonts w:hint="eastAsia" w:ascii="宋体" w:hAnsi="宋体" w:eastAsia="宋体" w:cs="宋体"/>
          <w:b w:val="0"/>
          <w:bCs w:val="0"/>
          <w:color w:val="auto"/>
          <w:sz w:val="24"/>
          <w:highlight w:val="none"/>
          <w:lang w:val="en-US" w:eastAsia="zh-CN"/>
        </w:rPr>
        <w:t>和监测灭治处理等工作。防治</w:t>
      </w:r>
      <w:r>
        <w:rPr>
          <w:rFonts w:hint="eastAsia" w:ascii="宋体" w:hAnsi="宋体" w:eastAsia="宋体" w:cs="宋体"/>
          <w:color w:val="auto"/>
          <w:sz w:val="24"/>
          <w:lang w:val="en-US" w:eastAsia="zh-CN"/>
        </w:rPr>
        <w:t>期间应根据白蚁生长特性，及时进行检查有无白蚁孳生情况，安装智能白蚁监测系统、检查已安装的监测装置、更换补充监测装置及引诱桩、埋设诱杀包、喷施灭蚁粉剂等防治措施、设施等。每年检查防治次数不得少于2次，白蚁活动高发期为每年的4-6月、9-11月两个季度，每个季度各进行1次。确保无白蚁孳生繁殖。</w:t>
      </w:r>
    </w:p>
    <w:p>
      <w:pPr>
        <w:pStyle w:val="62"/>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全区</w:t>
      </w:r>
      <w:r>
        <w:rPr>
          <w:rFonts w:hint="eastAsia" w:ascii="宋体" w:hAnsi="宋体" w:eastAsia="宋体" w:cs="宋体"/>
          <w:b w:val="0"/>
          <w:bCs w:val="0"/>
          <w:color w:val="auto"/>
          <w:sz w:val="24"/>
          <w:highlight w:val="none"/>
          <w:lang w:val="en-US" w:eastAsia="zh-CN"/>
        </w:rPr>
        <w:t>13座</w:t>
      </w:r>
      <w:r>
        <w:rPr>
          <w:rFonts w:hint="eastAsia" w:ascii="宋体" w:hAnsi="宋体" w:eastAsia="宋体" w:cs="宋体"/>
          <w:b w:val="0"/>
          <w:bCs w:val="0"/>
          <w:color w:val="auto"/>
          <w:sz w:val="24"/>
          <w:highlight w:val="none"/>
          <w:lang w:eastAsia="zh-CN"/>
        </w:rPr>
        <w:t>小型水库</w:t>
      </w:r>
      <w:r>
        <w:rPr>
          <w:rFonts w:hint="eastAsia" w:ascii="宋体" w:hAnsi="宋体" w:cs="宋体"/>
          <w:b w:val="0"/>
          <w:bCs w:val="0"/>
          <w:color w:val="auto"/>
          <w:sz w:val="24"/>
          <w:highlight w:val="none"/>
          <w:lang w:eastAsia="zh-CN"/>
        </w:rPr>
        <w:t>需</w:t>
      </w:r>
      <w:r>
        <w:rPr>
          <w:rFonts w:hint="eastAsia" w:ascii="宋体" w:hAnsi="宋体" w:eastAsia="宋体" w:cs="宋体"/>
          <w:color w:val="auto"/>
          <w:kern w:val="0"/>
          <w:sz w:val="24"/>
          <w:highlight w:val="none"/>
          <w:lang w:eastAsia="zh-CN"/>
        </w:rPr>
        <w:t>采用环保、无害的白蚁生态防治干扰技术</w:t>
      </w:r>
      <w:r>
        <w:rPr>
          <w:rFonts w:hint="eastAsia" w:ascii="宋体" w:hAnsi="宋体" w:eastAsia="宋体" w:cs="宋体"/>
          <w:b w:val="0"/>
          <w:bCs w:val="0"/>
          <w:color w:val="auto"/>
          <w:sz w:val="24"/>
          <w:highlight w:val="none"/>
          <w:lang w:eastAsia="zh-CN"/>
        </w:rPr>
        <w:t>，监测白蚁活动轨迹，定期对智能白蚁监测系统进行维护、易损件更换及网络维护。</w:t>
      </w:r>
    </w:p>
    <w:p>
      <w:pPr>
        <w:pStyle w:val="4"/>
        <w:rPr>
          <w:rFonts w:hint="eastAsia" w:ascii="宋体" w:hAnsi="宋体" w:eastAsia="宋体" w:cs="宋体"/>
          <w:color w:val="auto"/>
          <w:lang w:eastAsia="zh-CN"/>
        </w:rPr>
      </w:pPr>
      <w:r>
        <w:rPr>
          <w:rFonts w:hint="eastAsia" w:ascii="宋体" w:hAnsi="宋体" w:eastAsia="宋体" w:cs="宋体"/>
          <w:b w:val="0"/>
          <w:bCs w:val="0"/>
          <w:color w:val="auto"/>
          <w:sz w:val="24"/>
          <w:highlight w:val="none"/>
          <w:lang w:eastAsia="zh-CN"/>
        </w:rPr>
        <w:t>　　服务单位应配合采购人进行白蚁防治相关内容的业务培训及示范点设立和有关宣传工作。</w:t>
      </w:r>
    </w:p>
    <w:p>
      <w:pPr>
        <w:pStyle w:val="62"/>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1.3服务要求</w:t>
      </w:r>
    </w:p>
    <w:p>
      <w:pPr>
        <w:pStyle w:val="62"/>
        <w:numPr>
          <w:ilvl w:val="0"/>
          <w:numId w:val="3"/>
        </w:num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质量标准</w:t>
      </w:r>
    </w:p>
    <w:p>
      <w:pPr>
        <w:pStyle w:val="62"/>
        <w:numPr>
          <w:ilvl w:val="-1"/>
          <w:numId w:val="0"/>
        </w:num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参照杭州市《堤坝白蚁防治管理规范》、《建设工程白蚁危害评定标准》GB/T51253-2017,《土石坝养护修理规程》SL210-2015等标准。</w:t>
      </w:r>
    </w:p>
    <w:p>
      <w:pPr>
        <w:pStyle w:val="62"/>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 xml:space="preserve">2、防治期内的目标和任务： </w:t>
      </w:r>
    </w:p>
    <w:p>
      <w:pPr>
        <w:pStyle w:val="62"/>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（1）防治目标：坚持 “先治理，后预防，防治结合的防治方针，制定科学的治理、防范措施，有效消除白蚁对大坝的危害。</w:t>
      </w:r>
    </w:p>
    <w:p>
      <w:pPr>
        <w:pStyle w:val="62"/>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（2）人员要求：</w:t>
      </w:r>
      <w:r>
        <w:rPr>
          <w:rFonts w:hint="eastAsia" w:ascii="宋体" w:hAnsi="宋体" w:eastAsia="宋体" w:cs="宋体"/>
          <w:b w:val="0"/>
          <w:bCs w:val="0"/>
          <w:color w:val="auto"/>
          <w:sz w:val="24"/>
          <w:highlight w:val="none"/>
          <w:lang w:val="en-US" w:eastAsia="zh-CN"/>
        </w:rPr>
        <w:t>服务单位需设立不少于6人的项目组，其中包含项目负责人1名和工作联系人1名。由于项目涉及中央资金，按照有关要求落实专人做好服务期间的台账，包括材料整理入库及各类报表的填报、上级部门的抽检工作。</w:t>
      </w:r>
    </w:p>
    <w:p>
      <w:pPr>
        <w:pStyle w:val="62"/>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lang w:eastAsia="zh-CN"/>
        </w:rPr>
        <w:t>（3）普查要求：</w:t>
      </w:r>
      <w:r>
        <w:rPr>
          <w:rFonts w:hint="eastAsia" w:ascii="宋体" w:hAnsi="宋体" w:eastAsia="宋体" w:cs="宋体"/>
          <w:b w:val="0"/>
          <w:bCs w:val="0"/>
          <w:color w:val="auto"/>
          <w:sz w:val="24"/>
          <w:highlight w:val="none"/>
          <w:lang w:val="en-US" w:eastAsia="zh-CN"/>
        </w:rPr>
        <w:t>服务单位经对采购人所管辖的水库山塘进行白蚁危害情况勘察，结合白蚁的生物特性，制定治理方案。</w:t>
      </w:r>
    </w:p>
    <w:p>
      <w:pPr>
        <w:pStyle w:val="62"/>
        <w:tabs>
          <w:tab w:val="left" w:pos="0"/>
        </w:tabs>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4）施工要求：结合普查情况按照相关要求，负责白蚁防治项目的统筹协调工作，并对防治工作进行部署检查和督办，有效推进防治工作。施工过程中发现某座水库或山塘白蚁危害较为严重的，需要通过灌浆处理的，应将该座山塘（水库）白蚁危害情况形成文字材料制定相应的防治方案，经采购人审核同意后才能进场施工。</w:t>
      </w:r>
    </w:p>
    <w:p>
      <w:pPr>
        <w:pStyle w:val="62"/>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）工作要求：</w:t>
      </w:r>
      <w:r>
        <w:rPr>
          <w:rFonts w:hint="eastAsia" w:ascii="宋体" w:hAnsi="宋体" w:eastAsia="宋体" w:cs="宋体"/>
          <w:b w:val="0"/>
          <w:bCs w:val="0"/>
          <w:color w:val="auto"/>
          <w:sz w:val="24"/>
          <w:highlight w:val="none"/>
          <w:lang w:val="en-US" w:eastAsia="zh-CN"/>
        </w:rPr>
        <w:t>由服务单位提供人员、技术和药物等对水库山塘进行白蚁预防和监测灭治处理。</w:t>
      </w:r>
      <w:r>
        <w:rPr>
          <w:rFonts w:hint="eastAsia" w:ascii="宋体" w:hAnsi="宋体" w:eastAsia="宋体" w:cs="宋体"/>
          <w:color w:val="auto"/>
          <w:kern w:val="0"/>
          <w:sz w:val="24"/>
          <w:highlight w:val="none"/>
          <w:lang w:eastAsia="zh-CN"/>
        </w:rPr>
        <w:t>通过一年的防治施工后控制山塘水库管理范围内基本无蚁害。加强部门配合，落实防治责任。</w:t>
      </w:r>
    </w:p>
    <w:p>
      <w:pPr>
        <w:pStyle w:val="62"/>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（5）技术要求：为降低药剂</w:t>
      </w:r>
      <w:r>
        <w:rPr>
          <w:rFonts w:hint="eastAsia" w:ascii="宋体" w:hAnsi="宋体" w:cs="宋体"/>
          <w:color w:val="auto"/>
          <w:kern w:val="0"/>
          <w:sz w:val="24"/>
          <w:highlight w:val="none"/>
          <w:lang w:eastAsia="zh-CN"/>
        </w:rPr>
        <w:t>对</w:t>
      </w:r>
      <w:r>
        <w:rPr>
          <w:rFonts w:hint="eastAsia" w:ascii="宋体" w:hAnsi="宋体" w:eastAsia="宋体" w:cs="宋体"/>
          <w:color w:val="auto"/>
          <w:kern w:val="0"/>
          <w:sz w:val="24"/>
          <w:highlight w:val="none"/>
          <w:lang w:eastAsia="zh-CN"/>
        </w:rPr>
        <w:t>堤坝环境安全的风险，本项目</w:t>
      </w:r>
      <w:r>
        <w:rPr>
          <w:rFonts w:hint="eastAsia" w:ascii="宋体" w:hAnsi="宋体" w:cs="宋体"/>
          <w:color w:val="auto"/>
          <w:kern w:val="0"/>
          <w:sz w:val="24"/>
          <w:highlight w:val="none"/>
          <w:lang w:eastAsia="zh-CN"/>
        </w:rPr>
        <w:t>要求</w:t>
      </w:r>
      <w:r>
        <w:rPr>
          <w:rFonts w:hint="eastAsia" w:ascii="宋体" w:hAnsi="宋体" w:cs="宋体"/>
          <w:color w:val="auto"/>
          <w:kern w:val="0"/>
          <w:sz w:val="24"/>
          <w:highlight w:val="none"/>
          <w:lang w:val="en-US" w:eastAsia="zh-CN"/>
        </w:rPr>
        <w:t>13座水库</w:t>
      </w:r>
      <w:r>
        <w:rPr>
          <w:rFonts w:hint="eastAsia" w:ascii="宋体" w:hAnsi="宋体" w:eastAsia="宋体" w:cs="宋体"/>
          <w:color w:val="auto"/>
          <w:kern w:val="0"/>
          <w:sz w:val="24"/>
          <w:highlight w:val="none"/>
          <w:lang w:eastAsia="zh-CN"/>
        </w:rPr>
        <w:t>应采用环保、无害的白蚁生态防治干扰技术，通过非药物方式控制白蚁种群数量。</w:t>
      </w:r>
    </w:p>
    <w:p>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）其他要求：出现紧急情况时，供应商必须派人第一时间赶到现场，排除白蚁险情。</w:t>
      </w:r>
    </w:p>
    <w:p>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智能监控系统主要参数</w:t>
      </w:r>
      <w:r>
        <w:rPr>
          <w:rFonts w:hint="eastAsia" w:ascii="宋体" w:hAnsi="宋体" w:eastAsia="宋体" w:cs="宋体"/>
          <w:b/>
          <w:bCs/>
          <w:color w:val="auto"/>
          <w:sz w:val="28"/>
          <w:szCs w:val="28"/>
          <w:highlight w:val="none"/>
          <w:lang w:eastAsia="zh-CN"/>
        </w:rPr>
        <w:t>（包含不仅限于）</w:t>
      </w:r>
      <w:r>
        <w:rPr>
          <w:rFonts w:hint="eastAsia" w:ascii="宋体" w:hAnsi="宋体" w:eastAsia="宋体" w:cs="宋体"/>
          <w:b/>
          <w:bCs/>
          <w:color w:val="auto"/>
          <w:sz w:val="28"/>
          <w:szCs w:val="28"/>
          <w:highlight w:val="none"/>
        </w:rPr>
        <w:t>：</w:t>
      </w:r>
    </w:p>
    <w:tbl>
      <w:tblPr>
        <w:tblStyle w:val="6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51" w:type="dxa"/>
            <w:noWrap w:val="0"/>
            <w:vAlign w:val="center"/>
          </w:tcPr>
          <w:p>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2126" w:type="dxa"/>
            <w:noWrap w:val="0"/>
            <w:vAlign w:val="center"/>
          </w:tcPr>
          <w:p>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p>
        </w:tc>
        <w:tc>
          <w:tcPr>
            <w:tcW w:w="6125" w:type="dxa"/>
            <w:noWrap w:val="0"/>
            <w:vAlign w:val="center"/>
          </w:tcPr>
          <w:p>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51" w:type="dxa"/>
            <w:noWrap w:val="0"/>
            <w:vAlign w:val="center"/>
          </w:tcPr>
          <w:p>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2126"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装置外壳</w:t>
            </w:r>
          </w:p>
        </w:tc>
        <w:tc>
          <w:tcPr>
            <w:tcW w:w="6125"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ABS抗老化环保材料，外表整体光洁，无裂痕，防水帽沿，防积水孔，壳体壁厚度≥3mm。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1" w:type="dxa"/>
            <w:noWrap w:val="0"/>
            <w:vAlign w:val="center"/>
          </w:tcPr>
          <w:p>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2126"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引诱饵料</w:t>
            </w:r>
          </w:p>
        </w:tc>
        <w:tc>
          <w:tcPr>
            <w:tcW w:w="6125"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松木块数量6块，引诱粉剂10克。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1" w:type="dxa"/>
            <w:noWrap w:val="0"/>
            <w:vAlign w:val="center"/>
          </w:tcPr>
          <w:p>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2126"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电子元器件</w:t>
            </w:r>
          </w:p>
        </w:tc>
        <w:tc>
          <w:tcPr>
            <w:tcW w:w="6125"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全部封闭，无裸露接线。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1" w:type="dxa"/>
            <w:noWrap w:val="0"/>
            <w:vAlign w:val="center"/>
          </w:tcPr>
          <w:p>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2126"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使用温度范围</w:t>
            </w:r>
          </w:p>
        </w:tc>
        <w:tc>
          <w:tcPr>
            <w:tcW w:w="6125"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-55摄氏度—85摄氏度。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51" w:type="dxa"/>
            <w:noWrap w:val="0"/>
            <w:vAlign w:val="center"/>
          </w:tcPr>
          <w:p>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2126"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应用管理软件</w:t>
            </w:r>
          </w:p>
        </w:tc>
        <w:tc>
          <w:tcPr>
            <w:tcW w:w="6125"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移动端+PC端。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2126"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报警接收方式</w:t>
            </w:r>
          </w:p>
        </w:tc>
        <w:tc>
          <w:tcPr>
            <w:tcW w:w="6125"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邮件、微信、浏览器。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noWrap w:val="0"/>
            <w:vAlign w:val="center"/>
          </w:tcPr>
          <w:p>
            <w:pPr>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2126"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安装方式</w:t>
            </w:r>
          </w:p>
        </w:tc>
        <w:tc>
          <w:tcPr>
            <w:tcW w:w="6125"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无损安装。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2126"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功能</w:t>
            </w:r>
          </w:p>
        </w:tc>
        <w:tc>
          <w:tcPr>
            <w:tcW w:w="6125" w:type="dxa"/>
            <w:noWrap w:val="0"/>
            <w:vAlign w:val="center"/>
          </w:tcPr>
          <w:p>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设备编码信息、蚁情状态、设备位置显示、项目管理、施工记录、报警日期、报警提醒、数据统计等。</w:t>
            </w:r>
          </w:p>
        </w:tc>
      </w:tr>
    </w:tbl>
    <w:p>
      <w:pPr>
        <w:pStyle w:val="62"/>
        <w:numPr>
          <w:ilvl w:val="0"/>
          <w:numId w:val="0"/>
        </w:num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1.4验收方法</w:t>
      </w:r>
    </w:p>
    <w:p>
      <w:pPr>
        <w:pStyle w:val="62"/>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单位于合同到期后向采购人提供白蚁防治工作总结一份(防治内工作开展情况和相关工作表格)，采购人与服务单位双方到山塘水库现场进行共同验收和评定。根据采购人要求，由服务单位邀请省内有关专家参与验收（详见考核办法）。</w:t>
      </w:r>
    </w:p>
    <w:p>
      <w:pPr>
        <w:pStyle w:val="62"/>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验收标准：</w:t>
      </w:r>
    </w:p>
    <w:p>
      <w:pPr>
        <w:pStyle w:val="62"/>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A：山塘水库堤坝上土栖白蚁危害特征（泥被、泥现等）逐年减少，基本控制蚁害。</w:t>
      </w:r>
    </w:p>
    <w:p>
      <w:pPr>
        <w:pStyle w:val="62"/>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B：山塘水库坝端治理范围白蚁上树危害（树表皮泥被泥线包裹）率低于5%。</w:t>
      </w:r>
    </w:p>
    <w:p>
      <w:pPr>
        <w:pStyle w:val="62"/>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C：在治理过程中，必要时根据死亡蚁巢指示物解剖蚁巢。</w:t>
      </w:r>
    </w:p>
    <w:p>
      <w:pPr>
        <w:widowControl/>
        <w:adjustRightInd/>
        <w:spacing w:after="0" w:line="240" w:lineRule="exact"/>
        <w:ind w:firstLine="482" w:firstLineChars="200"/>
        <w:jc w:val="left"/>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lang w:eastAsia="zh-CN"/>
        </w:rPr>
        <w:t>（二）</w:t>
      </w:r>
      <w:r>
        <w:rPr>
          <w:rFonts w:hint="eastAsia" w:ascii="宋体" w:hAnsi="宋体" w:eastAsia="宋体" w:cs="宋体"/>
          <w:b/>
          <w:bCs/>
          <w:color w:val="auto"/>
          <w:kern w:val="2"/>
          <w:sz w:val="24"/>
          <w:highlight w:val="none"/>
        </w:rPr>
        <w:t>、商务需求</w:t>
      </w:r>
    </w:p>
    <w:p>
      <w:pPr>
        <w:widowControl w:val="0"/>
        <w:adjustRightInd w:val="0"/>
        <w:spacing w:after="0" w:line="360" w:lineRule="auto"/>
        <w:ind w:firstLine="42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highlight w:val="none"/>
        </w:rPr>
        <w:t>▲</w:t>
      </w:r>
      <w:r>
        <w:rPr>
          <w:rFonts w:hint="eastAsia" w:ascii="宋体" w:hAnsi="宋体" w:eastAsia="宋体" w:cs="宋体"/>
          <w:color w:val="auto"/>
          <w:kern w:val="2"/>
          <w:sz w:val="24"/>
          <w:highlight w:val="none"/>
        </w:rPr>
        <w:t>2.1</w:t>
      </w:r>
      <w:r>
        <w:rPr>
          <w:rFonts w:hint="eastAsia" w:ascii="宋体" w:hAnsi="宋体" w:eastAsia="宋体" w:cs="宋体"/>
          <w:b/>
          <w:bCs/>
          <w:color w:val="auto"/>
          <w:kern w:val="2"/>
          <w:sz w:val="24"/>
          <w:highlight w:val="none"/>
        </w:rPr>
        <w:t>服务期限</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1年</w:t>
      </w:r>
      <w:r>
        <w:rPr>
          <w:rFonts w:hint="eastAsia" w:ascii="宋体" w:hAnsi="宋体" w:eastAsia="宋体" w:cs="宋体"/>
          <w:color w:val="auto"/>
          <w:highlight w:val="none"/>
        </w:rPr>
        <w:t>（具体起止日期</w:t>
      </w:r>
      <w:r>
        <w:rPr>
          <w:rFonts w:hint="eastAsia" w:ascii="宋体" w:hAnsi="宋体" w:eastAsia="宋体" w:cs="宋体"/>
          <w:color w:val="auto"/>
          <w:highlight w:val="none"/>
          <w:lang w:eastAsia="zh-CN"/>
        </w:rPr>
        <w:t>以合同签订时间为准</w:t>
      </w:r>
      <w:r>
        <w:rPr>
          <w:rFonts w:hint="eastAsia" w:ascii="宋体" w:hAnsi="宋体" w:eastAsia="宋体" w:cs="宋体"/>
          <w:color w:val="auto"/>
          <w:highlight w:val="none"/>
        </w:rPr>
        <w:t>）</w:t>
      </w:r>
      <w:r>
        <w:rPr>
          <w:rFonts w:hint="eastAsia" w:ascii="宋体" w:hAnsi="宋体" w:eastAsia="宋体" w:cs="宋体"/>
          <w:color w:val="auto"/>
          <w:kern w:val="2"/>
          <w:sz w:val="24"/>
          <w:highlight w:val="none"/>
        </w:rPr>
        <w:t>。</w:t>
      </w:r>
    </w:p>
    <w:p>
      <w:pPr>
        <w:widowControl w:val="0"/>
        <w:adjustRightInd w:val="0"/>
        <w:spacing w:after="0"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.2</w:t>
      </w:r>
      <w:r>
        <w:rPr>
          <w:rFonts w:hint="eastAsia" w:ascii="宋体" w:hAnsi="宋体" w:eastAsia="宋体" w:cs="宋体"/>
          <w:b/>
          <w:bCs/>
          <w:color w:val="auto"/>
          <w:kern w:val="2"/>
          <w:sz w:val="24"/>
          <w:highlight w:val="none"/>
        </w:rPr>
        <w:t>服务地点：</w:t>
      </w:r>
      <w:r>
        <w:rPr>
          <w:rFonts w:hint="eastAsia" w:ascii="宋体" w:hAnsi="宋体" w:eastAsia="宋体" w:cs="宋体"/>
          <w:color w:val="auto"/>
          <w:kern w:val="2"/>
          <w:sz w:val="24"/>
          <w:highlight w:val="none"/>
          <w:lang w:eastAsia="zh-CN"/>
        </w:rPr>
        <w:t>山塘水库现场</w:t>
      </w:r>
      <w:r>
        <w:rPr>
          <w:rFonts w:hint="eastAsia" w:ascii="宋体" w:hAnsi="宋体" w:eastAsia="宋体" w:cs="宋体"/>
          <w:color w:val="auto"/>
          <w:kern w:val="2"/>
          <w:sz w:val="24"/>
          <w:highlight w:val="none"/>
        </w:rPr>
        <w:t>。</w:t>
      </w:r>
    </w:p>
    <w:p>
      <w:pPr>
        <w:widowControl w:val="0"/>
        <w:adjustRightInd w:val="0"/>
        <w:spacing w:after="0" w:line="360" w:lineRule="auto"/>
        <w:ind w:firstLine="42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highlight w:val="none"/>
        </w:rPr>
        <w:t>▲</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.3</w:t>
      </w:r>
      <w:r>
        <w:rPr>
          <w:rFonts w:hint="eastAsia" w:ascii="宋体" w:hAnsi="宋体" w:eastAsia="宋体" w:cs="宋体"/>
          <w:b/>
          <w:bCs/>
          <w:color w:val="auto"/>
          <w:kern w:val="2"/>
          <w:sz w:val="24"/>
          <w:highlight w:val="none"/>
        </w:rPr>
        <w:t>付款方式</w:t>
      </w:r>
      <w:r>
        <w:rPr>
          <w:rFonts w:hint="eastAsia" w:ascii="宋体" w:hAnsi="宋体" w:eastAsia="宋体" w:cs="宋体"/>
          <w:color w:val="auto"/>
          <w:kern w:val="2"/>
          <w:sz w:val="24"/>
          <w:highlight w:val="none"/>
        </w:rPr>
        <w:t>：</w:t>
      </w:r>
    </w:p>
    <w:p>
      <w:pPr>
        <w:widowControl w:val="0"/>
        <w:adjustRightInd w:val="0"/>
        <w:spacing w:after="0"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合同签订且缴纳履约保证金后，根据考核结果分</w:t>
      </w:r>
      <w:r>
        <w:rPr>
          <w:rFonts w:hint="eastAsia" w:ascii="宋体" w:hAnsi="宋体" w:eastAsia="宋体" w:cs="宋体"/>
          <w:color w:val="auto"/>
          <w:kern w:val="2"/>
          <w:sz w:val="24"/>
          <w:highlight w:val="none"/>
          <w:lang w:val="en-US" w:eastAsia="zh-CN"/>
        </w:rPr>
        <w:t>3</w:t>
      </w:r>
      <w:r>
        <w:rPr>
          <w:rFonts w:hint="eastAsia" w:ascii="宋体" w:hAnsi="宋体" w:eastAsia="宋体" w:cs="宋体"/>
          <w:color w:val="auto"/>
          <w:kern w:val="2"/>
          <w:sz w:val="24"/>
          <w:highlight w:val="none"/>
        </w:rPr>
        <w:t>次结算支付：第一次支付：合同签订后支付合同金额的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%预付款（第一</w:t>
      </w:r>
      <w:r>
        <w:rPr>
          <w:rFonts w:hint="eastAsia" w:ascii="宋体" w:hAnsi="宋体" w:eastAsia="宋体" w:cs="宋体"/>
          <w:color w:val="auto"/>
          <w:kern w:val="2"/>
          <w:sz w:val="24"/>
          <w:highlight w:val="none"/>
          <w:lang w:eastAsia="zh-CN"/>
        </w:rPr>
        <w:t>次施工完后</w:t>
      </w:r>
      <w:r>
        <w:rPr>
          <w:rFonts w:hint="eastAsia" w:ascii="宋体" w:hAnsi="宋体" w:eastAsia="宋体" w:cs="宋体"/>
          <w:color w:val="auto"/>
          <w:kern w:val="2"/>
          <w:sz w:val="24"/>
          <w:highlight w:val="none"/>
        </w:rPr>
        <w:t>不再另行支付）；第二次支付：</w:t>
      </w:r>
      <w:r>
        <w:rPr>
          <w:rFonts w:hint="eastAsia" w:ascii="宋体" w:hAnsi="宋体" w:eastAsia="宋体" w:cs="宋体"/>
          <w:color w:val="auto"/>
          <w:kern w:val="2"/>
          <w:sz w:val="24"/>
          <w:highlight w:val="none"/>
          <w:lang w:eastAsia="zh-CN"/>
        </w:rPr>
        <w:t>第二次施工完成后支付合同金额的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第三次支付：</w:t>
      </w:r>
      <w:r>
        <w:rPr>
          <w:rFonts w:hint="eastAsia" w:ascii="宋体" w:hAnsi="宋体" w:eastAsia="宋体" w:cs="宋体"/>
          <w:color w:val="auto"/>
          <w:kern w:val="2"/>
          <w:sz w:val="24"/>
          <w:highlight w:val="none"/>
          <w:lang w:eastAsia="zh-CN"/>
        </w:rPr>
        <w:t>考核验收通过后支付合同金额的</w:t>
      </w:r>
      <w:r>
        <w:rPr>
          <w:rFonts w:hint="eastAsia" w:ascii="宋体" w:hAnsi="宋体" w:eastAsia="宋体" w:cs="宋体"/>
          <w:color w:val="auto"/>
          <w:kern w:val="2"/>
          <w:sz w:val="24"/>
          <w:highlight w:val="none"/>
          <w:lang w:val="en-US" w:eastAsia="zh-CN"/>
        </w:rPr>
        <w:t>20％。</w:t>
      </w:r>
      <w:r>
        <w:rPr>
          <w:rFonts w:hint="eastAsia" w:ascii="宋体" w:hAnsi="宋体" w:eastAsia="宋体" w:cs="宋体"/>
          <w:color w:val="auto"/>
          <w:kern w:val="2"/>
          <w:sz w:val="24"/>
          <w:highlight w:val="none"/>
          <w:lang w:eastAsia="zh-CN"/>
        </w:rPr>
        <w:t>如有考核低于</w:t>
      </w:r>
      <w:r>
        <w:rPr>
          <w:rFonts w:hint="eastAsia" w:ascii="宋体" w:hAnsi="宋体" w:eastAsia="宋体" w:cs="宋体"/>
          <w:color w:val="auto"/>
          <w:kern w:val="2"/>
          <w:sz w:val="24"/>
          <w:highlight w:val="none"/>
          <w:lang w:val="en-US" w:eastAsia="zh-CN"/>
        </w:rPr>
        <w:t>90分的，则支付费用为扣除罚金后的金额</w:t>
      </w:r>
      <w:r>
        <w:rPr>
          <w:rFonts w:hint="eastAsia" w:ascii="宋体" w:hAnsi="宋体" w:eastAsia="宋体" w:cs="宋体"/>
          <w:color w:val="auto"/>
          <w:kern w:val="2"/>
          <w:sz w:val="24"/>
          <w:highlight w:val="none"/>
        </w:rPr>
        <w:t>。</w:t>
      </w: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、如有附图，仅作参考。</w:t>
      </w: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、打▲内容为实质性要求，不允许有负偏离，否则将以涉及无效投标条款作无效投标。</w:t>
      </w: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、中标人所提供的货物、服务须与投标承诺一致，不得以次充好、偷工减料，若在项目验收中发现有上述情况，将向有关部门举报，根据相关规定进行处理。</w:t>
      </w:r>
    </w:p>
    <w:p>
      <w:pPr>
        <w:pStyle w:val="2"/>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pStyle w:val="3"/>
        <w:rPr>
          <w:rFonts w:hint="eastAsia" w:ascii="宋体" w:hAnsi="宋体" w:eastAsia="宋体" w:cs="宋体"/>
          <w:color w:val="auto"/>
          <w:sz w:val="24"/>
          <w:szCs w:val="24"/>
        </w:rPr>
      </w:pPr>
    </w:p>
    <w:p>
      <w:pPr>
        <w:pStyle w:val="4"/>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p>
    <w:p>
      <w:pPr>
        <w:spacing w:before="156" w:beforeLines="50" w:after="156" w:afterLines="50" w:line="360" w:lineRule="auto"/>
        <w:jc w:val="center"/>
        <w:outlineLvl w:val="0"/>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lang w:eastAsia="zh-CN"/>
        </w:rPr>
        <w:t>附件</w:t>
      </w:r>
      <w:r>
        <w:rPr>
          <w:rFonts w:hint="eastAsia" w:ascii="宋体" w:hAnsi="宋体" w:eastAsia="宋体" w:cs="宋体"/>
          <w:b/>
          <w:bCs w:val="0"/>
          <w:color w:val="auto"/>
          <w:sz w:val="36"/>
          <w:szCs w:val="36"/>
          <w:lang w:val="en-US" w:eastAsia="zh-CN"/>
        </w:rPr>
        <w:t xml:space="preserve">1       </w:t>
      </w:r>
      <w:r>
        <w:rPr>
          <w:rFonts w:hint="eastAsia" w:ascii="宋体" w:hAnsi="宋体" w:eastAsia="宋体" w:cs="宋体"/>
          <w:b/>
          <w:bCs w:val="0"/>
          <w:color w:val="auto"/>
          <w:sz w:val="36"/>
          <w:szCs w:val="36"/>
        </w:rPr>
        <w:t>浦阳江流域山塘水库白蚁防治考核办法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根据《水利工程白蚁防治技术规程》DB 34/T 2182-2014和《堤坝白蚁防治管理规范》DB3301/T 0204-2018文件要求，为切实推进浦阳江流域山塘水库的白蚁防治工作，确保水利工程良性长效运行，实现白蚁“零容忍”目标，现制定浦阳江流域山塘水库白蚁防治考核办法。</w:t>
      </w:r>
    </w:p>
    <w:p>
      <w:pPr>
        <w:spacing w:line="360" w:lineRule="auto"/>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一、</w:t>
      </w:r>
      <w:r>
        <w:rPr>
          <w:rFonts w:hint="eastAsia" w:ascii="宋体" w:hAnsi="宋体" w:eastAsia="宋体" w:cs="宋体"/>
          <w:b/>
          <w:color w:val="auto"/>
          <w:sz w:val="24"/>
          <w:lang w:eastAsia="zh-CN"/>
        </w:rPr>
        <w:t>服务内容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对萧山区</w:t>
      </w:r>
      <w:r>
        <w:rPr>
          <w:rFonts w:hint="eastAsia" w:ascii="宋体" w:hAnsi="宋体" w:eastAsia="宋体" w:cs="宋体"/>
          <w:color w:val="auto"/>
          <w:sz w:val="24"/>
        </w:rPr>
        <w:t>总计141座山塘水库</w:t>
      </w:r>
      <w:r>
        <w:rPr>
          <w:rFonts w:hint="eastAsia" w:ascii="宋体" w:hAnsi="宋体" w:eastAsia="宋体" w:cs="宋体"/>
          <w:color w:val="auto"/>
          <w:sz w:val="24"/>
          <w:lang w:eastAsia="zh-CN"/>
        </w:rPr>
        <w:t>项目进行白蚁防治专项技术服务</w:t>
      </w:r>
      <w:r>
        <w:rPr>
          <w:rFonts w:hint="eastAsia" w:ascii="宋体" w:hAnsi="宋体" w:eastAsia="宋体" w:cs="宋体"/>
          <w:color w:val="auto"/>
          <w:sz w:val="24"/>
        </w:rPr>
        <w:t>。</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二、考核内容和指标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结合山塘水库实际情况，白蚁防治工作考核主要</w:t>
      </w:r>
      <w:r>
        <w:rPr>
          <w:rFonts w:hint="eastAsia" w:ascii="宋体" w:hAnsi="宋体" w:eastAsia="宋体" w:cs="宋体"/>
          <w:color w:val="auto"/>
          <w:sz w:val="24"/>
          <w:lang w:eastAsia="zh-CN"/>
        </w:rPr>
        <w:t>侧重目标导向</w:t>
      </w:r>
      <w:r>
        <w:rPr>
          <w:rFonts w:hint="eastAsia" w:ascii="宋体" w:hAnsi="宋体" w:eastAsia="宋体" w:cs="宋体"/>
          <w:color w:val="auto"/>
          <w:sz w:val="24"/>
        </w:rPr>
        <w:t>，具体考核指标见</w:t>
      </w:r>
      <w:r>
        <w:rPr>
          <w:rFonts w:hint="eastAsia" w:ascii="宋体" w:hAnsi="宋体" w:eastAsia="宋体" w:cs="宋体"/>
          <w:color w:val="auto"/>
          <w:sz w:val="24"/>
          <w:lang w:eastAsia="zh-CN"/>
        </w:rPr>
        <w:t>考核表（附件</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三、考核方法和程序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（一）考核办法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白蚁防治工作考核分为三个重要节点，分别是当年的白蚁活动盛期</w:t>
      </w:r>
      <w:r>
        <w:rPr>
          <w:rFonts w:hint="eastAsia" w:ascii="宋体" w:hAnsi="宋体" w:eastAsia="宋体" w:cs="宋体"/>
          <w:color w:val="auto"/>
          <w:sz w:val="24"/>
          <w:lang w:val="en-US" w:eastAsia="zh-CN"/>
        </w:rPr>
        <w:t>4-6月和9-11月及服务到期日</w:t>
      </w:r>
      <w:r>
        <w:rPr>
          <w:rFonts w:hint="eastAsia" w:ascii="宋体" w:hAnsi="宋体" w:eastAsia="宋体" w:cs="宋体"/>
          <w:color w:val="auto"/>
          <w:sz w:val="24"/>
          <w:lang w:eastAsia="zh-CN"/>
        </w:rPr>
        <w:t>各进行</w:t>
      </w:r>
      <w:r>
        <w:rPr>
          <w:rFonts w:hint="eastAsia" w:ascii="宋体" w:hAnsi="宋体" w:eastAsia="宋体" w:cs="宋体"/>
          <w:color w:val="auto"/>
          <w:sz w:val="24"/>
        </w:rPr>
        <w:t>一次，第</w:t>
      </w:r>
      <w:r>
        <w:rPr>
          <w:rFonts w:hint="eastAsia" w:ascii="宋体" w:hAnsi="宋体" w:eastAsia="宋体" w:cs="宋体"/>
          <w:color w:val="auto"/>
          <w:sz w:val="24"/>
          <w:lang w:eastAsia="zh-CN"/>
        </w:rPr>
        <w:t>三次的</w:t>
      </w:r>
      <w:r>
        <w:rPr>
          <w:rFonts w:hint="eastAsia" w:ascii="宋体" w:hAnsi="宋体" w:eastAsia="宋体" w:cs="宋体"/>
          <w:color w:val="auto"/>
          <w:sz w:val="24"/>
        </w:rPr>
        <w:t>考核为年度考核。考核方法采取资料审查与现场抽查相结合的方式。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（二）考核程序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（1）资料上交。</w:t>
      </w:r>
      <w:r>
        <w:rPr>
          <w:rFonts w:hint="eastAsia" w:ascii="宋体" w:hAnsi="宋体" w:eastAsia="宋体" w:cs="宋体"/>
          <w:color w:val="auto"/>
          <w:sz w:val="24"/>
          <w:lang w:eastAsia="zh-CN"/>
        </w:rPr>
        <w:t>每年的白蚁活动盛期（</w:t>
      </w:r>
      <w:r>
        <w:rPr>
          <w:rFonts w:hint="eastAsia" w:ascii="宋体" w:hAnsi="宋体" w:eastAsia="宋体" w:cs="宋体"/>
          <w:color w:val="auto"/>
          <w:sz w:val="24"/>
          <w:lang w:val="en-US" w:eastAsia="zh-CN"/>
        </w:rPr>
        <w:t>4-6月、9-11月</w:t>
      </w:r>
      <w:r>
        <w:rPr>
          <w:rFonts w:hint="eastAsia" w:ascii="宋体" w:hAnsi="宋体" w:eastAsia="宋体" w:cs="宋体"/>
          <w:color w:val="auto"/>
          <w:sz w:val="24"/>
          <w:lang w:eastAsia="zh-CN"/>
        </w:rPr>
        <w:t>）施工</w:t>
      </w:r>
      <w:r>
        <w:rPr>
          <w:rFonts w:hint="eastAsia" w:ascii="宋体" w:hAnsi="宋体" w:eastAsia="宋体" w:cs="宋体"/>
          <w:color w:val="auto"/>
          <w:sz w:val="24"/>
        </w:rPr>
        <w:t>结束前一个星期，白蚁防治单位需整理好</w:t>
      </w:r>
      <w:r>
        <w:rPr>
          <w:rFonts w:hint="eastAsia" w:ascii="宋体" w:hAnsi="宋体" w:eastAsia="宋体" w:cs="宋体"/>
          <w:color w:val="auto"/>
          <w:sz w:val="24"/>
          <w:lang w:eastAsia="zh-CN"/>
        </w:rPr>
        <w:t>本次</w:t>
      </w:r>
      <w:r>
        <w:rPr>
          <w:rFonts w:hint="eastAsia" w:ascii="宋体" w:hAnsi="宋体" w:eastAsia="宋体" w:cs="宋体"/>
          <w:color w:val="auto"/>
          <w:sz w:val="24"/>
        </w:rPr>
        <w:t>白蚁防治工作的台账资料，并上交给浦阳江流域管理中心审查。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（2）资料审核。</w:t>
      </w:r>
      <w:r>
        <w:rPr>
          <w:rFonts w:hint="eastAsia" w:ascii="宋体" w:hAnsi="宋体" w:eastAsia="宋体" w:cs="宋体"/>
          <w:color w:val="auto"/>
          <w:sz w:val="24"/>
          <w:lang w:eastAsia="zh-CN"/>
        </w:rPr>
        <w:t>浦阳江流域管理中心</w:t>
      </w:r>
      <w:r>
        <w:rPr>
          <w:rFonts w:hint="eastAsia" w:ascii="宋体" w:hAnsi="宋体" w:eastAsia="宋体" w:cs="宋体"/>
          <w:color w:val="auto"/>
          <w:sz w:val="24"/>
        </w:rPr>
        <w:t>组织人员对白蚁防治工作台账资料进行审查，针对台账资料的完整性、内容详实性、图文结合性以及工作成效性等综合评判打分。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综合评定</w:t>
      </w:r>
      <w:r>
        <w:rPr>
          <w:rFonts w:hint="eastAsia" w:ascii="宋体" w:hAnsi="宋体" w:eastAsia="宋体" w:cs="宋体"/>
          <w:color w:val="auto"/>
          <w:sz w:val="24"/>
        </w:rPr>
        <w:t>。随机选取10%~20%的山塘水库进行现场抽查，按照“</w:t>
      </w:r>
      <w:r>
        <w:rPr>
          <w:rFonts w:hint="eastAsia" w:ascii="宋体" w:hAnsi="宋体" w:eastAsia="宋体" w:cs="宋体"/>
          <w:b w:val="0"/>
          <w:bCs w:val="0"/>
          <w:color w:val="auto"/>
          <w:sz w:val="24"/>
          <w:szCs w:val="24"/>
          <w:lang w:eastAsia="zh-CN"/>
        </w:rPr>
        <w:t>山塘水库</w:t>
      </w:r>
      <w:r>
        <w:rPr>
          <w:rFonts w:hint="eastAsia" w:ascii="宋体" w:hAnsi="宋体" w:eastAsia="宋体" w:cs="宋体"/>
          <w:b w:val="0"/>
          <w:bCs w:val="0"/>
          <w:color w:val="auto"/>
          <w:sz w:val="24"/>
          <w:szCs w:val="24"/>
        </w:rPr>
        <w:t>白蚁防治工作考核</w:t>
      </w:r>
      <w:r>
        <w:rPr>
          <w:rFonts w:hint="eastAsia" w:ascii="宋体" w:hAnsi="宋体" w:eastAsia="宋体" w:cs="宋体"/>
          <w:b w:val="0"/>
          <w:bCs w:val="0"/>
          <w:color w:val="auto"/>
          <w:sz w:val="24"/>
          <w:szCs w:val="24"/>
          <w:lang w:eastAsia="zh-CN"/>
        </w:rPr>
        <w:t>表</w:t>
      </w:r>
      <w:r>
        <w:rPr>
          <w:rFonts w:hint="eastAsia" w:ascii="宋体" w:hAnsi="宋体" w:eastAsia="宋体" w:cs="宋体"/>
          <w:color w:val="auto"/>
          <w:sz w:val="24"/>
        </w:rPr>
        <w:t>”进行现场评分（附件</w:t>
      </w:r>
      <w:r>
        <w:rPr>
          <w:rFonts w:hint="eastAsia" w:ascii="宋体" w:hAnsi="宋体" w:eastAsia="宋体" w:cs="宋体"/>
          <w:color w:val="auto"/>
          <w:sz w:val="24"/>
          <w:lang w:val="en-US" w:eastAsia="zh-CN"/>
        </w:rPr>
        <w:t>1</w:t>
      </w:r>
      <w:r>
        <w:rPr>
          <w:rFonts w:hint="eastAsia" w:ascii="宋体" w:hAnsi="宋体" w:eastAsia="宋体" w:cs="宋体"/>
          <w:color w:val="auto"/>
          <w:sz w:val="24"/>
        </w:rPr>
        <w:t>），抽查结果</w:t>
      </w:r>
      <w:r>
        <w:rPr>
          <w:rFonts w:hint="eastAsia" w:ascii="宋体" w:hAnsi="宋体" w:eastAsia="宋体" w:cs="宋体"/>
          <w:color w:val="auto"/>
          <w:sz w:val="24"/>
          <w:lang w:eastAsia="zh-CN"/>
        </w:rPr>
        <w:t>结合台账情况</w:t>
      </w:r>
      <w:r>
        <w:rPr>
          <w:rFonts w:hint="eastAsia" w:ascii="宋体" w:hAnsi="宋体" w:eastAsia="宋体" w:cs="宋体"/>
          <w:color w:val="auto"/>
          <w:sz w:val="24"/>
        </w:rPr>
        <w:t>作为白蚁防治单位该季度白蚁防治的</w:t>
      </w:r>
      <w:r>
        <w:rPr>
          <w:rFonts w:hint="eastAsia" w:ascii="宋体" w:hAnsi="宋体" w:eastAsia="宋体" w:cs="宋体"/>
          <w:color w:val="auto"/>
          <w:sz w:val="24"/>
          <w:lang w:eastAsia="zh-CN"/>
        </w:rPr>
        <w:t>考核</w:t>
      </w:r>
      <w:r>
        <w:rPr>
          <w:rFonts w:hint="eastAsia" w:ascii="宋体" w:hAnsi="宋体" w:eastAsia="宋体" w:cs="宋体"/>
          <w:color w:val="auto"/>
          <w:sz w:val="24"/>
        </w:rPr>
        <w:t>得分</w:t>
      </w:r>
      <w:r>
        <w:rPr>
          <w:rFonts w:hint="eastAsia" w:ascii="宋体" w:hAnsi="宋体" w:eastAsia="宋体" w:cs="宋体"/>
          <w:color w:val="auto"/>
          <w:sz w:val="24"/>
          <w:lang w:eastAsia="zh-CN"/>
        </w:rPr>
        <w:t>，确定考核等级</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（三）考核等级确定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考核办法采用标准分制，满分100分。评价结果分为3个等级，60分以上分为优秀、合格，其中90以上（含90分）为优秀，其余为合格，60分以下为不合格。</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　　</w:t>
      </w:r>
      <w:r>
        <w:rPr>
          <w:rFonts w:hint="eastAsia" w:ascii="宋体" w:hAnsi="宋体" w:eastAsia="宋体" w:cs="宋体"/>
          <w:b/>
          <w:color w:val="auto"/>
          <w:sz w:val="24"/>
          <w:szCs w:val="24"/>
        </w:rPr>
        <w:t>四、考核奖惩措施</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rPr>
        <w:t>（1）</w:t>
      </w:r>
      <w:r>
        <w:rPr>
          <w:rFonts w:hint="eastAsia" w:ascii="宋体" w:hAnsi="宋体" w:eastAsia="宋体" w:cs="宋体"/>
          <w:bCs/>
          <w:color w:val="auto"/>
          <w:sz w:val="24"/>
          <w:szCs w:val="24"/>
        </w:rPr>
        <w:t>每</w:t>
      </w:r>
      <w:r>
        <w:rPr>
          <w:rFonts w:hint="eastAsia" w:ascii="宋体" w:hAnsi="宋体" w:eastAsia="宋体" w:cs="宋体"/>
          <w:bCs/>
          <w:color w:val="auto"/>
          <w:sz w:val="24"/>
          <w:szCs w:val="24"/>
          <w:lang w:eastAsia="zh-CN"/>
        </w:rPr>
        <w:t>次</w:t>
      </w:r>
      <w:r>
        <w:rPr>
          <w:rFonts w:hint="eastAsia" w:ascii="宋体" w:hAnsi="宋体" w:eastAsia="宋体" w:cs="宋体"/>
          <w:bCs/>
          <w:color w:val="auto"/>
          <w:sz w:val="24"/>
          <w:szCs w:val="24"/>
        </w:rPr>
        <w:t>考核成绩低于90分，每1分扣</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000元；低于85分，每1分扣</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000元</w:t>
      </w:r>
      <w:r>
        <w:rPr>
          <w:rFonts w:hint="eastAsia" w:ascii="宋体" w:hAnsi="宋体" w:eastAsia="宋体" w:cs="宋体"/>
          <w:color w:val="auto"/>
          <w:sz w:val="24"/>
          <w:szCs w:val="24"/>
        </w:rPr>
        <w:t>。服务期内累计两次考核不合格的，</w:t>
      </w:r>
      <w:r>
        <w:rPr>
          <w:rFonts w:hint="eastAsia" w:ascii="宋体" w:hAnsi="宋体" w:eastAsia="宋体" w:cs="宋体"/>
          <w:color w:val="auto"/>
          <w:sz w:val="24"/>
          <w:szCs w:val="24"/>
          <w:lang w:eastAsia="zh-CN"/>
        </w:rPr>
        <w:t>业主</w:t>
      </w:r>
      <w:r>
        <w:rPr>
          <w:rFonts w:hint="eastAsia" w:ascii="宋体" w:hAnsi="宋体" w:eastAsia="宋体" w:cs="宋体"/>
          <w:color w:val="auto"/>
          <w:sz w:val="24"/>
          <w:szCs w:val="24"/>
        </w:rPr>
        <w:t>有权终止与</w:t>
      </w:r>
      <w:r>
        <w:rPr>
          <w:rFonts w:hint="eastAsia" w:ascii="宋体" w:hAnsi="宋体" w:eastAsia="宋体" w:cs="宋体"/>
          <w:color w:val="auto"/>
          <w:sz w:val="24"/>
        </w:rPr>
        <w:t>白蚁防治单位</w:t>
      </w:r>
      <w:r>
        <w:rPr>
          <w:rFonts w:hint="eastAsia" w:ascii="宋体" w:hAnsi="宋体" w:eastAsia="宋体" w:cs="宋体"/>
          <w:color w:val="auto"/>
          <w:sz w:val="24"/>
          <w:szCs w:val="24"/>
        </w:rPr>
        <w:t>的合同，并清算劳务费，解除合同。后续管理由本次招投标第二中标候选人按原合同要求继续履行合同，以此类推。</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rPr>
        <w:t>（2）</w:t>
      </w:r>
      <w:r>
        <w:rPr>
          <w:rFonts w:hint="eastAsia" w:ascii="宋体" w:hAnsi="宋体" w:eastAsia="宋体" w:cs="宋体"/>
          <w:color w:val="auto"/>
          <w:sz w:val="24"/>
          <w:szCs w:val="24"/>
        </w:rPr>
        <w:t>被上级部门通报批评、抄告单或区级以上媒体曝光的，经调查核实后，如责任在</w:t>
      </w:r>
      <w:r>
        <w:rPr>
          <w:rFonts w:hint="eastAsia" w:ascii="宋体" w:hAnsi="宋体" w:eastAsia="宋体" w:cs="宋体"/>
          <w:color w:val="auto"/>
          <w:sz w:val="24"/>
        </w:rPr>
        <w:t>白蚁防治单位</w:t>
      </w:r>
      <w:r>
        <w:rPr>
          <w:rFonts w:hint="eastAsia" w:ascii="宋体" w:hAnsi="宋体" w:eastAsia="宋体" w:cs="宋体"/>
          <w:color w:val="auto"/>
          <w:sz w:val="24"/>
          <w:szCs w:val="24"/>
        </w:rPr>
        <w:t>，则扣除中标价的1%。</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rPr>
        <w:t>（3）</w:t>
      </w:r>
      <w:r>
        <w:rPr>
          <w:rFonts w:hint="eastAsia" w:ascii="宋体" w:hAnsi="宋体" w:eastAsia="宋体" w:cs="宋体"/>
          <w:color w:val="auto"/>
          <w:sz w:val="24"/>
          <w:szCs w:val="24"/>
        </w:rPr>
        <w:t>发生重大安全生产有责事故，经调查核实后，如责任在</w:t>
      </w:r>
      <w:r>
        <w:rPr>
          <w:rFonts w:hint="eastAsia" w:ascii="宋体" w:hAnsi="宋体" w:eastAsia="宋体" w:cs="宋体"/>
          <w:color w:val="auto"/>
          <w:sz w:val="24"/>
        </w:rPr>
        <w:t>白蚁防治单位</w:t>
      </w:r>
      <w:r>
        <w:rPr>
          <w:rFonts w:hint="eastAsia" w:ascii="宋体" w:hAnsi="宋体" w:eastAsia="宋体" w:cs="宋体"/>
          <w:color w:val="auto"/>
          <w:sz w:val="24"/>
          <w:szCs w:val="24"/>
        </w:rPr>
        <w:t>，终止合同，并承担相应责任。</w:t>
      </w:r>
    </w:p>
    <w:p>
      <w:pPr>
        <w:pStyle w:val="67"/>
        <w:rPr>
          <w:rFonts w:hint="eastAsia" w:ascii="宋体" w:hAnsi="宋体" w:eastAsia="宋体" w:cs="宋体"/>
          <w:color w:val="auto"/>
          <w:sz w:val="24"/>
          <w:szCs w:val="24"/>
        </w:rPr>
        <w:sectPr>
          <w:footerReference r:id="rId8" w:type="default"/>
          <w:pgSz w:w="11906" w:h="16838"/>
          <w:pgMar w:top="1701" w:right="1418" w:bottom="1418" w:left="1418" w:header="851" w:footer="992" w:gutter="0"/>
          <w:cols w:space="425" w:num="1"/>
          <w:docGrid w:type="lines" w:linePitch="312" w:charSpace="0"/>
        </w:sectPr>
      </w:pPr>
    </w:p>
    <w:p>
      <w:pPr>
        <w:spacing w:before="156" w:beforeLines="50" w:after="156" w:afterLines="50" w:line="360" w:lineRule="auto"/>
        <w:jc w:val="center"/>
        <w:outlineLvl w:val="0"/>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lang w:eastAsia="zh-CN"/>
        </w:rPr>
        <w:t>附件</w:t>
      </w:r>
      <w:r>
        <w:rPr>
          <w:rFonts w:hint="eastAsia" w:ascii="宋体" w:hAnsi="宋体" w:eastAsia="宋体" w:cs="宋体"/>
          <w:b/>
          <w:bCs w:val="0"/>
          <w:color w:val="auto"/>
          <w:sz w:val="36"/>
          <w:szCs w:val="36"/>
          <w:lang w:val="en-US" w:eastAsia="zh-CN"/>
        </w:rPr>
        <w:t>2</w:t>
      </w:r>
      <w:r>
        <w:rPr>
          <w:rFonts w:hint="eastAsia" w:ascii="宋体" w:hAnsi="宋体" w:eastAsia="宋体" w:cs="宋体"/>
          <w:b/>
          <w:bCs w:val="0"/>
          <w:color w:val="auto"/>
          <w:sz w:val="36"/>
          <w:szCs w:val="36"/>
          <w:lang w:eastAsia="zh-CN"/>
        </w:rPr>
        <w:t xml:space="preserve">        山塘水库白蚁防治工作考核表</w:t>
      </w:r>
    </w:p>
    <w:p>
      <w:pPr>
        <w:keepNext w:val="0"/>
        <w:keepLines w:val="0"/>
        <w:pageBreakBefore w:val="0"/>
        <w:widowControl/>
        <w:kinsoku/>
        <w:wordWrap/>
        <w:overflowPunct/>
        <w:topLinePunct w:val="0"/>
        <w:bidi w:val="0"/>
        <w:adjustRightInd/>
        <w:snapToGrid/>
        <w:spacing w:line="240" w:lineRule="exac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时间：      年   月   日</w:t>
      </w:r>
    </w:p>
    <w:tbl>
      <w:tblPr>
        <w:tblStyle w:val="69"/>
        <w:tblW w:w="4998" w:type="pct"/>
        <w:jc w:val="center"/>
        <w:tblLayout w:type="autofit"/>
        <w:tblCellMar>
          <w:top w:w="0" w:type="dxa"/>
          <w:left w:w="108" w:type="dxa"/>
          <w:bottom w:w="0" w:type="dxa"/>
          <w:right w:w="108" w:type="dxa"/>
        </w:tblCellMar>
      </w:tblPr>
      <w:tblGrid>
        <w:gridCol w:w="694"/>
        <w:gridCol w:w="3104"/>
        <w:gridCol w:w="4694"/>
      </w:tblGrid>
      <w:tr>
        <w:tblPrEx>
          <w:tblCellMar>
            <w:top w:w="0" w:type="dxa"/>
            <w:left w:w="108" w:type="dxa"/>
            <w:bottom w:w="0" w:type="dxa"/>
            <w:right w:w="108" w:type="dxa"/>
          </w:tblCellMar>
        </w:tblPrEx>
        <w:trPr>
          <w:trHeight w:val="438" w:hRule="atLeast"/>
          <w:tblHeader/>
          <w:jc w:val="center"/>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b/>
                <w:color w:val="auto"/>
                <w:kern w:val="0"/>
                <w:sz w:val="22"/>
              </w:rPr>
            </w:pPr>
            <w:r>
              <w:rPr>
                <w:rFonts w:hint="eastAsia" w:ascii="宋体" w:hAnsi="宋体" w:eastAsia="宋体" w:cs="宋体"/>
                <w:b/>
                <w:color w:val="auto"/>
                <w:kern w:val="0"/>
                <w:sz w:val="22"/>
              </w:rPr>
              <w:t>项目</w:t>
            </w: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b/>
                <w:color w:val="auto"/>
                <w:kern w:val="0"/>
                <w:sz w:val="22"/>
              </w:rPr>
            </w:pPr>
            <w:r>
              <w:rPr>
                <w:rFonts w:hint="eastAsia" w:ascii="宋体" w:hAnsi="宋体" w:eastAsia="宋体" w:cs="宋体"/>
                <w:b/>
                <w:color w:val="auto"/>
                <w:kern w:val="0"/>
                <w:sz w:val="22"/>
              </w:rPr>
              <w:t>考核标准</w:t>
            </w:r>
          </w:p>
        </w:tc>
        <w:tc>
          <w:tcPr>
            <w:tcW w:w="2763" w:type="pct"/>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240" w:lineRule="exact"/>
              <w:jc w:val="center"/>
              <w:textAlignment w:val="auto"/>
              <w:rPr>
                <w:rFonts w:hint="eastAsia" w:ascii="宋体" w:hAnsi="宋体" w:eastAsia="宋体" w:cs="宋体"/>
                <w:b/>
                <w:color w:val="auto"/>
                <w:kern w:val="0"/>
                <w:sz w:val="22"/>
              </w:rPr>
            </w:pPr>
            <w:r>
              <w:rPr>
                <w:rFonts w:hint="eastAsia" w:ascii="宋体" w:hAnsi="宋体" w:eastAsia="宋体" w:cs="宋体"/>
                <w:b/>
                <w:color w:val="auto"/>
                <w:kern w:val="0"/>
                <w:sz w:val="22"/>
                <w:lang w:eastAsia="zh-CN"/>
              </w:rPr>
              <w:t>得分</w:t>
            </w:r>
          </w:p>
        </w:tc>
      </w:tr>
      <w:tr>
        <w:tblPrEx>
          <w:tblCellMar>
            <w:top w:w="0" w:type="dxa"/>
            <w:left w:w="108" w:type="dxa"/>
            <w:bottom w:w="0" w:type="dxa"/>
            <w:right w:w="108" w:type="dxa"/>
          </w:tblCellMar>
        </w:tblPrEx>
        <w:trPr>
          <w:trHeight w:val="850" w:hRule="exact"/>
          <w:jc w:val="center"/>
        </w:trPr>
        <w:tc>
          <w:tcPr>
            <w:tcW w:w="40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rPr>
            </w:pPr>
            <w:r>
              <w:rPr>
                <w:rFonts w:hint="eastAsia" w:ascii="宋体" w:hAnsi="宋体" w:eastAsia="宋体" w:cs="宋体"/>
                <w:color w:val="auto"/>
              </w:rPr>
              <w:t>迎水坡、背水坡坡面</w:t>
            </w:r>
          </w:p>
          <w:p>
            <w:pPr>
              <w:pStyle w:val="67"/>
              <w:ind w:firstLine="0"/>
              <w:rPr>
                <w:rFonts w:hint="eastAsia" w:ascii="宋体" w:hAnsi="宋体" w:eastAsia="宋体" w:cs="宋体"/>
                <w:color w:val="auto"/>
                <w:lang w:val="en-US" w:eastAsia="zh-CN"/>
              </w:rPr>
            </w:pPr>
            <w:r>
              <w:rPr>
                <w:rFonts w:hint="eastAsia" w:ascii="宋体" w:hAnsi="宋体" w:eastAsia="宋体" w:cs="宋体"/>
                <w:color w:val="auto"/>
                <w:kern w:val="0"/>
                <w:sz w:val="22"/>
                <w:lang w:val="en-US" w:eastAsia="zh-CN"/>
              </w:rPr>
              <w:t>（40分）</w:t>
            </w: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1、杂草、垃圾或其他利于白蚁滋生的植物是否清除干净</w:t>
            </w:r>
            <w:r>
              <w:rPr>
                <w:rFonts w:hint="eastAsia" w:ascii="宋体" w:hAnsi="宋体" w:eastAsia="宋体" w:cs="宋体"/>
                <w:color w:val="auto"/>
                <w:kern w:val="0"/>
                <w:sz w:val="22"/>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850" w:hRule="exact"/>
          <w:jc w:val="center"/>
        </w:trPr>
        <w:tc>
          <w:tcPr>
            <w:tcW w:w="409"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 xml:space="preserve">2、坡面是否有白蚁活动迹象、巢位指示物等 </w:t>
            </w:r>
            <w:r>
              <w:rPr>
                <w:rFonts w:hint="eastAsia" w:ascii="宋体" w:hAnsi="宋体" w:eastAsia="宋体" w:cs="宋体"/>
                <w:color w:val="auto"/>
                <w:kern w:val="0"/>
                <w:sz w:val="22"/>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1075" w:hRule="exact"/>
          <w:jc w:val="center"/>
        </w:trPr>
        <w:tc>
          <w:tcPr>
            <w:tcW w:w="409"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3、坡面现场白蚁检测装置或引诱堆、引诱桩、引诱坑、检查盒、诱杀包等是否按标准设置</w:t>
            </w:r>
            <w:r>
              <w:rPr>
                <w:rFonts w:hint="eastAsia" w:ascii="宋体" w:hAnsi="宋体" w:eastAsia="宋体" w:cs="宋体"/>
                <w:color w:val="auto"/>
                <w:kern w:val="0"/>
                <w:sz w:val="22"/>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1030" w:hRule="exact"/>
          <w:jc w:val="center"/>
        </w:trPr>
        <w:tc>
          <w:tcPr>
            <w:tcW w:w="409" w:type="pct"/>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4、坡面现场白蚁检测装置或引诱堆</w:t>
            </w:r>
            <w:r>
              <w:rPr>
                <w:rFonts w:hint="eastAsia" w:ascii="仿宋" w:hAnsi="仿宋" w:eastAsia="仿宋" w:cs="仿宋"/>
                <w:color w:val="auto"/>
                <w:kern w:val="0"/>
                <w:sz w:val="22"/>
                <w:highlight w:val="none"/>
                <w:lang w:eastAsia="zh-CN"/>
              </w:rPr>
              <w:t>（智能装置及系统平台）</w:t>
            </w:r>
            <w:r>
              <w:rPr>
                <w:rFonts w:hint="eastAsia" w:ascii="宋体" w:hAnsi="宋体" w:eastAsia="宋体" w:cs="宋体"/>
                <w:color w:val="auto"/>
                <w:kern w:val="0"/>
                <w:sz w:val="22"/>
              </w:rPr>
              <w:t>、引诱桩、引诱坑、检查盒、诱杀包等是否损坏、遗失</w:t>
            </w:r>
            <w:r>
              <w:rPr>
                <w:rFonts w:hint="eastAsia" w:ascii="宋体" w:hAnsi="宋体" w:eastAsia="宋体" w:cs="宋体"/>
                <w:color w:val="auto"/>
                <w:kern w:val="0"/>
                <w:sz w:val="22"/>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850" w:hRule="exact"/>
          <w:jc w:val="center"/>
        </w:trPr>
        <w:tc>
          <w:tcPr>
            <w:tcW w:w="40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rPr>
            </w:pPr>
            <w:r>
              <w:rPr>
                <w:rFonts w:hint="eastAsia" w:ascii="宋体" w:hAnsi="宋体" w:eastAsia="宋体" w:cs="宋体"/>
                <w:color w:val="auto"/>
              </w:rPr>
              <w:t>大坝两端及管理范围</w:t>
            </w:r>
          </w:p>
          <w:p>
            <w:pPr>
              <w:pStyle w:val="67"/>
              <w:ind w:firstLine="0"/>
              <w:rPr>
                <w:rFonts w:hint="eastAsia" w:ascii="宋体" w:hAnsi="宋体" w:eastAsia="宋体" w:cs="宋体"/>
                <w:color w:val="auto"/>
              </w:rPr>
            </w:pPr>
            <w:r>
              <w:rPr>
                <w:rFonts w:hint="eastAsia" w:ascii="宋体" w:hAnsi="宋体" w:eastAsia="宋体" w:cs="宋体"/>
                <w:color w:val="auto"/>
                <w:kern w:val="0"/>
                <w:sz w:val="22"/>
                <w:lang w:val="en-US" w:eastAsia="zh-CN"/>
              </w:rPr>
              <w:t>（30分）</w:t>
            </w: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1、管理范围内杂草、高</w:t>
            </w:r>
            <w:r>
              <w:rPr>
                <w:rFonts w:hint="eastAsia" w:ascii="宋体" w:hAnsi="宋体" w:eastAsia="宋体" w:cs="宋体"/>
                <w:color w:val="auto"/>
                <w:kern w:val="0"/>
                <w:sz w:val="22"/>
                <w:lang w:eastAsia="zh-CN"/>
              </w:rPr>
              <w:t>杆</w:t>
            </w:r>
            <w:r>
              <w:rPr>
                <w:rFonts w:hint="eastAsia" w:ascii="宋体" w:hAnsi="宋体" w:eastAsia="宋体" w:cs="宋体"/>
                <w:color w:val="auto"/>
                <w:kern w:val="0"/>
                <w:sz w:val="22"/>
              </w:rPr>
              <w:t>作物等其他利于白蚁滋生的植物是否清除干净</w:t>
            </w:r>
            <w:r>
              <w:rPr>
                <w:rFonts w:hint="eastAsia" w:ascii="宋体" w:hAnsi="宋体" w:eastAsia="宋体" w:cs="宋体"/>
                <w:color w:val="auto"/>
                <w:kern w:val="0"/>
                <w:sz w:val="22"/>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670" w:hRule="exact"/>
          <w:jc w:val="center"/>
        </w:trPr>
        <w:tc>
          <w:tcPr>
            <w:tcW w:w="409"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2、管理范围内是否有白蚁活动迹象或巢位指示物</w:t>
            </w:r>
            <w:r>
              <w:rPr>
                <w:rFonts w:hint="eastAsia" w:ascii="宋体" w:hAnsi="宋体" w:eastAsia="宋体" w:cs="宋体"/>
                <w:color w:val="auto"/>
                <w:kern w:val="0"/>
                <w:sz w:val="22"/>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1321" w:hRule="exact"/>
          <w:jc w:val="center"/>
        </w:trPr>
        <w:tc>
          <w:tcPr>
            <w:tcW w:w="40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3、管理范围内现场白蚁检测装置或引诱堆</w:t>
            </w:r>
            <w:r>
              <w:rPr>
                <w:rFonts w:hint="eastAsia" w:ascii="仿宋" w:hAnsi="仿宋" w:eastAsia="仿宋" w:cs="仿宋"/>
                <w:color w:val="auto"/>
                <w:kern w:val="0"/>
                <w:sz w:val="22"/>
                <w:highlight w:val="none"/>
                <w:lang w:eastAsia="zh-CN"/>
              </w:rPr>
              <w:t>（智能装置及系统平台）</w:t>
            </w:r>
            <w:r>
              <w:rPr>
                <w:rFonts w:hint="eastAsia" w:ascii="宋体" w:hAnsi="宋体" w:eastAsia="宋体" w:cs="宋体"/>
                <w:color w:val="auto"/>
                <w:kern w:val="0"/>
                <w:sz w:val="22"/>
              </w:rPr>
              <w:t>、引诱桩、引诱坑、检查盒、诱杀包等是否按标准设置，是否损坏、遗失</w:t>
            </w:r>
            <w:r>
              <w:rPr>
                <w:rFonts w:hint="eastAsia" w:ascii="宋体" w:hAnsi="宋体" w:eastAsia="宋体" w:cs="宋体"/>
                <w:color w:val="auto"/>
                <w:kern w:val="0"/>
                <w:sz w:val="22"/>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850" w:hRule="exact"/>
          <w:jc w:val="center"/>
        </w:trPr>
        <w:tc>
          <w:tcPr>
            <w:tcW w:w="40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rPr>
            </w:pPr>
            <w:r>
              <w:rPr>
                <w:rFonts w:hint="eastAsia" w:ascii="宋体" w:hAnsi="宋体" w:eastAsia="宋体" w:cs="宋体"/>
                <w:color w:val="auto"/>
              </w:rPr>
              <w:t>人员设备</w:t>
            </w:r>
          </w:p>
          <w:p>
            <w:pPr>
              <w:pStyle w:val="67"/>
              <w:ind w:firstLine="0"/>
              <w:rPr>
                <w:rFonts w:hint="eastAsia" w:ascii="宋体" w:hAnsi="宋体" w:eastAsia="宋体" w:cs="宋体"/>
                <w:color w:val="auto"/>
              </w:rPr>
            </w:pPr>
            <w:r>
              <w:rPr>
                <w:rFonts w:hint="eastAsia" w:ascii="宋体" w:hAnsi="宋体" w:eastAsia="宋体" w:cs="宋体"/>
                <w:color w:val="auto"/>
                <w:kern w:val="0"/>
                <w:sz w:val="22"/>
                <w:lang w:val="en-US" w:eastAsia="zh-CN"/>
              </w:rPr>
              <w:t>（21分）</w:t>
            </w: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1、防治人员是否按册及时到岗，使用设备是否符合规程</w:t>
            </w:r>
            <w:r>
              <w:rPr>
                <w:rFonts w:hint="eastAsia" w:ascii="宋体" w:hAnsi="宋体" w:eastAsia="宋体" w:cs="宋体"/>
                <w:color w:val="auto"/>
                <w:kern w:val="0"/>
                <w:sz w:val="22"/>
                <w:lang w:val="en-US" w:eastAsia="zh-CN"/>
              </w:rPr>
              <w:t>（7分）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730" w:hRule="exact"/>
          <w:jc w:val="center"/>
        </w:trPr>
        <w:tc>
          <w:tcPr>
            <w:tcW w:w="409"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2、白蚁防治设备按名录储备齐全</w:t>
            </w:r>
            <w:r>
              <w:rPr>
                <w:rFonts w:hint="eastAsia" w:ascii="宋体" w:hAnsi="宋体" w:eastAsia="宋体" w:cs="宋体"/>
                <w:color w:val="auto"/>
                <w:kern w:val="0"/>
                <w:sz w:val="22"/>
                <w:lang w:val="en-US" w:eastAsia="zh-CN"/>
              </w:rPr>
              <w:t>（7分）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850" w:hRule="exact"/>
          <w:jc w:val="center"/>
        </w:trPr>
        <w:tc>
          <w:tcPr>
            <w:tcW w:w="40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3、药物使用及喷洒投放是否符合规程，是否在投药位置设置醒目的警示牌</w:t>
            </w:r>
            <w:r>
              <w:rPr>
                <w:rFonts w:hint="eastAsia" w:ascii="宋体" w:hAnsi="宋体" w:eastAsia="宋体" w:cs="宋体"/>
                <w:color w:val="auto"/>
                <w:kern w:val="0"/>
                <w:sz w:val="22"/>
                <w:lang w:val="en-US" w:eastAsia="zh-CN"/>
              </w:rPr>
              <w:t>（7分）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565" w:hRule="atLeast"/>
          <w:jc w:val="center"/>
        </w:trPr>
        <w:tc>
          <w:tcPr>
            <w:tcW w:w="40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维养台账</w:t>
            </w:r>
            <w:r>
              <w:rPr>
                <w:rFonts w:hint="eastAsia" w:ascii="宋体" w:hAnsi="宋体" w:eastAsia="宋体" w:cs="宋体"/>
                <w:color w:val="auto"/>
                <w:kern w:val="0"/>
                <w:sz w:val="22"/>
                <w:lang w:val="en-US" w:eastAsia="zh-CN"/>
              </w:rPr>
              <w:t>（9分）</w:t>
            </w: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考核标准</w:t>
            </w:r>
          </w:p>
        </w:tc>
        <w:tc>
          <w:tcPr>
            <w:tcW w:w="2763" w:type="pct"/>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未按要求开展巡查，巡查、维养未做好各类记录的，每项扣3分</w:t>
            </w:r>
          </w:p>
        </w:tc>
      </w:tr>
      <w:tr>
        <w:tblPrEx>
          <w:tblCellMar>
            <w:top w:w="0" w:type="dxa"/>
            <w:left w:w="108" w:type="dxa"/>
            <w:bottom w:w="0" w:type="dxa"/>
            <w:right w:w="108" w:type="dxa"/>
          </w:tblCellMar>
        </w:tblPrEx>
        <w:trPr>
          <w:trHeight w:val="530" w:hRule="atLeast"/>
          <w:jc w:val="center"/>
        </w:trPr>
        <w:tc>
          <w:tcPr>
            <w:tcW w:w="409"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是否按要求开展</w:t>
            </w:r>
            <w:r>
              <w:rPr>
                <w:rFonts w:hint="eastAsia" w:ascii="宋体" w:hAnsi="宋体" w:eastAsia="宋体" w:cs="宋体"/>
                <w:color w:val="auto"/>
                <w:kern w:val="0"/>
                <w:sz w:val="22"/>
                <w:lang w:eastAsia="zh-CN"/>
              </w:rPr>
              <w:t>作业区</w:t>
            </w:r>
            <w:r>
              <w:rPr>
                <w:rFonts w:hint="eastAsia" w:ascii="宋体" w:hAnsi="宋体" w:eastAsia="宋体" w:cs="宋体"/>
                <w:color w:val="auto"/>
                <w:kern w:val="0"/>
                <w:sz w:val="22"/>
              </w:rPr>
              <w:t>巡查，并做好各类记录</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855" w:hRule="atLeast"/>
          <w:jc w:val="center"/>
        </w:trPr>
        <w:tc>
          <w:tcPr>
            <w:tcW w:w="409" w:type="pc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考核结果</w:t>
            </w:r>
          </w:p>
        </w:tc>
        <w:tc>
          <w:tcPr>
            <w:tcW w:w="4590" w:type="pct"/>
            <w:gridSpan w:val="2"/>
            <w:tcBorders>
              <w:top w:val="nil"/>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2"/>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本次考核总</w:t>
            </w:r>
            <w:r>
              <w:rPr>
                <w:rFonts w:hint="eastAsia" w:ascii="宋体" w:hAnsi="宋体" w:eastAsia="宋体" w:cs="宋体"/>
                <w:color w:val="auto"/>
                <w:kern w:val="0"/>
                <w:sz w:val="22"/>
                <w:lang w:eastAsia="zh-CN"/>
              </w:rPr>
              <w:t>得</w:t>
            </w:r>
            <w:r>
              <w:rPr>
                <w:rFonts w:hint="eastAsia" w:ascii="宋体" w:hAnsi="宋体" w:eastAsia="宋体" w:cs="宋体"/>
                <w:color w:val="auto"/>
                <w:kern w:val="0"/>
                <w:sz w:val="22"/>
              </w:rPr>
              <w:t>分：</w:t>
            </w:r>
            <w:r>
              <w:rPr>
                <w:rFonts w:hint="eastAsia" w:ascii="宋体" w:hAnsi="宋体" w:eastAsia="宋体" w:cs="宋体"/>
                <w:color w:val="auto"/>
                <w:kern w:val="0"/>
                <w:sz w:val="22"/>
                <w:u w:val="single"/>
              </w:rPr>
              <w:t xml:space="preserve">     </w:t>
            </w:r>
            <w:r>
              <w:rPr>
                <w:rFonts w:hint="eastAsia" w:ascii="宋体" w:hAnsi="宋体" w:eastAsia="宋体" w:cs="宋体"/>
                <w:color w:val="auto"/>
                <w:kern w:val="0"/>
                <w:sz w:val="22"/>
              </w:rPr>
              <w:t xml:space="preserve">分     </w:t>
            </w:r>
            <w:r>
              <w:rPr>
                <w:rFonts w:hint="eastAsia" w:ascii="宋体" w:hAnsi="宋体" w:eastAsia="宋体" w:cs="宋体"/>
                <w:color w:val="auto"/>
                <w:kern w:val="0"/>
                <w:sz w:val="22"/>
                <w:lang w:eastAsia="zh-CN"/>
              </w:rPr>
              <w:t>参加</w:t>
            </w:r>
            <w:r>
              <w:rPr>
                <w:rFonts w:hint="eastAsia" w:ascii="宋体" w:hAnsi="宋体" w:eastAsia="宋体" w:cs="宋体"/>
                <w:color w:val="auto"/>
                <w:kern w:val="0"/>
                <w:sz w:val="22"/>
              </w:rPr>
              <w:t>考核</w:t>
            </w:r>
            <w:r>
              <w:rPr>
                <w:rFonts w:hint="eastAsia" w:ascii="宋体" w:hAnsi="宋体" w:eastAsia="宋体" w:cs="宋体"/>
                <w:color w:val="auto"/>
                <w:kern w:val="0"/>
                <w:sz w:val="22"/>
                <w:lang w:eastAsia="zh-CN"/>
              </w:rPr>
              <w:t>人员</w:t>
            </w:r>
            <w:r>
              <w:rPr>
                <w:rFonts w:hint="eastAsia" w:ascii="宋体" w:hAnsi="宋体" w:eastAsia="宋体" w:cs="宋体"/>
                <w:color w:val="auto"/>
                <w:kern w:val="0"/>
                <w:sz w:val="22"/>
              </w:rPr>
              <w:t>：</w:t>
            </w:r>
            <w:r>
              <w:rPr>
                <w:rFonts w:hint="eastAsia" w:ascii="宋体" w:hAnsi="宋体" w:eastAsia="宋体" w:cs="宋体"/>
                <w:color w:val="auto"/>
                <w:kern w:val="0"/>
                <w:sz w:val="22"/>
                <w:u w:val="single"/>
              </w:rPr>
              <w:t xml:space="preserve">    </w:t>
            </w:r>
            <w:r>
              <w:rPr>
                <w:rFonts w:hint="eastAsia" w:ascii="宋体" w:hAnsi="宋体" w:eastAsia="宋体" w:cs="宋体"/>
                <w:color w:val="auto"/>
                <w:kern w:val="0"/>
                <w:sz w:val="22"/>
                <w:u w:val="single"/>
                <w:lang w:val="en-US" w:eastAsia="zh-CN"/>
              </w:rPr>
              <w:t xml:space="preserve">        </w:t>
            </w:r>
            <w:r>
              <w:rPr>
                <w:rFonts w:hint="eastAsia" w:ascii="宋体" w:hAnsi="宋体" w:eastAsia="宋体" w:cs="宋体"/>
                <w:color w:val="auto"/>
                <w:kern w:val="0"/>
                <w:sz w:val="22"/>
                <w:u w:val="single"/>
              </w:rPr>
              <w:t xml:space="preserve">   </w:t>
            </w:r>
            <w:r>
              <w:rPr>
                <w:rFonts w:hint="eastAsia" w:ascii="宋体" w:hAnsi="宋体" w:eastAsia="宋体" w:cs="宋体"/>
                <w:color w:val="auto"/>
                <w:kern w:val="0"/>
                <w:sz w:val="22"/>
                <w:u w:val="single"/>
                <w:lang w:val="en-US" w:eastAsia="zh-CN"/>
              </w:rPr>
              <w:t xml:space="preserve">      </w:t>
            </w:r>
            <w:r>
              <w:rPr>
                <w:rFonts w:hint="eastAsia" w:ascii="宋体" w:hAnsi="宋体" w:eastAsia="宋体" w:cs="宋体"/>
                <w:color w:val="auto"/>
                <w:kern w:val="0"/>
                <w:sz w:val="22"/>
                <w:u w:val="single"/>
              </w:rPr>
              <w:t xml:space="preserve">     </w:t>
            </w:r>
            <w:r>
              <w:rPr>
                <w:rFonts w:hint="eastAsia" w:ascii="宋体" w:hAnsi="宋体" w:eastAsia="宋体" w:cs="宋体"/>
                <w:color w:val="auto"/>
                <w:kern w:val="0"/>
                <w:sz w:val="22"/>
              </w:rPr>
              <w:t xml:space="preserve">  </w:t>
            </w:r>
          </w:p>
        </w:tc>
      </w:tr>
    </w:tbl>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注：1.扣分要提供照片和简要的文字说明；</w:t>
      </w:r>
    </w:p>
    <w:p>
      <w:pPr>
        <w:keepNext w:val="0"/>
        <w:keepLines w:val="0"/>
        <w:pageBreakBefore w:val="0"/>
        <w:widowControl/>
        <w:numPr>
          <w:ilvl w:val="-1"/>
          <w:numId w:val="0"/>
        </w:numPr>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color w:val="auto"/>
          <w:kern w:val="0"/>
          <w:sz w:val="22"/>
        </w:rPr>
      </w:pPr>
      <w:r>
        <w:rPr>
          <w:rFonts w:hint="eastAsia" w:ascii="宋体" w:hAnsi="宋体" w:eastAsia="宋体" w:cs="宋体"/>
          <w:color w:val="auto"/>
          <w:kern w:val="0"/>
          <w:sz w:val="22"/>
          <w:lang w:eastAsia="zh-CN"/>
        </w:rPr>
        <w:t>　　</w:t>
      </w:r>
      <w:r>
        <w:rPr>
          <w:rFonts w:hint="eastAsia" w:ascii="宋体" w:hAnsi="宋体" w:eastAsia="宋体" w:cs="宋体"/>
          <w:color w:val="auto"/>
          <w:kern w:val="0"/>
          <w:sz w:val="22"/>
          <w:lang w:val="en-US" w:eastAsia="zh-CN"/>
        </w:rPr>
        <w:t>2.</w:t>
      </w:r>
      <w:r>
        <w:rPr>
          <w:rFonts w:hint="eastAsia" w:ascii="宋体" w:hAnsi="宋体" w:eastAsia="宋体" w:cs="宋体"/>
          <w:color w:val="auto"/>
          <w:kern w:val="0"/>
          <w:sz w:val="22"/>
        </w:rPr>
        <w:t>考核结果根据得分，满分100分，90分（含）以上为优秀、75（含）~90分为良好，60（含）~75分为合格，60分以下为不合格；</w:t>
      </w:r>
    </w:p>
    <w:p>
      <w:pPr>
        <w:rPr>
          <w:rFonts w:hint="eastAsia" w:ascii="宋体" w:hAnsi="宋体" w:eastAsia="宋体" w:cs="宋体"/>
          <w:color w:val="auto"/>
          <w:sz w:val="24"/>
          <w:szCs w:val="24"/>
        </w:rPr>
      </w:pPr>
    </w:p>
    <w:p>
      <w:pPr>
        <w:spacing w:line="360" w:lineRule="auto"/>
        <w:jc w:val="center"/>
        <w:outlineLvl w:val="0"/>
        <w:rPr>
          <w:rFonts w:hint="eastAsia" w:ascii="宋体" w:hAnsi="宋体" w:eastAsia="宋体" w:cs="宋体"/>
          <w:b/>
          <w:color w:val="auto"/>
          <w:sz w:val="36"/>
          <w:szCs w:val="36"/>
        </w:rPr>
      </w:pP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10336"/>
      <w:bookmarkEnd w:id="28"/>
      <w:bookmarkStart w:id="29" w:name="_Toc184313282"/>
      <w:bookmarkEnd w:id="29"/>
      <w:bookmarkStart w:id="30" w:name="_Toc184312132"/>
      <w:bookmarkEnd w:id="30"/>
      <w:bookmarkStart w:id="31" w:name="_Toc184312080"/>
      <w:bookmarkEnd w:id="31"/>
      <w:bookmarkStart w:id="32" w:name="_Toc184310297"/>
      <w:bookmarkEnd w:id="32"/>
      <w:bookmarkStart w:id="33" w:name="_Toc184313292"/>
      <w:bookmarkEnd w:id="33"/>
      <w:bookmarkStart w:id="34" w:name="_Toc184310279"/>
      <w:bookmarkEnd w:id="34"/>
      <w:bookmarkStart w:id="35" w:name="_Toc184312107"/>
      <w:bookmarkEnd w:id="35"/>
      <w:bookmarkStart w:id="36" w:name="_Toc184310289"/>
      <w:bookmarkEnd w:id="36"/>
      <w:bookmarkStart w:id="37" w:name="_Toc184308053"/>
      <w:bookmarkEnd w:id="37"/>
      <w:bookmarkStart w:id="38" w:name="_Toc184313297"/>
      <w:bookmarkEnd w:id="38"/>
      <w:bookmarkStart w:id="39" w:name="_Toc184313243"/>
      <w:bookmarkEnd w:id="39"/>
      <w:bookmarkStart w:id="40" w:name="_Toc184312129"/>
      <w:bookmarkEnd w:id="40"/>
      <w:bookmarkStart w:id="41" w:name="_Toc184310302"/>
      <w:bookmarkEnd w:id="41"/>
      <w:bookmarkStart w:id="42" w:name="_Toc184314457"/>
      <w:bookmarkEnd w:id="42"/>
      <w:bookmarkStart w:id="43" w:name="_Toc184313241"/>
      <w:bookmarkEnd w:id="43"/>
      <w:bookmarkStart w:id="44" w:name="_Toc184310319"/>
      <w:bookmarkEnd w:id="44"/>
      <w:bookmarkStart w:id="45" w:name="_Toc184313291"/>
      <w:bookmarkEnd w:id="45"/>
      <w:bookmarkStart w:id="46" w:name="_Toc184314456"/>
      <w:bookmarkEnd w:id="46"/>
      <w:bookmarkStart w:id="47" w:name="_Toc184312137"/>
      <w:bookmarkEnd w:id="47"/>
      <w:bookmarkStart w:id="48" w:name="_Toc184310344"/>
      <w:bookmarkEnd w:id="48"/>
      <w:bookmarkStart w:id="49" w:name="_Toc184310326"/>
      <w:bookmarkEnd w:id="49"/>
      <w:bookmarkStart w:id="50" w:name="_Toc184308056"/>
      <w:bookmarkEnd w:id="50"/>
      <w:bookmarkStart w:id="51" w:name="_Toc184310343"/>
      <w:bookmarkEnd w:id="51"/>
      <w:bookmarkStart w:id="52" w:name="_Toc184312074"/>
      <w:bookmarkEnd w:id="52"/>
      <w:bookmarkStart w:id="53" w:name="_Toc184310328"/>
      <w:bookmarkEnd w:id="53"/>
      <w:bookmarkStart w:id="54" w:name="_Toc184313245"/>
      <w:bookmarkEnd w:id="54"/>
      <w:bookmarkStart w:id="55" w:name="_Toc184314470"/>
      <w:bookmarkEnd w:id="55"/>
      <w:bookmarkStart w:id="56" w:name="_Toc184308070"/>
      <w:bookmarkEnd w:id="56"/>
      <w:bookmarkStart w:id="57" w:name="_Toc184312131"/>
      <w:bookmarkEnd w:id="57"/>
      <w:bookmarkStart w:id="58" w:name="_Toc184308086"/>
      <w:bookmarkEnd w:id="58"/>
      <w:bookmarkStart w:id="59" w:name="_Toc184314413"/>
      <w:bookmarkEnd w:id="59"/>
      <w:bookmarkStart w:id="60" w:name="_Toc184314474"/>
      <w:bookmarkEnd w:id="60"/>
      <w:bookmarkStart w:id="61" w:name="_Toc184310323"/>
      <w:bookmarkEnd w:id="61"/>
      <w:bookmarkStart w:id="62" w:name="_Toc184308041"/>
      <w:bookmarkEnd w:id="62"/>
      <w:bookmarkStart w:id="63" w:name="_Toc184312106"/>
      <w:bookmarkEnd w:id="63"/>
      <w:bookmarkStart w:id="64" w:name="_Toc184313306"/>
      <w:bookmarkEnd w:id="64"/>
      <w:bookmarkStart w:id="65" w:name="_Toc184312130"/>
      <w:bookmarkEnd w:id="65"/>
      <w:bookmarkStart w:id="66" w:name="_Toc184312079"/>
      <w:bookmarkEnd w:id="66"/>
      <w:bookmarkStart w:id="67" w:name="_Toc184308068"/>
      <w:bookmarkEnd w:id="67"/>
      <w:bookmarkStart w:id="68" w:name="_Toc184312124"/>
      <w:bookmarkEnd w:id="68"/>
      <w:bookmarkStart w:id="69" w:name="_Toc184310313"/>
      <w:bookmarkEnd w:id="69"/>
      <w:bookmarkStart w:id="70" w:name="_Toc184312116"/>
      <w:bookmarkEnd w:id="70"/>
      <w:bookmarkStart w:id="71" w:name="_Toc184310298"/>
      <w:bookmarkEnd w:id="71"/>
      <w:bookmarkStart w:id="72" w:name="_Toc184308036"/>
      <w:bookmarkEnd w:id="72"/>
      <w:bookmarkStart w:id="73" w:name="_Toc184308039"/>
      <w:bookmarkEnd w:id="73"/>
      <w:bookmarkStart w:id="74" w:name="_Toc184313287"/>
      <w:bookmarkEnd w:id="74"/>
      <w:bookmarkStart w:id="75" w:name="_Toc184308044"/>
      <w:bookmarkEnd w:id="75"/>
      <w:bookmarkStart w:id="76" w:name="_Toc184314450"/>
      <w:bookmarkEnd w:id="76"/>
      <w:bookmarkStart w:id="77" w:name="_Toc184308108"/>
      <w:bookmarkEnd w:id="77"/>
      <w:bookmarkStart w:id="78" w:name="_Toc184314422"/>
      <w:bookmarkEnd w:id="78"/>
      <w:bookmarkStart w:id="79" w:name="_Toc184312100"/>
      <w:bookmarkEnd w:id="79"/>
      <w:bookmarkStart w:id="80" w:name="_Toc184313278"/>
      <w:bookmarkEnd w:id="80"/>
      <w:bookmarkStart w:id="81" w:name="_Toc184313253"/>
      <w:bookmarkEnd w:id="81"/>
      <w:bookmarkStart w:id="82" w:name="_Toc184310320"/>
      <w:bookmarkEnd w:id="82"/>
      <w:bookmarkStart w:id="83" w:name="_Toc184312090"/>
      <w:bookmarkEnd w:id="83"/>
      <w:bookmarkStart w:id="84" w:name="_Toc184308103"/>
      <w:bookmarkEnd w:id="84"/>
      <w:bookmarkStart w:id="85" w:name="_Toc184313263"/>
      <w:bookmarkEnd w:id="85"/>
      <w:bookmarkStart w:id="86" w:name="_Toc184314424"/>
      <w:bookmarkEnd w:id="86"/>
      <w:bookmarkStart w:id="87" w:name="_Toc184312126"/>
      <w:bookmarkEnd w:id="87"/>
      <w:bookmarkStart w:id="88" w:name="_Toc184314420"/>
      <w:bookmarkEnd w:id="88"/>
      <w:bookmarkStart w:id="89" w:name="_Toc184313273"/>
      <w:bookmarkEnd w:id="89"/>
      <w:bookmarkStart w:id="90" w:name="_Toc184314458"/>
      <w:bookmarkEnd w:id="90"/>
      <w:bookmarkStart w:id="91" w:name="_Toc184308047"/>
      <w:bookmarkEnd w:id="91"/>
      <w:bookmarkStart w:id="92" w:name="_Toc184314469"/>
      <w:bookmarkEnd w:id="92"/>
      <w:bookmarkStart w:id="93" w:name="_Toc184312078"/>
      <w:bookmarkEnd w:id="93"/>
      <w:bookmarkStart w:id="94" w:name="_Toc184312101"/>
      <w:bookmarkEnd w:id="94"/>
      <w:bookmarkStart w:id="95" w:name="_Toc184313271"/>
      <w:bookmarkEnd w:id="95"/>
      <w:bookmarkStart w:id="96" w:name="_Toc184308085"/>
      <w:bookmarkEnd w:id="96"/>
      <w:bookmarkStart w:id="97" w:name="_Toc184314455"/>
      <w:bookmarkEnd w:id="97"/>
      <w:bookmarkStart w:id="98" w:name="_Toc184313257"/>
      <w:bookmarkEnd w:id="98"/>
      <w:bookmarkStart w:id="99" w:name="_Toc184313283"/>
      <w:bookmarkEnd w:id="99"/>
      <w:bookmarkStart w:id="100" w:name="_Toc184314477"/>
      <w:bookmarkEnd w:id="100"/>
      <w:bookmarkStart w:id="101" w:name="_Toc184313264"/>
      <w:bookmarkEnd w:id="101"/>
      <w:bookmarkStart w:id="102" w:name="_Toc184310341"/>
      <w:bookmarkEnd w:id="102"/>
      <w:bookmarkStart w:id="103" w:name="_Toc184308091"/>
      <w:bookmarkEnd w:id="103"/>
      <w:bookmarkStart w:id="104" w:name="_Toc184308095"/>
      <w:bookmarkEnd w:id="104"/>
      <w:bookmarkStart w:id="105" w:name="_Toc184308061"/>
      <w:bookmarkEnd w:id="105"/>
      <w:bookmarkStart w:id="106" w:name="_Toc184313254"/>
      <w:bookmarkEnd w:id="106"/>
      <w:bookmarkStart w:id="107" w:name="_Toc184313259"/>
      <w:bookmarkEnd w:id="107"/>
      <w:bookmarkStart w:id="108" w:name="_Toc184314441"/>
      <w:bookmarkEnd w:id="108"/>
      <w:bookmarkStart w:id="109" w:name="_Toc184308093"/>
      <w:bookmarkEnd w:id="109"/>
      <w:bookmarkStart w:id="110" w:name="_Toc184310314"/>
      <w:bookmarkEnd w:id="110"/>
      <w:bookmarkStart w:id="111" w:name="_Toc184313310"/>
      <w:bookmarkEnd w:id="111"/>
      <w:bookmarkStart w:id="112" w:name="_Toc184312089"/>
      <w:bookmarkEnd w:id="112"/>
      <w:bookmarkStart w:id="113" w:name="_Toc184310285"/>
      <w:bookmarkEnd w:id="113"/>
      <w:bookmarkStart w:id="114" w:name="_Toc184312136"/>
      <w:bookmarkEnd w:id="114"/>
      <w:bookmarkStart w:id="115" w:name="_Toc184312115"/>
      <w:bookmarkEnd w:id="115"/>
      <w:bookmarkStart w:id="116" w:name="_Toc184313267"/>
      <w:bookmarkEnd w:id="116"/>
      <w:bookmarkStart w:id="117" w:name="_Toc184308098"/>
      <w:bookmarkEnd w:id="117"/>
      <w:bookmarkStart w:id="118" w:name="_Toc184310337"/>
      <w:bookmarkEnd w:id="118"/>
      <w:bookmarkStart w:id="119" w:name="_Toc184310335"/>
      <w:bookmarkEnd w:id="119"/>
      <w:bookmarkStart w:id="120" w:name="_Toc184308094"/>
      <w:bookmarkEnd w:id="120"/>
      <w:bookmarkStart w:id="121" w:name="_Toc184310342"/>
      <w:bookmarkEnd w:id="121"/>
      <w:bookmarkStart w:id="122" w:name="_Toc184314421"/>
      <w:bookmarkEnd w:id="122"/>
      <w:bookmarkStart w:id="123" w:name="_Toc184308097"/>
      <w:bookmarkEnd w:id="123"/>
      <w:bookmarkStart w:id="124" w:name="_Toc184312122"/>
      <w:bookmarkEnd w:id="124"/>
      <w:bookmarkStart w:id="125" w:name="_Toc184313261"/>
      <w:bookmarkEnd w:id="125"/>
      <w:bookmarkStart w:id="126" w:name="_Toc184314431"/>
      <w:bookmarkEnd w:id="126"/>
      <w:bookmarkStart w:id="127" w:name="_Toc184313284"/>
      <w:bookmarkEnd w:id="127"/>
      <w:bookmarkStart w:id="128" w:name="_Toc184308076"/>
      <w:bookmarkEnd w:id="128"/>
      <w:bookmarkStart w:id="129" w:name="_Toc184314480"/>
      <w:bookmarkEnd w:id="129"/>
      <w:bookmarkStart w:id="130" w:name="_Toc184310281"/>
      <w:bookmarkEnd w:id="130"/>
      <w:bookmarkStart w:id="131" w:name="_Toc184312070"/>
      <w:bookmarkEnd w:id="131"/>
      <w:bookmarkStart w:id="132" w:name="_Toc184308104"/>
      <w:bookmarkEnd w:id="132"/>
      <w:bookmarkStart w:id="133" w:name="_Toc184314446"/>
      <w:bookmarkEnd w:id="133"/>
      <w:bookmarkStart w:id="134" w:name="_Toc184313286"/>
      <w:bookmarkEnd w:id="134"/>
      <w:bookmarkStart w:id="135" w:name="_Toc184314468"/>
      <w:bookmarkEnd w:id="135"/>
      <w:bookmarkStart w:id="136" w:name="_Toc184314411"/>
      <w:bookmarkEnd w:id="136"/>
      <w:bookmarkStart w:id="137" w:name="_Toc184312108"/>
      <w:bookmarkEnd w:id="137"/>
      <w:bookmarkStart w:id="138" w:name="_Toc184308048"/>
      <w:bookmarkEnd w:id="138"/>
      <w:bookmarkStart w:id="139" w:name="_Toc184312125"/>
      <w:bookmarkEnd w:id="139"/>
      <w:bookmarkStart w:id="140" w:name="_Toc184310304"/>
      <w:bookmarkEnd w:id="140"/>
      <w:bookmarkStart w:id="141" w:name="_Toc184313281"/>
      <w:bookmarkEnd w:id="141"/>
      <w:bookmarkStart w:id="142" w:name="_Toc184314478"/>
      <w:bookmarkEnd w:id="142"/>
      <w:bookmarkStart w:id="143" w:name="_Toc184314426"/>
      <w:bookmarkEnd w:id="143"/>
      <w:bookmarkStart w:id="144" w:name="_Toc184312082"/>
      <w:bookmarkEnd w:id="144"/>
      <w:bookmarkStart w:id="145" w:name="_Toc184313301"/>
      <w:bookmarkEnd w:id="145"/>
      <w:bookmarkStart w:id="146" w:name="_Toc184314481"/>
      <w:bookmarkEnd w:id="146"/>
      <w:bookmarkStart w:id="147" w:name="_Toc184312112"/>
      <w:bookmarkEnd w:id="147"/>
      <w:bookmarkStart w:id="148" w:name="_Toc184310316"/>
      <w:bookmarkEnd w:id="148"/>
      <w:bookmarkStart w:id="149" w:name="_Toc184312123"/>
      <w:bookmarkEnd w:id="149"/>
      <w:bookmarkStart w:id="150" w:name="_Toc184314452"/>
      <w:bookmarkEnd w:id="150"/>
      <w:bookmarkStart w:id="151" w:name="_Toc184312099"/>
      <w:bookmarkEnd w:id="151"/>
      <w:bookmarkStart w:id="152" w:name="_Toc184313309"/>
      <w:bookmarkEnd w:id="152"/>
      <w:bookmarkStart w:id="153" w:name="_Toc184313256"/>
      <w:bookmarkEnd w:id="153"/>
      <w:bookmarkStart w:id="154" w:name="_Toc184308065"/>
      <w:bookmarkEnd w:id="154"/>
      <w:bookmarkStart w:id="155" w:name="_Toc184308051"/>
      <w:bookmarkEnd w:id="155"/>
      <w:bookmarkStart w:id="156" w:name="_Toc184314473"/>
      <w:bookmarkEnd w:id="156"/>
      <w:bookmarkStart w:id="157" w:name="_Toc184310294"/>
      <w:bookmarkEnd w:id="157"/>
      <w:bookmarkStart w:id="158" w:name="_Toc184308037"/>
      <w:bookmarkEnd w:id="158"/>
      <w:bookmarkStart w:id="159" w:name="_Toc184314463"/>
      <w:bookmarkEnd w:id="159"/>
      <w:bookmarkStart w:id="160" w:name="_Toc184314464"/>
      <w:bookmarkEnd w:id="160"/>
      <w:bookmarkStart w:id="161" w:name="_Toc184313299"/>
      <w:bookmarkEnd w:id="161"/>
      <w:bookmarkStart w:id="162" w:name="_Toc184308059"/>
      <w:bookmarkEnd w:id="162"/>
      <w:bookmarkStart w:id="163" w:name="_Toc184314410"/>
      <w:bookmarkEnd w:id="163"/>
      <w:bookmarkStart w:id="164" w:name="_Toc184310272"/>
      <w:bookmarkEnd w:id="164"/>
      <w:bookmarkStart w:id="165" w:name="_Toc184314415"/>
      <w:bookmarkEnd w:id="165"/>
      <w:bookmarkStart w:id="166" w:name="_Toc184314440"/>
      <w:bookmarkEnd w:id="166"/>
      <w:bookmarkStart w:id="167" w:name="_Toc184313275"/>
      <w:bookmarkEnd w:id="167"/>
      <w:bookmarkStart w:id="168" w:name="_Toc184314416"/>
      <w:bookmarkEnd w:id="168"/>
      <w:bookmarkStart w:id="169" w:name="_Toc184313240"/>
      <w:bookmarkEnd w:id="169"/>
      <w:bookmarkStart w:id="170" w:name="_Toc184314443"/>
      <w:bookmarkEnd w:id="170"/>
      <w:bookmarkStart w:id="171" w:name="_Toc184313266"/>
      <w:bookmarkEnd w:id="171"/>
      <w:bookmarkStart w:id="172" w:name="_Toc184313293"/>
      <w:bookmarkEnd w:id="172"/>
      <w:bookmarkStart w:id="173" w:name="_Toc184314438"/>
      <w:bookmarkEnd w:id="173"/>
      <w:bookmarkStart w:id="174" w:name="_Toc184314447"/>
      <w:bookmarkEnd w:id="174"/>
      <w:bookmarkStart w:id="175" w:name="_Toc184314459"/>
      <w:bookmarkEnd w:id="175"/>
      <w:bookmarkStart w:id="176" w:name="_Toc184314432"/>
      <w:bookmarkEnd w:id="176"/>
      <w:bookmarkStart w:id="177" w:name="_Toc184314444"/>
      <w:bookmarkEnd w:id="177"/>
      <w:bookmarkStart w:id="178" w:name="_Toc184312085"/>
      <w:bookmarkEnd w:id="178"/>
      <w:bookmarkStart w:id="179" w:name="_Toc184313260"/>
      <w:bookmarkEnd w:id="179"/>
      <w:bookmarkStart w:id="180" w:name="_Toc184310299"/>
      <w:bookmarkEnd w:id="180"/>
      <w:bookmarkStart w:id="181" w:name="_Toc184312071"/>
      <w:bookmarkEnd w:id="181"/>
      <w:bookmarkStart w:id="182" w:name="_Toc184313244"/>
      <w:bookmarkEnd w:id="182"/>
      <w:bookmarkStart w:id="183" w:name="_Toc184313308"/>
      <w:bookmarkEnd w:id="183"/>
      <w:bookmarkStart w:id="184" w:name="_Toc184310301"/>
      <w:bookmarkEnd w:id="184"/>
      <w:bookmarkStart w:id="185" w:name="_Toc184308071"/>
      <w:bookmarkEnd w:id="185"/>
      <w:bookmarkStart w:id="186" w:name="_Toc184310338"/>
      <w:bookmarkEnd w:id="186"/>
      <w:bookmarkStart w:id="187" w:name="_Toc184308078"/>
      <w:bookmarkEnd w:id="187"/>
      <w:bookmarkStart w:id="188" w:name="_Toc184310296"/>
      <w:bookmarkEnd w:id="188"/>
      <w:bookmarkStart w:id="189" w:name="_Toc184308055"/>
      <w:bookmarkEnd w:id="189"/>
      <w:bookmarkStart w:id="190" w:name="_Toc184312068"/>
      <w:bookmarkEnd w:id="190"/>
      <w:bookmarkStart w:id="191" w:name="_Toc184308100"/>
      <w:bookmarkEnd w:id="191"/>
      <w:bookmarkStart w:id="192" w:name="_Toc184308077"/>
      <w:bookmarkEnd w:id="192"/>
      <w:bookmarkStart w:id="193" w:name="_Toc184308054"/>
      <w:bookmarkEnd w:id="193"/>
      <w:bookmarkStart w:id="194" w:name="_Toc184310324"/>
      <w:bookmarkEnd w:id="194"/>
      <w:bookmarkStart w:id="195" w:name="_Toc184310331"/>
      <w:bookmarkEnd w:id="195"/>
      <w:bookmarkStart w:id="196" w:name="_Toc184313249"/>
      <w:bookmarkEnd w:id="196"/>
      <w:bookmarkStart w:id="197" w:name="_Toc184313289"/>
      <w:bookmarkEnd w:id="197"/>
      <w:bookmarkStart w:id="198" w:name="_Toc184312118"/>
      <w:bookmarkEnd w:id="198"/>
      <w:bookmarkStart w:id="199" w:name="_Toc184312087"/>
      <w:bookmarkEnd w:id="199"/>
      <w:bookmarkStart w:id="200" w:name="_Toc184314453"/>
      <w:bookmarkEnd w:id="200"/>
      <w:bookmarkStart w:id="201" w:name="_Toc184312092"/>
      <w:bookmarkEnd w:id="201"/>
      <w:bookmarkStart w:id="202" w:name="_Toc184313277"/>
      <w:bookmarkEnd w:id="202"/>
      <w:bookmarkStart w:id="203" w:name="_Toc184310322"/>
      <w:bookmarkEnd w:id="203"/>
      <w:bookmarkStart w:id="204" w:name="_Toc184310308"/>
      <w:bookmarkEnd w:id="204"/>
      <w:bookmarkStart w:id="205" w:name="_Toc184314462"/>
      <w:bookmarkEnd w:id="205"/>
      <w:bookmarkStart w:id="206" w:name="_Toc184314475"/>
      <w:bookmarkEnd w:id="206"/>
      <w:bookmarkStart w:id="207" w:name="_Toc184312103"/>
      <w:bookmarkEnd w:id="207"/>
      <w:bookmarkStart w:id="208" w:name="_Toc184310317"/>
      <w:bookmarkEnd w:id="208"/>
      <w:bookmarkStart w:id="209" w:name="_Toc184313285"/>
      <w:bookmarkEnd w:id="209"/>
      <w:bookmarkStart w:id="210" w:name="_Toc184313274"/>
      <w:bookmarkEnd w:id="210"/>
      <w:bookmarkStart w:id="211" w:name="_Toc184313294"/>
      <w:bookmarkEnd w:id="211"/>
      <w:bookmarkStart w:id="212" w:name="_Toc184308087"/>
      <w:bookmarkEnd w:id="212"/>
      <w:bookmarkStart w:id="213" w:name="_Toc184313298"/>
      <w:bookmarkEnd w:id="213"/>
      <w:bookmarkStart w:id="214" w:name="_Toc184313262"/>
      <w:bookmarkEnd w:id="214"/>
      <w:bookmarkStart w:id="215" w:name="_Toc184314439"/>
      <w:bookmarkEnd w:id="215"/>
      <w:bookmarkStart w:id="216" w:name="_Toc184314437"/>
      <w:bookmarkEnd w:id="216"/>
      <w:bookmarkStart w:id="217" w:name="_Toc184310288"/>
      <w:bookmarkEnd w:id="217"/>
      <w:bookmarkStart w:id="218" w:name="_Toc184310276"/>
      <w:bookmarkEnd w:id="218"/>
      <w:bookmarkStart w:id="219" w:name="_Toc184312121"/>
      <w:bookmarkEnd w:id="219"/>
      <w:bookmarkStart w:id="220" w:name="_Toc184314482"/>
      <w:bookmarkEnd w:id="220"/>
      <w:bookmarkStart w:id="221" w:name="_Toc184312075"/>
      <w:bookmarkEnd w:id="221"/>
      <w:bookmarkStart w:id="222" w:name="_Toc184310333"/>
      <w:bookmarkEnd w:id="222"/>
      <w:bookmarkStart w:id="223" w:name="_Toc184313276"/>
      <w:bookmarkEnd w:id="223"/>
      <w:bookmarkStart w:id="224" w:name="_Toc184308082"/>
      <w:bookmarkEnd w:id="224"/>
      <w:bookmarkStart w:id="225" w:name="_Toc184314467"/>
      <w:bookmarkEnd w:id="225"/>
      <w:bookmarkStart w:id="226" w:name="_Toc184310312"/>
      <w:bookmarkEnd w:id="226"/>
      <w:bookmarkStart w:id="227" w:name="_Toc184314425"/>
      <w:bookmarkEnd w:id="227"/>
      <w:bookmarkStart w:id="228" w:name="_Toc184308045"/>
      <w:bookmarkEnd w:id="228"/>
      <w:bookmarkStart w:id="229" w:name="_Toc184313246"/>
      <w:bookmarkEnd w:id="229"/>
      <w:bookmarkStart w:id="230" w:name="_Toc184308083"/>
      <w:bookmarkEnd w:id="230"/>
      <w:bookmarkStart w:id="231" w:name="_Toc184313280"/>
      <w:bookmarkEnd w:id="231"/>
      <w:bookmarkStart w:id="232" w:name="_Toc184314435"/>
      <w:bookmarkEnd w:id="232"/>
      <w:bookmarkStart w:id="233" w:name="_Toc184312069"/>
      <w:bookmarkEnd w:id="233"/>
      <w:bookmarkStart w:id="234" w:name="_Toc184310310"/>
      <w:bookmarkEnd w:id="234"/>
      <w:bookmarkStart w:id="235" w:name="_Toc184308096"/>
      <w:bookmarkEnd w:id="235"/>
      <w:bookmarkStart w:id="236" w:name="_Toc184308063"/>
      <w:bookmarkEnd w:id="236"/>
      <w:bookmarkStart w:id="237" w:name="_Toc184310282"/>
      <w:bookmarkEnd w:id="237"/>
      <w:bookmarkStart w:id="238" w:name="_Toc184313279"/>
      <w:bookmarkEnd w:id="238"/>
      <w:bookmarkStart w:id="239" w:name="_Toc184312109"/>
      <w:bookmarkEnd w:id="239"/>
      <w:bookmarkStart w:id="240" w:name="_Toc184310280"/>
      <w:bookmarkEnd w:id="240"/>
      <w:bookmarkStart w:id="241" w:name="_Toc184310274"/>
      <w:bookmarkEnd w:id="241"/>
      <w:bookmarkStart w:id="242" w:name="_Toc184310325"/>
      <w:bookmarkEnd w:id="242"/>
      <w:bookmarkStart w:id="243" w:name="_Toc184310293"/>
      <w:bookmarkEnd w:id="243"/>
      <w:bookmarkStart w:id="244" w:name="_Toc184313269"/>
      <w:bookmarkEnd w:id="244"/>
      <w:bookmarkStart w:id="245" w:name="_Toc184312088"/>
      <w:bookmarkEnd w:id="245"/>
      <w:bookmarkStart w:id="246" w:name="_Toc184313251"/>
      <w:bookmarkEnd w:id="246"/>
      <w:bookmarkStart w:id="247" w:name="_Toc184314433"/>
      <w:bookmarkEnd w:id="247"/>
      <w:bookmarkStart w:id="248" w:name="_Toc184314449"/>
      <w:bookmarkEnd w:id="248"/>
      <w:bookmarkStart w:id="249" w:name="_Toc184308040"/>
      <w:bookmarkEnd w:id="249"/>
      <w:bookmarkStart w:id="250" w:name="_Toc184314442"/>
      <w:bookmarkEnd w:id="250"/>
      <w:bookmarkStart w:id="251" w:name="_Toc184314448"/>
      <w:bookmarkEnd w:id="251"/>
      <w:bookmarkStart w:id="252" w:name="_Toc184308079"/>
      <w:bookmarkEnd w:id="252"/>
      <w:bookmarkStart w:id="253" w:name="_Toc184314423"/>
      <w:bookmarkEnd w:id="253"/>
      <w:bookmarkStart w:id="254" w:name="_Toc184313268"/>
      <w:bookmarkEnd w:id="254"/>
      <w:bookmarkStart w:id="255" w:name="_Toc184313239"/>
      <w:bookmarkEnd w:id="255"/>
      <w:bookmarkStart w:id="256" w:name="_Toc184310311"/>
      <w:bookmarkEnd w:id="256"/>
      <w:bookmarkStart w:id="257" w:name="_Toc184312102"/>
      <w:bookmarkEnd w:id="257"/>
      <w:bookmarkStart w:id="258" w:name="_Toc184310332"/>
      <w:bookmarkEnd w:id="258"/>
      <w:bookmarkStart w:id="259" w:name="_Toc184314476"/>
      <w:bookmarkEnd w:id="259"/>
      <w:bookmarkStart w:id="260" w:name="_Toc184310329"/>
      <w:bookmarkEnd w:id="260"/>
      <w:bookmarkStart w:id="261" w:name="_Toc184313290"/>
      <w:bookmarkEnd w:id="261"/>
      <w:bookmarkStart w:id="262" w:name="_Toc184310287"/>
      <w:bookmarkEnd w:id="262"/>
      <w:bookmarkStart w:id="263" w:name="_Toc184308042"/>
      <w:bookmarkEnd w:id="263"/>
      <w:bookmarkStart w:id="264" w:name="_Toc184314418"/>
      <w:bookmarkEnd w:id="264"/>
      <w:bookmarkStart w:id="265" w:name="_Toc184313302"/>
      <w:bookmarkEnd w:id="265"/>
      <w:bookmarkStart w:id="266" w:name="_Toc184312076"/>
      <w:bookmarkEnd w:id="266"/>
      <w:bookmarkStart w:id="267" w:name="_Toc184312128"/>
      <w:bookmarkEnd w:id="267"/>
      <w:bookmarkStart w:id="268" w:name="_Toc184312095"/>
      <w:bookmarkEnd w:id="268"/>
      <w:bookmarkStart w:id="269" w:name="_Toc184310303"/>
      <w:bookmarkEnd w:id="269"/>
      <w:bookmarkStart w:id="270" w:name="_Toc184310277"/>
      <w:bookmarkEnd w:id="270"/>
      <w:bookmarkStart w:id="271" w:name="_Toc184308057"/>
      <w:bookmarkEnd w:id="271"/>
      <w:bookmarkStart w:id="272" w:name="_Toc184310321"/>
      <w:bookmarkEnd w:id="272"/>
      <w:bookmarkStart w:id="273" w:name="_Toc184312097"/>
      <w:bookmarkEnd w:id="273"/>
      <w:bookmarkStart w:id="274" w:name="_Toc184312110"/>
      <w:bookmarkEnd w:id="274"/>
      <w:bookmarkStart w:id="275" w:name="_Toc184312117"/>
      <w:bookmarkEnd w:id="275"/>
      <w:bookmarkStart w:id="276" w:name="_Toc184308088"/>
      <w:bookmarkEnd w:id="276"/>
      <w:bookmarkStart w:id="277" w:name="_Toc184313255"/>
      <w:bookmarkEnd w:id="277"/>
      <w:bookmarkStart w:id="278" w:name="_Toc184308066"/>
      <w:bookmarkEnd w:id="278"/>
      <w:bookmarkStart w:id="279" w:name="_Toc184314428"/>
      <w:bookmarkEnd w:id="279"/>
      <w:bookmarkStart w:id="280" w:name="_Toc184310334"/>
      <w:bookmarkEnd w:id="280"/>
      <w:bookmarkStart w:id="281" w:name="_Toc184308101"/>
      <w:bookmarkEnd w:id="281"/>
      <w:bookmarkStart w:id="282" w:name="_Toc184308089"/>
      <w:bookmarkEnd w:id="282"/>
      <w:bookmarkStart w:id="283" w:name="_Toc184308072"/>
      <w:bookmarkEnd w:id="283"/>
      <w:bookmarkStart w:id="284" w:name="_Toc184312134"/>
      <w:bookmarkEnd w:id="284"/>
      <w:bookmarkStart w:id="285" w:name="_Toc184308084"/>
      <w:bookmarkEnd w:id="285"/>
      <w:bookmarkStart w:id="286" w:name="_Toc184312083"/>
      <w:bookmarkEnd w:id="286"/>
      <w:bookmarkStart w:id="287" w:name="_Toc184308106"/>
      <w:bookmarkEnd w:id="287"/>
      <w:bookmarkStart w:id="288" w:name="_Toc184312094"/>
      <w:bookmarkEnd w:id="288"/>
      <w:bookmarkStart w:id="289" w:name="_Toc184314429"/>
      <w:bookmarkEnd w:id="289"/>
      <w:bookmarkStart w:id="290" w:name="_Toc184312135"/>
      <w:bookmarkEnd w:id="290"/>
      <w:bookmarkStart w:id="291" w:name="_Toc184310306"/>
      <w:bookmarkEnd w:id="291"/>
      <w:bookmarkStart w:id="292" w:name="_Toc184308043"/>
      <w:bookmarkEnd w:id="292"/>
      <w:bookmarkStart w:id="293" w:name="_Toc184313248"/>
      <w:bookmarkEnd w:id="293"/>
      <w:bookmarkStart w:id="294" w:name="_Toc184312072"/>
      <w:bookmarkEnd w:id="294"/>
      <w:bookmarkStart w:id="295" w:name="_Toc184312081"/>
      <w:bookmarkEnd w:id="295"/>
      <w:bookmarkStart w:id="296" w:name="_Toc184313307"/>
      <w:bookmarkEnd w:id="296"/>
      <w:bookmarkStart w:id="297" w:name="_Toc184308092"/>
      <w:bookmarkEnd w:id="297"/>
      <w:bookmarkStart w:id="298" w:name="_Toc184310307"/>
      <w:bookmarkEnd w:id="298"/>
      <w:bookmarkStart w:id="299" w:name="_Toc184310283"/>
      <w:bookmarkEnd w:id="299"/>
      <w:bookmarkStart w:id="300" w:name="_Toc184308081"/>
      <w:bookmarkEnd w:id="300"/>
      <w:bookmarkStart w:id="301" w:name="_Toc184308105"/>
      <w:bookmarkEnd w:id="301"/>
      <w:bookmarkStart w:id="302" w:name="_Toc184313295"/>
      <w:bookmarkEnd w:id="302"/>
      <w:bookmarkStart w:id="303" w:name="_Toc184308046"/>
      <w:bookmarkEnd w:id="303"/>
      <w:bookmarkStart w:id="304" w:name="_Toc184312104"/>
      <w:bookmarkEnd w:id="304"/>
      <w:bookmarkStart w:id="305" w:name="_Toc184314460"/>
      <w:bookmarkEnd w:id="305"/>
      <w:bookmarkStart w:id="306" w:name="_Toc184313304"/>
      <w:bookmarkEnd w:id="306"/>
      <w:bookmarkStart w:id="307" w:name="_Toc184308067"/>
      <w:bookmarkEnd w:id="307"/>
      <w:bookmarkStart w:id="308" w:name="_Toc184308073"/>
      <w:bookmarkEnd w:id="308"/>
      <w:bookmarkStart w:id="309" w:name="_Toc184312093"/>
      <w:bookmarkEnd w:id="309"/>
      <w:bookmarkStart w:id="310" w:name="_Toc184313272"/>
      <w:bookmarkEnd w:id="310"/>
      <w:bookmarkStart w:id="311" w:name="_Toc184310315"/>
      <w:bookmarkEnd w:id="311"/>
      <w:bookmarkStart w:id="312" w:name="_Toc184312127"/>
      <w:bookmarkEnd w:id="312"/>
      <w:bookmarkStart w:id="313" w:name="_Toc184313305"/>
      <w:bookmarkEnd w:id="313"/>
      <w:bookmarkStart w:id="314" w:name="_Toc184310286"/>
      <w:bookmarkEnd w:id="314"/>
      <w:bookmarkStart w:id="315" w:name="_Toc184310273"/>
      <w:bookmarkEnd w:id="315"/>
      <w:bookmarkStart w:id="316" w:name="_Toc184310284"/>
      <w:bookmarkEnd w:id="316"/>
      <w:bookmarkStart w:id="317" w:name="_Toc184308049"/>
      <w:bookmarkEnd w:id="317"/>
      <w:bookmarkStart w:id="318" w:name="_Toc184312120"/>
      <w:bookmarkEnd w:id="318"/>
      <w:bookmarkStart w:id="319" w:name="_Toc184312105"/>
      <w:bookmarkEnd w:id="319"/>
      <w:bookmarkStart w:id="320" w:name="_Toc184310275"/>
      <w:bookmarkEnd w:id="320"/>
      <w:bookmarkStart w:id="321" w:name="_Toc184312133"/>
      <w:bookmarkEnd w:id="321"/>
      <w:bookmarkStart w:id="322" w:name="_Toc184314436"/>
      <w:bookmarkEnd w:id="322"/>
      <w:bookmarkStart w:id="323" w:name="_Toc184313288"/>
      <w:bookmarkEnd w:id="323"/>
      <w:bookmarkStart w:id="324" w:name="_Toc184314451"/>
      <w:bookmarkEnd w:id="324"/>
      <w:bookmarkStart w:id="325" w:name="_Toc184310300"/>
      <w:bookmarkEnd w:id="325"/>
      <w:bookmarkStart w:id="326" w:name="_Toc184312096"/>
      <w:bookmarkEnd w:id="326"/>
      <w:bookmarkStart w:id="327" w:name="_Toc184314434"/>
      <w:bookmarkEnd w:id="327"/>
      <w:bookmarkStart w:id="328" w:name="_Toc184314466"/>
      <w:bookmarkEnd w:id="328"/>
      <w:bookmarkStart w:id="329" w:name="_Toc184308099"/>
      <w:bookmarkEnd w:id="329"/>
      <w:bookmarkStart w:id="330" w:name="_Toc184310291"/>
      <w:bookmarkEnd w:id="330"/>
      <w:bookmarkStart w:id="331" w:name="_Toc184314430"/>
      <w:bookmarkEnd w:id="331"/>
      <w:bookmarkStart w:id="332" w:name="_Toc184308058"/>
      <w:bookmarkEnd w:id="332"/>
      <w:bookmarkStart w:id="333" w:name="_Toc184310327"/>
      <w:bookmarkEnd w:id="333"/>
      <w:bookmarkStart w:id="334" w:name="_Toc184312111"/>
      <w:bookmarkEnd w:id="334"/>
      <w:bookmarkStart w:id="335" w:name="_Toc184308038"/>
      <w:bookmarkEnd w:id="335"/>
      <w:bookmarkStart w:id="336" w:name="_Toc184313265"/>
      <w:bookmarkEnd w:id="336"/>
      <w:bookmarkStart w:id="337" w:name="_Toc184313238"/>
      <w:bookmarkEnd w:id="337"/>
      <w:bookmarkStart w:id="338" w:name="_Toc184313250"/>
      <w:bookmarkEnd w:id="338"/>
      <w:bookmarkStart w:id="339" w:name="_Toc184313258"/>
      <w:bookmarkEnd w:id="339"/>
      <w:bookmarkStart w:id="340" w:name="_Toc184314472"/>
      <w:bookmarkEnd w:id="340"/>
      <w:bookmarkStart w:id="341" w:name="_Toc184314454"/>
      <w:bookmarkEnd w:id="341"/>
      <w:bookmarkStart w:id="342" w:name="_Toc184312091"/>
      <w:bookmarkEnd w:id="342"/>
      <w:bookmarkStart w:id="343" w:name="_Toc184308052"/>
      <w:bookmarkEnd w:id="343"/>
      <w:bookmarkStart w:id="344" w:name="_Toc184308090"/>
      <w:bookmarkEnd w:id="344"/>
      <w:bookmarkStart w:id="345" w:name="_Toc184308069"/>
      <w:bookmarkEnd w:id="345"/>
      <w:bookmarkStart w:id="346" w:name="_Toc184310340"/>
      <w:bookmarkEnd w:id="346"/>
      <w:bookmarkStart w:id="347" w:name="_Toc184312138"/>
      <w:bookmarkEnd w:id="347"/>
      <w:bookmarkStart w:id="348" w:name="_Toc184314414"/>
      <w:bookmarkEnd w:id="348"/>
      <w:bookmarkStart w:id="349" w:name="_Toc184314445"/>
      <w:bookmarkEnd w:id="349"/>
      <w:bookmarkStart w:id="350" w:name="_Toc184308060"/>
      <w:bookmarkEnd w:id="350"/>
      <w:bookmarkStart w:id="351" w:name="_Toc184312114"/>
      <w:bookmarkEnd w:id="351"/>
      <w:bookmarkStart w:id="352" w:name="_Toc184308050"/>
      <w:bookmarkEnd w:id="352"/>
      <w:bookmarkStart w:id="353" w:name="_Toc184308062"/>
      <w:bookmarkEnd w:id="353"/>
      <w:bookmarkStart w:id="354" w:name="_Toc184313252"/>
      <w:bookmarkEnd w:id="354"/>
      <w:bookmarkStart w:id="355" w:name="_Toc184312098"/>
      <w:bookmarkEnd w:id="355"/>
      <w:bookmarkStart w:id="356" w:name="_Toc184308064"/>
      <w:bookmarkEnd w:id="356"/>
      <w:bookmarkStart w:id="357" w:name="_Toc184313296"/>
      <w:bookmarkEnd w:id="357"/>
      <w:bookmarkStart w:id="358" w:name="_Toc184310330"/>
      <w:bookmarkEnd w:id="358"/>
      <w:bookmarkStart w:id="359" w:name="_Toc184308107"/>
      <w:bookmarkEnd w:id="359"/>
      <w:bookmarkStart w:id="360" w:name="_Toc184313247"/>
      <w:bookmarkEnd w:id="360"/>
      <w:bookmarkStart w:id="361" w:name="_Toc184313270"/>
      <w:bookmarkEnd w:id="361"/>
      <w:bookmarkStart w:id="362" w:name="_Toc184313303"/>
      <w:bookmarkEnd w:id="362"/>
      <w:bookmarkStart w:id="363" w:name="_Toc184310339"/>
      <w:bookmarkEnd w:id="363"/>
      <w:bookmarkStart w:id="364" w:name="_Toc184312077"/>
      <w:bookmarkEnd w:id="364"/>
      <w:bookmarkStart w:id="365" w:name="_Toc184310305"/>
      <w:bookmarkEnd w:id="365"/>
      <w:bookmarkStart w:id="366" w:name="_Toc184313300"/>
      <w:bookmarkEnd w:id="366"/>
      <w:bookmarkStart w:id="367" w:name="_Toc184312139"/>
      <w:bookmarkEnd w:id="367"/>
      <w:bookmarkStart w:id="368" w:name="_Toc184314479"/>
      <w:bookmarkEnd w:id="368"/>
      <w:bookmarkStart w:id="369" w:name="_Toc184314412"/>
      <w:bookmarkEnd w:id="369"/>
      <w:bookmarkStart w:id="370" w:name="_Toc184308074"/>
      <w:bookmarkEnd w:id="370"/>
      <w:bookmarkStart w:id="371" w:name="_Toc184308102"/>
      <w:bookmarkEnd w:id="371"/>
      <w:bookmarkStart w:id="372" w:name="_Toc184310318"/>
      <w:bookmarkEnd w:id="372"/>
      <w:bookmarkStart w:id="373" w:name="_Toc184314417"/>
      <w:bookmarkEnd w:id="373"/>
      <w:bookmarkStart w:id="374" w:name="_Toc184312113"/>
      <w:bookmarkEnd w:id="374"/>
      <w:bookmarkStart w:id="375" w:name="_Toc184313242"/>
      <w:bookmarkEnd w:id="375"/>
      <w:bookmarkStart w:id="376" w:name="_Toc184310292"/>
      <w:bookmarkEnd w:id="376"/>
      <w:bookmarkStart w:id="377" w:name="_Toc184312073"/>
      <w:bookmarkEnd w:id="377"/>
      <w:bookmarkStart w:id="378" w:name="_Toc184312086"/>
      <w:bookmarkEnd w:id="378"/>
      <w:bookmarkStart w:id="379" w:name="_Toc184312084"/>
      <w:bookmarkEnd w:id="379"/>
      <w:bookmarkStart w:id="380" w:name="_Toc184314461"/>
      <w:bookmarkEnd w:id="380"/>
      <w:bookmarkStart w:id="381" w:name="_Toc184312067"/>
      <w:bookmarkEnd w:id="381"/>
      <w:bookmarkStart w:id="382" w:name="_Toc184314465"/>
      <w:bookmarkEnd w:id="382"/>
      <w:bookmarkStart w:id="383" w:name="_Toc184314427"/>
      <w:bookmarkEnd w:id="383"/>
      <w:bookmarkStart w:id="384" w:name="_Toc184310295"/>
      <w:bookmarkEnd w:id="384"/>
      <w:bookmarkStart w:id="385" w:name="_Toc184308080"/>
      <w:bookmarkEnd w:id="385"/>
      <w:bookmarkStart w:id="386" w:name="_Toc184314471"/>
      <w:bookmarkEnd w:id="386"/>
      <w:bookmarkStart w:id="387" w:name="_Toc184308075"/>
      <w:bookmarkEnd w:id="387"/>
      <w:bookmarkStart w:id="388" w:name="_Toc184310309"/>
      <w:bookmarkEnd w:id="388"/>
      <w:bookmarkStart w:id="389" w:name="_Toc184312119"/>
      <w:bookmarkEnd w:id="389"/>
      <w:bookmarkStart w:id="390" w:name="_Toc184314419"/>
      <w:bookmarkEnd w:id="390"/>
      <w:bookmarkStart w:id="391" w:name="_Toc184310290"/>
      <w:bookmarkEnd w:id="391"/>
      <w:bookmarkStart w:id="392" w:name="_Toc184310278"/>
      <w:bookmarkEnd w:id="392"/>
      <w:r>
        <w:rPr>
          <w:rFonts w:hint="eastAsia" w:ascii="宋体" w:hAnsi="宋体" w:cs="宋体"/>
          <w:b/>
          <w:color w:val="auto"/>
          <w:sz w:val="36"/>
          <w:szCs w:val="36"/>
        </w:rPr>
        <w:t>评标办法</w:t>
      </w:r>
    </w:p>
    <w:p>
      <w:pPr>
        <w:pStyle w:val="11"/>
        <w:rPr>
          <w:rFonts w:hint="eastAsia" w:ascii="宋体" w:hAnsi="宋体" w:eastAsia="宋体" w:cs="宋体"/>
          <w:color w:val="auto"/>
        </w:rPr>
      </w:pPr>
      <w:r>
        <w:rPr>
          <w:rFonts w:hint="eastAsia" w:ascii="宋体" w:hAnsi="宋体" w:eastAsia="宋体" w:cs="宋体"/>
          <w:color w:val="auto"/>
        </w:rPr>
        <w:t>评标办法前附表</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eastAsia="宋体" w:cs="宋体"/>
          <w:b/>
          <w:bCs/>
          <w:color w:val="auto"/>
          <w:sz w:val="24"/>
          <w:highlight w:val="none"/>
          <w:lang w:val="en-US" w:eastAsia="zh-CN"/>
        </w:rPr>
        <w:t>90</w:t>
      </w:r>
      <w:r>
        <w:rPr>
          <w:rFonts w:hint="eastAsia" w:ascii="宋体" w:hAnsi="宋体" w:eastAsia="宋体" w:cs="宋体"/>
          <w:b/>
          <w:bCs/>
          <w:color w:val="auto"/>
          <w:sz w:val="24"/>
          <w:highlight w:val="none"/>
        </w:rPr>
        <w:t>分）</w:t>
      </w: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1.1商务资信（</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tbl>
      <w:tblPr>
        <w:tblStyle w:val="69"/>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23"/>
        <w:gridCol w:w="6600"/>
        <w:gridCol w:w="88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5"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7123" w:type="dxa"/>
            <w:gridSpan w:val="2"/>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评分内容和标准</w:t>
            </w:r>
          </w:p>
        </w:tc>
        <w:tc>
          <w:tcPr>
            <w:tcW w:w="883"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分值区间</w:t>
            </w:r>
          </w:p>
        </w:tc>
        <w:tc>
          <w:tcPr>
            <w:tcW w:w="977"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55" w:type="dxa"/>
            <w:vMerge w:val="restart"/>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商务资信分（</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pPr>
              <w:widowControl/>
              <w:spacing w:line="360" w:lineRule="auto"/>
              <w:jc w:val="center"/>
              <w:rPr>
                <w:rFonts w:hint="eastAsia" w:ascii="宋体" w:hAnsi="宋体" w:eastAsia="宋体" w:cs="宋体"/>
                <w:color w:val="auto"/>
                <w:sz w:val="24"/>
                <w:highlight w:val="none"/>
                <w:lang w:val="en-US" w:eastAsia="zh-CN"/>
              </w:rPr>
            </w:pPr>
          </w:p>
        </w:tc>
        <w:tc>
          <w:tcPr>
            <w:tcW w:w="523"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66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1、供应商自202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年1月1日以来（以合同签订时间为准）具有同类业绩</w:t>
            </w:r>
            <w:r>
              <w:rPr>
                <w:rFonts w:hint="eastAsia" w:ascii="宋体" w:hAnsi="宋体" w:cs="宋体"/>
                <w:color w:val="auto"/>
                <w:sz w:val="24"/>
                <w:highlight w:val="none"/>
                <w:lang w:val="en-US" w:eastAsia="zh-CN"/>
              </w:rPr>
              <w:t>（含</w:t>
            </w:r>
            <w:r>
              <w:rPr>
                <w:rFonts w:hint="eastAsia" w:ascii="宋体" w:hAnsi="宋体" w:eastAsia="宋体" w:cs="宋体"/>
                <w:color w:val="auto"/>
                <w:sz w:val="24"/>
                <w:highlight w:val="none"/>
                <w:lang w:val="en-US" w:eastAsia="zh-CN"/>
              </w:rPr>
              <w:t>水利工程智能白蚁监测和白蚁防治内容</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每个得</w:t>
            </w:r>
            <w:r>
              <w:rPr>
                <w:rFonts w:hint="eastAsia" w:ascii="宋体" w:hAnsi="宋体" w:cs="宋体"/>
                <w:color w:val="auto"/>
                <w:sz w:val="24"/>
                <w:highlight w:val="none"/>
                <w:lang w:val="en-US" w:eastAsia="zh-CN"/>
              </w:rPr>
              <w:t>0.25</w:t>
            </w:r>
            <w:r>
              <w:rPr>
                <w:rFonts w:hint="eastAsia" w:ascii="宋体" w:hAnsi="宋体" w:eastAsia="宋体" w:cs="宋体"/>
                <w:color w:val="auto"/>
                <w:sz w:val="24"/>
                <w:highlight w:val="none"/>
                <w:lang w:val="en-US" w:eastAsia="zh-CN"/>
              </w:rPr>
              <w:t>分，最高得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分。【证明材料：提供合同复印件，提供的业绩需能同时体现出水利工程智能白蚁监测和白蚁防治施工内容，提供不全或者不提供的不得分】</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color w:val="auto"/>
                <w:highlight w:val="none"/>
                <w:lang w:val="en-US" w:eastAsia="zh-CN"/>
              </w:rPr>
            </w:pPr>
            <w:r>
              <w:rPr>
                <w:rFonts w:hint="eastAsia" w:ascii="宋体" w:hAnsi="宋体" w:eastAsia="宋体" w:cs="宋体"/>
                <w:color w:val="auto"/>
                <w:sz w:val="24"/>
                <w:highlight w:val="none"/>
                <w:lang w:val="en-US" w:eastAsia="zh-CN"/>
              </w:rPr>
              <w:t>2、拟派项目负责人自202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年1月1日以来（以合同签订时间为准）具有同类业绩</w:t>
            </w:r>
            <w:r>
              <w:rPr>
                <w:rFonts w:hint="eastAsia" w:ascii="宋体" w:hAnsi="宋体" w:cs="宋体"/>
                <w:color w:val="auto"/>
                <w:sz w:val="24"/>
                <w:highlight w:val="none"/>
                <w:lang w:val="en-US" w:eastAsia="zh-CN"/>
              </w:rPr>
              <w:t>（含</w:t>
            </w:r>
            <w:r>
              <w:rPr>
                <w:rFonts w:hint="eastAsia" w:ascii="宋体" w:hAnsi="宋体" w:eastAsia="宋体" w:cs="宋体"/>
                <w:color w:val="auto"/>
                <w:sz w:val="24"/>
                <w:highlight w:val="none"/>
                <w:lang w:val="en-US" w:eastAsia="zh-CN"/>
              </w:rPr>
              <w:t>水利工程智能白蚁监测和白蚁防治内容</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，每个得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分，最高得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分。（提供合同复印件，提供的业绩需能同时体现出水利工程智能白蚁监测和白蚁防治施工内容，若合同中未体现项目负责人的，还需提供业主证明文件，未提供不得分。）</w:t>
            </w:r>
          </w:p>
        </w:tc>
        <w:tc>
          <w:tcPr>
            <w:tcW w:w="883"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1</w:t>
            </w:r>
          </w:p>
        </w:tc>
        <w:tc>
          <w:tcPr>
            <w:tcW w:w="977"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55"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523"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6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供应商具有白蚁防治机构等级证书，一级得3分；二级得2分；三级得1分。【证明材料：提供证书复印件，不提供不得分】</w:t>
            </w:r>
          </w:p>
        </w:tc>
        <w:tc>
          <w:tcPr>
            <w:tcW w:w="883" w:type="dxa"/>
            <w:noWrap w:val="0"/>
            <w:vAlign w:val="center"/>
          </w:tcPr>
          <w:p>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0-3</w:t>
            </w:r>
          </w:p>
        </w:tc>
        <w:tc>
          <w:tcPr>
            <w:tcW w:w="977" w:type="dxa"/>
            <w:noWrap w:val="0"/>
            <w:vAlign w:val="center"/>
          </w:tcPr>
          <w:p>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55"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523"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6600" w:type="dxa"/>
            <w:noWrap w:val="0"/>
            <w:vAlign w:val="center"/>
          </w:tcPr>
          <w:p>
            <w:pPr>
              <w:widowControl/>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供应商具有</w:t>
            </w:r>
            <w:r>
              <w:rPr>
                <w:rFonts w:hint="eastAsia" w:ascii="宋体" w:hAnsi="宋体" w:eastAsia="宋体" w:cs="宋体"/>
                <w:color w:val="auto"/>
                <w:sz w:val="24"/>
                <w:szCs w:val="24"/>
                <w:lang w:val="zh-CN" w:eastAsia="zh-CN"/>
              </w:rPr>
              <w:t>ISO9001</w:t>
            </w:r>
            <w:r>
              <w:rPr>
                <w:rFonts w:hint="eastAsia" w:ascii="宋体" w:hAnsi="宋体" w:eastAsia="宋体" w:cs="宋体"/>
                <w:color w:val="auto"/>
                <w:sz w:val="24"/>
                <w:highlight w:val="none"/>
                <w:lang w:val="en-US" w:eastAsia="zh-CN"/>
              </w:rPr>
              <w:t>质量保证体系认证证书、</w:t>
            </w:r>
            <w:r>
              <w:rPr>
                <w:rFonts w:hint="eastAsia" w:ascii="宋体" w:hAnsi="宋体" w:eastAsia="宋体" w:cs="宋体"/>
                <w:color w:val="auto"/>
                <w:sz w:val="24"/>
                <w:szCs w:val="24"/>
                <w:lang w:val="en-US" w:eastAsia="zh-CN"/>
              </w:rPr>
              <w:t>GB/T27922</w:t>
            </w:r>
            <w:r>
              <w:rPr>
                <w:rFonts w:hint="eastAsia" w:ascii="宋体" w:hAnsi="宋体" w:cs="宋体"/>
                <w:color w:val="auto"/>
                <w:sz w:val="24"/>
                <w:szCs w:val="24"/>
                <w:lang w:val="en-US" w:eastAsia="zh-CN"/>
              </w:rPr>
              <w:t>售后</w:t>
            </w:r>
            <w:r>
              <w:rPr>
                <w:rFonts w:hint="eastAsia" w:ascii="宋体" w:hAnsi="宋体" w:eastAsia="宋体" w:cs="宋体"/>
                <w:color w:val="auto"/>
                <w:sz w:val="24"/>
                <w:szCs w:val="24"/>
                <w:highlight w:val="none"/>
                <w:lang w:val="en-US" w:eastAsia="zh-CN"/>
              </w:rPr>
              <w:t>服务认证证书</w:t>
            </w:r>
            <w:r>
              <w:rPr>
                <w:rFonts w:hint="eastAsia" w:ascii="宋体" w:hAnsi="宋体" w:eastAsia="宋体" w:cs="宋体"/>
                <w:color w:val="auto"/>
                <w:sz w:val="24"/>
                <w:highlight w:val="none"/>
                <w:lang w:val="en-US" w:eastAsia="zh-CN"/>
              </w:rPr>
              <w:t>（证书须在有效期内），每提供一个得2分，本项最高得4分。</w:t>
            </w:r>
            <w:r>
              <w:rPr>
                <w:rFonts w:hint="eastAsia" w:ascii="宋体" w:hAnsi="宋体" w:eastAsia="宋体" w:cs="宋体"/>
                <w:color w:val="auto"/>
                <w:spacing w:val="2"/>
                <w:sz w:val="24"/>
                <w:szCs w:val="24"/>
                <w:lang w:val="en-US" w:eastAsia="zh-CN"/>
              </w:rPr>
              <w:t>（提供有效期内的相关认证证书原件扫描件及全国认证可信息公共平台查询截图并加盖公章，否则不得分）</w:t>
            </w:r>
          </w:p>
        </w:tc>
        <w:tc>
          <w:tcPr>
            <w:tcW w:w="883" w:type="dxa"/>
            <w:noWrap w:val="0"/>
            <w:vAlign w:val="center"/>
          </w:tcPr>
          <w:p>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0-4</w:t>
            </w:r>
          </w:p>
        </w:tc>
        <w:tc>
          <w:tcPr>
            <w:tcW w:w="977" w:type="dxa"/>
            <w:noWrap w:val="0"/>
            <w:vAlign w:val="center"/>
          </w:tcPr>
          <w:p>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客观分</w:t>
            </w:r>
          </w:p>
        </w:tc>
      </w:tr>
    </w:tbl>
    <w:p>
      <w:pPr>
        <w:widowControl/>
        <w:spacing w:line="360" w:lineRule="auto"/>
        <w:rPr>
          <w:rFonts w:hint="eastAsia" w:ascii="宋体" w:hAnsi="宋体" w:eastAsia="宋体" w:cs="宋体"/>
          <w:color w:val="auto"/>
          <w:sz w:val="24"/>
          <w:highlight w:val="none"/>
          <w:lang w:val="en-US" w:eastAsia="zh-CN"/>
        </w:rPr>
      </w:pPr>
    </w:p>
    <w:p>
      <w:pPr>
        <w:widowControl/>
        <w:spacing w:line="360" w:lineRule="auto"/>
        <w:rPr>
          <w:rFonts w:hint="eastAsia" w:ascii="宋体" w:hAnsi="宋体" w:eastAsia="宋体" w:cs="宋体"/>
          <w:color w:val="auto"/>
          <w:sz w:val="24"/>
          <w:highlight w:val="none"/>
          <w:lang w:val="en-US" w:eastAsia="zh-CN"/>
        </w:rPr>
      </w:pPr>
    </w:p>
    <w:p>
      <w:pPr>
        <w:pStyle w:val="2"/>
        <w:rPr>
          <w:rFonts w:hint="eastAsia"/>
          <w:color w:val="auto"/>
          <w:lang w:val="en-US" w:eastAsia="zh-CN"/>
        </w:rPr>
      </w:pPr>
    </w:p>
    <w:p>
      <w:pPr>
        <w:widowControl/>
        <w:spacing w:line="360" w:lineRule="auto"/>
        <w:rPr>
          <w:rFonts w:hint="eastAsia" w:ascii="宋体" w:hAnsi="宋体" w:eastAsia="宋体" w:cs="宋体"/>
          <w:color w:val="auto"/>
          <w:sz w:val="24"/>
          <w:highlight w:val="none"/>
          <w:lang w:val="en-US" w:eastAsia="zh-CN"/>
        </w:rPr>
      </w:pPr>
    </w:p>
    <w:p>
      <w:pPr>
        <w:widowControl/>
        <w:spacing w:line="360" w:lineRule="auto"/>
        <w:rPr>
          <w:rFonts w:hint="eastAsia" w:ascii="宋体" w:hAnsi="宋体" w:eastAsia="宋体" w:cs="宋体"/>
          <w:color w:val="auto"/>
          <w:sz w:val="24"/>
          <w:highlight w:val="none"/>
          <w:lang w:val="en-US" w:eastAsia="zh-CN"/>
        </w:rPr>
      </w:pP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1.2技术和服务方案（</w:t>
      </w:r>
      <w:r>
        <w:rPr>
          <w:rFonts w:hint="eastAsia" w:ascii="宋体" w:hAnsi="宋体" w:cs="宋体"/>
          <w:color w:val="auto"/>
          <w:sz w:val="24"/>
          <w:highlight w:val="none"/>
          <w:lang w:val="en-US" w:eastAsia="zh-CN"/>
        </w:rPr>
        <w:t>82</w:t>
      </w:r>
      <w:r>
        <w:rPr>
          <w:rFonts w:hint="eastAsia" w:ascii="宋体" w:hAnsi="宋体" w:eastAsia="宋体" w:cs="宋体"/>
          <w:color w:val="auto"/>
          <w:sz w:val="24"/>
          <w:highlight w:val="none"/>
          <w:lang w:val="en-US" w:eastAsia="zh-CN"/>
        </w:rPr>
        <w:t>分）</w:t>
      </w:r>
    </w:p>
    <w:tbl>
      <w:tblPr>
        <w:tblStyle w:val="69"/>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95"/>
        <w:gridCol w:w="6171"/>
        <w:gridCol w:w="120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1"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6866" w:type="dxa"/>
            <w:gridSpan w:val="2"/>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评分内容和标准</w:t>
            </w:r>
          </w:p>
        </w:tc>
        <w:tc>
          <w:tcPr>
            <w:tcW w:w="1200"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分值区间</w:t>
            </w:r>
          </w:p>
        </w:tc>
        <w:tc>
          <w:tcPr>
            <w:tcW w:w="940"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restart"/>
            <w:noWrap w:val="0"/>
            <w:vAlign w:val="center"/>
          </w:tcPr>
          <w:p>
            <w:pPr>
              <w:widowControl/>
              <w:spacing w:line="360" w:lineRule="auto"/>
              <w:jc w:val="center"/>
              <w:rPr>
                <w:rFonts w:hint="eastAsia" w:ascii="宋体" w:hAnsi="宋体" w:eastAsia="宋体" w:cs="宋体"/>
                <w:color w:val="auto"/>
                <w:sz w:val="24"/>
                <w:highlight w:val="none"/>
                <w:lang w:val="en-US" w:eastAsia="zh-CN"/>
              </w:rPr>
            </w:pPr>
          </w:p>
          <w:p>
            <w:pPr>
              <w:widowControl/>
              <w:spacing w:line="360" w:lineRule="auto"/>
              <w:jc w:val="center"/>
              <w:rPr>
                <w:rFonts w:hint="eastAsia" w:ascii="宋体" w:hAnsi="宋体" w:eastAsia="宋体" w:cs="宋体"/>
                <w:color w:val="auto"/>
                <w:sz w:val="24"/>
                <w:highlight w:val="none"/>
                <w:lang w:val="en-US" w:eastAsia="zh-CN"/>
              </w:rPr>
            </w:pPr>
          </w:p>
          <w:p>
            <w:pPr>
              <w:widowControl/>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技术分（</w:t>
            </w:r>
            <w:r>
              <w:rPr>
                <w:rFonts w:hint="eastAsia" w:ascii="宋体" w:hAnsi="宋体" w:cs="宋体"/>
                <w:color w:val="auto"/>
                <w:sz w:val="24"/>
                <w:highlight w:val="none"/>
                <w:lang w:val="en-US" w:eastAsia="zh-CN"/>
              </w:rPr>
              <w:t>82</w:t>
            </w:r>
            <w:r>
              <w:rPr>
                <w:rFonts w:hint="eastAsia" w:ascii="宋体" w:hAnsi="宋体" w:eastAsia="宋体" w:cs="宋体"/>
                <w:color w:val="auto"/>
                <w:sz w:val="24"/>
                <w:highlight w:val="none"/>
                <w:lang w:val="en-US" w:eastAsia="zh-CN"/>
              </w:rPr>
              <w:t>分）</w:t>
            </w:r>
          </w:p>
        </w:tc>
        <w:tc>
          <w:tcPr>
            <w:tcW w:w="695"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白蚁综合治理流程及保证措施是否具有针对性、科学合理、施工部署全面与可行性等综合评定。</w:t>
            </w:r>
            <w:r>
              <w:rPr>
                <w:rFonts w:hint="eastAsia" w:ascii="宋体" w:hAnsi="宋体" w:cs="宋体"/>
                <w:color w:val="auto"/>
                <w:sz w:val="24"/>
                <w:highlight w:val="none"/>
                <w:lang w:val="zh-CN" w:eastAsia="zh-CN"/>
              </w:rPr>
              <w:t>完善的得</w:t>
            </w:r>
            <w:r>
              <w:rPr>
                <w:rFonts w:hint="eastAsia" w:ascii="宋体" w:hAnsi="宋体" w:cs="宋体"/>
                <w:color w:val="auto"/>
                <w:sz w:val="24"/>
                <w:highlight w:val="none"/>
                <w:lang w:val="en-US" w:eastAsia="zh-CN"/>
              </w:rPr>
              <w:t>7-10分，较完善的得4-7分，一般的得1-4分</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zh-CN" w:eastAsia="zh-CN"/>
              </w:rPr>
              <w:t>分）</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选用技术、实施方案：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（1）白蚁治理技术科学有效的（</w:t>
            </w:r>
            <w:r>
              <w:rPr>
                <w:rFonts w:hint="eastAsia" w:ascii="宋体" w:hAnsi="宋体" w:cs="宋体"/>
                <w:color w:val="auto"/>
                <w:sz w:val="24"/>
                <w:highlight w:val="none"/>
                <w:lang w:val="en-US" w:eastAsia="zh-CN"/>
              </w:rPr>
              <w:t>0-3分</w:t>
            </w:r>
            <w:r>
              <w:rPr>
                <w:rFonts w:hint="eastAsia" w:ascii="宋体" w:hAnsi="宋体" w:eastAsia="宋体" w:cs="宋体"/>
                <w:color w:val="auto"/>
                <w:sz w:val="24"/>
                <w:highlight w:val="none"/>
                <w:lang w:val="en-US" w:eastAsia="zh-CN"/>
              </w:rPr>
              <w:t>）、新型环保的（</w:t>
            </w:r>
            <w:r>
              <w:rPr>
                <w:rFonts w:hint="eastAsia" w:ascii="宋体" w:hAnsi="宋体" w:cs="宋体"/>
                <w:color w:val="auto"/>
                <w:sz w:val="24"/>
                <w:highlight w:val="none"/>
                <w:lang w:val="en-US" w:eastAsia="zh-CN"/>
              </w:rPr>
              <w:t>0-3分</w:t>
            </w:r>
            <w:r>
              <w:rPr>
                <w:rFonts w:hint="eastAsia" w:ascii="宋体" w:hAnsi="宋体" w:eastAsia="宋体" w:cs="宋体"/>
                <w:color w:val="auto"/>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（2）白蚁防治项目实施方案完整且符合实际情况的（</w:t>
            </w:r>
            <w:r>
              <w:rPr>
                <w:rFonts w:hint="eastAsia" w:ascii="宋体" w:hAnsi="宋体" w:cs="宋体"/>
                <w:color w:val="auto"/>
                <w:sz w:val="24"/>
                <w:highlight w:val="none"/>
                <w:lang w:val="en-US" w:eastAsia="zh-CN"/>
              </w:rPr>
              <w:t>0-4分</w:t>
            </w:r>
            <w:r>
              <w:rPr>
                <w:rFonts w:hint="eastAsia" w:ascii="宋体" w:hAnsi="宋体" w:eastAsia="宋体" w:cs="宋体"/>
                <w:color w:val="auto"/>
                <w:sz w:val="24"/>
                <w:highlight w:val="none"/>
                <w:lang w:val="en-US" w:eastAsia="zh-CN"/>
              </w:rPr>
              <w:t>），预期防治效果好的（</w:t>
            </w:r>
            <w:r>
              <w:rPr>
                <w:rFonts w:hint="eastAsia" w:ascii="宋体" w:hAnsi="宋体" w:cs="宋体"/>
                <w:color w:val="auto"/>
                <w:sz w:val="24"/>
                <w:highlight w:val="none"/>
                <w:lang w:val="en-US" w:eastAsia="zh-CN"/>
              </w:rPr>
              <w:t>0-4分</w:t>
            </w:r>
            <w:r>
              <w:rPr>
                <w:rFonts w:hint="eastAsia" w:ascii="宋体" w:hAnsi="宋体" w:eastAsia="宋体" w:cs="宋体"/>
                <w:color w:val="auto"/>
                <w:sz w:val="24"/>
                <w:highlight w:val="none"/>
                <w:lang w:val="en-US" w:eastAsia="zh-CN"/>
              </w:rPr>
              <w:t>）。</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w:t>
            </w:r>
            <w:r>
              <w:rPr>
                <w:rFonts w:hint="eastAsia" w:ascii="宋体" w:hAnsi="宋体" w:cs="宋体"/>
                <w:color w:val="auto"/>
                <w:sz w:val="24"/>
                <w:highlight w:val="none"/>
                <w:lang w:val="en-US" w:eastAsia="zh-CN"/>
              </w:rPr>
              <w:t>4</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投标人提供的白蚁防治项目施工组织设计方案岗位分工设置细致符合实际（</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3分）、人员配备齐全，工作经验丰富（</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3分）、施工安排和施工实际措施合理高效的（</w:t>
            </w:r>
            <w:r>
              <w:rPr>
                <w:rFonts w:hint="eastAsia" w:ascii="宋体" w:hAnsi="宋体" w:cs="宋体"/>
                <w:color w:val="auto"/>
                <w:sz w:val="24"/>
                <w:highlight w:val="none"/>
                <w:lang w:val="en-US" w:eastAsia="zh-CN"/>
              </w:rPr>
              <w:t>0-3</w:t>
            </w:r>
            <w:r>
              <w:rPr>
                <w:rFonts w:hint="eastAsia" w:ascii="宋体" w:hAnsi="宋体" w:eastAsia="宋体" w:cs="宋体"/>
                <w:color w:val="auto"/>
                <w:sz w:val="24"/>
                <w:highlight w:val="none"/>
                <w:lang w:val="en-US" w:eastAsia="zh-CN"/>
              </w:rPr>
              <w:t>分）、验收方案完整（</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3分）</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0-12</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白蚁防治项目技术服务质量保障措施详细、科学（</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4分）、人员安全措施装备齐全（</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 xml:space="preserve">4分）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0-8</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kern w:val="0"/>
                <w:sz w:val="24"/>
                <w:szCs w:val="24"/>
                <w:highlight w:val="none"/>
                <w:lang w:val="en-US" w:eastAsia="zh-CN"/>
              </w:rPr>
              <w:t>根据办公场所、仓储场所合理性，配套设施齐全性等进行日常管理的情况进行</w:t>
            </w:r>
            <w:r>
              <w:rPr>
                <w:rFonts w:hint="eastAsia" w:ascii="宋体" w:hAnsi="宋体" w:eastAsia="宋体" w:cs="宋体"/>
                <w:bCs/>
                <w:color w:val="auto"/>
                <w:sz w:val="24"/>
                <w:highlight w:val="none"/>
                <w:shd w:val="clear" w:color="auto" w:fill="auto"/>
                <w:lang w:val="en-US" w:eastAsia="zh-CN"/>
              </w:rPr>
              <w:t>综合评定</w:t>
            </w:r>
            <w:r>
              <w:rPr>
                <w:rFonts w:hint="eastAsia" w:ascii="宋体" w:hAnsi="宋体" w:cs="宋体"/>
                <w:bCs/>
                <w:color w:val="auto"/>
                <w:sz w:val="24"/>
                <w:highlight w:val="none"/>
                <w:shd w:val="clear" w:color="auto" w:fill="auto"/>
                <w:lang w:val="en-US" w:eastAsia="zh-CN"/>
              </w:rPr>
              <w:t>（0-4）</w:t>
            </w:r>
            <w:r>
              <w:rPr>
                <w:rFonts w:hint="eastAsia" w:ascii="宋体" w:hAnsi="宋体" w:eastAsia="宋体" w:cs="宋体"/>
                <w:color w:val="auto"/>
                <w:kern w:val="0"/>
                <w:sz w:val="24"/>
                <w:szCs w:val="24"/>
                <w:highlight w:val="none"/>
                <w:lang w:val="en-US" w:eastAsia="zh-CN"/>
              </w:rPr>
              <w:t>。</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4</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vMerge w:val="restart"/>
            <w:noWrap w:val="0"/>
            <w:vAlign w:val="center"/>
          </w:tcPr>
          <w:p>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供应商具</w:t>
            </w:r>
            <w:r>
              <w:rPr>
                <w:rFonts w:hint="eastAsia" w:ascii="宋体" w:hAnsi="宋体" w:eastAsia="宋体" w:cs="宋体"/>
                <w:color w:val="auto"/>
                <w:sz w:val="24"/>
                <w:szCs w:val="24"/>
                <w:lang w:val="zh-CN" w:eastAsia="zh-CN"/>
              </w:rPr>
              <w:t>针对本项目投入白蚁探测仪</w:t>
            </w:r>
            <w:r>
              <w:rPr>
                <w:rFonts w:hint="eastAsia" w:ascii="宋体" w:hAnsi="宋体" w:eastAsia="宋体" w:cs="宋体"/>
                <w:color w:val="auto"/>
                <w:sz w:val="24"/>
                <w:highlight w:val="none"/>
                <w:lang w:val="en-US" w:eastAsia="zh-CN"/>
              </w:rPr>
              <w:t>的，每台得1分，最高得2分。【证明材料：提供购买发票复印件盖供应商公章。】</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0-2</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供应商提供1辆常驻白蚁防治巡查工作车辆的，得1.5分；每增加1辆，加1.5分，本项最高得3分。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效证明材料：车辆须为供应商自有，需提供购置发票、行驶证、供应商营业执照复印件加盖供应商公章，要求发票抬头、行驶证所有人与供应商营业执照名称保持一致，年检过期的车辆不计分。未提供或提供不全的均不计分。】</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0-3</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根据供应商提供的设备配备情况，从采用的智能白蚁监控系统的先进性、有效性、安全性进行综合评分。</w:t>
            </w:r>
          </w:p>
          <w:p>
            <w:pPr>
              <w:adjustRightInd/>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根据供应商</w:t>
            </w:r>
            <w:r>
              <w:rPr>
                <w:rFonts w:hint="eastAsia" w:ascii="宋体" w:hAnsi="宋体" w:eastAsia="宋体" w:cs="宋体"/>
                <w:color w:val="auto"/>
                <w:sz w:val="24"/>
                <w:szCs w:val="24"/>
                <w:highlight w:val="none"/>
                <w:lang w:val="en-US" w:eastAsia="zh-CN"/>
              </w:rPr>
              <w:t>提供的智能白蚁监控系统</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功能</w:t>
            </w:r>
            <w:r>
              <w:rPr>
                <w:rFonts w:hint="eastAsia" w:ascii="宋体" w:hAnsi="宋体" w:cs="宋体"/>
                <w:color w:val="auto"/>
                <w:sz w:val="24"/>
                <w:szCs w:val="24"/>
                <w:highlight w:val="none"/>
                <w:lang w:val="en-US" w:eastAsia="zh-CN"/>
              </w:rPr>
              <w:t>进行综合打分，</w:t>
            </w:r>
            <w:r>
              <w:rPr>
                <w:rFonts w:hint="eastAsia" w:ascii="宋体" w:hAnsi="宋体" w:cs="宋体"/>
                <w:color w:val="auto"/>
                <w:sz w:val="24"/>
                <w:highlight w:val="none"/>
                <w:lang w:val="zh-CN" w:eastAsia="zh-CN"/>
              </w:rPr>
              <w:t>完善的得</w:t>
            </w:r>
            <w:r>
              <w:rPr>
                <w:rFonts w:hint="eastAsia" w:ascii="宋体" w:hAnsi="宋体" w:cs="宋体"/>
                <w:color w:val="auto"/>
                <w:sz w:val="24"/>
                <w:highlight w:val="none"/>
                <w:lang w:val="en-US" w:eastAsia="zh-CN"/>
              </w:rPr>
              <w:t>2-3分，较完善的得1-2分，一般的得0-1分</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0-3</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szCs w:val="24"/>
                <w:highlight w:val="none"/>
                <w:lang w:val="en-US" w:eastAsia="zh-CN"/>
              </w:rPr>
              <w:t>：</w:t>
            </w:r>
          </w:p>
          <w:p>
            <w:pPr>
              <w:adjustRightInd/>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根据供应商</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kern w:val="0"/>
                <w:sz w:val="24"/>
                <w:highlight w:val="none"/>
                <w:lang w:eastAsia="zh-CN"/>
              </w:rPr>
              <w:t>采用环保、无害的白蚁生态防治干扰技术，通过非药物方式控制白蚁种群数量</w:t>
            </w:r>
            <w:r>
              <w:rPr>
                <w:rFonts w:hint="eastAsia" w:ascii="宋体" w:hAnsi="宋体" w:eastAsia="宋体" w:cs="宋体"/>
                <w:color w:val="auto"/>
                <w:sz w:val="24"/>
                <w:szCs w:val="24"/>
                <w:highlight w:val="none"/>
                <w:lang w:val="en-US" w:eastAsia="zh-CN"/>
              </w:rPr>
              <w:t>进行评分，</w:t>
            </w:r>
            <w:r>
              <w:rPr>
                <w:rFonts w:hint="eastAsia" w:ascii="宋体" w:hAnsi="宋体" w:cs="宋体"/>
                <w:color w:val="auto"/>
                <w:sz w:val="24"/>
                <w:highlight w:val="none"/>
                <w:lang w:val="zh-CN" w:eastAsia="zh-CN"/>
              </w:rPr>
              <w:t>完善的得</w:t>
            </w:r>
            <w:r>
              <w:rPr>
                <w:rFonts w:hint="eastAsia" w:ascii="宋体" w:hAnsi="宋体" w:cs="宋体"/>
                <w:color w:val="auto"/>
                <w:sz w:val="24"/>
                <w:highlight w:val="none"/>
                <w:lang w:val="en-US" w:eastAsia="zh-CN"/>
              </w:rPr>
              <w:t>2-3分，较完善的得1-2分，一般的得0-1分</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0-3</w:t>
            </w:r>
            <w:r>
              <w:rPr>
                <w:rFonts w:hint="eastAsia" w:ascii="宋体" w:hAnsi="宋体" w:eastAsia="宋体" w:cs="宋体"/>
                <w:color w:val="auto"/>
                <w:sz w:val="24"/>
                <w:highlight w:val="none"/>
                <w:lang w:val="zh-CN" w:eastAsia="zh-CN"/>
              </w:rPr>
              <w:t>分）</w:t>
            </w:r>
            <w:r>
              <w:rPr>
                <w:rFonts w:hint="eastAsia" w:ascii="宋体" w:hAnsi="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color w:val="auto"/>
                <w:lang w:val="en-US"/>
              </w:rPr>
            </w:pPr>
            <w:r>
              <w:rPr>
                <w:rFonts w:hint="eastAsia" w:ascii="宋体" w:hAnsi="宋体" w:cs="宋体"/>
                <w:color w:val="auto"/>
                <w:sz w:val="24"/>
                <w:szCs w:val="24"/>
                <w:lang w:val="en-US" w:eastAsia="zh-CN"/>
              </w:rPr>
              <w:t>注：可</w:t>
            </w:r>
            <w:r>
              <w:rPr>
                <w:rFonts w:hint="eastAsia" w:ascii="宋体" w:hAnsi="宋体" w:eastAsia="宋体" w:cs="宋体"/>
                <w:color w:val="auto"/>
                <w:sz w:val="24"/>
                <w:szCs w:val="24"/>
                <w:lang w:val="en-US" w:eastAsia="zh-CN"/>
              </w:rPr>
              <w:t>提供证明材料说明。</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0-6</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w:t>
            </w:r>
            <w:r>
              <w:rPr>
                <w:rFonts w:hint="eastAsia" w:ascii="宋体" w:hAnsi="宋体" w:eastAsia="宋体" w:cs="宋体"/>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9"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6171" w:type="dxa"/>
            <w:noWrap w:val="0"/>
            <w:vAlign w:val="center"/>
          </w:tcPr>
          <w:p>
            <w:pPr>
              <w:pStyle w:val="32"/>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项目负责人及团队要求：</w:t>
            </w:r>
          </w:p>
          <w:p>
            <w:pPr>
              <w:pStyle w:val="32"/>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（1）项目负责人具有人社部门颁发的白蚁防治专业高级职称的得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分</w:t>
            </w:r>
            <w:r>
              <w:rPr>
                <w:rFonts w:hint="eastAsia" w:cs="宋体"/>
                <w:color w:val="auto"/>
                <w:sz w:val="24"/>
                <w:highlight w:val="none"/>
                <w:lang w:val="zh-CN" w:eastAsia="zh-CN"/>
              </w:rPr>
              <w:t>，中级职称的得</w:t>
            </w:r>
            <w:r>
              <w:rPr>
                <w:rFonts w:hint="eastAsia" w:cs="宋体"/>
                <w:color w:val="auto"/>
                <w:sz w:val="24"/>
                <w:highlight w:val="none"/>
                <w:lang w:val="en-US" w:eastAsia="zh-CN"/>
              </w:rPr>
              <w:t>2分，初级职称的得1分</w:t>
            </w:r>
            <w:r>
              <w:rPr>
                <w:rFonts w:hint="eastAsia" w:ascii="宋体" w:hAnsi="宋体" w:eastAsia="宋体" w:cs="宋体"/>
                <w:color w:val="auto"/>
                <w:sz w:val="24"/>
                <w:highlight w:val="none"/>
                <w:lang w:val="zh-CN" w:eastAsia="zh-CN"/>
              </w:rPr>
              <w:t>；</w:t>
            </w:r>
            <w:r>
              <w:rPr>
                <w:rFonts w:hint="eastAsia" w:cs="宋体"/>
                <w:color w:val="auto"/>
                <w:sz w:val="24"/>
                <w:highlight w:val="none"/>
                <w:lang w:val="zh-CN" w:eastAsia="zh-CN"/>
              </w:rPr>
              <w:t>其余</w:t>
            </w:r>
            <w:r>
              <w:rPr>
                <w:rFonts w:hint="eastAsia" w:ascii="宋体" w:hAnsi="宋体" w:eastAsia="宋体" w:cs="宋体"/>
                <w:color w:val="auto"/>
                <w:kern w:val="0"/>
                <w:sz w:val="24"/>
                <w:szCs w:val="24"/>
                <w:highlight w:val="none"/>
                <w:lang w:val="zh-CN"/>
              </w:rPr>
              <w:t>不得分，</w:t>
            </w:r>
            <w:r>
              <w:rPr>
                <w:rFonts w:hint="eastAsia" w:ascii="宋体" w:hAnsi="宋体" w:eastAsia="宋体" w:cs="宋体"/>
                <w:color w:val="auto"/>
                <w:sz w:val="24"/>
                <w:highlight w:val="none"/>
                <w:lang w:val="zh-CN" w:eastAsia="zh-CN"/>
              </w:rPr>
              <w:t>本项最高得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分。</w:t>
            </w:r>
          </w:p>
          <w:p>
            <w:pPr>
              <w:pStyle w:val="32"/>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）技术负责人具有人社部门颁发的白蚁防治专业中级及以上职称的得</w:t>
            </w:r>
            <w:r>
              <w:rPr>
                <w:rFonts w:hint="eastAsia" w:cs="宋体"/>
                <w:color w:val="auto"/>
                <w:sz w:val="24"/>
                <w:highlight w:val="none"/>
                <w:lang w:val="en-US" w:eastAsia="zh-CN"/>
              </w:rPr>
              <w:t>2</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初级职称的得1分</w:t>
            </w:r>
            <w:r>
              <w:rPr>
                <w:rFonts w:hint="eastAsia" w:ascii="宋体" w:hAnsi="宋体" w:eastAsia="宋体" w:cs="宋体"/>
                <w:color w:val="auto"/>
                <w:sz w:val="24"/>
                <w:highlight w:val="none"/>
                <w:lang w:val="zh-CN" w:eastAsia="zh-CN"/>
              </w:rPr>
              <w:t>；</w:t>
            </w:r>
            <w:r>
              <w:rPr>
                <w:rFonts w:hint="eastAsia" w:cs="宋体"/>
                <w:color w:val="auto"/>
                <w:sz w:val="24"/>
                <w:highlight w:val="none"/>
                <w:lang w:val="zh-CN" w:eastAsia="zh-CN"/>
              </w:rPr>
              <w:t>其余</w:t>
            </w:r>
            <w:r>
              <w:rPr>
                <w:rFonts w:hint="eastAsia" w:ascii="宋体" w:hAnsi="宋体" w:eastAsia="宋体" w:cs="宋体"/>
                <w:color w:val="auto"/>
                <w:kern w:val="0"/>
                <w:sz w:val="24"/>
                <w:szCs w:val="24"/>
                <w:highlight w:val="none"/>
                <w:lang w:val="zh-CN"/>
              </w:rPr>
              <w:t>不得分</w:t>
            </w:r>
            <w:r>
              <w:rPr>
                <w:rFonts w:hint="eastAsia" w:ascii="宋体" w:hAnsi="宋体" w:eastAsia="宋体" w:cs="宋体"/>
                <w:color w:val="auto"/>
                <w:sz w:val="24"/>
                <w:highlight w:val="none"/>
                <w:lang w:val="zh-CN" w:eastAsia="zh-CN"/>
              </w:rPr>
              <w:t>。本项最高得</w:t>
            </w:r>
            <w:r>
              <w:rPr>
                <w:rFonts w:hint="eastAsia" w:cs="宋体"/>
                <w:color w:val="auto"/>
                <w:sz w:val="24"/>
                <w:highlight w:val="none"/>
                <w:lang w:val="en-US" w:eastAsia="zh-CN"/>
              </w:rPr>
              <w:t>2</w:t>
            </w:r>
            <w:r>
              <w:rPr>
                <w:rFonts w:hint="eastAsia" w:ascii="宋体" w:hAnsi="宋体" w:eastAsia="宋体" w:cs="宋体"/>
                <w:color w:val="auto"/>
                <w:sz w:val="24"/>
                <w:highlight w:val="none"/>
                <w:lang w:val="zh-CN" w:eastAsia="zh-CN"/>
              </w:rPr>
              <w:t>分。</w:t>
            </w:r>
          </w:p>
          <w:p>
            <w:pPr>
              <w:pStyle w:val="32"/>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拟派项目组人员（除项目负责人</w:t>
            </w:r>
            <w:r>
              <w:rPr>
                <w:rFonts w:hint="eastAsia" w:cs="宋体"/>
                <w:color w:val="auto"/>
                <w:sz w:val="24"/>
                <w:highlight w:val="none"/>
                <w:lang w:val="en-US" w:eastAsia="zh-CN"/>
              </w:rPr>
              <w:t>、</w:t>
            </w:r>
            <w:r>
              <w:rPr>
                <w:rFonts w:hint="eastAsia" w:ascii="宋体" w:hAnsi="宋体" w:eastAsia="宋体" w:cs="宋体"/>
                <w:color w:val="auto"/>
                <w:sz w:val="24"/>
                <w:highlight w:val="none"/>
                <w:lang w:val="zh-CN" w:eastAsia="zh-CN"/>
              </w:rPr>
              <w:t>技术负责人</w:t>
            </w:r>
            <w:r>
              <w:rPr>
                <w:rFonts w:hint="eastAsia" w:ascii="宋体" w:hAnsi="宋体" w:eastAsia="宋体" w:cs="宋体"/>
                <w:color w:val="auto"/>
                <w:sz w:val="24"/>
                <w:highlight w:val="none"/>
                <w:lang w:val="en-US" w:eastAsia="zh-CN"/>
              </w:rPr>
              <w:t>外）持有全国白蚁防治中心颁发的白蚁防治行业从业人员培训证书，满足基本配备4人的得基本分3分；每增加1人</w:t>
            </w:r>
            <w:r>
              <w:rPr>
                <w:rFonts w:hint="eastAsia" w:cs="宋体"/>
                <w:color w:val="auto"/>
                <w:sz w:val="24"/>
                <w:highlight w:val="none"/>
                <w:lang w:val="en-US" w:eastAsia="zh-CN"/>
              </w:rPr>
              <w:t>另加</w:t>
            </w:r>
            <w:r>
              <w:rPr>
                <w:rFonts w:hint="eastAsia" w:ascii="宋体" w:hAnsi="宋体" w:eastAsia="宋体" w:cs="宋体"/>
                <w:color w:val="auto"/>
                <w:sz w:val="24"/>
                <w:highlight w:val="none"/>
                <w:lang w:val="en-US" w:eastAsia="zh-CN"/>
              </w:rPr>
              <w:t>1分。本项最高得6分。</w:t>
            </w:r>
          </w:p>
          <w:p>
            <w:pPr>
              <w:pStyle w:val="32"/>
              <w:ind w:left="0" w:leftChars="0" w:firstLine="482" w:firstLineChars="200"/>
              <w:jc w:val="left"/>
              <w:rPr>
                <w:rFonts w:hint="default"/>
                <w:color w:val="auto"/>
                <w:highlight w:val="none"/>
                <w:lang w:val="en-US" w:eastAsia="zh-CN"/>
              </w:rPr>
            </w:pPr>
            <w:r>
              <w:rPr>
                <w:rFonts w:hint="eastAsia" w:ascii="宋体" w:hAnsi="宋体" w:eastAsia="宋体" w:cs="宋体"/>
                <w:b/>
                <w:bCs/>
                <w:color w:val="auto"/>
                <w:kern w:val="2"/>
                <w:sz w:val="24"/>
                <w:szCs w:val="24"/>
                <w:highlight w:val="none"/>
                <w:lang w:val="zh-CN" w:eastAsia="zh-CN"/>
              </w:rPr>
              <w:t>注：</w:t>
            </w:r>
            <w:r>
              <w:rPr>
                <w:rFonts w:hint="eastAsia" w:cs="宋体"/>
                <w:b/>
                <w:bCs/>
                <w:color w:val="auto"/>
                <w:kern w:val="2"/>
                <w:sz w:val="24"/>
                <w:szCs w:val="24"/>
                <w:highlight w:val="none"/>
                <w:lang w:val="zh-CN" w:eastAsia="zh-CN"/>
              </w:rPr>
              <w:t>拟派</w:t>
            </w:r>
            <w:r>
              <w:rPr>
                <w:rFonts w:hint="eastAsia" w:ascii="宋体" w:hAnsi="宋体" w:eastAsia="宋体" w:cs="宋体"/>
                <w:b/>
                <w:bCs/>
                <w:color w:val="auto"/>
                <w:kern w:val="2"/>
                <w:sz w:val="24"/>
                <w:szCs w:val="24"/>
                <w:highlight w:val="none"/>
                <w:lang w:val="zh-CN" w:eastAsia="zh-CN"/>
              </w:rPr>
              <w:t>项目负责人</w:t>
            </w:r>
            <w:r>
              <w:rPr>
                <w:rFonts w:hint="eastAsia" w:cs="宋体"/>
                <w:b/>
                <w:bCs/>
                <w:color w:val="auto"/>
                <w:kern w:val="2"/>
                <w:sz w:val="24"/>
                <w:szCs w:val="24"/>
                <w:highlight w:val="none"/>
                <w:lang w:val="zh-CN" w:eastAsia="zh-CN"/>
              </w:rPr>
              <w:t>、</w:t>
            </w:r>
            <w:r>
              <w:rPr>
                <w:rFonts w:hint="eastAsia" w:ascii="宋体" w:hAnsi="宋体" w:eastAsia="宋体" w:cs="宋体"/>
                <w:b/>
                <w:bCs/>
                <w:color w:val="auto"/>
                <w:kern w:val="2"/>
                <w:sz w:val="24"/>
                <w:szCs w:val="24"/>
                <w:highlight w:val="none"/>
                <w:lang w:val="zh-CN" w:eastAsia="zh-CN"/>
              </w:rPr>
              <w:t>技术负责人</w:t>
            </w:r>
            <w:r>
              <w:rPr>
                <w:rFonts w:hint="eastAsia" w:cs="宋体"/>
                <w:b/>
                <w:bCs/>
                <w:color w:val="auto"/>
                <w:sz w:val="24"/>
                <w:szCs w:val="24"/>
                <w:highlight w:val="none"/>
                <w:lang w:val="zh-CN"/>
              </w:rPr>
              <w:t>及其他成员应提供</w:t>
            </w:r>
            <w:r>
              <w:rPr>
                <w:rFonts w:hint="eastAsia" w:ascii="宋体" w:hAnsi="宋体" w:eastAsia="宋体" w:cs="宋体"/>
                <w:b/>
                <w:bCs/>
                <w:color w:val="auto"/>
                <w:sz w:val="24"/>
                <w:highlight w:val="none"/>
                <w:lang w:val="zh-CN" w:eastAsia="zh-CN"/>
              </w:rPr>
              <w:t>本</w:t>
            </w:r>
            <w:r>
              <w:rPr>
                <w:rFonts w:hint="eastAsia" w:cs="宋体"/>
                <w:b/>
                <w:bCs/>
                <w:color w:val="auto"/>
                <w:sz w:val="24"/>
                <w:highlight w:val="none"/>
                <w:lang w:val="zh-CN" w:eastAsia="zh-CN"/>
              </w:rPr>
              <w:t>单位</w:t>
            </w:r>
            <w:r>
              <w:rPr>
                <w:rFonts w:hint="eastAsia" w:ascii="宋体" w:hAnsi="宋体" w:eastAsia="宋体" w:cs="宋体"/>
                <w:b/>
                <w:bCs/>
                <w:color w:val="auto"/>
                <w:sz w:val="24"/>
                <w:highlight w:val="none"/>
                <w:lang w:val="zh-CN" w:eastAsia="zh-CN"/>
              </w:rPr>
              <w:t>缴纳的</w:t>
            </w:r>
            <w:r>
              <w:rPr>
                <w:rFonts w:hint="eastAsia" w:cs="宋体"/>
                <w:b/>
                <w:bCs/>
                <w:color w:val="auto"/>
                <w:sz w:val="24"/>
                <w:highlight w:val="none"/>
                <w:lang w:val="zh-CN" w:eastAsia="zh-CN"/>
              </w:rPr>
              <w:t>近六个月的</w:t>
            </w:r>
            <w:r>
              <w:rPr>
                <w:rFonts w:hint="eastAsia" w:ascii="宋体" w:hAnsi="宋体" w:eastAsia="宋体" w:cs="宋体"/>
                <w:b/>
                <w:bCs/>
                <w:color w:val="auto"/>
                <w:sz w:val="24"/>
                <w:highlight w:val="none"/>
                <w:lang w:val="zh-CN" w:eastAsia="zh-CN"/>
              </w:rPr>
              <w:t>有效社会保险证明</w:t>
            </w:r>
            <w:r>
              <w:rPr>
                <w:rFonts w:hint="eastAsia" w:cs="宋体"/>
                <w:b/>
                <w:bCs/>
                <w:color w:val="auto"/>
                <w:sz w:val="24"/>
                <w:highlight w:val="none"/>
                <w:lang w:val="zh-CN" w:eastAsia="zh-CN"/>
              </w:rPr>
              <w:t>；</w:t>
            </w:r>
            <w:r>
              <w:rPr>
                <w:rFonts w:hint="eastAsia" w:ascii="宋体" w:hAnsi="宋体" w:eastAsia="宋体" w:cs="宋体"/>
                <w:b/>
                <w:bCs/>
                <w:color w:val="auto"/>
                <w:sz w:val="24"/>
                <w:highlight w:val="none"/>
                <w:lang w:val="zh-CN" w:eastAsia="zh-CN"/>
              </w:rPr>
              <w:t>全国白蚁防治中心白蚁防治行业从业人员培训证需提供全国白蚁防治中心查询信息截图证明（px.qgby.com/certificateQuer）</w:t>
            </w:r>
            <w:r>
              <w:rPr>
                <w:rFonts w:hint="eastAsia" w:cs="宋体"/>
                <w:b/>
                <w:bCs/>
                <w:color w:val="auto"/>
                <w:sz w:val="24"/>
                <w:highlight w:val="none"/>
                <w:lang w:val="zh-CN" w:eastAsia="zh-CN"/>
              </w:rPr>
              <w:t>以及</w:t>
            </w:r>
            <w:r>
              <w:rPr>
                <w:rFonts w:hint="eastAsia" w:ascii="宋体" w:hAnsi="宋体" w:eastAsia="宋体" w:cs="宋体"/>
                <w:b/>
                <w:bCs/>
                <w:color w:val="auto"/>
                <w:sz w:val="24"/>
                <w:highlight w:val="none"/>
                <w:lang w:val="zh-CN" w:eastAsia="zh-CN"/>
              </w:rPr>
              <w:t>职业</w:t>
            </w:r>
            <w:r>
              <w:rPr>
                <w:rFonts w:hint="eastAsia" w:cs="宋体"/>
                <w:b/>
                <w:bCs/>
                <w:color w:val="auto"/>
                <w:sz w:val="24"/>
                <w:highlight w:val="none"/>
                <w:lang w:val="zh-CN" w:eastAsia="zh-CN"/>
              </w:rPr>
              <w:t>培训</w:t>
            </w:r>
            <w:r>
              <w:rPr>
                <w:rFonts w:hint="eastAsia" w:ascii="宋体" w:hAnsi="宋体" w:eastAsia="宋体" w:cs="宋体"/>
                <w:b/>
                <w:bCs/>
                <w:color w:val="auto"/>
                <w:sz w:val="24"/>
                <w:highlight w:val="none"/>
                <w:lang w:val="zh-CN" w:eastAsia="zh-CN"/>
              </w:rPr>
              <w:t>证书</w:t>
            </w:r>
            <w:r>
              <w:rPr>
                <w:rFonts w:hint="eastAsia" w:cs="宋体"/>
                <w:b/>
                <w:bCs/>
                <w:color w:val="auto"/>
                <w:sz w:val="24"/>
                <w:highlight w:val="none"/>
                <w:lang w:val="zh-CN" w:eastAsia="zh-CN"/>
              </w:rPr>
              <w:t>原件扫描件</w:t>
            </w:r>
            <w:r>
              <w:rPr>
                <w:rFonts w:hint="eastAsia" w:ascii="宋体" w:hAnsi="宋体" w:eastAsia="宋体" w:cs="宋体"/>
                <w:b/>
                <w:bCs/>
                <w:color w:val="auto"/>
                <w:sz w:val="24"/>
                <w:highlight w:val="none"/>
                <w:lang w:val="zh-CN" w:eastAsia="zh-CN"/>
              </w:rPr>
              <w:t>并加盖公章，未提供或提供不全的不得分。</w:t>
            </w:r>
            <w:r>
              <w:rPr>
                <w:rFonts w:hint="eastAsia" w:cs="宋体"/>
                <w:b/>
                <w:bCs/>
                <w:color w:val="auto"/>
                <w:sz w:val="24"/>
                <w:highlight w:val="none"/>
                <w:lang w:val="zh-CN" w:eastAsia="zh-CN"/>
              </w:rPr>
              <w:t xml:space="preserve">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w:t>
            </w:r>
            <w:r>
              <w:rPr>
                <w:rFonts w:hint="eastAsia" w:ascii="宋体" w:hAnsi="宋体" w:cs="宋体"/>
                <w:color w:val="auto"/>
                <w:sz w:val="24"/>
                <w:highlight w:val="none"/>
                <w:lang w:val="en-US" w:eastAsia="zh-CN"/>
              </w:rPr>
              <w:t>1</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w:t>
            </w:r>
          </w:p>
        </w:tc>
        <w:tc>
          <w:tcPr>
            <w:tcW w:w="6171" w:type="dxa"/>
            <w:noWrap w:val="0"/>
            <w:vAlign w:val="center"/>
          </w:tcPr>
          <w:p>
            <w:pPr>
              <w:widowControl/>
              <w:spacing w:after="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根据投标人提供的</w:t>
            </w:r>
            <w:r>
              <w:rPr>
                <w:rFonts w:hint="eastAsia" w:ascii="宋体" w:hAnsi="宋体" w:eastAsia="宋体" w:cs="宋体"/>
                <w:color w:val="auto"/>
                <w:kern w:val="0"/>
                <w:sz w:val="24"/>
                <w:szCs w:val="24"/>
                <w:highlight w:val="none"/>
                <w:lang w:val="zh-CN"/>
              </w:rPr>
              <w:t>①</w:t>
            </w:r>
            <w:r>
              <w:rPr>
                <w:rFonts w:hint="eastAsia" w:ascii="宋体" w:hAnsi="宋体" w:eastAsia="宋体" w:cs="宋体"/>
                <w:color w:val="auto"/>
                <w:sz w:val="24"/>
                <w:szCs w:val="24"/>
                <w:highlight w:val="none"/>
                <w:lang w:val="zh-CN"/>
              </w:rPr>
              <w:t>售后服务方案</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0-2分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②</w:t>
            </w:r>
            <w:r>
              <w:rPr>
                <w:rFonts w:hint="eastAsia" w:ascii="宋体" w:hAnsi="宋体" w:eastAsia="宋体" w:cs="宋体"/>
                <w:color w:val="auto"/>
                <w:sz w:val="24"/>
                <w:szCs w:val="24"/>
                <w:highlight w:val="none"/>
                <w:lang w:val="zh-CN"/>
              </w:rPr>
              <w:t>服务响应时间</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0-2分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kern w:val="0"/>
                <w:sz w:val="24"/>
                <w:szCs w:val="24"/>
                <w:highlight w:val="none"/>
                <w:lang w:val="zh-CN"/>
              </w:rPr>
              <w:t>③</w:t>
            </w:r>
            <w:r>
              <w:rPr>
                <w:rFonts w:hint="eastAsia" w:ascii="宋体" w:hAnsi="宋体" w:eastAsia="宋体" w:cs="宋体"/>
                <w:color w:val="auto"/>
                <w:sz w:val="24"/>
                <w:szCs w:val="24"/>
                <w:highlight w:val="none"/>
                <w:lang w:val="zh-CN"/>
              </w:rPr>
              <w:t>售后服务承诺的可行性、完整性以及服务承诺落实的保障措施，在项目实施有效期内的后续技术支持能力情况</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0-2分</w:t>
            </w:r>
            <w:r>
              <w:rPr>
                <w:rFonts w:hint="eastAsia" w:ascii="宋体" w:hAnsi="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进行综合评分。（</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zh-CN" w:eastAsia="zh-CN"/>
              </w:rPr>
              <w:t>6</w:t>
            </w:r>
            <w:r>
              <w:rPr>
                <w:rFonts w:hint="eastAsia" w:ascii="宋体" w:hAnsi="宋体" w:eastAsia="宋体" w:cs="宋体"/>
                <w:color w:val="auto"/>
                <w:kern w:val="0"/>
                <w:sz w:val="24"/>
                <w:szCs w:val="24"/>
                <w:highlight w:val="none"/>
                <w:lang w:val="zh-CN"/>
              </w:rPr>
              <w:t>分）</w:t>
            </w:r>
          </w:p>
          <w:p>
            <w:pPr>
              <w:widowControl/>
              <w:spacing w:after="0"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cs="宋体"/>
                <w:color w:val="auto"/>
                <w:kern w:val="0"/>
                <w:sz w:val="24"/>
                <w:szCs w:val="24"/>
                <w:highlight w:val="none"/>
                <w:lang w:val="zh-CN"/>
              </w:rPr>
              <w:t>注：</w:t>
            </w:r>
            <w:r>
              <w:rPr>
                <w:rFonts w:hint="eastAsia" w:ascii="宋体" w:hAnsi="宋体" w:eastAsia="宋体" w:cs="宋体"/>
                <w:color w:val="auto"/>
                <w:kern w:val="0"/>
                <w:sz w:val="24"/>
                <w:szCs w:val="24"/>
                <w:highlight w:val="none"/>
                <w:lang w:val="zh-CN"/>
              </w:rPr>
              <w:t>每一项内容进行了阐述且完全满足采购需求的，得</w:t>
            </w:r>
            <w:r>
              <w:rPr>
                <w:rFonts w:hint="eastAsia" w:ascii="宋体" w:hAnsi="宋体" w:eastAsia="宋体" w:cs="宋体"/>
                <w:color w:val="auto"/>
                <w:kern w:val="0"/>
                <w:sz w:val="24"/>
                <w:szCs w:val="24"/>
                <w:highlight w:val="none"/>
                <w:lang w:val="zh-CN" w:eastAsia="zh-CN"/>
              </w:rPr>
              <w:t>2</w:t>
            </w:r>
            <w:r>
              <w:rPr>
                <w:rFonts w:hint="eastAsia" w:ascii="宋体" w:hAnsi="宋体" w:eastAsia="宋体" w:cs="宋体"/>
                <w:color w:val="auto"/>
                <w:kern w:val="0"/>
                <w:sz w:val="24"/>
                <w:szCs w:val="24"/>
                <w:highlight w:val="none"/>
                <w:lang w:val="zh-CN"/>
              </w:rPr>
              <w:t>分；每一项内容虽然进行了阐述但并未完全贴合采购需求的，得1分；每一项内容未进行阐述或阐述内容无法满足采购需求，得0分。</w:t>
            </w:r>
          </w:p>
        </w:tc>
        <w:tc>
          <w:tcPr>
            <w:tcW w:w="1200"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0-6</w:t>
            </w:r>
          </w:p>
        </w:tc>
        <w:tc>
          <w:tcPr>
            <w:tcW w:w="940"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6171" w:type="dxa"/>
            <w:noWrap w:val="0"/>
            <w:vAlign w:val="center"/>
          </w:tcPr>
          <w:p>
            <w:pPr>
              <w:widowControl/>
              <w:spacing w:after="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根据投标人提供的项目</w:t>
            </w:r>
            <w:r>
              <w:rPr>
                <w:rFonts w:hint="eastAsia" w:ascii="宋体" w:hAnsi="宋体" w:eastAsia="宋体" w:cs="宋体"/>
                <w:color w:val="auto"/>
                <w:kern w:val="0"/>
                <w:sz w:val="24"/>
                <w:szCs w:val="24"/>
                <w:highlight w:val="none"/>
                <w:lang w:val="zh-CN" w:eastAsia="zh-CN"/>
              </w:rPr>
              <w:t>保障措施</w:t>
            </w:r>
            <w:r>
              <w:rPr>
                <w:rFonts w:hint="eastAsia" w:ascii="宋体" w:hAnsi="宋体" w:eastAsia="宋体" w:cs="宋体"/>
                <w:color w:val="auto"/>
                <w:kern w:val="0"/>
                <w:sz w:val="24"/>
                <w:szCs w:val="24"/>
                <w:highlight w:val="none"/>
                <w:lang w:val="zh-CN"/>
              </w:rPr>
              <w:t>，包括①治理安全管理措施</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0-2分</w:t>
            </w:r>
            <w:r>
              <w:rPr>
                <w:rFonts w:hint="eastAsia" w:ascii="宋体" w:hAnsi="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、②应急</w:t>
            </w:r>
            <w:r>
              <w:rPr>
                <w:rFonts w:hint="eastAsia" w:ascii="宋体" w:hAnsi="宋体" w:eastAsia="宋体" w:cs="宋体"/>
                <w:color w:val="auto"/>
                <w:kern w:val="0"/>
                <w:sz w:val="24"/>
                <w:szCs w:val="24"/>
                <w:highlight w:val="none"/>
                <w:lang w:val="zh-CN" w:eastAsia="zh-CN"/>
              </w:rPr>
              <w:t>措施</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0-2分</w:t>
            </w:r>
            <w:r>
              <w:rPr>
                <w:rFonts w:hint="eastAsia" w:ascii="宋体" w:hAnsi="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、③安全保障方案</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0-2分</w:t>
            </w:r>
            <w:r>
              <w:rPr>
                <w:rFonts w:hint="eastAsia" w:ascii="宋体" w:hAnsi="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由专家进行综合评</w:t>
            </w:r>
            <w:r>
              <w:rPr>
                <w:rFonts w:hint="eastAsia" w:ascii="宋体" w:hAnsi="宋体" w:eastAsia="宋体" w:cs="宋体"/>
                <w:color w:val="auto"/>
                <w:kern w:val="0"/>
                <w:sz w:val="24"/>
                <w:szCs w:val="24"/>
                <w:highlight w:val="none"/>
                <w:lang w:val="zh-CN" w:eastAsia="zh-CN"/>
              </w:rPr>
              <w:t>分</w:t>
            </w:r>
            <w:r>
              <w:rPr>
                <w:rFonts w:hint="eastAsia" w:ascii="宋体" w:hAnsi="宋体" w:eastAsia="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zh-CN" w:eastAsia="zh-CN"/>
              </w:rPr>
              <w:t>6</w:t>
            </w:r>
            <w:r>
              <w:rPr>
                <w:rFonts w:hint="eastAsia" w:ascii="宋体" w:hAnsi="宋体" w:eastAsia="宋体" w:cs="宋体"/>
                <w:color w:val="auto"/>
                <w:kern w:val="0"/>
                <w:sz w:val="24"/>
                <w:szCs w:val="24"/>
                <w:highlight w:val="none"/>
                <w:lang w:val="zh-CN"/>
              </w:rPr>
              <w:t>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kern w:val="0"/>
                <w:sz w:val="24"/>
                <w:szCs w:val="24"/>
                <w:highlight w:val="none"/>
                <w:lang w:val="zh-CN"/>
              </w:rPr>
              <w:t>注：</w:t>
            </w:r>
            <w:r>
              <w:rPr>
                <w:rFonts w:hint="eastAsia" w:ascii="宋体" w:hAnsi="宋体" w:eastAsia="宋体" w:cs="宋体"/>
                <w:color w:val="auto"/>
                <w:kern w:val="0"/>
                <w:sz w:val="24"/>
                <w:szCs w:val="24"/>
                <w:highlight w:val="none"/>
                <w:lang w:val="zh-CN"/>
              </w:rPr>
              <w:t>每一项内容进行了阐述且完全满足采购需求的，得</w:t>
            </w:r>
            <w:r>
              <w:rPr>
                <w:rFonts w:hint="eastAsia" w:ascii="宋体" w:hAnsi="宋体" w:eastAsia="宋体" w:cs="宋体"/>
                <w:color w:val="auto"/>
                <w:kern w:val="0"/>
                <w:sz w:val="24"/>
                <w:szCs w:val="24"/>
                <w:highlight w:val="none"/>
                <w:lang w:val="zh-CN" w:eastAsia="zh-CN"/>
              </w:rPr>
              <w:t>2</w:t>
            </w:r>
            <w:r>
              <w:rPr>
                <w:rFonts w:hint="eastAsia" w:ascii="宋体" w:hAnsi="宋体" w:eastAsia="宋体" w:cs="宋体"/>
                <w:color w:val="auto"/>
                <w:kern w:val="0"/>
                <w:sz w:val="24"/>
                <w:szCs w:val="24"/>
                <w:highlight w:val="none"/>
                <w:lang w:val="zh-CN"/>
              </w:rPr>
              <w:t>分；每一项内容虽然进行了阐述但并未完全贴合采购需求的，得1分；每一项内容未进行阐述或阐述内容无法满足采购需求，得0分。</w:t>
            </w:r>
          </w:p>
        </w:tc>
        <w:tc>
          <w:tcPr>
            <w:tcW w:w="1200" w:type="dxa"/>
            <w:noWrap w:val="0"/>
            <w:vAlign w:val="center"/>
          </w:tcPr>
          <w:p>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tc>
        <w:tc>
          <w:tcPr>
            <w:tcW w:w="940"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主观分</w:t>
            </w:r>
          </w:p>
        </w:tc>
      </w:tr>
    </w:tbl>
    <w:p>
      <w:pPr>
        <w:widowControl/>
        <w:spacing w:line="360" w:lineRule="auto"/>
        <w:rPr>
          <w:rFonts w:hint="eastAsia" w:ascii="宋体" w:hAnsi="宋体" w:eastAsia="宋体" w:cs="宋体"/>
          <w:color w:val="auto"/>
          <w:sz w:val="24"/>
          <w:highlight w:val="none"/>
          <w:lang w:val="en-US" w:eastAsia="zh-CN"/>
        </w:rPr>
      </w:pP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1.3价格分（10分）</w:t>
      </w:r>
    </w:p>
    <w:tbl>
      <w:tblPr>
        <w:tblStyle w:val="69"/>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87"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价格分</w:t>
            </w:r>
          </w:p>
        </w:tc>
        <w:tc>
          <w:tcPr>
            <w:tcW w:w="7029"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287"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价格权值=0.1</w:t>
            </w:r>
          </w:p>
        </w:tc>
        <w:tc>
          <w:tcPr>
            <w:tcW w:w="7029" w:type="dxa"/>
            <w:noWrap w:val="0"/>
            <w:vAlign w:val="center"/>
          </w:tcPr>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最低有效响应价格为评标基准价</w:t>
            </w: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响应报价得分=(评标基准价／响应报价)×价格权值×100 </w:t>
            </w: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（计算得分保留小数点后2位）</w:t>
            </w:r>
          </w:p>
        </w:tc>
      </w:tr>
    </w:tbl>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备注：1、评分条款中涉及的业绩、荣誉、人员、社保等分公司均有效。</w:t>
      </w: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widowControl/>
        <w:spacing w:line="360" w:lineRule="auto"/>
        <w:rPr>
          <w:rFonts w:cs="仿宋_GB2312"/>
          <w:color w:val="auto"/>
          <w:highlight w:val="none"/>
        </w:rPr>
      </w:pPr>
      <w:r>
        <w:rPr>
          <w:rFonts w:hint="eastAsia" w:ascii="宋体" w:hAnsi="宋体" w:eastAsia="宋体" w:cs="宋体"/>
          <w:color w:val="auto"/>
          <w:sz w:val="24"/>
          <w:highlight w:val="none"/>
          <w:lang w:val="en-US" w:eastAsia="zh-CN"/>
        </w:rPr>
        <w:t>3、供应商编制响应文件（商务技术文件部分）时，建议按此目录（序号和内容）提供评标标准相应的商务技术资料。</w:t>
      </w:r>
      <w:r>
        <w:rPr>
          <w:rFonts w:cs="仿宋_GB2312"/>
          <w:color w:val="auto"/>
          <w:highlight w:val="none"/>
        </w:rPr>
        <w:t> </w:t>
      </w:r>
    </w:p>
    <w:p>
      <w:pPr>
        <w:snapToGrid w:val="0"/>
        <w:spacing w:line="360" w:lineRule="auto"/>
        <w:rPr>
          <w:rFonts w:ascii="宋体" w:hAnsi="宋体" w:cs="宋体"/>
          <w:b/>
          <w:color w:val="auto"/>
          <w:sz w:val="24"/>
          <w:szCs w:val="24"/>
        </w:rPr>
      </w:pP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7"/>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7"/>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7"/>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7"/>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7"/>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7"/>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7"/>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7"/>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7"/>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cyan"/>
        </w:rPr>
      </w:pPr>
      <w:r>
        <w:rPr>
          <w:rFonts w:hint="eastAsia" w:ascii="宋体" w:hAnsi="宋体" w:cs="宋体"/>
          <w:color w:val="auto"/>
          <w:kern w:val="0"/>
          <w:sz w:val="24"/>
          <w:highlight w:val="cyan"/>
        </w:rPr>
        <w:t>4.2.13投标人未提供样品或提供的样品不满足采购需求实质性条件的，投标无效；</w:t>
      </w:r>
    </w:p>
    <w:p>
      <w:pPr>
        <w:pStyle w:val="11"/>
        <w:ind w:left="862" w:leftChars="205"/>
        <w:rPr>
          <w:color w:val="auto"/>
          <w:highlight w:val="cyan"/>
        </w:rPr>
      </w:pPr>
      <w:r>
        <w:rPr>
          <w:rFonts w:hint="eastAsia" w:ascii="宋体" w:hAnsi="宋体" w:eastAsia="宋体" w:cs="宋体"/>
          <w:b w:val="0"/>
          <w:bCs w:val="0"/>
          <w:color w:val="auto"/>
          <w:kern w:val="0"/>
          <w:sz w:val="24"/>
          <w:szCs w:val="24"/>
          <w:highlight w:val="cyan"/>
          <w:lang w:val="en-US"/>
        </w:rPr>
        <w:t>4.2.14 投标文件不满足招标文件的实质性要求的；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pPr>
        <w:pStyle w:val="3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32"/>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32"/>
        <w:snapToGrid w:val="0"/>
        <w:spacing w:line="360" w:lineRule="auto"/>
        <w:rPr>
          <w:rFonts w:cs="宋体"/>
          <w:color w:val="auto"/>
        </w:rPr>
      </w:pPr>
      <w:r>
        <w:rPr>
          <w:rFonts w:hint="eastAsia" w:cs="宋体"/>
          <w:color w:val="auto"/>
        </w:rPr>
        <w:t>5.2出现影响采购公正的违法、违规行为的；</w:t>
      </w:r>
    </w:p>
    <w:p>
      <w:pPr>
        <w:pStyle w:val="32"/>
        <w:snapToGrid w:val="0"/>
        <w:spacing w:line="360" w:lineRule="auto"/>
        <w:rPr>
          <w:rFonts w:cs="宋体"/>
          <w:color w:val="auto"/>
        </w:rPr>
      </w:pPr>
      <w:r>
        <w:rPr>
          <w:rFonts w:hint="eastAsia" w:cs="宋体"/>
          <w:color w:val="auto"/>
        </w:rPr>
        <w:t>5.3投标人的报价均超过了采购预算，采购人不能支付的；</w:t>
      </w:r>
    </w:p>
    <w:p>
      <w:pPr>
        <w:pStyle w:val="32"/>
        <w:snapToGrid w:val="0"/>
        <w:spacing w:line="360" w:lineRule="auto"/>
        <w:rPr>
          <w:rFonts w:cs="宋体"/>
          <w:color w:val="auto"/>
        </w:rPr>
      </w:pPr>
      <w:r>
        <w:rPr>
          <w:rFonts w:hint="eastAsia" w:cs="宋体"/>
          <w:color w:val="auto"/>
        </w:rPr>
        <w:t>5.4因重大变故，采购任务取消的。</w:t>
      </w:r>
    </w:p>
    <w:p>
      <w:pPr>
        <w:pStyle w:val="32"/>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3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3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32"/>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3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3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32"/>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3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32"/>
        <w:snapToGrid w:val="0"/>
        <w:spacing w:line="360" w:lineRule="auto"/>
        <w:ind w:firstLine="0" w:firstLineChars="0"/>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5"/>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11"/>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602"/>
        <w:spacing w:before="120" w:line="22" w:lineRule="atLeast"/>
        <w:rPr>
          <w:rFonts w:ascii="宋体" w:hAnsi="宋体" w:eastAsia="宋体" w:cs="宋体"/>
          <w:color w:val="auto"/>
          <w:szCs w:val="24"/>
        </w:rPr>
      </w:pPr>
    </w:p>
    <w:p>
      <w:pPr>
        <w:pStyle w:val="602"/>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95" w:name="_Toc20421"/>
      <w:bookmarkStart w:id="396" w:name="_Toc19273"/>
      <w:bookmarkStart w:id="397" w:name="_Toc22967"/>
      <w:bookmarkStart w:id="398" w:name="_Toc15367"/>
      <w:bookmarkStart w:id="399" w:name="_Toc28855"/>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400" w:name="_Toc2918"/>
      <w:bookmarkStart w:id="401" w:name="_Toc6773"/>
      <w:bookmarkStart w:id="402" w:name="_Toc22185"/>
      <w:bookmarkStart w:id="403" w:name="_Toc6311"/>
      <w:bookmarkStart w:id="404" w:name="_Toc18585"/>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6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pPr>
        <w:spacing w:line="560" w:lineRule="exact"/>
        <w:ind w:firstLine="480" w:firstLineChars="200"/>
        <w:rPr>
          <w:rFonts w:ascii="宋体" w:hAnsi="宋体" w:cs="宋体"/>
          <w:color w:val="auto"/>
          <w:sz w:val="24"/>
          <w:u w:val="single"/>
        </w:rPr>
      </w:pPr>
      <w:bookmarkStart w:id="405" w:name="_Toc4929"/>
      <w:bookmarkStart w:id="406" w:name="_Toc5635"/>
      <w:bookmarkStart w:id="407" w:name="_Toc1386"/>
      <w:bookmarkStart w:id="408" w:name="_Toc21124"/>
      <w:bookmarkStart w:id="409"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25"/>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25"/>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560" w:lineRule="exact"/>
              <w:ind w:firstLine="200"/>
              <w:jc w:val="center"/>
              <w:rPr>
                <w:rFonts w:hAnsi="宋体"/>
                <w:color w:val="auto"/>
                <w:sz w:val="24"/>
                <w:szCs w:val="24"/>
              </w:rPr>
            </w:pPr>
          </w:p>
        </w:tc>
        <w:tc>
          <w:tcPr>
            <w:tcW w:w="3402" w:type="dxa"/>
            <w:vAlign w:val="center"/>
          </w:tcPr>
          <w:p>
            <w:pPr>
              <w:pStyle w:val="325"/>
              <w:spacing w:line="560" w:lineRule="exact"/>
              <w:ind w:firstLine="200"/>
              <w:jc w:val="center"/>
              <w:rPr>
                <w:rFonts w:hAnsi="宋体"/>
                <w:color w:val="auto"/>
                <w:sz w:val="24"/>
                <w:szCs w:val="24"/>
              </w:rPr>
            </w:pPr>
          </w:p>
        </w:tc>
        <w:tc>
          <w:tcPr>
            <w:tcW w:w="2552" w:type="dxa"/>
            <w:vAlign w:val="center"/>
          </w:tcPr>
          <w:p>
            <w:pPr>
              <w:pStyle w:val="32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560" w:lineRule="exact"/>
              <w:ind w:firstLine="200"/>
              <w:jc w:val="center"/>
              <w:rPr>
                <w:rFonts w:hAnsi="宋体"/>
                <w:color w:val="auto"/>
                <w:sz w:val="24"/>
                <w:szCs w:val="24"/>
              </w:rPr>
            </w:pPr>
          </w:p>
        </w:tc>
        <w:tc>
          <w:tcPr>
            <w:tcW w:w="3402" w:type="dxa"/>
            <w:vAlign w:val="center"/>
          </w:tcPr>
          <w:p>
            <w:pPr>
              <w:pStyle w:val="325"/>
              <w:spacing w:line="560" w:lineRule="exact"/>
              <w:ind w:firstLine="200"/>
              <w:jc w:val="center"/>
              <w:rPr>
                <w:rFonts w:hAnsi="宋体"/>
                <w:color w:val="auto"/>
                <w:sz w:val="24"/>
                <w:szCs w:val="24"/>
              </w:rPr>
            </w:pPr>
          </w:p>
        </w:tc>
        <w:tc>
          <w:tcPr>
            <w:tcW w:w="2552" w:type="dxa"/>
            <w:vAlign w:val="center"/>
          </w:tcPr>
          <w:p>
            <w:pPr>
              <w:pStyle w:val="32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560" w:lineRule="exact"/>
              <w:ind w:firstLine="200"/>
              <w:jc w:val="center"/>
              <w:rPr>
                <w:rFonts w:hAnsi="宋体"/>
                <w:color w:val="auto"/>
                <w:sz w:val="24"/>
                <w:szCs w:val="24"/>
              </w:rPr>
            </w:pPr>
          </w:p>
        </w:tc>
        <w:tc>
          <w:tcPr>
            <w:tcW w:w="3402" w:type="dxa"/>
            <w:vAlign w:val="center"/>
          </w:tcPr>
          <w:p>
            <w:pPr>
              <w:pStyle w:val="325"/>
              <w:spacing w:line="560" w:lineRule="exact"/>
              <w:ind w:firstLine="200"/>
              <w:jc w:val="center"/>
              <w:rPr>
                <w:rFonts w:hAnsi="宋体"/>
                <w:color w:val="auto"/>
                <w:sz w:val="24"/>
                <w:szCs w:val="24"/>
              </w:rPr>
            </w:pPr>
          </w:p>
        </w:tc>
        <w:tc>
          <w:tcPr>
            <w:tcW w:w="2552" w:type="dxa"/>
            <w:vAlign w:val="center"/>
          </w:tcPr>
          <w:p>
            <w:pPr>
              <w:pStyle w:val="32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5"/>
              <w:spacing w:line="560" w:lineRule="exact"/>
              <w:ind w:firstLine="200"/>
              <w:jc w:val="center"/>
              <w:rPr>
                <w:rFonts w:hAnsi="宋体"/>
                <w:color w:val="auto"/>
                <w:sz w:val="24"/>
                <w:szCs w:val="24"/>
              </w:rPr>
            </w:pPr>
          </w:p>
        </w:tc>
        <w:tc>
          <w:tcPr>
            <w:tcW w:w="3402" w:type="dxa"/>
            <w:vAlign w:val="center"/>
          </w:tcPr>
          <w:p>
            <w:pPr>
              <w:pStyle w:val="325"/>
              <w:spacing w:line="560" w:lineRule="exact"/>
              <w:ind w:firstLine="200"/>
              <w:jc w:val="center"/>
              <w:rPr>
                <w:rFonts w:hAnsi="宋体"/>
                <w:color w:val="auto"/>
                <w:sz w:val="24"/>
                <w:szCs w:val="24"/>
              </w:rPr>
            </w:pPr>
          </w:p>
        </w:tc>
        <w:tc>
          <w:tcPr>
            <w:tcW w:w="2552" w:type="dxa"/>
            <w:vAlign w:val="center"/>
          </w:tcPr>
          <w:p>
            <w:pPr>
              <w:pStyle w:val="325"/>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5"/>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25"/>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10" w:name="_Toc3654"/>
      <w:bookmarkStart w:id="411" w:name="_Toc30158"/>
      <w:bookmarkStart w:id="412" w:name="_Toc30506"/>
      <w:bookmarkStart w:id="413" w:name="_Toc14993"/>
      <w:bookmarkStart w:id="414"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11"/>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pPr>
        <w:pStyle w:val="962"/>
        <w:spacing w:before="0" w:beforeAutospacing="0" w:after="0" w:afterAutospacing="0" w:line="360" w:lineRule="auto"/>
        <w:ind w:firstLine="480"/>
        <w:rPr>
          <w:b/>
          <w:color w:val="auto"/>
        </w:rPr>
      </w:pPr>
      <w:bookmarkStart w:id="415" w:name="_Toc10340"/>
      <w:bookmarkStart w:id="416" w:name="_Toc1814"/>
      <w:bookmarkStart w:id="417" w:name="_Toc22618"/>
      <w:bookmarkStart w:id="418" w:name="_Toc8772"/>
      <w:bookmarkStart w:id="419" w:name="_Toc31421"/>
      <w:bookmarkStart w:id="420" w:name="_Toc4760"/>
      <w:bookmarkStart w:id="421" w:name="_Toc11108"/>
      <w:bookmarkStart w:id="422" w:name="_Toc3625"/>
      <w:r>
        <w:rPr>
          <w:rFonts w:hint="eastAsia"/>
          <w:b/>
          <w:color w:val="auto"/>
        </w:rPr>
        <w:t>1.4履约保证金</w:t>
      </w:r>
    </w:p>
    <w:p>
      <w:pPr>
        <w:pStyle w:val="96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11"/>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pPr>
        <w:pStyle w:val="96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6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2"/>
        <w:spacing w:before="0" w:beforeAutospacing="0" w:after="0" w:afterAutospacing="0" w:line="360" w:lineRule="auto"/>
        <w:ind w:firstLine="480"/>
        <w:rPr>
          <w:b/>
          <w:bCs/>
          <w:color w:val="auto"/>
        </w:rPr>
      </w:pPr>
      <w:r>
        <w:rPr>
          <w:rFonts w:hint="eastAsia"/>
          <w:b/>
          <w:bCs/>
          <w:color w:val="auto"/>
        </w:rPr>
        <w:t>1.6资金支付</w:t>
      </w:r>
    </w:p>
    <w:p>
      <w:pPr>
        <w:pStyle w:val="96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23" w:name="_Toc2375"/>
      <w:bookmarkStart w:id="424" w:name="_Toc8586"/>
      <w:bookmarkStart w:id="425" w:name="_Toc24662"/>
      <w:bookmarkStart w:id="426" w:name="_Toc5698"/>
      <w:bookmarkStart w:id="427" w:name="_Toc3079"/>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11"/>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28" w:name="_Toc9497"/>
      <w:bookmarkStart w:id="429" w:name="_Toc32454"/>
      <w:bookmarkStart w:id="430" w:name="_Toc30329"/>
      <w:bookmarkStart w:id="431" w:name="_Toc18683"/>
      <w:bookmarkStart w:id="432"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rPr>
      </w:pPr>
      <w:bookmarkStart w:id="433" w:name="_Toc28375"/>
      <w:bookmarkStart w:id="434" w:name="_Toc16021"/>
      <w:bookmarkStart w:id="435" w:name="_Toc15583"/>
      <w:r>
        <w:rPr>
          <w:rFonts w:hint="eastAsia" w:ascii="宋体" w:hAnsi="宋体" w:cs="宋体"/>
          <w:b/>
          <w:color w:val="auto"/>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36" w:name="_Toc15322"/>
      <w:bookmarkStart w:id="437" w:name="_Toc11173"/>
      <w:bookmarkStart w:id="438" w:name="_Toc7245"/>
      <w:r>
        <w:rPr>
          <w:rFonts w:hint="eastAsia" w:ascii="宋体" w:hAnsi="宋体" w:cs="宋体"/>
          <w:b/>
          <w:color w:val="auto"/>
          <w:sz w:val="24"/>
        </w:rPr>
        <w:t>2.0 合同生效</w:t>
      </w:r>
      <w:bookmarkEnd w:id="436"/>
      <w:bookmarkEnd w:id="437"/>
      <w:bookmarkEnd w:id="438"/>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705"/>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39" w:name="_Toc5228"/>
      <w:bookmarkStart w:id="440" w:name="_Toc19680"/>
      <w:bookmarkStart w:id="441" w:name="_Toc25079"/>
      <w:bookmarkStart w:id="442" w:name="_Toc14021"/>
      <w:bookmarkStart w:id="443" w:name="_Toc31297"/>
      <w:r>
        <w:rPr>
          <w:rFonts w:ascii="宋体" w:hAnsi="宋体"/>
          <w:b/>
          <w:color w:val="auto"/>
          <w:sz w:val="24"/>
        </w:rPr>
        <w:t>2.1 定义</w:t>
      </w:r>
      <w:bookmarkEnd w:id="439"/>
      <w:bookmarkEnd w:id="440"/>
      <w:bookmarkEnd w:id="441"/>
      <w:bookmarkEnd w:id="442"/>
      <w:bookmarkEnd w:id="443"/>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44" w:name="_Toc23289"/>
      <w:bookmarkStart w:id="445" w:name="_Toc19539"/>
      <w:bookmarkStart w:id="446" w:name="_Toc16752"/>
      <w:bookmarkStart w:id="447" w:name="_Toc31402"/>
      <w:bookmarkStart w:id="448" w:name="_Toc3769"/>
      <w:r>
        <w:rPr>
          <w:rFonts w:ascii="宋体" w:hAnsi="宋体"/>
          <w:b/>
          <w:color w:val="auto"/>
          <w:sz w:val="24"/>
        </w:rPr>
        <w:t>2.2 技术规范</w:t>
      </w:r>
      <w:bookmarkEnd w:id="444"/>
      <w:bookmarkEnd w:id="445"/>
      <w:bookmarkEnd w:id="446"/>
      <w:bookmarkEnd w:id="447"/>
      <w:bookmarkEnd w:id="448"/>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49" w:name="_Toc12412"/>
      <w:bookmarkStart w:id="450" w:name="_Toc13673"/>
      <w:bookmarkStart w:id="451" w:name="_Toc9161"/>
      <w:bookmarkStart w:id="452" w:name="_Toc27945"/>
      <w:bookmarkStart w:id="453" w:name="_Toc4133"/>
      <w:r>
        <w:rPr>
          <w:rFonts w:ascii="宋体" w:hAnsi="宋体"/>
          <w:b/>
          <w:color w:val="auto"/>
          <w:sz w:val="24"/>
        </w:rPr>
        <w:t>2.3 知识产权</w:t>
      </w:r>
      <w:bookmarkEnd w:id="449"/>
      <w:bookmarkEnd w:id="450"/>
      <w:bookmarkEnd w:id="451"/>
      <w:bookmarkEnd w:id="452"/>
      <w:bookmarkEnd w:id="453"/>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54" w:name="_Toc32670"/>
      <w:bookmarkStart w:id="455" w:name="_Toc15447"/>
      <w:bookmarkStart w:id="456" w:name="_Toc26555"/>
      <w:bookmarkStart w:id="457" w:name="_Toc22011"/>
      <w:bookmarkStart w:id="458" w:name="_Toc31233"/>
      <w:r>
        <w:rPr>
          <w:rFonts w:ascii="宋体" w:hAnsi="宋体"/>
          <w:b/>
          <w:color w:val="auto"/>
          <w:sz w:val="24"/>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59" w:name="_Toc13467"/>
      <w:bookmarkStart w:id="460" w:name="_Toc13154"/>
      <w:bookmarkStart w:id="461" w:name="_Toc30507"/>
      <w:bookmarkStart w:id="462" w:name="_Toc16163"/>
      <w:bookmarkStart w:id="463" w:name="_Toc18990"/>
      <w:r>
        <w:rPr>
          <w:rFonts w:ascii="宋体" w:hAnsi="宋体"/>
          <w:b/>
          <w:color w:val="auto"/>
          <w:sz w:val="24"/>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67" w:name="_Toc10663"/>
      <w:bookmarkStart w:id="468" w:name="_Toc21830"/>
      <w:bookmarkStart w:id="469" w:name="_Toc42"/>
      <w:bookmarkStart w:id="470" w:name="_Toc26689"/>
      <w:bookmarkStart w:id="471" w:name="_Toc23368"/>
      <w:r>
        <w:rPr>
          <w:rFonts w:ascii="宋体" w:hAnsi="宋体"/>
          <w:b/>
          <w:color w:val="auto"/>
          <w:sz w:val="24"/>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72" w:name="_Toc26633"/>
      <w:bookmarkStart w:id="473" w:name="_Toc32494"/>
      <w:bookmarkStart w:id="474" w:name="_Toc14371"/>
      <w:bookmarkStart w:id="475" w:name="_Toc25571"/>
      <w:bookmarkStart w:id="476" w:name="_Toc4720"/>
      <w:r>
        <w:rPr>
          <w:rFonts w:ascii="宋体" w:hAnsi="宋体"/>
          <w:b/>
          <w:color w:val="auto"/>
          <w:sz w:val="24"/>
        </w:rPr>
        <w:t>2.11 不可抗力</w:t>
      </w:r>
      <w:bookmarkEnd w:id="472"/>
      <w:bookmarkEnd w:id="473"/>
      <w:bookmarkEnd w:id="474"/>
      <w:bookmarkEnd w:id="475"/>
      <w:bookmarkEnd w:id="476"/>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77" w:name="_Toc14115"/>
      <w:bookmarkStart w:id="478" w:name="_Toc25783"/>
      <w:bookmarkStart w:id="479" w:name="_Toc23854"/>
      <w:bookmarkStart w:id="480" w:name="_Toc24465"/>
      <w:bookmarkStart w:id="481" w:name="_Toc3638"/>
      <w:r>
        <w:rPr>
          <w:rFonts w:ascii="宋体" w:hAnsi="宋体"/>
          <w:b/>
          <w:color w:val="auto"/>
          <w:sz w:val="24"/>
        </w:rPr>
        <w:t>2.12 税费</w:t>
      </w:r>
      <w:bookmarkEnd w:id="477"/>
      <w:bookmarkEnd w:id="478"/>
      <w:bookmarkEnd w:id="479"/>
      <w:bookmarkEnd w:id="480"/>
      <w:bookmarkEnd w:id="481"/>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482" w:name="_Toc7315"/>
      <w:bookmarkStart w:id="483" w:name="_Toc25525"/>
      <w:bookmarkStart w:id="484" w:name="_Toc30105"/>
      <w:bookmarkStart w:id="485" w:name="_Toc14814"/>
      <w:bookmarkStart w:id="486" w:name="_Toc26883"/>
      <w:r>
        <w:rPr>
          <w:rFonts w:ascii="宋体" w:hAnsi="宋体"/>
          <w:b/>
          <w:color w:val="auto"/>
          <w:sz w:val="24"/>
        </w:rPr>
        <w:t>2.13 乙方破产</w:t>
      </w:r>
      <w:bookmarkEnd w:id="482"/>
      <w:bookmarkEnd w:id="483"/>
      <w:bookmarkEnd w:id="484"/>
      <w:bookmarkEnd w:id="485"/>
      <w:bookmarkEnd w:id="486"/>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487" w:name="_Toc2016"/>
      <w:bookmarkStart w:id="488" w:name="_Toc23323"/>
      <w:bookmarkStart w:id="489" w:name="_Toc1123"/>
      <w:r>
        <w:rPr>
          <w:rFonts w:ascii="宋体" w:hAnsi="宋体"/>
          <w:b/>
          <w:color w:val="auto"/>
          <w:sz w:val="24"/>
        </w:rPr>
        <w:t>2.14 合同中止、终止</w:t>
      </w:r>
      <w:bookmarkEnd w:id="487"/>
      <w:bookmarkEnd w:id="488"/>
      <w:bookmarkEnd w:id="489"/>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90" w:name="_Toc1969"/>
      <w:bookmarkStart w:id="491" w:name="_Toc17363"/>
      <w:bookmarkStart w:id="492" w:name="_Toc14525"/>
      <w:r>
        <w:rPr>
          <w:rFonts w:ascii="宋体" w:hAnsi="宋体"/>
          <w:b/>
          <w:color w:val="auto"/>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493" w:name="_Toc25198"/>
      <w:bookmarkStart w:id="494" w:name="_Toc12666"/>
      <w:bookmarkStart w:id="495" w:name="_Toc9808"/>
      <w:bookmarkStart w:id="496" w:name="_Toc2308"/>
      <w:bookmarkStart w:id="497" w:name="_Toc31892"/>
      <w:r>
        <w:rPr>
          <w:rFonts w:ascii="宋体" w:hAnsi="宋体"/>
          <w:b/>
          <w:color w:val="auto"/>
          <w:sz w:val="24"/>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rPr>
      </w:pPr>
      <w:bookmarkStart w:id="498" w:name="_Toc27674"/>
      <w:bookmarkStart w:id="49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rPr>
      </w:pPr>
      <w:bookmarkStart w:id="500" w:name="_Toc12254"/>
      <w:bookmarkStart w:id="501" w:name="_Toc27644"/>
      <w:bookmarkStart w:id="502" w:name="_Toc5063"/>
      <w:bookmarkStart w:id="503" w:name="_Toc20808"/>
      <w:bookmarkStart w:id="504"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505" w:name="_Toc4355"/>
      <w:bookmarkStart w:id="506" w:name="_Toc18540"/>
      <w:bookmarkStart w:id="507" w:name="_Toc30599"/>
      <w:r>
        <w:rPr>
          <w:rFonts w:hint="eastAsia" w:ascii="宋体" w:hAnsi="宋体" w:cs="宋体"/>
          <w:b/>
          <w:color w:val="auto"/>
          <w:sz w:val="24"/>
        </w:rPr>
        <w:t>2.18 计量单位</w:t>
      </w:r>
      <w:bookmarkEnd w:id="505"/>
      <w:bookmarkEnd w:id="506"/>
      <w:bookmarkEnd w:id="507"/>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firstLine="559" w:firstLineChars="233"/>
        <w:jc w:val="left"/>
        <w:rPr>
          <w:rFonts w:ascii="宋体" w:hAnsi="宋体" w:cs="宋体"/>
          <w:b/>
          <w:color w:val="auto"/>
          <w:kern w:val="0"/>
          <w:sz w:val="32"/>
          <w:szCs w:val="32"/>
        </w:rPr>
      </w:pPr>
      <w:r>
        <w:rPr>
          <w:rFonts w:hint="eastAsia" w:cs="仿宋_GB2312" w:asciiTheme="minorEastAsia" w:hAnsiTheme="minorEastAsia" w:eastAsiaTheme="minorEastAsia"/>
          <w:color w:val="auto"/>
          <w:sz w:val="24"/>
          <w:highlight w:val="cyan"/>
        </w:rPr>
        <w:t>注：根据《</w:t>
      </w:r>
      <w:r>
        <w:rPr>
          <w:rFonts w:cs="仿宋_GB2312" w:asciiTheme="minorEastAsia" w:hAnsiTheme="minorEastAsia" w:eastAsiaTheme="minorEastAsia"/>
          <w:color w:val="auto"/>
          <w:sz w:val="24"/>
          <w:highlight w:val="cyan"/>
        </w:rPr>
        <w:t>关于规范政府采购供应商资格设定及资格审查的通知</w:t>
      </w:r>
      <w:r>
        <w:rPr>
          <w:rFonts w:hint="eastAsia" w:cs="仿宋_GB2312" w:asciiTheme="minorEastAsia" w:hAnsiTheme="minorEastAsia" w:eastAsiaTheme="minorEastAsia"/>
          <w:color w:val="auto"/>
          <w:sz w:val="24"/>
          <w:highlight w:val="cyan"/>
        </w:rPr>
        <w:t>》（</w:t>
      </w:r>
      <w:r>
        <w:rPr>
          <w:rFonts w:cs="仿宋_GB2312" w:asciiTheme="minorEastAsia" w:hAnsiTheme="minorEastAsia" w:eastAsiaTheme="minorEastAsia"/>
          <w:color w:val="auto"/>
          <w:sz w:val="24"/>
          <w:highlight w:val="cyan"/>
        </w:rPr>
        <w:t>浙财采监[2013]24号</w:t>
      </w:r>
      <w:r>
        <w:rPr>
          <w:rFonts w:hint="eastAsia" w:cs="仿宋_GB2312" w:asciiTheme="minorEastAsia" w:hAnsiTheme="minorEastAsia" w:eastAsiaTheme="minorEastAsia"/>
          <w:color w:val="auto"/>
          <w:sz w:val="24"/>
          <w:highlight w:val="cyan"/>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cyan"/>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11"/>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highlight w:val="cyan"/>
          <w:lang w:val="zh-CN"/>
        </w:rPr>
        <w:t>注：</w:t>
      </w:r>
      <w:r>
        <w:rPr>
          <w:rFonts w:hint="eastAsia" w:ascii="宋体" w:hAnsi="宋体" w:cs="宋体"/>
          <w:color w:val="auto"/>
          <w:kern w:val="0"/>
          <w:sz w:val="24"/>
          <w:highlight w:val="red"/>
          <w:lang w:val="zh-CN"/>
        </w:rPr>
        <w:t>▲</w:t>
      </w:r>
      <w:r>
        <w:rPr>
          <w:rFonts w:hint="eastAsia" w:ascii="宋体" w:hAnsi="宋体" w:cs="宋体"/>
          <w:color w:val="auto"/>
          <w:kern w:val="0"/>
          <w:sz w:val="24"/>
          <w:highlight w:val="cyan"/>
          <w:lang w:val="zh-CN"/>
        </w:rPr>
        <w:t>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color w:val="auto"/>
          <w:sz w:val="24"/>
        </w:rPr>
      </w:pP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55"/>
        <w:spacing w:line="360" w:lineRule="auto"/>
        <w:rPr>
          <w:rFonts w:hAnsi="宋体" w:cs="宋体"/>
          <w:bCs/>
          <w:color w:val="auto"/>
          <w:sz w:val="24"/>
        </w:rPr>
      </w:pPr>
      <w:r>
        <w:rPr>
          <w:rFonts w:hint="eastAsia" w:hAnsi="宋体" w:cs="宋体"/>
          <w:bCs/>
          <w:color w:val="auto"/>
          <w:sz w:val="24"/>
        </w:rPr>
        <w:t>身份证件扫描件：</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5"/>
              <w:adjustRightInd w:val="0"/>
              <w:spacing w:line="360" w:lineRule="auto"/>
              <w:rPr>
                <w:rFonts w:hAnsi="宋体" w:cs="宋体"/>
                <w:bCs/>
                <w:color w:val="auto"/>
                <w:sz w:val="24"/>
              </w:rPr>
            </w:pPr>
            <w:r>
              <w:rPr>
                <w:rFonts w:hint="eastAsia" w:hAnsi="宋体" w:cs="宋体"/>
                <w:bCs/>
                <w:color w:val="auto"/>
                <w:sz w:val="24"/>
              </w:rPr>
              <w:t>正面：                                 反面：</w:t>
            </w:r>
          </w:p>
          <w:p>
            <w:pPr>
              <w:pStyle w:val="155"/>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highlight w:val="cyan"/>
          <w:lang w:val="zh-CN"/>
        </w:rPr>
        <w:t>2、有关本项目实施所涉及的一切费用均计入报价。</w:t>
      </w:r>
      <w:r>
        <w:rPr>
          <w:rFonts w:hint="eastAsia" w:ascii="宋体" w:hAnsi="宋体" w:cs="宋体"/>
          <w:b/>
          <w:color w:val="auto"/>
          <w:kern w:val="0"/>
          <w:sz w:val="24"/>
          <w:highlight w:val="cyan"/>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cyan"/>
        </w:rPr>
        <w:t>视为</w:t>
      </w:r>
      <w:r>
        <w:rPr>
          <w:rFonts w:hint="eastAsia" w:ascii="宋体" w:hAnsi="宋体" w:cs="宋体"/>
          <w:b/>
          <w:color w:val="auto"/>
          <w:sz w:val="24"/>
          <w:highlight w:val="cyan"/>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default" w:ascii="宋体" w:hAnsi="宋体" w:eastAsia="宋体" w:cs="宋体"/>
          <w:b/>
          <w:color w:val="auto"/>
          <w:sz w:val="24"/>
          <w:highlight w:val="cyan"/>
          <w:lang w:val="en-US" w:eastAsia="zh-CN"/>
        </w:rPr>
      </w:pPr>
      <w:r>
        <w:rPr>
          <w:rFonts w:hint="eastAsia" w:ascii="宋体" w:hAnsi="宋体" w:cs="宋体"/>
          <w:b/>
          <w:color w:val="auto"/>
          <w:sz w:val="24"/>
          <w:highlight w:val="cyan"/>
        </w:rPr>
        <w:t>5、特别说明：</w:t>
      </w:r>
      <w:r>
        <w:rPr>
          <w:rFonts w:hint="eastAsia" w:ascii="宋体" w:hAnsi="宋体" w:cs="宋体"/>
          <w:b/>
          <w:color w:val="auto"/>
          <w:sz w:val="24"/>
          <w:highlight w:val="red"/>
        </w:rPr>
        <w:t>▲</w:t>
      </w:r>
      <w:r>
        <w:rPr>
          <w:rFonts w:hint="eastAsia" w:ascii="宋体" w:hAnsi="宋体" w:cs="宋体"/>
          <w:b/>
          <w:color w:val="auto"/>
          <w:sz w:val="24"/>
          <w:highlight w:val="cyan"/>
        </w:rPr>
        <w:t>供应商报价低于项目预算50%的，应当在报价文件中详细阐述不影响产品质量或者诚信履约的具体原因</w:t>
      </w:r>
      <w:r>
        <w:rPr>
          <w:rFonts w:hint="eastAsia" w:ascii="宋体" w:hAnsi="宋体" w:cs="宋体"/>
          <w:b/>
          <w:color w:val="auto"/>
          <w:sz w:val="24"/>
          <w:highlight w:val="cyan"/>
          <w:lang w:eastAsia="zh-CN"/>
        </w:rPr>
        <w:t>，</w:t>
      </w:r>
      <w:r>
        <w:rPr>
          <w:rFonts w:hint="eastAsia" w:ascii="宋体" w:hAnsi="宋体" w:cs="宋体"/>
          <w:b/>
          <w:color w:val="auto"/>
          <w:sz w:val="24"/>
          <w:highlight w:val="cyan"/>
          <w:lang w:val="en-US" w:eastAsia="zh-CN"/>
        </w:rPr>
        <w:t>未做阐述说明的，投标无效。</w:t>
      </w:r>
    </w:p>
    <w:p>
      <w:pPr>
        <w:spacing w:line="360" w:lineRule="auto"/>
        <w:ind w:firstLine="482" w:firstLineChars="200"/>
        <w:rPr>
          <w:rFonts w:ascii="宋体" w:hAnsi="宋体" w:cs="宋体"/>
          <w:b/>
          <w:color w:val="auto"/>
          <w:kern w:val="0"/>
          <w:sz w:val="24"/>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10"/>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10" w:name="OLE_LINK14"/>
      <w:bookmarkStart w:id="511" w:name="OLE_LINK13"/>
      <w:r>
        <w:rPr>
          <w:rFonts w:hint="eastAsia" w:ascii="宋体" w:hAnsi="宋体" w:cs="宋体"/>
          <w:b/>
          <w:color w:val="auto"/>
          <w:spacing w:val="6"/>
          <w:sz w:val="32"/>
          <w:szCs w:val="32"/>
        </w:rPr>
        <w:t>残疾人福利性单位声明函</w:t>
      </w:r>
    </w:p>
    <w:bookmarkEnd w:id="510"/>
    <w:bookmarkEnd w:id="511"/>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11"/>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宋体"/>
          <w:color w:val="auto"/>
          <w:sz w:val="24"/>
        </w:rPr>
      </w:pPr>
      <w:r>
        <w:rPr>
          <w:rFonts w:hint="eastAsia" w:ascii="宋体" w:hAnsi="宋体" w:cs="宋体"/>
          <w:color w:val="auto"/>
          <w:sz w:val="24"/>
        </w:rPr>
        <w:br w:type="page"/>
      </w:r>
    </w:p>
    <w:p>
      <w:pPr>
        <w:pStyle w:val="11"/>
        <w:jc w:val="left"/>
        <w:rPr>
          <w:rFonts w:cs="仿宋_GB2312"/>
          <w:color w:val="auto"/>
          <w:sz w:val="24"/>
          <w:highlight w:val="none"/>
        </w:rPr>
      </w:pPr>
      <w:r>
        <w:rPr>
          <w:rFonts w:hint="eastAsia"/>
          <w:color w:val="auto"/>
          <w:highlight w:val="none"/>
        </w:rPr>
        <w:t>附件</w:t>
      </w:r>
      <w:r>
        <w:rPr>
          <w:rFonts w:hint="eastAsia"/>
          <w:color w:val="auto"/>
          <w:highlight w:val="none"/>
          <w:lang w:val="en-US" w:eastAsia="zh-CN"/>
        </w:rPr>
        <w:t>8</w:t>
      </w:r>
      <w:r>
        <w:rPr>
          <w:rFonts w:hint="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rPr>
      </w:pPr>
    </w:p>
    <w:p>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pPr>
        <w:snapToGrid w:val="0"/>
        <w:spacing w:line="360" w:lineRule="auto"/>
        <w:rPr>
          <w:rFonts w:cs="仿宋"/>
          <w:color w:val="auto"/>
          <w:lang w:val="zh-CN"/>
        </w:rPr>
      </w:pPr>
      <w:r>
        <w:rPr>
          <w:rFonts w:hint="eastAsia" w:cs="仿宋"/>
          <w:color w:val="auto"/>
          <w:lang w:val="zh-CN"/>
        </w:rPr>
        <w:t xml:space="preserve">  </w:t>
      </w:r>
    </w:p>
    <w:p>
      <w:pPr>
        <w:snapToGrid w:val="0"/>
        <w:spacing w:line="360" w:lineRule="auto"/>
        <w:rPr>
          <w:rFonts w:cs="仿宋"/>
          <w:color w:val="auto"/>
        </w:rPr>
      </w:pPr>
      <w:r>
        <w:rPr>
          <w:rFonts w:hint="eastAsia" w:cs="仿宋"/>
          <w:color w:val="auto"/>
          <w:lang w:val="zh-CN"/>
        </w:rPr>
        <w:t xml:space="preserve">    特此告知。</w:t>
      </w:r>
    </w:p>
    <w:p>
      <w:pPr>
        <w:snapToGrid w:val="0"/>
        <w:spacing w:line="360" w:lineRule="auto"/>
        <w:rPr>
          <w:rFonts w:cs="仿宋"/>
          <w:color w:val="auto"/>
        </w:rPr>
      </w:pPr>
      <w:r>
        <w:rPr>
          <w:rFonts w:hint="eastAsia" w:cs="仿宋"/>
          <w:color w:val="auto"/>
          <w:lang w:val="zh-CN"/>
        </w:rPr>
        <w:t xml:space="preserve">                                                  投标人名称(公章)：</w:t>
      </w:r>
    </w:p>
    <w:p>
      <w:pPr>
        <w:snapToGrid w:val="0"/>
        <w:spacing w:line="360" w:lineRule="auto"/>
        <w:rPr>
          <w:rFonts w:cs="仿宋"/>
          <w:color w:val="auto"/>
        </w:rPr>
      </w:pPr>
      <w:r>
        <w:rPr>
          <w:rFonts w:hint="eastAsia" w:cs="仿宋"/>
          <w:color w:val="auto"/>
          <w:lang w:val="zh-CN"/>
        </w:rPr>
        <w:t xml:space="preserve">                                                  </w:t>
      </w:r>
    </w:p>
    <w:p>
      <w:pPr>
        <w:snapToGrid w:val="0"/>
        <w:spacing w:line="360" w:lineRule="auto"/>
        <w:ind w:right="240"/>
        <w:jc w:val="right"/>
        <w:rPr>
          <w:rFonts w:cs="仿宋"/>
          <w:color w:val="auto"/>
          <w:lang w:val="zh-CN"/>
        </w:rPr>
      </w:pPr>
      <w:r>
        <w:rPr>
          <w:rFonts w:hint="eastAsia" w:cs="仿宋"/>
          <w:color w:val="auto"/>
          <w:lang w:val="zh-CN"/>
        </w:rPr>
        <w:t>签发日期：  年  月   日</w:t>
      </w:r>
    </w:p>
    <w:p>
      <w:pPr>
        <w:snapToGrid w:val="0"/>
        <w:spacing w:line="360" w:lineRule="auto"/>
        <w:ind w:right="240"/>
        <w:jc w:val="right"/>
        <w:rPr>
          <w:rFonts w:cs="仿宋"/>
          <w:color w:val="auto"/>
          <w:lang w:val="zh-CN"/>
        </w:rPr>
      </w:pPr>
    </w:p>
    <w:p>
      <w:pPr>
        <w:snapToGrid w:val="0"/>
        <w:spacing w:line="360" w:lineRule="auto"/>
        <w:ind w:right="1920"/>
        <w:rPr>
          <w:rFonts w:cs="仿宋"/>
          <w:color w:val="auto"/>
          <w:lang w:val="zh-CN"/>
        </w:rPr>
      </w:pPr>
    </w:p>
    <w:p>
      <w:pPr>
        <w:snapToGrid w:val="0"/>
        <w:spacing w:line="360" w:lineRule="auto"/>
        <w:ind w:right="240"/>
        <w:jc w:val="right"/>
        <w:rPr>
          <w:rFonts w:cs="仿宋"/>
          <w:color w:val="auto"/>
          <w:lang w:val="zh-CN"/>
        </w:rPr>
      </w:pPr>
    </w:p>
    <w:p>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pPr>
        <w:snapToGrid w:val="0"/>
        <w:spacing w:line="360" w:lineRule="auto"/>
        <w:ind w:right="240"/>
        <w:rPr>
          <w:rFonts w:cs="仿宋"/>
          <w:color w:val="auto"/>
          <w:lang w:val="zh-CN"/>
        </w:rPr>
      </w:pPr>
    </w:p>
    <w:p>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pPr>
        <w:spacing w:line="360" w:lineRule="auto"/>
        <w:rPr>
          <w:rFonts w:cs="仿宋_GB2312"/>
          <w:b/>
          <w:color w:val="auto"/>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pPr>
        <w:pStyle w:val="11"/>
        <w:rPr>
          <w:color w:val="auto"/>
        </w:rPr>
      </w:pPr>
    </w:p>
    <w:p>
      <w:pPr>
        <w:spacing w:line="360" w:lineRule="auto"/>
        <w:jc w:val="center"/>
        <w:rPr>
          <w:rFonts w:ascii="宋体" w:hAnsi="宋体" w:cs="宋体"/>
          <w:b/>
          <w:color w:val="auto"/>
          <w:sz w:val="32"/>
          <w:szCs w:val="32"/>
        </w:rPr>
      </w:pPr>
    </w:p>
    <w:p>
      <w:pPr>
        <w:pStyle w:val="11"/>
        <w:rPr>
          <w:color w:val="auto"/>
        </w:rPr>
      </w:pPr>
    </w:p>
    <w:p>
      <w:pPr>
        <w:pStyle w:val="11"/>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Centur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9"/>
      </w:rPr>
    </w:pPr>
    <w:r>
      <w:fldChar w:fldCharType="begin"/>
    </w:r>
    <w:r>
      <w:rPr>
        <w:rStyle w:val="79"/>
      </w:rPr>
      <w:instrText xml:space="preserve">PAGE  </w:instrText>
    </w:r>
    <w:r>
      <w:fldChar w:fldCharType="end"/>
    </w:r>
  </w:p>
  <w:p>
    <w:pPr>
      <w:pStyle w:val="4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3611018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9"/>
      </w:rPr>
    </w:pPr>
    <w:r>
      <w:fldChar w:fldCharType="begin"/>
    </w:r>
    <w:r>
      <w:rPr>
        <w:rStyle w:val="79"/>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4"/>
      </w:pBdr>
      <w:jc w:val="right"/>
    </w:pPr>
    <w:r>
      <w:t></w:t>
    </w:r>
    <w:r>
      <w:rPr>
        <w:rFonts w:hint="eastAsia"/>
      </w:rPr>
      <w:t xml:space="preserve">             </w:t>
    </w:r>
    <w:r>
      <w:t>杭州市政府采购公开招标文件</w:t>
    </w:r>
  </w:p>
  <w:p>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w:t>
    </w:r>
    <w:r>
      <w:rPr>
        <w:rFonts w:hint="eastAsia"/>
      </w:rPr>
      <w:t xml:space="preserve">         </w:t>
    </w:r>
  </w:p>
  <w:p>
    <w:pPr>
      <w:pStyle w:val="47"/>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2188A"/>
    <w:multiLevelType w:val="singleLevel"/>
    <w:tmpl w:val="02F2188A"/>
    <w:lvl w:ilvl="0" w:tentative="0">
      <w:start w:val="1"/>
      <w:numFmt w:val="decimal"/>
      <w:suff w:val="nothing"/>
      <w:lvlText w:val="（%1）"/>
      <w:lvlJc w:val="left"/>
    </w:lvl>
  </w:abstractNum>
  <w:abstractNum w:abstractNumId="1">
    <w:nsid w:val="6619DBE8"/>
    <w:multiLevelType w:val="singleLevel"/>
    <w:tmpl w:val="6619DBE8"/>
    <w:lvl w:ilvl="0" w:tentative="0">
      <w:start w:val="1"/>
      <w:numFmt w:val="decimal"/>
      <w:suff w:val="nothing"/>
      <w:lvlText w:val="%1、"/>
      <w:lvlJc w:val="left"/>
    </w:lvl>
  </w:abstractNum>
  <w:abstractNum w:abstractNumId="2">
    <w:nsid w:val="7F414058"/>
    <w:multiLevelType w:val="multilevel"/>
    <w:tmpl w:val="7F414058"/>
    <w:lvl w:ilvl="0" w:tentative="0">
      <w:start w:val="1"/>
      <w:numFmt w:val="decimal"/>
      <w:lvlText w:val="%1"/>
      <w:lvlJc w:val="left"/>
      <w:pPr>
        <w:ind w:left="425" w:hanging="425"/>
      </w:pPr>
    </w:lvl>
    <w:lvl w:ilvl="1" w:tentative="0">
      <w:start w:val="1"/>
      <w:numFmt w:val="decimal"/>
      <w:isLgl/>
      <w:lvlText w:val="%1.%2"/>
      <w:lvlJc w:val="left"/>
      <w:pPr>
        <w:ind w:left="425" w:hanging="425"/>
      </w:pPr>
    </w:lvl>
    <w:lvl w:ilvl="2" w:tentative="0">
      <w:start w:val="1"/>
      <w:numFmt w:val="decimal"/>
      <w:isLgl/>
      <w:lvlText w:val="%1.%2.%3"/>
      <w:lvlJc w:val="left"/>
      <w:pPr>
        <w:ind w:left="425" w:hanging="425"/>
      </w:pPr>
    </w:lvl>
    <w:lvl w:ilvl="3" w:tentative="0">
      <w:start w:val="1"/>
      <w:numFmt w:val="decimal"/>
      <w:isLgl/>
      <w:lvlText w:val="%1.%2.%3.%4"/>
      <w:lvlJc w:val="left"/>
      <w:pPr>
        <w:ind w:left="425" w:hanging="425"/>
      </w:pPr>
      <w:rPr>
        <w:rFonts w:hint="eastAsia"/>
      </w:rPr>
    </w:lvl>
    <w:lvl w:ilvl="4" w:tentative="0">
      <w:start w:val="1"/>
      <w:numFmt w:val="decimal"/>
      <w:isLgl/>
      <w:lvlText w:val="%1.%2.%3.%4.%5"/>
      <w:lvlJc w:val="left"/>
      <w:pPr>
        <w:ind w:left="425" w:hanging="425"/>
      </w:pPr>
      <w:rPr>
        <w:rFonts w:hint="eastAsia"/>
      </w:rPr>
    </w:lvl>
    <w:lvl w:ilvl="5" w:tentative="0">
      <w:start w:val="1"/>
      <w:numFmt w:val="decimal"/>
      <w:isLgl/>
      <w:lvlText w:val="%1.%2.%3.%4.%5.%6"/>
      <w:lvlJc w:val="left"/>
      <w:pPr>
        <w:ind w:left="425" w:hanging="425"/>
      </w:pPr>
      <w:rPr>
        <w:rFonts w:hint="eastAsia"/>
      </w:rPr>
    </w:lvl>
    <w:lvl w:ilvl="6" w:tentative="0">
      <w:start w:val="1"/>
      <w:numFmt w:val="decimal"/>
      <w:lvlRestart w:val="2"/>
      <w:pStyle w:val="969"/>
      <w:isLgl/>
      <w:lvlText w:val="表%1.%2-%7"/>
      <w:lvlJc w:val="left"/>
      <w:pPr>
        <w:ind w:left="425" w:hanging="425"/>
      </w:pPr>
      <w:rPr>
        <w:rFonts w:hint="eastAsia" w:ascii="Times New Roman" w:hAnsi="Times New Roman"/>
        <w:b w:val="0"/>
        <w:bCs w:val="0"/>
        <w:i w:val="0"/>
        <w:iCs w:val="0"/>
        <w:caps w:val="0"/>
        <w:smallCaps w:val="0"/>
        <w:strike w:val="0"/>
        <w:dstrike w:val="0"/>
        <w:vanish w:val="0"/>
        <w:spacing w:val="0"/>
        <w:position w:val="0"/>
        <w:u w:val="none"/>
        <w:vertAlign w:val="baseline"/>
      </w:rPr>
    </w:lvl>
    <w:lvl w:ilvl="7" w:tentative="0">
      <w:start w:val="1"/>
      <w:numFmt w:val="decimal"/>
      <w:lvlRestart w:val="2"/>
      <w:isLgl/>
      <w:lvlText w:val="图%1.%2-%8"/>
      <w:lvlJc w:val="left"/>
      <w:pPr>
        <w:ind w:left="425" w:hanging="425"/>
      </w:pPr>
      <w:rPr>
        <w:rFonts w:hint="eastAsia"/>
      </w:rPr>
    </w:lvl>
    <w:lvl w:ilvl="8" w:tentative="0">
      <w:start w:val="1"/>
      <w:numFmt w:val="decimal"/>
      <w:isLgl/>
      <w:lvlText w:val="%1.%2.%3.%4.%5.%6.%7.%8.%9"/>
      <w:lvlJc w:val="left"/>
      <w:pPr>
        <w:ind w:left="425" w:hanging="42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ZTFkYWI4MDhlNmJhZDJlZGE2ODMzOGRlZWMyN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74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037"/>
    <w:rsid w:val="00FE44F5"/>
    <w:rsid w:val="00FE4783"/>
    <w:rsid w:val="00FE480D"/>
    <w:rsid w:val="00FE4ACC"/>
    <w:rsid w:val="00FE4F80"/>
    <w:rsid w:val="00FE570E"/>
    <w:rsid w:val="00FE6870"/>
    <w:rsid w:val="00FE713E"/>
    <w:rsid w:val="00FE7877"/>
    <w:rsid w:val="00FE7DD1"/>
    <w:rsid w:val="00FF051D"/>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83748"/>
    <w:rsid w:val="015B7696"/>
    <w:rsid w:val="016C0FA1"/>
    <w:rsid w:val="018415B9"/>
    <w:rsid w:val="019F7441"/>
    <w:rsid w:val="01B37585"/>
    <w:rsid w:val="01D55165"/>
    <w:rsid w:val="01DF6BF8"/>
    <w:rsid w:val="01EC2C57"/>
    <w:rsid w:val="02144A36"/>
    <w:rsid w:val="024A470B"/>
    <w:rsid w:val="025F0711"/>
    <w:rsid w:val="026B2E25"/>
    <w:rsid w:val="02824D4D"/>
    <w:rsid w:val="02A81AAC"/>
    <w:rsid w:val="02DA4630"/>
    <w:rsid w:val="02DC4B10"/>
    <w:rsid w:val="02DD76CE"/>
    <w:rsid w:val="02F36323"/>
    <w:rsid w:val="02F5619C"/>
    <w:rsid w:val="031F390E"/>
    <w:rsid w:val="0326446A"/>
    <w:rsid w:val="032D5555"/>
    <w:rsid w:val="036634D2"/>
    <w:rsid w:val="03DD35E4"/>
    <w:rsid w:val="04076900"/>
    <w:rsid w:val="041A5A3B"/>
    <w:rsid w:val="042311BA"/>
    <w:rsid w:val="042A28FC"/>
    <w:rsid w:val="042B157A"/>
    <w:rsid w:val="043A7135"/>
    <w:rsid w:val="04531FA4"/>
    <w:rsid w:val="048F763B"/>
    <w:rsid w:val="049F330E"/>
    <w:rsid w:val="04AA775C"/>
    <w:rsid w:val="04AF1889"/>
    <w:rsid w:val="04F66F48"/>
    <w:rsid w:val="05043453"/>
    <w:rsid w:val="050D2A9B"/>
    <w:rsid w:val="05251E14"/>
    <w:rsid w:val="054D740C"/>
    <w:rsid w:val="055C132D"/>
    <w:rsid w:val="05A16594"/>
    <w:rsid w:val="05A7762D"/>
    <w:rsid w:val="060E5941"/>
    <w:rsid w:val="06110FAF"/>
    <w:rsid w:val="062F259D"/>
    <w:rsid w:val="0639166E"/>
    <w:rsid w:val="06493CA7"/>
    <w:rsid w:val="065A6178"/>
    <w:rsid w:val="066F1CF3"/>
    <w:rsid w:val="06930BB8"/>
    <w:rsid w:val="06DD024B"/>
    <w:rsid w:val="07245D42"/>
    <w:rsid w:val="07264C62"/>
    <w:rsid w:val="072F4F4B"/>
    <w:rsid w:val="0764344E"/>
    <w:rsid w:val="0779354C"/>
    <w:rsid w:val="0780113D"/>
    <w:rsid w:val="07AF3996"/>
    <w:rsid w:val="07FB307F"/>
    <w:rsid w:val="08000695"/>
    <w:rsid w:val="08061376"/>
    <w:rsid w:val="080E239D"/>
    <w:rsid w:val="08452D77"/>
    <w:rsid w:val="086401F8"/>
    <w:rsid w:val="08732C15"/>
    <w:rsid w:val="08751CAA"/>
    <w:rsid w:val="08760957"/>
    <w:rsid w:val="087B5F6E"/>
    <w:rsid w:val="087E4C40"/>
    <w:rsid w:val="08A6123D"/>
    <w:rsid w:val="08A871D0"/>
    <w:rsid w:val="08BA17EB"/>
    <w:rsid w:val="08CC67C9"/>
    <w:rsid w:val="08D66AD6"/>
    <w:rsid w:val="08DA33A3"/>
    <w:rsid w:val="08E20ED4"/>
    <w:rsid w:val="08E80F13"/>
    <w:rsid w:val="09335624"/>
    <w:rsid w:val="0944690F"/>
    <w:rsid w:val="09535675"/>
    <w:rsid w:val="095F057D"/>
    <w:rsid w:val="09642282"/>
    <w:rsid w:val="09733572"/>
    <w:rsid w:val="09772C16"/>
    <w:rsid w:val="098353B5"/>
    <w:rsid w:val="09A92330"/>
    <w:rsid w:val="09B06B87"/>
    <w:rsid w:val="09C13146"/>
    <w:rsid w:val="09CD3996"/>
    <w:rsid w:val="09E04166"/>
    <w:rsid w:val="0A1C0718"/>
    <w:rsid w:val="0A3E7710"/>
    <w:rsid w:val="0A445A04"/>
    <w:rsid w:val="0A5B7E63"/>
    <w:rsid w:val="0AA374A5"/>
    <w:rsid w:val="0AAB7649"/>
    <w:rsid w:val="0ABC5606"/>
    <w:rsid w:val="0ADD081A"/>
    <w:rsid w:val="0B30404E"/>
    <w:rsid w:val="0B4C6C14"/>
    <w:rsid w:val="0B547599"/>
    <w:rsid w:val="0B631A88"/>
    <w:rsid w:val="0B683D45"/>
    <w:rsid w:val="0B7F3F11"/>
    <w:rsid w:val="0B884417"/>
    <w:rsid w:val="0B9F3D21"/>
    <w:rsid w:val="0BAD216E"/>
    <w:rsid w:val="0BC74682"/>
    <w:rsid w:val="0BF6188C"/>
    <w:rsid w:val="0BF73C91"/>
    <w:rsid w:val="0C170175"/>
    <w:rsid w:val="0C2F32F7"/>
    <w:rsid w:val="0C571A41"/>
    <w:rsid w:val="0C5C1171"/>
    <w:rsid w:val="0C5E1CBC"/>
    <w:rsid w:val="0C615B50"/>
    <w:rsid w:val="0C8445DA"/>
    <w:rsid w:val="0C87121B"/>
    <w:rsid w:val="0CC007F7"/>
    <w:rsid w:val="0CC617AC"/>
    <w:rsid w:val="0CE4693D"/>
    <w:rsid w:val="0CE618DF"/>
    <w:rsid w:val="0CFE707A"/>
    <w:rsid w:val="0D063BDA"/>
    <w:rsid w:val="0D08375F"/>
    <w:rsid w:val="0D184CFB"/>
    <w:rsid w:val="0D4A7419"/>
    <w:rsid w:val="0D7766FF"/>
    <w:rsid w:val="0D7E38C2"/>
    <w:rsid w:val="0D827401"/>
    <w:rsid w:val="0D84094E"/>
    <w:rsid w:val="0D8633EB"/>
    <w:rsid w:val="0D89372B"/>
    <w:rsid w:val="0D8A00E9"/>
    <w:rsid w:val="0D8D589E"/>
    <w:rsid w:val="0DA01C73"/>
    <w:rsid w:val="0DD63300"/>
    <w:rsid w:val="0DF50604"/>
    <w:rsid w:val="0DF702FE"/>
    <w:rsid w:val="0E060E51"/>
    <w:rsid w:val="0E5604B2"/>
    <w:rsid w:val="0E6D5D79"/>
    <w:rsid w:val="0E8518F4"/>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D3FC3"/>
    <w:rsid w:val="10036F74"/>
    <w:rsid w:val="100B407B"/>
    <w:rsid w:val="102F1E22"/>
    <w:rsid w:val="103E61FE"/>
    <w:rsid w:val="1048411C"/>
    <w:rsid w:val="106317C1"/>
    <w:rsid w:val="10646583"/>
    <w:rsid w:val="107D4B15"/>
    <w:rsid w:val="10804E89"/>
    <w:rsid w:val="108A3C80"/>
    <w:rsid w:val="109760AB"/>
    <w:rsid w:val="10C26171"/>
    <w:rsid w:val="10F33360"/>
    <w:rsid w:val="10FC16EA"/>
    <w:rsid w:val="110F1D40"/>
    <w:rsid w:val="11266F33"/>
    <w:rsid w:val="113431F2"/>
    <w:rsid w:val="114952B5"/>
    <w:rsid w:val="114F7C08"/>
    <w:rsid w:val="118963A1"/>
    <w:rsid w:val="11927A12"/>
    <w:rsid w:val="11C6522A"/>
    <w:rsid w:val="11C75CA9"/>
    <w:rsid w:val="11E104CC"/>
    <w:rsid w:val="11E20309"/>
    <w:rsid w:val="121D3BF2"/>
    <w:rsid w:val="12255233"/>
    <w:rsid w:val="122D2B7F"/>
    <w:rsid w:val="12313CE5"/>
    <w:rsid w:val="12530213"/>
    <w:rsid w:val="127723A9"/>
    <w:rsid w:val="127A56F1"/>
    <w:rsid w:val="12862074"/>
    <w:rsid w:val="12883966"/>
    <w:rsid w:val="129465AA"/>
    <w:rsid w:val="129C720C"/>
    <w:rsid w:val="129E45B4"/>
    <w:rsid w:val="12BE3627"/>
    <w:rsid w:val="12D81596"/>
    <w:rsid w:val="13072A44"/>
    <w:rsid w:val="13203999"/>
    <w:rsid w:val="135F4BE2"/>
    <w:rsid w:val="138E124B"/>
    <w:rsid w:val="139B1A0A"/>
    <w:rsid w:val="139D25C7"/>
    <w:rsid w:val="13BF3CE4"/>
    <w:rsid w:val="13FA068E"/>
    <w:rsid w:val="1404150D"/>
    <w:rsid w:val="141008D8"/>
    <w:rsid w:val="14125FE6"/>
    <w:rsid w:val="1432607A"/>
    <w:rsid w:val="143A04A8"/>
    <w:rsid w:val="146D271E"/>
    <w:rsid w:val="14982588"/>
    <w:rsid w:val="149A5AD9"/>
    <w:rsid w:val="14A7619D"/>
    <w:rsid w:val="14DC1B42"/>
    <w:rsid w:val="150536C3"/>
    <w:rsid w:val="150C1963"/>
    <w:rsid w:val="151447A0"/>
    <w:rsid w:val="15415E49"/>
    <w:rsid w:val="154A6454"/>
    <w:rsid w:val="15685C6F"/>
    <w:rsid w:val="15700013"/>
    <w:rsid w:val="15762120"/>
    <w:rsid w:val="158741A4"/>
    <w:rsid w:val="158819D8"/>
    <w:rsid w:val="15C10692"/>
    <w:rsid w:val="1632430B"/>
    <w:rsid w:val="16481B85"/>
    <w:rsid w:val="166E02E9"/>
    <w:rsid w:val="167D1838"/>
    <w:rsid w:val="16A8729C"/>
    <w:rsid w:val="16B33777"/>
    <w:rsid w:val="16BC70A7"/>
    <w:rsid w:val="16C6339E"/>
    <w:rsid w:val="16D01F1A"/>
    <w:rsid w:val="172A013F"/>
    <w:rsid w:val="172F2D79"/>
    <w:rsid w:val="17325D54"/>
    <w:rsid w:val="17557BEF"/>
    <w:rsid w:val="17AA6BDF"/>
    <w:rsid w:val="17D349C1"/>
    <w:rsid w:val="1830729E"/>
    <w:rsid w:val="1870062C"/>
    <w:rsid w:val="18817102"/>
    <w:rsid w:val="18830A15"/>
    <w:rsid w:val="188350F6"/>
    <w:rsid w:val="18852B28"/>
    <w:rsid w:val="188B5321"/>
    <w:rsid w:val="189E35C3"/>
    <w:rsid w:val="19333A9D"/>
    <w:rsid w:val="19810F0A"/>
    <w:rsid w:val="19932372"/>
    <w:rsid w:val="19A20DD5"/>
    <w:rsid w:val="19AE03F1"/>
    <w:rsid w:val="19E73463"/>
    <w:rsid w:val="1A071A03"/>
    <w:rsid w:val="1A141D7E"/>
    <w:rsid w:val="1A1F16AE"/>
    <w:rsid w:val="1A3B5C77"/>
    <w:rsid w:val="1A984BAD"/>
    <w:rsid w:val="1AB64BE3"/>
    <w:rsid w:val="1AB8220E"/>
    <w:rsid w:val="1AC13CB4"/>
    <w:rsid w:val="1AC94917"/>
    <w:rsid w:val="1AE4166C"/>
    <w:rsid w:val="1AF06CFB"/>
    <w:rsid w:val="1AF11B8D"/>
    <w:rsid w:val="1AF20311"/>
    <w:rsid w:val="1B11359C"/>
    <w:rsid w:val="1B2A271F"/>
    <w:rsid w:val="1B530544"/>
    <w:rsid w:val="1B5B0BA6"/>
    <w:rsid w:val="1B713184"/>
    <w:rsid w:val="1B866CAC"/>
    <w:rsid w:val="1BA209CF"/>
    <w:rsid w:val="1BA57A16"/>
    <w:rsid w:val="1BB4777D"/>
    <w:rsid w:val="1BD75AB8"/>
    <w:rsid w:val="1BE22134"/>
    <w:rsid w:val="1C0459C2"/>
    <w:rsid w:val="1C1B3B4A"/>
    <w:rsid w:val="1C5F19D6"/>
    <w:rsid w:val="1C767952"/>
    <w:rsid w:val="1C88086E"/>
    <w:rsid w:val="1CB57848"/>
    <w:rsid w:val="1D266CE1"/>
    <w:rsid w:val="1D3963AF"/>
    <w:rsid w:val="1D6A673C"/>
    <w:rsid w:val="1D7E2045"/>
    <w:rsid w:val="1D8A2A83"/>
    <w:rsid w:val="1D9247AE"/>
    <w:rsid w:val="1D9F10FF"/>
    <w:rsid w:val="1DB567EC"/>
    <w:rsid w:val="1DBE272D"/>
    <w:rsid w:val="1DF51A98"/>
    <w:rsid w:val="1E3D060F"/>
    <w:rsid w:val="1E3F7D2E"/>
    <w:rsid w:val="1E4134E4"/>
    <w:rsid w:val="1E5062B3"/>
    <w:rsid w:val="1E523514"/>
    <w:rsid w:val="1E537319"/>
    <w:rsid w:val="1E714A66"/>
    <w:rsid w:val="1E802593"/>
    <w:rsid w:val="1E8B6156"/>
    <w:rsid w:val="1EA703CC"/>
    <w:rsid w:val="1EB7330C"/>
    <w:rsid w:val="1F0028D1"/>
    <w:rsid w:val="1F016D75"/>
    <w:rsid w:val="1F0A0FF3"/>
    <w:rsid w:val="1F274302"/>
    <w:rsid w:val="1F49071C"/>
    <w:rsid w:val="1F5771FF"/>
    <w:rsid w:val="1F7A2683"/>
    <w:rsid w:val="1FD52DD5"/>
    <w:rsid w:val="1FD57B86"/>
    <w:rsid w:val="1FE868A9"/>
    <w:rsid w:val="1FF57F5C"/>
    <w:rsid w:val="20034907"/>
    <w:rsid w:val="20173E4B"/>
    <w:rsid w:val="20220481"/>
    <w:rsid w:val="204E48BC"/>
    <w:rsid w:val="208921B3"/>
    <w:rsid w:val="20973DEB"/>
    <w:rsid w:val="20B26522"/>
    <w:rsid w:val="20B44310"/>
    <w:rsid w:val="211116EB"/>
    <w:rsid w:val="21322345"/>
    <w:rsid w:val="216133FC"/>
    <w:rsid w:val="2185666F"/>
    <w:rsid w:val="218875DD"/>
    <w:rsid w:val="21D56769"/>
    <w:rsid w:val="21E52EF3"/>
    <w:rsid w:val="21FB5D7B"/>
    <w:rsid w:val="22001566"/>
    <w:rsid w:val="22015E94"/>
    <w:rsid w:val="220B1C3D"/>
    <w:rsid w:val="221D1D20"/>
    <w:rsid w:val="22334A87"/>
    <w:rsid w:val="22BE6801"/>
    <w:rsid w:val="22ED4E18"/>
    <w:rsid w:val="22FD4CD2"/>
    <w:rsid w:val="23085FB2"/>
    <w:rsid w:val="233500BF"/>
    <w:rsid w:val="23377FF7"/>
    <w:rsid w:val="236435C0"/>
    <w:rsid w:val="236B425F"/>
    <w:rsid w:val="2382141E"/>
    <w:rsid w:val="23836192"/>
    <w:rsid w:val="23901F29"/>
    <w:rsid w:val="239C0061"/>
    <w:rsid w:val="23B908A4"/>
    <w:rsid w:val="23E95BEF"/>
    <w:rsid w:val="23FD0064"/>
    <w:rsid w:val="24465B9C"/>
    <w:rsid w:val="245375B0"/>
    <w:rsid w:val="24642C0A"/>
    <w:rsid w:val="24A00DDE"/>
    <w:rsid w:val="24B22173"/>
    <w:rsid w:val="24B95AD9"/>
    <w:rsid w:val="24BE24DA"/>
    <w:rsid w:val="24CF5825"/>
    <w:rsid w:val="24D663E6"/>
    <w:rsid w:val="24D77F2B"/>
    <w:rsid w:val="25007ACF"/>
    <w:rsid w:val="25575658"/>
    <w:rsid w:val="25770E83"/>
    <w:rsid w:val="258B00E2"/>
    <w:rsid w:val="25A246E2"/>
    <w:rsid w:val="25A641D2"/>
    <w:rsid w:val="25A917A6"/>
    <w:rsid w:val="25BE27CC"/>
    <w:rsid w:val="25C42D94"/>
    <w:rsid w:val="25EA0CE7"/>
    <w:rsid w:val="25F74A5C"/>
    <w:rsid w:val="25FF38E2"/>
    <w:rsid w:val="2628662C"/>
    <w:rsid w:val="262D45DE"/>
    <w:rsid w:val="263D7662"/>
    <w:rsid w:val="26871DC8"/>
    <w:rsid w:val="268A0AE0"/>
    <w:rsid w:val="26A53EF9"/>
    <w:rsid w:val="26A94201"/>
    <w:rsid w:val="26AC274F"/>
    <w:rsid w:val="27044A29"/>
    <w:rsid w:val="271D34C8"/>
    <w:rsid w:val="273F0EF8"/>
    <w:rsid w:val="276142BF"/>
    <w:rsid w:val="27783712"/>
    <w:rsid w:val="27800A53"/>
    <w:rsid w:val="278F1DC9"/>
    <w:rsid w:val="27907362"/>
    <w:rsid w:val="27AD45D6"/>
    <w:rsid w:val="280A1B5E"/>
    <w:rsid w:val="28333E1D"/>
    <w:rsid w:val="28454BD6"/>
    <w:rsid w:val="28455253"/>
    <w:rsid w:val="2849789B"/>
    <w:rsid w:val="28551971"/>
    <w:rsid w:val="285B1C53"/>
    <w:rsid w:val="289F7086"/>
    <w:rsid w:val="28C32028"/>
    <w:rsid w:val="28CC490F"/>
    <w:rsid w:val="28DE40AA"/>
    <w:rsid w:val="29345E77"/>
    <w:rsid w:val="294C65AD"/>
    <w:rsid w:val="29806583"/>
    <w:rsid w:val="298B3C4C"/>
    <w:rsid w:val="298C429C"/>
    <w:rsid w:val="29E55AAD"/>
    <w:rsid w:val="29F26D24"/>
    <w:rsid w:val="2A15033F"/>
    <w:rsid w:val="2A1662C1"/>
    <w:rsid w:val="2A1C7367"/>
    <w:rsid w:val="2A2815FA"/>
    <w:rsid w:val="2A6D6092"/>
    <w:rsid w:val="2A7D76B4"/>
    <w:rsid w:val="2ACB02B0"/>
    <w:rsid w:val="2B356301"/>
    <w:rsid w:val="2B437463"/>
    <w:rsid w:val="2B5D2C79"/>
    <w:rsid w:val="2B7807EE"/>
    <w:rsid w:val="2BA50BF7"/>
    <w:rsid w:val="2BBF00EC"/>
    <w:rsid w:val="2BC37CFD"/>
    <w:rsid w:val="2BD5237F"/>
    <w:rsid w:val="2BE536CE"/>
    <w:rsid w:val="2BE758D9"/>
    <w:rsid w:val="2C02412C"/>
    <w:rsid w:val="2C09049E"/>
    <w:rsid w:val="2C0954BB"/>
    <w:rsid w:val="2C0A653C"/>
    <w:rsid w:val="2C191F85"/>
    <w:rsid w:val="2C2B3683"/>
    <w:rsid w:val="2C3870B7"/>
    <w:rsid w:val="2C73502A"/>
    <w:rsid w:val="2C862667"/>
    <w:rsid w:val="2C950AFD"/>
    <w:rsid w:val="2CDA0C05"/>
    <w:rsid w:val="2CE82D6F"/>
    <w:rsid w:val="2D343236"/>
    <w:rsid w:val="2D616C31"/>
    <w:rsid w:val="2DD15014"/>
    <w:rsid w:val="2DF72DE4"/>
    <w:rsid w:val="2E0220AF"/>
    <w:rsid w:val="2E1343CF"/>
    <w:rsid w:val="2E4B082A"/>
    <w:rsid w:val="2E5D4E86"/>
    <w:rsid w:val="2E5D790B"/>
    <w:rsid w:val="2E9A3C18"/>
    <w:rsid w:val="2EBB0FEE"/>
    <w:rsid w:val="2EC63002"/>
    <w:rsid w:val="2F0A6B38"/>
    <w:rsid w:val="2F396A58"/>
    <w:rsid w:val="2F946CCB"/>
    <w:rsid w:val="2F9B0B20"/>
    <w:rsid w:val="2FD25781"/>
    <w:rsid w:val="2FDC745C"/>
    <w:rsid w:val="2FFD7934"/>
    <w:rsid w:val="30733ACD"/>
    <w:rsid w:val="3086532C"/>
    <w:rsid w:val="308C3862"/>
    <w:rsid w:val="309379D8"/>
    <w:rsid w:val="30A270F7"/>
    <w:rsid w:val="30B25379"/>
    <w:rsid w:val="30DF1478"/>
    <w:rsid w:val="30EC586F"/>
    <w:rsid w:val="310D77FB"/>
    <w:rsid w:val="312634FE"/>
    <w:rsid w:val="314550B7"/>
    <w:rsid w:val="319C6071"/>
    <w:rsid w:val="31AA329C"/>
    <w:rsid w:val="31AC537E"/>
    <w:rsid w:val="31E3679B"/>
    <w:rsid w:val="31E732FD"/>
    <w:rsid w:val="3200110E"/>
    <w:rsid w:val="322F72FD"/>
    <w:rsid w:val="3247275C"/>
    <w:rsid w:val="32517576"/>
    <w:rsid w:val="32A7158A"/>
    <w:rsid w:val="32BE5C2C"/>
    <w:rsid w:val="32FB6478"/>
    <w:rsid w:val="33263B3F"/>
    <w:rsid w:val="33264BA4"/>
    <w:rsid w:val="33435756"/>
    <w:rsid w:val="335131C2"/>
    <w:rsid w:val="336963EB"/>
    <w:rsid w:val="33816EEB"/>
    <w:rsid w:val="339F7436"/>
    <w:rsid w:val="33B70E94"/>
    <w:rsid w:val="33D12D62"/>
    <w:rsid w:val="33EB55CD"/>
    <w:rsid w:val="33EC4C02"/>
    <w:rsid w:val="33F23C84"/>
    <w:rsid w:val="33F660E8"/>
    <w:rsid w:val="340D2360"/>
    <w:rsid w:val="3410665D"/>
    <w:rsid w:val="34211214"/>
    <w:rsid w:val="342E63AB"/>
    <w:rsid w:val="34950E68"/>
    <w:rsid w:val="34986E94"/>
    <w:rsid w:val="349F69BC"/>
    <w:rsid w:val="34AC10D9"/>
    <w:rsid w:val="34AF62C9"/>
    <w:rsid w:val="34B63D06"/>
    <w:rsid w:val="34CB4388"/>
    <w:rsid w:val="34E40873"/>
    <w:rsid w:val="34FA6E12"/>
    <w:rsid w:val="35154ED0"/>
    <w:rsid w:val="35171729"/>
    <w:rsid w:val="35223149"/>
    <w:rsid w:val="354D7158"/>
    <w:rsid w:val="35521D79"/>
    <w:rsid w:val="355D1B96"/>
    <w:rsid w:val="356E45E1"/>
    <w:rsid w:val="358D5588"/>
    <w:rsid w:val="359712BD"/>
    <w:rsid w:val="35A53B8F"/>
    <w:rsid w:val="35E11721"/>
    <w:rsid w:val="35E96975"/>
    <w:rsid w:val="363A3B40"/>
    <w:rsid w:val="365302AE"/>
    <w:rsid w:val="36607A0A"/>
    <w:rsid w:val="366E227C"/>
    <w:rsid w:val="366F2E0D"/>
    <w:rsid w:val="367B6A5C"/>
    <w:rsid w:val="36A74ADA"/>
    <w:rsid w:val="36AD60D5"/>
    <w:rsid w:val="36B224F9"/>
    <w:rsid w:val="36EC0CC9"/>
    <w:rsid w:val="373F410B"/>
    <w:rsid w:val="37557806"/>
    <w:rsid w:val="3799131F"/>
    <w:rsid w:val="37AE5A9A"/>
    <w:rsid w:val="37EE7094"/>
    <w:rsid w:val="37F30DCD"/>
    <w:rsid w:val="380D1E8F"/>
    <w:rsid w:val="38222B3E"/>
    <w:rsid w:val="38296C89"/>
    <w:rsid w:val="383002EB"/>
    <w:rsid w:val="38586797"/>
    <w:rsid w:val="38743CBC"/>
    <w:rsid w:val="38BC0149"/>
    <w:rsid w:val="38D87D1C"/>
    <w:rsid w:val="39416E46"/>
    <w:rsid w:val="39561614"/>
    <w:rsid w:val="39636459"/>
    <w:rsid w:val="396B7F6C"/>
    <w:rsid w:val="39A959E1"/>
    <w:rsid w:val="39B417A9"/>
    <w:rsid w:val="39C42A21"/>
    <w:rsid w:val="39FC5695"/>
    <w:rsid w:val="3A006D8E"/>
    <w:rsid w:val="3A3651E5"/>
    <w:rsid w:val="3A744481"/>
    <w:rsid w:val="3A8C7BEF"/>
    <w:rsid w:val="3A906246"/>
    <w:rsid w:val="3B2349B7"/>
    <w:rsid w:val="3B2714BA"/>
    <w:rsid w:val="3B5E4FF3"/>
    <w:rsid w:val="3B616CFF"/>
    <w:rsid w:val="3B6259F6"/>
    <w:rsid w:val="3B976654"/>
    <w:rsid w:val="3B9D5C20"/>
    <w:rsid w:val="3BC01EFC"/>
    <w:rsid w:val="3BCA786A"/>
    <w:rsid w:val="3BD03348"/>
    <w:rsid w:val="3BD31E2F"/>
    <w:rsid w:val="3BDE522C"/>
    <w:rsid w:val="3BE178BA"/>
    <w:rsid w:val="3BF15831"/>
    <w:rsid w:val="3BF257CA"/>
    <w:rsid w:val="3C033CD5"/>
    <w:rsid w:val="3C067321"/>
    <w:rsid w:val="3C105946"/>
    <w:rsid w:val="3C471448"/>
    <w:rsid w:val="3C5F759A"/>
    <w:rsid w:val="3C6C525A"/>
    <w:rsid w:val="3C860462"/>
    <w:rsid w:val="3C8E5DF5"/>
    <w:rsid w:val="3CB43221"/>
    <w:rsid w:val="3CCE23CB"/>
    <w:rsid w:val="3CD17D17"/>
    <w:rsid w:val="3CD92C87"/>
    <w:rsid w:val="3D0C4E0B"/>
    <w:rsid w:val="3D107AC3"/>
    <w:rsid w:val="3D2C1009"/>
    <w:rsid w:val="3D314871"/>
    <w:rsid w:val="3D3C7F39"/>
    <w:rsid w:val="3D440F09"/>
    <w:rsid w:val="3D4504A0"/>
    <w:rsid w:val="3D4F4CF8"/>
    <w:rsid w:val="3D8734BB"/>
    <w:rsid w:val="3D9A11D4"/>
    <w:rsid w:val="3DA16D89"/>
    <w:rsid w:val="3DA364BE"/>
    <w:rsid w:val="3DE041CB"/>
    <w:rsid w:val="3DFC57BB"/>
    <w:rsid w:val="3E0D48F6"/>
    <w:rsid w:val="3E1868B4"/>
    <w:rsid w:val="3E263CAA"/>
    <w:rsid w:val="3E377251"/>
    <w:rsid w:val="3E42664B"/>
    <w:rsid w:val="3E5A7334"/>
    <w:rsid w:val="3E7B5D6B"/>
    <w:rsid w:val="3E834C59"/>
    <w:rsid w:val="3E843E66"/>
    <w:rsid w:val="3E860BED"/>
    <w:rsid w:val="3E8F51FE"/>
    <w:rsid w:val="3E926F87"/>
    <w:rsid w:val="3E9A59DE"/>
    <w:rsid w:val="3EAF4836"/>
    <w:rsid w:val="3EC33DFA"/>
    <w:rsid w:val="3F060E16"/>
    <w:rsid w:val="3F143684"/>
    <w:rsid w:val="3F1D1096"/>
    <w:rsid w:val="3F1F0523"/>
    <w:rsid w:val="3F2A1578"/>
    <w:rsid w:val="3F2F0234"/>
    <w:rsid w:val="3F56236D"/>
    <w:rsid w:val="3F6363FE"/>
    <w:rsid w:val="3F756B8F"/>
    <w:rsid w:val="3F95482B"/>
    <w:rsid w:val="3FAA4467"/>
    <w:rsid w:val="3FBD2CB6"/>
    <w:rsid w:val="3FFD4DD0"/>
    <w:rsid w:val="4019356B"/>
    <w:rsid w:val="403B4C85"/>
    <w:rsid w:val="403F66B6"/>
    <w:rsid w:val="40592157"/>
    <w:rsid w:val="405D597D"/>
    <w:rsid w:val="406E1CAE"/>
    <w:rsid w:val="40794D65"/>
    <w:rsid w:val="40870703"/>
    <w:rsid w:val="40A0133A"/>
    <w:rsid w:val="40C31A53"/>
    <w:rsid w:val="40FF545D"/>
    <w:rsid w:val="410067C8"/>
    <w:rsid w:val="414F288A"/>
    <w:rsid w:val="418F0D2A"/>
    <w:rsid w:val="419D5D5F"/>
    <w:rsid w:val="41D01505"/>
    <w:rsid w:val="41E73B64"/>
    <w:rsid w:val="422844C0"/>
    <w:rsid w:val="42474939"/>
    <w:rsid w:val="424C3C57"/>
    <w:rsid w:val="42613FF3"/>
    <w:rsid w:val="42660D96"/>
    <w:rsid w:val="4269685C"/>
    <w:rsid w:val="426A6872"/>
    <w:rsid w:val="428667D2"/>
    <w:rsid w:val="42CD1CE0"/>
    <w:rsid w:val="42E1381E"/>
    <w:rsid w:val="42ED6459"/>
    <w:rsid w:val="42FE58DD"/>
    <w:rsid w:val="43174B3D"/>
    <w:rsid w:val="434B790E"/>
    <w:rsid w:val="4360274F"/>
    <w:rsid w:val="43672D9B"/>
    <w:rsid w:val="43896F34"/>
    <w:rsid w:val="43977AB6"/>
    <w:rsid w:val="439913C0"/>
    <w:rsid w:val="43A3342B"/>
    <w:rsid w:val="43C24475"/>
    <w:rsid w:val="43C77C27"/>
    <w:rsid w:val="43DE09EE"/>
    <w:rsid w:val="44002FAD"/>
    <w:rsid w:val="449101DD"/>
    <w:rsid w:val="44D75CFE"/>
    <w:rsid w:val="44DE1391"/>
    <w:rsid w:val="451B225C"/>
    <w:rsid w:val="452410C9"/>
    <w:rsid w:val="45317DFB"/>
    <w:rsid w:val="4541586E"/>
    <w:rsid w:val="45576E3F"/>
    <w:rsid w:val="456D3CE4"/>
    <w:rsid w:val="4579042C"/>
    <w:rsid w:val="457F0571"/>
    <w:rsid w:val="45851176"/>
    <w:rsid w:val="459252E4"/>
    <w:rsid w:val="45A55DFD"/>
    <w:rsid w:val="45C63B94"/>
    <w:rsid w:val="460E6BA7"/>
    <w:rsid w:val="460E7DA5"/>
    <w:rsid w:val="461C28B6"/>
    <w:rsid w:val="46285A06"/>
    <w:rsid w:val="46422483"/>
    <w:rsid w:val="46511AE0"/>
    <w:rsid w:val="4659254A"/>
    <w:rsid w:val="465B0637"/>
    <w:rsid w:val="465E3F0D"/>
    <w:rsid w:val="466A16E6"/>
    <w:rsid w:val="46893F2B"/>
    <w:rsid w:val="46C4686E"/>
    <w:rsid w:val="46D36999"/>
    <w:rsid w:val="477B778F"/>
    <w:rsid w:val="478203EC"/>
    <w:rsid w:val="47B025FA"/>
    <w:rsid w:val="4809698F"/>
    <w:rsid w:val="4811697D"/>
    <w:rsid w:val="48166B3E"/>
    <w:rsid w:val="4850203D"/>
    <w:rsid w:val="487A3E25"/>
    <w:rsid w:val="48861F15"/>
    <w:rsid w:val="488B5503"/>
    <w:rsid w:val="48937E21"/>
    <w:rsid w:val="489A0361"/>
    <w:rsid w:val="48B94FF3"/>
    <w:rsid w:val="48E37AAB"/>
    <w:rsid w:val="48FD4B4C"/>
    <w:rsid w:val="490A68E0"/>
    <w:rsid w:val="491055FE"/>
    <w:rsid w:val="4929464F"/>
    <w:rsid w:val="495F5B3E"/>
    <w:rsid w:val="496F77D7"/>
    <w:rsid w:val="497654FD"/>
    <w:rsid w:val="497F0713"/>
    <w:rsid w:val="49AD3239"/>
    <w:rsid w:val="49B64211"/>
    <w:rsid w:val="49E1317B"/>
    <w:rsid w:val="49E56AF9"/>
    <w:rsid w:val="49F6167F"/>
    <w:rsid w:val="4A064FA0"/>
    <w:rsid w:val="4A16615C"/>
    <w:rsid w:val="4A1E1804"/>
    <w:rsid w:val="4A392FB7"/>
    <w:rsid w:val="4A4424D7"/>
    <w:rsid w:val="4AB82D0F"/>
    <w:rsid w:val="4AEB7664"/>
    <w:rsid w:val="4AFD7C19"/>
    <w:rsid w:val="4B0567D1"/>
    <w:rsid w:val="4B1070A9"/>
    <w:rsid w:val="4B236AAE"/>
    <w:rsid w:val="4B320132"/>
    <w:rsid w:val="4B363761"/>
    <w:rsid w:val="4B4B5880"/>
    <w:rsid w:val="4B555885"/>
    <w:rsid w:val="4B707271"/>
    <w:rsid w:val="4B9739F7"/>
    <w:rsid w:val="4BEE2503"/>
    <w:rsid w:val="4C245A30"/>
    <w:rsid w:val="4CAA1F4A"/>
    <w:rsid w:val="4CAA3CF8"/>
    <w:rsid w:val="4CB6685F"/>
    <w:rsid w:val="4CC367FE"/>
    <w:rsid w:val="4D077F3C"/>
    <w:rsid w:val="4D115B26"/>
    <w:rsid w:val="4D123355"/>
    <w:rsid w:val="4D2A3B31"/>
    <w:rsid w:val="4D312C52"/>
    <w:rsid w:val="4D62199A"/>
    <w:rsid w:val="4D905305"/>
    <w:rsid w:val="4D964A72"/>
    <w:rsid w:val="4D9C1254"/>
    <w:rsid w:val="4D9D2008"/>
    <w:rsid w:val="4DC75DEE"/>
    <w:rsid w:val="4DD471B1"/>
    <w:rsid w:val="4E165AE9"/>
    <w:rsid w:val="4E6B785A"/>
    <w:rsid w:val="4E793892"/>
    <w:rsid w:val="4E800872"/>
    <w:rsid w:val="4E826660"/>
    <w:rsid w:val="4E8F764A"/>
    <w:rsid w:val="4EA35002"/>
    <w:rsid w:val="4EC569ED"/>
    <w:rsid w:val="4EC67A34"/>
    <w:rsid w:val="4ED17C62"/>
    <w:rsid w:val="4ED50EA1"/>
    <w:rsid w:val="4EE46230"/>
    <w:rsid w:val="4EEC050C"/>
    <w:rsid w:val="4EFD4F1D"/>
    <w:rsid w:val="4F0911AA"/>
    <w:rsid w:val="4F104EC3"/>
    <w:rsid w:val="4F47354A"/>
    <w:rsid w:val="4F7B372A"/>
    <w:rsid w:val="4F911C54"/>
    <w:rsid w:val="4F934F18"/>
    <w:rsid w:val="4FAC5493"/>
    <w:rsid w:val="4FAF4E21"/>
    <w:rsid w:val="4FC92795"/>
    <w:rsid w:val="4FE625E0"/>
    <w:rsid w:val="4FEC1657"/>
    <w:rsid w:val="5021480F"/>
    <w:rsid w:val="50533167"/>
    <w:rsid w:val="50616DC4"/>
    <w:rsid w:val="50962ECB"/>
    <w:rsid w:val="50A42E38"/>
    <w:rsid w:val="50A4577F"/>
    <w:rsid w:val="50B73D1F"/>
    <w:rsid w:val="50BD5BC9"/>
    <w:rsid w:val="50C11EEE"/>
    <w:rsid w:val="50E97CFC"/>
    <w:rsid w:val="50F43794"/>
    <w:rsid w:val="50FA4028"/>
    <w:rsid w:val="510D65B7"/>
    <w:rsid w:val="511157AB"/>
    <w:rsid w:val="51204589"/>
    <w:rsid w:val="51383FA5"/>
    <w:rsid w:val="5142540C"/>
    <w:rsid w:val="51532BB1"/>
    <w:rsid w:val="5153495F"/>
    <w:rsid w:val="515F51BF"/>
    <w:rsid w:val="518832C8"/>
    <w:rsid w:val="519D3C50"/>
    <w:rsid w:val="51A0432A"/>
    <w:rsid w:val="51A86090"/>
    <w:rsid w:val="51B7396D"/>
    <w:rsid w:val="51EA20C4"/>
    <w:rsid w:val="52085A22"/>
    <w:rsid w:val="522E4CC3"/>
    <w:rsid w:val="5244713B"/>
    <w:rsid w:val="52615633"/>
    <w:rsid w:val="526F4DE4"/>
    <w:rsid w:val="52752746"/>
    <w:rsid w:val="52977FD4"/>
    <w:rsid w:val="52A25790"/>
    <w:rsid w:val="52A96B6F"/>
    <w:rsid w:val="52B45975"/>
    <w:rsid w:val="52D94AA4"/>
    <w:rsid w:val="52EA3A62"/>
    <w:rsid w:val="52EF6909"/>
    <w:rsid w:val="52F50BB8"/>
    <w:rsid w:val="53097272"/>
    <w:rsid w:val="53544462"/>
    <w:rsid w:val="53715099"/>
    <w:rsid w:val="5397158E"/>
    <w:rsid w:val="53980D4F"/>
    <w:rsid w:val="53B92A73"/>
    <w:rsid w:val="54013861"/>
    <w:rsid w:val="54075D2B"/>
    <w:rsid w:val="54487265"/>
    <w:rsid w:val="544D6070"/>
    <w:rsid w:val="54605E1E"/>
    <w:rsid w:val="54A773D0"/>
    <w:rsid w:val="54B3506A"/>
    <w:rsid w:val="54CA0D16"/>
    <w:rsid w:val="54DD4057"/>
    <w:rsid w:val="54E7490F"/>
    <w:rsid w:val="550764A4"/>
    <w:rsid w:val="550B2BF6"/>
    <w:rsid w:val="55214EB5"/>
    <w:rsid w:val="55364EFD"/>
    <w:rsid w:val="553B6A3F"/>
    <w:rsid w:val="555D4828"/>
    <w:rsid w:val="557A4C8B"/>
    <w:rsid w:val="558931E1"/>
    <w:rsid w:val="558A0B6B"/>
    <w:rsid w:val="55923347"/>
    <w:rsid w:val="55925180"/>
    <w:rsid w:val="55983B1B"/>
    <w:rsid w:val="55A8376B"/>
    <w:rsid w:val="55D238CC"/>
    <w:rsid w:val="55DC29B6"/>
    <w:rsid w:val="55DD4241"/>
    <w:rsid w:val="55F1744D"/>
    <w:rsid w:val="55F93F3C"/>
    <w:rsid w:val="55FF6E63"/>
    <w:rsid w:val="564E516E"/>
    <w:rsid w:val="56535401"/>
    <w:rsid w:val="565A34D0"/>
    <w:rsid w:val="566B6D1E"/>
    <w:rsid w:val="56B206E7"/>
    <w:rsid w:val="56CE37F8"/>
    <w:rsid w:val="56D95F74"/>
    <w:rsid w:val="56FA762A"/>
    <w:rsid w:val="57032A2C"/>
    <w:rsid w:val="570F5219"/>
    <w:rsid w:val="57407733"/>
    <w:rsid w:val="575D12B5"/>
    <w:rsid w:val="57601B83"/>
    <w:rsid w:val="57610A87"/>
    <w:rsid w:val="57753646"/>
    <w:rsid w:val="577B1140"/>
    <w:rsid w:val="577B7F21"/>
    <w:rsid w:val="577D7A34"/>
    <w:rsid w:val="577F181B"/>
    <w:rsid w:val="57921984"/>
    <w:rsid w:val="579737F0"/>
    <w:rsid w:val="57AB7B30"/>
    <w:rsid w:val="57AD55DD"/>
    <w:rsid w:val="57AF5251"/>
    <w:rsid w:val="57B26373"/>
    <w:rsid w:val="57B63F04"/>
    <w:rsid w:val="57CD20C2"/>
    <w:rsid w:val="57D675AB"/>
    <w:rsid w:val="57D95FDD"/>
    <w:rsid w:val="57EB6DC4"/>
    <w:rsid w:val="58051478"/>
    <w:rsid w:val="58776DD5"/>
    <w:rsid w:val="58917D2F"/>
    <w:rsid w:val="5894085C"/>
    <w:rsid w:val="58AE4F0C"/>
    <w:rsid w:val="58B85899"/>
    <w:rsid w:val="58CB5722"/>
    <w:rsid w:val="58D8399B"/>
    <w:rsid w:val="58E363A9"/>
    <w:rsid w:val="58F03289"/>
    <w:rsid w:val="595E1678"/>
    <w:rsid w:val="596D5BD4"/>
    <w:rsid w:val="597E3DD8"/>
    <w:rsid w:val="59883613"/>
    <w:rsid w:val="59D35957"/>
    <w:rsid w:val="59D92186"/>
    <w:rsid w:val="59F80043"/>
    <w:rsid w:val="5A09252F"/>
    <w:rsid w:val="5A0B2778"/>
    <w:rsid w:val="5A2A7C7B"/>
    <w:rsid w:val="5A3E2560"/>
    <w:rsid w:val="5A530F47"/>
    <w:rsid w:val="5A5D3B6E"/>
    <w:rsid w:val="5A637A76"/>
    <w:rsid w:val="5A6D33BA"/>
    <w:rsid w:val="5A792B1F"/>
    <w:rsid w:val="5A874767"/>
    <w:rsid w:val="5A8C0EE1"/>
    <w:rsid w:val="5AA85BE2"/>
    <w:rsid w:val="5AAD6F28"/>
    <w:rsid w:val="5AD63A24"/>
    <w:rsid w:val="5B2E1A1D"/>
    <w:rsid w:val="5B500161"/>
    <w:rsid w:val="5B6235E4"/>
    <w:rsid w:val="5B665920"/>
    <w:rsid w:val="5B843A1C"/>
    <w:rsid w:val="5B873E3F"/>
    <w:rsid w:val="5BFE5E0F"/>
    <w:rsid w:val="5C02690E"/>
    <w:rsid w:val="5C196DA7"/>
    <w:rsid w:val="5C2A048C"/>
    <w:rsid w:val="5C80234E"/>
    <w:rsid w:val="5C8A680C"/>
    <w:rsid w:val="5CCB7A9F"/>
    <w:rsid w:val="5D0C4701"/>
    <w:rsid w:val="5D0F0395"/>
    <w:rsid w:val="5D221076"/>
    <w:rsid w:val="5D327B1E"/>
    <w:rsid w:val="5D397964"/>
    <w:rsid w:val="5D4F6922"/>
    <w:rsid w:val="5D595968"/>
    <w:rsid w:val="5D5A391C"/>
    <w:rsid w:val="5D5F10C0"/>
    <w:rsid w:val="5D720862"/>
    <w:rsid w:val="5D775F43"/>
    <w:rsid w:val="5D891B7B"/>
    <w:rsid w:val="5D9407D9"/>
    <w:rsid w:val="5DAD38EE"/>
    <w:rsid w:val="5DB36A38"/>
    <w:rsid w:val="5E006862"/>
    <w:rsid w:val="5E0207B9"/>
    <w:rsid w:val="5E056FE1"/>
    <w:rsid w:val="5E062D59"/>
    <w:rsid w:val="5E1834A1"/>
    <w:rsid w:val="5E261785"/>
    <w:rsid w:val="5E2F405E"/>
    <w:rsid w:val="5E4A7017"/>
    <w:rsid w:val="5E552BBA"/>
    <w:rsid w:val="5E611C10"/>
    <w:rsid w:val="5E7A0F3F"/>
    <w:rsid w:val="5ED13367"/>
    <w:rsid w:val="5EFC7377"/>
    <w:rsid w:val="5F033C91"/>
    <w:rsid w:val="5F06174D"/>
    <w:rsid w:val="5F0A1027"/>
    <w:rsid w:val="5F3A3602"/>
    <w:rsid w:val="5F426012"/>
    <w:rsid w:val="5F45733B"/>
    <w:rsid w:val="5F6277C6"/>
    <w:rsid w:val="5F6D0B1D"/>
    <w:rsid w:val="5F7C1524"/>
    <w:rsid w:val="5F8D0B82"/>
    <w:rsid w:val="5FBB0D86"/>
    <w:rsid w:val="5FCC5339"/>
    <w:rsid w:val="5FE34A5B"/>
    <w:rsid w:val="5FEA0949"/>
    <w:rsid w:val="5FFE1E36"/>
    <w:rsid w:val="60232584"/>
    <w:rsid w:val="60455DBA"/>
    <w:rsid w:val="607330CE"/>
    <w:rsid w:val="60825176"/>
    <w:rsid w:val="609F2AC4"/>
    <w:rsid w:val="60AD7A38"/>
    <w:rsid w:val="60CB67FA"/>
    <w:rsid w:val="60FA2EE8"/>
    <w:rsid w:val="61054A27"/>
    <w:rsid w:val="610A52BC"/>
    <w:rsid w:val="610C68D8"/>
    <w:rsid w:val="611B4D6D"/>
    <w:rsid w:val="611D2366"/>
    <w:rsid w:val="61421856"/>
    <w:rsid w:val="615227C4"/>
    <w:rsid w:val="61654E3F"/>
    <w:rsid w:val="6182292A"/>
    <w:rsid w:val="619F7F92"/>
    <w:rsid w:val="61A63211"/>
    <w:rsid w:val="61C21F70"/>
    <w:rsid w:val="61D5316E"/>
    <w:rsid w:val="61DC62AA"/>
    <w:rsid w:val="61F94C26"/>
    <w:rsid w:val="62000E56"/>
    <w:rsid w:val="62404A8B"/>
    <w:rsid w:val="624F3E49"/>
    <w:rsid w:val="62514EEA"/>
    <w:rsid w:val="62632286"/>
    <w:rsid w:val="62885958"/>
    <w:rsid w:val="62C76F5B"/>
    <w:rsid w:val="62F40B65"/>
    <w:rsid w:val="62FC2CFE"/>
    <w:rsid w:val="63024505"/>
    <w:rsid w:val="63260125"/>
    <w:rsid w:val="634525C3"/>
    <w:rsid w:val="634D51A7"/>
    <w:rsid w:val="635600A5"/>
    <w:rsid w:val="635B1DB5"/>
    <w:rsid w:val="63711FED"/>
    <w:rsid w:val="6372336A"/>
    <w:rsid w:val="63827325"/>
    <w:rsid w:val="63880DDC"/>
    <w:rsid w:val="638D750D"/>
    <w:rsid w:val="63AC6CC0"/>
    <w:rsid w:val="63B01AE8"/>
    <w:rsid w:val="63DC59BA"/>
    <w:rsid w:val="63F27B94"/>
    <w:rsid w:val="64055776"/>
    <w:rsid w:val="64061D04"/>
    <w:rsid w:val="640C15FF"/>
    <w:rsid w:val="64240056"/>
    <w:rsid w:val="643A3D28"/>
    <w:rsid w:val="643E143A"/>
    <w:rsid w:val="64491666"/>
    <w:rsid w:val="6488096B"/>
    <w:rsid w:val="648B6EEF"/>
    <w:rsid w:val="64922AC6"/>
    <w:rsid w:val="64AA3487"/>
    <w:rsid w:val="64B61035"/>
    <w:rsid w:val="64C158BF"/>
    <w:rsid w:val="64CE0807"/>
    <w:rsid w:val="64CE2EAA"/>
    <w:rsid w:val="653C3090"/>
    <w:rsid w:val="653D52B2"/>
    <w:rsid w:val="65854376"/>
    <w:rsid w:val="658767BE"/>
    <w:rsid w:val="65892531"/>
    <w:rsid w:val="66195831"/>
    <w:rsid w:val="662E75B1"/>
    <w:rsid w:val="66342C2E"/>
    <w:rsid w:val="663E784C"/>
    <w:rsid w:val="665C3E5E"/>
    <w:rsid w:val="668B6A45"/>
    <w:rsid w:val="67011F07"/>
    <w:rsid w:val="672F3F24"/>
    <w:rsid w:val="673A29F1"/>
    <w:rsid w:val="673E055F"/>
    <w:rsid w:val="67551CE3"/>
    <w:rsid w:val="67A17987"/>
    <w:rsid w:val="67A22552"/>
    <w:rsid w:val="67B0620F"/>
    <w:rsid w:val="67B22DCC"/>
    <w:rsid w:val="67BE71AA"/>
    <w:rsid w:val="67D90273"/>
    <w:rsid w:val="67DE5875"/>
    <w:rsid w:val="67DF08A2"/>
    <w:rsid w:val="67E55852"/>
    <w:rsid w:val="67E97504"/>
    <w:rsid w:val="67EB1AB4"/>
    <w:rsid w:val="67FA1285"/>
    <w:rsid w:val="680F42D2"/>
    <w:rsid w:val="6838190C"/>
    <w:rsid w:val="683C3F47"/>
    <w:rsid w:val="684D7F02"/>
    <w:rsid w:val="68551F4F"/>
    <w:rsid w:val="687C10C9"/>
    <w:rsid w:val="68840C16"/>
    <w:rsid w:val="68872541"/>
    <w:rsid w:val="68876EFB"/>
    <w:rsid w:val="68884654"/>
    <w:rsid w:val="688B27D8"/>
    <w:rsid w:val="689F444F"/>
    <w:rsid w:val="68B96DBB"/>
    <w:rsid w:val="68BE2BAE"/>
    <w:rsid w:val="68CA2805"/>
    <w:rsid w:val="68E937A3"/>
    <w:rsid w:val="68EC14C9"/>
    <w:rsid w:val="691664E5"/>
    <w:rsid w:val="691F390A"/>
    <w:rsid w:val="693E15D3"/>
    <w:rsid w:val="69627681"/>
    <w:rsid w:val="6977531D"/>
    <w:rsid w:val="69CC2BFF"/>
    <w:rsid w:val="69FD55B8"/>
    <w:rsid w:val="6A0B1C62"/>
    <w:rsid w:val="6A2406C8"/>
    <w:rsid w:val="6A2E3D63"/>
    <w:rsid w:val="6ADE0BD1"/>
    <w:rsid w:val="6AE96859"/>
    <w:rsid w:val="6B040620"/>
    <w:rsid w:val="6B147746"/>
    <w:rsid w:val="6B1B42E7"/>
    <w:rsid w:val="6B24787C"/>
    <w:rsid w:val="6B4A0729"/>
    <w:rsid w:val="6B573233"/>
    <w:rsid w:val="6B5B6274"/>
    <w:rsid w:val="6B91414E"/>
    <w:rsid w:val="6B935D53"/>
    <w:rsid w:val="6B9B5D08"/>
    <w:rsid w:val="6BAF67DE"/>
    <w:rsid w:val="6BFB7BD7"/>
    <w:rsid w:val="6C196F71"/>
    <w:rsid w:val="6C226FCB"/>
    <w:rsid w:val="6C31226F"/>
    <w:rsid w:val="6C4B48AF"/>
    <w:rsid w:val="6C552F0B"/>
    <w:rsid w:val="6C8C67B7"/>
    <w:rsid w:val="6C9D744C"/>
    <w:rsid w:val="6D167928"/>
    <w:rsid w:val="6D26299B"/>
    <w:rsid w:val="6D4772EC"/>
    <w:rsid w:val="6D5533B5"/>
    <w:rsid w:val="6D9078AF"/>
    <w:rsid w:val="6DAA3FEF"/>
    <w:rsid w:val="6DC0172B"/>
    <w:rsid w:val="6DCB690C"/>
    <w:rsid w:val="6DD41A5B"/>
    <w:rsid w:val="6DF43C2E"/>
    <w:rsid w:val="6DF51CA3"/>
    <w:rsid w:val="6E6C0C8B"/>
    <w:rsid w:val="6E8335BD"/>
    <w:rsid w:val="6E8E12EF"/>
    <w:rsid w:val="6E972936"/>
    <w:rsid w:val="6EBD1212"/>
    <w:rsid w:val="6ED446C5"/>
    <w:rsid w:val="6F2A7D94"/>
    <w:rsid w:val="6F4B4A6F"/>
    <w:rsid w:val="6F6F4C02"/>
    <w:rsid w:val="6F8331F1"/>
    <w:rsid w:val="6FAE1A09"/>
    <w:rsid w:val="6FD75BF8"/>
    <w:rsid w:val="6FE1237D"/>
    <w:rsid w:val="6FE32EFA"/>
    <w:rsid w:val="7003534A"/>
    <w:rsid w:val="702459EC"/>
    <w:rsid w:val="707723D0"/>
    <w:rsid w:val="70F5661B"/>
    <w:rsid w:val="71360107"/>
    <w:rsid w:val="713B688E"/>
    <w:rsid w:val="716D33C3"/>
    <w:rsid w:val="71956476"/>
    <w:rsid w:val="71A004F0"/>
    <w:rsid w:val="71D43752"/>
    <w:rsid w:val="71D60F68"/>
    <w:rsid w:val="71F118FE"/>
    <w:rsid w:val="71F1796A"/>
    <w:rsid w:val="72154626"/>
    <w:rsid w:val="721B697B"/>
    <w:rsid w:val="721E46BD"/>
    <w:rsid w:val="72262B5D"/>
    <w:rsid w:val="72283FF7"/>
    <w:rsid w:val="722E7212"/>
    <w:rsid w:val="723A0474"/>
    <w:rsid w:val="72460779"/>
    <w:rsid w:val="72485A07"/>
    <w:rsid w:val="725923E4"/>
    <w:rsid w:val="72620A4E"/>
    <w:rsid w:val="727F4C67"/>
    <w:rsid w:val="72864BF7"/>
    <w:rsid w:val="729023FC"/>
    <w:rsid w:val="729E65B1"/>
    <w:rsid w:val="72B868C0"/>
    <w:rsid w:val="73137F9A"/>
    <w:rsid w:val="732E0577"/>
    <w:rsid w:val="73A56E44"/>
    <w:rsid w:val="73C0646E"/>
    <w:rsid w:val="73EB753D"/>
    <w:rsid w:val="742222F5"/>
    <w:rsid w:val="742C005C"/>
    <w:rsid w:val="74476126"/>
    <w:rsid w:val="745B1084"/>
    <w:rsid w:val="74706664"/>
    <w:rsid w:val="747F3682"/>
    <w:rsid w:val="749C4185"/>
    <w:rsid w:val="75067759"/>
    <w:rsid w:val="751B4DE5"/>
    <w:rsid w:val="752E6DCD"/>
    <w:rsid w:val="7551380D"/>
    <w:rsid w:val="75600BE5"/>
    <w:rsid w:val="7564475C"/>
    <w:rsid w:val="7583797F"/>
    <w:rsid w:val="759D3BD9"/>
    <w:rsid w:val="75D20F1D"/>
    <w:rsid w:val="75DA2C18"/>
    <w:rsid w:val="75EF25F8"/>
    <w:rsid w:val="75F54412"/>
    <w:rsid w:val="761D08E0"/>
    <w:rsid w:val="761E4C8C"/>
    <w:rsid w:val="765D347C"/>
    <w:rsid w:val="76826699"/>
    <w:rsid w:val="76C87133"/>
    <w:rsid w:val="76CD08D5"/>
    <w:rsid w:val="76DB4B92"/>
    <w:rsid w:val="77052AA4"/>
    <w:rsid w:val="77136511"/>
    <w:rsid w:val="77307BD7"/>
    <w:rsid w:val="77340A39"/>
    <w:rsid w:val="77351FD0"/>
    <w:rsid w:val="77472422"/>
    <w:rsid w:val="77756B2D"/>
    <w:rsid w:val="77770AF7"/>
    <w:rsid w:val="777F31F2"/>
    <w:rsid w:val="77A613DD"/>
    <w:rsid w:val="77A62B58"/>
    <w:rsid w:val="77C3505E"/>
    <w:rsid w:val="77D1700D"/>
    <w:rsid w:val="77EC04CC"/>
    <w:rsid w:val="78775729"/>
    <w:rsid w:val="78A42DB0"/>
    <w:rsid w:val="78A656AB"/>
    <w:rsid w:val="78B2245C"/>
    <w:rsid w:val="78E172CC"/>
    <w:rsid w:val="78EA1D1F"/>
    <w:rsid w:val="78FD502C"/>
    <w:rsid w:val="7904172F"/>
    <w:rsid w:val="790F7E27"/>
    <w:rsid w:val="791E031A"/>
    <w:rsid w:val="792A231A"/>
    <w:rsid w:val="79316829"/>
    <w:rsid w:val="795C002D"/>
    <w:rsid w:val="79756936"/>
    <w:rsid w:val="797E66A9"/>
    <w:rsid w:val="798518A4"/>
    <w:rsid w:val="79A97383"/>
    <w:rsid w:val="79AB1BBF"/>
    <w:rsid w:val="79D85059"/>
    <w:rsid w:val="79E27E8B"/>
    <w:rsid w:val="79F850CE"/>
    <w:rsid w:val="79FD443C"/>
    <w:rsid w:val="7A1D1975"/>
    <w:rsid w:val="7A232871"/>
    <w:rsid w:val="7A3E5150"/>
    <w:rsid w:val="7A4670D6"/>
    <w:rsid w:val="7A534B63"/>
    <w:rsid w:val="7A615382"/>
    <w:rsid w:val="7A67303B"/>
    <w:rsid w:val="7A6F1F5A"/>
    <w:rsid w:val="7A7F1549"/>
    <w:rsid w:val="7AAB1D04"/>
    <w:rsid w:val="7ABA4368"/>
    <w:rsid w:val="7AD05746"/>
    <w:rsid w:val="7B257FFD"/>
    <w:rsid w:val="7B273D20"/>
    <w:rsid w:val="7B343476"/>
    <w:rsid w:val="7B5A2978"/>
    <w:rsid w:val="7B5A7E4C"/>
    <w:rsid w:val="7B667AF9"/>
    <w:rsid w:val="7B7468F8"/>
    <w:rsid w:val="7B7535A0"/>
    <w:rsid w:val="7BEE0103"/>
    <w:rsid w:val="7C0A0FE4"/>
    <w:rsid w:val="7C254906"/>
    <w:rsid w:val="7C5036C5"/>
    <w:rsid w:val="7C590818"/>
    <w:rsid w:val="7C7C10F6"/>
    <w:rsid w:val="7C853BEA"/>
    <w:rsid w:val="7C881368"/>
    <w:rsid w:val="7CA52E86"/>
    <w:rsid w:val="7CA9195E"/>
    <w:rsid w:val="7CE27788"/>
    <w:rsid w:val="7D0C32F1"/>
    <w:rsid w:val="7D0F408D"/>
    <w:rsid w:val="7D16490F"/>
    <w:rsid w:val="7D347AD1"/>
    <w:rsid w:val="7D380D29"/>
    <w:rsid w:val="7D485AE4"/>
    <w:rsid w:val="7D491C6C"/>
    <w:rsid w:val="7D4A0A5C"/>
    <w:rsid w:val="7D5429C0"/>
    <w:rsid w:val="7D6E6D43"/>
    <w:rsid w:val="7DB57A34"/>
    <w:rsid w:val="7DD6409E"/>
    <w:rsid w:val="7DE60973"/>
    <w:rsid w:val="7DED1B13"/>
    <w:rsid w:val="7DEF0916"/>
    <w:rsid w:val="7DF6029C"/>
    <w:rsid w:val="7E1E5218"/>
    <w:rsid w:val="7E3436C9"/>
    <w:rsid w:val="7E9A4E1F"/>
    <w:rsid w:val="7EA7723A"/>
    <w:rsid w:val="7EB02B41"/>
    <w:rsid w:val="7EC95CF5"/>
    <w:rsid w:val="7ECB4467"/>
    <w:rsid w:val="7EF56FBB"/>
    <w:rsid w:val="7F0768EB"/>
    <w:rsid w:val="7F143BEC"/>
    <w:rsid w:val="7F3073AD"/>
    <w:rsid w:val="7F58120E"/>
    <w:rsid w:val="7F69341C"/>
    <w:rsid w:val="7F715AF2"/>
    <w:rsid w:val="7F74591C"/>
    <w:rsid w:val="7F886E69"/>
    <w:rsid w:val="7FA67691"/>
    <w:rsid w:val="7FF32CE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10">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11">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2">
    <w:name w:val="heading 3"/>
    <w:basedOn w:val="1"/>
    <w:next w:val="3"/>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3">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4">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5">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6">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7">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8">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autoRedefine/>
    <w:semiHidden/>
    <w:unhideWhenUsed/>
    <w:qFormat/>
    <w:uiPriority w:val="1"/>
  </w:style>
  <w:style w:type="table" w:default="1" w:styleId="69">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ind w:firstLine="200" w:firstLineChars="200"/>
    </w:pPr>
    <w:rPr>
      <w:rFonts w:ascii="Arial" w:hAnsi="Arial"/>
      <w:spacing w:val="-5"/>
      <w:kern w:val="0"/>
      <w:sz w:val="24"/>
      <w:szCs w:val="20"/>
    </w:rPr>
  </w:style>
  <w:style w:type="paragraph" w:styleId="3">
    <w:name w:val="Body Text"/>
    <w:basedOn w:val="1"/>
    <w:next w:val="4"/>
    <w:link w:val="435"/>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4">
    <w:name w:val="样式 表格正文 + 两端对齐"/>
    <w:basedOn w:val="1"/>
    <w:next w:val="5"/>
    <w:autoRedefine/>
    <w:qFormat/>
    <w:uiPriority w:val="0"/>
    <w:pPr>
      <w:spacing w:line="300" w:lineRule="auto"/>
    </w:pPr>
    <w:rPr>
      <w:sz w:val="24"/>
    </w:rPr>
  </w:style>
  <w:style w:type="paragraph" w:customStyle="1" w:styleId="5">
    <w:name w:val="正文1"/>
    <w:basedOn w:val="6"/>
    <w:next w:val="7"/>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7">
    <w:name w:val="自动更正"/>
    <w:next w:val="8"/>
    <w:autoRedefine/>
    <w:qFormat/>
    <w:uiPriority w:val="0"/>
    <w:pPr>
      <w:widowControl w:val="0"/>
      <w:jc w:val="both"/>
    </w:pPr>
    <w:rPr>
      <w:rFonts w:ascii="黑体" w:hAnsi="黑体" w:eastAsia="微软雅黑" w:cs="黑体"/>
      <w:kern w:val="2"/>
      <w:sz w:val="21"/>
      <w:szCs w:val="21"/>
      <w:lang w:val="en-US" w:eastAsia="zh-CN" w:bidi="ar-SA"/>
    </w:rPr>
  </w:style>
  <w:style w:type="paragraph" w:customStyle="1" w:styleId="8">
    <w:name w:val="xl39"/>
    <w:basedOn w:val="1"/>
    <w:next w:val="9"/>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
    <w:name w:val="分手多日，近况如何？"/>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9">
    <w:name w:val="toc 7"/>
    <w:basedOn w:val="1"/>
    <w:next w:val="1"/>
    <w:autoRedefine/>
    <w:qFormat/>
    <w:uiPriority w:val="0"/>
    <w:pPr>
      <w:ind w:left="2520" w:leftChars="1200"/>
    </w:pPr>
  </w:style>
  <w:style w:type="paragraph" w:styleId="20">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21">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2">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3">
    <w:name w:val="Normal Indent"/>
    <w:basedOn w:val="1"/>
    <w:next w:val="24"/>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24">
    <w:name w:val="Plain Text"/>
    <w:basedOn w:val="1"/>
    <w:next w:val="1"/>
    <w:link w:val="131"/>
    <w:autoRedefine/>
    <w:qFormat/>
    <w:uiPriority w:val="0"/>
    <w:rPr>
      <w:rFonts w:ascii="宋体" w:hAnsi="Courier New" w:cs="Arial"/>
      <w:snapToGrid w:val="0"/>
      <w:szCs w:val="21"/>
    </w:rPr>
  </w:style>
  <w:style w:type="paragraph" w:styleId="25">
    <w:name w:val="caption"/>
    <w:basedOn w:val="1"/>
    <w:next w:val="1"/>
    <w:link w:val="235"/>
    <w:autoRedefine/>
    <w:qFormat/>
    <w:uiPriority w:val="0"/>
    <w:rPr>
      <w:b/>
      <w:sz w:val="28"/>
      <w:szCs w:val="20"/>
    </w:rPr>
  </w:style>
  <w:style w:type="paragraph" w:styleId="26">
    <w:name w:val="index 5"/>
    <w:basedOn w:val="1"/>
    <w:next w:val="1"/>
    <w:autoRedefine/>
    <w:qFormat/>
    <w:uiPriority w:val="0"/>
    <w:pPr>
      <w:adjustRightInd/>
      <w:ind w:left="800" w:leftChars="800" w:firstLine="200" w:firstLineChars="200"/>
    </w:pPr>
  </w:style>
  <w:style w:type="paragraph" w:styleId="27">
    <w:name w:val="Document Map"/>
    <w:basedOn w:val="1"/>
    <w:link w:val="208"/>
    <w:autoRedefine/>
    <w:qFormat/>
    <w:uiPriority w:val="0"/>
    <w:pPr>
      <w:shd w:val="clear" w:color="auto" w:fill="000080"/>
    </w:pPr>
  </w:style>
  <w:style w:type="paragraph" w:styleId="28">
    <w:name w:val="annotation text"/>
    <w:basedOn w:val="1"/>
    <w:link w:val="349"/>
    <w:autoRedefine/>
    <w:qFormat/>
    <w:uiPriority w:val="99"/>
    <w:pPr>
      <w:jc w:val="left"/>
    </w:pPr>
  </w:style>
  <w:style w:type="paragraph" w:styleId="29">
    <w:name w:val="Salutation"/>
    <w:basedOn w:val="1"/>
    <w:next w:val="1"/>
    <w:link w:val="303"/>
    <w:autoRedefine/>
    <w:qFormat/>
    <w:uiPriority w:val="0"/>
    <w:rPr>
      <w:rFonts w:ascii="仿宋_GB2312" w:eastAsia="仿宋_GB2312"/>
      <w:sz w:val="28"/>
      <w:szCs w:val="20"/>
    </w:rPr>
  </w:style>
  <w:style w:type="paragraph" w:styleId="30">
    <w:name w:val="Body Text 3"/>
    <w:basedOn w:val="1"/>
    <w:link w:val="335"/>
    <w:autoRedefine/>
    <w:qFormat/>
    <w:uiPriority w:val="0"/>
    <w:pPr>
      <w:jc w:val="center"/>
    </w:pPr>
    <w:rPr>
      <w:szCs w:val="20"/>
    </w:rPr>
  </w:style>
  <w:style w:type="paragraph" w:styleId="31">
    <w:name w:val="List Bullet 3"/>
    <w:basedOn w:val="1"/>
    <w:autoRedefine/>
    <w:unhideWhenUsed/>
    <w:qFormat/>
    <w:uiPriority w:val="0"/>
    <w:pPr>
      <w:snapToGrid w:val="0"/>
      <w:spacing w:line="360" w:lineRule="auto"/>
      <w:ind w:left="360" w:right="238" w:hanging="360"/>
      <w:contextualSpacing/>
    </w:pPr>
    <w:rPr>
      <w:sz w:val="24"/>
    </w:rPr>
  </w:style>
  <w:style w:type="paragraph" w:styleId="32">
    <w:name w:val="Body Text Indent"/>
    <w:basedOn w:val="1"/>
    <w:next w:val="23"/>
    <w:link w:val="270"/>
    <w:autoRedefine/>
    <w:qFormat/>
    <w:uiPriority w:val="0"/>
    <w:pPr>
      <w:spacing w:line="480" w:lineRule="exact"/>
      <w:ind w:firstLine="480" w:firstLineChars="200"/>
    </w:pPr>
    <w:rPr>
      <w:rFonts w:ascii="宋体" w:hAnsi="宋体"/>
      <w:sz w:val="24"/>
    </w:rPr>
  </w:style>
  <w:style w:type="paragraph" w:styleId="33">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autoRedefine/>
    <w:qFormat/>
    <w:uiPriority w:val="0"/>
    <w:pPr>
      <w:adjustRightInd/>
      <w:spacing w:line="360" w:lineRule="auto"/>
      <w:ind w:left="100" w:leftChars="200" w:hanging="200" w:hangingChars="200"/>
    </w:pPr>
    <w:rPr>
      <w:rFonts w:eastAsia="微软雅黑"/>
    </w:rPr>
  </w:style>
  <w:style w:type="paragraph" w:styleId="35">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8">
    <w:name w:val="toc 5"/>
    <w:basedOn w:val="1"/>
    <w:next w:val="1"/>
    <w:autoRedefine/>
    <w:qFormat/>
    <w:uiPriority w:val="0"/>
    <w:pPr>
      <w:ind w:left="1680" w:leftChars="800"/>
    </w:pPr>
  </w:style>
  <w:style w:type="paragraph" w:styleId="3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autoRedefine/>
    <w:qFormat/>
    <w:uiPriority w:val="0"/>
    <w:pPr>
      <w:ind w:left="2940" w:leftChars="1400"/>
    </w:pPr>
  </w:style>
  <w:style w:type="paragraph" w:styleId="41">
    <w:name w:val="Date"/>
    <w:basedOn w:val="1"/>
    <w:next w:val="1"/>
    <w:link w:val="187"/>
    <w:autoRedefine/>
    <w:qFormat/>
    <w:uiPriority w:val="0"/>
    <w:pPr>
      <w:ind w:left="100" w:leftChars="2500"/>
    </w:pPr>
    <w:rPr>
      <w:rFonts w:ascii="宋体"/>
      <w:sz w:val="24"/>
      <w:szCs w:val="21"/>
      <w:lang w:val="zh-CN"/>
    </w:rPr>
  </w:style>
  <w:style w:type="paragraph" w:styleId="42">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43">
    <w:name w:val="endnote text"/>
    <w:basedOn w:val="1"/>
    <w:link w:val="934"/>
    <w:autoRedefine/>
    <w:qFormat/>
    <w:uiPriority w:val="0"/>
    <w:rPr>
      <w:lang w:val="zh-CN"/>
    </w:rPr>
  </w:style>
  <w:style w:type="paragraph" w:styleId="44">
    <w:name w:val="Balloon Text"/>
    <w:basedOn w:val="1"/>
    <w:link w:val="194"/>
    <w:autoRedefine/>
    <w:qFormat/>
    <w:uiPriority w:val="0"/>
    <w:rPr>
      <w:sz w:val="18"/>
      <w:szCs w:val="18"/>
    </w:rPr>
  </w:style>
  <w:style w:type="paragraph" w:styleId="45">
    <w:name w:val="footer"/>
    <w:basedOn w:val="1"/>
    <w:link w:val="388"/>
    <w:autoRedefine/>
    <w:qFormat/>
    <w:uiPriority w:val="99"/>
    <w:pPr>
      <w:tabs>
        <w:tab w:val="center" w:pos="4153"/>
        <w:tab w:val="right" w:pos="8306"/>
      </w:tabs>
      <w:snapToGrid w:val="0"/>
      <w:jc w:val="left"/>
    </w:pPr>
    <w:rPr>
      <w:sz w:val="18"/>
      <w:szCs w:val="18"/>
    </w:rPr>
  </w:style>
  <w:style w:type="paragraph" w:styleId="46">
    <w:name w:val="envelope return"/>
    <w:basedOn w:val="1"/>
    <w:autoRedefine/>
    <w:qFormat/>
    <w:uiPriority w:val="99"/>
    <w:pPr>
      <w:snapToGrid w:val="0"/>
    </w:pPr>
    <w:rPr>
      <w:rFonts w:ascii="Arial" w:hAnsi="Arial"/>
    </w:rPr>
  </w:style>
  <w:style w:type="paragraph" w:styleId="47">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autoRedefine/>
    <w:qFormat/>
    <w:uiPriority w:val="0"/>
  </w:style>
  <w:style w:type="paragraph" w:styleId="50">
    <w:name w:val="toc 4"/>
    <w:basedOn w:val="1"/>
    <w:next w:val="1"/>
    <w:autoRedefine/>
    <w:qFormat/>
    <w:uiPriority w:val="0"/>
    <w:pPr>
      <w:ind w:left="1260" w:leftChars="600"/>
    </w:pPr>
  </w:style>
  <w:style w:type="paragraph" w:styleId="51">
    <w:name w:val="index heading"/>
    <w:basedOn w:val="1"/>
    <w:next w:val="52"/>
    <w:autoRedefine/>
    <w:qFormat/>
    <w:uiPriority w:val="0"/>
    <w:pPr>
      <w:adjustRightInd/>
      <w:ind w:firstLine="200" w:firstLineChars="200"/>
    </w:pPr>
  </w:style>
  <w:style w:type="paragraph" w:styleId="52">
    <w:name w:val="index 1"/>
    <w:basedOn w:val="1"/>
    <w:next w:val="1"/>
    <w:autoRedefine/>
    <w:qFormat/>
    <w:uiPriority w:val="0"/>
    <w:pPr>
      <w:adjustRightInd/>
      <w:spacing w:line="360" w:lineRule="auto"/>
      <w:ind w:firstLine="200" w:firstLineChars="200"/>
      <w:jc w:val="center"/>
    </w:pPr>
    <w:rPr>
      <w:sz w:val="24"/>
      <w:szCs w:val="20"/>
    </w:rPr>
  </w:style>
  <w:style w:type="paragraph" w:styleId="53">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autoRedefine/>
    <w:qFormat/>
    <w:uiPriority w:val="0"/>
    <w:pPr>
      <w:tabs>
        <w:tab w:val="left" w:pos="902"/>
      </w:tabs>
      <w:adjustRightInd/>
      <w:spacing w:line="400" w:lineRule="exact"/>
      <w:ind w:left="902" w:hanging="420"/>
    </w:pPr>
    <w:rPr>
      <w:sz w:val="24"/>
      <w:szCs w:val="20"/>
    </w:rPr>
  </w:style>
  <w:style w:type="paragraph" w:styleId="55">
    <w:name w:val="List"/>
    <w:basedOn w:val="1"/>
    <w:autoRedefine/>
    <w:qFormat/>
    <w:uiPriority w:val="0"/>
    <w:pPr>
      <w:ind w:left="200" w:hanging="200" w:hangingChars="200"/>
    </w:pPr>
  </w:style>
  <w:style w:type="paragraph" w:styleId="56">
    <w:name w:val="footnote text"/>
    <w:basedOn w:val="23"/>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7">
    <w:name w:val="toc 6"/>
    <w:basedOn w:val="1"/>
    <w:next w:val="1"/>
    <w:autoRedefine/>
    <w:qFormat/>
    <w:uiPriority w:val="0"/>
    <w:pPr>
      <w:ind w:left="2100" w:leftChars="1000"/>
    </w:pPr>
  </w:style>
  <w:style w:type="paragraph" w:styleId="58">
    <w:name w:val="List 5"/>
    <w:basedOn w:val="1"/>
    <w:autoRedefine/>
    <w:qFormat/>
    <w:uiPriority w:val="0"/>
    <w:pPr>
      <w:adjustRightInd/>
      <w:ind w:left="100" w:leftChars="800" w:hanging="200" w:hangingChars="200"/>
    </w:pPr>
  </w:style>
  <w:style w:type="paragraph" w:styleId="59">
    <w:name w:val="Body Text Indent 3"/>
    <w:basedOn w:val="1"/>
    <w:link w:val="380"/>
    <w:autoRedefine/>
    <w:qFormat/>
    <w:uiPriority w:val="0"/>
    <w:pPr>
      <w:spacing w:line="360" w:lineRule="auto"/>
      <w:ind w:firstLine="420"/>
    </w:pPr>
    <w:rPr>
      <w:sz w:val="24"/>
      <w:szCs w:val="20"/>
    </w:rPr>
  </w:style>
  <w:style w:type="paragraph" w:styleId="60">
    <w:name w:val="toc 2"/>
    <w:basedOn w:val="1"/>
    <w:next w:val="1"/>
    <w:autoRedefine/>
    <w:qFormat/>
    <w:uiPriority w:val="0"/>
    <w:pPr>
      <w:ind w:left="420" w:leftChars="200"/>
    </w:pPr>
  </w:style>
  <w:style w:type="paragraph" w:styleId="61">
    <w:name w:val="toc 9"/>
    <w:basedOn w:val="1"/>
    <w:next w:val="1"/>
    <w:autoRedefine/>
    <w:qFormat/>
    <w:uiPriority w:val="0"/>
    <w:pPr>
      <w:ind w:left="3360" w:leftChars="1600"/>
    </w:pPr>
  </w:style>
  <w:style w:type="paragraph" w:styleId="62">
    <w:name w:val="Body Text 2"/>
    <w:basedOn w:val="1"/>
    <w:link w:val="307"/>
    <w:autoRedefine/>
    <w:qFormat/>
    <w:uiPriority w:val="0"/>
    <w:pPr>
      <w:spacing w:after="120" w:line="480" w:lineRule="auto"/>
    </w:pPr>
  </w:style>
  <w:style w:type="paragraph" w:styleId="63">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5">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6">
    <w:name w:val="annotation subject"/>
    <w:basedOn w:val="28"/>
    <w:next w:val="28"/>
    <w:link w:val="102"/>
    <w:autoRedefine/>
    <w:qFormat/>
    <w:uiPriority w:val="0"/>
    <w:rPr>
      <w:b/>
      <w:bCs/>
    </w:rPr>
  </w:style>
  <w:style w:type="paragraph" w:styleId="67">
    <w:name w:val="Body Text First Indent"/>
    <w:basedOn w:val="3"/>
    <w:next w:val="57"/>
    <w:link w:val="326"/>
    <w:autoRedefine/>
    <w:qFormat/>
    <w:uiPriority w:val="0"/>
    <w:pPr>
      <w:ind w:firstLine="420"/>
    </w:pPr>
    <w:rPr>
      <w:rFonts w:hAnsi="Calibri" w:cs="Times New Roman"/>
      <w:snapToGrid/>
      <w:szCs w:val="20"/>
    </w:rPr>
  </w:style>
  <w:style w:type="paragraph" w:styleId="68">
    <w:name w:val="Body Text First Indent 2"/>
    <w:basedOn w:val="32"/>
    <w:link w:val="127"/>
    <w:autoRedefine/>
    <w:qFormat/>
    <w:uiPriority w:val="0"/>
    <w:pPr>
      <w:adjustRightInd/>
      <w:spacing w:after="120" w:line="240" w:lineRule="auto"/>
      <w:ind w:left="420" w:leftChars="200" w:firstLine="210"/>
    </w:pPr>
    <w:rPr>
      <w:sz w:val="21"/>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Theme"/>
    <w:basedOn w:val="6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Elegant"/>
    <w:basedOn w:val="6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autoRedefine/>
    <w:qFormat/>
    <w:uiPriority w:val="22"/>
    <w:rPr>
      <w:b/>
      <w:bCs/>
    </w:rPr>
  </w:style>
  <w:style w:type="character" w:styleId="78">
    <w:name w:val="endnote reference"/>
    <w:autoRedefine/>
    <w:qFormat/>
    <w:uiPriority w:val="0"/>
    <w:rPr>
      <w:vertAlign w:val="superscript"/>
    </w:rPr>
  </w:style>
  <w:style w:type="character" w:styleId="79">
    <w:name w:val="page number"/>
    <w:basedOn w:val="76"/>
    <w:autoRedefine/>
    <w:qFormat/>
    <w:uiPriority w:val="0"/>
    <w:rPr>
      <w:rFonts w:ascii="Arial" w:hAnsi="Arial" w:eastAsia="黑体" w:cs="Arial"/>
      <w:snapToGrid w:val="0"/>
      <w:kern w:val="0"/>
      <w:szCs w:val="21"/>
    </w:rPr>
  </w:style>
  <w:style w:type="character" w:styleId="80">
    <w:name w:val="FollowedHyperlink"/>
    <w:autoRedefine/>
    <w:qFormat/>
    <w:uiPriority w:val="99"/>
    <w:rPr>
      <w:rFonts w:ascii="Arial" w:hAnsi="Arial" w:eastAsia="黑体" w:cs="Arial"/>
      <w:snapToGrid w:val="0"/>
      <w:color w:val="000000"/>
      <w:kern w:val="0"/>
      <w:sz w:val="18"/>
      <w:szCs w:val="18"/>
      <w:u w:val="none"/>
    </w:rPr>
  </w:style>
  <w:style w:type="character" w:styleId="81">
    <w:name w:val="Emphasis"/>
    <w:autoRedefine/>
    <w:qFormat/>
    <w:uiPriority w:val="20"/>
    <w:rPr>
      <w:color w:val="CC0033"/>
    </w:rPr>
  </w:style>
  <w:style w:type="character" w:styleId="82">
    <w:name w:val="line number"/>
    <w:basedOn w:val="76"/>
    <w:autoRedefine/>
    <w:qFormat/>
    <w:uiPriority w:val="0"/>
    <w:rPr>
      <w:rFonts w:ascii="Arial" w:hAnsi="Arial" w:eastAsia="黑体" w:cs="Arial"/>
      <w:snapToGrid w:val="0"/>
      <w:kern w:val="0"/>
      <w:szCs w:val="21"/>
    </w:rPr>
  </w:style>
  <w:style w:type="character" w:styleId="83">
    <w:name w:val="Hyperlink"/>
    <w:autoRedefine/>
    <w:qFormat/>
    <w:uiPriority w:val="99"/>
    <w:rPr>
      <w:rFonts w:ascii="Arial" w:hAnsi="Arial" w:eastAsia="黑体" w:cs="Arial"/>
      <w:snapToGrid w:val="0"/>
      <w:color w:val="000000"/>
      <w:kern w:val="0"/>
      <w:sz w:val="18"/>
      <w:szCs w:val="18"/>
      <w:u w:val="none"/>
    </w:rPr>
  </w:style>
  <w:style w:type="character" w:styleId="84">
    <w:name w:val="HTML Code"/>
    <w:autoRedefine/>
    <w:qFormat/>
    <w:uiPriority w:val="0"/>
    <w:rPr>
      <w:rFonts w:ascii="黑体" w:hAnsi="Courier New" w:eastAsia="黑体" w:cs="楷体_GB2312"/>
      <w:sz w:val="20"/>
      <w:szCs w:val="20"/>
    </w:rPr>
  </w:style>
  <w:style w:type="character" w:styleId="85">
    <w:name w:val="annotation reference"/>
    <w:autoRedefine/>
    <w:qFormat/>
    <w:uiPriority w:val="99"/>
    <w:rPr>
      <w:sz w:val="21"/>
      <w:szCs w:val="21"/>
    </w:rPr>
  </w:style>
  <w:style w:type="paragraph" w:customStyle="1" w:styleId="86">
    <w:name w:val="Default"/>
    <w:next w:val="87"/>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6"/>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68"/>
    <w:autoRedefine/>
    <w:qFormat/>
    <w:uiPriority w:val="0"/>
    <w:rPr>
      <w:rFonts w:ascii="宋体" w:hAnsi="宋体"/>
      <w:kern w:val="2"/>
      <w:sz w:val="21"/>
      <w:szCs w:val="24"/>
    </w:rPr>
  </w:style>
  <w:style w:type="character" w:customStyle="1" w:styleId="128">
    <w:name w:val="font1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6"/>
    <w:autoRedefine/>
    <w:qFormat/>
    <w:uiPriority w:val="0"/>
    <w:rPr>
      <w:rFonts w:ascii="Arial" w:hAnsi="Arial" w:eastAsia="黑体" w:cs="Arial"/>
      <w:snapToGrid w:val="0"/>
      <w:kern w:val="0"/>
      <w:szCs w:val="21"/>
    </w:rPr>
  </w:style>
  <w:style w:type="character" w:customStyle="1" w:styleId="131">
    <w:name w:val="纯文本 Char"/>
    <w:link w:val="24"/>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53"/>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Char"/>
    <w:link w:val="15"/>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11"/>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41"/>
    <w:autoRedefine/>
    <w:qFormat/>
    <w:uiPriority w:val="0"/>
    <w:rPr>
      <w:rFonts w:ascii="宋体"/>
      <w:kern w:val="2"/>
      <w:sz w:val="24"/>
      <w:szCs w:val="21"/>
      <w:lang w:val="zh-CN"/>
    </w:rPr>
  </w:style>
  <w:style w:type="character" w:customStyle="1" w:styleId="188">
    <w:name w:val="标题 9 Char"/>
    <w:link w:val="18"/>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44"/>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23"/>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1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27"/>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6"/>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7"/>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13"/>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25"/>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6"/>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32"/>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10"/>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65"/>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14"/>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9"/>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63"/>
    <w:autoRedefine/>
    <w:qFormat/>
    <w:uiPriority w:val="0"/>
    <w:rPr>
      <w:rFonts w:ascii="黑体" w:hAnsi="Courier New" w:eastAsia="黑体"/>
    </w:rPr>
  </w:style>
  <w:style w:type="character" w:customStyle="1" w:styleId="307">
    <w:name w:val="正文文本 2 Char1"/>
    <w:link w:val="62"/>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13"/>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16"/>
    <w:autoRedefine/>
    <w:qFormat/>
    <w:uiPriority w:val="0"/>
    <w:rPr>
      <w:b/>
      <w:bCs/>
      <w:kern w:val="2"/>
      <w:sz w:val="24"/>
      <w:szCs w:val="24"/>
    </w:rPr>
  </w:style>
  <w:style w:type="character" w:customStyle="1" w:styleId="313">
    <w:name w:val="正文文本缩进 2 Char"/>
    <w:link w:val="42"/>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6"/>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76"/>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67"/>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13"/>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30"/>
    <w:autoRedefine/>
    <w:qFormat/>
    <w:uiPriority w:val="0"/>
    <w:rPr>
      <w:kern w:val="2"/>
      <w:sz w:val="21"/>
    </w:rPr>
  </w:style>
  <w:style w:type="character" w:customStyle="1" w:styleId="336">
    <w:name w:val="font31"/>
    <w:basedOn w:val="76"/>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8"/>
    <w:autoRedefine/>
    <w:qFormat/>
    <w:uiPriority w:val="99"/>
    <w:rPr>
      <w:kern w:val="2"/>
      <w:sz w:val="21"/>
      <w:szCs w:val="24"/>
    </w:rPr>
  </w:style>
  <w:style w:type="character" w:customStyle="1" w:styleId="350">
    <w:name w:val="签名 Char"/>
    <w:link w:val="48"/>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7"/>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basedOn w:val="76"/>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9"/>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5"/>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7"/>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6"/>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23"/>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6"/>
    <w:autoRedefine/>
    <w:qFormat/>
    <w:uiPriority w:val="0"/>
    <w:rPr>
      <w:rFonts w:ascii="Arial" w:hAnsi="Arial" w:eastAsia="黑体" w:cs="Arial"/>
      <w:snapToGrid w:val="0"/>
      <w:kern w:val="0"/>
      <w:szCs w:val="21"/>
    </w:rPr>
  </w:style>
  <w:style w:type="character" w:customStyle="1" w:styleId="437">
    <w:name w:val="hui"/>
    <w:basedOn w:val="76"/>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13"/>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11"/>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11"/>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15"/>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5"/>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11"/>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10"/>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12"/>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14"/>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12"/>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11"/>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10"/>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Bulleting First Indent 1"/>
    <w:basedOn w:val="6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13"/>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11"/>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6"/>
    <w:next w:val="86"/>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6"/>
    <w:next w:val="86"/>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2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11"/>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24"/>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2"/>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1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11"/>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1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10"/>
    <w:autoRedefine/>
    <w:qFormat/>
    <w:uiPriority w:val="0"/>
    <w:pPr>
      <w:tabs>
        <w:tab w:val="left" w:pos="840"/>
      </w:tabs>
      <w:adjustRightInd/>
      <w:ind w:left="840" w:hanging="420"/>
    </w:pPr>
  </w:style>
  <w:style w:type="paragraph" w:customStyle="1" w:styleId="629">
    <w:name w:val="样式 标题 2标题2H2Heading 2 HiddenHeading 2 CCBSheading 22nd lev..."/>
    <w:basedOn w:val="11"/>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13"/>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6"/>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11"/>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11"/>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10"/>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10"/>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13"/>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3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11"/>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2"/>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12"/>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25"/>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5"/>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23"/>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12"/>
    <w:next w:val="59"/>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10"/>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13"/>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42"/>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12"/>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22"/>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7"/>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1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10"/>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14"/>
    <w:next w:val="1"/>
    <w:autoRedefine/>
    <w:qFormat/>
    <w:uiPriority w:val="0"/>
    <w:pPr>
      <w:tabs>
        <w:tab w:val="left" w:pos="1080"/>
      </w:tabs>
      <w:ind w:left="1080" w:hanging="1080"/>
    </w:pPr>
  </w:style>
  <w:style w:type="paragraph" w:customStyle="1" w:styleId="899">
    <w:name w:val="数字标题1"/>
    <w:basedOn w:val="10"/>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8"/>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43"/>
    <w:autoRedefine/>
    <w:qFormat/>
    <w:uiPriority w:val="0"/>
    <w:rPr>
      <w:kern w:val="2"/>
      <w:sz w:val="21"/>
      <w:szCs w:val="24"/>
      <w:lang w:val="zh-CN"/>
    </w:rPr>
  </w:style>
  <w:style w:type="character" w:customStyle="1" w:styleId="935">
    <w:name w:val="无间隔 Char"/>
    <w:link w:val="488"/>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3"/>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11"/>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6"/>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paragraph" w:customStyle="1" w:styleId="968">
    <w:name w:val="图名"/>
    <w:basedOn w:val="969"/>
    <w:autoRedefine/>
    <w:qFormat/>
    <w:uiPriority w:val="8"/>
  </w:style>
  <w:style w:type="paragraph" w:customStyle="1" w:styleId="969">
    <w:name w:val="表名"/>
    <w:basedOn w:val="1"/>
    <w:autoRedefine/>
    <w:qFormat/>
    <w:uiPriority w:val="7"/>
    <w:pPr>
      <w:numPr>
        <w:ilvl w:val="6"/>
        <w:numId w:val="1"/>
      </w:numPr>
      <w:jc w:val="center"/>
    </w:pPr>
    <w:rPr>
      <w:rFonts w:ascii="Times New Roman" w:hAnsi="Times New Roman" w:eastAsia="黑体"/>
    </w:rPr>
  </w:style>
  <w:style w:type="character" w:customStyle="1" w:styleId="970">
    <w:name w:val="不明显参考1"/>
    <w:basedOn w:val="76"/>
    <w:autoRedefine/>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44097</Words>
  <Characters>46413</Characters>
  <Lines>281</Lines>
  <Paragraphs>79</Paragraphs>
  <TotalTime>0</TotalTime>
  <ScaleCrop>false</ScaleCrop>
  <LinksUpToDate>false</LinksUpToDate>
  <CharactersWithSpaces>51949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你看我看你呢</cp:lastModifiedBy>
  <cp:lastPrinted>2021-12-27T03:06:00Z</cp:lastPrinted>
  <dcterms:modified xsi:type="dcterms:W3CDTF">2024-03-19T06:40:26Z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D3DEC1C79B274906821D08E76DAF16FC_13</vt:lpwstr>
  </property>
</Properties>
</file>