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楷体" w:hAnsi="楷体" w:eastAsia="楷体" w:cs="楷体"/>
          <w:b/>
          <w:bCs/>
          <w:sz w:val="52"/>
          <w:szCs w:val="52"/>
          <w:highlight w:val="none"/>
          <w:lang w:val="en-US" w:eastAsia="zh-CN"/>
        </w:rPr>
      </w:pPr>
      <w:r>
        <w:rPr>
          <w:highlight w:val="none"/>
        </w:rPr>
        <w:drawing>
          <wp:inline distT="0" distB="0" distL="114300" distR="114300">
            <wp:extent cx="2944495" cy="731520"/>
            <wp:effectExtent l="0" t="0" r="8255" b="1143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7"/>
                    <a:stretch>
                      <a:fillRect/>
                    </a:stretch>
                  </pic:blipFill>
                  <pic:spPr>
                    <a:xfrm>
                      <a:off x="0" y="0"/>
                      <a:ext cx="2944495" cy="731520"/>
                    </a:xfrm>
                    <a:prstGeom prst="rect">
                      <a:avLst/>
                    </a:prstGeom>
                    <a:noFill/>
                    <a:ln>
                      <a:noFill/>
                    </a:ln>
                  </pic:spPr>
                </pic:pic>
              </a:graphicData>
            </a:graphic>
          </wp:inline>
        </w:drawing>
      </w:r>
    </w:p>
    <w:p>
      <w:pPr>
        <w:ind w:firstLine="1400" w:firstLineChars="200"/>
        <w:jc w:val="both"/>
        <w:rPr>
          <w:rFonts w:hint="eastAsia" w:ascii="仿宋" w:hAnsi="仿宋" w:eastAsia="仿宋" w:cs="仿宋"/>
          <w:sz w:val="70"/>
          <w:szCs w:val="70"/>
          <w:highlight w:val="none"/>
        </w:rPr>
      </w:pPr>
      <w:r>
        <w:rPr>
          <w:rFonts w:hint="eastAsia" w:ascii="仿宋" w:hAnsi="仿宋" w:eastAsia="仿宋" w:cs="仿宋"/>
          <w:sz w:val="70"/>
          <w:szCs w:val="70"/>
          <w:highlight w:val="none"/>
        </w:rPr>
        <mc:AlternateContent>
          <mc:Choice Requires="wps">
            <w:drawing>
              <wp:anchor distT="0" distB="0" distL="114300" distR="114300" simplePos="0" relativeHeight="251660288" behindDoc="0" locked="0" layoutInCell="1" allowOverlap="1">
                <wp:simplePos x="0" y="0"/>
                <wp:positionH relativeFrom="column">
                  <wp:posOffset>34290</wp:posOffset>
                </wp:positionH>
                <wp:positionV relativeFrom="paragraph">
                  <wp:posOffset>519430</wp:posOffset>
                </wp:positionV>
                <wp:extent cx="5845175" cy="0"/>
                <wp:effectExtent l="0" t="13970" r="3175" b="24130"/>
                <wp:wrapNone/>
                <wp:docPr id="9" name="直接连接符 9"/>
                <wp:cNvGraphicFramePr/>
                <a:graphic xmlns:a="http://schemas.openxmlformats.org/drawingml/2006/main">
                  <a:graphicData uri="http://schemas.microsoft.com/office/word/2010/wordprocessingShape">
                    <wps:wsp>
                      <wps:cNvCnPr/>
                      <wps:spPr>
                        <a:xfrm>
                          <a:off x="2003425" y="2318385"/>
                          <a:ext cx="5845175" cy="0"/>
                        </a:xfrm>
                        <a:prstGeom prst="line">
                          <a:avLst/>
                        </a:prstGeom>
                        <a:ln w="28575" cmpd="thickThin">
                          <a:solidFill>
                            <a:schemeClr val="accent4">
                              <a:lumMod val="50000"/>
                            </a:schemeClr>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7pt;margin-top:40.9pt;height:0pt;width:460.25pt;z-index:251660288;mso-width-relative:page;mso-height-relative:page;" filled="f" stroked="t" coordsize="21600,21600" o:gfxdata="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&#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V0bz/WAAAABwEAAA8AAAAAAAAAAQAgAAAAIgAAAGRy&#10;cy9kb3ducmV2LnhtbFBLAQIUABQAAAAIAIdO4kCuOkXtBwIAAOYDAAAOAAAAAAAAAAEAIAAAACUB&#10;AABkcnMvZTJvRG9jLnhtbFBLBQYAAAAABgAGAFkBAACeBQAAAAA=&#10;">
                <v:fill on="f" focussize="0,0"/>
                <v:stroke weight="2.25pt" color="#7F6000 [1607]" linestyle="thickThin" miterlimit="8" joinstyle="miter"/>
                <v:imagedata o:title=""/>
                <o:lock v:ext="edit" aspectratio="f"/>
              </v:line>
            </w:pict>
          </mc:Fallback>
        </mc:AlternateContent>
      </w:r>
    </w:p>
    <w:p>
      <w:pPr>
        <w:spacing w:line="600" w:lineRule="auto"/>
        <w:jc w:val="center"/>
        <w:rPr>
          <w:rFonts w:hint="eastAsia" w:ascii="仿宋" w:hAnsi="仿宋" w:eastAsia="仿宋" w:cs="仿宋"/>
          <w:b w:val="0"/>
          <w:bCs w:val="0"/>
          <w:sz w:val="70"/>
          <w:szCs w:val="70"/>
          <w:highlight w:val="none"/>
          <w:lang w:val="en-US" w:eastAsia="zh-CN"/>
        </w:rPr>
      </w:pPr>
      <w:r>
        <w:rPr>
          <w:rFonts w:hint="eastAsia" w:ascii="仿宋" w:hAnsi="仿宋" w:eastAsia="仿宋" w:cs="仿宋"/>
          <w:b w:val="0"/>
          <w:bCs w:val="0"/>
          <w:sz w:val="70"/>
          <w:szCs w:val="70"/>
          <w:highlight w:val="none"/>
          <w:lang w:val="en-US" w:eastAsia="zh-CN"/>
        </w:rPr>
        <w:t>孝感市孝南区政府采购项目</w:t>
      </w:r>
    </w:p>
    <w:p>
      <w:pPr>
        <w:spacing w:line="600" w:lineRule="auto"/>
        <w:jc w:val="center"/>
        <w:rPr>
          <w:rFonts w:hint="eastAsia" w:ascii="仿宋" w:hAnsi="仿宋" w:eastAsia="仿宋" w:cs="仿宋"/>
          <w:b w:val="0"/>
          <w:bCs w:val="0"/>
          <w:sz w:val="70"/>
          <w:szCs w:val="70"/>
          <w:highlight w:val="none"/>
          <w:lang w:val="en-US" w:eastAsia="zh-CN"/>
        </w:rPr>
      </w:pPr>
      <w:r>
        <w:rPr>
          <w:rFonts w:hint="eastAsia" w:ascii="仿宋" w:hAnsi="仿宋" w:eastAsia="仿宋" w:cs="仿宋"/>
          <w:b w:val="0"/>
          <w:bCs w:val="0"/>
          <w:sz w:val="70"/>
          <w:szCs w:val="70"/>
          <w:highlight w:val="none"/>
          <w:lang w:val="en-US" w:eastAsia="zh-CN"/>
        </w:rPr>
        <w:t>竞争性磋商文件</w:t>
      </w:r>
    </w:p>
    <w:p>
      <w:pPr>
        <w:ind w:firstLine="1040" w:firstLineChars="200"/>
        <w:jc w:val="center"/>
        <w:rPr>
          <w:rFonts w:hint="eastAsia" w:ascii="仿宋" w:hAnsi="仿宋" w:eastAsia="仿宋" w:cs="仿宋"/>
          <w:b/>
          <w:bCs/>
          <w:sz w:val="24"/>
          <w:szCs w:val="24"/>
          <w:highlight w:val="none"/>
          <w:lang w:val="en-US" w:eastAsia="zh-CN"/>
        </w:rPr>
      </w:pPr>
      <w:r>
        <w:rPr>
          <w:rFonts w:hint="eastAsia" w:ascii="仿宋" w:hAnsi="仿宋" w:eastAsia="仿宋" w:cs="仿宋"/>
          <w:sz w:val="52"/>
          <w:highlight w:val="none"/>
        </w:rPr>
        <mc:AlternateContent>
          <mc:Choice Requires="wps">
            <w:drawing>
              <wp:anchor distT="0" distB="0" distL="114300" distR="114300" simplePos="0" relativeHeight="251661312" behindDoc="0" locked="0" layoutInCell="1" allowOverlap="1">
                <wp:simplePos x="0" y="0"/>
                <wp:positionH relativeFrom="column">
                  <wp:posOffset>52070</wp:posOffset>
                </wp:positionH>
                <wp:positionV relativeFrom="paragraph">
                  <wp:posOffset>45720</wp:posOffset>
                </wp:positionV>
                <wp:extent cx="5732145" cy="17145"/>
                <wp:effectExtent l="0" t="13970" r="1905" b="26035"/>
                <wp:wrapNone/>
                <wp:docPr id="11" name="直接连接符 11"/>
                <wp:cNvGraphicFramePr/>
                <a:graphic xmlns:a="http://schemas.openxmlformats.org/drawingml/2006/main">
                  <a:graphicData uri="http://schemas.microsoft.com/office/word/2010/wordprocessingShape">
                    <wps:wsp>
                      <wps:cNvCnPr/>
                      <wps:spPr>
                        <a:xfrm flipV="1">
                          <a:off x="0" y="0"/>
                          <a:ext cx="5732145" cy="17145"/>
                        </a:xfrm>
                        <a:prstGeom prst="line">
                          <a:avLst/>
                        </a:prstGeom>
                        <a:ln w="28575" cmpd="thickThin">
                          <a:solidFill>
                            <a:schemeClr val="accent4">
                              <a:lumMod val="50000"/>
                            </a:schemeClr>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4.1pt;margin-top:3.6pt;height:1.35pt;width:451.35pt;z-index:251661312;mso-width-relative:page;mso-height-relative:page;" filled="f" stroked="t" coordsize="21600,21600" o:gfxdata="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6m4s/TAAAABQEAAA8AAAAAAAAAAQAgAAAAIgAAAGRycy9k&#10;b3ducmV2LnhtbFBLAQIUABQAAAAIAIdO4kDwHUGSBwIAAOoDAAAOAAAAAAAAAAEAIAAAACIBAABk&#10;cnMvZTJvRG9jLnhtbFBLBQYAAAAABgAGAFkBAACbBQAAAAA=&#10;">
                <v:fill on="f" focussize="0,0"/>
                <v:stroke weight="2.25pt" color="#7F6000 [1607]" linestyle="thickThin" miterlimit="8" joinstyle="miter"/>
                <v:imagedata o:title=""/>
                <o:lock v:ext="edit" aspectratio="f"/>
              </v:line>
            </w:pict>
          </mc:Fallback>
        </mc:AlternateContent>
      </w:r>
      <w:r>
        <w:rPr>
          <w:rFonts w:hint="eastAsia" w:ascii="仿宋" w:hAnsi="仿宋" w:eastAsia="仿宋" w:cs="仿宋"/>
          <w:b/>
          <w:bCs/>
          <w:sz w:val="24"/>
          <w:szCs w:val="24"/>
          <w:highlight w:val="none"/>
          <w:lang w:val="en-US" w:eastAsia="zh-CN"/>
        </w:rPr>
        <w:t xml:space="preserve">                            </w:t>
      </w:r>
    </w:p>
    <w:p>
      <w:pPr>
        <w:ind w:firstLine="482" w:firstLineChars="200"/>
        <w:jc w:val="center"/>
        <w:rPr>
          <w:rFonts w:hint="default"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 xml:space="preserve">                             政府采购计划备案号:420902-2024-00339</w:t>
      </w:r>
    </w:p>
    <w:p>
      <w:pPr>
        <w:ind w:firstLine="1044" w:firstLineChars="200"/>
        <w:jc w:val="center"/>
        <w:rPr>
          <w:rFonts w:hint="eastAsia" w:ascii="仿宋" w:hAnsi="仿宋" w:eastAsia="仿宋" w:cs="仿宋"/>
          <w:b/>
          <w:bCs/>
          <w:sz w:val="52"/>
          <w:szCs w:val="52"/>
          <w:highlight w:val="none"/>
          <w:lang w:val="en-US" w:eastAsia="zh-CN"/>
        </w:rPr>
      </w:pPr>
    </w:p>
    <w:p>
      <w:pPr>
        <w:ind w:leftChars="400" w:firstLine="602" w:firstLineChars="200"/>
        <w:jc w:val="both"/>
        <w:rPr>
          <w:rFonts w:hint="eastAsia" w:ascii="仿宋" w:hAnsi="仿宋" w:eastAsia="仿宋" w:cs="仿宋"/>
          <w:b/>
          <w:bCs/>
          <w:sz w:val="30"/>
          <w:szCs w:val="30"/>
          <w:highlight w:val="none"/>
          <w:lang w:val="en-US" w:eastAsia="zh-CN"/>
        </w:rPr>
      </w:pPr>
    </w:p>
    <w:p>
      <w:pPr>
        <w:spacing w:line="720" w:lineRule="auto"/>
        <w:ind w:leftChars="600"/>
        <w:jc w:val="both"/>
        <w:rPr>
          <w:rFonts w:hint="default"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项目编号:XNFSCG-2024-0059</w:t>
      </w:r>
    </w:p>
    <w:p>
      <w:pPr>
        <w:spacing w:line="720" w:lineRule="auto"/>
        <w:ind w:leftChars="600"/>
        <w:jc w:val="both"/>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项目名称：孝南区2024年度水利工程白蚁等害堤动物</w:t>
      </w:r>
    </w:p>
    <w:p>
      <w:pPr>
        <w:spacing w:line="720" w:lineRule="auto"/>
        <w:ind w:leftChars="600" w:firstLine="1506" w:firstLineChars="500"/>
        <w:jc w:val="both"/>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危害普查和防治项目</w:t>
      </w:r>
    </w:p>
    <w:p>
      <w:pPr>
        <w:spacing w:line="720" w:lineRule="auto"/>
        <w:ind w:leftChars="600"/>
        <w:jc w:val="both"/>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 xml:space="preserve">采 购 人: </w:t>
      </w:r>
      <w:r>
        <w:rPr>
          <w:rFonts w:hint="eastAsia" w:ascii="仿宋" w:hAnsi="仿宋" w:eastAsia="仿宋" w:cs="仿宋"/>
          <w:b/>
          <w:bCs/>
          <w:sz w:val="28"/>
          <w:szCs w:val="28"/>
          <w:highlight w:val="none"/>
          <w:lang w:val="en-US" w:eastAsia="zh-CN"/>
        </w:rPr>
        <w:t>孝感市孝南区水利和湖泊局</w:t>
      </w:r>
    </w:p>
    <w:p>
      <w:pPr>
        <w:ind w:leftChars="400" w:firstLine="562" w:firstLineChars="200"/>
        <w:jc w:val="both"/>
        <w:rPr>
          <w:rFonts w:hint="eastAsia" w:ascii="仿宋" w:hAnsi="仿宋" w:eastAsia="仿宋" w:cs="仿宋"/>
          <w:b/>
          <w:bCs/>
          <w:sz w:val="28"/>
          <w:szCs w:val="28"/>
          <w:highlight w:val="none"/>
          <w:lang w:val="en-US" w:eastAsia="zh-CN"/>
        </w:rPr>
      </w:pPr>
    </w:p>
    <w:p>
      <w:pPr>
        <w:ind w:leftChars="400" w:firstLine="562" w:firstLineChars="200"/>
        <w:jc w:val="both"/>
        <w:rPr>
          <w:rFonts w:hint="eastAsia" w:ascii="仿宋" w:hAnsi="仿宋" w:eastAsia="仿宋" w:cs="仿宋"/>
          <w:b/>
          <w:bCs/>
          <w:sz w:val="28"/>
          <w:szCs w:val="28"/>
          <w:highlight w:val="none"/>
          <w:lang w:val="en-US" w:eastAsia="zh-CN"/>
        </w:rPr>
      </w:pPr>
    </w:p>
    <w:p>
      <w:pPr>
        <w:jc w:val="both"/>
        <w:rPr>
          <w:rFonts w:hint="eastAsia" w:ascii="仿宋" w:hAnsi="仿宋" w:eastAsia="仿宋" w:cs="仿宋"/>
          <w:b/>
          <w:bCs/>
          <w:sz w:val="28"/>
          <w:szCs w:val="28"/>
          <w:highlight w:val="none"/>
          <w:lang w:val="en-US" w:eastAsia="zh-CN"/>
        </w:rPr>
      </w:pPr>
    </w:p>
    <w:p>
      <w:pPr>
        <w:spacing w:line="720" w:lineRule="auto"/>
        <w:jc w:val="center"/>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湖北政通工程咨询有限公司</w:t>
      </w:r>
    </w:p>
    <w:p>
      <w:pPr>
        <w:spacing w:line="720" w:lineRule="auto"/>
        <w:jc w:val="center"/>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二〇二四年三月</w:t>
      </w:r>
    </w:p>
    <w:p>
      <w:pPr>
        <w:jc w:val="center"/>
        <w:rPr>
          <w:rFonts w:ascii="宋体" w:cs="宋体"/>
          <w:b/>
          <w:sz w:val="36"/>
          <w:szCs w:val="36"/>
          <w:highlight w:val="none"/>
        </w:rPr>
        <w:sectPr>
          <w:footerReference r:id="rId3" w:type="default"/>
          <w:pgSz w:w="11906" w:h="16838"/>
          <w:pgMar w:top="1247" w:right="1247" w:bottom="1134" w:left="1474" w:header="851" w:footer="992" w:gutter="0"/>
          <w:cols w:space="0" w:num="1"/>
          <w:docGrid w:type="lines" w:linePitch="312" w:charSpace="0"/>
        </w:sectPr>
      </w:pPr>
    </w:p>
    <w:sdt>
      <w:sdtPr>
        <w:rPr>
          <w:rFonts w:ascii="宋体" w:hAnsi="宋体" w:eastAsia="宋体" w:cs="Times New Roman"/>
          <w:kern w:val="2"/>
          <w:sz w:val="36"/>
          <w:szCs w:val="36"/>
          <w:highlight w:val="none"/>
          <w:lang w:val="en-US" w:eastAsia="zh-CN" w:bidi="ar-SA"/>
        </w:rPr>
        <w:id w:val="147467921"/>
        <w15:color w:val="DBDBDB"/>
        <w:docPartObj>
          <w:docPartGallery w:val="Table of Contents"/>
          <w:docPartUnique/>
        </w:docPartObj>
      </w:sdtPr>
      <w:sdtEndPr>
        <w:rPr>
          <w:rFonts w:hint="eastAsia" w:ascii="Calibri" w:hAnsi="Calibri" w:eastAsia="宋体" w:cs="Times New Roman"/>
          <w:kern w:val="2"/>
          <w:sz w:val="24"/>
          <w:szCs w:val="24"/>
          <w:highlight w:val="none"/>
          <w:lang w:val="en-US" w:eastAsia="zh-CN" w:bidi="ar-SA"/>
        </w:rPr>
      </w:sdtEndPr>
      <w:sdtContent>
        <w:p>
          <w:pPr>
            <w:spacing w:before="0" w:beforeLines="0" w:after="0" w:afterLines="0" w:line="240" w:lineRule="auto"/>
            <w:ind w:left="0" w:leftChars="0" w:right="0" w:rightChars="0" w:firstLine="0" w:firstLineChars="0"/>
            <w:jc w:val="center"/>
            <w:rPr>
              <w:sz w:val="36"/>
              <w:szCs w:val="36"/>
              <w:highlight w:val="none"/>
            </w:rPr>
          </w:pPr>
          <w:r>
            <w:rPr>
              <w:rFonts w:ascii="宋体" w:hAnsi="宋体" w:eastAsia="宋体"/>
              <w:sz w:val="36"/>
              <w:szCs w:val="36"/>
              <w:highlight w:val="none"/>
            </w:rPr>
            <w:t>目</w:t>
          </w:r>
          <w:r>
            <w:rPr>
              <w:rFonts w:hint="eastAsia" w:ascii="宋体" w:hAnsi="宋体" w:eastAsia="宋体"/>
              <w:sz w:val="36"/>
              <w:szCs w:val="36"/>
              <w:highlight w:val="none"/>
              <w:lang w:val="en-US" w:eastAsia="zh-CN"/>
            </w:rPr>
            <w:t xml:space="preserve">  </w:t>
          </w:r>
          <w:r>
            <w:rPr>
              <w:rFonts w:ascii="宋体" w:hAnsi="宋体" w:eastAsia="宋体"/>
              <w:sz w:val="36"/>
              <w:szCs w:val="36"/>
              <w:highlight w:val="none"/>
            </w:rPr>
            <w:t>录</w:t>
          </w:r>
        </w:p>
        <w:p>
          <w:pPr>
            <w:pStyle w:val="14"/>
            <w:tabs>
              <w:tab w:val="right" w:leader="dot" w:pos="9072"/>
            </w:tabs>
            <w:spacing w:line="360" w:lineRule="auto"/>
            <w:rPr>
              <w:highlight w:val="none"/>
            </w:rPr>
          </w:pPr>
          <w:r>
            <w:rPr>
              <w:rFonts w:hint="eastAsia"/>
              <w:highlight w:val="none"/>
              <w:lang w:eastAsia="zh-CN"/>
            </w:rPr>
            <w:fldChar w:fldCharType="begin"/>
          </w:r>
          <w:r>
            <w:rPr>
              <w:rFonts w:hint="eastAsia"/>
              <w:highlight w:val="none"/>
              <w:lang w:eastAsia="zh-CN"/>
            </w:rPr>
            <w:instrText xml:space="preserve">TOC \o "1-3" \h \u </w:instrText>
          </w:r>
          <w:r>
            <w:rPr>
              <w:rFonts w:hint="eastAsia"/>
              <w:highlight w:val="none"/>
              <w:lang w:eastAsia="zh-CN"/>
            </w:rPr>
            <w:fldChar w:fldCharType="separate"/>
          </w:r>
          <w:r>
            <w:rPr>
              <w:rFonts w:hint="eastAsia"/>
              <w:b/>
              <w:bCs/>
              <w:highlight w:val="none"/>
              <w:lang w:eastAsia="zh-CN"/>
            </w:rPr>
            <w:fldChar w:fldCharType="begin"/>
          </w:r>
          <w:r>
            <w:rPr>
              <w:rFonts w:hint="eastAsia"/>
              <w:b/>
              <w:bCs/>
              <w:highlight w:val="none"/>
              <w:lang w:eastAsia="zh-CN"/>
            </w:rPr>
            <w:instrText xml:space="preserve"> HYPERLINK \l _Toc12258 </w:instrText>
          </w:r>
          <w:r>
            <w:rPr>
              <w:rFonts w:hint="eastAsia"/>
              <w:b/>
              <w:bCs/>
              <w:highlight w:val="none"/>
              <w:lang w:eastAsia="zh-CN"/>
            </w:rPr>
            <w:fldChar w:fldCharType="separate"/>
          </w:r>
          <w:r>
            <w:rPr>
              <w:rFonts w:hint="eastAsia"/>
              <w:b/>
              <w:bCs/>
              <w:szCs w:val="36"/>
              <w:highlight w:val="none"/>
            </w:rPr>
            <w:t>第一章</w:t>
          </w:r>
          <w:r>
            <w:rPr>
              <w:b/>
              <w:bCs/>
              <w:szCs w:val="36"/>
              <w:highlight w:val="none"/>
            </w:rPr>
            <w:t xml:space="preserve">  </w:t>
          </w:r>
          <w:r>
            <w:rPr>
              <w:rFonts w:hint="eastAsia"/>
              <w:b/>
              <w:bCs/>
              <w:szCs w:val="36"/>
              <w:highlight w:val="none"/>
            </w:rPr>
            <w:t>竞争性磋商邀请函</w:t>
          </w:r>
          <w:r>
            <w:rPr>
              <w:b/>
              <w:bCs/>
              <w:highlight w:val="none"/>
            </w:rPr>
            <w:tab/>
          </w:r>
          <w:r>
            <w:rPr>
              <w:b/>
              <w:bCs/>
              <w:highlight w:val="none"/>
            </w:rPr>
            <w:fldChar w:fldCharType="begin"/>
          </w:r>
          <w:r>
            <w:rPr>
              <w:b/>
              <w:bCs/>
              <w:highlight w:val="none"/>
            </w:rPr>
            <w:instrText xml:space="preserve"> PAGEREF _Toc12258 </w:instrText>
          </w:r>
          <w:r>
            <w:rPr>
              <w:b/>
              <w:bCs/>
              <w:highlight w:val="none"/>
            </w:rPr>
            <w:fldChar w:fldCharType="separate"/>
          </w:r>
          <w:r>
            <w:rPr>
              <w:b/>
              <w:bCs/>
              <w:highlight w:val="none"/>
            </w:rPr>
            <w:t>1</w:t>
          </w:r>
          <w:r>
            <w:rPr>
              <w:b/>
              <w:bCs/>
              <w:highlight w:val="none"/>
            </w:rPr>
            <w:fldChar w:fldCharType="end"/>
          </w:r>
          <w:r>
            <w:rPr>
              <w:rFonts w:hint="eastAsia"/>
              <w:b/>
              <w:bCs/>
              <w:highlight w:val="none"/>
              <w:lang w:eastAsia="zh-CN"/>
            </w:rPr>
            <w:fldChar w:fldCharType="end"/>
          </w:r>
        </w:p>
        <w:p>
          <w:pPr>
            <w:pStyle w:val="14"/>
            <w:tabs>
              <w:tab w:val="right" w:leader="dot" w:pos="9072"/>
            </w:tabs>
            <w:spacing w:line="360" w:lineRule="auto"/>
            <w:rPr>
              <w:highlight w:val="none"/>
            </w:rPr>
          </w:pPr>
          <w:r>
            <w:rPr>
              <w:rFonts w:hint="eastAsia"/>
              <w:b/>
              <w:bCs/>
              <w:highlight w:val="none"/>
              <w:lang w:eastAsia="zh-CN"/>
            </w:rPr>
            <w:fldChar w:fldCharType="begin"/>
          </w:r>
          <w:r>
            <w:rPr>
              <w:rFonts w:hint="eastAsia"/>
              <w:b/>
              <w:bCs/>
              <w:highlight w:val="none"/>
              <w:lang w:eastAsia="zh-CN"/>
            </w:rPr>
            <w:instrText xml:space="preserve"> HYPERLINK \l _Toc16369 </w:instrText>
          </w:r>
          <w:r>
            <w:rPr>
              <w:rFonts w:hint="eastAsia"/>
              <w:b/>
              <w:bCs/>
              <w:highlight w:val="none"/>
              <w:lang w:eastAsia="zh-CN"/>
            </w:rPr>
            <w:fldChar w:fldCharType="separate"/>
          </w:r>
          <w:r>
            <w:rPr>
              <w:rFonts w:hint="eastAsia"/>
              <w:b/>
              <w:bCs/>
              <w:szCs w:val="36"/>
              <w:highlight w:val="none"/>
              <w:lang w:val="en-US" w:eastAsia="zh-CN"/>
            </w:rPr>
            <w:t xml:space="preserve">第二章 </w:t>
          </w:r>
          <w:r>
            <w:rPr>
              <w:rFonts w:hint="eastAsia"/>
              <w:b/>
              <w:bCs/>
              <w:szCs w:val="36"/>
              <w:highlight w:val="none"/>
            </w:rPr>
            <w:t>供应商须知</w:t>
          </w:r>
          <w:r>
            <w:rPr>
              <w:b/>
              <w:bCs/>
              <w:highlight w:val="none"/>
            </w:rPr>
            <w:tab/>
          </w:r>
          <w:r>
            <w:rPr>
              <w:b/>
              <w:bCs/>
              <w:highlight w:val="none"/>
            </w:rPr>
            <w:fldChar w:fldCharType="begin"/>
          </w:r>
          <w:r>
            <w:rPr>
              <w:b/>
              <w:bCs/>
              <w:highlight w:val="none"/>
            </w:rPr>
            <w:instrText xml:space="preserve"> PAGEREF _Toc16369 </w:instrText>
          </w:r>
          <w:r>
            <w:rPr>
              <w:b/>
              <w:bCs/>
              <w:highlight w:val="none"/>
            </w:rPr>
            <w:fldChar w:fldCharType="separate"/>
          </w:r>
          <w:r>
            <w:rPr>
              <w:b/>
              <w:bCs/>
              <w:highlight w:val="none"/>
            </w:rPr>
            <w:t>4</w:t>
          </w:r>
          <w:r>
            <w:rPr>
              <w:b/>
              <w:bCs/>
              <w:highlight w:val="none"/>
            </w:rPr>
            <w:fldChar w:fldCharType="end"/>
          </w:r>
          <w:r>
            <w:rPr>
              <w:rFonts w:hint="eastAsia"/>
              <w:b/>
              <w:bCs/>
              <w:highlight w:val="none"/>
              <w:lang w:eastAsia="zh-CN"/>
            </w:rPr>
            <w:fldChar w:fldCharType="end"/>
          </w:r>
        </w:p>
        <w:p>
          <w:pPr>
            <w:pStyle w:val="14"/>
            <w:tabs>
              <w:tab w:val="right" w:leader="dot" w:pos="9072"/>
            </w:tabs>
            <w:spacing w:line="360" w:lineRule="auto"/>
            <w:rPr>
              <w:highlight w:val="none"/>
            </w:rPr>
          </w:pPr>
          <w:r>
            <w:rPr>
              <w:rFonts w:hint="eastAsia"/>
              <w:b/>
              <w:bCs/>
              <w:highlight w:val="none"/>
              <w:lang w:eastAsia="zh-CN"/>
            </w:rPr>
            <w:fldChar w:fldCharType="begin"/>
          </w:r>
          <w:r>
            <w:rPr>
              <w:rFonts w:hint="eastAsia"/>
              <w:b/>
              <w:bCs/>
              <w:highlight w:val="none"/>
              <w:lang w:eastAsia="zh-CN"/>
            </w:rPr>
            <w:instrText xml:space="preserve"> HYPERLINK \l _Toc1290 </w:instrText>
          </w:r>
          <w:r>
            <w:rPr>
              <w:rFonts w:hint="eastAsia"/>
              <w:b/>
              <w:bCs/>
              <w:highlight w:val="none"/>
              <w:lang w:eastAsia="zh-CN"/>
            </w:rPr>
            <w:fldChar w:fldCharType="separate"/>
          </w:r>
          <w:r>
            <w:rPr>
              <w:rFonts w:hint="eastAsia"/>
              <w:b/>
              <w:bCs/>
              <w:szCs w:val="36"/>
              <w:highlight w:val="none"/>
              <w:lang w:val="en-US" w:eastAsia="zh-CN"/>
            </w:rPr>
            <w:t xml:space="preserve">第三章 </w:t>
          </w:r>
          <w:r>
            <w:rPr>
              <w:rFonts w:hint="eastAsia"/>
              <w:b/>
              <w:bCs/>
              <w:szCs w:val="36"/>
              <w:highlight w:val="none"/>
            </w:rPr>
            <w:t>采购需求</w:t>
          </w:r>
          <w:r>
            <w:rPr>
              <w:b/>
              <w:bCs/>
              <w:highlight w:val="none"/>
            </w:rPr>
            <w:tab/>
          </w:r>
          <w:r>
            <w:rPr>
              <w:b/>
              <w:bCs/>
              <w:highlight w:val="none"/>
            </w:rPr>
            <w:fldChar w:fldCharType="begin"/>
          </w:r>
          <w:r>
            <w:rPr>
              <w:b/>
              <w:bCs/>
              <w:highlight w:val="none"/>
            </w:rPr>
            <w:instrText xml:space="preserve"> PAGEREF _Toc1290 </w:instrText>
          </w:r>
          <w:r>
            <w:rPr>
              <w:b/>
              <w:bCs/>
              <w:highlight w:val="none"/>
            </w:rPr>
            <w:fldChar w:fldCharType="separate"/>
          </w:r>
          <w:r>
            <w:rPr>
              <w:b/>
              <w:bCs/>
              <w:highlight w:val="none"/>
            </w:rPr>
            <w:t>21</w:t>
          </w:r>
          <w:r>
            <w:rPr>
              <w:b/>
              <w:bCs/>
              <w:highlight w:val="none"/>
            </w:rPr>
            <w:fldChar w:fldCharType="end"/>
          </w:r>
          <w:r>
            <w:rPr>
              <w:rFonts w:hint="eastAsia"/>
              <w:b/>
              <w:bCs/>
              <w:highlight w:val="none"/>
              <w:lang w:eastAsia="zh-CN"/>
            </w:rPr>
            <w:fldChar w:fldCharType="end"/>
          </w:r>
        </w:p>
        <w:p>
          <w:pPr>
            <w:pStyle w:val="14"/>
            <w:tabs>
              <w:tab w:val="right" w:leader="dot" w:pos="9072"/>
            </w:tabs>
            <w:spacing w:line="360" w:lineRule="auto"/>
            <w:rPr>
              <w:highlight w:val="none"/>
            </w:rPr>
          </w:pPr>
          <w:r>
            <w:rPr>
              <w:rFonts w:hint="eastAsia"/>
              <w:b/>
              <w:bCs/>
              <w:highlight w:val="none"/>
              <w:lang w:eastAsia="zh-CN"/>
            </w:rPr>
            <w:fldChar w:fldCharType="begin"/>
          </w:r>
          <w:r>
            <w:rPr>
              <w:rFonts w:hint="eastAsia"/>
              <w:b/>
              <w:bCs/>
              <w:highlight w:val="none"/>
              <w:lang w:eastAsia="zh-CN"/>
            </w:rPr>
            <w:instrText xml:space="preserve"> HYPERLINK \l _Toc2259 </w:instrText>
          </w:r>
          <w:r>
            <w:rPr>
              <w:rFonts w:hint="eastAsia"/>
              <w:b/>
              <w:bCs/>
              <w:highlight w:val="none"/>
              <w:lang w:eastAsia="zh-CN"/>
            </w:rPr>
            <w:fldChar w:fldCharType="separate"/>
          </w:r>
          <w:r>
            <w:rPr>
              <w:rFonts w:hint="eastAsia"/>
              <w:b/>
              <w:bCs/>
              <w:szCs w:val="36"/>
              <w:highlight w:val="none"/>
              <w:lang w:val="en-US" w:eastAsia="zh-CN"/>
            </w:rPr>
            <w:t xml:space="preserve">第四章 </w:t>
          </w:r>
          <w:r>
            <w:rPr>
              <w:rFonts w:hint="eastAsia"/>
              <w:b/>
              <w:bCs/>
              <w:szCs w:val="36"/>
              <w:highlight w:val="none"/>
            </w:rPr>
            <w:t>竞争性磋商采购评定办法</w:t>
          </w:r>
          <w:r>
            <w:rPr>
              <w:b/>
              <w:bCs/>
              <w:highlight w:val="none"/>
            </w:rPr>
            <w:tab/>
          </w:r>
          <w:r>
            <w:rPr>
              <w:b/>
              <w:bCs/>
              <w:highlight w:val="none"/>
            </w:rPr>
            <w:fldChar w:fldCharType="begin"/>
          </w:r>
          <w:r>
            <w:rPr>
              <w:b/>
              <w:bCs/>
              <w:highlight w:val="none"/>
            </w:rPr>
            <w:instrText xml:space="preserve"> PAGEREF _Toc2259 </w:instrText>
          </w:r>
          <w:r>
            <w:rPr>
              <w:b/>
              <w:bCs/>
              <w:highlight w:val="none"/>
            </w:rPr>
            <w:fldChar w:fldCharType="separate"/>
          </w:r>
          <w:r>
            <w:rPr>
              <w:b/>
              <w:bCs/>
              <w:highlight w:val="none"/>
            </w:rPr>
            <w:t>26</w:t>
          </w:r>
          <w:r>
            <w:rPr>
              <w:b/>
              <w:bCs/>
              <w:highlight w:val="none"/>
            </w:rPr>
            <w:fldChar w:fldCharType="end"/>
          </w:r>
          <w:r>
            <w:rPr>
              <w:rFonts w:hint="eastAsia"/>
              <w:b/>
              <w:bCs/>
              <w:highlight w:val="none"/>
              <w:lang w:eastAsia="zh-CN"/>
            </w:rPr>
            <w:fldChar w:fldCharType="end"/>
          </w:r>
        </w:p>
        <w:p>
          <w:pPr>
            <w:pStyle w:val="14"/>
            <w:tabs>
              <w:tab w:val="right" w:leader="dot" w:pos="9072"/>
            </w:tabs>
            <w:spacing w:line="360" w:lineRule="auto"/>
            <w:rPr>
              <w:highlight w:val="none"/>
            </w:rPr>
          </w:pPr>
          <w:r>
            <w:rPr>
              <w:rFonts w:hint="eastAsia"/>
              <w:b/>
              <w:bCs/>
              <w:highlight w:val="none"/>
              <w:lang w:eastAsia="zh-CN"/>
            </w:rPr>
            <w:fldChar w:fldCharType="begin"/>
          </w:r>
          <w:r>
            <w:rPr>
              <w:rFonts w:hint="eastAsia"/>
              <w:b/>
              <w:bCs/>
              <w:highlight w:val="none"/>
              <w:lang w:eastAsia="zh-CN"/>
            </w:rPr>
            <w:instrText xml:space="preserve"> HYPERLINK \l _Toc29270 </w:instrText>
          </w:r>
          <w:r>
            <w:rPr>
              <w:rFonts w:hint="eastAsia"/>
              <w:b/>
              <w:bCs/>
              <w:highlight w:val="none"/>
              <w:lang w:eastAsia="zh-CN"/>
            </w:rPr>
            <w:fldChar w:fldCharType="separate"/>
          </w:r>
          <w:r>
            <w:rPr>
              <w:rFonts w:hint="eastAsia"/>
              <w:b/>
              <w:bCs/>
              <w:szCs w:val="36"/>
              <w:highlight w:val="none"/>
              <w:lang w:val="en-US" w:eastAsia="zh-CN"/>
            </w:rPr>
            <w:t>第五章 合同书格式</w:t>
          </w:r>
          <w:r>
            <w:rPr>
              <w:b/>
              <w:bCs/>
              <w:highlight w:val="none"/>
            </w:rPr>
            <w:tab/>
          </w:r>
          <w:r>
            <w:rPr>
              <w:b/>
              <w:bCs/>
              <w:highlight w:val="none"/>
            </w:rPr>
            <w:fldChar w:fldCharType="begin"/>
          </w:r>
          <w:r>
            <w:rPr>
              <w:b/>
              <w:bCs/>
              <w:highlight w:val="none"/>
            </w:rPr>
            <w:instrText xml:space="preserve"> PAGEREF _Toc29270 </w:instrText>
          </w:r>
          <w:r>
            <w:rPr>
              <w:b/>
              <w:bCs/>
              <w:highlight w:val="none"/>
            </w:rPr>
            <w:fldChar w:fldCharType="separate"/>
          </w:r>
          <w:r>
            <w:rPr>
              <w:b/>
              <w:bCs/>
              <w:highlight w:val="none"/>
            </w:rPr>
            <w:t>34</w:t>
          </w:r>
          <w:r>
            <w:rPr>
              <w:b/>
              <w:bCs/>
              <w:highlight w:val="none"/>
            </w:rPr>
            <w:fldChar w:fldCharType="end"/>
          </w:r>
          <w:r>
            <w:rPr>
              <w:rFonts w:hint="eastAsia"/>
              <w:b/>
              <w:bCs/>
              <w:highlight w:val="none"/>
              <w:lang w:eastAsia="zh-CN"/>
            </w:rPr>
            <w:fldChar w:fldCharType="end"/>
          </w:r>
        </w:p>
        <w:p>
          <w:pPr>
            <w:pStyle w:val="14"/>
            <w:tabs>
              <w:tab w:val="right" w:leader="dot" w:pos="9072"/>
            </w:tabs>
            <w:spacing w:line="360" w:lineRule="auto"/>
            <w:rPr>
              <w:highlight w:val="none"/>
            </w:rPr>
          </w:pPr>
          <w:r>
            <w:rPr>
              <w:rFonts w:hint="eastAsia"/>
              <w:b/>
              <w:bCs/>
              <w:highlight w:val="none"/>
              <w:lang w:eastAsia="zh-CN"/>
            </w:rPr>
            <w:fldChar w:fldCharType="begin"/>
          </w:r>
          <w:r>
            <w:rPr>
              <w:rFonts w:hint="eastAsia"/>
              <w:b/>
              <w:bCs/>
              <w:highlight w:val="none"/>
              <w:lang w:eastAsia="zh-CN"/>
            </w:rPr>
            <w:instrText xml:space="preserve"> HYPERLINK \l _Toc23429 </w:instrText>
          </w:r>
          <w:r>
            <w:rPr>
              <w:rFonts w:hint="eastAsia"/>
              <w:b/>
              <w:bCs/>
              <w:highlight w:val="none"/>
              <w:lang w:eastAsia="zh-CN"/>
            </w:rPr>
            <w:fldChar w:fldCharType="separate"/>
          </w:r>
          <w:r>
            <w:rPr>
              <w:rFonts w:hint="eastAsia"/>
              <w:b/>
              <w:bCs/>
              <w:highlight w:val="none"/>
              <w:lang w:val="en-US" w:eastAsia="zh-CN"/>
            </w:rPr>
            <w:t>第六章 竞争性磋商响应文件格式</w:t>
          </w:r>
          <w:r>
            <w:rPr>
              <w:b/>
              <w:bCs/>
              <w:highlight w:val="none"/>
            </w:rPr>
            <w:tab/>
          </w:r>
          <w:r>
            <w:rPr>
              <w:b/>
              <w:bCs/>
              <w:highlight w:val="none"/>
            </w:rPr>
            <w:fldChar w:fldCharType="begin"/>
          </w:r>
          <w:r>
            <w:rPr>
              <w:b/>
              <w:bCs/>
              <w:highlight w:val="none"/>
            </w:rPr>
            <w:instrText xml:space="preserve"> PAGEREF _Toc23429 </w:instrText>
          </w:r>
          <w:r>
            <w:rPr>
              <w:b/>
              <w:bCs/>
              <w:highlight w:val="none"/>
            </w:rPr>
            <w:fldChar w:fldCharType="separate"/>
          </w:r>
          <w:r>
            <w:rPr>
              <w:b/>
              <w:bCs/>
              <w:highlight w:val="none"/>
            </w:rPr>
            <w:t>36</w:t>
          </w:r>
          <w:r>
            <w:rPr>
              <w:b/>
              <w:bCs/>
              <w:highlight w:val="none"/>
            </w:rPr>
            <w:fldChar w:fldCharType="end"/>
          </w:r>
          <w:r>
            <w:rPr>
              <w:rFonts w:hint="eastAsia"/>
              <w:b/>
              <w:bCs/>
              <w:highlight w:val="none"/>
              <w:lang w:eastAsia="zh-CN"/>
            </w:rPr>
            <w:fldChar w:fldCharType="end"/>
          </w:r>
        </w:p>
        <w:p>
          <w:pPr>
            <w:pStyle w:val="14"/>
            <w:tabs>
              <w:tab w:val="right" w:leader="dot" w:pos="9072"/>
            </w:tabs>
            <w:spacing w:line="360" w:lineRule="auto"/>
            <w:rPr>
              <w:highlight w:val="none"/>
            </w:rPr>
          </w:pPr>
          <w:r>
            <w:rPr>
              <w:rFonts w:hint="eastAsia"/>
              <w:b/>
              <w:bCs/>
              <w:highlight w:val="none"/>
              <w:lang w:eastAsia="zh-CN"/>
            </w:rPr>
            <w:fldChar w:fldCharType="begin"/>
          </w:r>
          <w:r>
            <w:rPr>
              <w:rFonts w:hint="eastAsia"/>
              <w:b/>
              <w:bCs/>
              <w:highlight w:val="none"/>
              <w:lang w:eastAsia="zh-CN"/>
            </w:rPr>
            <w:instrText xml:space="preserve"> HYPERLINK \l _Toc16978 </w:instrText>
          </w:r>
          <w:r>
            <w:rPr>
              <w:rFonts w:hint="eastAsia"/>
              <w:b/>
              <w:bCs/>
              <w:highlight w:val="none"/>
              <w:lang w:eastAsia="zh-CN"/>
            </w:rPr>
            <w:fldChar w:fldCharType="separate"/>
          </w:r>
          <w:r>
            <w:rPr>
              <w:b/>
              <w:bCs/>
              <w:szCs w:val="28"/>
              <w:highlight w:val="none"/>
              <w:lang w:val="en-US" w:eastAsia="zh-CN"/>
            </w:rPr>
            <w:t>附件</w:t>
          </w:r>
          <w:r>
            <w:rPr>
              <w:rFonts w:hint="eastAsia"/>
              <w:b/>
              <w:bCs/>
              <w:szCs w:val="28"/>
              <w:highlight w:val="none"/>
              <w:lang w:val="en-US" w:eastAsia="zh-CN"/>
            </w:rPr>
            <w:t>1</w:t>
          </w:r>
          <w:r>
            <w:rPr>
              <w:b/>
              <w:bCs/>
              <w:szCs w:val="28"/>
              <w:highlight w:val="none"/>
              <w:lang w:val="en-US" w:eastAsia="zh-CN"/>
            </w:rPr>
            <w:t>：</w:t>
          </w:r>
          <w:r>
            <w:rPr>
              <w:rFonts w:hint="eastAsia"/>
              <w:b/>
              <w:bCs/>
              <w:szCs w:val="28"/>
              <w:highlight w:val="none"/>
              <w:lang w:val="en-US" w:eastAsia="zh-CN"/>
            </w:rPr>
            <w:t>关于印发中小企业划型标准规定的通知</w:t>
          </w:r>
          <w:r>
            <w:rPr>
              <w:b/>
              <w:bCs/>
              <w:highlight w:val="none"/>
            </w:rPr>
            <w:tab/>
          </w:r>
          <w:r>
            <w:rPr>
              <w:b/>
              <w:bCs/>
              <w:highlight w:val="none"/>
            </w:rPr>
            <w:fldChar w:fldCharType="begin"/>
          </w:r>
          <w:r>
            <w:rPr>
              <w:b/>
              <w:bCs/>
              <w:highlight w:val="none"/>
            </w:rPr>
            <w:instrText xml:space="preserve"> PAGEREF _Toc16978 </w:instrText>
          </w:r>
          <w:r>
            <w:rPr>
              <w:b/>
              <w:bCs/>
              <w:highlight w:val="none"/>
            </w:rPr>
            <w:fldChar w:fldCharType="separate"/>
          </w:r>
          <w:r>
            <w:rPr>
              <w:b/>
              <w:bCs/>
              <w:highlight w:val="none"/>
            </w:rPr>
            <w:t>59</w:t>
          </w:r>
          <w:r>
            <w:rPr>
              <w:b/>
              <w:bCs/>
              <w:highlight w:val="none"/>
            </w:rPr>
            <w:fldChar w:fldCharType="end"/>
          </w:r>
          <w:r>
            <w:rPr>
              <w:rFonts w:hint="eastAsia"/>
              <w:b/>
              <w:bCs/>
              <w:highlight w:val="none"/>
              <w:lang w:eastAsia="zh-CN"/>
            </w:rPr>
            <w:fldChar w:fldCharType="end"/>
          </w:r>
        </w:p>
        <w:p>
          <w:pPr>
            <w:pStyle w:val="14"/>
            <w:tabs>
              <w:tab w:val="right" w:leader="dot" w:pos="9072"/>
            </w:tabs>
            <w:spacing w:line="360" w:lineRule="auto"/>
            <w:rPr>
              <w:rFonts w:hint="default"/>
              <w:b/>
              <w:bCs/>
              <w:highlight w:val="none"/>
              <w:lang w:val="en-US" w:eastAsia="zh-CN"/>
            </w:rPr>
          </w:pPr>
        </w:p>
        <w:p>
          <w:pPr>
            <w:pStyle w:val="7"/>
            <w:spacing w:line="360" w:lineRule="auto"/>
            <w:rPr>
              <w:rFonts w:hint="eastAsia"/>
              <w:highlight w:val="none"/>
              <w:lang w:eastAsia="zh-CN"/>
            </w:rPr>
            <w:sectPr>
              <w:footerReference r:id="rId4" w:type="default"/>
              <w:pgSz w:w="11906" w:h="16838"/>
              <w:pgMar w:top="1417" w:right="1417" w:bottom="1417" w:left="1417" w:header="851" w:footer="992" w:gutter="0"/>
              <w:pgNumType w:fmt="decimal" w:start="1"/>
              <w:cols w:space="720" w:num="1"/>
              <w:docGrid w:type="lines" w:linePitch="312" w:charSpace="0"/>
            </w:sectPr>
          </w:pPr>
        </w:p>
        <w:p>
          <w:pPr>
            <w:pStyle w:val="7"/>
            <w:spacing w:line="360" w:lineRule="auto"/>
            <w:rPr>
              <w:highlight w:val="none"/>
            </w:rPr>
          </w:pPr>
          <w:r>
            <w:rPr>
              <w:rFonts w:hint="eastAsia"/>
              <w:highlight w:val="none"/>
              <w:lang w:eastAsia="zh-CN"/>
            </w:rPr>
            <w:fldChar w:fldCharType="end"/>
          </w:r>
          <w:bookmarkStart w:id="0" w:name="_Toc26913"/>
          <w:bookmarkStart w:id="1" w:name="_Toc12258"/>
        </w:p>
      </w:sdtContent>
    </w:sdt>
    <w:p>
      <w:pPr>
        <w:pStyle w:val="7"/>
        <w:spacing w:line="360" w:lineRule="auto"/>
        <w:jc w:val="center"/>
        <w:rPr>
          <w:rFonts w:ascii="宋体" w:cs="宋体"/>
          <w:b/>
          <w:bCs/>
          <w:highlight w:val="none"/>
        </w:rPr>
      </w:pPr>
      <w:r>
        <w:rPr>
          <w:rFonts w:hint="eastAsia"/>
          <w:b/>
          <w:bCs/>
          <w:sz w:val="36"/>
          <w:szCs w:val="36"/>
          <w:highlight w:val="none"/>
        </w:rPr>
        <w:t>第一章</w:t>
      </w:r>
      <w:r>
        <w:rPr>
          <w:b/>
          <w:bCs/>
          <w:sz w:val="36"/>
          <w:szCs w:val="36"/>
          <w:highlight w:val="none"/>
        </w:rPr>
        <w:t xml:space="preserve">  </w:t>
      </w:r>
      <w:r>
        <w:rPr>
          <w:rFonts w:hint="eastAsia"/>
          <w:b/>
          <w:bCs/>
          <w:sz w:val="36"/>
          <w:szCs w:val="36"/>
          <w:highlight w:val="none"/>
        </w:rPr>
        <w:t>竞争性磋商邀请函</w:t>
      </w:r>
      <w:bookmarkEnd w:id="0"/>
      <w:bookmarkEnd w:id="1"/>
    </w:p>
    <w:p>
      <w:pPr>
        <w:spacing w:line="360" w:lineRule="auto"/>
        <w:ind w:firstLine="480" w:firstLineChars="200"/>
        <w:rPr>
          <w:rFonts w:ascii="宋体" w:cs="宋体"/>
          <w:sz w:val="24"/>
          <w:highlight w:val="none"/>
        </w:rPr>
      </w:pPr>
    </w:p>
    <w:p>
      <w:pPr>
        <w:pBdr>
          <w:top w:val="single" w:color="auto" w:sz="4" w:space="1"/>
          <w:left w:val="single" w:color="auto" w:sz="4" w:space="4"/>
          <w:bottom w:val="single" w:color="auto" w:sz="4" w:space="1"/>
          <w:right w:val="single" w:color="auto" w:sz="4" w:space="4"/>
        </w:pBdr>
        <w:spacing w:line="360" w:lineRule="auto"/>
        <w:rPr>
          <w:rFonts w:hint="eastAsia" w:ascii="宋体" w:hAnsi="宋体" w:eastAsia="宋体" w:cs="宋体"/>
          <w:sz w:val="21"/>
          <w:szCs w:val="21"/>
          <w:highlight w:val="none"/>
        </w:rPr>
      </w:pPr>
      <w:bookmarkStart w:id="2" w:name="_Toc348771029"/>
      <w:bookmarkStart w:id="3" w:name="_Toc331407994"/>
      <w:bookmarkStart w:id="4" w:name="_Toc348771115"/>
      <w:bookmarkStart w:id="5" w:name="_Toc317262243"/>
      <w:bookmarkStart w:id="6" w:name="_Toc276368880"/>
      <w:r>
        <w:rPr>
          <w:rFonts w:hint="eastAsia" w:ascii="宋体" w:hAnsi="宋体" w:eastAsia="宋体" w:cs="宋体"/>
          <w:sz w:val="21"/>
          <w:szCs w:val="21"/>
          <w:highlight w:val="none"/>
        </w:rPr>
        <w:t>项目概况</w:t>
      </w:r>
    </w:p>
    <w:p>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u w:val="single"/>
          <w:lang w:val="en-US" w:eastAsia="zh-CN"/>
        </w:rPr>
        <w:t>孝南区2024年度水利工程白蚁等害堤动物危害普查和防治项目</w:t>
      </w:r>
      <w:r>
        <w:rPr>
          <w:rFonts w:hint="eastAsia" w:ascii="宋体" w:hAnsi="宋体" w:eastAsia="宋体" w:cs="宋体"/>
          <w:sz w:val="21"/>
          <w:szCs w:val="21"/>
          <w:highlight w:val="none"/>
        </w:rPr>
        <w:t>的潜在供应商应在</w:t>
      </w:r>
      <w:r>
        <w:rPr>
          <w:rFonts w:hint="eastAsia" w:ascii="宋体" w:hAnsi="宋体" w:eastAsia="宋体" w:cs="宋体"/>
          <w:sz w:val="21"/>
          <w:szCs w:val="21"/>
          <w:highlight w:val="none"/>
          <w:u w:val="single"/>
        </w:rPr>
        <w:t>登录</w:t>
      </w:r>
      <w:r>
        <w:rPr>
          <w:rFonts w:hint="eastAsia" w:ascii="宋体" w:hAnsi="宋体" w:cs="宋体"/>
          <w:sz w:val="21"/>
          <w:szCs w:val="21"/>
          <w:highlight w:val="none"/>
          <w:u w:val="single"/>
          <w:lang w:eastAsia="zh-CN"/>
        </w:rPr>
        <w:t>孝感市孝南区</w:t>
      </w:r>
      <w:r>
        <w:rPr>
          <w:rFonts w:hint="eastAsia" w:ascii="宋体" w:hAnsi="宋体" w:eastAsia="宋体" w:cs="宋体"/>
          <w:sz w:val="21"/>
          <w:szCs w:val="21"/>
          <w:highlight w:val="none"/>
          <w:u w:val="single"/>
        </w:rPr>
        <w:t>政府电子采购平台中下载文件</w:t>
      </w:r>
      <w:r>
        <w:rPr>
          <w:rFonts w:hint="eastAsia" w:ascii="宋体" w:hAnsi="宋体" w:eastAsia="宋体" w:cs="宋体"/>
          <w:sz w:val="21"/>
          <w:szCs w:val="21"/>
          <w:highlight w:val="none"/>
        </w:rPr>
        <w:t>获取采购文件，并于</w:t>
      </w:r>
      <w:r>
        <w:rPr>
          <w:rFonts w:hint="eastAsia" w:ascii="宋体" w:hAnsi="宋体" w:cs="宋体"/>
          <w:sz w:val="21"/>
          <w:szCs w:val="21"/>
          <w:highlight w:val="none"/>
          <w:u w:val="single"/>
          <w:lang w:val="en-US" w:eastAsia="zh-CN"/>
        </w:rPr>
        <w:t xml:space="preserve"> 2024年3月27日09</w:t>
      </w:r>
      <w:r>
        <w:rPr>
          <w:rFonts w:hint="eastAsia" w:ascii="宋体" w:hAnsi="宋体" w:cs="宋体"/>
          <w:sz w:val="21"/>
          <w:szCs w:val="21"/>
          <w:highlight w:val="none"/>
          <w:u w:val="single"/>
          <w:lang w:eastAsia="zh-CN"/>
        </w:rPr>
        <w:t>点</w:t>
      </w:r>
      <w:r>
        <w:rPr>
          <w:rFonts w:hint="eastAsia" w:ascii="宋体" w:hAnsi="宋体" w:cs="宋体"/>
          <w:sz w:val="21"/>
          <w:szCs w:val="21"/>
          <w:highlight w:val="none"/>
          <w:u w:val="single"/>
          <w:lang w:val="en-US" w:eastAsia="zh-CN"/>
        </w:rPr>
        <w:t>00</w:t>
      </w:r>
      <w:r>
        <w:rPr>
          <w:rFonts w:hint="eastAsia" w:ascii="宋体" w:hAnsi="宋体" w:cs="宋体"/>
          <w:sz w:val="21"/>
          <w:szCs w:val="21"/>
          <w:highlight w:val="none"/>
          <w:u w:val="single"/>
          <w:lang w:eastAsia="zh-CN"/>
        </w:rPr>
        <w:t>分</w:t>
      </w:r>
      <w:r>
        <w:rPr>
          <w:rFonts w:hint="eastAsia" w:ascii="宋体" w:hAnsi="宋体" w:eastAsia="宋体" w:cs="宋体"/>
          <w:bCs/>
          <w:sz w:val="21"/>
          <w:szCs w:val="21"/>
          <w:highlight w:val="none"/>
        </w:rPr>
        <w:t>（北京时间）前提交响应文件</w:t>
      </w:r>
      <w:r>
        <w:rPr>
          <w:rFonts w:hint="eastAsia" w:ascii="宋体" w:hAnsi="宋体" w:eastAsia="宋体" w:cs="宋体"/>
          <w:sz w:val="21"/>
          <w:szCs w:val="21"/>
          <w:highlight w:val="none"/>
        </w:rPr>
        <w:t>。</w:t>
      </w:r>
    </w:p>
    <w:p>
      <w:pPr>
        <w:rPr>
          <w:rFonts w:hint="eastAsia" w:ascii="宋体" w:hAnsi="宋体" w:eastAsia="宋体" w:cs="宋体"/>
          <w:sz w:val="21"/>
          <w:szCs w:val="21"/>
          <w:highlight w:val="none"/>
        </w:rPr>
      </w:pPr>
    </w:p>
    <w:p>
      <w:pPr>
        <w:pStyle w:val="3"/>
        <w:bidi w:val="0"/>
        <w:ind w:left="0" w:leftChars="0" w:firstLine="0" w:firstLineChars="0"/>
        <w:jc w:val="both"/>
        <w:rPr>
          <w:rFonts w:hint="eastAsia" w:eastAsia="宋体"/>
          <w:b/>
          <w:bCs/>
          <w:highlight w:val="none"/>
          <w:lang w:eastAsia="zh-CN"/>
        </w:rPr>
      </w:pPr>
      <w:bookmarkStart w:id="7" w:name="_Toc28359089"/>
      <w:bookmarkStart w:id="8" w:name="_Toc28359012"/>
      <w:bookmarkStart w:id="9" w:name="_Toc1987"/>
      <w:bookmarkStart w:id="10" w:name="_Toc35393798"/>
      <w:bookmarkStart w:id="11" w:name="_Toc35393629"/>
      <w:r>
        <w:rPr>
          <w:rFonts w:hint="eastAsia"/>
          <w:b/>
          <w:bCs/>
          <w:highlight w:val="none"/>
        </w:rPr>
        <w:t>一、项目基本情况</w:t>
      </w:r>
      <w:bookmarkEnd w:id="7"/>
      <w:bookmarkEnd w:id="8"/>
      <w:bookmarkEnd w:id="9"/>
      <w:bookmarkEnd w:id="10"/>
      <w:bookmarkEnd w:id="11"/>
      <w:r>
        <w:rPr>
          <w:rFonts w:hint="eastAsia"/>
          <w:b/>
          <w:bCs/>
          <w:highlight w:val="none"/>
          <w:lang w:eastAsia="zh-CN"/>
        </w:rPr>
        <w:t>：</w:t>
      </w:r>
    </w:p>
    <w:p>
      <w:pPr>
        <w:spacing w:line="360" w:lineRule="auto"/>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项目编号：</w:t>
      </w:r>
      <w:r>
        <w:rPr>
          <w:rFonts w:hint="eastAsia" w:ascii="宋体" w:hAnsi="宋体" w:cs="宋体"/>
          <w:sz w:val="21"/>
          <w:szCs w:val="21"/>
          <w:highlight w:val="none"/>
          <w:lang w:val="en-US" w:eastAsia="zh-CN"/>
        </w:rPr>
        <w:t>XNFSCG-2024-0059</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政府采购计划备案号：</w:t>
      </w:r>
      <w:r>
        <w:rPr>
          <w:rFonts w:hint="eastAsia" w:ascii="宋体" w:hAnsi="宋体" w:cs="宋体"/>
          <w:sz w:val="21"/>
          <w:szCs w:val="21"/>
          <w:highlight w:val="none"/>
          <w:lang w:val="en-US" w:eastAsia="zh-CN"/>
        </w:rPr>
        <w:t>420902-2024-00339</w:t>
      </w:r>
    </w:p>
    <w:p>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3</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项目名称：</w:t>
      </w:r>
      <w:r>
        <w:rPr>
          <w:rFonts w:hint="eastAsia" w:ascii="宋体" w:hAnsi="宋体" w:cs="宋体"/>
          <w:sz w:val="21"/>
          <w:szCs w:val="21"/>
          <w:highlight w:val="none"/>
          <w:lang w:val="en-US" w:eastAsia="zh-CN"/>
        </w:rPr>
        <w:t>孝南区2024年度水利工程白蚁等害堤动物危害普查和防治项目</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采购方式：竞争性磋商</w:t>
      </w:r>
    </w:p>
    <w:p>
      <w:pPr>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lang w:val="en-US" w:eastAsia="zh-CN"/>
        </w:rPr>
        <w:t>预算金额：</w:t>
      </w:r>
      <w:r>
        <w:rPr>
          <w:rFonts w:hint="eastAsia" w:ascii="宋体" w:hAnsi="宋体" w:cs="宋体"/>
          <w:sz w:val="21"/>
          <w:szCs w:val="21"/>
          <w:highlight w:val="none"/>
          <w:lang w:val="en-US" w:eastAsia="zh-CN"/>
        </w:rPr>
        <w:t>52万元</w:t>
      </w:r>
      <w:bookmarkStart w:id="477" w:name="_GoBack"/>
      <w:bookmarkEnd w:id="477"/>
    </w:p>
    <w:p>
      <w:pPr>
        <w:spacing w:line="360" w:lineRule="auto"/>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w:t>
      </w:r>
      <w:r>
        <w:rPr>
          <w:rFonts w:hint="eastAsia" w:ascii="宋体" w:hAnsi="宋体" w:cs="宋体"/>
          <w:sz w:val="21"/>
          <w:szCs w:val="21"/>
          <w:highlight w:val="none"/>
          <w:lang w:val="en-US" w:eastAsia="zh-CN"/>
        </w:rPr>
        <w:t>、最高限价：52万元</w:t>
      </w:r>
    </w:p>
    <w:p>
      <w:pPr>
        <w:spacing w:line="360" w:lineRule="auto"/>
        <w:ind w:firstLine="420" w:firstLineChars="200"/>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lang w:eastAsia="zh-CN"/>
        </w:rPr>
        <w:t>采购</w:t>
      </w:r>
      <w:r>
        <w:rPr>
          <w:rFonts w:hint="eastAsia" w:ascii="宋体" w:hAnsi="宋体" w:eastAsia="宋体" w:cs="宋体"/>
          <w:sz w:val="21"/>
          <w:szCs w:val="21"/>
          <w:highlight w:val="none"/>
          <w:lang w:val="en-US" w:eastAsia="zh-CN"/>
        </w:rPr>
        <w:t>需求</w:t>
      </w:r>
      <w:r>
        <w:rPr>
          <w:rFonts w:hint="eastAsia" w:ascii="宋体" w:hAnsi="宋体" w:eastAsia="宋体" w:cs="宋体"/>
          <w:sz w:val="21"/>
          <w:szCs w:val="21"/>
          <w:highlight w:val="none"/>
          <w:lang w:eastAsia="zh-CN"/>
        </w:rPr>
        <w:t xml:space="preserve"> ：</w:t>
      </w:r>
      <w:r>
        <w:rPr>
          <w:rFonts w:hint="eastAsia" w:ascii="宋体" w:hAnsi="宋体" w:cs="宋体"/>
          <w:sz w:val="21"/>
          <w:szCs w:val="21"/>
          <w:highlight w:val="none"/>
          <w:lang w:val="en-US" w:eastAsia="zh-CN"/>
        </w:rPr>
        <w:t>孝南区2024年度水利工程白蚁等害堤动物危害普查和防治，</w:t>
      </w:r>
      <w:r>
        <w:rPr>
          <w:rFonts w:hint="eastAsia" w:ascii="宋体" w:hAnsi="宋体" w:cs="宋体"/>
          <w:sz w:val="21"/>
          <w:szCs w:val="21"/>
          <w:highlight w:val="none"/>
          <w:lang w:eastAsia="zh-CN"/>
        </w:rPr>
        <w:t>详见磋商文件</w:t>
      </w:r>
    </w:p>
    <w:p>
      <w:pPr>
        <w:spacing w:line="360" w:lineRule="auto"/>
        <w:ind w:firstLine="420" w:firstLineChars="200"/>
        <w:rPr>
          <w:rFonts w:hint="default" w:ascii="宋体" w:hAnsi="宋体" w:eastAsia="宋体" w:cs="宋体"/>
          <w:sz w:val="21"/>
          <w:szCs w:val="21"/>
          <w:highlight w:val="none"/>
          <w:shd w:val="clear" w:fill="FFFF00"/>
          <w:lang w:val="en-US" w:eastAsia="zh-CN"/>
        </w:rPr>
      </w:pPr>
      <w:r>
        <w:rPr>
          <w:rFonts w:hint="eastAsia" w:ascii="宋体" w:hAnsi="宋体" w:eastAsia="宋体" w:cs="宋体"/>
          <w:sz w:val="21"/>
          <w:szCs w:val="21"/>
          <w:highlight w:val="none"/>
          <w:lang w:val="en-US" w:eastAsia="zh-CN"/>
        </w:rPr>
        <w:t>8、合同履行期：</w:t>
      </w:r>
      <w:r>
        <w:rPr>
          <w:rFonts w:hint="eastAsia" w:ascii="宋体" w:hAnsi="宋体" w:cs="宋体"/>
          <w:sz w:val="21"/>
          <w:szCs w:val="21"/>
          <w:highlight w:val="none"/>
          <w:lang w:val="en-US" w:eastAsia="zh-CN"/>
        </w:rPr>
        <w:t>1年</w:t>
      </w:r>
    </w:p>
    <w:p>
      <w:pPr>
        <w:spacing w:line="360" w:lineRule="auto"/>
        <w:ind w:firstLine="420" w:firstLineChars="200"/>
        <w:rPr>
          <w:rFonts w:hint="eastAsia" w:ascii="宋体" w:hAnsi="宋体" w:eastAsia="宋体" w:cs="宋体"/>
          <w:sz w:val="21"/>
          <w:szCs w:val="21"/>
          <w:highlight w:val="none"/>
          <w:lang w:val="en-US" w:eastAsia="zh-CN"/>
        </w:rPr>
      </w:pPr>
      <w:bookmarkStart w:id="12" w:name="_Toc15511"/>
      <w:bookmarkStart w:id="13" w:name="_Toc23151"/>
      <w:bookmarkStart w:id="14" w:name="_Toc28359013"/>
      <w:bookmarkStart w:id="15" w:name="_Toc35393799"/>
      <w:bookmarkStart w:id="16" w:name="_Toc35393630"/>
      <w:bookmarkStart w:id="17" w:name="_Toc28359090"/>
      <w:r>
        <w:rPr>
          <w:rFonts w:hint="eastAsia" w:ascii="宋体" w:hAnsi="宋体" w:eastAsia="宋体" w:cs="宋体"/>
          <w:sz w:val="21"/>
          <w:szCs w:val="21"/>
          <w:highlight w:val="none"/>
          <w:lang w:val="en-US" w:eastAsia="zh-CN"/>
        </w:rPr>
        <w:t>9、本项目（是/否）接受联合体投标：否</w:t>
      </w:r>
      <w:bookmarkEnd w:id="12"/>
      <w:bookmarkEnd w:id="13"/>
    </w:p>
    <w:p>
      <w:pPr>
        <w:spacing w:line="360" w:lineRule="auto"/>
        <w:ind w:firstLine="420" w:firstLineChars="200"/>
        <w:rPr>
          <w:rFonts w:hint="eastAsia" w:ascii="宋体" w:hAnsi="宋体" w:eastAsia="宋体" w:cs="宋体"/>
          <w:sz w:val="21"/>
          <w:szCs w:val="21"/>
          <w:highlight w:val="none"/>
          <w:lang w:val="en-US" w:eastAsia="zh-CN"/>
        </w:rPr>
      </w:pPr>
      <w:bookmarkStart w:id="18" w:name="_Toc9894"/>
      <w:bookmarkStart w:id="19" w:name="_Toc10332"/>
      <w:r>
        <w:rPr>
          <w:rFonts w:hint="eastAsia" w:ascii="宋体" w:hAnsi="宋体" w:eastAsia="宋体" w:cs="宋体"/>
          <w:sz w:val="21"/>
          <w:szCs w:val="21"/>
          <w:highlight w:val="none"/>
          <w:lang w:val="en-US" w:eastAsia="zh-CN"/>
        </w:rPr>
        <w:t>10、是否可采购进口产品：否</w:t>
      </w:r>
      <w:bookmarkEnd w:id="18"/>
      <w:bookmarkEnd w:id="19"/>
    </w:p>
    <w:p>
      <w:pPr>
        <w:spacing w:line="360" w:lineRule="auto"/>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11、本项目（是/否）接受合同分包：否</w:t>
      </w:r>
    </w:p>
    <w:p>
      <w:pPr>
        <w:spacing w:line="360" w:lineRule="auto"/>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12、本项目（是/否）专门面向中小微企业：是</w:t>
      </w:r>
    </w:p>
    <w:p>
      <w:pPr>
        <w:spacing w:line="360" w:lineRule="auto"/>
        <w:ind w:firstLine="420" w:firstLineChars="200"/>
        <w:rPr>
          <w:rFonts w:hint="default"/>
          <w:highlight w:val="none"/>
          <w:lang w:val="en-US" w:eastAsia="zh-CN"/>
        </w:rPr>
      </w:pPr>
      <w:r>
        <w:rPr>
          <w:rFonts w:hint="eastAsia" w:ascii="宋体" w:hAnsi="宋体" w:cs="宋体"/>
          <w:sz w:val="21"/>
          <w:szCs w:val="21"/>
          <w:highlight w:val="none"/>
          <w:lang w:val="en-US" w:eastAsia="zh-CN"/>
        </w:rPr>
        <w:t>13、面向中小微企业的类型为：小微企业</w:t>
      </w:r>
    </w:p>
    <w:p>
      <w:pPr>
        <w:pStyle w:val="3"/>
        <w:bidi w:val="0"/>
        <w:ind w:left="0" w:leftChars="0" w:firstLine="0" w:firstLineChars="0"/>
        <w:rPr>
          <w:rFonts w:hint="eastAsia"/>
          <w:b/>
          <w:bCs/>
          <w:highlight w:val="none"/>
        </w:rPr>
      </w:pPr>
      <w:bookmarkStart w:id="20" w:name="_Toc21765"/>
      <w:r>
        <w:rPr>
          <w:rFonts w:hint="eastAsia"/>
          <w:b/>
          <w:bCs/>
          <w:highlight w:val="none"/>
        </w:rPr>
        <w:t>二、申请人的资格要求：</w:t>
      </w:r>
      <w:bookmarkEnd w:id="14"/>
      <w:bookmarkEnd w:id="15"/>
      <w:bookmarkEnd w:id="16"/>
      <w:bookmarkEnd w:id="17"/>
      <w:bookmarkEnd w:id="20"/>
    </w:p>
    <w:p>
      <w:pPr>
        <w:spacing w:line="360" w:lineRule="auto"/>
        <w:ind w:firstLine="420" w:firstLineChars="200"/>
        <w:rPr>
          <w:rFonts w:hint="eastAsia" w:ascii="宋体" w:hAnsi="宋体" w:eastAsia="宋体" w:cs="宋体"/>
          <w:sz w:val="21"/>
          <w:szCs w:val="21"/>
          <w:highlight w:val="none"/>
        </w:rPr>
      </w:pPr>
      <w:bookmarkStart w:id="21" w:name="_Toc28359091"/>
      <w:bookmarkStart w:id="22" w:name="_Toc28359014"/>
      <w:r>
        <w:rPr>
          <w:rFonts w:hint="eastAsia" w:ascii="宋体" w:hAnsi="宋体" w:eastAsia="宋体" w:cs="宋体"/>
          <w:sz w:val="21"/>
          <w:szCs w:val="21"/>
          <w:highlight w:val="none"/>
        </w:rPr>
        <w:t>1、满足《中华人民共和国政府采购法》第二十二条规定，即：</w:t>
      </w:r>
    </w:p>
    <w:p>
      <w:pPr>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（1）具有独立承担民事责任的能力</w:t>
      </w:r>
      <w:r>
        <w:rPr>
          <w:rFonts w:hint="eastAsia" w:ascii="宋体" w:hAnsi="宋体" w:eastAsia="宋体" w:cs="宋体"/>
          <w:sz w:val="21"/>
          <w:szCs w:val="21"/>
          <w:highlight w:val="none"/>
          <w:lang w:val="en-US" w:eastAsia="zh-CN"/>
        </w:rPr>
        <w:t>；</w:t>
      </w:r>
    </w:p>
    <w:p>
      <w:pPr>
        <w:spacing w:line="360" w:lineRule="auto"/>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 xml:space="preserve">（2）具有良好的商业信誉和健全的财务会计制度； </w:t>
      </w:r>
    </w:p>
    <w:p>
      <w:pPr>
        <w:spacing w:line="360" w:lineRule="auto"/>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（3）具有履行合同所必需的设备和专业技术能力；</w:t>
      </w:r>
    </w:p>
    <w:p>
      <w:pPr>
        <w:spacing w:line="360" w:lineRule="auto"/>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（4）有依法缴纳税收和社会保障资金的良好记录；</w:t>
      </w:r>
    </w:p>
    <w:p>
      <w:pPr>
        <w:spacing w:line="360" w:lineRule="auto"/>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（5）参加政府采购活动前三年内，在经营活动中没有重大违法记录；</w:t>
      </w:r>
    </w:p>
    <w:p>
      <w:pPr>
        <w:spacing w:line="360" w:lineRule="auto"/>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（6）法律、行政法规规定的其他条件。</w:t>
      </w:r>
    </w:p>
    <w:p>
      <w:pPr>
        <w:spacing w:line="360" w:lineRule="auto"/>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2、单位负责人为同一人或者存在直接控股、管理关系的不同投标人，不得参加本项目同一合同项下的政府采购活动。</w:t>
      </w:r>
    </w:p>
    <w:p>
      <w:pPr>
        <w:spacing w:line="360" w:lineRule="auto"/>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3、为本采购项目提供整体设计、规范编制或者项目管理、监理、检测等服务的，不得再参加本项目的其他招标采购活动。</w:t>
      </w:r>
    </w:p>
    <w:p>
      <w:pPr>
        <w:spacing w:line="360" w:lineRule="auto"/>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4、未被列入失信被执行人、重大税收违法失信主体，未被列入政府采购严重违法失信行为记录名单。</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5、落实政府采购政策需满足的资格要求：</w:t>
      </w:r>
    </w:p>
    <w:p>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cs="宋体"/>
          <w:highlight w:val="none"/>
          <w:lang w:val="en-US" w:eastAsia="zh-CN"/>
        </w:rPr>
        <w:t>本项目专门面向小微企业，</w:t>
      </w:r>
      <w:r>
        <w:rPr>
          <w:rFonts w:hint="eastAsia" w:ascii="宋体" w:hAnsi="宋体" w:eastAsia="宋体" w:cs="宋体"/>
          <w:sz w:val="21"/>
          <w:szCs w:val="21"/>
          <w:highlight w:val="none"/>
        </w:rPr>
        <w:t>落实政府采购强制、优先采购节能产品政策；政府采购优先采购环保产品政策；政府采购促进中小企业发展（监狱企业、残疾人福利性单位视同小微企业）等政策</w:t>
      </w:r>
      <w:r>
        <w:rPr>
          <w:rFonts w:hint="eastAsia" w:ascii="宋体" w:hAnsi="宋体" w:cs="宋体"/>
          <w:sz w:val="21"/>
          <w:szCs w:val="21"/>
          <w:highlight w:val="none"/>
          <w:lang w:eastAsia="zh-CN"/>
        </w:rPr>
        <w:t>。</w:t>
      </w:r>
    </w:p>
    <w:p>
      <w:pPr>
        <w:spacing w:line="360" w:lineRule="auto"/>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6.本项目的特定资格要求：</w:t>
      </w:r>
    </w:p>
    <w:p>
      <w:pPr>
        <w:pStyle w:val="3"/>
        <w:bidi w:val="0"/>
        <w:spacing w:line="360" w:lineRule="auto"/>
        <w:ind w:left="0" w:leftChars="0" w:firstLine="420" w:firstLineChars="200"/>
        <w:rPr>
          <w:rFonts w:hint="eastAsia" w:ascii="宋体" w:hAnsi="宋体" w:eastAsia="宋体" w:cs="宋体"/>
          <w:b w:val="0"/>
          <w:bCs w:val="0"/>
          <w:sz w:val="21"/>
          <w:szCs w:val="21"/>
          <w:highlight w:val="none"/>
          <w:lang w:eastAsia="zh-CN"/>
        </w:rPr>
      </w:pPr>
      <w:bookmarkStart w:id="23" w:name="_Toc35393800"/>
      <w:bookmarkStart w:id="24" w:name="_Toc12722"/>
      <w:bookmarkStart w:id="25" w:name="_Toc35393631"/>
      <w:r>
        <w:rPr>
          <w:rFonts w:hint="eastAsia" w:ascii="宋体" w:hAnsi="宋体" w:eastAsia="宋体" w:cs="宋体"/>
          <w:b w:val="0"/>
          <w:bCs w:val="0"/>
          <w:sz w:val="21"/>
          <w:szCs w:val="21"/>
          <w:highlight w:val="none"/>
        </w:rPr>
        <w:t>（1）供应商未被列入“信用中国”网站(www.creditchina.gov.cn)失信被执行人、</w:t>
      </w:r>
      <w:r>
        <w:rPr>
          <w:rFonts w:hint="eastAsia" w:ascii="宋体" w:hAnsi="宋体" w:cs="宋体"/>
          <w:b w:val="0"/>
          <w:bCs w:val="0"/>
          <w:sz w:val="21"/>
          <w:szCs w:val="21"/>
          <w:highlight w:val="none"/>
          <w:lang w:eastAsia="zh-CN"/>
        </w:rPr>
        <w:t>重大税收违法失信主体</w:t>
      </w:r>
      <w:r>
        <w:rPr>
          <w:rFonts w:hint="eastAsia" w:ascii="宋体" w:hAnsi="宋体" w:eastAsia="宋体" w:cs="宋体"/>
          <w:b w:val="0"/>
          <w:bCs w:val="0"/>
          <w:sz w:val="21"/>
          <w:szCs w:val="21"/>
          <w:highlight w:val="none"/>
        </w:rPr>
        <w:t>、政府采购严重违法失信行为记录名单和“中国政府采购”网站（www.ccgp.gov.cn）政府采购严重违法失信行为记录名单；</w:t>
      </w:r>
      <w:r>
        <w:rPr>
          <w:rFonts w:hint="eastAsia" w:ascii="宋体" w:hAnsi="宋体" w:eastAsia="宋体" w:cs="宋体"/>
          <w:b w:val="0"/>
          <w:bCs w:val="0"/>
          <w:sz w:val="21"/>
          <w:szCs w:val="21"/>
          <w:highlight w:val="none"/>
          <w:lang w:val="en-US" w:eastAsia="zh-CN"/>
        </w:rPr>
        <w:t>供应商应提供“信用中国”中的“信用报告”。</w:t>
      </w:r>
    </w:p>
    <w:p>
      <w:pPr>
        <w:pStyle w:val="3"/>
        <w:bidi w:val="0"/>
        <w:spacing w:line="360" w:lineRule="auto"/>
        <w:ind w:left="0" w:leftChars="0" w:firstLine="420" w:firstLineChars="200"/>
        <w:rPr>
          <w:rFonts w:hint="eastAsia"/>
          <w:b/>
          <w:bCs/>
          <w:highlight w:val="none"/>
        </w:rPr>
      </w:pPr>
      <w:r>
        <w:rPr>
          <w:rFonts w:hint="eastAsia" w:ascii="宋体" w:hAnsi="宋体" w:eastAsia="宋体" w:cs="宋体"/>
          <w:b w:val="0"/>
          <w:bCs w:val="0"/>
          <w:sz w:val="21"/>
          <w:szCs w:val="21"/>
          <w:highlight w:val="none"/>
        </w:rPr>
        <w:t>资格要求为本次项目供应商应具备的基本条件，参加磋商报价的供应商必须满足资格要求中的所有条款，并按照相关规定在响应文件中递交资格证明文件</w:t>
      </w:r>
      <w:r>
        <w:rPr>
          <w:rFonts w:hint="eastAsia"/>
          <w:b/>
          <w:bCs/>
          <w:highlight w:val="none"/>
        </w:rPr>
        <w:t>。</w:t>
      </w:r>
    </w:p>
    <w:p>
      <w:pPr>
        <w:pStyle w:val="3"/>
        <w:bidi w:val="0"/>
        <w:spacing w:line="360" w:lineRule="auto"/>
        <w:ind w:left="0" w:leftChars="0" w:firstLine="0" w:firstLineChars="0"/>
        <w:rPr>
          <w:rFonts w:hint="eastAsia"/>
          <w:b/>
          <w:bCs/>
          <w:highlight w:val="none"/>
        </w:rPr>
      </w:pPr>
      <w:r>
        <w:rPr>
          <w:rFonts w:hint="eastAsia"/>
          <w:b/>
          <w:bCs/>
          <w:highlight w:val="none"/>
        </w:rPr>
        <w:t>三、获取采购文件</w:t>
      </w:r>
      <w:bookmarkEnd w:id="21"/>
      <w:bookmarkEnd w:id="22"/>
      <w:bookmarkEnd w:id="23"/>
      <w:bookmarkEnd w:id="24"/>
      <w:bookmarkEnd w:id="25"/>
    </w:p>
    <w:p>
      <w:pPr>
        <w:spacing w:line="360" w:lineRule="auto"/>
        <w:ind w:firstLine="539"/>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rPr>
        <w:t>时间：</w:t>
      </w:r>
      <w:r>
        <w:rPr>
          <w:rFonts w:hint="eastAsia" w:ascii="宋体" w:hAnsi="宋体" w:cs="宋体"/>
          <w:sz w:val="21"/>
          <w:szCs w:val="21"/>
          <w:highlight w:val="none"/>
          <w:lang w:val="en-US" w:eastAsia="zh-CN"/>
        </w:rPr>
        <w:t>2024年3月18日至 2024年3月22日</w:t>
      </w:r>
      <w:r>
        <w:rPr>
          <w:rFonts w:hint="eastAsia" w:ascii="宋体" w:hAnsi="宋体" w:eastAsia="宋体" w:cs="宋体"/>
          <w:sz w:val="21"/>
          <w:szCs w:val="21"/>
          <w:highlight w:val="none"/>
        </w:rPr>
        <w:t>，每天上午00:00至12:00，下午1</w:t>
      </w: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rPr>
        <w:t>:00至2</w:t>
      </w: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rPr>
        <w:t>:00（北京时间，法定节假日除外）</w:t>
      </w:r>
    </w:p>
    <w:p>
      <w:pPr>
        <w:spacing w:line="360" w:lineRule="auto"/>
        <w:ind w:firstLine="539"/>
        <w:rPr>
          <w:rFonts w:hint="eastAsia" w:ascii="宋体" w:hAnsi="宋体" w:eastAsia="宋体" w:cs="宋体"/>
          <w:sz w:val="21"/>
          <w:szCs w:val="21"/>
          <w:highlight w:val="none"/>
          <w:u w:val="single"/>
          <w:lang w:eastAsia="zh-CN"/>
        </w:rPr>
      </w:pP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rPr>
        <w:t>地点：登录</w:t>
      </w:r>
      <w:r>
        <w:rPr>
          <w:rFonts w:hint="eastAsia" w:ascii="宋体" w:hAnsi="宋体" w:cs="宋体"/>
          <w:sz w:val="21"/>
          <w:szCs w:val="21"/>
          <w:highlight w:val="none"/>
          <w:lang w:eastAsia="zh-CN"/>
        </w:rPr>
        <w:t>孝感市孝南区</w:t>
      </w:r>
      <w:r>
        <w:rPr>
          <w:rFonts w:hint="eastAsia" w:ascii="宋体" w:hAnsi="宋体" w:eastAsia="宋体" w:cs="宋体"/>
          <w:sz w:val="21"/>
          <w:szCs w:val="21"/>
          <w:highlight w:val="none"/>
        </w:rPr>
        <w:t>政府电子采购平台中下载文件</w:t>
      </w:r>
    </w:p>
    <w:p>
      <w:pPr>
        <w:spacing w:line="360" w:lineRule="auto"/>
        <w:ind w:firstLine="539"/>
        <w:rPr>
          <w:rFonts w:hint="eastAsia" w:ascii="宋体" w:hAnsi="宋体" w:eastAsia="宋体" w:cs="宋体"/>
          <w:sz w:val="21"/>
          <w:szCs w:val="21"/>
          <w:highlight w:val="none"/>
          <w:u w:val="single"/>
          <w:lang w:eastAsia="zh-CN"/>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rPr>
        <w:t>方式：使用电子秘钥登录</w:t>
      </w:r>
      <w:r>
        <w:rPr>
          <w:rFonts w:hint="eastAsia" w:ascii="宋体" w:hAnsi="宋体" w:cs="宋体"/>
          <w:sz w:val="21"/>
          <w:szCs w:val="21"/>
          <w:highlight w:val="none"/>
          <w:lang w:eastAsia="zh-CN"/>
        </w:rPr>
        <w:t>孝感市孝南区</w:t>
      </w:r>
      <w:r>
        <w:rPr>
          <w:rFonts w:hint="eastAsia" w:ascii="宋体" w:hAnsi="宋体" w:eastAsia="宋体" w:cs="宋体"/>
          <w:sz w:val="21"/>
          <w:szCs w:val="21"/>
          <w:highlight w:val="none"/>
        </w:rPr>
        <w:t>政府电子采购平台下载招标文件，潜在投标人应是</w:t>
      </w:r>
      <w:r>
        <w:rPr>
          <w:rFonts w:hint="eastAsia" w:ascii="宋体" w:hAnsi="宋体" w:cs="宋体"/>
          <w:sz w:val="21"/>
          <w:szCs w:val="21"/>
          <w:highlight w:val="none"/>
          <w:lang w:eastAsia="zh-CN"/>
        </w:rPr>
        <w:t>孝感市孝南区</w:t>
      </w:r>
      <w:r>
        <w:rPr>
          <w:rFonts w:hint="eastAsia" w:ascii="宋体" w:hAnsi="宋体" w:eastAsia="宋体" w:cs="宋体"/>
          <w:sz w:val="21"/>
          <w:szCs w:val="21"/>
          <w:highlight w:val="none"/>
        </w:rPr>
        <w:t>政府电子采购平台注册供应商，在获取招标文件时间内通过</w:t>
      </w:r>
      <w:r>
        <w:rPr>
          <w:rFonts w:hint="eastAsia" w:ascii="宋体" w:hAnsi="宋体" w:cs="宋体"/>
          <w:sz w:val="21"/>
          <w:szCs w:val="21"/>
          <w:highlight w:val="none"/>
          <w:lang w:eastAsia="zh-CN"/>
        </w:rPr>
        <w:t>孝感市孝南区</w:t>
      </w:r>
      <w:r>
        <w:rPr>
          <w:rFonts w:hint="eastAsia" w:ascii="宋体" w:hAnsi="宋体" w:eastAsia="宋体" w:cs="宋体"/>
          <w:sz w:val="21"/>
          <w:szCs w:val="21"/>
          <w:highlight w:val="none"/>
        </w:rPr>
        <w:t>政府电子采购平台点击项目参与(未在获取招标文件时间内点击项目参与的投标人将无法提交投标文件)。非注册供应商应办理注册手续。注册网站：</w:t>
      </w:r>
      <w:r>
        <w:rPr>
          <w:rFonts w:hint="eastAsia" w:ascii="宋体" w:hAnsi="宋体" w:cs="宋体"/>
          <w:sz w:val="21"/>
          <w:szCs w:val="21"/>
          <w:highlight w:val="none"/>
          <w:lang w:eastAsia="zh-CN"/>
        </w:rPr>
        <w:t>孝感市孝南区</w:t>
      </w:r>
      <w:r>
        <w:rPr>
          <w:rFonts w:hint="eastAsia" w:ascii="宋体" w:hAnsi="宋体" w:eastAsia="宋体" w:cs="宋体"/>
          <w:sz w:val="21"/>
          <w:szCs w:val="21"/>
          <w:highlight w:val="none"/>
        </w:rPr>
        <w:t>政府电子采购平台（</w:t>
      </w:r>
      <w:r>
        <w:rPr>
          <w:rFonts w:hint="eastAsia" w:ascii="宋体" w:hAnsi="宋体" w:cs="宋体"/>
          <w:sz w:val="21"/>
          <w:szCs w:val="21"/>
          <w:highlight w:val="none"/>
          <w:lang w:eastAsia="zh-CN"/>
        </w:rPr>
        <w:t>https://sso.hubeigp.gov.cn/checkLogin?sourceURL=https%3A%2F%2Fdzcg.hubeigp.gov.cn%2Flogon&amp;cloudid=143</w:t>
      </w:r>
      <w:r>
        <w:rPr>
          <w:rFonts w:hint="eastAsia" w:ascii="宋体" w:hAnsi="宋体" w:eastAsia="宋体" w:cs="宋体"/>
          <w:sz w:val="21"/>
          <w:szCs w:val="21"/>
          <w:highlight w:val="none"/>
        </w:rPr>
        <w:t>），注册咨询联系电话：0712-5866566。</w:t>
      </w:r>
    </w:p>
    <w:p>
      <w:pPr>
        <w:spacing w:line="360" w:lineRule="auto"/>
        <w:ind w:firstLine="539"/>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rPr>
        <w:t>售价：</w:t>
      </w:r>
      <w:r>
        <w:rPr>
          <w:rFonts w:hint="eastAsia" w:ascii="宋体" w:hAnsi="宋体" w:cs="宋体"/>
          <w:sz w:val="21"/>
          <w:szCs w:val="21"/>
          <w:highlight w:val="none"/>
          <w:lang w:val="en-US" w:eastAsia="zh-CN"/>
        </w:rPr>
        <w:t>0</w:t>
      </w:r>
      <w:r>
        <w:rPr>
          <w:rFonts w:hint="eastAsia" w:ascii="宋体" w:hAnsi="宋体" w:eastAsia="宋体" w:cs="宋体"/>
          <w:sz w:val="21"/>
          <w:szCs w:val="21"/>
          <w:highlight w:val="none"/>
        </w:rPr>
        <w:t>元/份</w:t>
      </w:r>
    </w:p>
    <w:p>
      <w:pPr>
        <w:pStyle w:val="3"/>
        <w:bidi w:val="0"/>
        <w:spacing w:line="360" w:lineRule="auto"/>
        <w:ind w:left="0" w:leftChars="0" w:firstLine="0" w:firstLineChars="0"/>
        <w:rPr>
          <w:rFonts w:hint="eastAsia"/>
          <w:b/>
          <w:bCs/>
          <w:highlight w:val="none"/>
        </w:rPr>
      </w:pPr>
      <w:bookmarkStart w:id="26" w:name="_Toc35393801"/>
      <w:bookmarkStart w:id="27" w:name="_Toc7166"/>
      <w:bookmarkStart w:id="28" w:name="_Toc28359015"/>
      <w:bookmarkStart w:id="29" w:name="_Toc35393632"/>
      <w:bookmarkStart w:id="30" w:name="_Toc28359092"/>
      <w:r>
        <w:rPr>
          <w:rFonts w:hint="eastAsia"/>
          <w:b/>
          <w:bCs/>
          <w:highlight w:val="none"/>
        </w:rPr>
        <w:t>四、响应文件提交</w:t>
      </w:r>
      <w:bookmarkEnd w:id="26"/>
      <w:bookmarkEnd w:id="27"/>
      <w:bookmarkEnd w:id="28"/>
      <w:bookmarkEnd w:id="29"/>
      <w:bookmarkEnd w:id="30"/>
    </w:p>
    <w:p>
      <w:pPr>
        <w:spacing w:line="360" w:lineRule="auto"/>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eastAsia="zh-CN"/>
        </w:rPr>
        <w:t>开始</w:t>
      </w:r>
      <w:r>
        <w:rPr>
          <w:rFonts w:hint="eastAsia" w:ascii="宋体" w:hAnsi="宋体" w:eastAsia="宋体" w:cs="宋体"/>
          <w:sz w:val="21"/>
          <w:szCs w:val="21"/>
          <w:highlight w:val="none"/>
        </w:rPr>
        <w:t>时间：</w:t>
      </w:r>
      <w:r>
        <w:rPr>
          <w:rFonts w:hint="eastAsia" w:ascii="宋体" w:hAnsi="宋体" w:cs="宋体"/>
          <w:sz w:val="21"/>
          <w:szCs w:val="21"/>
          <w:highlight w:val="none"/>
          <w:lang w:val="en-US" w:eastAsia="zh-CN"/>
        </w:rPr>
        <w:t>2024年3月23日</w:t>
      </w:r>
      <w:r>
        <w:rPr>
          <w:rFonts w:hint="eastAsia" w:ascii="宋体" w:hAnsi="宋体" w:cs="宋体"/>
          <w:sz w:val="21"/>
          <w:szCs w:val="21"/>
          <w:highlight w:val="none"/>
          <w:u w:val="none"/>
          <w:lang w:val="en-US" w:eastAsia="zh-CN"/>
        </w:rPr>
        <w:t xml:space="preserve"> 00  </w:t>
      </w:r>
      <w:r>
        <w:rPr>
          <w:rFonts w:hint="eastAsia" w:ascii="宋体" w:hAnsi="宋体" w:cs="宋体"/>
          <w:sz w:val="21"/>
          <w:szCs w:val="21"/>
          <w:highlight w:val="none"/>
          <w:u w:val="none"/>
          <w:lang w:eastAsia="zh-CN"/>
        </w:rPr>
        <w:t>点</w:t>
      </w:r>
      <w:r>
        <w:rPr>
          <w:rFonts w:hint="eastAsia" w:ascii="宋体" w:hAnsi="宋体" w:cs="宋体"/>
          <w:sz w:val="21"/>
          <w:szCs w:val="21"/>
          <w:highlight w:val="none"/>
          <w:u w:val="none"/>
          <w:lang w:val="en-US" w:eastAsia="zh-CN"/>
        </w:rPr>
        <w:t xml:space="preserve"> 00  </w:t>
      </w:r>
      <w:r>
        <w:rPr>
          <w:rFonts w:hint="eastAsia" w:ascii="宋体" w:hAnsi="宋体" w:cs="宋体"/>
          <w:sz w:val="21"/>
          <w:szCs w:val="21"/>
          <w:highlight w:val="none"/>
          <w:u w:val="none"/>
          <w:lang w:eastAsia="zh-CN"/>
        </w:rPr>
        <w:t>分</w:t>
      </w:r>
      <w:r>
        <w:rPr>
          <w:rFonts w:hint="eastAsia" w:ascii="宋体" w:hAnsi="宋体" w:eastAsia="宋体" w:cs="宋体"/>
          <w:bCs/>
          <w:sz w:val="21"/>
          <w:szCs w:val="21"/>
          <w:highlight w:val="none"/>
        </w:rPr>
        <w:t>（北京时间）</w:t>
      </w:r>
    </w:p>
    <w:p>
      <w:pPr>
        <w:spacing w:line="360" w:lineRule="auto"/>
        <w:ind w:firstLine="420" w:firstLineChars="200"/>
        <w:rPr>
          <w:rFonts w:hint="eastAsia" w:ascii="宋体" w:hAnsi="宋体" w:eastAsia="宋体" w:cs="宋体"/>
          <w:bCs/>
          <w:sz w:val="21"/>
          <w:szCs w:val="21"/>
          <w:highlight w:val="none"/>
          <w:u w:val="single"/>
        </w:rPr>
      </w:pPr>
      <w:r>
        <w:rPr>
          <w:rFonts w:hint="eastAsia" w:ascii="宋体" w:hAnsi="宋体" w:eastAsia="宋体" w:cs="宋体"/>
          <w:sz w:val="21"/>
          <w:szCs w:val="21"/>
          <w:highlight w:val="none"/>
        </w:rPr>
        <w:t>截止时间</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2024年3月27日</w:t>
      </w:r>
      <w:r>
        <w:rPr>
          <w:rFonts w:hint="eastAsia" w:ascii="宋体" w:hAnsi="宋体" w:cs="宋体"/>
          <w:sz w:val="21"/>
          <w:szCs w:val="21"/>
          <w:highlight w:val="none"/>
          <w:u w:val="none"/>
          <w:lang w:val="en-US" w:eastAsia="zh-CN"/>
        </w:rPr>
        <w:t>09</w:t>
      </w:r>
      <w:r>
        <w:rPr>
          <w:rFonts w:hint="eastAsia" w:ascii="宋体" w:hAnsi="宋体" w:cs="宋体"/>
          <w:sz w:val="21"/>
          <w:szCs w:val="21"/>
          <w:highlight w:val="none"/>
          <w:u w:val="none"/>
          <w:lang w:eastAsia="zh-CN"/>
        </w:rPr>
        <w:t>点</w:t>
      </w:r>
      <w:r>
        <w:rPr>
          <w:rFonts w:hint="eastAsia" w:ascii="宋体" w:hAnsi="宋体" w:cs="宋体"/>
          <w:sz w:val="21"/>
          <w:szCs w:val="21"/>
          <w:highlight w:val="none"/>
          <w:u w:val="none"/>
          <w:lang w:val="en-US" w:eastAsia="zh-CN"/>
        </w:rPr>
        <w:t>00</w:t>
      </w:r>
      <w:r>
        <w:rPr>
          <w:rFonts w:hint="eastAsia" w:ascii="宋体" w:hAnsi="宋体" w:cs="宋体"/>
          <w:sz w:val="21"/>
          <w:szCs w:val="21"/>
          <w:highlight w:val="none"/>
          <w:u w:val="none"/>
          <w:lang w:eastAsia="zh-CN"/>
        </w:rPr>
        <w:t>分</w:t>
      </w:r>
      <w:r>
        <w:rPr>
          <w:rFonts w:hint="eastAsia" w:ascii="宋体" w:hAnsi="宋体" w:cs="宋体"/>
          <w:sz w:val="21"/>
          <w:szCs w:val="21"/>
          <w:highlight w:val="none"/>
          <w:u w:val="none"/>
          <w:lang w:val="en-US" w:eastAsia="zh-CN"/>
        </w:rPr>
        <w:t xml:space="preserve"> </w:t>
      </w:r>
      <w:r>
        <w:rPr>
          <w:rFonts w:hint="eastAsia" w:ascii="宋体" w:hAnsi="宋体" w:eastAsia="宋体" w:cs="宋体"/>
          <w:bCs/>
          <w:sz w:val="21"/>
          <w:szCs w:val="21"/>
          <w:highlight w:val="none"/>
        </w:rPr>
        <w:t>（北京时间）</w:t>
      </w:r>
    </w:p>
    <w:p>
      <w:pPr>
        <w:spacing w:line="360" w:lineRule="auto"/>
        <w:ind w:firstLine="420" w:firstLineChars="200"/>
        <w:jc w:val="left"/>
        <w:rPr>
          <w:rFonts w:hint="eastAsia" w:ascii="宋体" w:hAnsi="宋体" w:eastAsia="宋体" w:cs="宋体"/>
          <w:bCs/>
          <w:sz w:val="21"/>
          <w:szCs w:val="21"/>
          <w:highlight w:val="none"/>
          <w:u w:val="single"/>
          <w:lang w:eastAsia="zh-CN"/>
        </w:rPr>
      </w:pPr>
      <w:r>
        <w:rPr>
          <w:rFonts w:hint="eastAsia" w:ascii="宋体" w:hAnsi="宋体" w:eastAsia="宋体" w:cs="宋体"/>
          <w:sz w:val="21"/>
          <w:szCs w:val="21"/>
          <w:highlight w:val="none"/>
        </w:rPr>
        <w:t>地点：</w:t>
      </w:r>
      <w:r>
        <w:rPr>
          <w:rFonts w:hint="eastAsia" w:ascii="宋体" w:hAnsi="宋体" w:cs="宋体"/>
          <w:sz w:val="21"/>
          <w:szCs w:val="21"/>
          <w:highlight w:val="none"/>
          <w:lang w:eastAsia="zh-CN"/>
        </w:rPr>
        <w:t>孝感市孝南区</w:t>
      </w:r>
      <w:r>
        <w:rPr>
          <w:rFonts w:hint="eastAsia" w:ascii="宋体" w:hAnsi="宋体" w:eastAsia="宋体" w:cs="宋体"/>
          <w:sz w:val="21"/>
          <w:szCs w:val="21"/>
          <w:highlight w:val="none"/>
        </w:rPr>
        <w:t>政府电子采购平台</w:t>
      </w:r>
      <w:r>
        <w:rPr>
          <w:rFonts w:hint="eastAsia" w:ascii="宋体" w:hAnsi="宋体" w:cs="宋体"/>
          <w:sz w:val="21"/>
          <w:szCs w:val="21"/>
          <w:highlight w:val="none"/>
          <w:lang w:eastAsia="zh-CN"/>
        </w:rPr>
        <w:t>https://sso.hubeigp.gov.cn/checkLogin?sourceURL=https%3A%2F%2Fdzcg.hubeigp.gov.cn%2Flogon&amp;cloudid=143</w:t>
      </w:r>
      <w:r>
        <w:rPr>
          <w:rFonts w:hint="eastAsia" w:ascii="宋体" w:hAnsi="宋体" w:eastAsia="宋体" w:cs="宋体"/>
          <w:sz w:val="21"/>
          <w:szCs w:val="21"/>
          <w:highlight w:val="none"/>
        </w:rPr>
        <w:t>）。</w:t>
      </w:r>
    </w:p>
    <w:p>
      <w:pPr>
        <w:pStyle w:val="3"/>
        <w:bidi w:val="0"/>
        <w:spacing w:line="360" w:lineRule="auto"/>
        <w:ind w:left="0" w:leftChars="0" w:firstLine="0" w:firstLineChars="0"/>
        <w:rPr>
          <w:rFonts w:hint="eastAsia"/>
          <w:b/>
          <w:bCs/>
          <w:highlight w:val="none"/>
        </w:rPr>
      </w:pPr>
      <w:bookmarkStart w:id="31" w:name="_Toc35393802"/>
      <w:bookmarkStart w:id="32" w:name="_Toc28359016"/>
      <w:bookmarkStart w:id="33" w:name="_Toc29974"/>
      <w:bookmarkStart w:id="34" w:name="_Toc28359093"/>
      <w:bookmarkStart w:id="35" w:name="_Toc35393633"/>
      <w:r>
        <w:rPr>
          <w:rFonts w:hint="eastAsia"/>
          <w:b/>
          <w:bCs/>
          <w:highlight w:val="none"/>
        </w:rPr>
        <w:t>五、开启</w:t>
      </w:r>
      <w:bookmarkEnd w:id="31"/>
      <w:bookmarkEnd w:id="32"/>
      <w:bookmarkEnd w:id="33"/>
      <w:bookmarkEnd w:id="34"/>
      <w:bookmarkEnd w:id="35"/>
    </w:p>
    <w:p>
      <w:pPr>
        <w:spacing w:line="360" w:lineRule="auto"/>
        <w:ind w:firstLine="420" w:firstLineChars="200"/>
        <w:rPr>
          <w:rFonts w:hint="eastAsia" w:ascii="宋体" w:hAnsi="宋体" w:eastAsia="宋体" w:cs="宋体"/>
          <w:bCs/>
          <w:sz w:val="21"/>
          <w:szCs w:val="21"/>
          <w:highlight w:val="none"/>
          <w:u w:val="single"/>
        </w:rPr>
      </w:pPr>
      <w:r>
        <w:rPr>
          <w:rFonts w:hint="eastAsia" w:ascii="宋体" w:hAnsi="宋体" w:eastAsia="宋体" w:cs="宋体"/>
          <w:sz w:val="21"/>
          <w:szCs w:val="21"/>
          <w:highlight w:val="none"/>
        </w:rPr>
        <w:t>时间：</w:t>
      </w:r>
      <w:r>
        <w:rPr>
          <w:rFonts w:hint="eastAsia" w:ascii="宋体" w:hAnsi="宋体" w:cs="宋体"/>
          <w:sz w:val="21"/>
          <w:szCs w:val="21"/>
          <w:highlight w:val="none"/>
          <w:lang w:val="en-US" w:eastAsia="zh-CN"/>
        </w:rPr>
        <w:t>2024年3月27日</w:t>
      </w:r>
      <w:r>
        <w:rPr>
          <w:rFonts w:hint="eastAsia" w:ascii="宋体" w:hAnsi="宋体" w:cs="宋体"/>
          <w:sz w:val="21"/>
          <w:szCs w:val="21"/>
          <w:highlight w:val="none"/>
          <w:u w:val="none"/>
          <w:lang w:val="en-US" w:eastAsia="zh-CN"/>
        </w:rPr>
        <w:t>09</w:t>
      </w:r>
      <w:r>
        <w:rPr>
          <w:rFonts w:hint="eastAsia" w:ascii="宋体" w:hAnsi="宋体" w:cs="宋体"/>
          <w:sz w:val="21"/>
          <w:szCs w:val="21"/>
          <w:highlight w:val="none"/>
          <w:u w:val="none"/>
          <w:lang w:eastAsia="zh-CN"/>
        </w:rPr>
        <w:t>点</w:t>
      </w:r>
      <w:r>
        <w:rPr>
          <w:rFonts w:hint="eastAsia" w:ascii="宋体" w:hAnsi="宋体" w:cs="宋体"/>
          <w:sz w:val="21"/>
          <w:szCs w:val="21"/>
          <w:highlight w:val="none"/>
          <w:u w:val="none"/>
          <w:lang w:val="en-US" w:eastAsia="zh-CN"/>
        </w:rPr>
        <w:t>00</w:t>
      </w:r>
      <w:r>
        <w:rPr>
          <w:rFonts w:hint="eastAsia" w:ascii="宋体" w:hAnsi="宋体" w:cs="宋体"/>
          <w:sz w:val="21"/>
          <w:szCs w:val="21"/>
          <w:highlight w:val="none"/>
          <w:u w:val="none"/>
          <w:lang w:eastAsia="zh-CN"/>
        </w:rPr>
        <w:t>分</w:t>
      </w:r>
      <w:r>
        <w:rPr>
          <w:rFonts w:hint="eastAsia" w:ascii="宋体" w:hAnsi="宋体" w:eastAsia="宋体" w:cs="宋体"/>
          <w:bCs/>
          <w:sz w:val="21"/>
          <w:szCs w:val="21"/>
          <w:highlight w:val="none"/>
        </w:rPr>
        <w:t>（北京时间）</w:t>
      </w:r>
    </w:p>
    <w:p>
      <w:pPr>
        <w:spacing w:line="360" w:lineRule="auto"/>
        <w:ind w:firstLine="420" w:firstLineChars="200"/>
        <w:rPr>
          <w:rFonts w:hint="eastAsia" w:ascii="宋体" w:hAnsi="宋体" w:eastAsia="宋体" w:cs="宋体"/>
          <w:bCs/>
          <w:sz w:val="21"/>
          <w:szCs w:val="21"/>
          <w:highlight w:val="none"/>
          <w:u w:val="single"/>
          <w:lang w:eastAsia="zh-CN"/>
        </w:rPr>
      </w:pPr>
      <w:r>
        <w:rPr>
          <w:rFonts w:hint="eastAsia" w:ascii="宋体" w:hAnsi="宋体" w:eastAsia="宋体" w:cs="宋体"/>
          <w:sz w:val="21"/>
          <w:szCs w:val="21"/>
          <w:highlight w:val="none"/>
        </w:rPr>
        <w:t>地点：</w:t>
      </w:r>
      <w:r>
        <w:rPr>
          <w:rFonts w:hint="eastAsia" w:ascii="宋体" w:hAnsi="宋体" w:cs="宋体"/>
          <w:sz w:val="21"/>
          <w:szCs w:val="21"/>
          <w:highlight w:val="none"/>
          <w:lang w:eastAsia="zh-CN"/>
        </w:rPr>
        <w:t>孝感市孝南区</w:t>
      </w:r>
      <w:r>
        <w:rPr>
          <w:rFonts w:hint="eastAsia" w:ascii="宋体" w:hAnsi="宋体" w:eastAsia="宋体" w:cs="宋体"/>
          <w:sz w:val="21"/>
          <w:szCs w:val="21"/>
          <w:highlight w:val="none"/>
        </w:rPr>
        <w:t>公共资源交易中心</w:t>
      </w:r>
    </w:p>
    <w:p>
      <w:pPr>
        <w:pStyle w:val="3"/>
        <w:bidi w:val="0"/>
        <w:spacing w:line="360" w:lineRule="auto"/>
        <w:ind w:left="0" w:leftChars="0" w:firstLine="0" w:firstLineChars="0"/>
        <w:rPr>
          <w:rFonts w:hint="eastAsia"/>
          <w:b/>
          <w:bCs/>
          <w:highlight w:val="none"/>
        </w:rPr>
      </w:pPr>
      <w:bookmarkStart w:id="36" w:name="_Toc35393803"/>
      <w:bookmarkStart w:id="37" w:name="_Toc35393634"/>
      <w:bookmarkStart w:id="38" w:name="_Toc28359094"/>
      <w:bookmarkStart w:id="39" w:name="_Toc5899"/>
      <w:bookmarkStart w:id="40" w:name="_Toc28359017"/>
      <w:r>
        <w:rPr>
          <w:rFonts w:hint="eastAsia"/>
          <w:b/>
          <w:bCs/>
          <w:highlight w:val="none"/>
        </w:rPr>
        <w:t>六、公告期限</w:t>
      </w:r>
      <w:bookmarkEnd w:id="36"/>
      <w:bookmarkEnd w:id="37"/>
      <w:bookmarkEnd w:id="38"/>
      <w:bookmarkEnd w:id="39"/>
      <w:bookmarkEnd w:id="40"/>
    </w:p>
    <w:p>
      <w:pPr>
        <w:spacing w:line="360" w:lineRule="auto"/>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自本公告发布之日起</w:t>
      </w:r>
      <w:r>
        <w:rPr>
          <w:rFonts w:hint="eastAsia" w:ascii="宋体" w:hAnsi="宋体" w:cs="宋体"/>
          <w:kern w:val="0"/>
          <w:sz w:val="21"/>
          <w:szCs w:val="21"/>
          <w:highlight w:val="none"/>
          <w:lang w:val="en-US" w:eastAsia="zh-CN"/>
        </w:rPr>
        <w:t>3</w:t>
      </w:r>
      <w:r>
        <w:rPr>
          <w:rFonts w:hint="eastAsia" w:ascii="宋体" w:hAnsi="宋体" w:eastAsia="宋体" w:cs="宋体"/>
          <w:kern w:val="0"/>
          <w:sz w:val="21"/>
          <w:szCs w:val="21"/>
          <w:highlight w:val="none"/>
        </w:rPr>
        <w:t>个工作日。</w:t>
      </w:r>
    </w:p>
    <w:p>
      <w:pPr>
        <w:pStyle w:val="3"/>
        <w:numPr>
          <w:ilvl w:val="0"/>
          <w:numId w:val="1"/>
        </w:numPr>
        <w:bidi w:val="0"/>
        <w:spacing w:line="360" w:lineRule="auto"/>
        <w:ind w:left="0" w:leftChars="0" w:firstLine="0" w:firstLineChars="0"/>
        <w:rPr>
          <w:rFonts w:hint="eastAsia"/>
          <w:b/>
          <w:bCs/>
          <w:highlight w:val="none"/>
        </w:rPr>
      </w:pPr>
      <w:bookmarkStart w:id="41" w:name="_Toc35393635"/>
      <w:bookmarkStart w:id="42" w:name="_Toc35393804"/>
      <w:bookmarkStart w:id="43" w:name="_Toc2531"/>
      <w:r>
        <w:rPr>
          <w:rFonts w:hint="eastAsia"/>
          <w:b/>
          <w:bCs/>
          <w:highlight w:val="none"/>
        </w:rPr>
        <w:t>其他补充事宜</w:t>
      </w:r>
      <w:bookmarkEnd w:id="41"/>
      <w:bookmarkEnd w:id="42"/>
      <w:bookmarkEnd w:id="43"/>
      <w:bookmarkStart w:id="44" w:name="_Toc17890"/>
      <w:bookmarkStart w:id="45" w:name="_Toc35393805"/>
      <w:bookmarkStart w:id="46" w:name="_Toc28359095"/>
      <w:bookmarkStart w:id="47" w:name="_Toc28359018"/>
      <w:bookmarkStart w:id="48" w:name="_Toc35393636"/>
    </w:p>
    <w:p>
      <w:pPr>
        <w:pStyle w:val="3"/>
        <w:numPr>
          <w:ilvl w:val="0"/>
          <w:numId w:val="2"/>
        </w:numPr>
        <w:bidi w:val="0"/>
        <w:spacing w:line="360" w:lineRule="auto"/>
        <w:ind w:left="0" w:leftChars="0" w:firstLine="0" w:firstLineChars="0"/>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bidi="ar-SA"/>
        </w:rPr>
        <w:t>政府集中采购项目：否；</w:t>
      </w:r>
    </w:p>
    <w:p>
      <w:pPr>
        <w:pStyle w:val="3"/>
        <w:numPr>
          <w:ilvl w:val="0"/>
          <w:numId w:val="2"/>
        </w:numPr>
        <w:bidi w:val="0"/>
        <w:spacing w:line="360" w:lineRule="auto"/>
        <w:ind w:left="0" w:leftChars="0" w:firstLine="0" w:firstLineChars="0"/>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bidi="ar-SA"/>
        </w:rPr>
        <w:t>2.资金来源：市级财政性资金；</w:t>
      </w:r>
    </w:p>
    <w:p>
      <w:pPr>
        <w:pStyle w:val="3"/>
        <w:numPr>
          <w:ilvl w:val="0"/>
          <w:numId w:val="2"/>
        </w:numPr>
        <w:bidi w:val="0"/>
        <w:spacing w:line="360" w:lineRule="auto"/>
        <w:ind w:left="0" w:leftChars="0" w:firstLine="0" w:firstLineChars="0"/>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bidi="ar-SA"/>
        </w:rPr>
        <w:t>3.政府采购相关政策执行：落实政府采购强制、优先采购节能产品政策；政府采购优先采购环保产品政策；政府采购促进中小企业发展（监狱企业、残疾人福利性单位视同小微企业）等政策；</w:t>
      </w:r>
    </w:p>
    <w:p>
      <w:pPr>
        <w:pStyle w:val="3"/>
        <w:numPr>
          <w:ilvl w:val="0"/>
          <w:numId w:val="2"/>
        </w:numPr>
        <w:bidi w:val="0"/>
        <w:spacing w:line="360" w:lineRule="auto"/>
        <w:ind w:left="0" w:leftChars="0" w:firstLine="0" w:firstLineChars="0"/>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bidi="ar-SA"/>
        </w:rPr>
        <w:t>4.质疑：投标人认为招标文件、招标过程和中标结果使自己的权益受到损害的，可以在知道或者应知其权益受到损害之日起7个工作日内，向代理机构提出质疑。质疑提出时间以提供书面质疑书记载为准。</w:t>
      </w:r>
    </w:p>
    <w:p>
      <w:pPr>
        <w:pStyle w:val="3"/>
        <w:numPr>
          <w:ilvl w:val="0"/>
          <w:numId w:val="2"/>
        </w:numPr>
        <w:bidi w:val="0"/>
        <w:spacing w:line="360" w:lineRule="auto"/>
        <w:ind w:left="0" w:leftChars="0" w:firstLine="0" w:firstLineChars="0"/>
        <w:rPr>
          <w:rFonts w:hint="eastAsia"/>
          <w:b/>
          <w:bCs/>
          <w:highlight w:val="none"/>
        </w:rPr>
      </w:pPr>
      <w:r>
        <w:rPr>
          <w:rFonts w:hint="eastAsia"/>
          <w:b/>
          <w:bCs/>
          <w:highlight w:val="none"/>
        </w:rPr>
        <w:t>八、凡对本次采购提出询问，请按以下方式联系</w:t>
      </w:r>
      <w:bookmarkEnd w:id="44"/>
      <w:bookmarkEnd w:id="45"/>
      <w:bookmarkEnd w:id="46"/>
      <w:bookmarkEnd w:id="47"/>
      <w:bookmarkEnd w:id="48"/>
    </w:p>
    <w:p>
      <w:pPr>
        <w:pStyle w:val="3"/>
        <w:spacing w:line="360" w:lineRule="auto"/>
        <w:rPr>
          <w:rFonts w:hint="eastAsia" w:ascii="宋体" w:hAnsi="宋体" w:eastAsia="宋体" w:cs="宋体"/>
          <w:b w:val="0"/>
          <w:sz w:val="21"/>
          <w:szCs w:val="21"/>
          <w:highlight w:val="none"/>
        </w:rPr>
      </w:pPr>
      <w:bookmarkStart w:id="49" w:name="_Toc35393806"/>
      <w:bookmarkStart w:id="50" w:name="_Toc28359019"/>
      <w:bookmarkStart w:id="51" w:name="_Toc14398"/>
      <w:bookmarkStart w:id="52" w:name="_Toc28359096"/>
      <w:bookmarkStart w:id="53" w:name="_Toc1999"/>
      <w:bookmarkStart w:id="54" w:name="_Toc35393637"/>
      <w:r>
        <w:rPr>
          <w:rFonts w:hint="eastAsia" w:ascii="宋体" w:hAnsi="宋体" w:eastAsia="宋体" w:cs="宋体"/>
          <w:b w:val="0"/>
          <w:sz w:val="21"/>
          <w:szCs w:val="21"/>
          <w:highlight w:val="none"/>
        </w:rPr>
        <w:t>1.采购人信息</w:t>
      </w:r>
      <w:bookmarkEnd w:id="49"/>
      <w:bookmarkEnd w:id="50"/>
      <w:bookmarkEnd w:id="51"/>
      <w:bookmarkEnd w:id="52"/>
      <w:bookmarkEnd w:id="53"/>
      <w:bookmarkEnd w:id="54"/>
    </w:p>
    <w:p>
      <w:pPr>
        <w:spacing w:line="360" w:lineRule="auto"/>
        <w:ind w:firstLine="630" w:firstLineChars="300"/>
        <w:jc w:val="left"/>
        <w:rPr>
          <w:rFonts w:hint="eastAsia" w:ascii="宋体" w:hAnsi="宋体" w:eastAsia="宋体" w:cs="宋体"/>
          <w:sz w:val="21"/>
          <w:szCs w:val="21"/>
          <w:highlight w:val="none"/>
          <w:lang w:eastAsia="zh-CN"/>
        </w:rPr>
      </w:pPr>
      <w:bookmarkStart w:id="55" w:name="_Toc28359097"/>
      <w:bookmarkStart w:id="56" w:name="_Toc594"/>
      <w:bookmarkStart w:id="57" w:name="_Toc984"/>
      <w:bookmarkStart w:id="58" w:name="_Toc35393638"/>
      <w:bookmarkStart w:id="59" w:name="_Toc28359020"/>
      <w:bookmarkStart w:id="60" w:name="_Toc35393807"/>
      <w:r>
        <w:rPr>
          <w:rFonts w:hint="eastAsia" w:ascii="宋体" w:hAnsi="宋体" w:eastAsia="宋体" w:cs="宋体"/>
          <w:sz w:val="21"/>
          <w:szCs w:val="21"/>
          <w:highlight w:val="none"/>
        </w:rPr>
        <w:t>名    称：</w:t>
      </w:r>
      <w:r>
        <w:rPr>
          <w:rFonts w:hint="eastAsia" w:ascii="宋体" w:hAnsi="宋体" w:cs="宋体"/>
          <w:sz w:val="21"/>
          <w:szCs w:val="21"/>
          <w:highlight w:val="none"/>
          <w:lang w:eastAsia="zh-CN"/>
        </w:rPr>
        <w:t>孝感市孝南区水利和湖泊局</w:t>
      </w:r>
    </w:p>
    <w:p>
      <w:pPr>
        <w:spacing w:line="360" w:lineRule="auto"/>
        <w:ind w:firstLine="630" w:firstLineChars="3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地    址：</w:t>
      </w:r>
      <w:r>
        <w:rPr>
          <w:rFonts w:hint="eastAsia" w:ascii="宋体" w:hAnsi="宋体" w:cs="宋体"/>
          <w:sz w:val="21"/>
          <w:szCs w:val="21"/>
          <w:highlight w:val="none"/>
          <w:lang w:eastAsia="zh-CN"/>
        </w:rPr>
        <w:t>孝感市环城路538号</w:t>
      </w:r>
    </w:p>
    <w:p>
      <w:pPr>
        <w:spacing w:line="360" w:lineRule="auto"/>
        <w:ind w:firstLine="630" w:firstLineChars="300"/>
        <w:jc w:val="left"/>
        <w:rPr>
          <w:rFonts w:hint="default" w:ascii="宋体" w:hAnsi="宋体" w:eastAsia="宋体" w:cs="宋体"/>
          <w:i w:val="0"/>
          <w:iCs w:val="0"/>
          <w:sz w:val="21"/>
          <w:szCs w:val="21"/>
          <w:highlight w:val="none"/>
          <w:u w:val="single"/>
          <w:lang w:val="en-US" w:eastAsia="zh-CN"/>
        </w:rPr>
      </w:pPr>
      <w:r>
        <w:rPr>
          <w:rFonts w:hint="eastAsia" w:ascii="宋体" w:hAnsi="宋体" w:eastAsia="宋体" w:cs="宋体"/>
          <w:sz w:val="21"/>
          <w:szCs w:val="21"/>
          <w:highlight w:val="none"/>
        </w:rPr>
        <w:t>联系方式：</w:t>
      </w:r>
      <w:r>
        <w:rPr>
          <w:rFonts w:hint="eastAsia" w:ascii="宋体" w:hAnsi="宋体" w:cs="宋体"/>
          <w:sz w:val="21"/>
          <w:szCs w:val="21"/>
          <w:highlight w:val="none"/>
          <w:lang w:eastAsia="zh-CN"/>
        </w:rPr>
        <w:t>0712-</w:t>
      </w:r>
      <w:r>
        <w:rPr>
          <w:rFonts w:hint="eastAsia" w:ascii="宋体" w:hAnsi="宋体" w:cs="宋体"/>
          <w:sz w:val="21"/>
          <w:szCs w:val="21"/>
          <w:highlight w:val="none"/>
          <w:lang w:val="en-US" w:eastAsia="zh-CN"/>
        </w:rPr>
        <w:t>2859472</w:t>
      </w:r>
    </w:p>
    <w:p>
      <w:pPr>
        <w:pStyle w:val="3"/>
        <w:spacing w:line="360" w:lineRule="auto"/>
        <w:rPr>
          <w:rFonts w:hint="eastAsia" w:ascii="宋体" w:hAnsi="宋体" w:eastAsia="宋体" w:cs="宋体"/>
          <w:b w:val="0"/>
          <w:sz w:val="21"/>
          <w:szCs w:val="21"/>
          <w:highlight w:val="none"/>
        </w:rPr>
      </w:pPr>
      <w:r>
        <w:rPr>
          <w:rFonts w:hint="eastAsia" w:ascii="宋体" w:hAnsi="宋体" w:eastAsia="宋体" w:cs="宋体"/>
          <w:b w:val="0"/>
          <w:sz w:val="21"/>
          <w:szCs w:val="21"/>
          <w:highlight w:val="none"/>
        </w:rPr>
        <w:t>2.采购代理机构信息</w:t>
      </w:r>
      <w:bookmarkEnd w:id="55"/>
      <w:bookmarkEnd w:id="56"/>
      <w:bookmarkEnd w:id="57"/>
      <w:bookmarkEnd w:id="58"/>
      <w:bookmarkEnd w:id="59"/>
      <w:bookmarkEnd w:id="60"/>
    </w:p>
    <w:p>
      <w:pPr>
        <w:spacing w:line="360" w:lineRule="auto"/>
        <w:ind w:firstLine="840" w:firstLineChars="4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名    称：</w:t>
      </w:r>
      <w:r>
        <w:rPr>
          <w:rFonts w:hint="eastAsia" w:ascii="宋体" w:hAnsi="宋体" w:cs="宋体"/>
          <w:sz w:val="21"/>
          <w:szCs w:val="21"/>
          <w:highlight w:val="none"/>
          <w:lang w:eastAsia="zh-CN"/>
        </w:rPr>
        <w:t>湖北政通工程咨询有限公司</w:t>
      </w:r>
    </w:p>
    <w:p>
      <w:pPr>
        <w:spacing w:line="360" w:lineRule="auto"/>
        <w:ind w:firstLine="840" w:firstLineChars="4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地　　址：孝感市北京路京御苑4栋1单元14楼1402室</w:t>
      </w:r>
    </w:p>
    <w:p>
      <w:pPr>
        <w:spacing w:line="360" w:lineRule="auto"/>
        <w:ind w:firstLine="840" w:firstLineChars="4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联系方式：0712-</w:t>
      </w:r>
      <w:r>
        <w:rPr>
          <w:rFonts w:hint="eastAsia" w:ascii="宋体" w:hAnsi="宋体" w:eastAsia="宋体" w:cs="宋体"/>
          <w:sz w:val="21"/>
          <w:szCs w:val="21"/>
          <w:highlight w:val="none"/>
          <w:lang w:val="en-US" w:eastAsia="zh-CN"/>
        </w:rPr>
        <w:t>2619668</w:t>
      </w:r>
    </w:p>
    <w:p>
      <w:pPr>
        <w:pStyle w:val="3"/>
        <w:spacing w:line="360" w:lineRule="auto"/>
        <w:rPr>
          <w:rFonts w:hint="eastAsia" w:ascii="宋体" w:hAnsi="宋体" w:eastAsia="宋体" w:cs="宋体"/>
          <w:b w:val="0"/>
          <w:sz w:val="21"/>
          <w:szCs w:val="21"/>
          <w:highlight w:val="none"/>
        </w:rPr>
      </w:pPr>
      <w:bookmarkStart w:id="61" w:name="_Toc28359021"/>
      <w:bookmarkStart w:id="62" w:name="_Toc35393808"/>
      <w:bookmarkStart w:id="63" w:name="_Toc17416"/>
      <w:bookmarkStart w:id="64" w:name="_Toc35393639"/>
      <w:bookmarkStart w:id="65" w:name="_Toc28359098"/>
      <w:bookmarkStart w:id="66" w:name="_Toc28865"/>
      <w:r>
        <w:rPr>
          <w:rFonts w:hint="eastAsia" w:ascii="宋体" w:hAnsi="宋体" w:eastAsia="宋体" w:cs="宋体"/>
          <w:b w:val="0"/>
          <w:sz w:val="21"/>
          <w:szCs w:val="21"/>
          <w:highlight w:val="none"/>
        </w:rPr>
        <w:t>3.项目联系方式</w:t>
      </w:r>
      <w:bookmarkEnd w:id="61"/>
      <w:bookmarkEnd w:id="62"/>
      <w:bookmarkEnd w:id="63"/>
      <w:bookmarkEnd w:id="64"/>
      <w:bookmarkEnd w:id="65"/>
      <w:bookmarkEnd w:id="66"/>
    </w:p>
    <w:p>
      <w:pPr>
        <w:pStyle w:val="11"/>
        <w:spacing w:line="360" w:lineRule="auto"/>
        <w:ind w:firstLine="840" w:firstLineChars="4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项目联系人：</w:t>
      </w:r>
      <w:r>
        <w:rPr>
          <w:rFonts w:hint="eastAsia" w:hAnsi="宋体" w:cs="宋体"/>
          <w:sz w:val="21"/>
          <w:szCs w:val="21"/>
          <w:highlight w:val="none"/>
          <w:lang w:val="en-US" w:eastAsia="zh-CN"/>
        </w:rPr>
        <w:t>付工</w:t>
      </w:r>
    </w:p>
    <w:p>
      <w:pPr>
        <w:spacing w:line="360" w:lineRule="auto"/>
        <w:ind w:firstLine="840" w:firstLineChars="400"/>
        <w:rPr>
          <w:rFonts w:hint="eastAsia" w:ascii="仿宋" w:hAnsi="仿宋" w:eastAsia="仿宋"/>
          <w:sz w:val="28"/>
          <w:szCs w:val="28"/>
          <w:highlight w:val="none"/>
          <w:lang w:val="zh-CN" w:eastAsia="zh-CN"/>
        </w:rPr>
      </w:pPr>
      <w:r>
        <w:rPr>
          <w:rFonts w:hint="eastAsia" w:ascii="宋体" w:hAnsi="宋体" w:eastAsia="宋体" w:cs="宋体"/>
          <w:sz w:val="21"/>
          <w:szCs w:val="21"/>
          <w:highlight w:val="none"/>
        </w:rPr>
        <w:t>电　　 话：</w:t>
      </w:r>
      <w:r>
        <w:rPr>
          <w:rFonts w:hint="eastAsia" w:ascii="宋体" w:hAnsi="宋体" w:cs="宋体"/>
          <w:sz w:val="21"/>
          <w:szCs w:val="21"/>
          <w:highlight w:val="none"/>
          <w:lang w:val="en-US" w:eastAsia="zh-CN"/>
        </w:rPr>
        <w:t>0712-2619668</w:t>
      </w:r>
      <w:bookmarkEnd w:id="2"/>
      <w:bookmarkEnd w:id="3"/>
      <w:bookmarkEnd w:id="4"/>
      <w:bookmarkEnd w:id="5"/>
      <w:bookmarkEnd w:id="6"/>
      <w:r>
        <w:rPr>
          <w:rFonts w:hint="eastAsia" w:ascii="仿宋" w:hAnsi="仿宋" w:eastAsia="仿宋"/>
          <w:sz w:val="28"/>
          <w:szCs w:val="28"/>
          <w:highlight w:val="none"/>
          <w:lang w:val="zh-CN" w:eastAsia="zh-CN"/>
        </w:rPr>
        <w:br w:type="page"/>
      </w:r>
    </w:p>
    <w:p>
      <w:pPr>
        <w:pStyle w:val="2"/>
        <w:bidi w:val="0"/>
        <w:jc w:val="center"/>
        <w:rPr>
          <w:rFonts w:hint="eastAsia"/>
          <w:sz w:val="36"/>
          <w:szCs w:val="36"/>
          <w:highlight w:val="none"/>
        </w:rPr>
      </w:pPr>
      <w:bookmarkStart w:id="67" w:name="_Toc27072"/>
      <w:bookmarkStart w:id="68" w:name="_Toc10012"/>
      <w:bookmarkStart w:id="69" w:name="_Toc16369"/>
      <w:r>
        <w:rPr>
          <w:rFonts w:hint="eastAsia"/>
          <w:sz w:val="36"/>
          <w:szCs w:val="36"/>
          <w:highlight w:val="none"/>
          <w:lang w:val="en-US" w:eastAsia="zh-CN"/>
        </w:rPr>
        <w:t xml:space="preserve">第二章 </w:t>
      </w:r>
      <w:r>
        <w:rPr>
          <w:rFonts w:hint="eastAsia"/>
          <w:sz w:val="36"/>
          <w:szCs w:val="36"/>
          <w:highlight w:val="none"/>
        </w:rPr>
        <w:t>供应商须知</w:t>
      </w:r>
      <w:bookmarkEnd w:id="67"/>
      <w:bookmarkEnd w:id="68"/>
      <w:bookmarkEnd w:id="69"/>
    </w:p>
    <w:p>
      <w:pPr>
        <w:autoSpaceDE w:val="0"/>
        <w:autoSpaceDN w:val="0"/>
        <w:adjustRightInd w:val="0"/>
        <w:spacing w:line="360" w:lineRule="auto"/>
        <w:jc w:val="center"/>
        <w:outlineLvl w:val="1"/>
        <w:rPr>
          <w:rFonts w:asciiTheme="minorEastAsia" w:hAnsiTheme="minorEastAsia" w:eastAsiaTheme="minorEastAsia" w:cstheme="minorEastAsia"/>
          <w:b/>
          <w:szCs w:val="21"/>
          <w:highlight w:val="none"/>
          <w:lang w:val="zh-CN"/>
        </w:rPr>
      </w:pPr>
      <w:bookmarkStart w:id="70" w:name="_Toc13"/>
      <w:bookmarkStart w:id="71" w:name="_Toc2424"/>
      <w:bookmarkStart w:id="72" w:name="_Toc31494"/>
      <w:r>
        <w:rPr>
          <w:rFonts w:hint="eastAsia" w:asciiTheme="minorEastAsia" w:hAnsiTheme="minorEastAsia" w:eastAsiaTheme="minorEastAsia" w:cstheme="minorEastAsia"/>
          <w:b/>
          <w:szCs w:val="21"/>
          <w:highlight w:val="none"/>
        </w:rPr>
        <w:t>《供应商须知前附表》</w:t>
      </w:r>
      <w:bookmarkEnd w:id="70"/>
      <w:bookmarkEnd w:id="71"/>
      <w:bookmarkEnd w:id="72"/>
    </w:p>
    <w:p>
      <w:pPr>
        <w:autoSpaceDE w:val="0"/>
        <w:autoSpaceDN w:val="0"/>
        <w:adjustRightInd w:val="0"/>
        <w:spacing w:line="360" w:lineRule="auto"/>
        <w:ind w:firstLine="420" w:firstLineChars="200"/>
        <w:rPr>
          <w:rFonts w:asciiTheme="minorEastAsia" w:hAnsiTheme="minorEastAsia" w:eastAsiaTheme="minorEastAsia" w:cstheme="minorEastAsia"/>
          <w:szCs w:val="21"/>
          <w:highlight w:val="none"/>
          <w:lang w:val="zh-CN"/>
        </w:rPr>
      </w:pPr>
      <w:r>
        <w:rPr>
          <w:rFonts w:hint="eastAsia" w:asciiTheme="minorEastAsia" w:hAnsiTheme="minorEastAsia" w:eastAsiaTheme="minorEastAsia" w:cstheme="minorEastAsia"/>
          <w:szCs w:val="21"/>
          <w:highlight w:val="none"/>
        </w:rPr>
        <w:t>磋商供应商应仔细阅读竞争性磋商采购文件的第二章“供应商须知”，下面所列资料是对“供应商须知”的具体补充和说明。</w:t>
      </w:r>
      <w:r>
        <w:rPr>
          <w:rFonts w:hint="eastAsia" w:asciiTheme="minorEastAsia" w:hAnsiTheme="minorEastAsia" w:eastAsiaTheme="minorEastAsia" w:cstheme="minorEastAsia"/>
          <w:szCs w:val="21"/>
          <w:highlight w:val="none"/>
          <w:lang w:val="zh-CN"/>
        </w:rPr>
        <w:t>如有矛盾，应以本表为准。</w:t>
      </w:r>
    </w:p>
    <w:tbl>
      <w:tblPr>
        <w:tblStyle w:val="18"/>
        <w:tblW w:w="9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814"/>
        <w:gridCol w:w="2098"/>
        <w:gridCol w:w="6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0" w:hRule="atLeast"/>
          <w:tblHeader/>
          <w:jc w:val="center"/>
        </w:trPr>
        <w:tc>
          <w:tcPr>
            <w:tcW w:w="814" w:type="dxa"/>
            <w:shd w:val="clear" w:color="auto" w:fill="F1F1F1"/>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lang w:val="zh-CN"/>
              </w:rPr>
              <w:t>条款号</w:t>
            </w:r>
          </w:p>
        </w:tc>
        <w:tc>
          <w:tcPr>
            <w:tcW w:w="2098" w:type="dxa"/>
            <w:shd w:val="clear" w:color="auto" w:fill="F1F1F1"/>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b/>
                <w:szCs w:val="21"/>
                <w:highlight w:val="none"/>
                <w:lang w:val="zh-CN"/>
              </w:rPr>
            </w:pPr>
            <w:r>
              <w:rPr>
                <w:rFonts w:hint="eastAsia" w:asciiTheme="minorEastAsia" w:hAnsiTheme="minorEastAsia" w:eastAsiaTheme="minorEastAsia" w:cstheme="minorEastAsia"/>
                <w:b/>
                <w:szCs w:val="21"/>
                <w:highlight w:val="none"/>
                <w:lang w:val="zh-CN"/>
              </w:rPr>
              <w:t>条款名称</w:t>
            </w:r>
          </w:p>
        </w:tc>
        <w:tc>
          <w:tcPr>
            <w:tcW w:w="6315" w:type="dxa"/>
            <w:shd w:val="clear" w:color="auto" w:fill="F1F1F1"/>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lang w:val="zh-CN"/>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76" w:hRule="atLeast"/>
          <w:jc w:val="center"/>
        </w:trPr>
        <w:tc>
          <w:tcPr>
            <w:tcW w:w="814" w:type="dxa"/>
            <w:vAlign w:val="center"/>
          </w:tcPr>
          <w:p>
            <w:pPr>
              <w:pStyle w:val="17"/>
              <w:widowControl w:val="0"/>
              <w:autoSpaceDE w:val="0"/>
              <w:autoSpaceDN w:val="0"/>
              <w:adjustRightInd w:val="0"/>
              <w:spacing w:beforeLines="10" w:beforeAutospacing="0" w:afterLines="10" w:afterAutospacing="0"/>
              <w:ind w:left="21" w:leftChars="10" w:right="21" w:rightChars="10"/>
              <w:jc w:val="center"/>
              <w:rPr>
                <w:rFonts w:hint="default"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pPr>
            <w:r>
              <w:rPr>
                <w:rFonts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t>2.1</w:t>
            </w:r>
          </w:p>
        </w:tc>
        <w:tc>
          <w:tcPr>
            <w:tcW w:w="2098" w:type="dxa"/>
            <w:vAlign w:val="center"/>
          </w:tcPr>
          <w:p>
            <w:pPr>
              <w:pStyle w:val="17"/>
              <w:widowControl w:val="0"/>
              <w:autoSpaceDE w:val="0"/>
              <w:autoSpaceDN w:val="0"/>
              <w:adjustRightInd w:val="0"/>
              <w:spacing w:beforeLines="10" w:beforeAutospacing="0" w:afterLines="10" w:afterAutospacing="0"/>
              <w:ind w:left="21" w:leftChars="10" w:right="21" w:rightChars="10"/>
              <w:jc w:val="center"/>
              <w:rPr>
                <w:rFonts w:hint="default"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pPr>
            <w:r>
              <w:rPr>
                <w:rFonts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t>采购人</w:t>
            </w:r>
          </w:p>
        </w:tc>
        <w:tc>
          <w:tcPr>
            <w:tcW w:w="6315" w:type="dxa"/>
            <w:vAlign w:val="center"/>
          </w:tcPr>
          <w:p>
            <w:pPr>
              <w:jc w:val="left"/>
              <w:rPr>
                <w:rFonts w:asciiTheme="minorEastAsia" w:hAnsiTheme="minorEastAsia" w:eastAsiaTheme="minorEastAsia" w:cstheme="minorEastAsia"/>
                <w:color w:val="000000" w:themeColor="text1"/>
                <w:szCs w:val="21"/>
                <w:highlight w:val="none"/>
                <w:lang w:val="zh-CN"/>
                <w14:textFill>
                  <w14:solidFill>
                    <w14:schemeClr w14:val="tx1"/>
                  </w14:solidFill>
                </w14:textFill>
              </w:rPr>
            </w:pPr>
            <w:r>
              <w:rPr>
                <w:rFonts w:hint="eastAsia" w:ascii="宋体" w:hAnsi="宋体" w:cs="宋体"/>
                <w:sz w:val="21"/>
                <w:szCs w:val="21"/>
                <w:highlight w:val="none"/>
                <w:lang w:val="en-US" w:eastAsia="zh-CN"/>
              </w:rPr>
              <w:t>孝感市孝南区水利和湖泊局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0" w:hRule="atLeast"/>
          <w:jc w:val="center"/>
        </w:trPr>
        <w:tc>
          <w:tcPr>
            <w:tcW w:w="814"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2.2</w:t>
            </w:r>
          </w:p>
        </w:tc>
        <w:tc>
          <w:tcPr>
            <w:tcW w:w="2098" w:type="dxa"/>
            <w:vAlign w:val="center"/>
          </w:tcPr>
          <w:p>
            <w:pPr>
              <w:pStyle w:val="17"/>
              <w:widowControl w:val="0"/>
              <w:autoSpaceDE w:val="0"/>
              <w:autoSpaceDN w:val="0"/>
              <w:adjustRightInd w:val="0"/>
              <w:spacing w:beforeLines="10" w:beforeAutospacing="0" w:afterLines="10" w:afterAutospacing="0"/>
              <w:ind w:left="21" w:leftChars="10" w:right="21" w:rightChars="10"/>
              <w:jc w:val="center"/>
              <w:rPr>
                <w:rFonts w:hint="default"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pPr>
            <w:r>
              <w:rPr>
                <w:rFonts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t>监管部门</w:t>
            </w:r>
          </w:p>
        </w:tc>
        <w:tc>
          <w:tcPr>
            <w:tcW w:w="6315" w:type="dxa"/>
            <w:vAlign w:val="center"/>
          </w:tcPr>
          <w:p>
            <w:pPr>
              <w:jc w:val="left"/>
              <w:rPr>
                <w:rFonts w:asciiTheme="minorEastAsia" w:hAnsiTheme="minorEastAsia" w:eastAsiaTheme="minorEastAsia" w:cstheme="minorEastAsia"/>
                <w:color w:val="000000" w:themeColor="text1"/>
                <w:szCs w:val="21"/>
                <w:highlight w:val="none"/>
                <w:lang w:val="zh-CN"/>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lang w:val="zh-CN"/>
                <w14:textFill>
                  <w14:solidFill>
                    <w14:schemeClr w14:val="tx1"/>
                  </w14:solidFill>
                </w14:textFill>
              </w:rPr>
              <w:t>孝感市孝南区财政局政府采购管理股</w:t>
            </w:r>
          </w:p>
          <w:p>
            <w:pPr>
              <w:jc w:val="left"/>
              <w:rPr>
                <w:rFonts w:asciiTheme="minorEastAsia" w:hAnsiTheme="minorEastAsia" w:eastAsiaTheme="minorEastAsia" w:cstheme="minorEastAsia"/>
                <w:color w:val="000000" w:themeColor="text1"/>
                <w:szCs w:val="21"/>
                <w:highlight w:val="none"/>
                <w:lang w:val="zh-CN"/>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lang w:val="zh-CN"/>
                <w14:textFill>
                  <w14:solidFill>
                    <w14:schemeClr w14:val="tx1"/>
                  </w14:solidFill>
                </w14:textFill>
              </w:rPr>
              <w:t>地  址：</w:t>
            </w:r>
            <w:r>
              <w:rPr>
                <w:rFonts w:hint="eastAsia" w:asciiTheme="minorEastAsia" w:hAnsiTheme="minorEastAsia" w:eastAsiaTheme="minorEastAsia" w:cstheme="minorEastAsia"/>
                <w:color w:val="000000" w:themeColor="text1"/>
                <w:highlight w:val="none"/>
                <w:lang w:val="zh-CN"/>
                <w14:textFill>
                  <w14:solidFill>
                    <w14:schemeClr w14:val="tx1"/>
                  </w14:solidFill>
                </w14:textFill>
              </w:rPr>
              <w:t>湖北省孝感市文化路45号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0" w:hRule="atLeast"/>
          <w:jc w:val="center"/>
        </w:trPr>
        <w:tc>
          <w:tcPr>
            <w:tcW w:w="814"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2.3</w:t>
            </w:r>
          </w:p>
        </w:tc>
        <w:tc>
          <w:tcPr>
            <w:tcW w:w="2098" w:type="dxa"/>
            <w:vAlign w:val="center"/>
          </w:tcPr>
          <w:p>
            <w:pPr>
              <w:pStyle w:val="17"/>
              <w:widowControl w:val="0"/>
              <w:autoSpaceDE w:val="0"/>
              <w:autoSpaceDN w:val="0"/>
              <w:adjustRightInd w:val="0"/>
              <w:spacing w:beforeLines="10" w:beforeAutospacing="0" w:afterLines="10" w:afterAutospacing="0"/>
              <w:ind w:left="21" w:leftChars="10" w:right="21" w:rightChars="10"/>
              <w:jc w:val="center"/>
              <w:rPr>
                <w:rFonts w:hint="default"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pPr>
            <w:r>
              <w:rPr>
                <w:rFonts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t>采购代理机构</w:t>
            </w:r>
          </w:p>
        </w:tc>
        <w:tc>
          <w:tcPr>
            <w:tcW w:w="6315" w:type="dxa"/>
          </w:tcPr>
          <w:p>
            <w:pPr>
              <w:pStyle w:val="17"/>
              <w:widowControl w:val="0"/>
              <w:autoSpaceDE w:val="0"/>
              <w:autoSpaceDN w:val="0"/>
              <w:adjustRightInd w:val="0"/>
              <w:spacing w:beforeLines="10" w:beforeAutospacing="0" w:afterLines="10" w:afterAutospacing="0"/>
              <w:ind w:left="21" w:leftChars="10" w:right="21" w:rightChars="10"/>
              <w:rPr>
                <w:rFonts w:hint="default"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t>湖北政通工程咨询有限公司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 w:hRule="atLeast"/>
          <w:jc w:val="center"/>
        </w:trPr>
        <w:tc>
          <w:tcPr>
            <w:tcW w:w="814" w:type="dxa"/>
            <w:vAlign w:val="center"/>
          </w:tcPr>
          <w:p>
            <w:pPr>
              <w:pStyle w:val="17"/>
              <w:widowControl w:val="0"/>
              <w:autoSpaceDE w:val="0"/>
              <w:autoSpaceDN w:val="0"/>
              <w:adjustRightInd w:val="0"/>
              <w:spacing w:beforeLines="10" w:beforeAutospacing="0" w:afterLines="10" w:afterAutospacing="0"/>
              <w:ind w:left="21" w:leftChars="10" w:right="21" w:rightChars="10"/>
              <w:jc w:val="center"/>
              <w:rPr>
                <w:rFonts w:hint="default"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pPr>
            <w:r>
              <w:rPr>
                <w:rFonts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t>2.5</w:t>
            </w:r>
          </w:p>
        </w:tc>
        <w:tc>
          <w:tcPr>
            <w:tcW w:w="2098" w:type="dxa"/>
            <w:vAlign w:val="center"/>
          </w:tcPr>
          <w:p>
            <w:pPr>
              <w:pStyle w:val="17"/>
              <w:widowControl w:val="0"/>
              <w:autoSpaceDE w:val="0"/>
              <w:autoSpaceDN w:val="0"/>
              <w:adjustRightInd w:val="0"/>
              <w:spacing w:beforeLines="10" w:beforeAutospacing="0" w:afterLines="10" w:afterAutospacing="0"/>
              <w:ind w:left="21" w:leftChars="10" w:right="21" w:rightChars="10"/>
              <w:jc w:val="center"/>
              <w:rPr>
                <w:rFonts w:hint="default"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pPr>
            <w:r>
              <w:rPr>
                <w:rFonts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t>磋商供应商</w:t>
            </w:r>
            <w:r>
              <w:rPr>
                <w:rFonts w:hint="eastAsia"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t>要求</w:t>
            </w:r>
          </w:p>
        </w:tc>
        <w:tc>
          <w:tcPr>
            <w:tcW w:w="6315" w:type="dxa"/>
            <w:vAlign w:val="center"/>
          </w:tcPr>
          <w:p>
            <w:pPr>
              <w:pStyle w:val="17"/>
              <w:widowControl w:val="0"/>
              <w:autoSpaceDE w:val="0"/>
              <w:autoSpaceDN w:val="0"/>
              <w:adjustRightInd w:val="0"/>
              <w:spacing w:beforeLines="10" w:beforeAutospacing="0" w:afterLines="10" w:afterAutospacing="0"/>
              <w:ind w:right="21" w:rightChars="10"/>
              <w:rPr>
                <w:rFonts w:hint="default"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pPr>
            <w:r>
              <w:rPr>
                <w:rFonts w:asciiTheme="minorEastAsia" w:hAnsiTheme="minorEastAsia" w:eastAsiaTheme="minorEastAsia" w:cstheme="minorEastAsia"/>
                <w:color w:val="000000" w:themeColor="text1"/>
                <w:sz w:val="21"/>
                <w:szCs w:val="21"/>
                <w:highlight w:val="none"/>
                <w:lang w:val="zh-CN"/>
                <w14:textFill>
                  <w14:solidFill>
                    <w14:schemeClr w14:val="tx1"/>
                  </w14:solidFill>
                </w14:textFill>
              </w:rPr>
              <w:t>详见</w:t>
            </w:r>
            <w:r>
              <w:rPr>
                <w:rFonts w:asciiTheme="minorEastAsia" w:hAnsiTheme="minorEastAsia" w:eastAsiaTheme="minorEastAsia" w:cstheme="minorEastAsia"/>
                <w:color w:val="000000" w:themeColor="text1"/>
                <w:sz w:val="21"/>
                <w:szCs w:val="21"/>
                <w:highlight w:val="none"/>
                <w14:textFill>
                  <w14:solidFill>
                    <w14:schemeClr w14:val="tx1"/>
                  </w14:solidFill>
                </w14:textFill>
              </w:rPr>
              <w:t>第一章第二款相关要求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 w:hRule="atLeast"/>
          <w:jc w:val="center"/>
        </w:trPr>
        <w:tc>
          <w:tcPr>
            <w:tcW w:w="814" w:type="dxa"/>
            <w:vAlign w:val="center"/>
          </w:tcPr>
          <w:p>
            <w:pPr>
              <w:pStyle w:val="17"/>
              <w:widowControl w:val="0"/>
              <w:autoSpaceDE w:val="0"/>
              <w:autoSpaceDN w:val="0"/>
              <w:adjustRightInd w:val="0"/>
              <w:spacing w:beforeLines="10" w:beforeAutospacing="0" w:afterLines="10" w:afterAutospacing="0"/>
              <w:ind w:left="21" w:leftChars="10" w:right="21" w:rightChars="10"/>
              <w:jc w:val="center"/>
              <w:rPr>
                <w:rFonts w:hint="default"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pPr>
            <w:r>
              <w:rPr>
                <w:rFonts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t>4.2</w:t>
            </w:r>
          </w:p>
        </w:tc>
        <w:tc>
          <w:tcPr>
            <w:tcW w:w="2098"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color w:val="000000" w:themeColor="text1"/>
                <w:szCs w:val="21"/>
                <w:highlight w:val="none"/>
                <w:lang w:val="zh-CN"/>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招标代理服务费</w:t>
            </w:r>
          </w:p>
        </w:tc>
        <w:tc>
          <w:tcPr>
            <w:tcW w:w="6315" w:type="dxa"/>
            <w:vAlign w:val="center"/>
          </w:tcPr>
          <w:p>
            <w:pPr>
              <w:autoSpaceDE w:val="0"/>
              <w:autoSpaceDN w:val="0"/>
              <w:adjustRightInd w:val="0"/>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lang w:val="zh-CN"/>
                <w14:textFill>
                  <w14:solidFill>
                    <w14:schemeClr w14:val="tx1"/>
                  </w14:solidFill>
                </w14:textFill>
              </w:rPr>
              <w:t>根据国家发展与改革委员会办公厅发改办价格【2003】857号文的规定，经与采购人协商，由成交供应商按国家发展计划委员会计价格【2002】1980号文规定取费标准向采购代理机构支付招标代理服务费</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。招标代理服务费由成交供应商在领取成交通知书的同时，向采购代理机构支付。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24" w:hRule="atLeast"/>
          <w:jc w:val="center"/>
        </w:trPr>
        <w:tc>
          <w:tcPr>
            <w:tcW w:w="814" w:type="dxa"/>
            <w:vAlign w:val="center"/>
          </w:tcPr>
          <w:p>
            <w:pPr>
              <w:pStyle w:val="17"/>
              <w:widowControl w:val="0"/>
              <w:autoSpaceDE w:val="0"/>
              <w:autoSpaceDN w:val="0"/>
              <w:adjustRightInd w:val="0"/>
              <w:spacing w:beforeLines="10" w:beforeAutospacing="0" w:afterLines="10" w:afterAutospacing="0"/>
              <w:ind w:left="21" w:leftChars="10" w:right="21" w:rightChars="10"/>
              <w:jc w:val="center"/>
              <w:rPr>
                <w:rFonts w:hint="default"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pPr>
            <w:r>
              <w:rPr>
                <w:rFonts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t>6.2</w:t>
            </w:r>
          </w:p>
        </w:tc>
        <w:tc>
          <w:tcPr>
            <w:tcW w:w="2098"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t>提疑截止时间</w:t>
            </w:r>
          </w:p>
        </w:tc>
        <w:tc>
          <w:tcPr>
            <w:tcW w:w="6315" w:type="dxa"/>
            <w:vAlign w:val="center"/>
          </w:tcPr>
          <w:p>
            <w:pPr>
              <w:pStyle w:val="17"/>
              <w:widowControl w:val="0"/>
              <w:autoSpaceDE w:val="0"/>
              <w:autoSpaceDN w:val="0"/>
              <w:adjustRightInd w:val="0"/>
              <w:spacing w:beforeLines="10" w:beforeAutospacing="0" w:afterLines="10" w:afterAutospacing="0"/>
              <w:ind w:right="21" w:rightChars="10"/>
              <w:rPr>
                <w:rFonts w:hint="default" w:asciiTheme="minorEastAsia" w:hAnsiTheme="minorEastAsia" w:eastAsiaTheme="minorEastAsia" w:cstheme="minorEastAsia"/>
                <w:color w:val="000000" w:themeColor="text1"/>
                <w:sz w:val="21"/>
                <w:szCs w:val="21"/>
                <w:highlight w:val="none"/>
                <w:lang w:val="zh-CN"/>
                <w14:textFill>
                  <w14:solidFill>
                    <w14:schemeClr w14:val="tx1"/>
                  </w14:solidFill>
                </w14:textFill>
              </w:rPr>
            </w:pPr>
            <w:r>
              <w:rPr>
                <w:rFonts w:asciiTheme="minorEastAsia" w:hAnsiTheme="minorEastAsia" w:eastAsiaTheme="minorEastAsia" w:cstheme="minorEastAsia"/>
                <w:color w:val="000000" w:themeColor="text1"/>
                <w:sz w:val="21"/>
                <w:szCs w:val="21"/>
                <w:highlight w:val="none"/>
                <w14:textFill>
                  <w14:solidFill>
                    <w14:schemeClr w14:val="tx1"/>
                  </w14:solidFill>
                </w14:textFill>
              </w:rPr>
              <w:t>供应商</w:t>
            </w:r>
            <w:r>
              <w:rPr>
                <w:rFonts w:asciiTheme="minorEastAsia" w:hAnsiTheme="minorEastAsia" w:eastAsiaTheme="minorEastAsia" w:cstheme="minorEastAsia"/>
                <w:color w:val="000000" w:themeColor="text1"/>
                <w:sz w:val="21"/>
                <w:szCs w:val="21"/>
                <w:highlight w:val="none"/>
                <w:lang w:val="zh-CN"/>
                <w14:textFill>
                  <w14:solidFill>
                    <w14:schemeClr w14:val="tx1"/>
                  </w14:solidFill>
                </w14:textFill>
              </w:rPr>
              <w:t>对</w:t>
            </w:r>
            <w:r>
              <w:rPr>
                <w:rFonts w:asciiTheme="minorEastAsia" w:hAnsiTheme="minorEastAsia" w:eastAsiaTheme="minorEastAsia" w:cstheme="minorEastAsia"/>
                <w:color w:val="000000" w:themeColor="text1"/>
                <w:sz w:val="21"/>
                <w:szCs w:val="21"/>
                <w:highlight w:val="none"/>
                <w14:textFill>
                  <w14:solidFill>
                    <w14:schemeClr w14:val="tx1"/>
                  </w14:solidFill>
                </w14:textFill>
              </w:rPr>
              <w:t>磋商</w:t>
            </w:r>
            <w:r>
              <w:rPr>
                <w:rFonts w:asciiTheme="minorEastAsia" w:hAnsiTheme="minorEastAsia" w:eastAsiaTheme="minorEastAsia" w:cstheme="minorEastAsia"/>
                <w:color w:val="000000" w:themeColor="text1"/>
                <w:sz w:val="21"/>
                <w:szCs w:val="21"/>
                <w:highlight w:val="none"/>
                <w:lang w:val="zh-CN"/>
                <w14:textFill>
                  <w14:solidFill>
                    <w14:schemeClr w14:val="tx1"/>
                  </w14:solidFill>
                </w14:textFill>
              </w:rPr>
              <w:t>文件有异议</w:t>
            </w:r>
            <w:r>
              <w:rPr>
                <w:rFonts w:asciiTheme="minorEastAsia" w:hAnsiTheme="minorEastAsia" w:eastAsiaTheme="minorEastAsia" w:cstheme="minorEastAsia"/>
                <w:color w:val="000000" w:themeColor="text1"/>
                <w:sz w:val="21"/>
                <w:szCs w:val="21"/>
                <w:highlight w:val="none"/>
                <w14:textFill>
                  <w14:solidFill>
                    <w14:schemeClr w14:val="tx1"/>
                  </w14:solidFill>
                </w14:textFill>
              </w:rPr>
              <w:t>或疑问</w:t>
            </w:r>
            <w:r>
              <w:rPr>
                <w:rFonts w:asciiTheme="minorEastAsia" w:hAnsiTheme="minorEastAsia" w:eastAsiaTheme="minorEastAsia" w:cstheme="minorEastAsia"/>
                <w:color w:val="000000" w:themeColor="text1"/>
                <w:sz w:val="21"/>
                <w:szCs w:val="21"/>
                <w:highlight w:val="none"/>
                <w:lang w:val="zh-CN"/>
                <w14:textFill>
                  <w14:solidFill>
                    <w14:schemeClr w14:val="tx1"/>
                  </w14:solidFill>
                </w14:textFill>
              </w:rPr>
              <w:t>的，均应以书面形式</w:t>
            </w:r>
            <w:r>
              <w:rPr>
                <w:rFonts w:hint="eastAsia" w:asciiTheme="minorEastAsia" w:hAnsiTheme="minorEastAsia" w:eastAsiaTheme="minorEastAsia" w:cstheme="minorEastAsia"/>
                <w:color w:val="000000" w:themeColor="text1"/>
                <w:sz w:val="21"/>
                <w:szCs w:val="21"/>
                <w:highlight w:val="none"/>
                <w:lang w:val="zh-CN"/>
                <w14:textFill>
                  <w14:solidFill>
                    <w14:schemeClr w14:val="tx1"/>
                  </w14:solidFill>
                </w14:textFill>
              </w:rPr>
              <w:t>或通过电子采购平台</w:t>
            </w:r>
            <w:r>
              <w:rPr>
                <w:rFonts w:asciiTheme="minorEastAsia" w:hAnsiTheme="minorEastAsia" w:eastAsiaTheme="minorEastAsia" w:cstheme="minorEastAsia"/>
                <w:color w:val="000000" w:themeColor="text1"/>
                <w:sz w:val="21"/>
                <w:szCs w:val="21"/>
                <w:highlight w:val="none"/>
                <w:lang w:val="zh-CN"/>
                <w14:textFill>
                  <w14:solidFill>
                    <w14:schemeClr w14:val="tx1"/>
                  </w14:solidFill>
                </w14:textFill>
              </w:rPr>
              <w:t>在</w:t>
            </w:r>
            <w:r>
              <w:rPr>
                <w:rFonts w:hint="eastAsia" w:asciiTheme="minorEastAsia" w:hAnsiTheme="minorEastAsia" w:eastAsiaTheme="minorEastAsia" w:cstheme="minorEastAsia"/>
                <w:color w:val="000000" w:themeColor="text1"/>
                <w:sz w:val="21"/>
                <w:szCs w:val="21"/>
                <w:highlight w:val="none"/>
                <w:lang w:val="zh-CN" w:eastAsia="zh-CN"/>
                <w14:textFill>
                  <w14:solidFill>
                    <w14:schemeClr w14:val="tx1"/>
                  </w14:solidFill>
                </w14:textFill>
              </w:rPr>
              <w:t>响应文件递交截止前</w:t>
            </w:r>
            <w:r>
              <w:rPr>
                <w:rFonts w:hint="eastAsia" w:asciiTheme="minorEastAsia" w:hAnsiTheme="minorEastAsia" w:eastAsiaTheme="minorEastAsia" w:cstheme="minorEastAsia"/>
                <w:color w:val="000000" w:themeColor="text1"/>
                <w:sz w:val="21"/>
                <w:szCs w:val="21"/>
                <w:highlight w:val="none"/>
                <w:lang w:val="en-US" w:eastAsia="zh-CN"/>
                <w14:textFill>
                  <w14:solidFill>
                    <w14:schemeClr w14:val="tx1"/>
                  </w14:solidFill>
                </w14:textFill>
              </w:rPr>
              <w:t>5天</w:t>
            </w:r>
            <w:r>
              <w:rPr>
                <w:rFonts w:hint="eastAsia" w:asciiTheme="minorEastAsia" w:hAnsiTheme="minorEastAsia" w:eastAsiaTheme="minorEastAsia" w:cstheme="minorEastAsia"/>
                <w:color w:val="000000" w:themeColor="text1"/>
                <w:sz w:val="21"/>
                <w:szCs w:val="21"/>
                <w:highlight w:val="none"/>
                <w:lang w:val="zh-CN"/>
                <w14:textFill>
                  <w14:solidFill>
                    <w14:schemeClr w14:val="tx1"/>
                  </w14:solidFill>
                </w14:textFill>
              </w:rPr>
              <w:t>向</w:t>
            </w:r>
            <w:r>
              <w:rPr>
                <w:rFonts w:asciiTheme="minorEastAsia" w:hAnsiTheme="minorEastAsia" w:eastAsiaTheme="minorEastAsia" w:cstheme="minorEastAsia"/>
                <w:color w:val="000000" w:themeColor="text1"/>
                <w:sz w:val="21"/>
                <w:szCs w:val="21"/>
                <w:highlight w:val="none"/>
                <w:lang w:val="zh-CN"/>
                <w14:textFill>
                  <w14:solidFill>
                    <w14:schemeClr w14:val="tx1"/>
                  </w14:solidFill>
                </w14:textFill>
              </w:rPr>
              <w:t>采购代理机构</w:t>
            </w:r>
            <w:r>
              <w:rPr>
                <w:rFonts w:hint="eastAsia" w:asciiTheme="minorEastAsia" w:hAnsiTheme="minorEastAsia" w:eastAsiaTheme="minorEastAsia" w:cstheme="minorEastAsia"/>
                <w:color w:val="000000" w:themeColor="text1"/>
                <w:sz w:val="21"/>
                <w:szCs w:val="21"/>
                <w:highlight w:val="none"/>
                <w:lang w:val="zh-CN"/>
                <w14:textFill>
                  <w14:solidFill>
                    <w14:schemeClr w14:val="tx1"/>
                  </w14:solidFill>
                </w14:textFill>
              </w:rPr>
              <w:t>提出</w:t>
            </w:r>
            <w:r>
              <w:rPr>
                <w:rFonts w:asciiTheme="minorEastAsia" w:hAnsiTheme="minorEastAsia" w:eastAsiaTheme="minorEastAsia" w:cstheme="minorEastAsia"/>
                <w:color w:val="000000" w:themeColor="text1"/>
                <w:sz w:val="21"/>
                <w:szCs w:val="21"/>
                <w:highlight w:val="none"/>
                <w:lang w:val="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631" w:hRule="atLeast"/>
          <w:jc w:val="center"/>
        </w:trPr>
        <w:tc>
          <w:tcPr>
            <w:tcW w:w="814" w:type="dxa"/>
            <w:vAlign w:val="center"/>
          </w:tcPr>
          <w:p>
            <w:pPr>
              <w:pStyle w:val="17"/>
              <w:widowControl w:val="0"/>
              <w:autoSpaceDE w:val="0"/>
              <w:autoSpaceDN w:val="0"/>
              <w:adjustRightInd w:val="0"/>
              <w:spacing w:beforeLines="10" w:beforeAutospacing="0" w:afterLines="10" w:afterAutospacing="0"/>
              <w:ind w:left="21" w:leftChars="10" w:right="21" w:rightChars="10"/>
              <w:jc w:val="center"/>
              <w:rPr>
                <w:rFonts w:hint="default" w:asciiTheme="minorEastAsia" w:hAnsiTheme="minorEastAsia" w:eastAsiaTheme="minorEastAsia" w:cstheme="minorEastAsia"/>
                <w:color w:val="000000" w:themeColor="text1"/>
                <w:kern w:val="2"/>
                <w:sz w:val="21"/>
                <w:szCs w:val="21"/>
                <w:highlight w:val="none"/>
                <w14:textFill>
                  <w14:solidFill>
                    <w14:schemeClr w14:val="tx1"/>
                  </w14:solidFill>
                </w14:textFill>
              </w:rPr>
            </w:pPr>
            <w:r>
              <w:rPr>
                <w:rFonts w:asciiTheme="minorEastAsia" w:hAnsiTheme="minorEastAsia" w:eastAsiaTheme="minorEastAsia" w:cstheme="minorEastAsia"/>
                <w:color w:val="000000" w:themeColor="text1"/>
                <w:kern w:val="2"/>
                <w:sz w:val="21"/>
                <w:szCs w:val="21"/>
                <w:highlight w:val="none"/>
                <w14:textFill>
                  <w14:solidFill>
                    <w14:schemeClr w14:val="tx1"/>
                  </w14:solidFill>
                </w14:textFill>
              </w:rPr>
              <w:t>7.1</w:t>
            </w:r>
          </w:p>
        </w:tc>
        <w:tc>
          <w:tcPr>
            <w:tcW w:w="2098" w:type="dxa"/>
            <w:vAlign w:val="center"/>
          </w:tcPr>
          <w:p>
            <w:pPr>
              <w:autoSpaceDE w:val="0"/>
              <w:autoSpaceDN w:val="0"/>
              <w:adjustRightInd w:val="0"/>
              <w:jc w:val="center"/>
              <w:rPr>
                <w:rFonts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t>供应商确认收到磋商文件澄清或者修改的时间</w:t>
            </w:r>
          </w:p>
        </w:tc>
        <w:tc>
          <w:tcPr>
            <w:tcW w:w="6315" w:type="dxa"/>
            <w:vAlign w:val="center"/>
          </w:tcPr>
          <w:p>
            <w:pPr>
              <w:pStyle w:val="17"/>
              <w:widowControl w:val="0"/>
              <w:autoSpaceDE w:val="0"/>
              <w:autoSpaceDN w:val="0"/>
              <w:adjustRightInd w:val="0"/>
              <w:spacing w:beforeLines="10" w:beforeAutospacing="0" w:afterLines="10" w:afterAutospacing="0"/>
              <w:ind w:right="21" w:rightChars="10"/>
              <w:rPr>
                <w:rFonts w:hint="default"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pPr>
            <w:r>
              <w:rPr>
                <w:rFonts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t>在收到相应修改文件后24小时内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 w:hRule="atLeast"/>
          <w:jc w:val="center"/>
        </w:trPr>
        <w:tc>
          <w:tcPr>
            <w:tcW w:w="814" w:type="dxa"/>
            <w:vAlign w:val="center"/>
          </w:tcPr>
          <w:p>
            <w:pPr>
              <w:pStyle w:val="17"/>
              <w:widowControl w:val="0"/>
              <w:autoSpaceDE w:val="0"/>
              <w:autoSpaceDN w:val="0"/>
              <w:adjustRightInd w:val="0"/>
              <w:spacing w:beforeLines="10" w:beforeAutospacing="0" w:afterLines="10" w:afterAutospacing="0"/>
              <w:ind w:left="21" w:leftChars="10" w:right="21" w:rightChars="10"/>
              <w:jc w:val="center"/>
              <w:rPr>
                <w:rFonts w:hint="default"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pPr>
            <w:r>
              <w:rPr>
                <w:rFonts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t>12.1</w:t>
            </w:r>
          </w:p>
        </w:tc>
        <w:tc>
          <w:tcPr>
            <w:tcW w:w="2098" w:type="dxa"/>
            <w:vAlign w:val="center"/>
          </w:tcPr>
          <w:p>
            <w:pPr>
              <w:autoSpaceDE w:val="0"/>
              <w:autoSpaceDN w:val="0"/>
              <w:adjustRightInd w:val="0"/>
              <w:jc w:val="center"/>
              <w:rPr>
                <w:rFonts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t>备选方案</w:t>
            </w:r>
          </w:p>
        </w:tc>
        <w:tc>
          <w:tcPr>
            <w:tcW w:w="6315" w:type="dxa"/>
            <w:vAlign w:val="center"/>
          </w:tcPr>
          <w:p>
            <w:pPr>
              <w:autoSpaceDE w:val="0"/>
              <w:autoSpaceDN w:val="0"/>
              <w:adjustRightInd w:val="0"/>
              <w:rPr>
                <w:rFonts w:asciiTheme="minorEastAsia" w:hAnsiTheme="minorEastAsia" w:eastAsiaTheme="minorEastAsia" w:cstheme="minorEastAsia"/>
                <w:color w:val="000000" w:themeColor="text1"/>
                <w:szCs w:val="21"/>
                <w:highlight w:val="none"/>
                <w:lang w:val="zh-CN"/>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lang w:val="zh-CN"/>
                <w14:textFill>
                  <w14:solidFill>
                    <w14:schemeClr w14:val="tx1"/>
                  </w14:solidFill>
                </w14:textFill>
              </w:rPr>
              <w:t xml:space="preserve">本次采购  </w:t>
            </w:r>
            <w:r>
              <w:rPr>
                <w:rFonts w:hint="eastAsia" w:asciiTheme="minorEastAsia" w:hAnsiTheme="minorEastAsia" w:eastAsiaTheme="minorEastAsia" w:cstheme="minorEastAsia"/>
                <w:color w:val="000000" w:themeColor="text1"/>
                <w:szCs w:val="21"/>
                <w:highlight w:val="none"/>
                <w:u w:val="single"/>
                <w:lang w:val="zh-CN"/>
                <w14:textFill>
                  <w14:solidFill>
                    <w14:schemeClr w14:val="tx1"/>
                  </w14:solidFill>
                </w14:textFill>
              </w:rPr>
              <w:t>不接受</w:t>
            </w:r>
            <w:r>
              <w:rPr>
                <w:rFonts w:hint="eastAsia" w:asciiTheme="minorEastAsia" w:hAnsiTheme="minorEastAsia" w:eastAsiaTheme="minorEastAsia" w:cstheme="minorEastAsia"/>
                <w:color w:val="000000" w:themeColor="text1"/>
                <w:szCs w:val="21"/>
                <w:highlight w:val="none"/>
                <w:lang w:val="zh-CN"/>
                <w14:textFill>
                  <w14:solidFill>
                    <w14:schemeClr w14:val="tx1"/>
                  </w14:solidFill>
                </w14:textFill>
              </w:rPr>
              <w:t xml:space="preserve"> 备选方案。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 w:hRule="atLeast"/>
          <w:jc w:val="center"/>
        </w:trPr>
        <w:tc>
          <w:tcPr>
            <w:tcW w:w="814" w:type="dxa"/>
            <w:vAlign w:val="center"/>
          </w:tcPr>
          <w:p>
            <w:pPr>
              <w:pStyle w:val="17"/>
              <w:widowControl w:val="0"/>
              <w:autoSpaceDE w:val="0"/>
              <w:autoSpaceDN w:val="0"/>
              <w:adjustRightInd w:val="0"/>
              <w:spacing w:beforeLines="10" w:beforeAutospacing="0" w:afterLines="10" w:afterAutospacing="0"/>
              <w:ind w:left="21" w:leftChars="10" w:right="21" w:rightChars="10"/>
              <w:jc w:val="center"/>
              <w:rPr>
                <w:rFonts w:hint="default"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pPr>
            <w:r>
              <w:rPr>
                <w:rFonts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t>13.1</w:t>
            </w:r>
          </w:p>
        </w:tc>
        <w:tc>
          <w:tcPr>
            <w:tcW w:w="2098"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t>联合体磋商</w:t>
            </w:r>
          </w:p>
        </w:tc>
        <w:tc>
          <w:tcPr>
            <w:tcW w:w="6315" w:type="dxa"/>
            <w:vAlign w:val="center"/>
          </w:tcPr>
          <w:p>
            <w:pPr>
              <w:autoSpaceDE w:val="0"/>
              <w:autoSpaceDN w:val="0"/>
              <w:adjustRightInd w:val="0"/>
              <w:rPr>
                <w:rFonts w:asciiTheme="minorEastAsia" w:hAnsiTheme="minorEastAsia" w:eastAsiaTheme="minorEastAsia" w:cstheme="minorEastAsia"/>
                <w:color w:val="000000" w:themeColor="text1"/>
                <w:szCs w:val="21"/>
                <w:highlight w:val="none"/>
                <w:lang w:val="zh-CN"/>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lang w:val="zh-CN"/>
                <w14:textFill>
                  <w14:solidFill>
                    <w14:schemeClr w14:val="tx1"/>
                  </w14:solidFill>
                </w14:textFill>
              </w:rPr>
              <w:t xml:space="preserve">本次采购  </w:t>
            </w:r>
            <w:r>
              <w:rPr>
                <w:rFonts w:hint="eastAsia" w:asciiTheme="minorEastAsia" w:hAnsiTheme="minorEastAsia" w:eastAsiaTheme="minorEastAsia" w:cstheme="minorEastAsia"/>
                <w:color w:val="000000" w:themeColor="text1"/>
                <w:szCs w:val="21"/>
                <w:highlight w:val="none"/>
                <w:u w:val="single"/>
                <w:lang w:val="zh-CN"/>
                <w14:textFill>
                  <w14:solidFill>
                    <w14:schemeClr w14:val="tx1"/>
                  </w14:solidFill>
                </w14:textFill>
              </w:rPr>
              <w:t>不接受</w:t>
            </w:r>
            <w:r>
              <w:rPr>
                <w:rFonts w:hint="eastAsia" w:asciiTheme="minorEastAsia" w:hAnsiTheme="minorEastAsia" w:eastAsiaTheme="minorEastAsia" w:cstheme="minorEastAsia"/>
                <w:color w:val="000000" w:themeColor="text1"/>
                <w:szCs w:val="21"/>
                <w:highlight w:val="none"/>
                <w:lang w:val="zh-CN"/>
                <w14:textFill>
                  <w14:solidFill>
                    <w14:schemeClr w14:val="tx1"/>
                  </w14:solidFill>
                </w14:textFill>
              </w:rPr>
              <w:t xml:space="preserve"> 联合体报价。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 w:hRule="atLeast"/>
          <w:jc w:val="center"/>
        </w:trPr>
        <w:tc>
          <w:tcPr>
            <w:tcW w:w="814" w:type="dxa"/>
            <w:vAlign w:val="center"/>
          </w:tcPr>
          <w:p>
            <w:pPr>
              <w:autoSpaceDE w:val="0"/>
              <w:autoSpaceDN w:val="0"/>
              <w:adjustRightInd w:val="0"/>
              <w:jc w:val="center"/>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14.1</w:t>
            </w:r>
          </w:p>
        </w:tc>
        <w:tc>
          <w:tcPr>
            <w:tcW w:w="2098"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2"/>
                <w:highlight w:val="none"/>
                <w14:textFill>
                  <w14:solidFill>
                    <w14:schemeClr w14:val="tx1"/>
                  </w14:solidFill>
                </w14:textFill>
              </w:rPr>
              <w:t>应提交的资格证明文件（实质性要求）</w:t>
            </w:r>
          </w:p>
        </w:tc>
        <w:tc>
          <w:tcPr>
            <w:tcW w:w="6315" w:type="dxa"/>
            <w:vAlign w:val="center"/>
          </w:tcPr>
          <w:p>
            <w:pPr>
              <w:autoSpaceDE w:val="0"/>
              <w:autoSpaceDN w:val="0"/>
              <w:adjustRightInd w:val="0"/>
              <w:snapToGrid w:val="0"/>
              <w:spacing w:beforeLines="10" w:afterLines="10"/>
              <w:ind w:right="21" w:rightChars="10"/>
              <w:rPr>
                <w:rFonts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 xml:space="preserve">详见第一章《竞争性磋商采购公告》第二款“资格要求”，须提供的证明文件包括但不限于： </w:t>
            </w:r>
          </w:p>
          <w:p>
            <w:pPr>
              <w:autoSpaceDE w:val="0"/>
              <w:autoSpaceDN w:val="0"/>
              <w:adjustRightInd w:val="0"/>
              <w:snapToGrid w:val="0"/>
              <w:spacing w:beforeLines="10" w:afterLines="10"/>
              <w:ind w:left="21" w:leftChars="10" w:right="21" w:rightChars="10"/>
              <w:rPr>
                <w:rFonts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1、具有独立承担民事责任的能力；</w:t>
            </w:r>
          </w:p>
          <w:p>
            <w:pPr>
              <w:autoSpaceDE w:val="0"/>
              <w:autoSpaceDN w:val="0"/>
              <w:adjustRightInd w:val="0"/>
              <w:snapToGrid w:val="0"/>
              <w:spacing w:beforeLines="10" w:afterLines="10"/>
              <w:ind w:left="21" w:leftChars="10" w:right="21" w:rightChars="10"/>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营业执照等证明文件或自然人的身份证明（如供应商是企业 （包括合伙企业），应提供在工商部门注册的有效“企业法人营业执照”或“营业执照”；如供应商是事业单位，应提供有效的“事业单位法人证书”；供应商是非企业专业</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服务机构的，应提供执业许可证等证明文件；如供应商是个体工商户，应提供有效的“个体工商户营业执照”；如供应商是自然人，应提供有效的自然人身份证明）。</w:t>
            </w:r>
          </w:p>
          <w:p>
            <w:pPr>
              <w:autoSpaceDE w:val="0"/>
              <w:autoSpaceDN w:val="0"/>
              <w:adjustRightInd w:val="0"/>
              <w:snapToGrid w:val="0"/>
              <w:spacing w:beforeLines="10" w:afterLines="10"/>
              <w:ind w:left="21" w:leftChars="10" w:right="21" w:rightChars="10"/>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2、具有良好的商业信誉和健全的财务会计制度；</w:t>
            </w:r>
          </w:p>
          <w:p>
            <w:pPr>
              <w:pStyle w:val="7"/>
              <w:widowControl w:val="0"/>
              <w:numPr>
                <w:ilvl w:val="0"/>
                <w:numId w:val="0"/>
              </w:numPr>
              <w:jc w:val="both"/>
              <w:rPr>
                <w:rFonts w:hint="eastAsia" w:ascii="宋体" w:hAnsi="宋体" w:eastAsia="宋体" w:cs="宋体"/>
                <w:b/>
                <w:bCs w:val="0"/>
                <w:sz w:val="21"/>
                <w:szCs w:val="21"/>
                <w:highlight w:val="none"/>
                <w:vertAlign w:val="baseline"/>
                <w:lang w:val="en-US" w:eastAsia="zh-CN"/>
              </w:rPr>
            </w:pPr>
            <w:r>
              <w:rPr>
                <w:rFonts w:hint="eastAsia" w:ascii="宋体" w:hAnsi="宋体" w:eastAsia="宋体" w:cs="宋体"/>
                <w:b/>
                <w:bCs w:val="0"/>
                <w:sz w:val="21"/>
                <w:szCs w:val="21"/>
                <w:highlight w:val="none"/>
                <w:vertAlign w:val="baseline"/>
                <w:lang w:val="en-US" w:eastAsia="zh-CN"/>
              </w:rPr>
              <w:t>由供应商对以下内容提供书面承诺及声明， 或提供相应证明材料。</w:t>
            </w:r>
          </w:p>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r>
              <w:rPr>
                <w:rFonts w:hint="eastAsia" w:ascii="宋体" w:hAnsi="宋体" w:eastAsia="宋体" w:cs="宋体"/>
                <w:b w:val="0"/>
                <w:bCs/>
                <w:sz w:val="21"/>
                <w:szCs w:val="21"/>
                <w:highlight w:val="none"/>
                <w:vertAlign w:val="baseline"/>
                <w:lang w:val="en-US" w:eastAsia="zh-CN"/>
              </w:rPr>
              <w:t>供应商是法人的，应具有上一年度财务报表或财务报告，或其基本开户银行出具的资信证明。其他组织和自然人，没有财务报表或财务报告，应具有银行出具的资信证明。</w:t>
            </w:r>
          </w:p>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r>
              <w:rPr>
                <w:rFonts w:hint="eastAsia" w:ascii="宋体" w:hAnsi="宋体" w:eastAsia="宋体" w:cs="宋体"/>
                <w:b w:val="0"/>
                <w:bCs/>
                <w:sz w:val="21"/>
                <w:szCs w:val="21"/>
                <w:highlight w:val="none"/>
                <w:vertAlign w:val="baseline"/>
                <w:lang w:eastAsia="zh-CN"/>
              </w:rPr>
              <w:t>由财政部门认可的政府采购专业担保机构对供应商进行资信审查后出具投标担保函的，可以不用提供财务报表或财务报告和银行资信证明文件。</w:t>
            </w:r>
          </w:p>
          <w:p>
            <w:pPr>
              <w:autoSpaceDE w:val="0"/>
              <w:autoSpaceDN w:val="0"/>
              <w:adjustRightInd w:val="0"/>
              <w:snapToGrid w:val="0"/>
              <w:spacing w:beforeLines="10" w:afterLines="10"/>
              <w:ind w:left="21" w:leftChars="10" w:right="21" w:rightChars="10"/>
              <w:rPr>
                <w:rFonts w:asciiTheme="minorEastAsia" w:hAnsiTheme="minorEastAsia" w:eastAsiaTheme="minorEastAsia" w:cstheme="minorEastAsia"/>
                <w:color w:val="000000" w:themeColor="text1"/>
                <w:highlight w:val="none"/>
                <w14:textFill>
                  <w14:solidFill>
                    <w14:schemeClr w14:val="tx1"/>
                  </w14:solidFill>
                </w14:textFill>
              </w:rPr>
            </w:pPr>
            <w:r>
              <w:rPr>
                <w:rFonts w:hint="eastAsia" w:ascii="宋体" w:hAnsi="宋体" w:eastAsia="宋体" w:cs="宋体"/>
                <w:b/>
                <w:bCs w:val="0"/>
                <w:sz w:val="21"/>
                <w:szCs w:val="21"/>
                <w:highlight w:val="none"/>
                <w:vertAlign w:val="baseline"/>
                <w:lang w:val="en-US" w:eastAsia="zh-CN"/>
              </w:rPr>
              <w:t>备注：如果供应商同时提供了 1）书面承诺及声明、2）相应证明材料，且二者内容不一致的，评审专家有权任选其中一种进行评审，由供应商自行承担一切后果。</w:t>
            </w:r>
            <w:r>
              <w:rPr>
                <w:rFonts w:hint="eastAsia" w:asciiTheme="minorEastAsia" w:hAnsiTheme="minorEastAsia" w:eastAsiaTheme="minorEastAsia" w:cstheme="minorEastAsia"/>
                <w:color w:val="000000" w:themeColor="text1"/>
                <w:highlight w:val="none"/>
                <w14:textFill>
                  <w14:solidFill>
                    <w14:schemeClr w14:val="tx1"/>
                  </w14:solidFill>
                </w14:textFill>
              </w:rPr>
              <w:t xml:space="preserve"> </w:t>
            </w:r>
          </w:p>
          <w:p>
            <w:pPr>
              <w:keepNext w:val="0"/>
              <w:keepLines w:val="0"/>
              <w:widowControl/>
              <w:suppressLineNumbers w:val="0"/>
              <w:jc w:val="left"/>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highlight w:val="none"/>
                <w14:textFill>
                  <w14:solidFill>
                    <w14:schemeClr w14:val="tx1"/>
                  </w14:solidFill>
                </w14:textFill>
              </w:rPr>
              <w:t>具有履行合同所必需的设备和专业技术能力</w:t>
            </w:r>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，提供</w:t>
            </w:r>
            <w:r>
              <w:rPr>
                <w:rFonts w:hint="eastAsia" w:ascii="宋体" w:hAnsi="宋体" w:eastAsia="宋体" w:cs="宋体"/>
                <w:color w:val="000000"/>
                <w:kern w:val="0"/>
                <w:sz w:val="21"/>
                <w:szCs w:val="21"/>
                <w:highlight w:val="none"/>
                <w:lang w:val="en-US" w:eastAsia="zh-CN" w:bidi="ar"/>
              </w:rPr>
              <w:t>书面承诺及声明，或提供相应证明材料</w:t>
            </w:r>
            <w:r>
              <w:rPr>
                <w:rFonts w:hint="eastAsia" w:asciiTheme="minorEastAsia" w:hAnsiTheme="minorEastAsia" w:eastAsiaTheme="minorEastAsia" w:cstheme="minorEastAsia"/>
                <w:color w:val="000000" w:themeColor="text1"/>
                <w:highlight w:val="none"/>
                <w14:textFill>
                  <w14:solidFill>
                    <w14:schemeClr w14:val="tx1"/>
                  </w14:solidFill>
                </w14:textFill>
              </w:rPr>
              <w:t>；（</w:t>
            </w:r>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格式</w:t>
            </w:r>
            <w:r>
              <w:rPr>
                <w:rFonts w:hint="eastAsia" w:asciiTheme="minorEastAsia" w:hAnsiTheme="minorEastAsia" w:eastAsiaTheme="minorEastAsia" w:cstheme="minorEastAsia"/>
                <w:color w:val="000000" w:themeColor="text1"/>
                <w:highlight w:val="none"/>
                <w14:textFill>
                  <w14:solidFill>
                    <w14:schemeClr w14:val="tx1"/>
                  </w14:solidFill>
                </w14:textFill>
              </w:rPr>
              <w:t>自拟）</w:t>
            </w:r>
          </w:p>
          <w:p>
            <w:pPr>
              <w:keepNext w:val="0"/>
              <w:keepLines w:val="0"/>
              <w:widowControl/>
              <w:suppressLineNumbers w:val="0"/>
              <w:jc w:val="left"/>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4、</w:t>
            </w:r>
            <w:r>
              <w:rPr>
                <w:rFonts w:hint="eastAsia" w:ascii="宋体" w:hAnsi="宋体"/>
                <w:szCs w:val="21"/>
                <w:highlight w:val="none"/>
                <w:lang w:val="hr-HR"/>
              </w:rPr>
              <w:t>有依法缴纳税收和社会保障资金的良好记录</w:t>
            </w:r>
          </w:p>
          <w:p>
            <w:pPr>
              <w:keepNext w:val="0"/>
              <w:keepLines w:val="0"/>
              <w:widowControl/>
              <w:suppressLineNumbers w:val="0"/>
              <w:jc w:val="left"/>
              <w:rPr>
                <w:rFonts w:hint="eastAsia"/>
                <w:highlight w:val="none"/>
              </w:rPr>
            </w:pPr>
            <w:r>
              <w:rPr>
                <w:rFonts w:hint="eastAsia" w:ascii="宋体" w:hAnsi="宋体" w:eastAsia="宋体" w:cs="宋体"/>
                <w:b/>
                <w:bCs/>
                <w:color w:val="000000"/>
                <w:kern w:val="0"/>
                <w:sz w:val="20"/>
                <w:szCs w:val="20"/>
                <w:highlight w:val="none"/>
                <w:lang w:val="en-US" w:eastAsia="zh-CN" w:bidi="ar"/>
              </w:rPr>
              <w:t>由供应商对以下内容提供书面承诺及声明， 或提供相应证明材料。</w:t>
            </w:r>
          </w:p>
          <w:p>
            <w:pPr>
              <w:numPr>
                <w:ilvl w:val="0"/>
                <w:numId w:val="3"/>
              </w:numPr>
              <w:autoSpaceDE w:val="0"/>
              <w:autoSpaceDN w:val="0"/>
              <w:adjustRightInd w:val="0"/>
              <w:snapToGrid w:val="0"/>
              <w:spacing w:beforeLines="10" w:afterLines="10"/>
              <w:ind w:right="21" w:rightChars="10"/>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供应商依法缴纳税收的证明材料：竞标截止时间前连续六个月（至少提供</w:t>
            </w:r>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一个月</w:t>
            </w:r>
            <w:r>
              <w:rPr>
                <w:rFonts w:hint="eastAsia" w:asciiTheme="minorEastAsia" w:hAnsiTheme="minorEastAsia" w:eastAsiaTheme="minorEastAsia" w:cstheme="minorEastAsia"/>
                <w:color w:val="000000" w:themeColor="text1"/>
                <w:highlight w:val="none"/>
                <w14:textFill>
                  <w14:solidFill>
                    <w14:schemeClr w14:val="tx1"/>
                  </w14:solidFill>
                </w14:textFill>
              </w:rPr>
              <w:t>）缴纳税收的凭据（完税证、缴款书、印花税票、银行代扣（代缴）转账凭证等均可）；</w:t>
            </w:r>
          </w:p>
          <w:p>
            <w:pPr>
              <w:numPr>
                <w:ilvl w:val="0"/>
                <w:numId w:val="0"/>
              </w:numPr>
              <w:autoSpaceDE w:val="0"/>
              <w:autoSpaceDN w:val="0"/>
              <w:adjustRightInd w:val="0"/>
              <w:snapToGrid w:val="0"/>
              <w:spacing w:beforeLines="10" w:afterLines="10"/>
              <w:ind w:right="21" w:rightChars="10"/>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（2）供应商依法缴纳社会保障资金的证明材料：竞标截止时间前连续六个月（至少提供</w:t>
            </w:r>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一个月</w:t>
            </w:r>
            <w:r>
              <w:rPr>
                <w:rFonts w:hint="eastAsia" w:asciiTheme="minorEastAsia" w:hAnsiTheme="minorEastAsia" w:eastAsiaTheme="minorEastAsia" w:cstheme="minorEastAsia"/>
                <w:color w:val="000000" w:themeColor="text1"/>
                <w:highlight w:val="none"/>
                <w14:textFill>
                  <w14:solidFill>
                    <w14:schemeClr w14:val="tx1"/>
                  </w14:solidFill>
                </w14:textFill>
              </w:rPr>
              <w:t>）缴纳社会保险的凭据（专用收据或社会保险缴纳清单）；</w:t>
            </w:r>
          </w:p>
          <w:p>
            <w:pPr>
              <w:numPr>
                <w:ilvl w:val="0"/>
                <w:numId w:val="0"/>
              </w:numPr>
              <w:autoSpaceDE w:val="0"/>
              <w:autoSpaceDN w:val="0"/>
              <w:adjustRightInd w:val="0"/>
              <w:snapToGrid w:val="0"/>
              <w:spacing w:beforeLines="10" w:afterLines="10"/>
              <w:ind w:right="21" w:rightChars="10"/>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highlight w:val="none"/>
                <w14:textFill>
                  <w14:solidFill>
                    <w14:schemeClr w14:val="tx1"/>
                  </w14:solidFill>
                </w14:textFill>
              </w:rPr>
              <w:t>供应商为其他组织或自然人的，也需要按此项规定提供缴纳税收的凭据和缴纳社会保险的凭据；</w:t>
            </w:r>
          </w:p>
          <w:p>
            <w:pPr>
              <w:numPr>
                <w:ilvl w:val="0"/>
                <w:numId w:val="0"/>
              </w:numPr>
              <w:autoSpaceDE w:val="0"/>
              <w:autoSpaceDN w:val="0"/>
              <w:adjustRightInd w:val="0"/>
              <w:snapToGrid w:val="0"/>
              <w:spacing w:beforeLines="10" w:afterLines="10"/>
              <w:ind w:leftChars="0" w:right="21" w:rightChars="10"/>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（4）递交响应文件截止时间的当月成立但因税务机关原因导致其尚未依法缴纳税收的供应商，提供依法缴纳税收承诺书原件（格式自拟），该承诺书视同税收缴纳凭据。</w:t>
            </w:r>
          </w:p>
          <w:p>
            <w:pPr>
              <w:numPr>
                <w:ilvl w:val="0"/>
                <w:numId w:val="0"/>
              </w:numPr>
              <w:autoSpaceDE w:val="0"/>
              <w:autoSpaceDN w:val="0"/>
              <w:adjustRightInd w:val="0"/>
              <w:snapToGrid w:val="0"/>
              <w:spacing w:beforeLines="10" w:afterLines="10"/>
              <w:ind w:leftChars="0" w:right="21" w:rightChars="10"/>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（5）递交响应文件截止时间的当月成立但因社会保障资金管理机关原因导致其尚未依法缴纳社会保障资金的供应商，提供依法缴纳社会保障资金承诺书原件（格式自拟），该承诺书视同社会保险凭据。</w:t>
            </w:r>
          </w:p>
          <w:p>
            <w:pPr>
              <w:numPr>
                <w:ilvl w:val="0"/>
                <w:numId w:val="0"/>
              </w:numPr>
              <w:autoSpaceDE w:val="0"/>
              <w:autoSpaceDN w:val="0"/>
              <w:adjustRightInd w:val="0"/>
              <w:snapToGrid w:val="0"/>
              <w:spacing w:beforeLines="10" w:afterLines="10"/>
              <w:ind w:right="21" w:rightChars="10"/>
              <w:rPr>
                <w:rFonts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（6）依法免税或不需要缴纳社会保障资金的供应商，应提供相应文件证明其依法免税或不需要缴纳社会保障资金。</w:t>
            </w:r>
            <w:r>
              <w:rPr>
                <w:rFonts w:hint="eastAsia" w:ascii="宋体" w:hAnsi="宋体" w:eastAsia="宋体" w:cs="宋体"/>
                <w:b/>
                <w:bCs/>
                <w:color w:val="000000"/>
                <w:kern w:val="0"/>
                <w:sz w:val="20"/>
                <w:szCs w:val="20"/>
                <w:highlight w:val="none"/>
                <w:lang w:val="en-US" w:eastAsia="zh-CN" w:bidi="ar"/>
              </w:rPr>
              <w:t xml:space="preserve">备注：如果供应商同时提供了 </w:t>
            </w:r>
            <w:r>
              <w:rPr>
                <w:rFonts w:hint="default" w:ascii="Times New Roman" w:hAnsi="Times New Roman" w:eastAsia="宋体" w:cs="Times New Roman"/>
                <w:b/>
                <w:bCs/>
                <w:color w:val="000000"/>
                <w:kern w:val="0"/>
                <w:sz w:val="20"/>
                <w:szCs w:val="20"/>
                <w:highlight w:val="none"/>
                <w:lang w:val="en-US" w:eastAsia="zh-CN" w:bidi="ar"/>
              </w:rPr>
              <w:t>1</w:t>
            </w:r>
            <w:r>
              <w:rPr>
                <w:rFonts w:hint="eastAsia" w:ascii="宋体" w:hAnsi="宋体" w:eastAsia="宋体" w:cs="宋体"/>
                <w:b/>
                <w:bCs/>
                <w:color w:val="000000"/>
                <w:kern w:val="0"/>
                <w:sz w:val="20"/>
                <w:szCs w:val="20"/>
                <w:highlight w:val="none"/>
                <w:lang w:val="en-US" w:eastAsia="zh-CN" w:bidi="ar"/>
              </w:rPr>
              <w:t>）书面承诺及声明、</w:t>
            </w:r>
            <w:r>
              <w:rPr>
                <w:rFonts w:hint="default" w:ascii="Times New Roman" w:hAnsi="Times New Roman" w:eastAsia="宋体" w:cs="Times New Roman"/>
                <w:b/>
                <w:bCs/>
                <w:color w:val="000000"/>
                <w:kern w:val="0"/>
                <w:sz w:val="20"/>
                <w:szCs w:val="20"/>
                <w:highlight w:val="none"/>
                <w:lang w:val="en-US" w:eastAsia="zh-CN" w:bidi="ar"/>
              </w:rPr>
              <w:t>2</w:t>
            </w:r>
            <w:r>
              <w:rPr>
                <w:rFonts w:hint="eastAsia" w:ascii="宋体" w:hAnsi="宋体" w:eastAsia="宋体" w:cs="宋体"/>
                <w:b/>
                <w:bCs/>
                <w:color w:val="000000"/>
                <w:kern w:val="0"/>
                <w:sz w:val="20"/>
                <w:szCs w:val="20"/>
                <w:highlight w:val="none"/>
                <w:lang w:val="en-US" w:eastAsia="zh-CN" w:bidi="ar"/>
              </w:rPr>
              <w:t>）相应证明材料，且二者内容不一致的，评审专家有权任选其中一种进行评审，由供应商自行承担一切后果。</w:t>
            </w:r>
            <w:r>
              <w:rPr>
                <w:rFonts w:hint="eastAsia" w:asciiTheme="minorEastAsia" w:hAnsiTheme="minorEastAsia" w:eastAsiaTheme="minorEastAsia" w:cstheme="minorEastAsia"/>
                <w:color w:val="000000" w:themeColor="text1"/>
                <w:highlight w:val="none"/>
                <w14:textFill>
                  <w14:solidFill>
                    <w14:schemeClr w14:val="tx1"/>
                  </w14:solidFill>
                </w14:textFill>
              </w:rPr>
              <w:t xml:space="preserve"> </w:t>
            </w:r>
            <w:r>
              <w:rPr>
                <w:rFonts w:hint="eastAsia" w:ascii="宋体" w:hAnsi="宋体" w:eastAsia="宋体" w:cs="宋体"/>
                <w:b w:val="0"/>
                <w:bCs/>
                <w:color w:val="000000"/>
                <w:kern w:val="0"/>
                <w:sz w:val="21"/>
                <w:szCs w:val="21"/>
                <w:highlight w:val="none"/>
                <w:lang w:val="en-US" w:eastAsia="zh-CN" w:bidi="ar"/>
              </w:rPr>
              <w:t xml:space="preserve"> </w:t>
            </w:r>
          </w:p>
          <w:p>
            <w:pPr>
              <w:autoSpaceDE w:val="0"/>
              <w:autoSpaceDN w:val="0"/>
              <w:adjustRightInd w:val="0"/>
              <w:snapToGrid w:val="0"/>
              <w:spacing w:beforeLines="10" w:afterLines="10"/>
              <w:ind w:left="21" w:leftChars="10" w:right="21" w:rightChars="10"/>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5、参加政府采购活动前三年内（不足3年按公司成立时间起算），在经营活动中没有重大违法记录（提供书面声明，格式见磋商文件第六章）；</w:t>
            </w:r>
          </w:p>
          <w:p>
            <w:pPr>
              <w:autoSpaceDE w:val="0"/>
              <w:autoSpaceDN w:val="0"/>
              <w:adjustRightInd w:val="0"/>
              <w:snapToGrid w:val="0"/>
              <w:spacing w:beforeLines="10" w:afterLines="10"/>
              <w:ind w:left="21" w:leftChars="10" w:right="21" w:rightChars="10"/>
              <w:rPr>
                <w:rFonts w:asciiTheme="minorEastAsia" w:hAnsiTheme="minorEastAsia" w:eastAsiaTheme="minorEastAsia" w:cstheme="minorEastAsia"/>
                <w:b/>
                <w:bCs/>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6、符合本文件第一章第二款要求的其他证明资料</w:t>
            </w:r>
          </w:p>
          <w:p>
            <w:pPr>
              <w:rPr>
                <w:rFonts w:asciiTheme="minorEastAsia" w:hAnsiTheme="minorEastAsia" w:eastAsiaTheme="minorEastAsia" w:cstheme="minorEastAsia"/>
                <w:color w:val="000000" w:themeColor="text1"/>
                <w:szCs w:val="21"/>
                <w:highlight w:val="none"/>
                <w:lang w:val="zh-CN"/>
                <w14:textFill>
                  <w14:solidFill>
                    <w14:schemeClr w14:val="tx1"/>
                  </w14:solidFill>
                </w14:textFill>
              </w:rPr>
            </w:pPr>
            <w:r>
              <w:rPr>
                <w:rFonts w:hint="eastAsia" w:asciiTheme="minorEastAsia" w:hAnsiTheme="minorEastAsia" w:eastAsiaTheme="minorEastAsia" w:cstheme="minorEastAsia"/>
                <w:b/>
                <w:bCs/>
                <w:color w:val="000000" w:themeColor="text1"/>
                <w:highlight w:val="none"/>
                <w14:textFill>
                  <w14:solidFill>
                    <w14:schemeClr w14:val="tx1"/>
                  </w14:solidFill>
                </w14:textFill>
              </w:rPr>
              <w:t>注：所有证书、证明文件包括按要求提供的官网截图必须是真实可查证的。资格证明文件应为原件清晰的扫描件），副本可用正本的复印件。所有证明材料须清晰可辨认，如因证明材料模糊无法辨认，缺页、漏页导致无法进行评审认定的，责任由供应商自负。如发现弄虚作假将按照有关规定严肃处理。证明材料仅限于竞标单位本身，参股或控股单位及独立法人子公司的材料不能作为证明材料，但竞标单位兼并的企业的材料可作为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 w:hRule="atLeast"/>
          <w:jc w:val="center"/>
        </w:trPr>
        <w:tc>
          <w:tcPr>
            <w:tcW w:w="814" w:type="dxa"/>
            <w:vAlign w:val="center"/>
          </w:tcPr>
          <w:p>
            <w:pPr>
              <w:autoSpaceDE w:val="0"/>
              <w:autoSpaceDN w:val="0"/>
              <w:adjustRightInd w:val="0"/>
              <w:jc w:val="center"/>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14.4</w:t>
            </w:r>
          </w:p>
        </w:tc>
        <w:tc>
          <w:tcPr>
            <w:tcW w:w="2098"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color w:val="000000" w:themeColor="text1"/>
                <w:szCs w:val="22"/>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2"/>
                <w:highlight w:val="none"/>
                <w14:textFill>
                  <w14:solidFill>
                    <w14:schemeClr w14:val="tx1"/>
                  </w14:solidFill>
                </w14:textFill>
              </w:rPr>
              <w:t>供应商不得存在的其他情形</w:t>
            </w:r>
          </w:p>
        </w:tc>
        <w:tc>
          <w:tcPr>
            <w:tcW w:w="6315" w:type="dxa"/>
            <w:vAlign w:val="center"/>
          </w:tcPr>
          <w:p>
            <w:pPr>
              <w:numPr>
                <w:ilvl w:val="0"/>
                <w:numId w:val="4"/>
              </w:numP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与采购人存在利害关系可能影响采购公正性的法人、其他组织或者个人，不得参与本项目；单位负责人为同一人或存在控股、管理关系的不同单位只能有一家单位报名。</w:t>
            </w:r>
          </w:p>
          <w:p>
            <w:pPr>
              <w:numPr>
                <w:ilvl w:val="0"/>
                <w:numId w:val="4"/>
              </w:numP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参与本项目采购活动前，已为本项目提供过整体设计、规范编制或者项目管理、监理、检测等服务的供应商。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0" w:hRule="atLeast"/>
          <w:jc w:val="center"/>
        </w:trPr>
        <w:tc>
          <w:tcPr>
            <w:tcW w:w="814" w:type="dxa"/>
            <w:vAlign w:val="center"/>
          </w:tcPr>
          <w:p>
            <w:pPr>
              <w:pStyle w:val="17"/>
              <w:widowControl w:val="0"/>
              <w:autoSpaceDE w:val="0"/>
              <w:autoSpaceDN w:val="0"/>
              <w:adjustRightInd w:val="0"/>
              <w:spacing w:beforeLines="10" w:beforeAutospacing="0" w:afterLines="10" w:afterAutospacing="0"/>
              <w:ind w:left="21" w:leftChars="10" w:right="21" w:rightChars="10"/>
              <w:jc w:val="center"/>
              <w:rPr>
                <w:rFonts w:hint="default"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pPr>
            <w:r>
              <w:rPr>
                <w:rFonts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t>15.1</w:t>
            </w:r>
          </w:p>
        </w:tc>
        <w:tc>
          <w:tcPr>
            <w:tcW w:w="2098" w:type="dxa"/>
            <w:vAlign w:val="center"/>
          </w:tcPr>
          <w:p>
            <w:pPr>
              <w:autoSpaceDE w:val="0"/>
              <w:autoSpaceDN w:val="0"/>
              <w:adjustRightInd w:val="0"/>
              <w:jc w:val="center"/>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t>证明响应内容符合竞争性磋商采购文件要求的文件和采购文件规定的其他资料</w:t>
            </w:r>
          </w:p>
        </w:tc>
        <w:tc>
          <w:tcPr>
            <w:tcW w:w="6315" w:type="dxa"/>
            <w:vAlign w:val="center"/>
          </w:tcPr>
          <w:p>
            <w:pP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证明满足磋商文件第三章</w:t>
            </w:r>
            <w:r>
              <w:rPr>
                <w:rFonts w:hint="eastAsia"/>
                <w:color w:val="000000" w:themeColor="text1"/>
                <w:highlight w:val="none"/>
                <w:lang w:eastAsia="zh-CN"/>
                <w14:textFill>
                  <w14:solidFill>
                    <w14:schemeClr w14:val="tx1"/>
                  </w14:solidFill>
                </w14:textFill>
              </w:rPr>
              <w:t>采购需求中</w:t>
            </w:r>
            <w:r>
              <w:rPr>
                <w:rFonts w:hint="eastAsia"/>
                <w:color w:val="000000" w:themeColor="text1"/>
                <w:highlight w:val="none"/>
                <w14:textFill>
                  <w14:solidFill>
                    <w14:schemeClr w14:val="tx1"/>
                  </w14:solidFill>
                </w14:textFill>
              </w:rPr>
              <w:t>所有相关规定的相关内容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178" w:hRule="atLeast"/>
          <w:jc w:val="center"/>
        </w:trPr>
        <w:tc>
          <w:tcPr>
            <w:tcW w:w="814" w:type="dxa"/>
            <w:vAlign w:val="center"/>
          </w:tcPr>
          <w:p>
            <w:pPr>
              <w:pStyle w:val="17"/>
              <w:widowControl w:val="0"/>
              <w:autoSpaceDE w:val="0"/>
              <w:autoSpaceDN w:val="0"/>
              <w:adjustRightInd w:val="0"/>
              <w:spacing w:beforeLines="10" w:beforeAutospacing="0" w:afterLines="10" w:afterAutospacing="0"/>
              <w:ind w:left="21" w:leftChars="10" w:right="21" w:rightChars="10"/>
              <w:jc w:val="center"/>
              <w:rPr>
                <w:rFonts w:hint="default"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pPr>
            <w:r>
              <w:rPr>
                <w:rFonts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t>16.1</w:t>
            </w:r>
          </w:p>
        </w:tc>
        <w:tc>
          <w:tcPr>
            <w:tcW w:w="2098"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t>磋商保证金金额、递交方式、时间及接受磋商保证金的帐户信息</w:t>
            </w:r>
            <w:r>
              <w:rPr>
                <w:rFonts w:hint="eastAsia" w:asciiTheme="minorEastAsia" w:hAnsiTheme="minorEastAsia" w:eastAsiaTheme="minorEastAsia" w:cstheme="minorEastAsia"/>
                <w:b/>
                <w:bCs/>
                <w:snapToGrid w:val="0"/>
                <w:color w:val="000000" w:themeColor="text1"/>
                <w:kern w:val="0"/>
                <w:szCs w:val="21"/>
                <w:highlight w:val="none"/>
                <w:lang w:val="zh-CN"/>
                <w14:textFill>
                  <w14:solidFill>
                    <w14:schemeClr w14:val="tx1"/>
                  </w14:solidFill>
                </w14:textFill>
              </w:rPr>
              <w:t>（</w:t>
            </w:r>
            <w:r>
              <w:rPr>
                <w:rFonts w:hint="eastAsia" w:asciiTheme="minorEastAsia" w:hAnsiTheme="minorEastAsia" w:eastAsiaTheme="minorEastAsia" w:cstheme="minorEastAsia"/>
                <w:b/>
                <w:bCs/>
                <w:snapToGrid w:val="0"/>
                <w:color w:val="000000" w:themeColor="text1"/>
                <w:kern w:val="0"/>
                <w:szCs w:val="21"/>
                <w:highlight w:val="none"/>
                <w14:textFill>
                  <w14:solidFill>
                    <w14:schemeClr w14:val="tx1"/>
                  </w14:solidFill>
                </w14:textFill>
              </w:rPr>
              <w:t>本项目不适用</w:t>
            </w:r>
            <w:r>
              <w:rPr>
                <w:rFonts w:hint="eastAsia" w:asciiTheme="minorEastAsia" w:hAnsiTheme="minorEastAsia" w:eastAsiaTheme="minorEastAsia" w:cstheme="minorEastAsia"/>
                <w:b/>
                <w:bCs/>
                <w:snapToGrid w:val="0"/>
                <w:color w:val="000000" w:themeColor="text1"/>
                <w:kern w:val="0"/>
                <w:szCs w:val="21"/>
                <w:highlight w:val="none"/>
                <w:lang w:val="zh-CN"/>
                <w14:textFill>
                  <w14:solidFill>
                    <w14:schemeClr w14:val="tx1"/>
                  </w14:solidFill>
                </w14:textFill>
              </w:rPr>
              <w:t>）</w:t>
            </w:r>
          </w:p>
        </w:tc>
        <w:tc>
          <w:tcPr>
            <w:tcW w:w="6315" w:type="dxa"/>
            <w:vAlign w:val="center"/>
          </w:tcPr>
          <w:p>
            <w:pPr>
              <w:ind w:right="256" w:rightChars="122"/>
              <w:jc w:val="left"/>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金    额：</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w:t>
            </w:r>
          </w:p>
          <w:p>
            <w:pPr>
              <w:ind w:right="256" w:rightChars="122"/>
              <w:jc w:val="left"/>
              <w:rPr>
                <w:rFonts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户    名：</w:t>
            </w:r>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湖北政通工程咨询有限公司</w:t>
            </w:r>
          </w:p>
          <w:p>
            <w:pPr>
              <w:ind w:right="256" w:rightChars="122"/>
              <w:jc w:val="left"/>
              <w:rPr>
                <w:rFonts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开户银行：</w:t>
            </w:r>
            <w:r>
              <w:rPr>
                <w:rFonts w:hint="eastAsia" w:ascii="宋体" w:hAnsi="宋体" w:eastAsia="宋体" w:cs="宋体"/>
                <w:color w:val="000000" w:themeColor="text1"/>
                <w:highlight w:val="none"/>
                <w:lang w:eastAsia="zh-CN"/>
                <w14:textFill>
                  <w14:solidFill>
                    <w14:schemeClr w14:val="tx1"/>
                  </w14:solidFill>
                </w14:textFill>
              </w:rPr>
              <w:t>中国农业银行孝感环城支行</w:t>
            </w:r>
          </w:p>
          <w:p>
            <w:pPr>
              <w:ind w:right="256" w:rightChars="122"/>
              <w:jc w:val="left"/>
              <w:rPr>
                <w:rFonts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帐    号：</w:t>
            </w:r>
            <w:r>
              <w:rPr>
                <w:rFonts w:hint="eastAsia" w:ascii="宋体" w:hAnsi="宋体" w:eastAsia="宋体" w:cs="宋体"/>
                <w:color w:val="000000" w:themeColor="text1"/>
                <w:highlight w:val="none"/>
                <w:lang w:val="en-US" w:eastAsia="zh-CN"/>
                <w14:textFill>
                  <w14:solidFill>
                    <w14:schemeClr w14:val="tx1"/>
                  </w14:solidFill>
                </w14:textFill>
              </w:rPr>
              <w:t>17497601040007168</w:t>
            </w:r>
          </w:p>
          <w:p>
            <w:pPr>
              <w:ind w:right="256" w:rightChars="122"/>
              <w:jc w:val="left"/>
              <w:rPr>
                <w:rFonts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注：</w:t>
            </w:r>
            <w:r>
              <w:rPr>
                <w:highlight w:val="none"/>
              </w:rPr>
              <w:fldChar w:fldCharType="begin"/>
            </w:r>
            <w:r>
              <w:rPr>
                <w:highlight w:val="none"/>
              </w:rPr>
              <w:instrText xml:space="preserve"> HYPERLINK "mailto:投标人交纳投标保证金必须从投标人的基本帐户以支票、汇票、本票、电汇或者金融机构、担保机构出具的保函等非现金形式一次性汇至中经国际招标集团有限公司湖北分公司专用账户,截止时间为递交响应文件截止时间。成交供应商签订合同后须将合同扫描件（PDF版）发送至2102252595@qq.com邮箱备案后方可退还保证金。" </w:instrText>
            </w:r>
            <w:r>
              <w:rPr>
                <w:highlight w:val="none"/>
              </w:rPr>
              <w:fldChar w:fldCharType="separate"/>
            </w:r>
            <w:r>
              <w:rPr>
                <w:rFonts w:hint="eastAsia" w:asciiTheme="minorEastAsia" w:hAnsiTheme="minorEastAsia" w:eastAsiaTheme="minorEastAsia" w:cstheme="minorEastAsia"/>
                <w:color w:val="000000" w:themeColor="text1"/>
                <w:highlight w:val="none"/>
                <w14:textFill>
                  <w14:solidFill>
                    <w14:schemeClr w14:val="tx1"/>
                  </w14:solidFill>
                </w14:textFill>
              </w:rPr>
              <w:t>供应商缴纳投标保证金必须从供应商的基本帐户以支票</w:t>
            </w:r>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highlight w:val="none"/>
                <w14:textFill>
                  <w14:solidFill>
                    <w14:schemeClr w14:val="tx1"/>
                  </w14:solidFill>
                </w14:textFill>
              </w:rPr>
              <w:t>汇票、本票、电汇或者金融机构、担保机构出具的保函等非</w:t>
            </w:r>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先</w:t>
            </w:r>
            <w:r>
              <w:rPr>
                <w:rFonts w:hint="eastAsia" w:asciiTheme="minorEastAsia" w:hAnsiTheme="minorEastAsia" w:eastAsiaTheme="minorEastAsia" w:cstheme="minorEastAsia"/>
                <w:color w:val="000000" w:themeColor="text1"/>
                <w:highlight w:val="none"/>
                <w14:textFill>
                  <w14:solidFill>
                    <w14:schemeClr w14:val="tx1"/>
                  </w14:solidFill>
                </w14:textFill>
              </w:rPr>
              <w:t>金形式一次性汇至</w:t>
            </w:r>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湖北政通工程咨询有限公司</w:t>
            </w:r>
            <w:r>
              <w:rPr>
                <w:rFonts w:hint="eastAsia" w:asciiTheme="minorEastAsia" w:hAnsiTheme="minorEastAsia" w:eastAsiaTheme="minorEastAsia" w:cstheme="minorEastAsia"/>
                <w:color w:val="000000" w:themeColor="text1"/>
                <w:highlight w:val="none"/>
                <w14:textFill>
                  <w14:solidFill>
                    <w14:schemeClr w14:val="tx1"/>
                  </w14:solidFill>
                </w14:textFill>
              </w:rPr>
              <w:t>专用账户,截止时间为递交响应文件截止时间。成交供应商签订合同后须将合同扫描件（PDF版）发送至</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506358798</w:t>
            </w:r>
            <w:r>
              <w:rPr>
                <w:rFonts w:hint="eastAsia" w:asciiTheme="minorEastAsia" w:hAnsiTheme="minorEastAsia" w:eastAsiaTheme="minorEastAsia" w:cstheme="minorEastAsia"/>
                <w:color w:val="000000" w:themeColor="text1"/>
                <w:highlight w:val="none"/>
                <w14:textFill>
                  <w14:solidFill>
                    <w14:schemeClr w14:val="tx1"/>
                  </w14:solidFill>
                </w14:textFill>
              </w:rPr>
              <w:t>@qq.com邮箱备案后方可退还保证金。</w:t>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 w:hRule="atLeast"/>
          <w:jc w:val="center"/>
        </w:trPr>
        <w:tc>
          <w:tcPr>
            <w:tcW w:w="814" w:type="dxa"/>
            <w:vAlign w:val="center"/>
          </w:tcPr>
          <w:p>
            <w:pPr>
              <w:pStyle w:val="17"/>
              <w:widowControl w:val="0"/>
              <w:autoSpaceDE w:val="0"/>
              <w:autoSpaceDN w:val="0"/>
              <w:adjustRightInd w:val="0"/>
              <w:spacing w:beforeLines="10" w:beforeAutospacing="0" w:afterLines="10" w:afterAutospacing="0"/>
              <w:ind w:left="21" w:leftChars="10" w:right="21" w:rightChars="10"/>
              <w:jc w:val="center"/>
              <w:rPr>
                <w:rFonts w:hint="default"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pPr>
            <w:r>
              <w:rPr>
                <w:rFonts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t>17.1</w:t>
            </w:r>
          </w:p>
        </w:tc>
        <w:tc>
          <w:tcPr>
            <w:tcW w:w="2098"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t>磋商有效期</w:t>
            </w:r>
          </w:p>
        </w:tc>
        <w:tc>
          <w:tcPr>
            <w:tcW w:w="6315" w:type="dxa"/>
            <w:vAlign w:val="center"/>
          </w:tcPr>
          <w:p>
            <w:pPr>
              <w:autoSpaceDE w:val="0"/>
              <w:autoSpaceDN w:val="0"/>
              <w:adjustRightInd w:val="0"/>
              <w:rPr>
                <w:rFonts w:asciiTheme="minorEastAsia" w:hAnsiTheme="minorEastAsia" w:eastAsiaTheme="minorEastAsia" w:cstheme="minorEastAsia"/>
                <w:color w:val="000000" w:themeColor="text1"/>
                <w:szCs w:val="21"/>
                <w:highlight w:val="none"/>
                <w:lang w:val="zh-CN"/>
                <w14:textFill>
                  <w14:solidFill>
                    <w14:schemeClr w14:val="tx1"/>
                  </w14:solidFill>
                </w14:textFill>
              </w:rPr>
            </w:pPr>
            <w: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t>自磋商截止时间起共</w:t>
            </w:r>
            <w:r>
              <w:rPr>
                <w:rFonts w:hint="eastAsia" w:asciiTheme="minorEastAsia" w:hAnsiTheme="minorEastAsia" w:eastAsiaTheme="minorEastAsia" w:cstheme="minorEastAsia"/>
                <w:color w:val="000000" w:themeColor="text1"/>
                <w:kern w:val="0"/>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highlight w:val="none"/>
                <w:u w:val="single"/>
                <w:lang w:val="en-US" w:eastAsia="zh-CN"/>
                <w14:textFill>
                  <w14:solidFill>
                    <w14:schemeClr w14:val="tx1"/>
                  </w14:solidFill>
                </w14:textFill>
              </w:rPr>
              <w:t>90</w:t>
            </w:r>
            <w:r>
              <w:rPr>
                <w:rFonts w:hint="eastAsia" w:asciiTheme="minorEastAsia" w:hAnsiTheme="minorEastAsia" w:eastAsiaTheme="minorEastAsia" w:cstheme="minorEastAsia"/>
                <w:color w:val="000000" w:themeColor="text1"/>
                <w:kern w:val="0"/>
                <w:szCs w:val="21"/>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 w:hRule="atLeast"/>
          <w:jc w:val="center"/>
        </w:trPr>
        <w:tc>
          <w:tcPr>
            <w:tcW w:w="814" w:type="dxa"/>
            <w:vAlign w:val="center"/>
          </w:tcPr>
          <w:p>
            <w:pPr>
              <w:pStyle w:val="17"/>
              <w:widowControl w:val="0"/>
              <w:autoSpaceDE w:val="0"/>
              <w:autoSpaceDN w:val="0"/>
              <w:adjustRightInd w:val="0"/>
              <w:spacing w:beforeLines="10" w:beforeAutospacing="0" w:afterLines="10" w:afterAutospacing="0"/>
              <w:ind w:left="21" w:leftChars="10" w:right="21" w:rightChars="10"/>
              <w:jc w:val="center"/>
              <w:rPr>
                <w:rFonts w:hint="default"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pPr>
            <w:r>
              <w:rPr>
                <w:rFonts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t>18.1</w:t>
            </w:r>
          </w:p>
        </w:tc>
        <w:tc>
          <w:tcPr>
            <w:tcW w:w="2098"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t>电子响应文件的加密与递交</w:t>
            </w:r>
          </w:p>
        </w:tc>
        <w:tc>
          <w:tcPr>
            <w:tcW w:w="6315" w:type="dxa"/>
            <w:vAlign w:val="center"/>
          </w:tcPr>
          <w:p>
            <w:pPr>
              <w:spacing w:beforeLines="0" w:afterLines="0"/>
              <w:jc w:val="left"/>
              <w:rPr>
                <w:rFonts w:hint="eastAsia" w:ascii="宋体" w:hAnsi="宋体" w:eastAsia="宋体"/>
                <w:sz w:val="21"/>
                <w:szCs w:val="24"/>
                <w:highlight w:val="none"/>
              </w:rPr>
            </w:pPr>
            <w:r>
              <w:rPr>
                <w:rFonts w:hint="eastAsia" w:ascii="宋体" w:hAnsi="宋体" w:eastAsia="宋体"/>
                <w:sz w:val="21"/>
                <w:szCs w:val="24"/>
                <w:highlight w:val="none"/>
                <w:lang w:val="en-US" w:eastAsia="zh-CN"/>
              </w:rPr>
              <w:t>1</w:t>
            </w:r>
            <w:r>
              <w:rPr>
                <w:rFonts w:hint="eastAsia" w:ascii="宋体" w:hAnsi="宋体" w:eastAsia="宋体"/>
                <w:sz w:val="21"/>
                <w:szCs w:val="24"/>
                <w:highlight w:val="none"/>
              </w:rPr>
              <w:t>、密码保护。供应商应牢记上传电子响应文件加密密码并严格保</w:t>
            </w:r>
          </w:p>
          <w:p>
            <w:pPr>
              <w:spacing w:beforeLines="0" w:afterLines="0"/>
              <w:jc w:val="left"/>
              <w:rPr>
                <w:rFonts w:hint="eastAsia" w:ascii="宋体" w:hAnsi="宋体" w:eastAsia="宋体"/>
                <w:sz w:val="21"/>
                <w:szCs w:val="24"/>
                <w:highlight w:val="none"/>
              </w:rPr>
            </w:pPr>
            <w:r>
              <w:rPr>
                <w:rFonts w:hint="eastAsia" w:ascii="宋体" w:hAnsi="宋体" w:eastAsia="宋体"/>
                <w:sz w:val="21"/>
                <w:szCs w:val="24"/>
                <w:highlight w:val="none"/>
              </w:rPr>
              <w:t>密，该密码将用于解密其电子响应文件。如忘记或输入错误密码超</w:t>
            </w:r>
          </w:p>
          <w:p>
            <w:pPr>
              <w:spacing w:beforeLines="0" w:afterLines="0"/>
              <w:jc w:val="left"/>
              <w:rPr>
                <w:rFonts w:hint="eastAsia" w:ascii="宋体" w:hAnsi="宋体" w:eastAsia="宋体"/>
                <w:sz w:val="21"/>
                <w:szCs w:val="24"/>
                <w:highlight w:val="none"/>
              </w:rPr>
            </w:pPr>
            <w:r>
              <w:rPr>
                <w:rFonts w:hint="eastAsia" w:ascii="宋体" w:hAnsi="宋体" w:eastAsia="宋体"/>
                <w:sz w:val="21"/>
                <w:szCs w:val="24"/>
                <w:highlight w:val="none"/>
              </w:rPr>
              <w:t>过5次，其递交的电子响应文件将无法解密，导致无法提取数据，</w:t>
            </w:r>
          </w:p>
          <w:p>
            <w:pPr>
              <w:spacing w:beforeLines="0" w:afterLines="0"/>
              <w:jc w:val="left"/>
              <w:rPr>
                <w:rFonts w:hint="eastAsia" w:ascii="宋体" w:hAnsi="宋体" w:eastAsia="宋体"/>
                <w:sz w:val="21"/>
                <w:szCs w:val="24"/>
                <w:highlight w:val="none"/>
              </w:rPr>
            </w:pPr>
            <w:r>
              <w:rPr>
                <w:rFonts w:hint="eastAsia" w:ascii="宋体" w:hAnsi="宋体" w:eastAsia="宋体"/>
                <w:sz w:val="21"/>
                <w:szCs w:val="24"/>
                <w:highlight w:val="none"/>
              </w:rPr>
              <w:t>致使其磋商失败。</w:t>
            </w:r>
          </w:p>
          <w:p>
            <w:pPr>
              <w:spacing w:beforeLines="0" w:afterLines="0"/>
              <w:jc w:val="left"/>
              <w:rPr>
                <w:rFonts w:hint="eastAsia" w:ascii="宋体" w:hAnsi="宋体" w:eastAsia="宋体"/>
                <w:sz w:val="21"/>
                <w:szCs w:val="24"/>
                <w:highlight w:val="none"/>
              </w:rPr>
            </w:pPr>
            <w:r>
              <w:rPr>
                <w:rFonts w:hint="eastAsia" w:ascii="宋体" w:hAnsi="宋体" w:eastAsia="宋体"/>
                <w:sz w:val="21"/>
                <w:szCs w:val="24"/>
                <w:highlight w:val="none"/>
                <w:lang w:val="en-US" w:eastAsia="zh-CN"/>
              </w:rPr>
              <w:t>2</w:t>
            </w:r>
            <w:r>
              <w:rPr>
                <w:rFonts w:hint="eastAsia" w:ascii="宋体" w:hAnsi="宋体" w:eastAsia="宋体"/>
                <w:sz w:val="21"/>
                <w:szCs w:val="24"/>
                <w:highlight w:val="none"/>
              </w:rPr>
              <w:t>、递交。供应商应在采购文件规定递交响应文件截止时间前，通</w:t>
            </w:r>
          </w:p>
          <w:p>
            <w:pPr>
              <w:spacing w:beforeLines="0" w:afterLines="0"/>
              <w:jc w:val="left"/>
              <w:rPr>
                <w:rFonts w:hint="eastAsia" w:ascii="宋体" w:hAnsi="宋体" w:eastAsia="宋体"/>
                <w:sz w:val="21"/>
                <w:szCs w:val="24"/>
                <w:highlight w:val="none"/>
              </w:rPr>
            </w:pPr>
            <w:r>
              <w:rPr>
                <w:rFonts w:hint="eastAsia" w:ascii="宋体" w:hAnsi="宋体" w:eastAsia="宋体"/>
                <w:sz w:val="21"/>
                <w:szCs w:val="24"/>
                <w:highlight w:val="none"/>
              </w:rPr>
              <w:t>过</w:t>
            </w:r>
            <w:r>
              <w:rPr>
                <w:rFonts w:hint="eastAsia" w:ascii="宋体" w:hAnsi="宋体"/>
                <w:sz w:val="21"/>
                <w:szCs w:val="24"/>
                <w:highlight w:val="none"/>
                <w:lang w:eastAsia="zh-CN"/>
              </w:rPr>
              <w:t>孝感市孝南区</w:t>
            </w:r>
            <w:r>
              <w:rPr>
                <w:rFonts w:hint="eastAsia" w:ascii="宋体" w:hAnsi="宋体" w:eastAsia="宋体"/>
                <w:sz w:val="21"/>
                <w:szCs w:val="24"/>
                <w:highlight w:val="none"/>
              </w:rPr>
              <w:t>政府电子采购平台的响应文件递交界面，成功递交</w:t>
            </w:r>
          </w:p>
          <w:p>
            <w:pPr>
              <w:spacing w:beforeLines="0" w:afterLines="0"/>
              <w:jc w:val="left"/>
              <w:rPr>
                <w:rFonts w:hint="eastAsia" w:ascii="宋体" w:hAnsi="宋体" w:eastAsia="宋体"/>
                <w:sz w:val="21"/>
                <w:szCs w:val="24"/>
                <w:highlight w:val="none"/>
              </w:rPr>
            </w:pPr>
            <w:r>
              <w:rPr>
                <w:rFonts w:hint="eastAsia" w:ascii="宋体" w:hAnsi="宋体" w:eastAsia="宋体"/>
                <w:sz w:val="21"/>
                <w:szCs w:val="24"/>
                <w:highlight w:val="none"/>
              </w:rPr>
              <w:t>电子响应文件（PDF格式）和数据文件（PDF格式）并签到。电子响</w:t>
            </w:r>
          </w:p>
          <w:p>
            <w:pPr>
              <w:spacing w:beforeLines="0" w:afterLines="0"/>
              <w:jc w:val="left"/>
              <w:rPr>
                <w:rFonts w:hint="eastAsia" w:ascii="宋体" w:hAnsi="宋体" w:eastAsia="宋体"/>
                <w:sz w:val="21"/>
                <w:szCs w:val="24"/>
                <w:highlight w:val="none"/>
              </w:rPr>
            </w:pPr>
            <w:r>
              <w:rPr>
                <w:rFonts w:hint="eastAsia" w:ascii="宋体" w:hAnsi="宋体" w:eastAsia="宋体"/>
                <w:sz w:val="21"/>
                <w:szCs w:val="24"/>
                <w:highlight w:val="none"/>
              </w:rPr>
              <w:t>应文件提交前，系统会自动在本地进行加密和数字签名，加密和数</w:t>
            </w:r>
          </w:p>
          <w:p>
            <w:pPr>
              <w:autoSpaceDE w:val="0"/>
              <w:autoSpaceDN w:val="0"/>
              <w:adjustRightInd w:val="0"/>
              <w:rPr>
                <w:rFonts w:asciiTheme="minorEastAsia" w:hAnsiTheme="minorEastAsia" w:eastAsiaTheme="minorEastAsia" w:cstheme="minorEastAsia"/>
                <w:color w:val="000000" w:themeColor="text1"/>
                <w:sz w:val="21"/>
                <w:szCs w:val="21"/>
                <w:highlight w:val="none"/>
                <w:lang w:val="zh-CN"/>
                <w14:textFill>
                  <w14:solidFill>
                    <w14:schemeClr w14:val="tx1"/>
                  </w14:solidFill>
                </w14:textFill>
              </w:rPr>
            </w:pPr>
            <w:r>
              <w:rPr>
                <w:rFonts w:hint="eastAsia" w:ascii="宋体" w:hAnsi="宋体" w:eastAsia="宋体"/>
                <w:sz w:val="21"/>
                <w:szCs w:val="24"/>
                <w:highlight w:val="none"/>
              </w:rPr>
              <w:t>字签名后的文件除上传到系统中之外还会同步保存到本地计算机。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 w:hRule="atLeast"/>
          <w:jc w:val="center"/>
        </w:trPr>
        <w:tc>
          <w:tcPr>
            <w:tcW w:w="814" w:type="dxa"/>
            <w:vAlign w:val="center"/>
          </w:tcPr>
          <w:p>
            <w:pPr>
              <w:pStyle w:val="17"/>
              <w:widowControl w:val="0"/>
              <w:autoSpaceDE w:val="0"/>
              <w:autoSpaceDN w:val="0"/>
              <w:adjustRightInd w:val="0"/>
              <w:spacing w:beforeLines="10" w:beforeAutospacing="0" w:afterLines="10" w:afterAutospacing="0"/>
              <w:ind w:left="21" w:leftChars="10" w:right="21" w:rightChars="10"/>
              <w:jc w:val="center"/>
              <w:rPr>
                <w:rFonts w:hint="default" w:asciiTheme="minorEastAsia" w:hAnsiTheme="minorEastAsia" w:eastAsiaTheme="minorEastAsia" w:cstheme="minorEastAsia"/>
                <w:color w:val="000000" w:themeColor="text1"/>
                <w:kern w:val="2"/>
                <w:sz w:val="21"/>
                <w:szCs w:val="21"/>
                <w:highlight w:val="none"/>
                <w:lang w:val="zh-CN"/>
                <w14:textFill>
                  <w14:solidFill>
                    <w14:schemeClr w14:val="tx1"/>
                  </w14:solidFill>
                </w14:textFill>
              </w:rPr>
            </w:pPr>
            <w:r>
              <w:rPr>
                <w:rFonts w:asciiTheme="minorEastAsia" w:hAnsiTheme="minorEastAsia" w:eastAsiaTheme="minorEastAsia" w:cstheme="minorEastAsia"/>
                <w:color w:val="000000" w:themeColor="text1"/>
                <w:kern w:val="2"/>
                <w:sz w:val="21"/>
                <w:szCs w:val="21"/>
                <w:highlight w:val="none"/>
                <w14:textFill>
                  <w14:solidFill>
                    <w14:schemeClr w14:val="tx1"/>
                  </w14:solidFill>
                </w14:textFill>
              </w:rPr>
              <w:t>19.1</w:t>
            </w:r>
          </w:p>
        </w:tc>
        <w:tc>
          <w:tcPr>
            <w:tcW w:w="2098"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t>电子响应文件的签章</w:t>
            </w:r>
          </w:p>
        </w:tc>
        <w:tc>
          <w:tcPr>
            <w:tcW w:w="6315" w:type="dxa"/>
            <w:vAlign w:val="center"/>
          </w:tcPr>
          <w:p>
            <w:pPr>
              <w:autoSpaceDE w:val="0"/>
              <w:autoSpaceDN w:val="0"/>
              <w:adjustRightInd w:val="0"/>
              <w:rPr>
                <w:rFonts w:asciiTheme="minorEastAsia" w:hAnsiTheme="minorEastAsia" w:eastAsiaTheme="minorEastAsia" w:cs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t>本条款细化为：</w:t>
            </w:r>
          </w:p>
          <w:p>
            <w:pPr>
              <w:spacing w:beforeLines="0" w:afterLines="0"/>
              <w:jc w:val="left"/>
              <w:rPr>
                <w:rFonts w:hint="eastAsia" w:ascii="宋体" w:hAnsi="宋体" w:eastAsia="宋体"/>
                <w:sz w:val="21"/>
                <w:szCs w:val="24"/>
                <w:highlight w:val="none"/>
              </w:rPr>
            </w:pPr>
            <w:r>
              <w:rPr>
                <w:rFonts w:hint="eastAsia" w:ascii="宋体" w:hAnsi="宋体" w:eastAsia="宋体"/>
                <w:sz w:val="21"/>
                <w:szCs w:val="24"/>
                <w:highlight w:val="none"/>
              </w:rPr>
              <w:t>1、签章。响应文件编制完成后，供应商应使用具有电子签章功能</w:t>
            </w:r>
          </w:p>
          <w:p>
            <w:pPr>
              <w:spacing w:beforeLines="0" w:afterLines="0"/>
              <w:jc w:val="left"/>
              <w:rPr>
                <w:rFonts w:hint="eastAsia" w:ascii="宋体" w:hAnsi="宋体" w:eastAsia="宋体"/>
                <w:sz w:val="21"/>
                <w:szCs w:val="24"/>
                <w:highlight w:val="none"/>
              </w:rPr>
            </w:pPr>
            <w:r>
              <w:rPr>
                <w:rFonts w:hint="eastAsia" w:ascii="宋体" w:hAnsi="宋体" w:eastAsia="宋体"/>
                <w:sz w:val="21"/>
                <w:szCs w:val="24"/>
                <w:highlight w:val="none"/>
              </w:rPr>
              <w:t>的CA锁，对响应文件须盖章的部位加盖电子印章（单位电子公章、</w:t>
            </w:r>
          </w:p>
          <w:p>
            <w:pPr>
              <w:spacing w:beforeLines="0" w:afterLines="0"/>
              <w:jc w:val="left"/>
              <w:rPr>
                <w:rFonts w:hint="eastAsia" w:ascii="宋体" w:hAnsi="宋体" w:eastAsia="宋体"/>
                <w:sz w:val="21"/>
                <w:szCs w:val="24"/>
                <w:highlight w:val="none"/>
              </w:rPr>
            </w:pPr>
            <w:r>
              <w:rPr>
                <w:rFonts w:hint="eastAsia" w:ascii="宋体" w:hAnsi="宋体" w:eastAsia="宋体"/>
                <w:sz w:val="21"/>
                <w:szCs w:val="24"/>
                <w:highlight w:val="none"/>
              </w:rPr>
              <w:t>法定代表人电子人名章）。电子印章与实物印章具有同等法律效力。</w:t>
            </w:r>
          </w:p>
          <w:p>
            <w:pPr>
              <w:spacing w:beforeLines="0" w:afterLines="0"/>
              <w:jc w:val="left"/>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宋体" w:hAnsi="宋体" w:eastAsia="宋体"/>
                <w:sz w:val="21"/>
                <w:szCs w:val="24"/>
                <w:highlight w:val="none"/>
              </w:rPr>
              <w:t>采用扫描粘贴供应商公章或法定代表人方章的，响应文件无效。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529" w:hRule="atLeast"/>
          <w:jc w:val="center"/>
        </w:trPr>
        <w:tc>
          <w:tcPr>
            <w:tcW w:w="814"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19.4</w:t>
            </w:r>
          </w:p>
        </w:tc>
        <w:tc>
          <w:tcPr>
            <w:tcW w:w="2098" w:type="dxa"/>
            <w:vAlign w:val="center"/>
          </w:tcPr>
          <w:p>
            <w:pPr>
              <w:autoSpaceDE w:val="0"/>
              <w:autoSpaceDN w:val="0"/>
              <w:adjustRightInd w:val="0"/>
              <w:jc w:val="center"/>
              <w:rPr>
                <w:rFonts w:hint="eastAsia" w:asciiTheme="minorEastAsia" w:hAnsiTheme="minorEastAsia" w:eastAsiaTheme="minorEastAsia" w:cstheme="minorEastAsia"/>
                <w:color w:val="000000" w:themeColor="text1"/>
                <w:kern w:val="0"/>
                <w:szCs w:val="21"/>
                <w:highlight w:val="none"/>
                <w:lang w:val="zh-CN"/>
                <w14:textFill>
                  <w14:solidFill>
                    <w14:schemeClr w14:val="tx1"/>
                  </w14:solidFill>
                </w14:textFill>
              </w:rPr>
            </w:pPr>
            <w:r>
              <w:rPr>
                <w:rFonts w:hint="eastAsia" w:asciiTheme="minorEastAsia" w:hAnsiTheme="minorEastAsia" w:eastAsiaTheme="minorEastAsia" w:cstheme="minorEastAsia"/>
                <w:color w:val="000000" w:themeColor="text1"/>
                <w:kern w:val="0"/>
                <w:szCs w:val="21"/>
                <w:highlight w:val="none"/>
                <w:lang w:val="zh-CN"/>
                <w14:textFill>
                  <w14:solidFill>
                    <w14:schemeClr w14:val="tx1"/>
                  </w14:solidFill>
                </w14:textFill>
              </w:rPr>
              <w:t>样品</w:t>
            </w:r>
          </w:p>
          <w:p>
            <w:pPr>
              <w:autoSpaceDE w:val="0"/>
              <w:autoSpaceDN w:val="0"/>
              <w:adjustRightInd w:val="0"/>
              <w:jc w:val="center"/>
              <w:rPr>
                <w:rFonts w:asciiTheme="minorEastAsia" w:hAnsiTheme="minorEastAsia" w:eastAsiaTheme="minorEastAsia" w:cs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stheme="minorEastAsia"/>
                <w:b/>
                <w:bCs/>
                <w:snapToGrid w:val="0"/>
                <w:color w:val="000000" w:themeColor="text1"/>
                <w:kern w:val="0"/>
                <w:szCs w:val="21"/>
                <w:highlight w:val="none"/>
                <w:lang w:val="zh-CN"/>
                <w14:textFill>
                  <w14:solidFill>
                    <w14:schemeClr w14:val="tx1"/>
                  </w14:solidFill>
                </w14:textFill>
              </w:rPr>
              <w:t>（</w:t>
            </w:r>
            <w:r>
              <w:rPr>
                <w:rFonts w:hint="eastAsia" w:asciiTheme="minorEastAsia" w:hAnsiTheme="minorEastAsia" w:eastAsiaTheme="minorEastAsia" w:cstheme="minorEastAsia"/>
                <w:b/>
                <w:bCs/>
                <w:snapToGrid w:val="0"/>
                <w:color w:val="000000" w:themeColor="text1"/>
                <w:kern w:val="0"/>
                <w:szCs w:val="21"/>
                <w:highlight w:val="none"/>
                <w14:textFill>
                  <w14:solidFill>
                    <w14:schemeClr w14:val="tx1"/>
                  </w14:solidFill>
                </w14:textFill>
              </w:rPr>
              <w:t>本项目不适用</w:t>
            </w:r>
            <w:r>
              <w:rPr>
                <w:rFonts w:hint="eastAsia" w:asciiTheme="minorEastAsia" w:hAnsiTheme="minorEastAsia" w:eastAsiaTheme="minorEastAsia" w:cstheme="minorEastAsia"/>
                <w:b/>
                <w:bCs/>
                <w:snapToGrid w:val="0"/>
                <w:color w:val="000000" w:themeColor="text1"/>
                <w:kern w:val="0"/>
                <w:szCs w:val="21"/>
                <w:highlight w:val="none"/>
                <w:lang w:val="zh-CN"/>
                <w14:textFill>
                  <w14:solidFill>
                    <w14:schemeClr w14:val="tx1"/>
                  </w14:solidFill>
                </w14:textFill>
              </w:rPr>
              <w:t>）</w:t>
            </w:r>
          </w:p>
        </w:tc>
        <w:tc>
          <w:tcPr>
            <w:tcW w:w="6315" w:type="dxa"/>
            <w:vAlign w:val="center"/>
          </w:tcPr>
          <w:p>
            <w:pPr>
              <w:autoSpaceDE w:val="0"/>
              <w:autoSpaceDN w:val="0"/>
              <w:adjustRightInd w:val="0"/>
              <w:rPr>
                <w:rFonts w:hint="eastAsia" w:asciiTheme="minorEastAsia" w:hAnsiTheme="minorEastAsia" w:eastAsiaTheme="minorEastAsia" w:cstheme="minorEastAsia"/>
                <w:color w:val="000000" w:themeColor="text1"/>
                <w:kern w:val="0"/>
                <w:szCs w:val="21"/>
                <w:highlight w:val="none"/>
                <w:lang w:val="zh-CN"/>
                <w14:textFill>
                  <w14:solidFill>
                    <w14:schemeClr w14:val="tx1"/>
                  </w14:solidFill>
                </w14:textFill>
              </w:rPr>
            </w:pPr>
            <w:r>
              <w:rPr>
                <w:rFonts w:hint="eastAsia" w:asciiTheme="minorEastAsia" w:hAnsiTheme="minorEastAsia" w:eastAsiaTheme="minorEastAsia" w:cstheme="minorEastAsia"/>
                <w:color w:val="000000" w:themeColor="text1"/>
                <w:kern w:val="0"/>
                <w:szCs w:val="21"/>
                <w:highlight w:val="none"/>
                <w:lang w:val="zh-CN"/>
                <w14:textFill>
                  <w14:solidFill>
                    <w14:schemeClr w14:val="tx1"/>
                  </w14:solidFill>
                </w14:textFill>
              </w:rPr>
              <w:t>提交样品的相关规定：要求在磋商时提交样品的，应在样品上标明磋商供应商名称。</w:t>
            </w:r>
          </w:p>
          <w:p>
            <w:pPr>
              <w:autoSpaceDE w:val="0"/>
              <w:autoSpaceDN w:val="0"/>
              <w:adjustRightInd w:val="0"/>
              <w:rPr>
                <w:rFonts w:asciiTheme="minorEastAsia" w:hAnsiTheme="minorEastAsia" w:eastAsiaTheme="minorEastAsia" w:cstheme="minorEastAsia"/>
                <w:color w:val="000000" w:themeColor="text1"/>
                <w:kern w:val="0"/>
                <w:szCs w:val="21"/>
                <w:highlight w:val="none"/>
                <w:lang w:val="zh-CN"/>
                <w14:textFill>
                  <w14:solidFill>
                    <w14:schemeClr w14:val="tx1"/>
                  </w14:solidFill>
                </w14:textFill>
              </w:rPr>
            </w:pPr>
            <w:r>
              <w:rPr>
                <w:rFonts w:hint="eastAsia" w:asciiTheme="minorEastAsia" w:hAnsiTheme="minorEastAsia" w:eastAsiaTheme="minorEastAsia" w:cstheme="minorEastAsia"/>
                <w:color w:val="000000" w:themeColor="text1"/>
                <w:kern w:val="0"/>
                <w:szCs w:val="21"/>
                <w:highlight w:val="none"/>
                <w:lang w:val="zh-CN"/>
                <w14:textFill>
                  <w14:solidFill>
                    <w14:schemeClr w14:val="tx1"/>
                  </w14:solidFill>
                </w14:textFill>
              </w:rPr>
              <w:t>退还样品的相关规定：</w:t>
            </w:r>
            <w: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t>未成交供应商在成交公告发布之日起5个工作日内退还，具体电话通知。成交供应商样品移交采购人做为验收依据，不予退还。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67" w:hRule="atLeast"/>
          <w:jc w:val="center"/>
        </w:trPr>
        <w:tc>
          <w:tcPr>
            <w:tcW w:w="814"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20.1</w:t>
            </w:r>
          </w:p>
        </w:tc>
        <w:tc>
          <w:tcPr>
            <w:tcW w:w="2098"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t>响应文件送达地点及递交截止时间</w:t>
            </w:r>
          </w:p>
        </w:tc>
        <w:tc>
          <w:tcPr>
            <w:tcW w:w="6315" w:type="dxa"/>
            <w:vAlign w:val="center"/>
          </w:tcPr>
          <w:p>
            <w:pPr>
              <w:autoSpaceDE w:val="0"/>
              <w:autoSpaceDN w:val="0"/>
              <w:adjustRightInd w:val="0"/>
              <w:rPr>
                <w:rFonts w:asciiTheme="minorEastAsia" w:hAnsiTheme="minorEastAsia" w:eastAsiaTheme="minorEastAsia" w:cstheme="minorEastAsia"/>
                <w:color w:val="000000" w:themeColor="text1"/>
                <w:highlight w:val="none"/>
                <w:lang w:val="zh-CN"/>
                <w14:textFill>
                  <w14:solidFill>
                    <w14:schemeClr w14:val="tx1"/>
                  </w14:solidFill>
                </w14:textFill>
              </w:rPr>
            </w:pPr>
            <w:r>
              <w:rPr>
                <w:rFonts w:hint="eastAsia" w:asciiTheme="minorEastAsia" w:hAnsiTheme="minorEastAsia" w:eastAsiaTheme="minorEastAsia" w:cstheme="minorEastAsia"/>
                <w:color w:val="000000" w:themeColor="text1"/>
                <w:highlight w:val="none"/>
                <w:lang w:val="zh-CN"/>
                <w14:textFill>
                  <w14:solidFill>
                    <w14:schemeClr w14:val="tx1"/>
                  </w14:solidFill>
                </w14:textFill>
              </w:rPr>
              <w:t>详见第一章第四款相关要求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0" w:hRule="atLeast"/>
          <w:jc w:val="center"/>
        </w:trPr>
        <w:tc>
          <w:tcPr>
            <w:tcW w:w="814"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23.1</w:t>
            </w:r>
          </w:p>
        </w:tc>
        <w:tc>
          <w:tcPr>
            <w:tcW w:w="2098"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t>磋商小组人数</w:t>
            </w:r>
          </w:p>
        </w:tc>
        <w:tc>
          <w:tcPr>
            <w:tcW w:w="6315" w:type="dxa"/>
            <w:vAlign w:val="center"/>
          </w:tcPr>
          <w:p>
            <w:pPr>
              <w:autoSpaceDE w:val="0"/>
              <w:autoSpaceDN w:val="0"/>
              <w:adjustRightInd w:val="0"/>
              <w:jc w:val="left"/>
              <w:rPr>
                <w:highlight w:val="none"/>
                <w:lang w:val="zh-CN"/>
              </w:rPr>
            </w:pPr>
            <w:r>
              <w:rPr>
                <w:rFonts w:hint="eastAsia"/>
                <w:highlight w:val="none"/>
                <w:lang w:val="zh-CN"/>
              </w:rPr>
              <w:t>3人或3人以上单数组成，其中采购人代表最多1人，在专家库中随机抽取。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40" w:hRule="atLeast"/>
          <w:jc w:val="center"/>
        </w:trPr>
        <w:tc>
          <w:tcPr>
            <w:tcW w:w="814"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24.1</w:t>
            </w:r>
          </w:p>
        </w:tc>
        <w:tc>
          <w:tcPr>
            <w:tcW w:w="2098"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b w:val="0"/>
                <w:bCs w:val="0"/>
                <w:snapToGrid w:val="0"/>
                <w:color w:val="000000" w:themeColor="text1"/>
                <w:kern w:val="0"/>
                <w:szCs w:val="21"/>
                <w:highlight w:val="none"/>
                <w14:textFill>
                  <w14:solidFill>
                    <w14:schemeClr w14:val="tx1"/>
                  </w14:solidFill>
                </w14:textFill>
              </w:rPr>
            </w:pPr>
            <w:r>
              <w:rPr>
                <w:rFonts w:hint="eastAsia" w:asciiTheme="minorEastAsia" w:hAnsiTheme="minorEastAsia" w:eastAsiaTheme="minorEastAsia" w:cstheme="minorEastAsia"/>
                <w:b w:val="0"/>
                <w:bCs w:val="0"/>
                <w:snapToGrid w:val="0"/>
                <w:color w:val="000000" w:themeColor="text1"/>
                <w:kern w:val="0"/>
                <w:szCs w:val="21"/>
                <w:highlight w:val="none"/>
                <w14:textFill>
                  <w14:solidFill>
                    <w14:schemeClr w14:val="tx1"/>
                  </w14:solidFill>
                </w14:textFill>
              </w:rPr>
              <w:t>磋商代表</w:t>
            </w:r>
          </w:p>
        </w:tc>
        <w:tc>
          <w:tcPr>
            <w:tcW w:w="6315" w:type="dxa"/>
            <w:vAlign w:val="center"/>
          </w:tcPr>
          <w:p>
            <w:pPr>
              <w:autoSpaceDE w:val="0"/>
              <w:autoSpaceDN w:val="0"/>
              <w:adjustRightInd w:val="0"/>
              <w:jc w:val="left"/>
              <w:rPr>
                <w:rFonts w:hint="eastAsia" w:eastAsia="宋体"/>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zh-CN"/>
                <w14:textFill>
                  <w14:solidFill>
                    <w14:schemeClr w14:val="tx1"/>
                  </w14:solidFill>
                </w14:textFill>
              </w:rPr>
              <w:t>建议供应商拟派出席磋商会议的磋商代表为熟知本项目的技术人员或商务负责人等能</w:t>
            </w:r>
            <w:r>
              <w:rPr>
                <w:rFonts w:hint="eastAsia"/>
                <w:b w:val="0"/>
                <w:bCs w:val="0"/>
                <w:color w:val="000000" w:themeColor="text1"/>
                <w:highlight w:val="none"/>
                <w14:textFill>
                  <w14:solidFill>
                    <w14:schemeClr w14:val="tx1"/>
                  </w14:solidFill>
                </w14:textFill>
              </w:rPr>
              <w:t>为磋商小组详细介绍供应商公司实际情况的</w:t>
            </w:r>
            <w:r>
              <w:rPr>
                <w:rFonts w:hint="eastAsia"/>
                <w:b w:val="0"/>
                <w:bCs w:val="0"/>
                <w:color w:val="000000" w:themeColor="text1"/>
                <w:highlight w:val="none"/>
                <w:lang w:val="en-US" w:eastAsia="zh-CN"/>
                <w14:textFill>
                  <w14:solidFill>
                    <w14:schemeClr w14:val="tx1"/>
                  </w14:solidFill>
                </w14:textFill>
              </w:rPr>
              <w:t>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34" w:hRule="atLeast"/>
          <w:jc w:val="center"/>
        </w:trPr>
        <w:tc>
          <w:tcPr>
            <w:tcW w:w="814"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26.4</w:t>
            </w:r>
          </w:p>
        </w:tc>
        <w:tc>
          <w:tcPr>
            <w:tcW w:w="2098"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t>提交最后报价供应商的确定方式</w:t>
            </w:r>
          </w:p>
        </w:tc>
        <w:tc>
          <w:tcPr>
            <w:tcW w:w="6315" w:type="dxa"/>
            <w:vAlign w:val="center"/>
          </w:tcPr>
          <w:p>
            <w:pPr>
              <w:autoSpaceDE w:val="0"/>
              <w:autoSpaceDN w:val="0"/>
              <w:adjustRightInd w:val="0"/>
              <w:jc w:val="left"/>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t>通过资格性和符合性审查的供应商法人或授权代表应携带湖北省政府电子采购平台具有电子签章功能的CA锁，登录孝感市孝南区政府采购电子平台线上在系统规定时间内完成二次报价</w:t>
            </w:r>
          </w:p>
          <w:p>
            <w:pPr>
              <w:autoSpaceDE w:val="0"/>
              <w:autoSpaceDN w:val="0"/>
              <w:adjustRightInd w:val="0"/>
              <w:jc w:val="left"/>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t>（1）时间：以系统时间为准</w:t>
            </w:r>
          </w:p>
          <w:p>
            <w:pPr>
              <w:autoSpaceDE w:val="0"/>
              <w:autoSpaceDN w:val="0"/>
              <w:adjustRightInd w:val="0"/>
              <w:jc w:val="left"/>
              <w:rPr>
                <w:rFonts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t>（2）地点：孝感市孝南区政府电子采购平台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35" w:hRule="atLeast"/>
          <w:jc w:val="center"/>
        </w:trPr>
        <w:tc>
          <w:tcPr>
            <w:tcW w:w="814"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27.3</w:t>
            </w:r>
          </w:p>
        </w:tc>
        <w:tc>
          <w:tcPr>
            <w:tcW w:w="2098"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t>推荐成交候选</w:t>
            </w:r>
            <w:r>
              <w:rPr>
                <w:rFonts w:hint="eastAsia" w:asciiTheme="minorEastAsia" w:hAnsiTheme="minorEastAsia" w:eastAsiaTheme="minorEastAsia" w:cstheme="minorEastAsia"/>
                <w:snapToGrid w:val="0"/>
                <w:color w:val="000000" w:themeColor="text1"/>
                <w:kern w:val="0"/>
                <w:szCs w:val="21"/>
                <w:highlight w:val="none"/>
                <w14:textFill>
                  <w14:solidFill>
                    <w14:schemeClr w14:val="tx1"/>
                  </w14:solidFill>
                </w14:textFill>
              </w:rPr>
              <w:t>供应商</w:t>
            </w:r>
            <w:r>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t>数量</w:t>
            </w:r>
          </w:p>
        </w:tc>
        <w:tc>
          <w:tcPr>
            <w:tcW w:w="6315" w:type="dxa"/>
            <w:vAlign w:val="center"/>
          </w:tcPr>
          <w:p>
            <w:pPr>
              <w:autoSpaceDE w:val="0"/>
              <w:autoSpaceDN w:val="0"/>
              <w:adjustRightInd w:val="0"/>
              <w:jc w:val="left"/>
              <w:rPr>
                <w:rFonts w:asciiTheme="minorEastAsia" w:hAnsiTheme="minorEastAsia" w:eastAsiaTheme="minorEastAsia" w:cstheme="minorEastAsia"/>
                <w:bCs/>
                <w:color w:val="000000" w:themeColor="text1"/>
                <w:kern w:val="44"/>
                <w:szCs w:val="21"/>
                <w:highlight w:val="none"/>
                <w14:textFill>
                  <w14:solidFill>
                    <w14:schemeClr w14:val="tx1"/>
                  </w14:solidFill>
                </w14:textFill>
              </w:rPr>
            </w:pPr>
            <w:r>
              <w:rPr>
                <w:rFonts w:hint="eastAsia" w:asciiTheme="minorEastAsia" w:hAnsiTheme="minorEastAsia" w:eastAsiaTheme="minorEastAsia" w:cstheme="minorEastAsia"/>
                <w:bCs/>
                <w:color w:val="000000" w:themeColor="text1"/>
                <w:kern w:val="44"/>
                <w:szCs w:val="21"/>
                <w:highlight w:val="none"/>
                <w14:textFill>
                  <w14:solidFill>
                    <w14:schemeClr w14:val="tx1"/>
                  </w14:solidFill>
                </w14:textFill>
              </w:rPr>
              <w:t>本项目推荐</w:t>
            </w:r>
            <w:r>
              <w:rPr>
                <w:rFonts w:hint="eastAsia" w:asciiTheme="minorEastAsia" w:hAnsiTheme="minorEastAsia" w:eastAsiaTheme="minorEastAsia" w:cstheme="minorEastAsia"/>
                <w:bCs/>
                <w:color w:val="000000" w:themeColor="text1"/>
                <w:kern w:val="44"/>
                <w:szCs w:val="21"/>
                <w:highlight w:val="none"/>
                <w:u w:val="single"/>
                <w14:textFill>
                  <w14:solidFill>
                    <w14:schemeClr w14:val="tx1"/>
                  </w14:solidFill>
                </w14:textFill>
              </w:rPr>
              <w:t>3</w:t>
            </w:r>
            <w:r>
              <w:rPr>
                <w:rFonts w:hint="eastAsia" w:asciiTheme="minorEastAsia" w:hAnsiTheme="minorEastAsia" w:eastAsiaTheme="minorEastAsia" w:cstheme="minorEastAsia"/>
                <w:bCs/>
                <w:color w:val="000000" w:themeColor="text1"/>
                <w:kern w:val="44"/>
                <w:szCs w:val="21"/>
                <w:highlight w:val="none"/>
                <w14:textFill>
                  <w14:solidFill>
                    <w14:schemeClr w14:val="tx1"/>
                  </w14:solidFill>
                </w14:textFill>
              </w:rPr>
              <w:t>名成交候选供应商。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7" w:hRule="atLeast"/>
          <w:jc w:val="center"/>
        </w:trPr>
        <w:tc>
          <w:tcPr>
            <w:tcW w:w="814"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28.5</w:t>
            </w:r>
          </w:p>
        </w:tc>
        <w:tc>
          <w:tcPr>
            <w:tcW w:w="2098"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t>成交通知书领取</w:t>
            </w:r>
            <w:r>
              <w:rPr>
                <w:rFonts w:hint="eastAsia" w:asciiTheme="minorEastAsia" w:hAnsiTheme="minorEastAsia" w:eastAsiaTheme="minorEastAsia" w:cstheme="minorEastAsia"/>
                <w:snapToGrid w:val="0"/>
                <w:color w:val="000000" w:themeColor="text1"/>
                <w:kern w:val="0"/>
                <w:szCs w:val="21"/>
                <w:highlight w:val="none"/>
                <w14:textFill>
                  <w14:solidFill>
                    <w14:schemeClr w14:val="tx1"/>
                  </w14:solidFill>
                </w14:textFill>
              </w:rPr>
              <w:t>时</w:t>
            </w:r>
            <w:r>
              <w:rPr>
                <w:rFonts w:hint="eastAsia" w:asciiTheme="minorEastAsia" w:hAnsiTheme="minorEastAsia" w:eastAsiaTheme="minorEastAsia" w:cstheme="minorEastAsia"/>
                <w:snapToGrid w:val="0"/>
                <w:color w:val="000000" w:themeColor="text1"/>
                <w:kern w:val="0"/>
                <w:szCs w:val="21"/>
                <w:highlight w:val="none"/>
                <w:lang w:val="zh-CN"/>
                <w14:textFill>
                  <w14:solidFill>
                    <w14:schemeClr w14:val="tx1"/>
                  </w14:solidFill>
                </w14:textFill>
              </w:rPr>
              <w:t>间</w:t>
            </w:r>
          </w:p>
        </w:tc>
        <w:tc>
          <w:tcPr>
            <w:tcW w:w="6315" w:type="dxa"/>
            <w:vAlign w:val="center"/>
          </w:tcPr>
          <w:p>
            <w:pPr>
              <w:autoSpaceDE w:val="0"/>
              <w:autoSpaceDN w:val="0"/>
              <w:adjustRightInd w:val="0"/>
              <w:jc w:val="left"/>
              <w:rPr>
                <w:rFonts w:asciiTheme="minorEastAsia" w:hAnsiTheme="minorEastAsia" w:eastAsiaTheme="minorEastAsia" w:cstheme="minorEastAsia"/>
                <w:bCs/>
                <w:color w:val="000000" w:themeColor="text1"/>
                <w:kern w:val="44"/>
                <w:szCs w:val="21"/>
                <w:highlight w:val="none"/>
                <w14:textFill>
                  <w14:solidFill>
                    <w14:schemeClr w14:val="tx1"/>
                  </w14:solidFill>
                </w14:textFill>
              </w:rPr>
            </w:pPr>
            <w:r>
              <w:rPr>
                <w:rFonts w:hint="eastAsia" w:asciiTheme="minorEastAsia" w:hAnsiTheme="minorEastAsia" w:eastAsiaTheme="minorEastAsia" w:cstheme="minorEastAsia"/>
                <w:bCs/>
                <w:color w:val="000000" w:themeColor="text1"/>
                <w:kern w:val="44"/>
                <w:szCs w:val="21"/>
                <w:highlight w:val="none"/>
                <w:lang w:val="en-US" w:eastAsia="zh-CN"/>
                <w14:textFill>
                  <w14:solidFill>
                    <w14:schemeClr w14:val="tx1"/>
                  </w14:solidFill>
                </w14:textFill>
              </w:rPr>
              <w:t>成交通知书与成交结果公告同时发出，成交供应商在成交结果公告发布以后即可领取。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7" w:hRule="atLeast"/>
          <w:jc w:val="center"/>
        </w:trPr>
        <w:tc>
          <w:tcPr>
            <w:tcW w:w="9227" w:type="dxa"/>
            <w:gridSpan w:val="3"/>
            <w:vAlign w:val="center"/>
          </w:tcPr>
          <w:p>
            <w:pPr>
              <w:autoSpaceDE w:val="0"/>
              <w:autoSpaceDN w:val="0"/>
              <w:adjustRightInd w:val="0"/>
              <w:snapToGrid w:val="0"/>
              <w:spacing w:beforeLines="10" w:afterLines="10"/>
              <w:ind w:right="21" w:rightChars="10"/>
              <w:jc w:val="center"/>
              <w:rPr>
                <w:rFonts w:asciiTheme="minorEastAsia" w:hAnsiTheme="minorEastAsia" w:eastAsiaTheme="minorEastAsia" w:cstheme="minorEastAsia"/>
                <w:color w:val="000000" w:themeColor="text1"/>
                <w:szCs w:val="21"/>
                <w:highlight w:val="none"/>
                <w:lang w:val="zh-CN"/>
                <w14:textFill>
                  <w14:solidFill>
                    <w14:schemeClr w14:val="tx1"/>
                  </w14:solidFill>
                </w14:textFill>
              </w:rPr>
            </w:pPr>
            <w:r>
              <w:rPr>
                <w:rFonts w:hint="eastAsia" w:asciiTheme="minorEastAsia" w:hAnsiTheme="minorEastAsia" w:eastAsiaTheme="minorEastAsia" w:cstheme="minorEastAsia"/>
                <w:b/>
                <w:bCs/>
                <w:color w:val="000000" w:themeColor="text1"/>
                <w:szCs w:val="21"/>
                <w:highlight w:val="none"/>
                <w14:textFill>
                  <w14:solidFill>
                    <w14:schemeClr w14:val="tx1"/>
                  </w14:solidFill>
                </w14:textFill>
              </w:rPr>
              <w:t>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06" w:hRule="atLeast"/>
          <w:jc w:val="center"/>
        </w:trPr>
        <w:tc>
          <w:tcPr>
            <w:tcW w:w="814" w:type="dxa"/>
            <w:vAlign w:val="center"/>
          </w:tcPr>
          <w:p>
            <w:pPr>
              <w:autoSpaceDE w:val="0"/>
              <w:autoSpaceDN w:val="0"/>
              <w:adjustRightInd w:val="0"/>
              <w:spacing w:beforeLines="10" w:afterLines="10"/>
              <w:ind w:left="21" w:leftChars="10" w:right="21" w:rightChars="10"/>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1</w:t>
            </w:r>
          </w:p>
        </w:tc>
        <w:tc>
          <w:tcPr>
            <w:tcW w:w="2098" w:type="dxa"/>
            <w:vAlign w:val="center"/>
          </w:tcPr>
          <w:p>
            <w:pPr>
              <w:autoSpaceDE w:val="0"/>
              <w:autoSpaceDN w:val="0"/>
              <w:adjustRightInd w:val="0"/>
              <w:spacing w:beforeLines="10" w:afterLines="10"/>
              <w:ind w:left="21" w:leftChars="10" w:right="21" w:rightChars="10"/>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质量目标</w:t>
            </w:r>
          </w:p>
        </w:tc>
        <w:tc>
          <w:tcPr>
            <w:tcW w:w="6315" w:type="dxa"/>
            <w:vAlign w:val="center"/>
          </w:tcPr>
          <w:p>
            <w:pPr>
              <w:autoSpaceDE w:val="0"/>
              <w:autoSpaceDN w:val="0"/>
              <w:adjustRightInd w:val="0"/>
              <w:snapToGrid w:val="0"/>
              <w:spacing w:beforeLines="10" w:afterLines="10"/>
              <w:ind w:right="21" w:rightChars="10"/>
              <w:jc w:val="left"/>
              <w:rPr>
                <w:rFonts w:hint="eastAsia"/>
                <w:highlight w:val="none"/>
                <w:lang w:val="en-US" w:eastAsia="zh-CN"/>
              </w:rPr>
            </w:pPr>
            <w:r>
              <w:rPr>
                <w:rFonts w:hint="eastAsia"/>
                <w:highlight w:val="none"/>
                <w:lang w:val="en-US" w:eastAsia="zh-CN"/>
              </w:rPr>
              <w:t>达到国家规定的合格质量标准。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16" w:hRule="atLeast"/>
          <w:jc w:val="center"/>
        </w:trPr>
        <w:tc>
          <w:tcPr>
            <w:tcW w:w="814" w:type="dxa"/>
            <w:vAlign w:val="center"/>
          </w:tcPr>
          <w:p>
            <w:pPr>
              <w:autoSpaceDE w:val="0"/>
              <w:autoSpaceDN w:val="0"/>
              <w:adjustRightInd w:val="0"/>
              <w:spacing w:beforeLines="10" w:afterLines="10"/>
              <w:ind w:left="21" w:leftChars="10" w:right="21" w:rightChars="10"/>
              <w:jc w:val="cente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2</w:t>
            </w:r>
          </w:p>
        </w:tc>
        <w:tc>
          <w:tcPr>
            <w:tcW w:w="2098"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报价方式</w:t>
            </w:r>
          </w:p>
        </w:tc>
        <w:tc>
          <w:tcPr>
            <w:tcW w:w="6315" w:type="dxa"/>
            <w:vAlign w:val="center"/>
          </w:tcPr>
          <w:p>
            <w:pPr>
              <w:keepNext w:val="0"/>
              <w:keepLines w:val="0"/>
              <w:widowControl/>
              <w:suppressLineNumbers w:val="0"/>
              <w:jc w:val="left"/>
              <w:rPr>
                <w:rFonts w:hint="default"/>
                <w:highlight w:val="none"/>
                <w:lang w:val="en-US" w:eastAsia="zh-CN"/>
              </w:rPr>
            </w:pPr>
            <w:r>
              <w:rPr>
                <w:rFonts w:hint="default"/>
                <w:highlight w:val="none"/>
                <w:lang w:val="en-US" w:eastAsia="zh-CN"/>
              </w:rPr>
              <w:t>磋商供应商在本项目的报价为固定总价。对于本文件中未列明，而磋商供应商认为必需的费用也需列入总报价。在合同实施时，采购人将不予支付成交供应商没有列入的项目费用，并认为此项目的费用已包括在总报价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0" w:hRule="atLeast"/>
          <w:jc w:val="center"/>
        </w:trPr>
        <w:tc>
          <w:tcPr>
            <w:tcW w:w="814" w:type="dxa"/>
            <w:vAlign w:val="center"/>
          </w:tcPr>
          <w:p>
            <w:pPr>
              <w:autoSpaceDE w:val="0"/>
              <w:autoSpaceDN w:val="0"/>
              <w:adjustRightInd w:val="0"/>
              <w:spacing w:beforeLines="10" w:afterLines="10"/>
              <w:ind w:left="21" w:leftChars="10" w:right="21" w:rightChars="10"/>
              <w:jc w:val="center"/>
              <w:rPr>
                <w:rFonts w:hint="default" w:asciiTheme="minorEastAsia" w:hAnsiTheme="minorEastAsia" w:eastAsiaTheme="minorEastAsia" w:cstheme="minorEastAsia"/>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3</w:t>
            </w:r>
          </w:p>
        </w:tc>
        <w:tc>
          <w:tcPr>
            <w:tcW w:w="2098" w:type="dxa"/>
            <w:vAlign w:val="center"/>
          </w:tcPr>
          <w:p>
            <w:pPr>
              <w:autoSpaceDE w:val="0"/>
              <w:autoSpaceDN w:val="0"/>
              <w:adjustRightInd w:val="0"/>
              <w:spacing w:beforeLines="10" w:afterLines="10"/>
              <w:ind w:left="21" w:leftChars="10" w:right="21" w:rightChars="10"/>
              <w:jc w:val="cente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合同存档</w:t>
            </w:r>
          </w:p>
        </w:tc>
        <w:tc>
          <w:tcPr>
            <w:tcW w:w="6315" w:type="dxa"/>
            <w:vAlign w:val="center"/>
          </w:tcPr>
          <w:p>
            <w:pPr>
              <w:autoSpaceDE w:val="0"/>
              <w:autoSpaceDN w:val="0"/>
              <w:adjustRightInd w:val="0"/>
              <w:snapToGrid w:val="0"/>
              <w:spacing w:beforeLines="10" w:afterLines="10"/>
              <w:ind w:right="21" w:rightChars="10"/>
              <w:jc w:val="left"/>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成交供应商签订合同后须将合同扫描件（PDF版）发送至</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506358798</w:t>
            </w:r>
            <w:r>
              <w:rPr>
                <w:rFonts w:hint="eastAsia" w:asciiTheme="minorEastAsia" w:hAnsiTheme="minorEastAsia" w:eastAsiaTheme="minorEastAsia" w:cstheme="minorEastAsia"/>
                <w:color w:val="000000" w:themeColor="text1"/>
                <w:highlight w:val="none"/>
                <w14:textFill>
                  <w14:solidFill>
                    <w14:schemeClr w14:val="tx1"/>
                  </w14:solidFill>
                </w14:textFill>
              </w:rPr>
              <w:t>@qq.com邮箱</w:t>
            </w:r>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或将合同复印件送至湖北政通工程咨询有限公司存档。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7" w:hRule="atLeast"/>
          <w:jc w:val="center"/>
        </w:trPr>
        <w:tc>
          <w:tcPr>
            <w:tcW w:w="814" w:type="dxa"/>
            <w:vAlign w:val="center"/>
          </w:tcPr>
          <w:p>
            <w:pPr>
              <w:autoSpaceDE w:val="0"/>
              <w:autoSpaceDN w:val="0"/>
              <w:adjustRightInd w:val="0"/>
              <w:spacing w:beforeLines="10" w:afterLines="10"/>
              <w:ind w:left="21" w:leftChars="10" w:right="21" w:rightChars="10"/>
              <w:jc w:val="cente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4</w:t>
            </w:r>
          </w:p>
        </w:tc>
        <w:tc>
          <w:tcPr>
            <w:tcW w:w="2098" w:type="dxa"/>
            <w:vAlign w:val="center"/>
          </w:tcPr>
          <w:p>
            <w:pPr>
              <w:autoSpaceDE w:val="0"/>
              <w:autoSpaceDN w:val="0"/>
              <w:adjustRightInd w:val="0"/>
              <w:spacing w:beforeLines="10" w:afterLines="10"/>
              <w:ind w:left="21" w:leftChars="10" w:right="21" w:rightChars="10"/>
              <w:jc w:val="center"/>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踏勘现场</w:t>
            </w:r>
          </w:p>
        </w:tc>
        <w:tc>
          <w:tcPr>
            <w:tcW w:w="6315" w:type="dxa"/>
            <w:vAlign w:val="center"/>
          </w:tcPr>
          <w:p>
            <w:pPr>
              <w:autoSpaceDE w:val="0"/>
              <w:autoSpaceDN w:val="0"/>
              <w:adjustRightInd w:val="0"/>
              <w:snapToGrid w:val="0"/>
              <w:spacing w:beforeLines="10" w:afterLines="10"/>
              <w:ind w:right="21" w:rightChars="10"/>
              <w:jc w:val="left"/>
              <w:rPr>
                <w:rFonts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☑采购人不组织统一踏勘，请各供应商自行踏勘现场；</w:t>
            </w:r>
          </w:p>
          <w:p>
            <w:pPr>
              <w:autoSpaceDE w:val="0"/>
              <w:autoSpaceDN w:val="0"/>
              <w:adjustRightInd w:val="0"/>
              <w:snapToGrid w:val="0"/>
              <w:spacing w:beforeLines="10" w:afterLines="10"/>
              <w:ind w:right="21" w:rightChars="10"/>
              <w:jc w:val="left"/>
              <w:rPr>
                <w:rFonts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 xml:space="preserve">□组织，踏勘时间：                            </w:t>
            </w:r>
          </w:p>
          <w:p>
            <w:pPr>
              <w:autoSpaceDE w:val="0"/>
              <w:autoSpaceDN w:val="0"/>
              <w:adjustRightInd w:val="0"/>
              <w:snapToGrid w:val="0"/>
              <w:spacing w:beforeLines="10" w:afterLines="10"/>
              <w:ind w:right="21" w:rightChars="10"/>
              <w:jc w:val="left"/>
              <w:rPr>
                <w:rFonts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 xml:space="preserve">        踏勘集中地点：</w:t>
            </w:r>
          </w:p>
          <w:p>
            <w:pPr>
              <w:autoSpaceDE w:val="0"/>
              <w:autoSpaceDN w:val="0"/>
              <w:adjustRightInd w:val="0"/>
              <w:snapToGrid w:val="0"/>
              <w:spacing w:beforeLines="10" w:afterLines="10"/>
              <w:ind w:right="21" w:rightChars="10" w:firstLine="840" w:firstLineChars="400"/>
              <w:jc w:val="left"/>
              <w:rPr>
                <w:rFonts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踏勘联系人：</w:t>
            </w:r>
          </w:p>
          <w:p>
            <w:pPr>
              <w:autoSpaceDE w:val="0"/>
              <w:autoSpaceDN w:val="0"/>
              <w:adjustRightInd w:val="0"/>
              <w:snapToGrid w:val="0"/>
              <w:spacing w:beforeLines="10" w:afterLines="10"/>
              <w:ind w:right="21" w:rightChars="10"/>
              <w:jc w:val="left"/>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注：</w:t>
            </w:r>
          </w:p>
          <w:p>
            <w:pPr>
              <w:autoSpaceDE w:val="0"/>
              <w:autoSpaceDN w:val="0"/>
              <w:adjustRightInd w:val="0"/>
              <w:snapToGrid w:val="0"/>
              <w:spacing w:beforeLines="10" w:afterLines="10"/>
              <w:ind w:right="21" w:rightChars="10"/>
              <w:jc w:val="left"/>
              <w:rPr>
                <w:rFonts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1、供应商承担踏勘现场所发生的自身费用；</w:t>
            </w:r>
          </w:p>
          <w:p>
            <w:pPr>
              <w:autoSpaceDE w:val="0"/>
              <w:autoSpaceDN w:val="0"/>
              <w:adjustRightInd w:val="0"/>
              <w:snapToGrid w:val="0"/>
              <w:spacing w:beforeLines="10" w:afterLines="10"/>
              <w:ind w:right="21" w:rightChars="10"/>
              <w:jc w:val="left"/>
              <w:rPr>
                <w:rFonts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2、供应商应承担踏勘现场的责任和风险。</w:t>
            </w:r>
          </w:p>
          <w:p>
            <w:pPr>
              <w:autoSpaceDE w:val="0"/>
              <w:autoSpaceDN w:val="0"/>
              <w:adjustRightInd w:val="0"/>
              <w:snapToGrid w:val="0"/>
              <w:spacing w:beforeLines="10" w:afterLines="10"/>
              <w:ind w:right="21" w:rightChars="10"/>
              <w:jc w:val="left"/>
              <w:rPr>
                <w:rFonts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 xml:space="preserve">3、采购人在踏勘现场中介绍的项目背景及项目现场和相关的周边环境情况，供应商在编制响应文件时参考，采购人和采购代理机构不对供应商据此作出的判断和决策负责。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7" w:hRule="atLeast"/>
          <w:jc w:val="center"/>
        </w:trPr>
        <w:tc>
          <w:tcPr>
            <w:tcW w:w="814" w:type="dxa"/>
            <w:vAlign w:val="center"/>
          </w:tcPr>
          <w:p>
            <w:pPr>
              <w:autoSpaceDE w:val="0"/>
              <w:autoSpaceDN w:val="0"/>
              <w:adjustRightInd w:val="0"/>
              <w:spacing w:beforeLines="10" w:afterLines="10"/>
              <w:ind w:left="21" w:leftChars="10" w:right="21" w:rightChars="10"/>
              <w:jc w:val="center"/>
              <w:rPr>
                <w:rFonts w:hint="default" w:asciiTheme="minorEastAsia" w:hAnsiTheme="minorEastAsia" w:eastAsiaTheme="minorEastAsia" w:cstheme="minorEastAsia"/>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5</w:t>
            </w:r>
          </w:p>
        </w:tc>
        <w:tc>
          <w:tcPr>
            <w:tcW w:w="2098" w:type="dxa"/>
            <w:vAlign w:val="center"/>
          </w:tcPr>
          <w:p>
            <w:pPr>
              <w:autoSpaceDE w:val="0"/>
              <w:autoSpaceDN w:val="0"/>
              <w:adjustRightInd w:val="0"/>
              <w:spacing w:beforeLines="10" w:afterLines="10"/>
              <w:ind w:left="21" w:leftChars="10" w:right="21" w:rightChars="10"/>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imes New Roman" w:hAnsi="Times New Roman"/>
                <w:kern w:val="0"/>
                <w:szCs w:val="21"/>
                <w:highlight w:val="none"/>
              </w:rPr>
              <w:t>电子化流程特别提示</w:t>
            </w:r>
          </w:p>
        </w:tc>
        <w:tc>
          <w:tcPr>
            <w:tcW w:w="6315" w:type="dxa"/>
            <w:vAlign w:val="center"/>
          </w:tcPr>
          <w:p>
            <w:pPr>
              <w:jc w:val="left"/>
              <w:rPr>
                <w:rFonts w:hint="eastAsia" w:ascii="Times New Roman" w:hAnsi="Times New Roman"/>
                <w:kern w:val="0"/>
                <w:szCs w:val="21"/>
                <w:highlight w:val="none"/>
              </w:rPr>
            </w:pPr>
            <w:r>
              <w:rPr>
                <w:rFonts w:hint="eastAsia" w:ascii="Times New Roman" w:hAnsi="Times New Roman"/>
                <w:kern w:val="0"/>
                <w:szCs w:val="21"/>
                <w:highlight w:val="none"/>
              </w:rPr>
              <w:t>（1）本项目采用网上操作，参与本项目供应商应获得湖北省政府电子采购平台（https://dzcg.hubeigp.gov.cn/assets/special/100/hbenterpoint.html）安全证书（CA锁）及电子签章，且安全证书（CA锁）在有效期内。</w:t>
            </w:r>
          </w:p>
          <w:p>
            <w:pPr>
              <w:jc w:val="left"/>
              <w:rPr>
                <w:rFonts w:hint="eastAsia" w:ascii="Times New Roman" w:hAnsi="Times New Roman"/>
                <w:kern w:val="0"/>
                <w:szCs w:val="21"/>
                <w:highlight w:val="none"/>
              </w:rPr>
            </w:pPr>
            <w:r>
              <w:rPr>
                <w:rFonts w:hint="eastAsia" w:ascii="Times New Roman" w:hAnsi="Times New Roman"/>
                <w:kern w:val="0"/>
                <w:szCs w:val="21"/>
                <w:highlight w:val="none"/>
              </w:rPr>
              <w:t>（2）电子响应文件制作及递交等有关操作请在湖北省政府电子采购云平台（https://dzcg.hubeigp.gov.cn/assets/special/100/hbenterpoint.html）下载《供应商操作手册》。</w:t>
            </w:r>
          </w:p>
          <w:p>
            <w:pPr>
              <w:jc w:val="left"/>
              <w:rPr>
                <w:rFonts w:hint="eastAsia" w:ascii="Times New Roman" w:hAnsi="Times New Roman"/>
                <w:kern w:val="0"/>
                <w:szCs w:val="21"/>
                <w:highlight w:val="none"/>
              </w:rPr>
            </w:pPr>
            <w:r>
              <w:rPr>
                <w:rFonts w:hint="eastAsia" w:ascii="Times New Roman" w:hAnsi="Times New Roman"/>
                <w:kern w:val="0"/>
                <w:szCs w:val="21"/>
                <w:highlight w:val="none"/>
              </w:rPr>
              <w:t>（3）交易平台环境要求：</w:t>
            </w:r>
          </w:p>
          <w:p>
            <w:pPr>
              <w:jc w:val="left"/>
              <w:rPr>
                <w:rFonts w:hint="eastAsia" w:ascii="Times New Roman" w:hAnsi="Times New Roman"/>
                <w:kern w:val="0"/>
                <w:szCs w:val="21"/>
                <w:highlight w:val="none"/>
              </w:rPr>
            </w:pPr>
            <w:r>
              <w:rPr>
                <w:rFonts w:hint="eastAsia" w:ascii="Times New Roman" w:hAnsi="Times New Roman"/>
                <w:kern w:val="0"/>
                <w:szCs w:val="21"/>
                <w:highlight w:val="none"/>
              </w:rPr>
              <w:t>①操作系统：Windows 7及以上版本；</w:t>
            </w:r>
          </w:p>
          <w:p>
            <w:pPr>
              <w:jc w:val="left"/>
              <w:rPr>
                <w:rFonts w:hint="eastAsia" w:ascii="Times New Roman" w:hAnsi="Times New Roman"/>
                <w:kern w:val="0"/>
                <w:szCs w:val="21"/>
                <w:highlight w:val="none"/>
              </w:rPr>
            </w:pPr>
            <w:r>
              <w:rPr>
                <w:rFonts w:hint="eastAsia" w:ascii="Times New Roman" w:hAnsi="Times New Roman"/>
                <w:kern w:val="0"/>
                <w:szCs w:val="21"/>
                <w:highlight w:val="none"/>
              </w:rPr>
              <w:t>②浏览器：360浏览器、Internet Explorer 11、10；</w:t>
            </w:r>
          </w:p>
          <w:p>
            <w:pPr>
              <w:jc w:val="left"/>
              <w:rPr>
                <w:rFonts w:hint="eastAsia" w:ascii="Times New Roman" w:hAnsi="Times New Roman"/>
                <w:kern w:val="0"/>
                <w:szCs w:val="21"/>
                <w:highlight w:val="none"/>
              </w:rPr>
            </w:pPr>
            <w:r>
              <w:rPr>
                <w:rFonts w:hint="eastAsia" w:ascii="Times New Roman" w:hAnsi="Times New Roman"/>
                <w:kern w:val="0"/>
                <w:szCs w:val="21"/>
                <w:highlight w:val="none"/>
              </w:rPr>
              <w:t>③办公软件：Microsoft Office 2007-2016完整版、WPS Office 2019个人版、WPS Office 企业版；</w:t>
            </w:r>
          </w:p>
          <w:p>
            <w:pPr>
              <w:jc w:val="left"/>
              <w:rPr>
                <w:rFonts w:hint="eastAsia" w:ascii="Times New Roman" w:hAnsi="Times New Roman"/>
                <w:kern w:val="0"/>
                <w:szCs w:val="21"/>
                <w:highlight w:val="none"/>
              </w:rPr>
            </w:pPr>
            <w:r>
              <w:rPr>
                <w:rFonts w:hint="eastAsia" w:ascii="Times New Roman" w:hAnsi="Times New Roman"/>
                <w:kern w:val="0"/>
                <w:szCs w:val="21"/>
                <w:highlight w:val="none"/>
              </w:rPr>
              <w:t>④PDF软件推荐： 平台自带PDF软件（软件路径：C:\Windows\winaip）。</w:t>
            </w:r>
          </w:p>
          <w:p>
            <w:pPr>
              <w:jc w:val="left"/>
              <w:rPr>
                <w:rFonts w:hint="eastAsia" w:ascii="Times New Roman" w:hAnsi="Times New Roman"/>
                <w:kern w:val="0"/>
                <w:szCs w:val="21"/>
                <w:highlight w:val="none"/>
              </w:rPr>
            </w:pPr>
            <w:r>
              <w:rPr>
                <w:rFonts w:hint="eastAsia" w:ascii="Times New Roman" w:hAnsi="Times New Roman"/>
                <w:kern w:val="0"/>
                <w:szCs w:val="21"/>
                <w:highlight w:val="none"/>
              </w:rPr>
              <w:t>非以上环境可能出现错误影响其报价，登录交易平台时如提示更新插件则必须更新，否则将影响其电子化操作。</w:t>
            </w:r>
          </w:p>
          <w:p>
            <w:pPr>
              <w:jc w:val="left"/>
              <w:rPr>
                <w:rFonts w:hint="eastAsia" w:ascii="Times New Roman" w:hAnsi="Times New Roman"/>
                <w:kern w:val="0"/>
                <w:szCs w:val="21"/>
                <w:highlight w:val="none"/>
              </w:rPr>
            </w:pPr>
            <w:r>
              <w:rPr>
                <w:rFonts w:hint="eastAsia" w:ascii="Times New Roman" w:hAnsi="Times New Roman"/>
                <w:kern w:val="0"/>
                <w:szCs w:val="21"/>
                <w:highlight w:val="none"/>
              </w:rPr>
              <w:t>（4）供应商在点击项目参与后，应测试以模拟数据填写响应数据文件，进行电子盖章，进入“我的投标”界面进行文件上传，以检测其电子投标机器环境是否正常，如有问题请联系平台在线客服获得技术支持。如在临近开标的48小时内发现电子投标机器环境有问题，导致技术支持无法在提交响应文件截止前解决其问题的，供应商自行承担相应责任。</w:t>
            </w:r>
          </w:p>
          <w:p>
            <w:pPr>
              <w:jc w:val="left"/>
              <w:rPr>
                <w:rFonts w:hint="eastAsia" w:ascii="Times New Roman" w:hAnsi="Times New Roman"/>
                <w:kern w:val="0"/>
                <w:szCs w:val="21"/>
                <w:highlight w:val="none"/>
              </w:rPr>
            </w:pPr>
            <w:r>
              <w:rPr>
                <w:rFonts w:hint="eastAsia" w:ascii="Times New Roman" w:hAnsi="Times New Roman"/>
                <w:kern w:val="0"/>
                <w:szCs w:val="21"/>
                <w:highlight w:val="none"/>
              </w:rPr>
              <w:t>（5）响应文件中的相关扫描件应保证清晰度，无法辨认的评审时受到影响的，由供应商自行承担相应责任</w:t>
            </w:r>
          </w:p>
          <w:p>
            <w:pPr>
              <w:jc w:val="left"/>
              <w:rPr>
                <w:rFonts w:hint="eastAsia" w:ascii="Times New Roman" w:hAnsi="Times New Roman"/>
                <w:kern w:val="0"/>
                <w:szCs w:val="21"/>
                <w:highlight w:val="none"/>
              </w:rPr>
            </w:pPr>
            <w:r>
              <w:rPr>
                <w:rFonts w:hint="eastAsia" w:ascii="Times New Roman" w:hAnsi="Times New Roman"/>
                <w:kern w:val="0"/>
                <w:szCs w:val="21"/>
                <w:highlight w:val="none"/>
              </w:rPr>
              <w:t>（6）供应商应按照评审的相关规定及时解密，解密时间原则上不超过30分钟，特殊情况除外，否则按无效投标处理。</w:t>
            </w:r>
          </w:p>
          <w:p>
            <w:pPr>
              <w:jc w:val="left"/>
              <w:rPr>
                <w:rFonts w:hint="eastAsia" w:ascii="Times New Roman" w:hAnsi="Times New Roman"/>
                <w:kern w:val="0"/>
                <w:szCs w:val="21"/>
                <w:highlight w:val="none"/>
              </w:rPr>
            </w:pPr>
            <w:r>
              <w:rPr>
                <w:rFonts w:hint="eastAsia" w:ascii="Times New Roman" w:hAnsi="Times New Roman"/>
                <w:kern w:val="0"/>
                <w:szCs w:val="21"/>
                <w:highlight w:val="none"/>
              </w:rPr>
              <w:t>（7）供应商应牢记加密密码，该密码将用于报价时解密其电子响应文件，如忘记密码或输入错误密码超过5次，其递交的电子响应文件将无法解密，导致无法提取数据和供他人阅读文件，致使其报价失败。</w:t>
            </w:r>
          </w:p>
          <w:p>
            <w:pPr>
              <w:autoSpaceDE w:val="0"/>
              <w:autoSpaceDN w:val="0"/>
              <w:adjustRightInd w:val="0"/>
              <w:snapToGrid w:val="0"/>
              <w:spacing w:beforeLines="10" w:afterLines="10"/>
              <w:ind w:right="21" w:rightChars="10"/>
              <w:jc w:val="left"/>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imes New Roman" w:hAnsi="Times New Roman"/>
                <w:kern w:val="0"/>
                <w:szCs w:val="21"/>
                <w:highlight w:val="none"/>
              </w:rPr>
              <w:t>（8）供应商应充分考虑到网上递交文件会发生的故障风险。对发生的任何故障和风险造成供应商响应内容不一致或利益受损或报价失败的，采购代理机构和采购人不承担任何责任。</w:t>
            </w:r>
          </w:p>
        </w:tc>
      </w:tr>
    </w:tbl>
    <w:p>
      <w:pPr>
        <w:spacing w:line="360" w:lineRule="auto"/>
        <w:outlineLvl w:val="1"/>
        <w:rPr>
          <w:highlight w:val="none"/>
        </w:rPr>
      </w:pPr>
      <w:r>
        <w:rPr>
          <w:rFonts w:hint="eastAsia" w:asciiTheme="minorEastAsia" w:hAnsiTheme="minorEastAsia" w:eastAsiaTheme="minorEastAsia" w:cstheme="minorEastAsia"/>
          <w:b/>
          <w:szCs w:val="21"/>
          <w:highlight w:val="none"/>
        </w:rPr>
        <w:br w:type="page"/>
      </w:r>
      <w:bookmarkStart w:id="73" w:name="_Toc7511"/>
      <w:bookmarkStart w:id="74" w:name="_Toc8730"/>
      <w:bookmarkStart w:id="75" w:name="_Toc18982"/>
      <w:r>
        <w:rPr>
          <w:rFonts w:hint="eastAsia" w:asciiTheme="minorEastAsia" w:hAnsiTheme="minorEastAsia" w:eastAsiaTheme="minorEastAsia" w:cstheme="minorEastAsia"/>
          <w:b/>
          <w:szCs w:val="21"/>
          <w:highlight w:val="none"/>
        </w:rPr>
        <w:t>供应商须知</w:t>
      </w:r>
      <w:bookmarkEnd w:id="73"/>
      <w:bookmarkEnd w:id="74"/>
      <w:bookmarkEnd w:id="75"/>
    </w:p>
    <w:p>
      <w:pPr>
        <w:pStyle w:val="3"/>
        <w:numPr>
          <w:ilvl w:val="0"/>
          <w:numId w:val="0"/>
        </w:numPr>
        <w:bidi w:val="0"/>
        <w:jc w:val="left"/>
        <w:rPr>
          <w:b/>
          <w:bCs/>
          <w:highlight w:val="none"/>
        </w:rPr>
      </w:pPr>
      <w:bookmarkStart w:id="76" w:name="_Toc1190"/>
      <w:bookmarkStart w:id="77" w:name="_Toc30014"/>
      <w:r>
        <w:rPr>
          <w:rFonts w:hint="eastAsia"/>
          <w:b/>
          <w:bCs/>
          <w:highlight w:val="none"/>
          <w:lang w:eastAsia="zh-CN"/>
        </w:rPr>
        <w:t>一、</w:t>
      </w:r>
      <w:r>
        <w:rPr>
          <w:rFonts w:hint="eastAsia"/>
          <w:b/>
          <w:bCs/>
          <w:highlight w:val="none"/>
        </w:rPr>
        <w:t>总则</w:t>
      </w:r>
      <w:bookmarkEnd w:id="76"/>
      <w:bookmarkEnd w:id="77"/>
    </w:p>
    <w:p>
      <w:pPr>
        <w:numPr>
          <w:ilvl w:val="0"/>
          <w:numId w:val="5"/>
        </w:numPr>
        <w:spacing w:line="360" w:lineRule="auto"/>
        <w:ind w:hanging="540"/>
        <w:outlineLvl w:val="1"/>
        <w:rPr>
          <w:rFonts w:asciiTheme="minorEastAsia" w:hAnsiTheme="minorEastAsia" w:eastAsiaTheme="minorEastAsia" w:cstheme="minorEastAsia"/>
          <w:b/>
          <w:szCs w:val="21"/>
          <w:highlight w:val="none"/>
        </w:rPr>
      </w:pPr>
      <w:bookmarkStart w:id="78" w:name="_Toc10915"/>
      <w:bookmarkStart w:id="79" w:name="_Toc28325"/>
      <w:bookmarkStart w:id="80" w:name="_Toc27243"/>
      <w:bookmarkStart w:id="81" w:name="_Toc14453"/>
      <w:r>
        <w:rPr>
          <w:rFonts w:hint="eastAsia" w:asciiTheme="minorEastAsia" w:hAnsiTheme="minorEastAsia" w:eastAsiaTheme="minorEastAsia" w:cstheme="minorEastAsia"/>
          <w:b/>
          <w:szCs w:val="21"/>
          <w:highlight w:val="none"/>
        </w:rPr>
        <w:t>适用法律及范围</w:t>
      </w:r>
      <w:bookmarkEnd w:id="78"/>
      <w:bookmarkEnd w:id="79"/>
      <w:bookmarkEnd w:id="80"/>
      <w:bookmarkEnd w:id="81"/>
    </w:p>
    <w:p>
      <w:pPr>
        <w:numPr>
          <w:ilvl w:val="1"/>
          <w:numId w:val="6"/>
        </w:numPr>
        <w:tabs>
          <w:tab w:val="left" w:pos="540"/>
          <w:tab w:val="clear" w:pos="360"/>
        </w:tabs>
        <w:spacing w:line="360" w:lineRule="auto"/>
        <w:ind w:left="540" w:hanging="54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本竞争性磋商采购文件仅适用于本次竞争性磋商中所述的项目的采购。</w:t>
      </w:r>
    </w:p>
    <w:p>
      <w:pPr>
        <w:numPr>
          <w:ilvl w:val="0"/>
          <w:numId w:val="5"/>
        </w:numPr>
        <w:spacing w:line="360" w:lineRule="auto"/>
        <w:ind w:hanging="540"/>
        <w:outlineLvl w:val="1"/>
        <w:rPr>
          <w:rFonts w:asciiTheme="minorEastAsia" w:hAnsiTheme="minorEastAsia" w:eastAsiaTheme="minorEastAsia" w:cstheme="minorEastAsia"/>
          <w:b/>
          <w:szCs w:val="21"/>
          <w:highlight w:val="none"/>
        </w:rPr>
      </w:pPr>
      <w:bookmarkStart w:id="82" w:name="_Toc18593"/>
      <w:bookmarkStart w:id="83" w:name="_Toc30547"/>
      <w:bookmarkStart w:id="84" w:name="_Toc3113"/>
      <w:bookmarkStart w:id="85" w:name="_Toc4318"/>
      <w:r>
        <w:rPr>
          <w:rFonts w:hint="eastAsia" w:asciiTheme="minorEastAsia" w:hAnsiTheme="minorEastAsia" w:eastAsiaTheme="minorEastAsia" w:cstheme="minorEastAsia"/>
          <w:b/>
          <w:szCs w:val="21"/>
          <w:highlight w:val="none"/>
        </w:rPr>
        <w:t>定义</w:t>
      </w:r>
      <w:bookmarkEnd w:id="82"/>
      <w:bookmarkEnd w:id="83"/>
      <w:bookmarkEnd w:id="84"/>
      <w:bookmarkEnd w:id="85"/>
    </w:p>
    <w:p>
      <w:pPr>
        <w:numPr>
          <w:ilvl w:val="1"/>
          <w:numId w:val="7"/>
        </w:numPr>
        <w:tabs>
          <w:tab w:val="left" w:pos="540"/>
          <w:tab w:val="clear" w:pos="360"/>
        </w:tabs>
        <w:spacing w:line="360" w:lineRule="auto"/>
        <w:ind w:left="540" w:hanging="54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“采购人”：本次磋商的采购人见《供应商须知前附表》。</w:t>
      </w:r>
    </w:p>
    <w:p>
      <w:pPr>
        <w:numPr>
          <w:ilvl w:val="1"/>
          <w:numId w:val="7"/>
        </w:numPr>
        <w:tabs>
          <w:tab w:val="left" w:pos="540"/>
          <w:tab w:val="clear" w:pos="360"/>
        </w:tabs>
        <w:spacing w:line="360" w:lineRule="auto"/>
        <w:ind w:left="540" w:hanging="54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“监管部门”：本次磋商的监管部门见《供应商须知前附表》。</w:t>
      </w:r>
    </w:p>
    <w:p>
      <w:pPr>
        <w:numPr>
          <w:ilvl w:val="1"/>
          <w:numId w:val="7"/>
        </w:numPr>
        <w:tabs>
          <w:tab w:val="left" w:pos="540"/>
          <w:tab w:val="clear" w:pos="360"/>
        </w:tabs>
        <w:spacing w:line="360" w:lineRule="auto"/>
        <w:ind w:left="540" w:hanging="54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“采购代理机构”：本次磋商的采购代理机构见《供应商须知前附表》。</w:t>
      </w:r>
    </w:p>
    <w:p>
      <w:pPr>
        <w:numPr>
          <w:ilvl w:val="1"/>
          <w:numId w:val="7"/>
        </w:numPr>
        <w:tabs>
          <w:tab w:val="left" w:pos="540"/>
          <w:tab w:val="clear" w:pos="360"/>
        </w:tabs>
        <w:spacing w:line="360" w:lineRule="auto"/>
        <w:ind w:left="540" w:hanging="54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“供应商”是指获取本竞争性磋商采购文件的法人、其他组织或者自然人。</w:t>
      </w:r>
    </w:p>
    <w:p>
      <w:pPr>
        <w:numPr>
          <w:ilvl w:val="1"/>
          <w:numId w:val="7"/>
        </w:numPr>
        <w:tabs>
          <w:tab w:val="left" w:pos="540"/>
          <w:tab w:val="clear" w:pos="360"/>
        </w:tabs>
        <w:spacing w:line="360" w:lineRule="auto"/>
        <w:ind w:left="540" w:hanging="54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“磋商供应商”是指</w:t>
      </w:r>
    </w:p>
    <w:p>
      <w:pPr>
        <w:numPr>
          <w:ilvl w:val="3"/>
          <w:numId w:val="5"/>
        </w:numPr>
        <w:tabs>
          <w:tab w:val="left" w:pos="0"/>
          <w:tab w:val="clear" w:pos="2040"/>
        </w:tabs>
        <w:spacing w:line="360" w:lineRule="auto"/>
        <w:ind w:left="0" w:firstLine="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napToGrid w:val="0"/>
          <w:kern w:val="0"/>
          <w:szCs w:val="21"/>
          <w:highlight w:val="none"/>
          <w:lang w:val="zh-CN"/>
        </w:rPr>
        <w:t>符合</w:t>
      </w:r>
      <w:r>
        <w:rPr>
          <w:rFonts w:hint="eastAsia" w:asciiTheme="minorEastAsia" w:hAnsiTheme="minorEastAsia" w:eastAsiaTheme="minorEastAsia" w:cstheme="minorEastAsia"/>
          <w:szCs w:val="21"/>
          <w:highlight w:val="none"/>
        </w:rPr>
        <w:t>具备《中华人民共和国政府采购法》第二十二条规定的条件；</w:t>
      </w:r>
    </w:p>
    <w:p>
      <w:pPr>
        <w:numPr>
          <w:ilvl w:val="3"/>
          <w:numId w:val="5"/>
        </w:numPr>
        <w:tabs>
          <w:tab w:val="left" w:pos="0"/>
          <w:tab w:val="clear" w:pos="2040"/>
        </w:tabs>
        <w:spacing w:line="360" w:lineRule="auto"/>
        <w:ind w:left="0" w:firstLine="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符合《供应商须知前附表》的相应条件；</w:t>
      </w:r>
    </w:p>
    <w:p>
      <w:pPr>
        <w:numPr>
          <w:ilvl w:val="3"/>
          <w:numId w:val="5"/>
        </w:numPr>
        <w:tabs>
          <w:tab w:val="left" w:pos="0"/>
          <w:tab w:val="clear" w:pos="2040"/>
        </w:tabs>
        <w:spacing w:line="360" w:lineRule="auto"/>
        <w:ind w:left="0" w:firstLine="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通过竞争性磋商采购评定办法中初步审核的供应商。</w:t>
      </w:r>
    </w:p>
    <w:p>
      <w:pPr>
        <w:numPr>
          <w:ilvl w:val="1"/>
          <w:numId w:val="7"/>
        </w:numPr>
        <w:tabs>
          <w:tab w:val="left" w:pos="540"/>
          <w:tab w:val="clear" w:pos="360"/>
        </w:tabs>
        <w:spacing w:line="360" w:lineRule="auto"/>
        <w:ind w:left="540" w:hanging="54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 “成交供应商”</w:t>
      </w:r>
      <w:r>
        <w:rPr>
          <w:rFonts w:hint="eastAsia" w:asciiTheme="minorEastAsia" w:hAnsiTheme="minorEastAsia" w:eastAsiaTheme="minorEastAsia" w:cstheme="minorEastAsia"/>
          <w:snapToGrid w:val="0"/>
          <w:kern w:val="0"/>
          <w:szCs w:val="21"/>
          <w:highlight w:val="none"/>
          <w:lang w:val="zh-CN"/>
        </w:rPr>
        <w:t xml:space="preserve"> 是指经评审委员会评审推荐，采购人授予合同的供应商。</w:t>
      </w:r>
    </w:p>
    <w:p>
      <w:pPr>
        <w:numPr>
          <w:ilvl w:val="0"/>
          <w:numId w:val="5"/>
        </w:numPr>
        <w:spacing w:line="360" w:lineRule="auto"/>
        <w:ind w:hanging="540"/>
        <w:outlineLvl w:val="1"/>
        <w:rPr>
          <w:rFonts w:asciiTheme="minorEastAsia" w:hAnsiTheme="minorEastAsia" w:eastAsiaTheme="minorEastAsia" w:cstheme="minorEastAsia"/>
          <w:b/>
          <w:szCs w:val="21"/>
          <w:highlight w:val="none"/>
        </w:rPr>
      </w:pPr>
      <w:bookmarkStart w:id="86" w:name="_Toc20938"/>
      <w:bookmarkStart w:id="87" w:name="_Toc30503"/>
      <w:bookmarkStart w:id="88" w:name="_Toc12261"/>
      <w:bookmarkStart w:id="89" w:name="_Toc21683"/>
      <w:r>
        <w:rPr>
          <w:rFonts w:hint="eastAsia" w:asciiTheme="minorEastAsia" w:hAnsiTheme="minorEastAsia" w:eastAsiaTheme="minorEastAsia" w:cstheme="minorEastAsia"/>
          <w:b/>
          <w:snapToGrid w:val="0"/>
          <w:kern w:val="0"/>
          <w:szCs w:val="21"/>
          <w:highlight w:val="none"/>
          <w:lang w:val="zh-CN"/>
        </w:rPr>
        <w:t>工程、货物及服务</w:t>
      </w:r>
      <w:bookmarkEnd w:id="86"/>
      <w:bookmarkEnd w:id="87"/>
      <w:bookmarkEnd w:id="88"/>
      <w:bookmarkEnd w:id="89"/>
    </w:p>
    <w:p>
      <w:pPr>
        <w:numPr>
          <w:ilvl w:val="1"/>
          <w:numId w:val="8"/>
        </w:numPr>
        <w:tabs>
          <w:tab w:val="left" w:pos="525"/>
          <w:tab w:val="clear" w:pos="360"/>
        </w:tabs>
        <w:spacing w:line="360" w:lineRule="auto"/>
        <w:ind w:left="540" w:hanging="540"/>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“工程”是指建设工程，包括建筑物和构筑物的新建、改建、扩建及其相关的装修、拆除、修缮等。</w:t>
      </w:r>
    </w:p>
    <w:p>
      <w:pPr>
        <w:numPr>
          <w:ilvl w:val="1"/>
          <w:numId w:val="8"/>
        </w:numPr>
        <w:tabs>
          <w:tab w:val="left" w:pos="525"/>
          <w:tab w:val="clear" w:pos="360"/>
        </w:tabs>
        <w:spacing w:line="360" w:lineRule="auto"/>
        <w:ind w:left="540" w:hanging="540"/>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“货物”是指各种形态和种类的物品，包括原材料、燃料、设备、产品等。</w:t>
      </w:r>
    </w:p>
    <w:p>
      <w:pPr>
        <w:numPr>
          <w:ilvl w:val="1"/>
          <w:numId w:val="8"/>
        </w:numPr>
        <w:tabs>
          <w:tab w:val="left" w:pos="540"/>
          <w:tab w:val="clear" w:pos="360"/>
        </w:tabs>
        <w:spacing w:line="360" w:lineRule="auto"/>
        <w:ind w:left="540" w:hanging="540"/>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服务”是指是指除货物（指各种形态和种类的物品，包括原材料、燃料、设备、产品等）和工程（指建设工程，包括建筑物和构筑物的新建、改建、扩建及其相关的装修、拆除、修缮等）以外的其他政府采购对象。</w:t>
      </w:r>
    </w:p>
    <w:p>
      <w:pPr>
        <w:numPr>
          <w:ilvl w:val="0"/>
          <w:numId w:val="5"/>
        </w:numPr>
        <w:spacing w:line="360" w:lineRule="auto"/>
        <w:ind w:hanging="540"/>
        <w:outlineLvl w:val="1"/>
        <w:rPr>
          <w:rFonts w:asciiTheme="minorEastAsia" w:hAnsiTheme="minorEastAsia" w:eastAsiaTheme="minorEastAsia" w:cstheme="minorEastAsia"/>
          <w:b/>
          <w:szCs w:val="21"/>
          <w:highlight w:val="none"/>
        </w:rPr>
      </w:pPr>
      <w:bookmarkStart w:id="90" w:name="_Toc9974"/>
      <w:bookmarkStart w:id="91" w:name="_Toc32673"/>
      <w:bookmarkStart w:id="92" w:name="_Toc17285"/>
      <w:bookmarkStart w:id="93" w:name="_Toc3759"/>
      <w:r>
        <w:rPr>
          <w:rFonts w:hint="eastAsia" w:asciiTheme="minorEastAsia" w:hAnsiTheme="minorEastAsia" w:eastAsiaTheme="minorEastAsia" w:cstheme="minorEastAsia"/>
          <w:b/>
          <w:szCs w:val="21"/>
          <w:highlight w:val="none"/>
        </w:rPr>
        <w:t>费用</w:t>
      </w:r>
      <w:bookmarkEnd w:id="90"/>
      <w:bookmarkEnd w:id="91"/>
      <w:bookmarkEnd w:id="92"/>
      <w:bookmarkEnd w:id="93"/>
    </w:p>
    <w:p>
      <w:pPr>
        <w:numPr>
          <w:ilvl w:val="1"/>
          <w:numId w:val="9"/>
        </w:numPr>
        <w:tabs>
          <w:tab w:val="left" w:pos="540"/>
          <w:tab w:val="clear" w:pos="360"/>
        </w:tabs>
        <w:spacing w:line="360" w:lineRule="auto"/>
        <w:ind w:left="540" w:hanging="54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供应商应承担所有与准备和参加磋商有关的费用，不论磋商的结果如何，采购人和采购代理机构均无义务和责任承担这些费用。</w:t>
      </w:r>
    </w:p>
    <w:p>
      <w:pPr>
        <w:numPr>
          <w:ilvl w:val="1"/>
          <w:numId w:val="9"/>
        </w:numPr>
        <w:tabs>
          <w:tab w:val="left" w:pos="540"/>
          <w:tab w:val="clear" w:pos="360"/>
        </w:tabs>
        <w:spacing w:line="360" w:lineRule="auto"/>
        <w:ind w:left="540" w:hanging="540"/>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招标代理服务费：成交供应商须在收到成交通知书时向采购代理机构支付招标代理服务费。服务费支付标准和方法详见《供应商须知前附表》。</w:t>
      </w:r>
    </w:p>
    <w:p>
      <w:pPr>
        <w:numPr>
          <w:ilvl w:val="1"/>
          <w:numId w:val="9"/>
        </w:numPr>
        <w:tabs>
          <w:tab w:val="left" w:pos="525"/>
          <w:tab w:val="clear" w:pos="360"/>
        </w:tabs>
        <w:autoSpaceDE w:val="0"/>
        <w:autoSpaceDN w:val="0"/>
        <w:adjustRightInd w:val="0"/>
        <w:spacing w:line="360" w:lineRule="auto"/>
        <w:ind w:left="0" w:firstLine="0"/>
        <w:jc w:val="left"/>
        <w:rPr>
          <w:rFonts w:hint="eastAsia" w:ascii="宋体" w:hAnsi="宋体" w:cs="宋体"/>
          <w:snapToGrid w:val="0"/>
          <w:kern w:val="0"/>
          <w:sz w:val="21"/>
          <w:szCs w:val="21"/>
          <w:highlight w:val="none"/>
        </w:rPr>
      </w:pPr>
      <w:r>
        <w:rPr>
          <w:rFonts w:hint="eastAsia" w:ascii="宋体" w:hAnsi="宋体" w:cs="宋体"/>
          <w:snapToGrid w:val="0"/>
          <w:kern w:val="0"/>
          <w:sz w:val="21"/>
          <w:szCs w:val="21"/>
          <w:highlight w:val="none"/>
          <w:lang w:val="zh-CN"/>
        </w:rPr>
        <w:t>国家计委计价格[2002]1980 号规定标准收费：</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255"/>
        <w:gridCol w:w="2255"/>
        <w:gridCol w:w="2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523"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中标金额（万元）</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货物</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服务</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2523"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100以下</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1.5%</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1.5%</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523"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100-500</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1.1%</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0.8%</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523"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500-1000</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0.8%</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0.45%</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523"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1000-5000</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0.5%</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0.25%</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523"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5000-10000</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0.25%</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0.1%</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523"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10000-100000</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0.05%</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0.05%</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523"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100000以上</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0.01%</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0.01%</w:t>
            </w:r>
          </w:p>
        </w:tc>
        <w:tc>
          <w:tcPr>
            <w:tcW w:w="2255" w:type="dxa"/>
            <w:noWrap w:val="0"/>
            <w:vAlign w:val="top"/>
          </w:tcPr>
          <w:p>
            <w:pPr>
              <w:autoSpaceDE w:val="0"/>
              <w:autoSpaceDN w:val="0"/>
              <w:snapToGrid w:val="0"/>
              <w:spacing w:line="480" w:lineRule="exact"/>
              <w:jc w:val="left"/>
              <w:rPr>
                <w:rFonts w:hint="eastAsia" w:ascii="宋体" w:hAnsi="宋体" w:cs="宋体"/>
                <w:sz w:val="21"/>
                <w:szCs w:val="21"/>
                <w:highlight w:val="none"/>
              </w:rPr>
            </w:pPr>
            <w:r>
              <w:rPr>
                <w:rFonts w:hint="eastAsia" w:ascii="宋体" w:hAnsi="宋体" w:cs="宋体"/>
                <w:sz w:val="21"/>
                <w:szCs w:val="21"/>
                <w:highlight w:val="none"/>
              </w:rPr>
              <w:t>0.01%</w:t>
            </w:r>
          </w:p>
        </w:tc>
      </w:tr>
    </w:tbl>
    <w:p>
      <w:pPr>
        <w:tabs>
          <w:tab w:val="left" w:pos="525"/>
        </w:tabs>
        <w:autoSpaceDE w:val="0"/>
        <w:autoSpaceDN w:val="0"/>
        <w:adjustRightInd w:val="0"/>
        <w:spacing w:line="360" w:lineRule="auto"/>
        <w:jc w:val="left"/>
        <w:rPr>
          <w:rFonts w:hint="eastAsia" w:ascii="宋体" w:hAnsi="宋体" w:cs="宋体"/>
          <w:snapToGrid w:val="0"/>
          <w:kern w:val="0"/>
          <w:sz w:val="21"/>
          <w:szCs w:val="21"/>
          <w:highlight w:val="none"/>
        </w:rPr>
      </w:pPr>
      <w:r>
        <w:rPr>
          <w:rFonts w:hint="eastAsia" w:ascii="宋体" w:hAnsi="宋体" w:cs="宋体"/>
          <w:snapToGrid w:val="0"/>
          <w:kern w:val="0"/>
          <w:sz w:val="21"/>
          <w:szCs w:val="21"/>
          <w:highlight w:val="none"/>
        </w:rPr>
        <w:t>注：招标代理服务收费按差额定率累进法计算。例如：某货物招标代理业务中标金额为 6000万元，计算招标代理服务收费额如下：</w:t>
      </w:r>
    </w:p>
    <w:p>
      <w:pPr>
        <w:tabs>
          <w:tab w:val="left" w:pos="525"/>
        </w:tabs>
        <w:autoSpaceDE w:val="0"/>
        <w:autoSpaceDN w:val="0"/>
        <w:adjustRightInd w:val="0"/>
        <w:spacing w:line="360" w:lineRule="auto"/>
        <w:jc w:val="left"/>
        <w:rPr>
          <w:rFonts w:hint="eastAsia" w:ascii="宋体" w:hAnsi="宋体" w:cs="宋体"/>
          <w:snapToGrid w:val="0"/>
          <w:kern w:val="0"/>
          <w:sz w:val="21"/>
          <w:szCs w:val="21"/>
          <w:highlight w:val="none"/>
        </w:rPr>
      </w:pPr>
      <w:r>
        <w:rPr>
          <w:rFonts w:hint="eastAsia" w:ascii="宋体" w:hAnsi="宋体" w:cs="宋体"/>
          <w:snapToGrid w:val="0"/>
          <w:kern w:val="0"/>
          <w:sz w:val="21"/>
          <w:szCs w:val="21"/>
          <w:highlight w:val="none"/>
        </w:rPr>
        <w:t>0---100：100×1.500％=15000.000元</w:t>
      </w:r>
    </w:p>
    <w:p>
      <w:pPr>
        <w:tabs>
          <w:tab w:val="left" w:pos="525"/>
        </w:tabs>
        <w:autoSpaceDE w:val="0"/>
        <w:autoSpaceDN w:val="0"/>
        <w:adjustRightInd w:val="0"/>
        <w:spacing w:line="360" w:lineRule="auto"/>
        <w:jc w:val="left"/>
        <w:rPr>
          <w:rFonts w:hint="eastAsia" w:ascii="宋体" w:hAnsi="宋体" w:cs="宋体"/>
          <w:snapToGrid w:val="0"/>
          <w:kern w:val="0"/>
          <w:sz w:val="21"/>
          <w:szCs w:val="21"/>
          <w:highlight w:val="none"/>
        </w:rPr>
      </w:pPr>
      <w:r>
        <w:rPr>
          <w:rFonts w:hint="eastAsia" w:ascii="宋体" w:hAnsi="宋体" w:cs="宋体"/>
          <w:snapToGrid w:val="0"/>
          <w:kern w:val="0"/>
          <w:sz w:val="21"/>
          <w:szCs w:val="21"/>
          <w:highlight w:val="none"/>
        </w:rPr>
        <w:t>100---500：400×1.100％=44000.000元</w:t>
      </w:r>
    </w:p>
    <w:p>
      <w:pPr>
        <w:tabs>
          <w:tab w:val="left" w:pos="525"/>
        </w:tabs>
        <w:autoSpaceDE w:val="0"/>
        <w:autoSpaceDN w:val="0"/>
        <w:adjustRightInd w:val="0"/>
        <w:spacing w:line="360" w:lineRule="auto"/>
        <w:jc w:val="left"/>
        <w:rPr>
          <w:rFonts w:hint="eastAsia" w:ascii="宋体" w:hAnsi="宋体" w:cs="宋体"/>
          <w:snapToGrid w:val="0"/>
          <w:kern w:val="0"/>
          <w:sz w:val="21"/>
          <w:szCs w:val="21"/>
          <w:highlight w:val="none"/>
        </w:rPr>
      </w:pPr>
      <w:r>
        <w:rPr>
          <w:rFonts w:hint="eastAsia" w:ascii="宋体" w:hAnsi="宋体" w:cs="宋体"/>
          <w:snapToGrid w:val="0"/>
          <w:kern w:val="0"/>
          <w:sz w:val="21"/>
          <w:szCs w:val="21"/>
          <w:highlight w:val="none"/>
        </w:rPr>
        <w:t>500---1000：500×0.800％=40000.000元</w:t>
      </w:r>
    </w:p>
    <w:p>
      <w:pPr>
        <w:tabs>
          <w:tab w:val="left" w:pos="525"/>
        </w:tabs>
        <w:autoSpaceDE w:val="0"/>
        <w:autoSpaceDN w:val="0"/>
        <w:adjustRightInd w:val="0"/>
        <w:spacing w:line="360" w:lineRule="auto"/>
        <w:jc w:val="left"/>
        <w:rPr>
          <w:rFonts w:hint="eastAsia" w:ascii="宋体" w:hAnsi="宋体" w:cs="宋体"/>
          <w:snapToGrid w:val="0"/>
          <w:kern w:val="0"/>
          <w:sz w:val="21"/>
          <w:szCs w:val="21"/>
          <w:highlight w:val="none"/>
        </w:rPr>
      </w:pPr>
      <w:r>
        <w:rPr>
          <w:rFonts w:hint="eastAsia" w:ascii="宋体" w:hAnsi="宋体" w:cs="宋体"/>
          <w:snapToGrid w:val="0"/>
          <w:kern w:val="0"/>
          <w:sz w:val="21"/>
          <w:szCs w:val="21"/>
          <w:highlight w:val="none"/>
        </w:rPr>
        <w:t>1000---5000：4000×0.500％=200000.000元</w:t>
      </w:r>
    </w:p>
    <w:p>
      <w:pPr>
        <w:tabs>
          <w:tab w:val="left" w:pos="525"/>
        </w:tabs>
        <w:autoSpaceDE w:val="0"/>
        <w:autoSpaceDN w:val="0"/>
        <w:adjustRightInd w:val="0"/>
        <w:spacing w:line="360" w:lineRule="auto"/>
        <w:jc w:val="left"/>
        <w:rPr>
          <w:rFonts w:hint="eastAsia" w:ascii="宋体" w:hAnsi="宋体" w:cs="宋体"/>
          <w:snapToGrid w:val="0"/>
          <w:kern w:val="0"/>
          <w:sz w:val="21"/>
          <w:szCs w:val="21"/>
          <w:highlight w:val="none"/>
        </w:rPr>
      </w:pPr>
      <w:r>
        <w:rPr>
          <w:rFonts w:hint="eastAsia" w:ascii="宋体" w:hAnsi="宋体" w:cs="宋体"/>
          <w:snapToGrid w:val="0"/>
          <w:kern w:val="0"/>
          <w:sz w:val="21"/>
          <w:szCs w:val="21"/>
          <w:highlight w:val="none"/>
        </w:rPr>
        <w:t>5000---6000：1000×0.250％=25000.000元</w:t>
      </w:r>
    </w:p>
    <w:p>
      <w:pPr>
        <w:tabs>
          <w:tab w:val="left" w:pos="525"/>
        </w:tabs>
        <w:autoSpaceDE w:val="0"/>
        <w:autoSpaceDN w:val="0"/>
        <w:adjustRightInd w:val="0"/>
        <w:spacing w:line="360" w:lineRule="auto"/>
        <w:jc w:val="left"/>
        <w:rPr>
          <w:rFonts w:asciiTheme="minorEastAsia" w:hAnsiTheme="minorEastAsia" w:eastAsiaTheme="minorEastAsia" w:cstheme="minorEastAsia"/>
          <w:snapToGrid w:val="0"/>
          <w:kern w:val="0"/>
          <w:szCs w:val="21"/>
          <w:highlight w:val="none"/>
          <w:lang w:val="zh-CN"/>
        </w:rPr>
      </w:pPr>
      <w:r>
        <w:rPr>
          <w:rFonts w:hint="eastAsia" w:ascii="宋体" w:hAnsi="宋体" w:cs="宋体"/>
          <w:snapToGrid w:val="0"/>
          <w:kern w:val="0"/>
          <w:sz w:val="21"/>
          <w:szCs w:val="21"/>
          <w:highlight w:val="none"/>
        </w:rPr>
        <w:t>合计收费=324000.000元</w:t>
      </w:r>
    </w:p>
    <w:p>
      <w:pPr>
        <w:pStyle w:val="3"/>
        <w:numPr>
          <w:ilvl w:val="0"/>
          <w:numId w:val="0"/>
        </w:numPr>
        <w:bidi w:val="0"/>
        <w:spacing w:line="360" w:lineRule="auto"/>
        <w:rPr>
          <w:b/>
          <w:bCs/>
          <w:highlight w:val="none"/>
        </w:rPr>
      </w:pPr>
      <w:bookmarkStart w:id="94" w:name="_Toc505"/>
      <w:bookmarkStart w:id="95" w:name="_Toc28953"/>
      <w:r>
        <w:rPr>
          <w:rFonts w:hint="eastAsia"/>
          <w:b/>
          <w:bCs/>
          <w:highlight w:val="none"/>
          <w:lang w:eastAsia="zh-CN"/>
        </w:rPr>
        <w:t>二、</w:t>
      </w:r>
      <w:r>
        <w:rPr>
          <w:rFonts w:hint="eastAsia"/>
          <w:b/>
          <w:bCs/>
          <w:highlight w:val="none"/>
        </w:rPr>
        <w:t>竞争性磋商采购文件</w:t>
      </w:r>
      <w:bookmarkEnd w:id="94"/>
      <w:bookmarkEnd w:id="95"/>
    </w:p>
    <w:p>
      <w:pPr>
        <w:numPr>
          <w:ilvl w:val="0"/>
          <w:numId w:val="5"/>
        </w:numPr>
        <w:spacing w:line="360" w:lineRule="auto"/>
        <w:ind w:hanging="540"/>
        <w:outlineLvl w:val="1"/>
        <w:rPr>
          <w:rFonts w:asciiTheme="minorEastAsia" w:hAnsiTheme="minorEastAsia" w:eastAsiaTheme="minorEastAsia" w:cstheme="minorEastAsia"/>
          <w:b/>
          <w:szCs w:val="21"/>
          <w:highlight w:val="none"/>
        </w:rPr>
      </w:pPr>
      <w:bookmarkStart w:id="96" w:name="_Toc32330"/>
      <w:bookmarkStart w:id="97" w:name="_Toc3607"/>
      <w:bookmarkStart w:id="98" w:name="_Toc4547"/>
      <w:bookmarkStart w:id="99" w:name="_Toc16437"/>
      <w:r>
        <w:rPr>
          <w:rFonts w:hint="eastAsia" w:asciiTheme="minorEastAsia" w:hAnsiTheme="minorEastAsia" w:eastAsiaTheme="minorEastAsia" w:cstheme="minorEastAsia"/>
          <w:b/>
          <w:szCs w:val="21"/>
          <w:highlight w:val="none"/>
        </w:rPr>
        <w:t>竞争性磋商采购文件的构成</w:t>
      </w:r>
      <w:bookmarkEnd w:id="96"/>
      <w:bookmarkEnd w:id="97"/>
      <w:bookmarkEnd w:id="98"/>
      <w:bookmarkEnd w:id="99"/>
    </w:p>
    <w:p>
      <w:pPr>
        <w:numPr>
          <w:ilvl w:val="1"/>
          <w:numId w:val="10"/>
        </w:numPr>
        <w:tabs>
          <w:tab w:val="left" w:pos="540"/>
          <w:tab w:val="clear" w:pos="360"/>
        </w:tabs>
        <w:spacing w:line="360" w:lineRule="auto"/>
        <w:ind w:left="540" w:hanging="54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napToGrid w:val="0"/>
          <w:kern w:val="0"/>
          <w:szCs w:val="21"/>
          <w:highlight w:val="none"/>
          <w:lang w:val="zh-CN"/>
        </w:rPr>
        <w:t>本竞争性磋商采购文件包括：</w:t>
      </w:r>
    </w:p>
    <w:p>
      <w:pPr>
        <w:numPr>
          <w:ilvl w:val="3"/>
          <w:numId w:val="5"/>
        </w:numPr>
        <w:tabs>
          <w:tab w:val="left" w:pos="540"/>
          <w:tab w:val="clear" w:pos="2040"/>
        </w:tabs>
        <w:spacing w:line="360" w:lineRule="auto"/>
        <w:ind w:left="540" w:hanging="54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磋商公告（代磋商邀请函）</w:t>
      </w:r>
    </w:p>
    <w:p>
      <w:pPr>
        <w:numPr>
          <w:ilvl w:val="3"/>
          <w:numId w:val="5"/>
        </w:numPr>
        <w:tabs>
          <w:tab w:val="left" w:pos="540"/>
          <w:tab w:val="clear" w:pos="2040"/>
        </w:tabs>
        <w:spacing w:line="360" w:lineRule="auto"/>
        <w:ind w:left="540" w:hanging="54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供应商须知</w:t>
      </w:r>
    </w:p>
    <w:p>
      <w:pPr>
        <w:numPr>
          <w:ilvl w:val="3"/>
          <w:numId w:val="5"/>
        </w:numPr>
        <w:tabs>
          <w:tab w:val="left" w:pos="540"/>
          <w:tab w:val="clear" w:pos="2040"/>
        </w:tabs>
        <w:spacing w:line="360" w:lineRule="auto"/>
        <w:ind w:left="540" w:hanging="54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采购需求</w:t>
      </w:r>
    </w:p>
    <w:p>
      <w:pPr>
        <w:numPr>
          <w:ilvl w:val="3"/>
          <w:numId w:val="5"/>
        </w:numPr>
        <w:tabs>
          <w:tab w:val="left" w:pos="540"/>
          <w:tab w:val="clear" w:pos="2040"/>
        </w:tabs>
        <w:spacing w:line="360" w:lineRule="auto"/>
        <w:ind w:left="540" w:hanging="54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竞争性磋商采购评定办法</w:t>
      </w:r>
    </w:p>
    <w:p>
      <w:pPr>
        <w:numPr>
          <w:ilvl w:val="3"/>
          <w:numId w:val="5"/>
        </w:numPr>
        <w:tabs>
          <w:tab w:val="left" w:pos="540"/>
          <w:tab w:val="clear" w:pos="2040"/>
        </w:tabs>
        <w:spacing w:line="360" w:lineRule="auto"/>
        <w:ind w:left="540" w:hanging="54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合同书格式</w:t>
      </w:r>
    </w:p>
    <w:p>
      <w:pPr>
        <w:numPr>
          <w:ilvl w:val="3"/>
          <w:numId w:val="5"/>
        </w:numPr>
        <w:tabs>
          <w:tab w:val="left" w:pos="540"/>
          <w:tab w:val="clear" w:pos="2040"/>
        </w:tabs>
        <w:spacing w:line="360" w:lineRule="auto"/>
        <w:ind w:left="540" w:hanging="54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竞争性磋商响应文件格式</w:t>
      </w:r>
    </w:p>
    <w:p>
      <w:pPr>
        <w:numPr>
          <w:ilvl w:val="3"/>
          <w:numId w:val="5"/>
        </w:numPr>
        <w:tabs>
          <w:tab w:val="left" w:pos="540"/>
          <w:tab w:val="clear" w:pos="2040"/>
        </w:tabs>
        <w:spacing w:line="360" w:lineRule="auto"/>
        <w:ind w:left="540" w:hanging="54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napToGrid w:val="0"/>
          <w:kern w:val="0"/>
          <w:szCs w:val="21"/>
          <w:highlight w:val="none"/>
          <w:lang w:val="zh-CN"/>
        </w:rPr>
        <w:t>采购过程中由采购代理机构发出的澄清和修正文件</w:t>
      </w:r>
    </w:p>
    <w:p>
      <w:pPr>
        <w:numPr>
          <w:ilvl w:val="3"/>
          <w:numId w:val="5"/>
        </w:numPr>
        <w:tabs>
          <w:tab w:val="left" w:pos="540"/>
          <w:tab w:val="clear" w:pos="2040"/>
        </w:tabs>
        <w:spacing w:line="360" w:lineRule="auto"/>
        <w:ind w:left="540" w:hanging="54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评审委员会在磋商过程中发出的对本磋商文件的实质性变动</w:t>
      </w:r>
    </w:p>
    <w:p>
      <w:pPr>
        <w:numPr>
          <w:ilvl w:val="0"/>
          <w:numId w:val="5"/>
        </w:numPr>
        <w:spacing w:line="360" w:lineRule="auto"/>
        <w:ind w:hanging="540"/>
        <w:outlineLvl w:val="1"/>
        <w:rPr>
          <w:rFonts w:asciiTheme="minorEastAsia" w:hAnsiTheme="minorEastAsia" w:eastAsiaTheme="minorEastAsia" w:cstheme="minorEastAsia"/>
          <w:b/>
          <w:snapToGrid w:val="0"/>
          <w:kern w:val="0"/>
          <w:szCs w:val="21"/>
          <w:highlight w:val="none"/>
          <w:lang w:val="zh-CN"/>
        </w:rPr>
      </w:pPr>
      <w:bookmarkStart w:id="100" w:name="_Toc29700"/>
      <w:bookmarkStart w:id="101" w:name="_Toc19068"/>
      <w:bookmarkStart w:id="102" w:name="_Toc1133"/>
      <w:bookmarkStart w:id="103" w:name="_Toc22471"/>
      <w:r>
        <w:rPr>
          <w:rFonts w:hint="eastAsia" w:asciiTheme="minorEastAsia" w:hAnsiTheme="minorEastAsia" w:eastAsiaTheme="minorEastAsia" w:cstheme="minorEastAsia"/>
          <w:b/>
          <w:snapToGrid w:val="0"/>
          <w:kern w:val="0"/>
          <w:szCs w:val="21"/>
          <w:highlight w:val="none"/>
          <w:lang w:val="zh-CN"/>
        </w:rPr>
        <w:t>竞争性磋商采购文件的澄清</w:t>
      </w:r>
      <w:bookmarkEnd w:id="100"/>
      <w:bookmarkEnd w:id="101"/>
      <w:bookmarkEnd w:id="102"/>
      <w:bookmarkEnd w:id="103"/>
    </w:p>
    <w:p>
      <w:pPr>
        <w:numPr>
          <w:ilvl w:val="1"/>
          <w:numId w:val="11"/>
        </w:numPr>
        <w:tabs>
          <w:tab w:val="left" w:pos="540"/>
          <w:tab w:val="clear" w:pos="360"/>
        </w:tabs>
        <w:autoSpaceDE w:val="0"/>
        <w:autoSpaceDN w:val="0"/>
        <w:adjustRightInd w:val="0"/>
        <w:spacing w:line="360" w:lineRule="auto"/>
        <w:ind w:left="540" w:hanging="54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供应商获取竞争性磋商采购文件后，应认真检查，如发现页数不全、附件缺失、印刷模糊等，应通知采购代理机构补全或更换，否则风险自负。</w:t>
      </w:r>
    </w:p>
    <w:p>
      <w:pPr>
        <w:numPr>
          <w:ilvl w:val="1"/>
          <w:numId w:val="11"/>
        </w:numPr>
        <w:tabs>
          <w:tab w:val="left" w:pos="540"/>
          <w:tab w:val="clear" w:pos="360"/>
        </w:tabs>
        <w:autoSpaceDE w:val="0"/>
        <w:autoSpaceDN w:val="0"/>
        <w:adjustRightInd w:val="0"/>
        <w:spacing w:line="360" w:lineRule="auto"/>
        <w:ind w:left="540" w:hanging="54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供应商要求对本竞争性磋商采购文件进行澄清的，应以书面形式（包括信函、电报、传真等可以有形地表现所载内容的形式，下同）在提疑截止时间以前向采购代理机构或采购人提出，提疑截止时间见《供应商须知前附表》。</w:t>
      </w:r>
    </w:p>
    <w:p>
      <w:pPr>
        <w:autoSpaceDE w:val="0"/>
        <w:autoSpaceDN w:val="0"/>
        <w:adjustRightInd w:val="0"/>
        <w:spacing w:line="360" w:lineRule="auto"/>
        <w:ind w:left="540" w:leftChars="257" w:firstLine="420" w:firstLineChars="20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采购代理机构对于符合澄清要求的，将以书面形式给所有接收磋商文件的供应商予以答复(答复中不包括问题的来源)，供应商收到答复后应在24小时内以书面形式向采购代理机构予以确认。</w:t>
      </w:r>
    </w:p>
    <w:p>
      <w:pPr>
        <w:numPr>
          <w:ilvl w:val="1"/>
          <w:numId w:val="11"/>
        </w:numPr>
        <w:tabs>
          <w:tab w:val="left" w:pos="540"/>
          <w:tab w:val="clear" w:pos="360"/>
        </w:tabs>
        <w:autoSpaceDE w:val="0"/>
        <w:autoSpaceDN w:val="0"/>
        <w:adjustRightInd w:val="0"/>
        <w:spacing w:line="360" w:lineRule="auto"/>
        <w:ind w:left="540" w:hanging="54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供应商在规定的时间内未对竞争性磋商采购文件澄清或提出疑问的，采购代理机构将视其为同意。</w:t>
      </w:r>
    </w:p>
    <w:p>
      <w:pPr>
        <w:numPr>
          <w:ilvl w:val="1"/>
          <w:numId w:val="11"/>
        </w:numPr>
        <w:tabs>
          <w:tab w:val="left" w:pos="540"/>
          <w:tab w:val="clear" w:pos="360"/>
        </w:tabs>
        <w:autoSpaceDE w:val="0"/>
        <w:autoSpaceDN w:val="0"/>
        <w:adjustRightInd w:val="0"/>
        <w:spacing w:line="360" w:lineRule="auto"/>
        <w:ind w:left="540" w:hanging="54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澄清的内容是本竞争性磋商采购文件的组成部分，当竞争性磋商采购文件</w:t>
      </w:r>
      <w:r>
        <w:rPr>
          <w:rFonts w:hint="eastAsia" w:asciiTheme="minorEastAsia" w:hAnsiTheme="minorEastAsia" w:eastAsiaTheme="minorEastAsia" w:cstheme="minorEastAsia"/>
          <w:szCs w:val="21"/>
          <w:highlight w:val="none"/>
        </w:rPr>
        <w:t>、澄清文件对同一内容的表述不一致时，以最后发出的书面文件为准。</w:t>
      </w:r>
    </w:p>
    <w:p>
      <w:pPr>
        <w:numPr>
          <w:ilvl w:val="0"/>
          <w:numId w:val="5"/>
        </w:numPr>
        <w:spacing w:line="360" w:lineRule="auto"/>
        <w:ind w:hanging="540"/>
        <w:outlineLvl w:val="1"/>
        <w:rPr>
          <w:rFonts w:asciiTheme="minorEastAsia" w:hAnsiTheme="minorEastAsia" w:eastAsiaTheme="minorEastAsia" w:cstheme="minorEastAsia"/>
          <w:b/>
          <w:snapToGrid w:val="0"/>
          <w:kern w:val="0"/>
          <w:szCs w:val="21"/>
          <w:highlight w:val="none"/>
          <w:lang w:val="zh-CN"/>
        </w:rPr>
      </w:pPr>
      <w:bookmarkStart w:id="104" w:name="_Toc11112"/>
      <w:bookmarkStart w:id="105" w:name="_Toc231"/>
      <w:bookmarkStart w:id="106" w:name="_Toc7437"/>
      <w:bookmarkStart w:id="107" w:name="_Toc31761"/>
      <w:r>
        <w:rPr>
          <w:rFonts w:hint="eastAsia" w:asciiTheme="minorEastAsia" w:hAnsiTheme="minorEastAsia" w:eastAsiaTheme="minorEastAsia" w:cstheme="minorEastAsia"/>
          <w:b/>
          <w:snapToGrid w:val="0"/>
          <w:kern w:val="0"/>
          <w:szCs w:val="21"/>
          <w:highlight w:val="none"/>
          <w:lang w:val="zh-CN"/>
        </w:rPr>
        <w:t>竞争性磋商采购文件的修改</w:t>
      </w:r>
      <w:bookmarkEnd w:id="104"/>
      <w:bookmarkEnd w:id="105"/>
      <w:bookmarkEnd w:id="106"/>
      <w:bookmarkEnd w:id="107"/>
    </w:p>
    <w:p>
      <w:pPr>
        <w:numPr>
          <w:ilvl w:val="1"/>
          <w:numId w:val="12"/>
        </w:numPr>
        <w:tabs>
          <w:tab w:val="left" w:pos="540"/>
          <w:tab w:val="clear" w:pos="360"/>
        </w:tabs>
        <w:autoSpaceDE w:val="0"/>
        <w:autoSpaceDN w:val="0"/>
        <w:adjustRightInd w:val="0"/>
        <w:spacing w:line="360" w:lineRule="auto"/>
        <w:ind w:left="540" w:hanging="54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提交首次响应文件截止之日前，采购人、采购代理机构可以对本竞争性磋商采购文件进行必要的修改，修改的内容是磋商文件的组成部分，采购代理机构将以书面形式通知所有接受磋商文件的供应商，供应商在收到上述通知后，应在24小时内以书面形式向采购代理机构予以确认。</w:t>
      </w:r>
    </w:p>
    <w:p>
      <w:pPr>
        <w:numPr>
          <w:ilvl w:val="1"/>
          <w:numId w:val="12"/>
        </w:numPr>
        <w:tabs>
          <w:tab w:val="left" w:pos="540"/>
          <w:tab w:val="clear" w:pos="360"/>
        </w:tabs>
        <w:autoSpaceDE w:val="0"/>
        <w:autoSpaceDN w:val="0"/>
        <w:adjustRightInd w:val="0"/>
        <w:spacing w:line="360" w:lineRule="auto"/>
        <w:ind w:left="540" w:hanging="54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当磋商文件、修改文件对同一内容的表述不一致时，以最后发出的书面文件为准。</w:t>
      </w:r>
    </w:p>
    <w:p>
      <w:pPr>
        <w:numPr>
          <w:ilvl w:val="1"/>
          <w:numId w:val="12"/>
        </w:numPr>
        <w:tabs>
          <w:tab w:val="left" w:pos="525"/>
          <w:tab w:val="clear" w:pos="360"/>
        </w:tabs>
        <w:autoSpaceDE w:val="0"/>
        <w:autoSpaceDN w:val="0"/>
        <w:adjustRightInd w:val="0"/>
        <w:spacing w:line="360" w:lineRule="auto"/>
        <w:ind w:left="540" w:hanging="540"/>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napToGrid w:val="0"/>
          <w:kern w:val="0"/>
          <w:szCs w:val="21"/>
          <w:highlight w:val="none"/>
          <w:lang w:val="zh-CN"/>
        </w:rPr>
        <w:t>修改的内容可能影响响应文件编制的，修改文件应当在提交首次响应文件截止之日</w:t>
      </w:r>
      <w:r>
        <w:rPr>
          <w:rFonts w:hint="eastAsia" w:asciiTheme="minorEastAsia" w:hAnsiTheme="minorEastAsia" w:eastAsiaTheme="minorEastAsia" w:cstheme="minorEastAsia"/>
          <w:snapToGrid w:val="0"/>
          <w:kern w:val="0"/>
          <w:szCs w:val="21"/>
          <w:highlight w:val="none"/>
        </w:rPr>
        <w:t>5</w:t>
      </w:r>
      <w:r>
        <w:rPr>
          <w:rFonts w:hint="eastAsia" w:asciiTheme="minorEastAsia" w:hAnsiTheme="minorEastAsia" w:eastAsiaTheme="minorEastAsia" w:cstheme="minorEastAsia"/>
          <w:snapToGrid w:val="0"/>
          <w:kern w:val="0"/>
          <w:szCs w:val="21"/>
          <w:highlight w:val="none"/>
          <w:lang w:val="zh-CN"/>
        </w:rPr>
        <w:t>个工作日前发出，不足</w:t>
      </w:r>
      <w:r>
        <w:rPr>
          <w:rFonts w:hint="eastAsia" w:asciiTheme="minorEastAsia" w:hAnsiTheme="minorEastAsia" w:eastAsiaTheme="minorEastAsia" w:cstheme="minorEastAsia"/>
          <w:snapToGrid w:val="0"/>
          <w:kern w:val="0"/>
          <w:szCs w:val="21"/>
          <w:highlight w:val="none"/>
        </w:rPr>
        <w:t>5</w:t>
      </w:r>
      <w:r>
        <w:rPr>
          <w:rFonts w:hint="eastAsia" w:asciiTheme="minorEastAsia" w:hAnsiTheme="minorEastAsia" w:eastAsiaTheme="minorEastAsia" w:cstheme="minorEastAsia"/>
          <w:snapToGrid w:val="0"/>
          <w:kern w:val="0"/>
          <w:szCs w:val="21"/>
          <w:highlight w:val="none"/>
          <w:lang w:val="zh-CN"/>
        </w:rPr>
        <w:t>个工作日的，采购人、采购代理机构将顺延提交首次响应文件截止之日。</w:t>
      </w:r>
    </w:p>
    <w:p>
      <w:pPr>
        <w:pStyle w:val="3"/>
        <w:numPr>
          <w:ilvl w:val="0"/>
          <w:numId w:val="0"/>
        </w:numPr>
        <w:bidi w:val="0"/>
        <w:rPr>
          <w:b/>
          <w:bCs/>
          <w:highlight w:val="none"/>
        </w:rPr>
      </w:pPr>
      <w:bookmarkStart w:id="108" w:name="_Toc6459"/>
      <w:bookmarkStart w:id="109" w:name="_Toc12625"/>
      <w:r>
        <w:rPr>
          <w:rFonts w:hint="eastAsia"/>
          <w:b/>
          <w:bCs/>
          <w:highlight w:val="none"/>
          <w:lang w:eastAsia="zh-CN"/>
        </w:rPr>
        <w:t>三、</w:t>
      </w:r>
      <w:r>
        <w:rPr>
          <w:rFonts w:hint="eastAsia"/>
          <w:b/>
          <w:bCs/>
          <w:highlight w:val="none"/>
        </w:rPr>
        <w:t>竞争性磋商响应文件</w:t>
      </w:r>
      <w:bookmarkEnd w:id="108"/>
      <w:bookmarkEnd w:id="109"/>
    </w:p>
    <w:p>
      <w:pPr>
        <w:numPr>
          <w:ilvl w:val="0"/>
          <w:numId w:val="5"/>
        </w:numPr>
        <w:spacing w:line="360" w:lineRule="auto"/>
        <w:ind w:hanging="540"/>
        <w:outlineLvl w:val="1"/>
        <w:rPr>
          <w:rFonts w:asciiTheme="minorEastAsia" w:hAnsiTheme="minorEastAsia" w:eastAsiaTheme="minorEastAsia" w:cstheme="minorEastAsia"/>
          <w:snapToGrid w:val="0"/>
          <w:kern w:val="0"/>
          <w:szCs w:val="21"/>
          <w:highlight w:val="none"/>
          <w:lang w:val="zh-CN"/>
        </w:rPr>
      </w:pPr>
      <w:bookmarkStart w:id="110" w:name="_Toc20865"/>
      <w:bookmarkStart w:id="111" w:name="_Toc30987"/>
      <w:bookmarkStart w:id="112" w:name="_Toc30463"/>
      <w:bookmarkStart w:id="113" w:name="_Toc12518"/>
      <w:r>
        <w:rPr>
          <w:rFonts w:hint="eastAsia" w:asciiTheme="minorEastAsia" w:hAnsiTheme="minorEastAsia" w:eastAsiaTheme="minorEastAsia" w:cstheme="minorEastAsia"/>
          <w:b/>
          <w:snapToGrid w:val="0"/>
          <w:kern w:val="0"/>
          <w:szCs w:val="21"/>
          <w:highlight w:val="none"/>
          <w:lang w:val="zh-CN"/>
        </w:rPr>
        <w:t>语言和计量单位</w:t>
      </w:r>
      <w:bookmarkEnd w:id="110"/>
      <w:bookmarkEnd w:id="111"/>
      <w:bookmarkEnd w:id="112"/>
      <w:bookmarkEnd w:id="113"/>
    </w:p>
    <w:p>
      <w:pPr>
        <w:numPr>
          <w:ilvl w:val="1"/>
          <w:numId w:val="13"/>
        </w:numPr>
        <w:tabs>
          <w:tab w:val="left" w:pos="540"/>
          <w:tab w:val="clear" w:pos="360"/>
        </w:tabs>
        <w:spacing w:line="360" w:lineRule="auto"/>
        <w:ind w:left="540" w:hanging="540"/>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供应商提交的竞争性磋商响应文件以及供应商与采购代理机构或采购人就有关磋商的所有来往信函、电报、传真等均应使用中文。供应商提交的支持文件或印刷的文献可以用另一种语言，但相应内容应附有中文翻译本，在解释竞争性磋商响应文件时以中文翻译本为准。</w:t>
      </w:r>
    </w:p>
    <w:p>
      <w:pPr>
        <w:numPr>
          <w:ilvl w:val="1"/>
          <w:numId w:val="13"/>
        </w:numPr>
        <w:tabs>
          <w:tab w:val="left" w:pos="540"/>
          <w:tab w:val="clear" w:pos="360"/>
        </w:tabs>
        <w:spacing w:line="360" w:lineRule="auto"/>
        <w:ind w:left="540" w:hanging="540"/>
        <w:rPr>
          <w:rFonts w:asciiTheme="minorEastAsia" w:hAnsiTheme="minorEastAsia" w:eastAsiaTheme="minorEastAsia" w:cstheme="minorEastAsia"/>
          <w:b/>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除非竞争性磋商采购文件中另有规定，计量单位均采用中华人民共和国法定的计量单位。</w:t>
      </w:r>
    </w:p>
    <w:p>
      <w:pPr>
        <w:numPr>
          <w:ilvl w:val="0"/>
          <w:numId w:val="5"/>
        </w:numPr>
        <w:spacing w:line="360" w:lineRule="auto"/>
        <w:ind w:hanging="540"/>
        <w:outlineLvl w:val="1"/>
        <w:rPr>
          <w:rFonts w:asciiTheme="minorEastAsia" w:hAnsiTheme="minorEastAsia" w:eastAsiaTheme="minorEastAsia" w:cstheme="minorEastAsia"/>
          <w:b/>
          <w:snapToGrid w:val="0"/>
          <w:kern w:val="0"/>
          <w:szCs w:val="21"/>
          <w:highlight w:val="none"/>
          <w:lang w:val="zh-CN"/>
        </w:rPr>
      </w:pPr>
      <w:bookmarkStart w:id="114" w:name="_Toc27488"/>
      <w:bookmarkStart w:id="115" w:name="_Toc13493"/>
      <w:bookmarkStart w:id="116" w:name="_Toc6324"/>
      <w:bookmarkStart w:id="117" w:name="_Toc32272"/>
      <w:r>
        <w:rPr>
          <w:rFonts w:hint="eastAsia" w:asciiTheme="minorEastAsia" w:hAnsiTheme="minorEastAsia" w:eastAsiaTheme="minorEastAsia" w:cstheme="minorEastAsia"/>
          <w:b/>
          <w:snapToGrid w:val="0"/>
          <w:kern w:val="0"/>
          <w:szCs w:val="21"/>
          <w:highlight w:val="none"/>
          <w:lang w:val="zh-CN"/>
        </w:rPr>
        <w:t>竞争性磋商响应文件的构成</w:t>
      </w:r>
      <w:bookmarkEnd w:id="114"/>
      <w:bookmarkEnd w:id="115"/>
      <w:bookmarkEnd w:id="116"/>
      <w:bookmarkEnd w:id="117"/>
    </w:p>
    <w:p>
      <w:pPr>
        <w:numPr>
          <w:ilvl w:val="1"/>
          <w:numId w:val="14"/>
        </w:numPr>
        <w:tabs>
          <w:tab w:val="left" w:pos="525"/>
          <w:tab w:val="clear" w:pos="360"/>
        </w:tabs>
        <w:autoSpaceDE w:val="0"/>
        <w:autoSpaceDN w:val="0"/>
        <w:adjustRightInd w:val="0"/>
        <w:spacing w:line="360" w:lineRule="auto"/>
        <w:ind w:left="0" w:firstLine="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供应商编制的竞争性磋商响应</w:t>
      </w:r>
      <w:r>
        <w:rPr>
          <w:rFonts w:hint="eastAsia" w:asciiTheme="minorEastAsia" w:hAnsiTheme="minorEastAsia" w:eastAsiaTheme="minorEastAsia" w:cstheme="minorEastAsia"/>
          <w:snapToGrid w:val="0"/>
          <w:kern w:val="0"/>
          <w:szCs w:val="21"/>
          <w:highlight w:val="none"/>
        </w:rPr>
        <w:t>文</w:t>
      </w:r>
      <w:r>
        <w:rPr>
          <w:rFonts w:hint="eastAsia" w:asciiTheme="minorEastAsia" w:hAnsiTheme="minorEastAsia" w:eastAsiaTheme="minorEastAsia" w:cstheme="minorEastAsia"/>
          <w:snapToGrid w:val="0"/>
          <w:kern w:val="0"/>
          <w:szCs w:val="21"/>
          <w:highlight w:val="none"/>
          <w:lang w:val="zh-CN"/>
        </w:rPr>
        <w:t>件应包括的内容详见本文件第六章要求。</w:t>
      </w:r>
    </w:p>
    <w:p>
      <w:pPr>
        <w:autoSpaceDE w:val="0"/>
        <w:autoSpaceDN w:val="0"/>
        <w:adjustRightInd w:val="0"/>
        <w:spacing w:line="360" w:lineRule="auto"/>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bCs/>
          <w:szCs w:val="21"/>
          <w:highlight w:val="none"/>
        </w:rPr>
        <w:t>注：响应文件目录及内容每页须顺序编写页码。</w:t>
      </w:r>
    </w:p>
    <w:p>
      <w:pPr>
        <w:numPr>
          <w:ilvl w:val="0"/>
          <w:numId w:val="5"/>
        </w:numPr>
        <w:spacing w:line="360" w:lineRule="auto"/>
        <w:ind w:hanging="540"/>
        <w:outlineLvl w:val="1"/>
        <w:rPr>
          <w:rFonts w:asciiTheme="minorEastAsia" w:hAnsiTheme="minorEastAsia" w:eastAsiaTheme="minorEastAsia" w:cstheme="minorEastAsia"/>
          <w:b/>
          <w:snapToGrid w:val="0"/>
          <w:kern w:val="0"/>
          <w:szCs w:val="21"/>
          <w:highlight w:val="none"/>
          <w:lang w:val="zh-CN"/>
        </w:rPr>
      </w:pPr>
      <w:bookmarkStart w:id="118" w:name="_Toc21320"/>
      <w:bookmarkStart w:id="119" w:name="_Toc14982"/>
      <w:bookmarkStart w:id="120" w:name="_Toc25217"/>
      <w:bookmarkStart w:id="121" w:name="_Toc8049"/>
      <w:r>
        <w:rPr>
          <w:rFonts w:hint="eastAsia" w:asciiTheme="minorEastAsia" w:hAnsiTheme="minorEastAsia" w:eastAsiaTheme="minorEastAsia" w:cstheme="minorEastAsia"/>
          <w:b/>
          <w:snapToGrid w:val="0"/>
          <w:kern w:val="0"/>
          <w:szCs w:val="21"/>
          <w:highlight w:val="none"/>
          <w:lang w:val="zh-CN"/>
        </w:rPr>
        <w:t>竞争性磋商响应文件的编制</w:t>
      </w:r>
      <w:bookmarkEnd w:id="118"/>
      <w:bookmarkEnd w:id="119"/>
      <w:bookmarkEnd w:id="120"/>
      <w:bookmarkEnd w:id="121"/>
    </w:p>
    <w:p>
      <w:pPr>
        <w:numPr>
          <w:ilvl w:val="1"/>
          <w:numId w:val="15"/>
        </w:numPr>
        <w:tabs>
          <w:tab w:val="left" w:pos="540"/>
          <w:tab w:val="clear" w:pos="360"/>
        </w:tabs>
        <w:autoSpaceDE w:val="0"/>
        <w:autoSpaceDN w:val="0"/>
        <w:adjustRightInd w:val="0"/>
        <w:spacing w:line="360" w:lineRule="auto"/>
        <w:ind w:left="540" w:hanging="54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供应商应当按照本采购文件的要求编制响应文件，并对其提交的响应文件及全部资料的真实性、合法性承担法律责任，并接受采购代理机构对其中任何资料进一步核实的要求。</w:t>
      </w:r>
    </w:p>
    <w:p>
      <w:pPr>
        <w:numPr>
          <w:ilvl w:val="1"/>
          <w:numId w:val="15"/>
        </w:numPr>
        <w:tabs>
          <w:tab w:val="left" w:pos="540"/>
          <w:tab w:val="clear" w:pos="360"/>
        </w:tabs>
        <w:autoSpaceDE w:val="0"/>
        <w:autoSpaceDN w:val="0"/>
        <w:adjustRightInd w:val="0"/>
        <w:spacing w:line="360" w:lineRule="auto"/>
        <w:ind w:left="540" w:hanging="54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 xml:space="preserve">供应商应认真阅读本采购文件中的所有内容，并对本采购文件提出的要求和条件作出实质性响应。如供应商没有按照本采购文件的要求提交全部资料，或者没有对本采购文件在各方面都做出实质性响应的，其响应文件将被视为无效文件。 </w:t>
      </w:r>
    </w:p>
    <w:p>
      <w:pPr>
        <w:numPr>
          <w:ilvl w:val="1"/>
          <w:numId w:val="15"/>
        </w:numPr>
        <w:tabs>
          <w:tab w:val="left" w:pos="540"/>
          <w:tab w:val="clear" w:pos="360"/>
        </w:tabs>
        <w:autoSpaceDE w:val="0"/>
        <w:autoSpaceDN w:val="0"/>
        <w:adjustRightInd w:val="0"/>
        <w:spacing w:line="360" w:lineRule="auto"/>
        <w:ind w:left="540" w:hanging="54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供应商应完整地按本采购文件的要求提交所有资料并按要求的格式填写规定的所有内容，无相应内容可填项的，应填写“无”、“未测试”、“没有相应指标”等明确的回答文字。如未规定格式的，相关格式由供应商自定。</w:t>
      </w:r>
    </w:p>
    <w:p>
      <w:pPr>
        <w:numPr>
          <w:ilvl w:val="1"/>
          <w:numId w:val="15"/>
        </w:numPr>
        <w:tabs>
          <w:tab w:val="left" w:pos="540"/>
          <w:tab w:val="clear" w:pos="360"/>
        </w:tabs>
        <w:autoSpaceDE w:val="0"/>
        <w:autoSpaceDN w:val="0"/>
        <w:adjustRightInd w:val="0"/>
        <w:spacing w:line="360" w:lineRule="auto"/>
        <w:ind w:left="540" w:hanging="54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供应商在编制响应文件时应注意本次采购对多包采购的规定，多包采购的规定见《供应商须知前附表》。</w:t>
      </w:r>
    </w:p>
    <w:p>
      <w:pPr>
        <w:numPr>
          <w:ilvl w:val="0"/>
          <w:numId w:val="5"/>
        </w:numPr>
        <w:spacing w:line="360" w:lineRule="auto"/>
        <w:ind w:hanging="540"/>
        <w:outlineLvl w:val="1"/>
        <w:rPr>
          <w:rFonts w:asciiTheme="minorEastAsia" w:hAnsiTheme="minorEastAsia" w:eastAsiaTheme="minorEastAsia" w:cstheme="minorEastAsia"/>
          <w:b/>
          <w:snapToGrid w:val="0"/>
          <w:kern w:val="0"/>
          <w:szCs w:val="21"/>
          <w:highlight w:val="none"/>
          <w:lang w:val="zh-CN"/>
        </w:rPr>
      </w:pPr>
      <w:bookmarkStart w:id="122" w:name="_Toc27475"/>
      <w:bookmarkStart w:id="123" w:name="_Toc24544"/>
      <w:bookmarkStart w:id="124" w:name="_Toc24648"/>
      <w:bookmarkStart w:id="125" w:name="_Toc17713"/>
      <w:r>
        <w:rPr>
          <w:rFonts w:hint="eastAsia" w:asciiTheme="minorEastAsia" w:hAnsiTheme="minorEastAsia" w:eastAsiaTheme="minorEastAsia" w:cstheme="minorEastAsia"/>
          <w:b/>
          <w:snapToGrid w:val="0"/>
          <w:kern w:val="0"/>
          <w:szCs w:val="21"/>
          <w:highlight w:val="none"/>
          <w:lang w:val="zh-CN"/>
        </w:rPr>
        <w:t>磋商报价</w:t>
      </w:r>
      <w:bookmarkEnd w:id="122"/>
      <w:bookmarkEnd w:id="123"/>
      <w:bookmarkEnd w:id="124"/>
      <w:bookmarkEnd w:id="125"/>
    </w:p>
    <w:p>
      <w:pPr>
        <w:numPr>
          <w:ilvl w:val="1"/>
          <w:numId w:val="16"/>
        </w:numPr>
        <w:tabs>
          <w:tab w:val="left" w:pos="540"/>
          <w:tab w:val="clear" w:pos="465"/>
        </w:tabs>
        <w:autoSpaceDE w:val="0"/>
        <w:autoSpaceDN w:val="0"/>
        <w:adjustRightInd w:val="0"/>
        <w:spacing w:line="360" w:lineRule="auto"/>
        <w:ind w:left="540" w:hanging="54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磋商报价包括磋商供应商在首次提交的响应文件中的报价、磋商过程中的报价和最后报价。磋商供应商的报价均应以人民币报价。</w:t>
      </w:r>
    </w:p>
    <w:p>
      <w:pPr>
        <w:numPr>
          <w:ilvl w:val="1"/>
          <w:numId w:val="16"/>
        </w:numPr>
        <w:tabs>
          <w:tab w:val="left" w:pos="540"/>
          <w:tab w:val="clear" w:pos="465"/>
        </w:tabs>
        <w:autoSpaceDE w:val="0"/>
        <w:autoSpaceDN w:val="0"/>
        <w:adjustRightInd w:val="0"/>
        <w:spacing w:line="360" w:lineRule="auto"/>
        <w:ind w:left="540" w:hanging="54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供应商应按照本采购文件规定的采购需求及合同条款进行报价，并按竞争性磋商采购文件确定的格式报出。报价中不得包含竞争性磋商采购文件要求以外的内容，否则，在评审时不予核减。报价中也不得缺漏竞争性磋商采购文件所要求的内容，否则，其响应文件将被视为无效文件。</w:t>
      </w:r>
    </w:p>
    <w:p>
      <w:pPr>
        <w:numPr>
          <w:ilvl w:val="1"/>
          <w:numId w:val="16"/>
        </w:numPr>
        <w:tabs>
          <w:tab w:val="left" w:pos="540"/>
          <w:tab w:val="clear" w:pos="465"/>
        </w:tabs>
        <w:autoSpaceDE w:val="0"/>
        <w:autoSpaceDN w:val="0"/>
        <w:adjustRightInd w:val="0"/>
        <w:spacing w:line="360" w:lineRule="auto"/>
        <w:ind w:left="540" w:hanging="54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zCs w:val="21"/>
          <w:highlight w:val="none"/>
        </w:rPr>
        <w:t>供应商应根据本磋商文件的规定和要求、市场价格水平及其走势、</w:t>
      </w:r>
      <w:r>
        <w:rPr>
          <w:rFonts w:hint="eastAsia" w:asciiTheme="minorEastAsia" w:hAnsiTheme="minorEastAsia" w:eastAsiaTheme="minorEastAsia" w:cstheme="minorEastAsia"/>
          <w:snapToGrid w:val="0"/>
          <w:kern w:val="0"/>
          <w:szCs w:val="21"/>
          <w:highlight w:val="none"/>
          <w:lang w:val="zh-CN"/>
        </w:rPr>
        <w:t>磋商</w:t>
      </w:r>
      <w:r>
        <w:rPr>
          <w:rFonts w:hint="eastAsia" w:asciiTheme="minorEastAsia" w:hAnsiTheme="minorEastAsia" w:eastAsiaTheme="minorEastAsia" w:cstheme="minorEastAsia"/>
          <w:szCs w:val="21"/>
          <w:highlight w:val="none"/>
        </w:rPr>
        <w:t>供应商的管理水平、</w:t>
      </w:r>
      <w:r>
        <w:rPr>
          <w:rFonts w:hint="eastAsia" w:asciiTheme="minorEastAsia" w:hAnsiTheme="minorEastAsia" w:eastAsiaTheme="minorEastAsia" w:cstheme="minorEastAsia"/>
          <w:snapToGrid w:val="0"/>
          <w:kern w:val="0"/>
          <w:szCs w:val="21"/>
          <w:highlight w:val="none"/>
          <w:lang w:val="zh-CN"/>
        </w:rPr>
        <w:t>磋商</w:t>
      </w:r>
      <w:r>
        <w:rPr>
          <w:rFonts w:hint="eastAsia" w:asciiTheme="minorEastAsia" w:hAnsiTheme="minorEastAsia" w:eastAsiaTheme="minorEastAsia" w:cstheme="minorEastAsia"/>
          <w:szCs w:val="21"/>
          <w:highlight w:val="none"/>
        </w:rPr>
        <w:t>供应商的</w:t>
      </w:r>
      <w:r>
        <w:rPr>
          <w:rFonts w:hint="eastAsia" w:asciiTheme="minorEastAsia" w:hAnsiTheme="minorEastAsia" w:eastAsiaTheme="minorEastAsia" w:cstheme="minorEastAsia"/>
          <w:snapToGrid w:val="0"/>
          <w:kern w:val="0"/>
          <w:szCs w:val="21"/>
          <w:highlight w:val="none"/>
          <w:lang w:val="zh-CN"/>
        </w:rPr>
        <w:t>方案</w:t>
      </w:r>
      <w:r>
        <w:rPr>
          <w:rFonts w:hint="eastAsia" w:asciiTheme="minorEastAsia" w:hAnsiTheme="minorEastAsia" w:eastAsiaTheme="minorEastAsia" w:cstheme="minorEastAsia"/>
          <w:szCs w:val="21"/>
          <w:highlight w:val="none"/>
        </w:rPr>
        <w:t>和由这些因素决定的磋商供应商之于本项目的成本水平等提出自己的报价。</w:t>
      </w:r>
      <w:r>
        <w:rPr>
          <w:rFonts w:hint="eastAsia" w:asciiTheme="minorEastAsia" w:hAnsiTheme="minorEastAsia" w:eastAsiaTheme="minorEastAsia" w:cstheme="minorEastAsia"/>
          <w:snapToGrid w:val="0"/>
          <w:kern w:val="0"/>
          <w:szCs w:val="21"/>
          <w:highlight w:val="none"/>
          <w:lang w:val="zh-CN"/>
        </w:rPr>
        <w:t>报价应包含完成本采购文件采购需求全部内容的所有费用，所有根据本采购文件或其它原因应由磋商供应商支付的税款和其他应缴纳的费用都应包括在报价中。</w:t>
      </w:r>
      <w:r>
        <w:rPr>
          <w:rFonts w:hint="eastAsia" w:asciiTheme="minorEastAsia" w:hAnsiTheme="minorEastAsia" w:eastAsiaTheme="minorEastAsia" w:cstheme="minorEastAsia"/>
          <w:szCs w:val="21"/>
          <w:highlight w:val="none"/>
        </w:rPr>
        <w:t>但磋商供应商不得以低于其成本的价格进行报价</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有权将其作为无效投标处理。</w:t>
      </w:r>
      <w:r>
        <w:rPr>
          <w:rFonts w:hint="eastAsia" w:asciiTheme="minorEastAsia" w:hAnsiTheme="minorEastAsia" w:eastAsiaTheme="minorEastAsia" w:cstheme="minorEastAsia"/>
          <w:szCs w:val="21"/>
          <w:highlight w:val="none"/>
        </w:rPr>
        <w:t>。</w:t>
      </w:r>
    </w:p>
    <w:p>
      <w:pPr>
        <w:numPr>
          <w:ilvl w:val="1"/>
          <w:numId w:val="16"/>
        </w:numPr>
        <w:tabs>
          <w:tab w:val="left" w:pos="540"/>
          <w:tab w:val="clear" w:pos="465"/>
        </w:tabs>
        <w:autoSpaceDE w:val="0"/>
        <w:autoSpaceDN w:val="0"/>
        <w:adjustRightInd w:val="0"/>
        <w:spacing w:line="360" w:lineRule="auto"/>
        <w:ind w:left="540" w:hanging="54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zCs w:val="21"/>
          <w:highlight w:val="none"/>
        </w:rPr>
        <w:t>供应商在响应文件中</w:t>
      </w:r>
      <w:r>
        <w:rPr>
          <w:rFonts w:hint="eastAsia" w:asciiTheme="minorEastAsia" w:hAnsiTheme="minorEastAsia" w:eastAsiaTheme="minorEastAsia" w:cstheme="minorEastAsia"/>
          <w:snapToGrid w:val="0"/>
          <w:kern w:val="0"/>
          <w:szCs w:val="21"/>
          <w:highlight w:val="none"/>
          <w:lang w:val="zh-CN"/>
        </w:rPr>
        <w:t>注明免费的项目将视为包含在报价中。</w:t>
      </w:r>
    </w:p>
    <w:p>
      <w:pPr>
        <w:numPr>
          <w:ilvl w:val="1"/>
          <w:numId w:val="16"/>
        </w:numPr>
        <w:tabs>
          <w:tab w:val="left" w:pos="540"/>
          <w:tab w:val="clear" w:pos="465"/>
        </w:tabs>
        <w:autoSpaceDE w:val="0"/>
        <w:autoSpaceDN w:val="0"/>
        <w:adjustRightInd w:val="0"/>
        <w:spacing w:line="360" w:lineRule="auto"/>
        <w:ind w:left="540" w:hanging="54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每一种采购内容只允许有一个报价，否则其响应文件将被视为无效文件。</w:t>
      </w:r>
    </w:p>
    <w:p>
      <w:pPr>
        <w:numPr>
          <w:ilvl w:val="1"/>
          <w:numId w:val="16"/>
        </w:numPr>
        <w:tabs>
          <w:tab w:val="left" w:pos="540"/>
          <w:tab w:val="clear" w:pos="465"/>
        </w:tabs>
        <w:autoSpaceDE w:val="0"/>
        <w:autoSpaceDN w:val="0"/>
        <w:adjustRightInd w:val="0"/>
        <w:spacing w:line="360" w:lineRule="auto"/>
        <w:ind w:left="540" w:hanging="54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成交供应商的报价在合同执行过程中是固定不变的，不得以任何理由予以变更。</w:t>
      </w:r>
    </w:p>
    <w:p>
      <w:pPr>
        <w:numPr>
          <w:ilvl w:val="0"/>
          <w:numId w:val="5"/>
        </w:numPr>
        <w:tabs>
          <w:tab w:val="left" w:pos="864"/>
        </w:tabs>
        <w:spacing w:line="360" w:lineRule="auto"/>
        <w:ind w:hanging="540"/>
        <w:outlineLvl w:val="1"/>
        <w:rPr>
          <w:rFonts w:asciiTheme="minorEastAsia" w:hAnsiTheme="minorEastAsia" w:eastAsiaTheme="minorEastAsia" w:cstheme="minorEastAsia"/>
          <w:b/>
          <w:snapToGrid w:val="0"/>
          <w:kern w:val="0"/>
          <w:szCs w:val="21"/>
          <w:highlight w:val="none"/>
          <w:lang w:val="zh-CN"/>
        </w:rPr>
      </w:pPr>
      <w:bookmarkStart w:id="126" w:name="_Toc6176"/>
      <w:bookmarkStart w:id="127" w:name="_Toc18576"/>
      <w:bookmarkStart w:id="128" w:name="_Toc15451"/>
      <w:bookmarkStart w:id="129" w:name="_Toc21499"/>
      <w:r>
        <w:rPr>
          <w:rFonts w:hint="eastAsia" w:asciiTheme="minorEastAsia" w:hAnsiTheme="minorEastAsia" w:eastAsiaTheme="minorEastAsia" w:cstheme="minorEastAsia"/>
          <w:b/>
          <w:snapToGrid w:val="0"/>
          <w:kern w:val="0"/>
          <w:szCs w:val="21"/>
          <w:highlight w:val="none"/>
          <w:lang w:val="zh-CN"/>
        </w:rPr>
        <w:t>备选方案</w:t>
      </w:r>
      <w:bookmarkEnd w:id="126"/>
      <w:bookmarkEnd w:id="127"/>
      <w:bookmarkEnd w:id="128"/>
      <w:bookmarkEnd w:id="129"/>
    </w:p>
    <w:p>
      <w:pPr>
        <w:numPr>
          <w:ilvl w:val="1"/>
          <w:numId w:val="17"/>
        </w:numPr>
        <w:tabs>
          <w:tab w:val="left" w:pos="540"/>
          <w:tab w:val="clear" w:pos="465"/>
        </w:tabs>
        <w:autoSpaceDE w:val="0"/>
        <w:autoSpaceDN w:val="0"/>
        <w:adjustRightInd w:val="0"/>
        <w:spacing w:line="360" w:lineRule="auto"/>
        <w:ind w:left="540" w:hanging="54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 xml:space="preserve">是否允许备选方案见《供应商须知前附表》。不允许有备选方案的，若在响应文件中提交了备选方案，其响应文件将被视为无效文件。 </w:t>
      </w:r>
    </w:p>
    <w:p>
      <w:pPr>
        <w:numPr>
          <w:ilvl w:val="0"/>
          <w:numId w:val="5"/>
        </w:numPr>
        <w:tabs>
          <w:tab w:val="left" w:pos="864"/>
        </w:tabs>
        <w:spacing w:line="360" w:lineRule="auto"/>
        <w:ind w:hanging="540"/>
        <w:outlineLvl w:val="1"/>
        <w:rPr>
          <w:rFonts w:asciiTheme="minorEastAsia" w:hAnsiTheme="minorEastAsia" w:eastAsiaTheme="minorEastAsia" w:cstheme="minorEastAsia"/>
          <w:b/>
          <w:snapToGrid w:val="0"/>
          <w:kern w:val="0"/>
          <w:szCs w:val="21"/>
          <w:highlight w:val="none"/>
          <w:lang w:val="zh-CN"/>
        </w:rPr>
      </w:pPr>
      <w:bookmarkStart w:id="130" w:name="_Toc9324"/>
      <w:bookmarkStart w:id="131" w:name="_Toc3324"/>
      <w:bookmarkStart w:id="132" w:name="_Toc17790"/>
      <w:bookmarkStart w:id="133" w:name="_Toc23998"/>
      <w:r>
        <w:rPr>
          <w:rFonts w:hint="eastAsia" w:asciiTheme="minorEastAsia" w:hAnsiTheme="minorEastAsia" w:eastAsiaTheme="minorEastAsia" w:cstheme="minorEastAsia"/>
          <w:b/>
          <w:snapToGrid w:val="0"/>
          <w:kern w:val="0"/>
          <w:szCs w:val="21"/>
          <w:highlight w:val="none"/>
          <w:lang w:val="zh-CN"/>
        </w:rPr>
        <w:t>联合体</w:t>
      </w:r>
      <w:bookmarkEnd w:id="130"/>
      <w:bookmarkEnd w:id="131"/>
      <w:bookmarkEnd w:id="132"/>
      <w:bookmarkEnd w:id="133"/>
    </w:p>
    <w:p>
      <w:pPr>
        <w:numPr>
          <w:ilvl w:val="1"/>
          <w:numId w:val="18"/>
        </w:numPr>
        <w:tabs>
          <w:tab w:val="left" w:pos="540"/>
          <w:tab w:val="clear" w:pos="465"/>
        </w:tabs>
        <w:autoSpaceDE w:val="0"/>
        <w:autoSpaceDN w:val="0"/>
        <w:adjustRightInd w:val="0"/>
        <w:spacing w:line="360" w:lineRule="auto"/>
        <w:ind w:left="540" w:hanging="54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 xml:space="preserve">本次采购是否允许联合体参加详见《供应商须知前附表》。 </w:t>
      </w:r>
    </w:p>
    <w:p>
      <w:pPr>
        <w:numPr>
          <w:ilvl w:val="1"/>
          <w:numId w:val="18"/>
        </w:numPr>
        <w:tabs>
          <w:tab w:val="left" w:pos="540"/>
          <w:tab w:val="clear" w:pos="465"/>
        </w:tabs>
        <w:autoSpaceDE w:val="0"/>
        <w:autoSpaceDN w:val="0"/>
        <w:adjustRightInd w:val="0"/>
        <w:spacing w:line="360" w:lineRule="auto"/>
        <w:ind w:left="540" w:hanging="54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本次采购允许联合体报价的，联合体各方不得再单独或者与其他供应商另外组成联合体参加本项目的报价。</w:t>
      </w:r>
    </w:p>
    <w:p>
      <w:pPr>
        <w:numPr>
          <w:ilvl w:val="0"/>
          <w:numId w:val="5"/>
        </w:numPr>
        <w:tabs>
          <w:tab w:val="left" w:pos="864"/>
          <w:tab w:val="left" w:pos="1080"/>
        </w:tabs>
        <w:spacing w:line="360" w:lineRule="auto"/>
        <w:ind w:hanging="540"/>
        <w:outlineLvl w:val="1"/>
        <w:rPr>
          <w:rFonts w:asciiTheme="minorEastAsia" w:hAnsiTheme="minorEastAsia" w:eastAsiaTheme="minorEastAsia" w:cstheme="minorEastAsia"/>
          <w:b/>
          <w:snapToGrid w:val="0"/>
          <w:kern w:val="0"/>
          <w:szCs w:val="21"/>
          <w:highlight w:val="none"/>
          <w:lang w:val="zh-CN"/>
        </w:rPr>
      </w:pPr>
      <w:bookmarkStart w:id="134" w:name="_Toc2434"/>
      <w:bookmarkStart w:id="135" w:name="_Toc13059"/>
      <w:bookmarkStart w:id="136" w:name="_Toc9744"/>
      <w:bookmarkStart w:id="137" w:name="_Toc12076"/>
      <w:r>
        <w:rPr>
          <w:rFonts w:hint="eastAsia" w:asciiTheme="minorEastAsia" w:hAnsiTheme="minorEastAsia" w:eastAsiaTheme="minorEastAsia" w:cstheme="minorEastAsia"/>
          <w:b/>
          <w:snapToGrid w:val="0"/>
          <w:kern w:val="0"/>
          <w:szCs w:val="21"/>
          <w:highlight w:val="none"/>
          <w:lang w:val="zh-CN"/>
        </w:rPr>
        <w:t>供应商资格证明文件</w:t>
      </w:r>
      <w:bookmarkEnd w:id="134"/>
      <w:bookmarkEnd w:id="135"/>
      <w:bookmarkEnd w:id="136"/>
      <w:bookmarkEnd w:id="137"/>
    </w:p>
    <w:p>
      <w:pPr>
        <w:numPr>
          <w:ilvl w:val="1"/>
          <w:numId w:val="19"/>
        </w:numPr>
        <w:tabs>
          <w:tab w:val="left" w:pos="540"/>
          <w:tab w:val="clear" w:pos="465"/>
        </w:tabs>
        <w:autoSpaceDE w:val="0"/>
        <w:autoSpaceDN w:val="0"/>
        <w:adjustRightInd w:val="0"/>
        <w:spacing w:line="360" w:lineRule="auto"/>
        <w:ind w:left="540" w:hanging="540"/>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供应商应在响应文件提交证明其有资格参加磋商的证明文件，证明文件应包括下列文件：</w:t>
      </w:r>
    </w:p>
    <w:p>
      <w:pPr>
        <w:numPr>
          <w:ilvl w:val="3"/>
          <w:numId w:val="20"/>
        </w:numPr>
        <w:tabs>
          <w:tab w:val="left" w:pos="540"/>
          <w:tab w:val="clear" w:pos="2040"/>
        </w:tabs>
        <w:autoSpaceDE w:val="0"/>
        <w:autoSpaceDN w:val="0"/>
        <w:adjustRightInd w:val="0"/>
        <w:spacing w:line="360" w:lineRule="auto"/>
        <w:ind w:left="540" w:hanging="540"/>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采购文件要求供应商应提交的其它资格证明文件，应提交的资格证明文件（</w:t>
      </w:r>
      <w:r>
        <w:rPr>
          <w:rFonts w:hint="eastAsia" w:ascii="宋体" w:hAnsi="宋体" w:eastAsia="宋体" w:cs="宋体"/>
          <w:snapToGrid w:val="0"/>
          <w:kern w:val="0"/>
          <w:szCs w:val="21"/>
          <w:highlight w:val="none"/>
        </w:rPr>
        <w:t>实质性要求</w:t>
      </w:r>
      <w:r>
        <w:rPr>
          <w:rFonts w:hint="eastAsia" w:ascii="宋体" w:hAnsi="宋体" w:eastAsia="宋体" w:cs="宋体"/>
          <w:snapToGrid w:val="0"/>
          <w:kern w:val="0"/>
          <w:szCs w:val="21"/>
          <w:highlight w:val="none"/>
          <w:lang w:val="zh-CN"/>
        </w:rPr>
        <w:t>）见《供应商须知前附表》。</w:t>
      </w:r>
    </w:p>
    <w:p>
      <w:pPr>
        <w:numPr>
          <w:ilvl w:val="1"/>
          <w:numId w:val="19"/>
        </w:numPr>
        <w:tabs>
          <w:tab w:val="left" w:pos="540"/>
          <w:tab w:val="clear" w:pos="465"/>
        </w:tabs>
        <w:autoSpaceDE w:val="0"/>
        <w:autoSpaceDN w:val="0"/>
        <w:adjustRightInd w:val="0"/>
        <w:spacing w:line="360" w:lineRule="auto"/>
        <w:ind w:left="540" w:hanging="540"/>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除本须知14.1要求的资格证明文件外，如国家法律法规对市场准入有要求的还应提交相关资格证明文件。</w:t>
      </w:r>
    </w:p>
    <w:p>
      <w:pPr>
        <w:numPr>
          <w:ilvl w:val="1"/>
          <w:numId w:val="19"/>
        </w:numPr>
        <w:tabs>
          <w:tab w:val="left" w:pos="540"/>
          <w:tab w:val="clear" w:pos="465"/>
        </w:tabs>
        <w:autoSpaceDE w:val="0"/>
        <w:autoSpaceDN w:val="0"/>
        <w:adjustRightInd w:val="0"/>
        <w:spacing w:line="360" w:lineRule="auto"/>
        <w:ind w:left="540" w:hanging="540"/>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证明材料仅限于磋商供应商单位本身，母公司、股东单位和子公司的材料不能作为证明材料，但磋商供应商单位兼并的企业的材料可作为证明材料。必须</w:t>
      </w:r>
      <w:r>
        <w:rPr>
          <w:rFonts w:hint="eastAsia" w:ascii="宋体" w:hAnsi="宋体" w:eastAsia="宋体" w:cs="宋体"/>
          <w:snapToGrid w:val="0"/>
          <w:kern w:val="0"/>
          <w:szCs w:val="21"/>
          <w:highlight w:val="none"/>
        </w:rPr>
        <w:t>每页</w:t>
      </w:r>
      <w:r>
        <w:rPr>
          <w:rFonts w:hint="eastAsia" w:ascii="宋体" w:hAnsi="宋体" w:eastAsia="宋体" w:cs="宋体"/>
          <w:snapToGrid w:val="0"/>
          <w:kern w:val="0"/>
          <w:szCs w:val="21"/>
          <w:highlight w:val="none"/>
          <w:lang w:val="zh-CN"/>
        </w:rPr>
        <w:t>加盖单位印章，</w:t>
      </w:r>
      <w:r>
        <w:rPr>
          <w:rFonts w:hint="eastAsia" w:ascii="宋体" w:hAnsi="宋体" w:eastAsia="宋体" w:cs="宋体"/>
          <w:snapToGrid w:val="0"/>
          <w:kern w:val="0"/>
          <w:szCs w:val="21"/>
          <w:highlight w:val="none"/>
        </w:rPr>
        <w:t>否则做废标处理</w:t>
      </w:r>
      <w:r>
        <w:rPr>
          <w:rFonts w:hint="eastAsia" w:ascii="宋体" w:hAnsi="宋体" w:eastAsia="宋体" w:cs="宋体"/>
          <w:snapToGrid w:val="0"/>
          <w:kern w:val="0"/>
          <w:szCs w:val="21"/>
          <w:highlight w:val="none"/>
          <w:lang w:val="zh-CN"/>
        </w:rPr>
        <w:t>。</w:t>
      </w:r>
    </w:p>
    <w:p>
      <w:pPr>
        <w:numPr>
          <w:ilvl w:val="1"/>
          <w:numId w:val="19"/>
        </w:numPr>
        <w:tabs>
          <w:tab w:val="left" w:pos="540"/>
          <w:tab w:val="clear" w:pos="465"/>
        </w:tabs>
        <w:autoSpaceDE w:val="0"/>
        <w:autoSpaceDN w:val="0"/>
        <w:adjustRightInd w:val="0"/>
        <w:spacing w:line="360" w:lineRule="auto"/>
        <w:ind w:left="540" w:hanging="540"/>
        <w:jc w:val="left"/>
        <w:rPr>
          <w:rFonts w:hint="eastAsia" w:ascii="宋体" w:hAnsi="宋体" w:eastAsia="宋体" w:cs="宋体"/>
          <w:highlight w:val="none"/>
        </w:rPr>
      </w:pPr>
      <w:r>
        <w:rPr>
          <w:rFonts w:hint="eastAsia" w:ascii="宋体" w:hAnsi="宋体" w:eastAsia="宋体" w:cs="宋体"/>
          <w:snapToGrid w:val="0"/>
          <w:kern w:val="0"/>
          <w:szCs w:val="21"/>
          <w:highlight w:val="none"/>
        </w:rPr>
        <w:t>供应商不得存在的其他情形</w:t>
      </w:r>
      <w:r>
        <w:rPr>
          <w:rFonts w:hint="eastAsia" w:ascii="宋体" w:hAnsi="宋体" w:eastAsia="宋体" w:cs="宋体"/>
          <w:snapToGrid w:val="0"/>
          <w:kern w:val="0"/>
          <w:szCs w:val="21"/>
          <w:highlight w:val="none"/>
          <w:lang w:val="zh-CN"/>
        </w:rPr>
        <w:t>见《供应商须知前附表》。</w:t>
      </w:r>
    </w:p>
    <w:p>
      <w:pPr>
        <w:numPr>
          <w:ilvl w:val="0"/>
          <w:numId w:val="5"/>
        </w:numPr>
        <w:tabs>
          <w:tab w:val="left" w:pos="864"/>
          <w:tab w:val="left" w:pos="1080"/>
        </w:tabs>
        <w:spacing w:line="360" w:lineRule="auto"/>
        <w:ind w:hanging="540"/>
        <w:outlineLvl w:val="1"/>
        <w:rPr>
          <w:rFonts w:hint="eastAsia" w:ascii="宋体" w:hAnsi="宋体" w:eastAsia="宋体" w:cs="宋体"/>
          <w:b/>
          <w:snapToGrid w:val="0"/>
          <w:kern w:val="0"/>
          <w:szCs w:val="21"/>
          <w:highlight w:val="none"/>
          <w:lang w:val="zh-CN"/>
        </w:rPr>
      </w:pPr>
      <w:bookmarkStart w:id="138" w:name="_Toc23737"/>
      <w:bookmarkStart w:id="139" w:name="_Toc21557"/>
      <w:bookmarkStart w:id="140" w:name="_Toc9935"/>
      <w:bookmarkStart w:id="141" w:name="_Toc2249"/>
      <w:r>
        <w:rPr>
          <w:rFonts w:hint="eastAsia" w:ascii="宋体" w:hAnsi="宋体" w:eastAsia="宋体" w:cs="宋体"/>
          <w:b/>
          <w:snapToGrid w:val="0"/>
          <w:kern w:val="0"/>
          <w:szCs w:val="21"/>
          <w:highlight w:val="none"/>
          <w:lang w:val="zh-CN"/>
        </w:rPr>
        <w:t>证明报价内容、服务合格性和符合竞争性磋商采购文件规定的文件</w:t>
      </w:r>
      <w:bookmarkEnd w:id="138"/>
      <w:bookmarkEnd w:id="139"/>
      <w:bookmarkEnd w:id="140"/>
      <w:bookmarkEnd w:id="141"/>
    </w:p>
    <w:p>
      <w:pPr>
        <w:numPr>
          <w:ilvl w:val="1"/>
          <w:numId w:val="21"/>
        </w:numPr>
        <w:tabs>
          <w:tab w:val="left" w:pos="525"/>
          <w:tab w:val="clear" w:pos="465"/>
        </w:tabs>
        <w:autoSpaceDE w:val="0"/>
        <w:autoSpaceDN w:val="0"/>
        <w:adjustRightInd w:val="0"/>
        <w:spacing w:line="360" w:lineRule="auto"/>
        <w:ind w:left="540" w:hanging="540"/>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证明报价内容符合竞争性磋商采购文件要求的文件和竞争性磋商采购文件规定的其他资料，具体要求见《供应商须知前附表》。</w:t>
      </w:r>
    </w:p>
    <w:p>
      <w:pPr>
        <w:numPr>
          <w:ilvl w:val="0"/>
          <w:numId w:val="5"/>
        </w:numPr>
        <w:tabs>
          <w:tab w:val="left" w:pos="864"/>
          <w:tab w:val="left" w:pos="1080"/>
        </w:tabs>
        <w:spacing w:line="360" w:lineRule="auto"/>
        <w:ind w:hanging="540"/>
        <w:outlineLvl w:val="1"/>
        <w:rPr>
          <w:rFonts w:hint="eastAsia" w:ascii="宋体" w:hAnsi="宋体" w:eastAsia="宋体" w:cs="宋体"/>
          <w:b/>
          <w:snapToGrid w:val="0"/>
          <w:kern w:val="0"/>
          <w:szCs w:val="21"/>
          <w:highlight w:val="none"/>
          <w:lang w:val="zh-CN"/>
        </w:rPr>
      </w:pPr>
      <w:bookmarkStart w:id="142" w:name="_Toc8056"/>
      <w:bookmarkStart w:id="143" w:name="_Toc6249"/>
      <w:bookmarkStart w:id="144" w:name="_Toc1609"/>
      <w:bookmarkStart w:id="145" w:name="_Toc27068"/>
      <w:r>
        <w:rPr>
          <w:rFonts w:hint="eastAsia" w:ascii="宋体" w:hAnsi="宋体" w:eastAsia="宋体" w:cs="宋体"/>
          <w:b/>
          <w:snapToGrid w:val="0"/>
          <w:kern w:val="0"/>
          <w:szCs w:val="21"/>
          <w:highlight w:val="none"/>
          <w:lang w:val="zh-CN"/>
        </w:rPr>
        <w:t>磋商保证金</w:t>
      </w:r>
      <w:bookmarkEnd w:id="142"/>
      <w:bookmarkEnd w:id="143"/>
      <w:bookmarkEnd w:id="144"/>
      <w:bookmarkEnd w:id="145"/>
    </w:p>
    <w:p>
      <w:pPr>
        <w:numPr>
          <w:ilvl w:val="1"/>
          <w:numId w:val="22"/>
        </w:numPr>
        <w:tabs>
          <w:tab w:val="left" w:pos="540"/>
        </w:tabs>
        <w:autoSpaceDE w:val="0"/>
        <w:autoSpaceDN w:val="0"/>
        <w:adjustRightInd w:val="0"/>
        <w:spacing w:line="360" w:lineRule="auto"/>
        <w:ind w:left="540" w:hanging="540"/>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本采购文件是否要求递交磋商保证金及保证金金额、递交方式、递交时间、接受保证金的帐户信息等详见《供应商须知前附表》。</w:t>
      </w:r>
    </w:p>
    <w:p>
      <w:pPr>
        <w:numPr>
          <w:ilvl w:val="1"/>
          <w:numId w:val="22"/>
        </w:numPr>
        <w:tabs>
          <w:tab w:val="left" w:pos="540"/>
          <w:tab w:val="clear" w:pos="600"/>
        </w:tabs>
        <w:autoSpaceDE w:val="0"/>
        <w:autoSpaceDN w:val="0"/>
        <w:adjustRightInd w:val="0"/>
        <w:spacing w:line="360" w:lineRule="auto"/>
        <w:ind w:left="540" w:hanging="540"/>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本采购文件要求递交磋商保证金的，磋商保证金作为竞争性磋商响应文件的组成部分，</w:t>
      </w:r>
      <w:r>
        <w:rPr>
          <w:rFonts w:hint="eastAsia" w:ascii="宋体" w:hAnsi="宋体" w:eastAsia="宋体" w:cs="宋体"/>
          <w:szCs w:val="21"/>
          <w:highlight w:val="none"/>
          <w:lang w:val="zh-CN"/>
        </w:rPr>
        <w:t>以到账为准。</w:t>
      </w:r>
      <w:r>
        <w:rPr>
          <w:rFonts w:hint="eastAsia" w:ascii="宋体" w:hAnsi="宋体" w:eastAsia="宋体" w:cs="宋体"/>
          <w:snapToGrid w:val="0"/>
          <w:kern w:val="0"/>
          <w:szCs w:val="21"/>
          <w:highlight w:val="none"/>
          <w:lang w:val="zh-CN"/>
        </w:rPr>
        <w:t>凡未按规定递交磋商保证金的报价，其响应文件将被视为无效文件。</w:t>
      </w:r>
    </w:p>
    <w:p>
      <w:pPr>
        <w:numPr>
          <w:ilvl w:val="1"/>
          <w:numId w:val="22"/>
        </w:numPr>
        <w:tabs>
          <w:tab w:val="left" w:pos="540"/>
          <w:tab w:val="clear" w:pos="600"/>
        </w:tabs>
        <w:autoSpaceDE w:val="0"/>
        <w:autoSpaceDN w:val="0"/>
        <w:adjustRightInd w:val="0"/>
        <w:spacing w:line="360" w:lineRule="auto"/>
        <w:ind w:left="540" w:hanging="540"/>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磋商保证金有效时间：磋商保证金的有效期与本次磋商有效期一致。</w:t>
      </w:r>
    </w:p>
    <w:p>
      <w:pPr>
        <w:numPr>
          <w:ilvl w:val="1"/>
          <w:numId w:val="22"/>
        </w:numPr>
        <w:tabs>
          <w:tab w:val="left" w:pos="540"/>
          <w:tab w:val="clear" w:pos="600"/>
        </w:tabs>
        <w:autoSpaceDE w:val="0"/>
        <w:autoSpaceDN w:val="0"/>
        <w:adjustRightInd w:val="0"/>
        <w:spacing w:line="360" w:lineRule="auto"/>
        <w:ind w:left="540" w:hanging="540"/>
        <w:jc w:val="left"/>
        <w:rPr>
          <w:rFonts w:hint="eastAsia" w:ascii="宋体" w:hAnsi="宋体" w:eastAsia="宋体" w:cs="宋体"/>
          <w:szCs w:val="21"/>
          <w:highlight w:val="none"/>
          <w:lang w:val="zh-CN"/>
        </w:rPr>
      </w:pPr>
      <w:r>
        <w:rPr>
          <w:rFonts w:hint="eastAsia" w:ascii="宋体" w:hAnsi="宋体" w:eastAsia="宋体" w:cs="宋体"/>
          <w:szCs w:val="21"/>
          <w:highlight w:val="none"/>
          <w:lang w:val="zh-CN"/>
        </w:rPr>
        <w:t>供应商为联合体的，应由联合体中牵头人缴纳保证金，其缴纳的保证金对联合体各方均具有约束力。</w:t>
      </w:r>
    </w:p>
    <w:p>
      <w:pPr>
        <w:numPr>
          <w:ilvl w:val="1"/>
          <w:numId w:val="22"/>
        </w:numPr>
        <w:tabs>
          <w:tab w:val="left" w:pos="540"/>
          <w:tab w:val="clear" w:pos="600"/>
        </w:tabs>
        <w:autoSpaceDE w:val="0"/>
        <w:autoSpaceDN w:val="0"/>
        <w:adjustRightInd w:val="0"/>
        <w:spacing w:line="360" w:lineRule="auto"/>
        <w:ind w:left="540" w:hanging="540"/>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保证金的退还：未成交的磋商供应商，其磋商保证金在成交通知书发出后5个工作日内不计利息原额退还，成交供应商的磋商保证金，在成交供应商与采购人签订合同后5个工作日内不计利息原额退还。</w:t>
      </w:r>
    </w:p>
    <w:p>
      <w:pPr>
        <w:numPr>
          <w:ilvl w:val="1"/>
          <w:numId w:val="22"/>
        </w:numPr>
        <w:tabs>
          <w:tab w:val="left" w:pos="540"/>
          <w:tab w:val="clear" w:pos="600"/>
        </w:tabs>
        <w:autoSpaceDE w:val="0"/>
        <w:autoSpaceDN w:val="0"/>
        <w:adjustRightInd w:val="0"/>
        <w:spacing w:line="360" w:lineRule="auto"/>
        <w:ind w:left="540" w:hanging="540"/>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有下列情形之一的，磋商保证金将不予退还:</w:t>
      </w:r>
    </w:p>
    <w:p>
      <w:pPr>
        <w:numPr>
          <w:ilvl w:val="0"/>
          <w:numId w:val="23"/>
        </w:numPr>
        <w:tabs>
          <w:tab w:val="left" w:pos="525"/>
          <w:tab w:val="clear" w:pos="2040"/>
        </w:tabs>
        <w:autoSpaceDE w:val="0"/>
        <w:autoSpaceDN w:val="0"/>
        <w:adjustRightInd w:val="0"/>
        <w:spacing w:line="360" w:lineRule="auto"/>
        <w:ind w:left="540" w:hanging="539" w:hangingChars="257"/>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供应商在提交响应文件截止时间后撤回响应文件的；</w:t>
      </w:r>
    </w:p>
    <w:p>
      <w:pPr>
        <w:numPr>
          <w:ilvl w:val="0"/>
          <w:numId w:val="23"/>
        </w:numPr>
        <w:tabs>
          <w:tab w:val="left" w:pos="525"/>
          <w:tab w:val="clear" w:pos="2040"/>
        </w:tabs>
        <w:autoSpaceDE w:val="0"/>
        <w:autoSpaceDN w:val="0"/>
        <w:adjustRightInd w:val="0"/>
        <w:spacing w:line="360" w:lineRule="auto"/>
        <w:ind w:left="540" w:hanging="539" w:hangingChars="257"/>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供应商在响应文件中提供虚假材料的；</w:t>
      </w:r>
    </w:p>
    <w:p>
      <w:pPr>
        <w:numPr>
          <w:ilvl w:val="0"/>
          <w:numId w:val="23"/>
        </w:numPr>
        <w:tabs>
          <w:tab w:val="left" w:pos="525"/>
          <w:tab w:val="clear" w:pos="2040"/>
        </w:tabs>
        <w:autoSpaceDE w:val="0"/>
        <w:autoSpaceDN w:val="0"/>
        <w:adjustRightInd w:val="0"/>
        <w:spacing w:line="360" w:lineRule="auto"/>
        <w:ind w:left="540" w:hanging="539" w:hangingChars="257"/>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除因不可抗力或磋商文件认可的情形以外，成交供应商不与采购人签订合同的；</w:t>
      </w:r>
    </w:p>
    <w:p>
      <w:pPr>
        <w:numPr>
          <w:ilvl w:val="0"/>
          <w:numId w:val="23"/>
        </w:numPr>
        <w:tabs>
          <w:tab w:val="left" w:pos="525"/>
          <w:tab w:val="clear" w:pos="2040"/>
        </w:tabs>
        <w:autoSpaceDE w:val="0"/>
        <w:autoSpaceDN w:val="0"/>
        <w:adjustRightInd w:val="0"/>
        <w:spacing w:line="360" w:lineRule="auto"/>
        <w:ind w:left="540" w:hanging="539" w:hangingChars="257"/>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供应商与采购人、其他供应商或者采购代理机构恶意串通的；</w:t>
      </w:r>
    </w:p>
    <w:p>
      <w:pPr>
        <w:numPr>
          <w:ilvl w:val="0"/>
          <w:numId w:val="23"/>
        </w:numPr>
        <w:tabs>
          <w:tab w:val="left" w:pos="525"/>
          <w:tab w:val="clear" w:pos="2040"/>
        </w:tabs>
        <w:autoSpaceDE w:val="0"/>
        <w:autoSpaceDN w:val="0"/>
        <w:adjustRightInd w:val="0"/>
        <w:spacing w:line="360" w:lineRule="auto"/>
        <w:ind w:left="540" w:hanging="539" w:hangingChars="257"/>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本采购文件规定的其他情形。</w:t>
      </w:r>
    </w:p>
    <w:p>
      <w:pPr>
        <w:numPr>
          <w:ilvl w:val="0"/>
          <w:numId w:val="5"/>
        </w:numPr>
        <w:tabs>
          <w:tab w:val="left" w:pos="864"/>
          <w:tab w:val="left" w:pos="1080"/>
        </w:tabs>
        <w:spacing w:line="360" w:lineRule="auto"/>
        <w:ind w:hanging="540"/>
        <w:outlineLvl w:val="1"/>
        <w:rPr>
          <w:rFonts w:hint="eastAsia" w:ascii="宋体" w:hAnsi="宋体" w:eastAsia="宋体" w:cs="宋体"/>
          <w:b/>
          <w:snapToGrid w:val="0"/>
          <w:kern w:val="0"/>
          <w:szCs w:val="21"/>
          <w:highlight w:val="none"/>
          <w:lang w:val="zh-CN"/>
        </w:rPr>
      </w:pPr>
      <w:bookmarkStart w:id="146" w:name="_Toc25940"/>
      <w:bookmarkStart w:id="147" w:name="_Toc18159"/>
      <w:bookmarkStart w:id="148" w:name="_Toc5668"/>
      <w:bookmarkStart w:id="149" w:name="_Toc8772"/>
      <w:r>
        <w:rPr>
          <w:rFonts w:hint="eastAsia" w:ascii="宋体" w:hAnsi="宋体" w:eastAsia="宋体" w:cs="宋体"/>
          <w:b/>
          <w:snapToGrid w:val="0"/>
          <w:kern w:val="0"/>
          <w:szCs w:val="21"/>
          <w:highlight w:val="none"/>
          <w:lang w:val="zh-CN"/>
        </w:rPr>
        <w:t>磋商有效期</w:t>
      </w:r>
      <w:bookmarkEnd w:id="146"/>
      <w:bookmarkEnd w:id="147"/>
      <w:bookmarkEnd w:id="148"/>
      <w:bookmarkEnd w:id="149"/>
    </w:p>
    <w:p>
      <w:pPr>
        <w:numPr>
          <w:ilvl w:val="1"/>
          <w:numId w:val="0"/>
        </w:numPr>
        <w:tabs>
          <w:tab w:val="left" w:pos="525"/>
        </w:tabs>
        <w:autoSpaceDE w:val="0"/>
        <w:autoSpaceDN w:val="0"/>
        <w:adjustRightInd w:val="0"/>
        <w:spacing w:line="360" w:lineRule="auto"/>
        <w:ind w:left="540" w:leftChars="0" w:hanging="540" w:firstLineChars="0"/>
        <w:jc w:val="left"/>
        <w:rPr>
          <w:rFonts w:hint="eastAsia" w:ascii="宋体" w:hAnsi="宋体" w:eastAsia="宋体" w:cs="宋体"/>
          <w:snapToGrid w:val="0"/>
          <w:kern w:val="0"/>
          <w:szCs w:val="21"/>
          <w:highlight w:val="none"/>
          <w:lang w:val="zh-CN"/>
        </w:rPr>
      </w:pPr>
      <w:r>
        <w:rPr>
          <w:rFonts w:hint="default" w:ascii="宋体" w:hAnsi="宋体" w:eastAsia="宋体" w:cs="宋体"/>
          <w:snapToGrid w:val="0"/>
          <w:kern w:val="0"/>
          <w:sz w:val="21"/>
          <w:szCs w:val="21"/>
          <w:highlight w:val="none"/>
          <w:lang w:val="zh-CN" w:eastAsia="zh-CN" w:bidi="ar-SA"/>
        </w:rPr>
        <w:t>17.1</w:t>
      </w:r>
      <w:r>
        <w:rPr>
          <w:rFonts w:hint="eastAsia" w:ascii="宋体" w:hAnsi="宋体" w:eastAsia="宋体" w:cs="宋体"/>
          <w:snapToGrid w:val="0"/>
          <w:kern w:val="0"/>
          <w:szCs w:val="21"/>
          <w:highlight w:val="none"/>
          <w:lang w:val="zh-CN"/>
        </w:rPr>
        <w:t>磋商有效期从磋商结束之日起计算，本次采购磋商有效期见《供应商须知前附表》，磋商供应商承诺的磋商有效期不足的，其响应文件将被视为无效文件。</w:t>
      </w:r>
    </w:p>
    <w:p>
      <w:pPr>
        <w:numPr>
          <w:ilvl w:val="1"/>
          <w:numId w:val="0"/>
        </w:numPr>
        <w:tabs>
          <w:tab w:val="left" w:pos="525"/>
        </w:tabs>
        <w:autoSpaceDE w:val="0"/>
        <w:autoSpaceDN w:val="0"/>
        <w:adjustRightInd w:val="0"/>
        <w:spacing w:line="360" w:lineRule="auto"/>
        <w:ind w:left="540" w:leftChars="0" w:hanging="540" w:firstLineChars="0"/>
        <w:jc w:val="left"/>
        <w:rPr>
          <w:rFonts w:hint="eastAsia" w:ascii="宋体" w:hAnsi="宋体" w:eastAsia="宋体" w:cs="宋体"/>
          <w:snapToGrid w:val="0"/>
          <w:kern w:val="0"/>
          <w:szCs w:val="21"/>
          <w:highlight w:val="none"/>
          <w:lang w:val="zh-CN"/>
        </w:rPr>
      </w:pPr>
      <w:r>
        <w:rPr>
          <w:rFonts w:hint="default" w:ascii="宋体" w:hAnsi="宋体" w:eastAsia="宋体" w:cs="宋体"/>
          <w:snapToGrid w:val="0"/>
          <w:kern w:val="0"/>
          <w:sz w:val="21"/>
          <w:szCs w:val="21"/>
          <w:highlight w:val="none"/>
          <w:lang w:val="zh-CN" w:eastAsia="zh-CN" w:bidi="ar-SA"/>
        </w:rPr>
        <w:t>17.2</w:t>
      </w:r>
      <w:r>
        <w:rPr>
          <w:rFonts w:hint="eastAsia" w:ascii="宋体" w:hAnsi="宋体" w:eastAsia="宋体" w:cs="宋体"/>
          <w:snapToGrid w:val="0"/>
          <w:kern w:val="0"/>
          <w:szCs w:val="21"/>
          <w:highlight w:val="none"/>
          <w:lang w:val="zh-CN"/>
        </w:rPr>
        <w:t>特殊情况下，在原磋商有效期截止之前，采购代理机构或采购人可要求供应商延长磋商有效期。需要延长磋商有效期时，采购代理机构或采购人将以书面形式通知所有磋商供应商，供应商应以书面形式答复是否同意延长磋商有效期。供应商同意延长的，其磋商保证金有效期相应延长，但不得要求或被允许修改或撤销其响应文件；供应商拒绝延长的，其响应文件在原磋商有效期满后将不再有效，供应商有权收回其投标保证金。</w:t>
      </w:r>
    </w:p>
    <w:p>
      <w:pPr>
        <w:numPr>
          <w:ilvl w:val="1"/>
          <w:numId w:val="0"/>
        </w:numPr>
        <w:tabs>
          <w:tab w:val="left" w:pos="525"/>
        </w:tabs>
        <w:autoSpaceDE w:val="0"/>
        <w:autoSpaceDN w:val="0"/>
        <w:adjustRightInd w:val="0"/>
        <w:spacing w:line="360" w:lineRule="auto"/>
        <w:ind w:left="540" w:leftChars="0" w:hanging="540" w:firstLineChars="0"/>
        <w:jc w:val="left"/>
        <w:rPr>
          <w:rFonts w:hint="eastAsia" w:ascii="宋体" w:hAnsi="宋体" w:eastAsia="宋体" w:cs="宋体"/>
          <w:snapToGrid w:val="0"/>
          <w:kern w:val="0"/>
          <w:szCs w:val="21"/>
          <w:highlight w:val="none"/>
          <w:lang w:val="zh-CN"/>
        </w:rPr>
      </w:pPr>
      <w:r>
        <w:rPr>
          <w:rFonts w:hint="default" w:ascii="宋体" w:hAnsi="宋体" w:eastAsia="宋体" w:cs="宋体"/>
          <w:snapToGrid w:val="0"/>
          <w:kern w:val="0"/>
          <w:sz w:val="21"/>
          <w:szCs w:val="21"/>
          <w:highlight w:val="none"/>
          <w:lang w:val="zh-CN" w:eastAsia="zh-CN" w:bidi="ar-SA"/>
        </w:rPr>
        <w:t>17.3</w:t>
      </w:r>
      <w:r>
        <w:rPr>
          <w:rFonts w:hint="eastAsia" w:ascii="宋体" w:hAnsi="宋体" w:eastAsia="宋体" w:cs="宋体"/>
          <w:snapToGrid w:val="0"/>
          <w:kern w:val="0"/>
          <w:szCs w:val="21"/>
          <w:highlight w:val="none"/>
          <w:lang w:val="zh-CN"/>
        </w:rPr>
        <w:t>供应商同意延长磋商有效期的，不得要求或被允许修改或撤销其竞争性磋商响应文件；供应商拒绝延长的，其响应文件失效，但供应商有权收回其磋商保证金。</w:t>
      </w:r>
    </w:p>
    <w:p>
      <w:pPr>
        <w:pStyle w:val="3"/>
        <w:numPr>
          <w:ilvl w:val="0"/>
          <w:numId w:val="0"/>
        </w:numPr>
        <w:bidi w:val="0"/>
        <w:spacing w:line="360" w:lineRule="auto"/>
        <w:rPr>
          <w:rFonts w:hint="eastAsia"/>
          <w:b/>
          <w:bCs/>
          <w:highlight w:val="none"/>
          <w:u w:val="none"/>
        </w:rPr>
      </w:pPr>
      <w:bookmarkStart w:id="150" w:name="_Toc10395"/>
      <w:bookmarkStart w:id="151" w:name="_Toc29774"/>
      <w:r>
        <w:rPr>
          <w:rFonts w:hint="eastAsia"/>
          <w:b/>
          <w:bCs/>
          <w:highlight w:val="none"/>
          <w:u w:val="none"/>
          <w:lang w:eastAsia="zh-CN"/>
        </w:rPr>
        <w:t>四、</w:t>
      </w:r>
      <w:r>
        <w:rPr>
          <w:rFonts w:hint="eastAsia"/>
          <w:b/>
          <w:bCs/>
          <w:highlight w:val="none"/>
          <w:u w:val="none"/>
        </w:rPr>
        <w:t>竞争性磋商响应文件的递交</w:t>
      </w:r>
      <w:bookmarkEnd w:id="150"/>
      <w:bookmarkEnd w:id="151"/>
    </w:p>
    <w:p>
      <w:pPr>
        <w:numPr>
          <w:ilvl w:val="0"/>
          <w:numId w:val="5"/>
        </w:numPr>
        <w:tabs>
          <w:tab w:val="left" w:pos="864"/>
          <w:tab w:val="left" w:pos="1080"/>
        </w:tabs>
        <w:spacing w:line="360" w:lineRule="auto"/>
        <w:ind w:hanging="540"/>
        <w:outlineLvl w:val="1"/>
        <w:rPr>
          <w:rFonts w:hint="eastAsia" w:ascii="宋体" w:hAnsi="宋体" w:eastAsia="宋体" w:cs="宋体"/>
          <w:b/>
          <w:snapToGrid w:val="0"/>
          <w:kern w:val="0"/>
          <w:szCs w:val="21"/>
          <w:highlight w:val="none"/>
          <w:lang w:val="zh-CN"/>
        </w:rPr>
      </w:pPr>
      <w:r>
        <w:rPr>
          <w:rFonts w:hint="eastAsia" w:ascii="宋体" w:hAnsi="宋体" w:eastAsia="宋体" w:cs="宋体"/>
          <w:b/>
          <w:snapToGrid w:val="0"/>
          <w:kern w:val="0"/>
          <w:szCs w:val="21"/>
          <w:highlight w:val="none"/>
          <w:lang w:val="zh-CN"/>
        </w:rPr>
        <w:t>电子响应文件的加密与递交</w:t>
      </w:r>
    </w:p>
    <w:p>
      <w:pPr>
        <w:numPr>
          <w:ilvl w:val="1"/>
          <w:numId w:val="0"/>
        </w:numPr>
        <w:tabs>
          <w:tab w:val="left" w:pos="525"/>
        </w:tabs>
        <w:autoSpaceDE w:val="0"/>
        <w:autoSpaceDN w:val="0"/>
        <w:adjustRightInd w:val="0"/>
        <w:spacing w:line="360" w:lineRule="auto"/>
        <w:ind w:left="540" w:leftChars="0" w:hanging="540" w:firstLineChars="0"/>
        <w:jc w:val="left"/>
        <w:rPr>
          <w:rFonts w:hint="eastAsia"/>
          <w:highlight w:val="none"/>
        </w:rPr>
      </w:pPr>
      <w:r>
        <w:rPr>
          <w:rFonts w:hint="eastAsia" w:ascii="宋体" w:hAnsi="宋体" w:eastAsia="宋体" w:cs="宋体"/>
          <w:snapToGrid w:val="0"/>
          <w:kern w:val="0"/>
          <w:szCs w:val="21"/>
          <w:highlight w:val="none"/>
          <w:lang w:val="en-US" w:eastAsia="zh-CN"/>
        </w:rPr>
        <w:t xml:space="preserve">18.1 </w:t>
      </w:r>
      <w:r>
        <w:rPr>
          <w:rFonts w:hint="eastAsia" w:ascii="宋体" w:hAnsi="宋体" w:eastAsia="宋体" w:cs="宋体"/>
          <w:snapToGrid w:val="0"/>
          <w:kern w:val="0"/>
          <w:szCs w:val="21"/>
          <w:highlight w:val="none"/>
          <w:lang w:val="zh-CN"/>
        </w:rPr>
        <w:t>相关规定见《供应商须知前附表》。</w:t>
      </w:r>
    </w:p>
    <w:p>
      <w:pPr>
        <w:numPr>
          <w:ilvl w:val="0"/>
          <w:numId w:val="5"/>
        </w:numPr>
        <w:tabs>
          <w:tab w:val="left" w:pos="864"/>
          <w:tab w:val="left" w:pos="1080"/>
        </w:tabs>
        <w:spacing w:line="360" w:lineRule="auto"/>
        <w:ind w:hanging="540"/>
        <w:outlineLvl w:val="1"/>
        <w:rPr>
          <w:rFonts w:hint="eastAsia" w:ascii="宋体" w:hAnsi="宋体" w:eastAsia="宋体" w:cs="宋体"/>
          <w:b/>
          <w:snapToGrid w:val="0"/>
          <w:kern w:val="0"/>
          <w:szCs w:val="21"/>
          <w:highlight w:val="none"/>
          <w:lang w:val="zh-CN"/>
        </w:rPr>
      </w:pPr>
      <w:r>
        <w:rPr>
          <w:rFonts w:hint="eastAsia" w:ascii="宋体" w:hAnsi="宋体" w:cs="宋体"/>
          <w:b/>
          <w:snapToGrid w:val="0"/>
          <w:kern w:val="0"/>
          <w:szCs w:val="21"/>
          <w:highlight w:val="none"/>
          <w:lang w:val="zh-CN"/>
        </w:rPr>
        <w:t>电子响应文件的签章</w:t>
      </w:r>
    </w:p>
    <w:p>
      <w:pPr>
        <w:numPr>
          <w:ilvl w:val="1"/>
          <w:numId w:val="0"/>
        </w:numPr>
        <w:tabs>
          <w:tab w:val="left" w:pos="540"/>
        </w:tabs>
        <w:autoSpaceDE w:val="0"/>
        <w:autoSpaceDN w:val="0"/>
        <w:adjustRightInd w:val="0"/>
        <w:spacing w:line="360" w:lineRule="auto"/>
        <w:ind w:left="540" w:leftChars="0" w:hanging="540" w:firstLineChars="0"/>
        <w:jc w:val="left"/>
        <w:rPr>
          <w:rFonts w:hint="eastAsia" w:ascii="宋体" w:hAnsi="宋体" w:eastAsia="宋体" w:cs="宋体"/>
          <w:snapToGrid w:val="0"/>
          <w:kern w:val="0"/>
          <w:szCs w:val="21"/>
          <w:highlight w:val="none"/>
          <w:lang w:val="zh-CN"/>
        </w:rPr>
      </w:pPr>
      <w:r>
        <w:rPr>
          <w:rFonts w:hint="default" w:ascii="宋体" w:hAnsi="宋体" w:eastAsia="宋体" w:cs="宋体"/>
          <w:snapToGrid w:val="0"/>
          <w:kern w:val="0"/>
          <w:sz w:val="21"/>
          <w:szCs w:val="21"/>
          <w:highlight w:val="none"/>
          <w:lang w:val="zh-CN" w:eastAsia="zh-CN" w:bidi="ar-SA"/>
        </w:rPr>
        <w:t>19.</w:t>
      </w:r>
      <w:r>
        <w:rPr>
          <w:rFonts w:hint="eastAsia" w:ascii="宋体" w:hAnsi="宋体" w:cs="宋体"/>
          <w:snapToGrid w:val="0"/>
          <w:kern w:val="0"/>
          <w:sz w:val="21"/>
          <w:szCs w:val="21"/>
          <w:highlight w:val="none"/>
          <w:lang w:val="en-US" w:eastAsia="zh-CN" w:bidi="ar-SA"/>
        </w:rPr>
        <w:t>1</w:t>
      </w:r>
      <w:r>
        <w:rPr>
          <w:rFonts w:hint="eastAsia" w:ascii="宋体" w:hAnsi="宋体" w:eastAsia="宋体" w:cs="宋体"/>
          <w:snapToGrid w:val="0"/>
          <w:kern w:val="0"/>
          <w:szCs w:val="21"/>
          <w:highlight w:val="none"/>
          <w:lang w:val="zh-CN"/>
        </w:rPr>
        <w:t>相关规定见《供应商须知前附表》。</w:t>
      </w:r>
    </w:p>
    <w:p>
      <w:pPr>
        <w:numPr>
          <w:ilvl w:val="0"/>
          <w:numId w:val="5"/>
        </w:numPr>
        <w:tabs>
          <w:tab w:val="left" w:pos="864"/>
          <w:tab w:val="left" w:pos="1080"/>
        </w:tabs>
        <w:spacing w:line="360" w:lineRule="auto"/>
        <w:ind w:hanging="540"/>
        <w:outlineLvl w:val="1"/>
        <w:rPr>
          <w:rFonts w:hint="eastAsia" w:ascii="宋体" w:hAnsi="宋体" w:eastAsia="宋体" w:cs="宋体"/>
          <w:b/>
          <w:snapToGrid w:val="0"/>
          <w:kern w:val="0"/>
          <w:szCs w:val="21"/>
          <w:highlight w:val="none"/>
          <w:lang w:val="zh-CN"/>
        </w:rPr>
      </w:pPr>
      <w:bookmarkStart w:id="152" w:name="_Toc17857"/>
      <w:bookmarkStart w:id="153" w:name="_Toc11656"/>
      <w:bookmarkStart w:id="154" w:name="_Toc17701"/>
      <w:bookmarkStart w:id="155" w:name="_Toc13691"/>
      <w:r>
        <w:rPr>
          <w:rFonts w:hint="eastAsia" w:ascii="宋体" w:hAnsi="宋体" w:eastAsia="宋体" w:cs="宋体"/>
          <w:b/>
          <w:snapToGrid w:val="0"/>
          <w:kern w:val="0"/>
          <w:szCs w:val="21"/>
          <w:highlight w:val="none"/>
          <w:lang w:val="zh-CN"/>
        </w:rPr>
        <w:t>竞争性磋商响应文件的送达地点及截止时间</w:t>
      </w:r>
      <w:bookmarkEnd w:id="152"/>
      <w:bookmarkEnd w:id="153"/>
      <w:bookmarkEnd w:id="154"/>
      <w:bookmarkEnd w:id="155"/>
    </w:p>
    <w:p>
      <w:pPr>
        <w:autoSpaceDE w:val="0"/>
        <w:autoSpaceDN w:val="0"/>
        <w:adjustRightInd w:val="0"/>
        <w:spacing w:line="360" w:lineRule="auto"/>
        <w:jc w:val="left"/>
        <w:rPr>
          <w:rFonts w:hint="eastAsia" w:ascii="宋体" w:hAnsi="宋体" w:eastAsia="宋体" w:cs="宋体"/>
          <w:b/>
          <w:snapToGrid w:val="0"/>
          <w:kern w:val="0"/>
          <w:szCs w:val="21"/>
          <w:highlight w:val="none"/>
          <w:lang w:val="zh-CN"/>
        </w:rPr>
      </w:pPr>
      <w:r>
        <w:rPr>
          <w:rFonts w:hint="eastAsia" w:ascii="宋体" w:hAnsi="宋体" w:eastAsia="宋体" w:cs="宋体"/>
          <w:b/>
          <w:snapToGrid w:val="0"/>
          <w:kern w:val="0"/>
          <w:szCs w:val="21"/>
          <w:highlight w:val="none"/>
          <w:lang w:val="zh-CN"/>
        </w:rPr>
        <w:t>20.1</w:t>
      </w:r>
      <w:r>
        <w:rPr>
          <w:rFonts w:hint="eastAsia" w:ascii="宋体" w:hAnsi="宋体" w:eastAsia="宋体" w:cs="宋体"/>
          <w:snapToGrid w:val="0"/>
          <w:kern w:val="0"/>
          <w:szCs w:val="21"/>
          <w:highlight w:val="none"/>
          <w:lang w:val="zh-CN"/>
        </w:rPr>
        <w:t>截止时间是</w:t>
      </w:r>
      <w:r>
        <w:rPr>
          <w:rFonts w:hint="eastAsia" w:ascii="宋体" w:hAnsi="宋体" w:eastAsia="宋体" w:cs="宋体"/>
          <w:b/>
          <w:snapToGrid w:val="0"/>
          <w:kern w:val="0"/>
          <w:szCs w:val="21"/>
          <w:highlight w:val="none"/>
          <w:lang w:val="zh-CN"/>
        </w:rPr>
        <w:t>竞争性磋商文件</w:t>
      </w:r>
      <w:r>
        <w:rPr>
          <w:rFonts w:hint="eastAsia" w:ascii="宋体" w:hAnsi="宋体" w:eastAsia="宋体" w:cs="宋体"/>
          <w:snapToGrid w:val="0"/>
          <w:kern w:val="0"/>
          <w:szCs w:val="21"/>
          <w:highlight w:val="none"/>
          <w:lang w:val="zh-CN"/>
        </w:rPr>
        <w:t>中规定的首次送达、提交响应文件的最后时间。本次磋商响应文件的送达地点及截止时间见《供应商须知前附表》。</w:t>
      </w:r>
    </w:p>
    <w:p>
      <w:pPr>
        <w:numPr>
          <w:ilvl w:val="0"/>
          <w:numId w:val="5"/>
        </w:numPr>
        <w:tabs>
          <w:tab w:val="left" w:pos="864"/>
          <w:tab w:val="left" w:pos="1080"/>
        </w:tabs>
        <w:spacing w:line="360" w:lineRule="auto"/>
        <w:ind w:hanging="540"/>
        <w:outlineLvl w:val="1"/>
        <w:rPr>
          <w:rFonts w:hint="eastAsia" w:ascii="宋体" w:hAnsi="宋体" w:eastAsia="宋体" w:cs="宋体"/>
          <w:b/>
          <w:snapToGrid w:val="0"/>
          <w:kern w:val="0"/>
          <w:szCs w:val="21"/>
          <w:highlight w:val="none"/>
          <w:lang w:val="zh-CN"/>
        </w:rPr>
      </w:pPr>
      <w:bookmarkStart w:id="156" w:name="_Toc20976"/>
      <w:bookmarkStart w:id="157" w:name="_Toc31376"/>
      <w:bookmarkStart w:id="158" w:name="_Toc2590"/>
      <w:bookmarkStart w:id="159" w:name="_Toc17400"/>
      <w:r>
        <w:rPr>
          <w:rFonts w:hint="eastAsia" w:ascii="宋体" w:hAnsi="宋体" w:eastAsia="宋体" w:cs="宋体"/>
          <w:b/>
          <w:snapToGrid w:val="0"/>
          <w:kern w:val="0"/>
          <w:szCs w:val="21"/>
          <w:highlight w:val="none"/>
          <w:lang w:val="zh-CN"/>
        </w:rPr>
        <w:t>迟交的竞争性磋商响应文件</w:t>
      </w:r>
      <w:bookmarkEnd w:id="156"/>
      <w:bookmarkEnd w:id="157"/>
      <w:bookmarkEnd w:id="158"/>
      <w:bookmarkEnd w:id="159"/>
    </w:p>
    <w:p>
      <w:pPr>
        <w:numPr>
          <w:ilvl w:val="1"/>
          <w:numId w:val="24"/>
        </w:numPr>
        <w:tabs>
          <w:tab w:val="left" w:pos="540"/>
          <w:tab w:val="clear" w:pos="480"/>
        </w:tabs>
        <w:autoSpaceDE w:val="0"/>
        <w:autoSpaceDN w:val="0"/>
        <w:adjustRightInd w:val="0"/>
        <w:spacing w:line="360" w:lineRule="auto"/>
        <w:ind w:left="540" w:hanging="540"/>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在本次磋商递交响应文件的截止时间以后送达的响应文件，不论何种原因，采购代理机构将拒收。</w:t>
      </w:r>
    </w:p>
    <w:p>
      <w:pPr>
        <w:numPr>
          <w:ilvl w:val="0"/>
          <w:numId w:val="5"/>
        </w:numPr>
        <w:tabs>
          <w:tab w:val="left" w:pos="864"/>
          <w:tab w:val="left" w:pos="1080"/>
        </w:tabs>
        <w:spacing w:line="360" w:lineRule="auto"/>
        <w:ind w:hanging="540"/>
        <w:outlineLvl w:val="1"/>
        <w:rPr>
          <w:rFonts w:hint="eastAsia" w:ascii="宋体" w:hAnsi="宋体" w:eastAsia="宋体" w:cs="宋体"/>
          <w:b/>
          <w:snapToGrid w:val="0"/>
          <w:kern w:val="0"/>
          <w:szCs w:val="21"/>
          <w:highlight w:val="none"/>
          <w:lang w:val="zh-CN"/>
        </w:rPr>
      </w:pPr>
      <w:bookmarkStart w:id="160" w:name="_Toc3069"/>
      <w:bookmarkStart w:id="161" w:name="_Toc16669"/>
      <w:bookmarkStart w:id="162" w:name="_Toc3825"/>
      <w:bookmarkStart w:id="163" w:name="_Toc31760"/>
      <w:r>
        <w:rPr>
          <w:rFonts w:hint="eastAsia" w:ascii="宋体" w:hAnsi="宋体" w:eastAsia="宋体" w:cs="宋体"/>
          <w:b/>
          <w:snapToGrid w:val="0"/>
          <w:kern w:val="0"/>
          <w:szCs w:val="21"/>
          <w:highlight w:val="none"/>
          <w:lang w:val="zh-CN"/>
        </w:rPr>
        <w:t>竞争性磋商响应文件的补充、修改或者撤回</w:t>
      </w:r>
      <w:bookmarkEnd w:id="160"/>
      <w:bookmarkEnd w:id="161"/>
      <w:bookmarkEnd w:id="162"/>
      <w:bookmarkEnd w:id="163"/>
    </w:p>
    <w:p>
      <w:pPr>
        <w:numPr>
          <w:ilvl w:val="1"/>
          <w:numId w:val="25"/>
        </w:numPr>
        <w:tabs>
          <w:tab w:val="left" w:pos="540"/>
        </w:tabs>
        <w:autoSpaceDE w:val="0"/>
        <w:autoSpaceDN w:val="0"/>
        <w:adjustRightInd w:val="0"/>
        <w:spacing w:line="360" w:lineRule="auto"/>
        <w:ind w:left="540" w:hanging="540"/>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在</w:t>
      </w:r>
      <w:r>
        <w:rPr>
          <w:rFonts w:hint="eastAsia" w:ascii="宋体" w:hAnsi="宋体" w:eastAsia="宋体" w:cs="宋体"/>
          <w:snapToGrid w:val="0"/>
          <w:kern w:val="0"/>
          <w:szCs w:val="21"/>
          <w:highlight w:val="none"/>
        </w:rPr>
        <w:t>提交</w:t>
      </w:r>
      <w:r>
        <w:rPr>
          <w:rFonts w:hint="eastAsia" w:ascii="宋体" w:hAnsi="宋体" w:eastAsia="宋体" w:cs="宋体"/>
          <w:snapToGrid w:val="0"/>
          <w:kern w:val="0"/>
          <w:szCs w:val="21"/>
          <w:highlight w:val="none"/>
          <w:lang w:val="zh-CN"/>
        </w:rPr>
        <w:t>响应文件截止时间前，供应商可以对</w:t>
      </w:r>
      <w:r>
        <w:rPr>
          <w:rFonts w:hint="eastAsia" w:ascii="宋体" w:hAnsi="宋体" w:eastAsia="宋体" w:cs="宋体"/>
          <w:snapToGrid w:val="0"/>
          <w:kern w:val="0"/>
          <w:szCs w:val="21"/>
          <w:highlight w:val="none"/>
        </w:rPr>
        <w:t>已</w:t>
      </w:r>
      <w:r>
        <w:rPr>
          <w:rFonts w:hint="eastAsia" w:ascii="宋体" w:hAnsi="宋体" w:eastAsia="宋体" w:cs="宋体"/>
          <w:snapToGrid w:val="0"/>
          <w:kern w:val="0"/>
          <w:szCs w:val="21"/>
          <w:highlight w:val="none"/>
          <w:lang w:val="zh-CN"/>
        </w:rPr>
        <w:t>提交的响应文件进行补充、修改或者撤回。供应商需要补充、修改或者撤回响应文件时，应以书面形式通知采购人、采购代理机构。补充、修改的内容是响应文件的组成部分，补充、修改的内容与响应文件不一致的，以补充、修改的内容为准。</w:t>
      </w:r>
    </w:p>
    <w:p>
      <w:pPr>
        <w:numPr>
          <w:ilvl w:val="1"/>
          <w:numId w:val="25"/>
        </w:numPr>
        <w:tabs>
          <w:tab w:val="left" w:pos="540"/>
        </w:tabs>
        <w:autoSpaceDE w:val="0"/>
        <w:autoSpaceDN w:val="0"/>
        <w:adjustRightInd w:val="0"/>
        <w:spacing w:line="360" w:lineRule="auto"/>
        <w:ind w:left="540" w:hanging="540"/>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从</w:t>
      </w:r>
      <w:r>
        <w:rPr>
          <w:rFonts w:hint="eastAsia" w:ascii="宋体" w:hAnsi="宋体" w:eastAsia="宋体" w:cs="宋体"/>
          <w:snapToGrid w:val="0"/>
          <w:kern w:val="0"/>
          <w:szCs w:val="21"/>
          <w:highlight w:val="none"/>
        </w:rPr>
        <w:t>提交</w:t>
      </w:r>
      <w:r>
        <w:rPr>
          <w:rFonts w:hint="eastAsia" w:ascii="宋体" w:hAnsi="宋体" w:eastAsia="宋体" w:cs="宋体"/>
          <w:snapToGrid w:val="0"/>
          <w:kern w:val="0"/>
          <w:szCs w:val="21"/>
          <w:highlight w:val="none"/>
          <w:lang w:val="zh-CN"/>
        </w:rPr>
        <w:t>响应文件截止时间至磋商有效期期满这段时间，供应商不得修改或</w:t>
      </w:r>
      <w:r>
        <w:rPr>
          <w:rFonts w:hint="eastAsia" w:ascii="宋体" w:hAnsi="宋体" w:eastAsia="宋体" w:cs="宋体"/>
          <w:snapToGrid w:val="0"/>
          <w:kern w:val="0"/>
          <w:szCs w:val="21"/>
          <w:highlight w:val="none"/>
        </w:rPr>
        <w:t>撤销</w:t>
      </w:r>
      <w:r>
        <w:rPr>
          <w:rFonts w:hint="eastAsia" w:ascii="宋体" w:hAnsi="宋体" w:eastAsia="宋体" w:cs="宋体"/>
          <w:snapToGrid w:val="0"/>
          <w:kern w:val="0"/>
          <w:szCs w:val="21"/>
          <w:highlight w:val="none"/>
          <w:lang w:val="zh-CN"/>
        </w:rPr>
        <w:t>其响应文件，否则其磋商保证金将不予以退还。</w:t>
      </w:r>
    </w:p>
    <w:p>
      <w:pPr>
        <w:numPr>
          <w:ilvl w:val="1"/>
          <w:numId w:val="25"/>
        </w:numPr>
        <w:tabs>
          <w:tab w:val="left" w:pos="540"/>
        </w:tabs>
        <w:autoSpaceDE w:val="0"/>
        <w:autoSpaceDN w:val="0"/>
        <w:adjustRightInd w:val="0"/>
        <w:spacing w:line="360" w:lineRule="auto"/>
        <w:ind w:left="540" w:hanging="540"/>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供应商所提交的响应文件在磋商结束后，无论成交与否都不退还。</w:t>
      </w:r>
    </w:p>
    <w:p>
      <w:pPr>
        <w:pStyle w:val="3"/>
        <w:numPr>
          <w:ilvl w:val="0"/>
          <w:numId w:val="0"/>
        </w:numPr>
        <w:bidi w:val="0"/>
        <w:spacing w:line="360" w:lineRule="auto"/>
        <w:rPr>
          <w:rFonts w:hint="eastAsia"/>
          <w:b/>
          <w:bCs/>
          <w:highlight w:val="none"/>
        </w:rPr>
      </w:pPr>
      <w:bookmarkStart w:id="164" w:name="_Toc17506"/>
      <w:bookmarkStart w:id="165" w:name="_Toc10904"/>
      <w:r>
        <w:rPr>
          <w:rFonts w:hint="eastAsia"/>
          <w:b/>
          <w:bCs/>
          <w:highlight w:val="none"/>
          <w:lang w:eastAsia="zh-CN"/>
        </w:rPr>
        <w:t>五、</w:t>
      </w:r>
      <w:r>
        <w:rPr>
          <w:rFonts w:hint="eastAsia"/>
          <w:b/>
          <w:bCs/>
          <w:highlight w:val="none"/>
        </w:rPr>
        <w:t>磋商程序及步骤</w:t>
      </w:r>
      <w:bookmarkEnd w:id="164"/>
      <w:bookmarkEnd w:id="165"/>
    </w:p>
    <w:p>
      <w:pPr>
        <w:numPr>
          <w:ilvl w:val="0"/>
          <w:numId w:val="5"/>
        </w:numPr>
        <w:tabs>
          <w:tab w:val="left" w:pos="864"/>
          <w:tab w:val="left" w:pos="1080"/>
        </w:tabs>
        <w:spacing w:line="360" w:lineRule="auto"/>
        <w:ind w:hanging="540"/>
        <w:outlineLvl w:val="1"/>
        <w:rPr>
          <w:rFonts w:hint="eastAsia" w:ascii="宋体" w:hAnsi="宋体" w:eastAsia="宋体" w:cs="宋体"/>
          <w:b/>
          <w:snapToGrid w:val="0"/>
          <w:kern w:val="0"/>
          <w:szCs w:val="21"/>
          <w:highlight w:val="none"/>
          <w:lang w:val="zh-CN"/>
        </w:rPr>
      </w:pPr>
      <w:bookmarkStart w:id="166" w:name="_Toc326"/>
      <w:bookmarkStart w:id="167" w:name="_Toc4104"/>
      <w:bookmarkStart w:id="168" w:name="_Toc22624"/>
      <w:bookmarkStart w:id="169" w:name="_Toc9365"/>
      <w:r>
        <w:rPr>
          <w:rFonts w:hint="eastAsia" w:ascii="宋体" w:hAnsi="宋体" w:eastAsia="宋体" w:cs="宋体"/>
          <w:b/>
          <w:highlight w:val="none"/>
        </w:rPr>
        <w:t>竞争性磋商小组</w:t>
      </w:r>
      <w:bookmarkEnd w:id="166"/>
      <w:bookmarkEnd w:id="167"/>
      <w:bookmarkEnd w:id="168"/>
      <w:bookmarkEnd w:id="169"/>
    </w:p>
    <w:p>
      <w:pPr>
        <w:tabs>
          <w:tab w:val="left" w:pos="540"/>
        </w:tabs>
        <w:spacing w:line="360" w:lineRule="auto"/>
        <w:rPr>
          <w:rFonts w:hint="eastAsia" w:ascii="宋体" w:hAnsi="宋体" w:eastAsia="宋体" w:cs="宋体"/>
          <w:highlight w:val="none"/>
        </w:rPr>
      </w:pPr>
      <w:r>
        <w:rPr>
          <w:rFonts w:hint="eastAsia" w:ascii="宋体" w:hAnsi="宋体" w:eastAsia="宋体" w:cs="宋体"/>
          <w:bCs/>
          <w:szCs w:val="21"/>
          <w:highlight w:val="none"/>
        </w:rPr>
        <w:t>23.1 采购人</w:t>
      </w:r>
      <w:r>
        <w:rPr>
          <w:rFonts w:hint="eastAsia" w:ascii="宋体" w:hAnsi="宋体" w:eastAsia="宋体" w:cs="宋体"/>
          <w:highlight w:val="none"/>
        </w:rPr>
        <w:t>依照《中华人民共和国政府采购法》、《中华人民共和国政府采购法实施条例》、《政府采购竞争性磋商采购方式管理暂行办法》及现行法律规定组建磋商小组</w:t>
      </w:r>
      <w:r>
        <w:rPr>
          <w:rFonts w:hint="eastAsia" w:ascii="宋体" w:hAnsi="宋体" w:eastAsia="宋体" w:cs="宋体"/>
          <w:szCs w:val="21"/>
          <w:highlight w:val="none"/>
        </w:rPr>
        <w:t>，</w:t>
      </w:r>
      <w:r>
        <w:rPr>
          <w:rFonts w:hint="eastAsia" w:ascii="宋体" w:hAnsi="宋体" w:eastAsia="宋体" w:cs="宋体"/>
          <w:highlight w:val="none"/>
        </w:rPr>
        <w:t>磋商小组由采购人代表和评审专家共3人或3人以上单数组成</w:t>
      </w:r>
      <w:r>
        <w:rPr>
          <w:rFonts w:hint="eastAsia" w:ascii="宋体" w:hAnsi="宋体" w:eastAsia="宋体" w:cs="宋体"/>
          <w:szCs w:val="21"/>
          <w:highlight w:val="none"/>
        </w:rPr>
        <w:t>。</w:t>
      </w:r>
      <w:r>
        <w:rPr>
          <w:rFonts w:hint="eastAsia" w:ascii="宋体" w:hAnsi="宋体" w:eastAsia="宋体" w:cs="宋体"/>
          <w:highlight w:val="none"/>
        </w:rPr>
        <w:t>磋商小组人数详见《供应商须知前附表》。</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 xml:space="preserve">23.2 磋商小组中的评审专家人数不少于磋商小组成员总数的2/3。除本采购文件另有规定，评审专家将从政府采购评审专家库中随机抽取。 </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23.3 磋商小组所有成员按</w:t>
      </w:r>
      <w:r>
        <w:rPr>
          <w:rFonts w:hint="eastAsia" w:ascii="宋体" w:hAnsi="宋体" w:cs="宋体"/>
          <w:szCs w:val="21"/>
          <w:highlight w:val="none"/>
          <w:lang w:eastAsia="zh-CN"/>
        </w:rPr>
        <w:t>系统顺序</w:t>
      </w:r>
      <w:r>
        <w:rPr>
          <w:rFonts w:hint="eastAsia" w:ascii="宋体" w:hAnsi="宋体" w:eastAsia="宋体" w:cs="宋体"/>
          <w:szCs w:val="21"/>
          <w:highlight w:val="none"/>
        </w:rPr>
        <w:t>，集中与单一供应商分别进行磋商，并给予所有参加磋商的供应商平等的磋商机会。</w:t>
      </w:r>
    </w:p>
    <w:p>
      <w:pPr>
        <w:numPr>
          <w:ilvl w:val="0"/>
          <w:numId w:val="5"/>
        </w:numPr>
        <w:tabs>
          <w:tab w:val="left" w:pos="864"/>
          <w:tab w:val="left" w:pos="1080"/>
        </w:tabs>
        <w:spacing w:line="360" w:lineRule="auto"/>
        <w:ind w:hanging="540"/>
        <w:outlineLvl w:val="1"/>
        <w:rPr>
          <w:rFonts w:hint="eastAsia" w:ascii="宋体" w:hAnsi="宋体" w:eastAsia="宋体" w:cs="宋体"/>
          <w:b/>
          <w:snapToGrid w:val="0"/>
          <w:kern w:val="0"/>
          <w:szCs w:val="21"/>
          <w:highlight w:val="none"/>
          <w:lang w:val="zh-CN"/>
        </w:rPr>
      </w:pPr>
      <w:bookmarkStart w:id="170" w:name="_Toc21483"/>
      <w:bookmarkStart w:id="171" w:name="_Toc17880"/>
      <w:bookmarkStart w:id="172" w:name="_Toc16640"/>
      <w:bookmarkStart w:id="173" w:name="_Toc7174"/>
      <w:r>
        <w:rPr>
          <w:rFonts w:hint="eastAsia" w:ascii="宋体" w:hAnsi="宋体" w:eastAsia="宋体" w:cs="宋体"/>
          <w:b/>
          <w:highlight w:val="none"/>
        </w:rPr>
        <w:t>磋商代表</w:t>
      </w:r>
      <w:bookmarkEnd w:id="170"/>
      <w:bookmarkEnd w:id="171"/>
      <w:bookmarkEnd w:id="172"/>
      <w:bookmarkEnd w:id="173"/>
    </w:p>
    <w:p>
      <w:pPr>
        <w:tabs>
          <w:tab w:val="left" w:pos="864"/>
          <w:tab w:val="left" w:pos="1080"/>
        </w:tabs>
        <w:spacing w:line="360" w:lineRule="auto"/>
        <w:rPr>
          <w:rFonts w:hint="eastAsia" w:ascii="宋体" w:hAnsi="宋体" w:eastAsia="宋体" w:cs="宋体"/>
          <w:szCs w:val="21"/>
          <w:highlight w:val="none"/>
        </w:rPr>
      </w:pPr>
      <w:bookmarkStart w:id="174" w:name="_Toc9967"/>
      <w:bookmarkStart w:id="175" w:name="_Toc32662"/>
      <w:r>
        <w:rPr>
          <w:rFonts w:hint="eastAsia" w:ascii="宋体" w:hAnsi="宋体" w:eastAsia="宋体" w:cs="宋体"/>
          <w:b/>
          <w:highlight w:val="none"/>
        </w:rPr>
        <w:t xml:space="preserve">24.1 </w:t>
      </w:r>
      <w:bookmarkEnd w:id="174"/>
      <w:bookmarkEnd w:id="175"/>
      <w:r>
        <w:rPr>
          <w:rFonts w:hint="eastAsia" w:ascii="宋体" w:hAnsi="宋体" w:cs="宋体"/>
          <w:b w:val="0"/>
          <w:bCs/>
          <w:highlight w:val="none"/>
          <w:lang w:eastAsia="zh-CN"/>
        </w:rPr>
        <w:t>详</w:t>
      </w:r>
      <w:r>
        <w:rPr>
          <w:rFonts w:hint="eastAsia" w:ascii="宋体" w:hAnsi="宋体" w:eastAsia="宋体" w:cs="宋体"/>
          <w:szCs w:val="21"/>
          <w:highlight w:val="none"/>
        </w:rPr>
        <w:t>见《供应商须知前附表》。</w:t>
      </w:r>
    </w:p>
    <w:p>
      <w:pPr>
        <w:numPr>
          <w:ilvl w:val="0"/>
          <w:numId w:val="5"/>
        </w:numPr>
        <w:tabs>
          <w:tab w:val="left" w:pos="864"/>
          <w:tab w:val="left" w:pos="1080"/>
        </w:tabs>
        <w:spacing w:line="360" w:lineRule="auto"/>
        <w:ind w:hanging="540"/>
        <w:outlineLvl w:val="1"/>
        <w:rPr>
          <w:rFonts w:hint="eastAsia" w:ascii="宋体" w:hAnsi="宋体" w:eastAsia="宋体" w:cs="宋体"/>
          <w:b/>
          <w:highlight w:val="none"/>
        </w:rPr>
      </w:pPr>
      <w:bookmarkStart w:id="176" w:name="_Toc3506"/>
      <w:bookmarkStart w:id="177" w:name="_Toc909"/>
      <w:bookmarkStart w:id="178" w:name="_Toc743"/>
      <w:r>
        <w:rPr>
          <w:rFonts w:hint="eastAsia" w:ascii="宋体" w:hAnsi="宋体" w:eastAsia="宋体" w:cs="宋体"/>
          <w:b/>
          <w:highlight w:val="none"/>
        </w:rPr>
        <w:t>资格审查和符合性审查</w:t>
      </w:r>
      <w:bookmarkEnd w:id="176"/>
      <w:bookmarkEnd w:id="177"/>
      <w:bookmarkEnd w:id="178"/>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25.1在正式磋商前，本磋商文件第四章规定的程序和方法，对供应商进行资格性审查和符合性审查，通过资格性审查和符合性审查，实质性响应磋商文件的供应商方可进入磋商程序。</w:t>
      </w:r>
    </w:p>
    <w:p>
      <w:pPr>
        <w:numPr>
          <w:ilvl w:val="0"/>
          <w:numId w:val="5"/>
        </w:numPr>
        <w:tabs>
          <w:tab w:val="left" w:pos="864"/>
          <w:tab w:val="left" w:pos="1080"/>
        </w:tabs>
        <w:spacing w:line="360" w:lineRule="auto"/>
        <w:ind w:hanging="540"/>
        <w:outlineLvl w:val="1"/>
        <w:rPr>
          <w:rFonts w:hint="eastAsia" w:ascii="宋体" w:hAnsi="宋体" w:eastAsia="宋体" w:cs="宋体"/>
          <w:b/>
          <w:highlight w:val="none"/>
        </w:rPr>
      </w:pPr>
      <w:bookmarkStart w:id="179" w:name="_Toc4014"/>
      <w:bookmarkStart w:id="180" w:name="_Toc26280"/>
      <w:bookmarkStart w:id="181" w:name="_Toc10983"/>
      <w:r>
        <w:rPr>
          <w:rFonts w:hint="eastAsia" w:ascii="宋体" w:hAnsi="宋体" w:eastAsia="宋体" w:cs="宋体"/>
          <w:b/>
          <w:highlight w:val="none"/>
        </w:rPr>
        <w:t>磋商</w:t>
      </w:r>
      <w:bookmarkEnd w:id="179"/>
      <w:bookmarkEnd w:id="180"/>
      <w:bookmarkEnd w:id="181"/>
    </w:p>
    <w:p>
      <w:pPr>
        <w:spacing w:line="360" w:lineRule="auto"/>
        <w:rPr>
          <w:rFonts w:hint="eastAsia" w:ascii="宋体" w:hAnsi="宋体" w:eastAsia="宋体" w:cs="宋体"/>
          <w:highlight w:val="none"/>
        </w:rPr>
      </w:pPr>
      <w:r>
        <w:rPr>
          <w:rFonts w:hint="eastAsia" w:ascii="宋体" w:hAnsi="宋体" w:eastAsia="宋体" w:cs="宋体"/>
          <w:szCs w:val="21"/>
          <w:highlight w:val="none"/>
        </w:rPr>
        <w:t>26.1磋商小组将根据本磋商文件第四章规定的程序和方法与</w:t>
      </w:r>
      <w:r>
        <w:rPr>
          <w:rFonts w:hint="eastAsia" w:ascii="宋体" w:hAnsi="宋体" w:eastAsia="宋体" w:cs="宋体"/>
          <w:szCs w:val="21"/>
          <w:highlight w:val="none"/>
          <w:lang w:eastAsia="zh-CN"/>
        </w:rPr>
        <w:t>供应商</w:t>
      </w:r>
      <w:r>
        <w:rPr>
          <w:rFonts w:hint="eastAsia" w:ascii="宋体" w:hAnsi="宋体" w:eastAsia="宋体" w:cs="宋体"/>
          <w:szCs w:val="21"/>
          <w:highlight w:val="none"/>
        </w:rPr>
        <w:t>进行磋商。在磋商中，磋商的任何一方不得透露与磋商有关的其他磋商供应商的技</w:t>
      </w:r>
      <w:r>
        <w:rPr>
          <w:rFonts w:hint="eastAsia" w:ascii="宋体" w:hAnsi="宋体" w:eastAsia="宋体" w:cs="宋体"/>
          <w:highlight w:val="none"/>
        </w:rPr>
        <w:t>术资料、价格和其他信息。</w:t>
      </w:r>
    </w:p>
    <w:p>
      <w:pPr>
        <w:spacing w:line="360" w:lineRule="auto"/>
        <w:rPr>
          <w:rFonts w:hint="eastAsia" w:ascii="宋体" w:hAnsi="宋体" w:eastAsia="宋体" w:cs="宋体"/>
          <w:highlight w:val="none"/>
        </w:rPr>
      </w:pPr>
      <w:r>
        <w:rPr>
          <w:rFonts w:hint="eastAsia" w:ascii="宋体" w:hAnsi="宋体" w:eastAsia="宋体" w:cs="宋体"/>
          <w:highlight w:val="none"/>
        </w:rPr>
        <w:t>26.2在磋商过程中，磋商小组可以根据磋商文件和磋商情况实质性变动采购需求中的技术、服务要求以及合同草案条款，但不得变动磋商文件中的其他内容。实质性变动的内容，须经采购人代表确认。对磋商文件作出的实质性变动是磋商文件的有效组成部分，磋商小组将以书面形式同时通知所有磋商供应商，</w:t>
      </w:r>
      <w:r>
        <w:rPr>
          <w:rFonts w:hint="eastAsia" w:ascii="宋体" w:hAnsi="宋体" w:eastAsia="宋体" w:cs="宋体"/>
          <w:szCs w:val="21"/>
          <w:highlight w:val="none"/>
        </w:rPr>
        <w:t>并提供必要的修正时间。</w:t>
      </w:r>
    </w:p>
    <w:p>
      <w:pPr>
        <w:spacing w:line="360" w:lineRule="auto"/>
        <w:rPr>
          <w:rFonts w:hint="eastAsia" w:ascii="宋体" w:hAnsi="宋体" w:eastAsia="宋体" w:cs="宋体"/>
          <w:szCs w:val="21"/>
          <w:highlight w:val="none"/>
        </w:rPr>
      </w:pPr>
      <w:r>
        <w:rPr>
          <w:rFonts w:hint="eastAsia" w:ascii="宋体" w:hAnsi="宋体" w:eastAsia="宋体" w:cs="宋体"/>
          <w:highlight w:val="none"/>
        </w:rPr>
        <w:t>26.3供应商应当按照磋商文件的变动情况和磋商小组的要求重新提交响应文件，</w:t>
      </w:r>
      <w:r>
        <w:rPr>
          <w:rFonts w:hint="eastAsia" w:ascii="宋体" w:hAnsi="宋体" w:eastAsia="宋体" w:cs="宋体"/>
          <w:szCs w:val="21"/>
          <w:highlight w:val="none"/>
        </w:rPr>
        <w:t>对原响应文件进行技术、商务、价格修正，重新提交的响应文件应实质性响应本磋商文件及</w:t>
      </w:r>
      <w:r>
        <w:rPr>
          <w:rFonts w:hint="eastAsia" w:ascii="宋体" w:hAnsi="宋体" w:eastAsia="宋体" w:cs="宋体"/>
          <w:highlight w:val="none"/>
        </w:rPr>
        <w:t>对磋商文件作出的实质性变动，</w:t>
      </w:r>
      <w:r>
        <w:rPr>
          <w:rFonts w:hint="eastAsia" w:ascii="宋体" w:hAnsi="宋体" w:eastAsia="宋体" w:cs="宋体"/>
          <w:szCs w:val="21"/>
          <w:highlight w:val="none"/>
        </w:rPr>
        <w:t>并按本采购文件的规定进行签署。重新提交的响应文件与原响应文件不一致的，以重新提交的响应文件为准。不按要求签署或逾时不提交响应文件的，视同放弃磋商，放弃磋商的</w:t>
      </w:r>
      <w:r>
        <w:rPr>
          <w:rFonts w:hint="eastAsia" w:ascii="宋体" w:hAnsi="宋体" w:eastAsia="宋体" w:cs="宋体"/>
          <w:highlight w:val="none"/>
        </w:rPr>
        <w:t>供应商的磋商保证金将在成交通知书发放后的五个工作日内退还。</w:t>
      </w:r>
    </w:p>
    <w:p>
      <w:pPr>
        <w:tabs>
          <w:tab w:val="left" w:pos="540"/>
        </w:tabs>
        <w:spacing w:line="360" w:lineRule="auto"/>
        <w:rPr>
          <w:rFonts w:hint="eastAsia" w:ascii="宋体" w:hAnsi="宋体" w:eastAsia="宋体" w:cs="宋体"/>
          <w:highlight w:val="none"/>
        </w:rPr>
      </w:pPr>
      <w:r>
        <w:rPr>
          <w:rFonts w:hint="eastAsia" w:ascii="宋体" w:hAnsi="宋体" w:eastAsia="宋体" w:cs="宋体"/>
          <w:highlight w:val="none"/>
        </w:rPr>
        <w:t xml:space="preserve">26.4最后报价 </w:t>
      </w:r>
    </w:p>
    <w:p>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本采购项目提交最后报价供应商的确定方式详见《供应商须知前附表》。</w:t>
      </w:r>
    </w:p>
    <w:p>
      <w:pPr>
        <w:spacing w:line="360" w:lineRule="auto"/>
        <w:rPr>
          <w:rFonts w:hint="eastAsia" w:ascii="宋体" w:hAnsi="宋体" w:eastAsia="宋体" w:cs="宋体"/>
          <w:highlight w:val="none"/>
        </w:rPr>
      </w:pPr>
      <w:r>
        <w:rPr>
          <w:rFonts w:hint="eastAsia" w:ascii="宋体" w:hAnsi="宋体" w:eastAsia="宋体" w:cs="宋体"/>
          <w:highlight w:val="none"/>
        </w:rPr>
        <w:t>26.5</w:t>
      </w:r>
      <w:r>
        <w:rPr>
          <w:rFonts w:hint="eastAsia" w:ascii="宋体" w:hAnsi="宋体" w:eastAsia="宋体" w:cs="宋体"/>
          <w:bCs/>
          <w:kern w:val="44"/>
          <w:szCs w:val="21"/>
          <w:highlight w:val="none"/>
        </w:rPr>
        <w:t>如有需要，磋商小组可进行多轮磋商，直至最终确定竞争性磋商采购文件采购需求中的技术、服务要求以及合同草案条款。如竞争性磋商采购文件无需修改，可直接要求磋商供应商</w:t>
      </w:r>
      <w:r>
        <w:rPr>
          <w:rFonts w:hint="eastAsia" w:ascii="宋体" w:hAnsi="宋体" w:eastAsia="宋体" w:cs="宋体"/>
          <w:highlight w:val="none"/>
        </w:rPr>
        <w:t>提交最后报价</w:t>
      </w:r>
      <w:r>
        <w:rPr>
          <w:rFonts w:hint="eastAsia" w:ascii="宋体" w:hAnsi="宋体" w:eastAsia="宋体" w:cs="宋体"/>
          <w:bCs/>
          <w:kern w:val="44"/>
          <w:szCs w:val="21"/>
          <w:highlight w:val="none"/>
        </w:rPr>
        <w:t>。</w:t>
      </w:r>
    </w:p>
    <w:p>
      <w:pPr>
        <w:spacing w:line="360" w:lineRule="auto"/>
        <w:rPr>
          <w:rFonts w:hint="eastAsia" w:ascii="宋体" w:hAnsi="宋体" w:eastAsia="宋体" w:cs="宋体"/>
          <w:bCs/>
          <w:kern w:val="44"/>
          <w:szCs w:val="21"/>
          <w:highlight w:val="none"/>
        </w:rPr>
      </w:pPr>
      <w:r>
        <w:rPr>
          <w:rFonts w:hint="eastAsia" w:ascii="宋体" w:hAnsi="宋体" w:eastAsia="宋体" w:cs="宋体"/>
          <w:highlight w:val="none"/>
        </w:rPr>
        <w:t>26.6</w:t>
      </w:r>
      <w:r>
        <w:rPr>
          <w:rFonts w:hint="eastAsia" w:ascii="宋体" w:hAnsi="宋体" w:eastAsia="宋体" w:cs="宋体"/>
          <w:bCs/>
          <w:kern w:val="44"/>
          <w:szCs w:val="21"/>
          <w:highlight w:val="none"/>
        </w:rPr>
        <w:t xml:space="preserve"> 磋商小组审核完最终报价后，根据竞争性磋商采购文件规定的评定办法推荐成交候选人或根据采购人的书面授权直接确定成交供应商。</w:t>
      </w:r>
    </w:p>
    <w:p>
      <w:pPr>
        <w:numPr>
          <w:ilvl w:val="0"/>
          <w:numId w:val="5"/>
        </w:numPr>
        <w:tabs>
          <w:tab w:val="left" w:pos="864"/>
          <w:tab w:val="left" w:pos="1080"/>
        </w:tabs>
        <w:spacing w:line="360" w:lineRule="auto"/>
        <w:ind w:hanging="540"/>
        <w:outlineLvl w:val="1"/>
        <w:rPr>
          <w:rFonts w:hint="eastAsia" w:ascii="宋体" w:hAnsi="宋体" w:eastAsia="宋体" w:cs="宋体"/>
          <w:b/>
          <w:highlight w:val="none"/>
          <w:lang w:val="zh-CN"/>
        </w:rPr>
      </w:pPr>
      <w:bookmarkStart w:id="182" w:name="_Toc5290"/>
      <w:bookmarkStart w:id="183" w:name="_Toc1898"/>
      <w:bookmarkStart w:id="184" w:name="_Toc24160"/>
      <w:r>
        <w:rPr>
          <w:rFonts w:hint="eastAsia" w:ascii="宋体" w:hAnsi="宋体" w:eastAsia="宋体" w:cs="宋体"/>
          <w:b/>
          <w:highlight w:val="none"/>
          <w:lang w:val="zh-CN"/>
        </w:rPr>
        <w:t>保密</w:t>
      </w:r>
      <w:bookmarkEnd w:id="182"/>
      <w:bookmarkEnd w:id="183"/>
      <w:bookmarkEnd w:id="184"/>
    </w:p>
    <w:p>
      <w:pPr>
        <w:numPr>
          <w:ilvl w:val="1"/>
          <w:numId w:val="26"/>
        </w:numPr>
        <w:autoSpaceDE w:val="0"/>
        <w:autoSpaceDN w:val="0"/>
        <w:adjustRightInd w:val="0"/>
        <w:spacing w:line="360" w:lineRule="auto"/>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凡是属于审查、澄清、评价和比较的有关资料以及授标意向等，采购人、采购代理机构、监管人员、</w:t>
      </w:r>
      <w:r>
        <w:rPr>
          <w:rFonts w:hint="eastAsia" w:ascii="宋体" w:hAnsi="宋体" w:eastAsia="宋体" w:cs="宋体"/>
          <w:bCs/>
          <w:kern w:val="44"/>
          <w:szCs w:val="21"/>
          <w:highlight w:val="none"/>
        </w:rPr>
        <w:t>磋商小组</w:t>
      </w:r>
      <w:r>
        <w:rPr>
          <w:rFonts w:hint="eastAsia" w:ascii="宋体" w:hAnsi="宋体" w:eastAsia="宋体" w:cs="宋体"/>
          <w:snapToGrid w:val="0"/>
          <w:kern w:val="0"/>
          <w:szCs w:val="21"/>
          <w:highlight w:val="none"/>
          <w:lang w:val="zh-CN"/>
        </w:rPr>
        <w:t>及有关工作人员均不得向供应商或其它无关的人员透露。</w:t>
      </w:r>
    </w:p>
    <w:p>
      <w:pPr>
        <w:numPr>
          <w:ilvl w:val="1"/>
          <w:numId w:val="26"/>
        </w:numPr>
        <w:autoSpaceDE w:val="0"/>
        <w:autoSpaceDN w:val="0"/>
        <w:adjustRightInd w:val="0"/>
        <w:spacing w:line="360" w:lineRule="auto"/>
        <w:jc w:val="left"/>
        <w:rPr>
          <w:rFonts w:hint="eastAsia" w:ascii="宋体" w:hAnsi="宋体" w:eastAsia="宋体" w:cs="宋体"/>
          <w:snapToGrid w:val="0"/>
          <w:kern w:val="0"/>
          <w:szCs w:val="21"/>
          <w:highlight w:val="none"/>
          <w:lang w:val="zh-CN"/>
        </w:rPr>
      </w:pPr>
      <w:r>
        <w:rPr>
          <w:rFonts w:hint="eastAsia" w:ascii="宋体" w:hAnsi="宋体" w:eastAsia="宋体" w:cs="宋体"/>
          <w:snapToGrid w:val="0"/>
          <w:kern w:val="0"/>
          <w:szCs w:val="21"/>
          <w:highlight w:val="none"/>
          <w:lang w:val="zh-CN"/>
        </w:rPr>
        <w:t>本项目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本项目具体评审因素的量化指标详见第</w:t>
      </w:r>
      <w:r>
        <w:rPr>
          <w:rFonts w:hint="eastAsia" w:ascii="宋体" w:hAnsi="宋体" w:eastAsia="宋体" w:cs="宋体"/>
          <w:snapToGrid w:val="0"/>
          <w:kern w:val="0"/>
          <w:szCs w:val="21"/>
          <w:highlight w:val="none"/>
        </w:rPr>
        <w:t>四</w:t>
      </w:r>
      <w:r>
        <w:rPr>
          <w:rFonts w:hint="eastAsia" w:ascii="宋体" w:hAnsi="宋体" w:eastAsia="宋体" w:cs="宋体"/>
          <w:snapToGrid w:val="0"/>
          <w:kern w:val="0"/>
          <w:szCs w:val="21"/>
          <w:highlight w:val="none"/>
          <w:lang w:val="zh-CN"/>
        </w:rPr>
        <w:t>章“</w:t>
      </w:r>
      <w:r>
        <w:rPr>
          <w:rFonts w:hint="eastAsia" w:ascii="宋体" w:hAnsi="宋体" w:eastAsia="宋体" w:cs="宋体"/>
          <w:snapToGrid w:val="0"/>
          <w:kern w:val="0"/>
          <w:szCs w:val="21"/>
          <w:highlight w:val="none"/>
        </w:rPr>
        <w:t>评定办法</w:t>
      </w:r>
      <w:r>
        <w:rPr>
          <w:rFonts w:hint="eastAsia" w:ascii="宋体" w:hAnsi="宋体" w:eastAsia="宋体" w:cs="宋体"/>
          <w:snapToGrid w:val="0"/>
          <w:kern w:val="0"/>
          <w:szCs w:val="21"/>
          <w:highlight w:val="none"/>
          <w:lang w:val="zh-CN"/>
        </w:rPr>
        <w:t>”。</w:t>
      </w:r>
    </w:p>
    <w:p>
      <w:pPr>
        <w:numPr>
          <w:ilvl w:val="1"/>
          <w:numId w:val="26"/>
        </w:numPr>
        <w:autoSpaceDE w:val="0"/>
        <w:autoSpaceDN w:val="0"/>
        <w:adjustRightInd w:val="0"/>
        <w:spacing w:line="360" w:lineRule="auto"/>
        <w:jc w:val="left"/>
        <w:rPr>
          <w:rFonts w:hint="eastAsia" w:ascii="宋体" w:hAnsi="宋体" w:eastAsia="宋体" w:cs="宋体"/>
          <w:highlight w:val="none"/>
          <w:lang w:val="zh-CN"/>
        </w:rPr>
      </w:pPr>
      <w:r>
        <w:rPr>
          <w:rFonts w:hint="eastAsia" w:ascii="宋体" w:hAnsi="宋体" w:eastAsia="宋体" w:cs="宋体"/>
          <w:snapToGrid w:val="0"/>
          <w:kern w:val="0"/>
          <w:szCs w:val="21"/>
          <w:highlight w:val="none"/>
          <w:lang w:val="zh-CN"/>
        </w:rPr>
        <w:t>磋商小组根据综合评分情况，按照评审得分由高到低的顺序及《供应商须知前附表》规定的数量推荐成交候选供应商，并编写评审报告。评审报告应当有磋商小组全体成员签字认可。</w:t>
      </w:r>
    </w:p>
    <w:p>
      <w:pPr>
        <w:pStyle w:val="3"/>
        <w:numPr>
          <w:ilvl w:val="0"/>
          <w:numId w:val="0"/>
        </w:numPr>
        <w:bidi w:val="0"/>
        <w:spacing w:line="360" w:lineRule="auto"/>
        <w:rPr>
          <w:rFonts w:hint="eastAsia"/>
          <w:b/>
          <w:bCs/>
          <w:highlight w:val="none"/>
        </w:rPr>
      </w:pPr>
      <w:bookmarkStart w:id="185" w:name="_Toc16772"/>
      <w:bookmarkStart w:id="186" w:name="_Toc3513"/>
      <w:r>
        <w:rPr>
          <w:rFonts w:hint="eastAsia"/>
          <w:b/>
          <w:bCs/>
          <w:highlight w:val="none"/>
          <w:lang w:eastAsia="zh-CN"/>
        </w:rPr>
        <w:t>六、</w:t>
      </w:r>
      <w:r>
        <w:rPr>
          <w:rFonts w:hint="eastAsia"/>
          <w:b/>
          <w:bCs/>
          <w:highlight w:val="none"/>
        </w:rPr>
        <w:t>成交与签订合同</w:t>
      </w:r>
      <w:bookmarkEnd w:id="185"/>
      <w:bookmarkEnd w:id="186"/>
    </w:p>
    <w:p>
      <w:pPr>
        <w:numPr>
          <w:ilvl w:val="0"/>
          <w:numId w:val="5"/>
        </w:numPr>
        <w:tabs>
          <w:tab w:val="left" w:pos="864"/>
          <w:tab w:val="left" w:pos="1080"/>
        </w:tabs>
        <w:spacing w:line="360" w:lineRule="auto"/>
        <w:ind w:hanging="540"/>
        <w:outlineLvl w:val="1"/>
        <w:rPr>
          <w:rFonts w:hint="eastAsia" w:ascii="宋体" w:hAnsi="宋体" w:eastAsia="宋体" w:cs="宋体"/>
          <w:b/>
          <w:highlight w:val="none"/>
          <w:lang w:val="zh-CN"/>
        </w:rPr>
      </w:pPr>
      <w:bookmarkStart w:id="187" w:name="_Toc7309"/>
      <w:bookmarkStart w:id="188" w:name="_Toc31941"/>
      <w:bookmarkStart w:id="189" w:name="_Toc3919"/>
      <w:r>
        <w:rPr>
          <w:rFonts w:hint="eastAsia" w:ascii="宋体" w:hAnsi="宋体" w:eastAsia="宋体" w:cs="宋体"/>
          <w:b/>
          <w:highlight w:val="none"/>
          <w:lang w:val="zh-CN"/>
        </w:rPr>
        <w:t>合同授予标准</w:t>
      </w:r>
      <w:bookmarkEnd w:id="187"/>
      <w:bookmarkEnd w:id="188"/>
      <w:bookmarkEnd w:id="189"/>
    </w:p>
    <w:p>
      <w:pPr>
        <w:autoSpaceDE w:val="0"/>
        <w:autoSpaceDN w:val="0"/>
        <w:adjustRightInd w:val="0"/>
        <w:spacing w:line="360" w:lineRule="auto"/>
        <w:jc w:val="left"/>
        <w:rPr>
          <w:rFonts w:hint="eastAsia" w:ascii="宋体" w:hAnsi="宋体" w:eastAsia="宋体" w:cs="宋体"/>
          <w:iCs/>
          <w:snapToGrid w:val="0"/>
          <w:kern w:val="0"/>
          <w:szCs w:val="21"/>
          <w:highlight w:val="none"/>
          <w:lang w:val="zh-CN"/>
        </w:rPr>
      </w:pPr>
      <w:r>
        <w:rPr>
          <w:rFonts w:hint="eastAsia" w:ascii="宋体" w:hAnsi="宋体" w:eastAsia="宋体" w:cs="宋体"/>
          <w:iCs/>
          <w:snapToGrid w:val="0"/>
          <w:kern w:val="0"/>
          <w:szCs w:val="21"/>
          <w:highlight w:val="none"/>
          <w:lang w:val="zh-CN"/>
        </w:rPr>
        <w:t>28.1采购人将把合同授予排名第一的供应商，特殊情况按本须知29.3的规定执行。</w:t>
      </w:r>
    </w:p>
    <w:p>
      <w:pPr>
        <w:spacing w:line="360" w:lineRule="auto"/>
        <w:rPr>
          <w:rFonts w:hint="eastAsia" w:ascii="宋体" w:hAnsi="宋体" w:eastAsia="宋体" w:cs="宋体"/>
          <w:sz w:val="24"/>
          <w:highlight w:val="none"/>
        </w:rPr>
      </w:pPr>
      <w:r>
        <w:rPr>
          <w:rFonts w:hint="eastAsia" w:ascii="宋体" w:hAnsi="宋体" w:eastAsia="宋体" w:cs="宋体"/>
          <w:iCs/>
          <w:snapToGrid w:val="0"/>
          <w:kern w:val="0"/>
          <w:szCs w:val="21"/>
          <w:highlight w:val="none"/>
          <w:lang w:val="zh-CN"/>
        </w:rPr>
        <w:t>28.</w:t>
      </w:r>
      <w:r>
        <w:rPr>
          <w:rFonts w:hint="eastAsia" w:ascii="宋体" w:hAnsi="宋体" w:eastAsia="宋体" w:cs="宋体"/>
          <w:iCs/>
          <w:snapToGrid w:val="0"/>
          <w:kern w:val="0"/>
          <w:szCs w:val="21"/>
          <w:highlight w:val="none"/>
        </w:rPr>
        <w:t>2</w:t>
      </w:r>
      <w:r>
        <w:rPr>
          <w:rFonts w:hint="eastAsia" w:ascii="宋体" w:hAnsi="宋体" w:eastAsia="宋体" w:cs="宋体"/>
          <w:iCs/>
          <w:snapToGrid w:val="0"/>
          <w:kern w:val="0"/>
          <w:szCs w:val="21"/>
          <w:highlight w:val="none"/>
          <w:lang w:val="zh-CN"/>
        </w:rPr>
        <w:t>采购代理机构应当在评审结束后2个工作日内将评审报告送采购人确认。</w:t>
      </w:r>
    </w:p>
    <w:p>
      <w:pPr>
        <w:autoSpaceDE w:val="0"/>
        <w:autoSpaceDN w:val="0"/>
        <w:adjustRightInd w:val="0"/>
        <w:spacing w:line="360" w:lineRule="auto"/>
        <w:jc w:val="left"/>
        <w:rPr>
          <w:rFonts w:hint="eastAsia" w:ascii="宋体" w:hAnsi="宋体" w:eastAsia="宋体" w:cs="宋体"/>
          <w:iCs/>
          <w:snapToGrid w:val="0"/>
          <w:kern w:val="0"/>
          <w:szCs w:val="21"/>
          <w:highlight w:val="none"/>
          <w:lang w:val="zh-CN"/>
        </w:rPr>
      </w:pPr>
      <w:r>
        <w:rPr>
          <w:rFonts w:hint="eastAsia" w:ascii="宋体" w:hAnsi="宋体" w:eastAsia="宋体" w:cs="宋体"/>
          <w:iCs/>
          <w:snapToGrid w:val="0"/>
          <w:kern w:val="0"/>
          <w:szCs w:val="21"/>
          <w:highlight w:val="none"/>
          <w:lang w:val="zh-CN"/>
        </w:rPr>
        <w:t>28.</w:t>
      </w:r>
      <w:r>
        <w:rPr>
          <w:rFonts w:hint="eastAsia" w:ascii="宋体" w:hAnsi="宋体" w:eastAsia="宋体" w:cs="宋体"/>
          <w:iCs/>
          <w:snapToGrid w:val="0"/>
          <w:kern w:val="0"/>
          <w:szCs w:val="21"/>
          <w:highlight w:val="none"/>
        </w:rPr>
        <w:t>3</w:t>
      </w:r>
      <w:r>
        <w:rPr>
          <w:rFonts w:hint="eastAsia" w:ascii="宋体" w:hAnsi="宋体" w:eastAsia="宋体" w:cs="宋体"/>
          <w:iCs/>
          <w:snapToGrid w:val="0"/>
          <w:kern w:val="0"/>
          <w:szCs w:val="21"/>
          <w:highlight w:val="none"/>
          <w:lang w:val="zh-CN"/>
        </w:rPr>
        <w:t xml:space="preserve">采购人应当在收到评审报告后5个工作日内，从评审报告提出的成交候选供应商中，按照推荐排序确定成交供应商，也可以书面授权磋商小组直接确定成交供应商。采购人逾期未确定成交供应商且不提出异议的，视为确定评审报告提出的排序第一的供应商为成交供应商。 </w:t>
      </w:r>
    </w:p>
    <w:p>
      <w:pPr>
        <w:autoSpaceDE w:val="0"/>
        <w:autoSpaceDN w:val="0"/>
        <w:adjustRightInd w:val="0"/>
        <w:spacing w:line="360" w:lineRule="auto"/>
        <w:jc w:val="left"/>
        <w:rPr>
          <w:rFonts w:asciiTheme="minorEastAsia" w:hAnsiTheme="minorEastAsia" w:eastAsiaTheme="minorEastAsia" w:cstheme="minorEastAsia"/>
          <w:iCs/>
          <w:snapToGrid w:val="0"/>
          <w:kern w:val="0"/>
          <w:szCs w:val="21"/>
          <w:highlight w:val="none"/>
          <w:lang w:val="zh-CN"/>
        </w:rPr>
      </w:pPr>
      <w:r>
        <w:rPr>
          <w:rFonts w:hint="eastAsia" w:ascii="宋体" w:hAnsi="宋体" w:eastAsia="宋体" w:cs="宋体"/>
          <w:iCs/>
          <w:snapToGrid w:val="0"/>
          <w:kern w:val="0"/>
          <w:szCs w:val="21"/>
          <w:highlight w:val="none"/>
          <w:lang w:val="zh-CN"/>
        </w:rPr>
        <w:t>28.</w:t>
      </w:r>
      <w:r>
        <w:rPr>
          <w:rFonts w:hint="eastAsia" w:ascii="宋体" w:hAnsi="宋体" w:eastAsia="宋体" w:cs="宋体"/>
          <w:iCs/>
          <w:snapToGrid w:val="0"/>
          <w:kern w:val="0"/>
          <w:szCs w:val="21"/>
          <w:highlight w:val="none"/>
        </w:rPr>
        <w:t>4</w:t>
      </w:r>
      <w:r>
        <w:rPr>
          <w:rFonts w:hint="eastAsia" w:ascii="宋体" w:hAnsi="宋体" w:eastAsia="宋体" w:cs="宋体"/>
          <w:iCs/>
          <w:snapToGrid w:val="0"/>
          <w:kern w:val="0"/>
          <w:szCs w:val="21"/>
          <w:highlight w:val="none"/>
          <w:lang w:val="zh-CN"/>
        </w:rPr>
        <w:t>采购人或者采购代理机构应当在成交供应商确定后2个工作日内，在省级以上财政部门指定的政府采购信息发布媒体上公告成交结果，同时向成交供应商发出成交通知书，并将</w:t>
      </w:r>
      <w:r>
        <w:rPr>
          <w:rFonts w:hint="eastAsia" w:asciiTheme="minorEastAsia" w:hAnsiTheme="minorEastAsia" w:eastAsiaTheme="minorEastAsia" w:cstheme="minorEastAsia"/>
          <w:iCs/>
          <w:snapToGrid w:val="0"/>
          <w:kern w:val="0"/>
          <w:szCs w:val="21"/>
          <w:highlight w:val="none"/>
          <w:lang w:val="zh-CN"/>
        </w:rPr>
        <w:t xml:space="preserve">磋商文件随成交结果同时公告。 </w:t>
      </w:r>
    </w:p>
    <w:p>
      <w:pPr>
        <w:autoSpaceDE w:val="0"/>
        <w:autoSpaceDN w:val="0"/>
        <w:adjustRightInd w:val="0"/>
        <w:spacing w:line="360" w:lineRule="auto"/>
        <w:jc w:val="left"/>
        <w:rPr>
          <w:rFonts w:asciiTheme="minorEastAsia" w:hAnsiTheme="minorEastAsia" w:eastAsiaTheme="minorEastAsia" w:cstheme="minorEastAsia"/>
          <w:iCs/>
          <w:snapToGrid w:val="0"/>
          <w:kern w:val="0"/>
          <w:szCs w:val="21"/>
          <w:highlight w:val="none"/>
          <w:lang w:val="zh-CN"/>
        </w:rPr>
      </w:pPr>
      <w:r>
        <w:rPr>
          <w:rFonts w:hint="eastAsia" w:asciiTheme="minorEastAsia" w:hAnsiTheme="minorEastAsia" w:eastAsiaTheme="minorEastAsia" w:cstheme="minorEastAsia"/>
          <w:iCs/>
          <w:snapToGrid w:val="0"/>
          <w:kern w:val="0"/>
          <w:szCs w:val="21"/>
          <w:highlight w:val="none"/>
          <w:lang w:val="zh-CN"/>
        </w:rPr>
        <w:t>28.</w:t>
      </w:r>
      <w:r>
        <w:rPr>
          <w:rFonts w:hint="eastAsia" w:asciiTheme="minorEastAsia" w:hAnsiTheme="minorEastAsia" w:eastAsiaTheme="minorEastAsia" w:cstheme="minorEastAsia"/>
          <w:iCs/>
          <w:snapToGrid w:val="0"/>
          <w:kern w:val="0"/>
          <w:szCs w:val="21"/>
          <w:highlight w:val="none"/>
        </w:rPr>
        <w:t>5</w:t>
      </w:r>
      <w:r>
        <w:rPr>
          <w:rFonts w:hint="eastAsia" w:asciiTheme="minorEastAsia" w:hAnsiTheme="minorEastAsia" w:eastAsiaTheme="minorEastAsia" w:cstheme="minorEastAsia"/>
          <w:iCs/>
          <w:snapToGrid w:val="0"/>
          <w:kern w:val="0"/>
          <w:szCs w:val="21"/>
          <w:highlight w:val="none"/>
          <w:lang w:val="zh-CN"/>
        </w:rPr>
        <w:t>成交通知书的领取时间详见《供应商须知前附表》。</w:t>
      </w:r>
    </w:p>
    <w:p>
      <w:pPr>
        <w:numPr>
          <w:ilvl w:val="0"/>
          <w:numId w:val="5"/>
        </w:numPr>
        <w:tabs>
          <w:tab w:val="left" w:pos="864"/>
          <w:tab w:val="left" w:pos="1080"/>
        </w:tabs>
        <w:spacing w:line="360" w:lineRule="auto"/>
        <w:ind w:hanging="540"/>
        <w:outlineLvl w:val="1"/>
        <w:rPr>
          <w:rFonts w:asciiTheme="minorEastAsia" w:hAnsiTheme="minorEastAsia" w:eastAsiaTheme="minorEastAsia" w:cstheme="minorEastAsia"/>
          <w:b/>
          <w:highlight w:val="none"/>
          <w:lang w:val="zh-CN"/>
        </w:rPr>
      </w:pPr>
      <w:bookmarkStart w:id="190" w:name="_Toc14128"/>
      <w:bookmarkStart w:id="191" w:name="_Toc4673"/>
      <w:bookmarkStart w:id="192" w:name="_Toc30171"/>
      <w:r>
        <w:rPr>
          <w:rFonts w:hint="eastAsia" w:asciiTheme="minorEastAsia" w:hAnsiTheme="minorEastAsia" w:eastAsiaTheme="minorEastAsia" w:cstheme="minorEastAsia"/>
          <w:b/>
          <w:highlight w:val="none"/>
          <w:lang w:val="zh-CN"/>
        </w:rPr>
        <w:t>签订合同</w:t>
      </w:r>
      <w:bookmarkEnd w:id="190"/>
      <w:bookmarkEnd w:id="191"/>
      <w:bookmarkEnd w:id="192"/>
    </w:p>
    <w:p>
      <w:pPr>
        <w:tabs>
          <w:tab w:val="left" w:pos="426"/>
        </w:tabs>
        <w:autoSpaceDE w:val="0"/>
        <w:autoSpaceDN w:val="0"/>
        <w:adjustRightInd w:val="0"/>
        <w:spacing w:line="360" w:lineRule="auto"/>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29.1 竞争性磋商采购文件对履约保证金有规定的，成交供应商应按规定在签订合同前缴纳履约保证金。</w:t>
      </w:r>
    </w:p>
    <w:p>
      <w:pPr>
        <w:tabs>
          <w:tab w:val="left" w:pos="426"/>
        </w:tabs>
        <w:autoSpaceDE w:val="0"/>
        <w:autoSpaceDN w:val="0"/>
        <w:adjustRightInd w:val="0"/>
        <w:spacing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snapToGrid w:val="0"/>
          <w:szCs w:val="21"/>
          <w:highlight w:val="none"/>
          <w:lang w:val="zh-CN"/>
        </w:rPr>
        <w:t>29.2 采购人与成交供应商应当在成交通知书发出之日起30日内，按照采购文件确定的合同文本以及采购标的、规格型号、采购金额、采购数量、技术和服务要求等事项签订政府采购合同。</w:t>
      </w:r>
    </w:p>
    <w:p>
      <w:pPr>
        <w:autoSpaceDE w:val="0"/>
        <w:autoSpaceDN w:val="0"/>
        <w:adjustRightInd w:val="0"/>
        <w:spacing w:line="360" w:lineRule="auto"/>
        <w:ind w:firstLine="424" w:firstLineChars="202"/>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采购人不得向成交供应商提出超出采购文件以外的任何要求作为签订合同的条件，不得与成交供应商订立背离采购文件确定的合同文本以及采购标的、规格型号、采购金额、采购数量、技术和服务要求等实质性内容的协议。</w:t>
      </w:r>
    </w:p>
    <w:p>
      <w:pPr>
        <w:autoSpaceDE w:val="0"/>
        <w:autoSpaceDN w:val="0"/>
        <w:adjustRightInd w:val="0"/>
        <w:spacing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29.3 </w:t>
      </w:r>
      <w:r>
        <w:rPr>
          <w:rFonts w:hint="eastAsia" w:asciiTheme="minorEastAsia" w:hAnsiTheme="minorEastAsia" w:eastAsiaTheme="minorEastAsia" w:cstheme="minorEastAsia"/>
          <w:highlight w:val="none"/>
          <w:lang w:val="zh-CN"/>
        </w:rPr>
        <w:t>成交供应商拒绝与采购人签订合同的，采购人可以按照评审报告推荐的中标候选人名单排序，确定下一候选人为成交供应商，也可以重新开展政府采购活动。</w:t>
      </w:r>
    </w:p>
    <w:p>
      <w:pPr>
        <w:autoSpaceDE w:val="0"/>
        <w:autoSpaceDN w:val="0"/>
        <w:adjustRightInd w:val="0"/>
        <w:spacing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29.4 </w:t>
      </w:r>
      <w:r>
        <w:rPr>
          <w:rFonts w:hint="eastAsia" w:asciiTheme="minorEastAsia" w:hAnsiTheme="minorEastAsia" w:eastAsiaTheme="minorEastAsia" w:cstheme="minorEastAsia"/>
          <w:snapToGrid w:val="0"/>
          <w:kern w:val="0"/>
          <w:szCs w:val="21"/>
          <w:highlight w:val="none"/>
          <w:lang w:val="zh-CN"/>
        </w:rPr>
        <w:t>签订政府采购合同后7个工作日内，采购人应将政府采购合同副本报同级政府采购监管部门备案。</w:t>
      </w:r>
    </w:p>
    <w:p>
      <w:pPr>
        <w:tabs>
          <w:tab w:val="left" w:pos="540"/>
        </w:tabs>
        <w:autoSpaceDE w:val="0"/>
        <w:autoSpaceDN w:val="0"/>
        <w:adjustRightInd w:val="0"/>
        <w:spacing w:line="360" w:lineRule="auto"/>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29.5 采购代理机构将配合采购人与成交供应商签订政府采购合同。采购人与成交供应商应按竞争性磋商采购文件要求和成交供应商的竞争性磋商响应文件承诺订立书面合同，不得超出竞争性磋商采购文件和成交供应商竞争性磋商响应文件的范围，也不得再行订立背离合同实质性内容的其他协议。</w:t>
      </w:r>
    </w:p>
    <w:p>
      <w:pPr>
        <w:tabs>
          <w:tab w:val="left" w:pos="540"/>
        </w:tabs>
        <w:autoSpaceDE w:val="0"/>
        <w:autoSpaceDN w:val="0"/>
        <w:adjustRightInd w:val="0"/>
        <w:spacing w:line="360" w:lineRule="auto"/>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szCs w:val="21"/>
          <w:highlight w:val="none"/>
          <w:lang w:val="zh-CN"/>
        </w:rPr>
        <w:t>29.6 除不可抗力等因素外，成交通知书发出后，采购人改变成交结果，或者成交供应商拒绝签订政府采购合同的，应当承担相应的法律责任。</w:t>
      </w:r>
    </w:p>
    <w:p>
      <w:pPr>
        <w:autoSpaceDE w:val="0"/>
        <w:autoSpaceDN w:val="0"/>
        <w:adjustRightInd w:val="0"/>
        <w:spacing w:line="360" w:lineRule="auto"/>
        <w:ind w:firstLine="435"/>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成交供应商拒绝签订政府采购合同的，采购人可以按照《政府采购竞争性磋商采购方式管理暂行办法》第三十三条规定的原则确定其他供应商作为成交供应商并签订政府采购合同，也可以重新开展采购活动。拒绝签订政府采购合同的成交供应商不得参加对该项目重新开展的采购活动。</w:t>
      </w:r>
    </w:p>
    <w:p>
      <w:pPr>
        <w:pStyle w:val="3"/>
        <w:numPr>
          <w:ilvl w:val="0"/>
          <w:numId w:val="0"/>
        </w:numPr>
        <w:bidi w:val="0"/>
        <w:spacing w:line="360" w:lineRule="auto"/>
        <w:rPr>
          <w:b/>
          <w:bCs/>
          <w:highlight w:val="none"/>
          <w:lang w:val="zh-CN"/>
        </w:rPr>
      </w:pPr>
      <w:bookmarkStart w:id="193" w:name="_Toc13988"/>
      <w:bookmarkStart w:id="194" w:name="_Toc14510"/>
      <w:bookmarkStart w:id="195" w:name="_Toc29118"/>
      <w:bookmarkStart w:id="196" w:name="_Toc4883"/>
      <w:bookmarkStart w:id="197" w:name="_Toc12353"/>
      <w:r>
        <w:rPr>
          <w:rFonts w:hint="eastAsia"/>
          <w:b/>
          <w:bCs/>
          <w:highlight w:val="none"/>
          <w:lang w:val="zh-CN"/>
        </w:rPr>
        <w:t>七、质疑和投诉</w:t>
      </w:r>
      <w:bookmarkEnd w:id="193"/>
      <w:bookmarkEnd w:id="194"/>
      <w:bookmarkEnd w:id="195"/>
      <w:bookmarkEnd w:id="196"/>
      <w:bookmarkEnd w:id="197"/>
    </w:p>
    <w:p>
      <w:pPr>
        <w:numPr>
          <w:ilvl w:val="0"/>
          <w:numId w:val="5"/>
        </w:numPr>
        <w:tabs>
          <w:tab w:val="left" w:pos="864"/>
          <w:tab w:val="left" w:pos="1080"/>
        </w:tabs>
        <w:spacing w:line="360" w:lineRule="auto"/>
        <w:ind w:hanging="540"/>
        <w:outlineLvl w:val="1"/>
        <w:rPr>
          <w:rFonts w:asciiTheme="minorEastAsia" w:hAnsiTheme="minorEastAsia" w:eastAsiaTheme="minorEastAsia" w:cstheme="minorEastAsia"/>
          <w:b/>
          <w:highlight w:val="none"/>
          <w:lang w:val="zh-CN"/>
        </w:rPr>
      </w:pPr>
      <w:bookmarkStart w:id="198" w:name="_Toc24155"/>
      <w:bookmarkStart w:id="199" w:name="_Toc23343"/>
      <w:bookmarkStart w:id="200" w:name="_Toc2765"/>
      <w:r>
        <w:rPr>
          <w:rFonts w:hint="eastAsia" w:asciiTheme="minorEastAsia" w:hAnsiTheme="minorEastAsia" w:eastAsiaTheme="minorEastAsia" w:cstheme="minorEastAsia"/>
          <w:b/>
          <w:highlight w:val="none"/>
          <w:lang w:val="zh-CN"/>
        </w:rPr>
        <w:t>质疑</w:t>
      </w:r>
      <w:bookmarkEnd w:id="198"/>
      <w:bookmarkEnd w:id="199"/>
      <w:bookmarkEnd w:id="200"/>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3</w:t>
      </w:r>
      <w:r>
        <w:rPr>
          <w:rFonts w:hint="eastAsia" w:ascii="宋体" w:hAnsi="宋体" w:cs="宋体"/>
          <w:snapToGrid w:val="0"/>
          <w:kern w:val="0"/>
          <w:szCs w:val="21"/>
          <w:highlight w:val="none"/>
        </w:rPr>
        <w:t>0</w:t>
      </w:r>
      <w:r>
        <w:rPr>
          <w:rFonts w:hint="eastAsia" w:ascii="宋体" w:hAnsi="宋体" w:cs="宋体"/>
          <w:snapToGrid w:val="0"/>
          <w:kern w:val="0"/>
          <w:szCs w:val="21"/>
          <w:highlight w:val="none"/>
          <w:lang w:val="zh-CN"/>
        </w:rPr>
        <w:t>.1供应商认为磋商文件、磋商过程和成交结果使自己的权益受到损害的，可以在知道或者应知其权益受到损害之日起7个工作日内，以书面形式</w:t>
      </w:r>
      <w:r>
        <w:rPr>
          <w:rFonts w:hint="eastAsia" w:ascii="宋体" w:hAnsi="宋体" w:cs="宋体"/>
          <w:kern w:val="0"/>
          <w:szCs w:val="21"/>
          <w:highlight w:val="none"/>
          <w:lang w:val="zh-CN"/>
        </w:rPr>
        <w:t>或通过电子采购平台</w:t>
      </w:r>
      <w:r>
        <w:rPr>
          <w:rFonts w:hint="eastAsia" w:ascii="宋体" w:hAnsi="宋体" w:cs="宋体"/>
          <w:snapToGrid w:val="0"/>
          <w:kern w:val="0"/>
          <w:szCs w:val="21"/>
          <w:highlight w:val="none"/>
          <w:lang w:val="zh-CN"/>
        </w:rPr>
        <w:t>向采购人或采购代理机构提出质疑，供应商在法定质疑期内应一次性提出针对同一采购程序环节的质疑。</w:t>
      </w:r>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3</w:t>
      </w:r>
      <w:r>
        <w:rPr>
          <w:rFonts w:hint="eastAsia" w:ascii="宋体" w:hAnsi="宋体" w:cs="宋体"/>
          <w:snapToGrid w:val="0"/>
          <w:kern w:val="0"/>
          <w:szCs w:val="21"/>
          <w:highlight w:val="none"/>
        </w:rPr>
        <w:t>0</w:t>
      </w:r>
      <w:r>
        <w:rPr>
          <w:rFonts w:hint="eastAsia" w:ascii="宋体" w:hAnsi="宋体" w:cs="宋体"/>
          <w:snapToGrid w:val="0"/>
          <w:kern w:val="0"/>
          <w:szCs w:val="21"/>
          <w:highlight w:val="none"/>
          <w:lang w:val="zh-CN"/>
        </w:rPr>
        <w:t>.2质疑书应当包括下列主要内容：</w:t>
      </w:r>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（1）质疑人的名称、地址、联系人及联系电话等；</w:t>
      </w:r>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（2）被质疑人的名称、地址、联系人及联系电话等；</w:t>
      </w:r>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（3）质疑项目名称及编号、质疑事项和明确的请求；</w:t>
      </w:r>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（4）质疑事项的事实根据、法律依据及其他必要的证明材料；质疑人提供的证明材料属于其他供应商投标（响应）文件未公开内容的，应当提供书面材料证明其合法来源；</w:t>
      </w:r>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（5）提出质疑的日期；</w:t>
      </w:r>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（6）质疑人的署名及签章（质疑人为自然人的，应当由本人签字；质疑人为法人或者其他组织的，应当由法定代表人或者主要负责人签字盖章并加盖公章）；</w:t>
      </w:r>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（7）法人授权委托书（质疑人或法人委托代理人办理质疑事务的，应当提供授权委托书，授权委托书应当载明委托代理的具体权限和事项）。</w:t>
      </w:r>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质疑书不符合上述要求的，采购人或代理机构应书面告知具体事项，质疑人应当按要求进行修改或补充，并在质疑有效期限内提交。</w:t>
      </w:r>
    </w:p>
    <w:p>
      <w:pPr>
        <w:numPr>
          <w:ilvl w:val="0"/>
          <w:numId w:val="5"/>
        </w:numPr>
        <w:tabs>
          <w:tab w:val="left" w:pos="864"/>
          <w:tab w:val="left" w:pos="1080"/>
        </w:tabs>
        <w:spacing w:line="360" w:lineRule="auto"/>
        <w:ind w:hanging="540"/>
        <w:outlineLvl w:val="1"/>
        <w:rPr>
          <w:rFonts w:asciiTheme="minorEastAsia" w:hAnsiTheme="minorEastAsia" w:eastAsiaTheme="minorEastAsia" w:cstheme="minorEastAsia"/>
          <w:b/>
          <w:highlight w:val="none"/>
          <w:lang w:val="zh-CN"/>
        </w:rPr>
      </w:pPr>
      <w:bookmarkStart w:id="201" w:name="_Toc1149"/>
      <w:bookmarkStart w:id="202" w:name="_Toc4465"/>
      <w:bookmarkStart w:id="203" w:name="_Toc24408"/>
      <w:r>
        <w:rPr>
          <w:rFonts w:hint="eastAsia" w:asciiTheme="minorEastAsia" w:hAnsiTheme="minorEastAsia" w:eastAsiaTheme="minorEastAsia" w:cstheme="minorEastAsia"/>
          <w:b/>
          <w:highlight w:val="none"/>
          <w:lang w:val="zh-CN"/>
        </w:rPr>
        <w:t>质疑回复</w:t>
      </w:r>
      <w:bookmarkEnd w:id="201"/>
      <w:bookmarkEnd w:id="202"/>
      <w:bookmarkEnd w:id="203"/>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3</w:t>
      </w:r>
      <w:r>
        <w:rPr>
          <w:rFonts w:hint="eastAsia" w:ascii="宋体" w:hAnsi="宋体" w:cs="宋体"/>
          <w:snapToGrid w:val="0"/>
          <w:kern w:val="0"/>
          <w:szCs w:val="21"/>
          <w:highlight w:val="none"/>
        </w:rPr>
        <w:t>1</w:t>
      </w:r>
      <w:r>
        <w:rPr>
          <w:rFonts w:hint="eastAsia" w:ascii="宋体" w:hAnsi="宋体" w:cs="宋体"/>
          <w:snapToGrid w:val="0"/>
          <w:kern w:val="0"/>
          <w:szCs w:val="21"/>
          <w:highlight w:val="none"/>
          <w:lang w:val="zh-CN"/>
        </w:rPr>
        <w:t>.1采购人或采购代理机构应当在收到供应商的书面质疑后7个工作日内作出答复，并以书面形式</w:t>
      </w:r>
      <w:r>
        <w:rPr>
          <w:rFonts w:hint="eastAsia" w:ascii="宋体" w:hAnsi="宋体" w:cs="宋体"/>
          <w:kern w:val="0"/>
          <w:szCs w:val="21"/>
          <w:highlight w:val="none"/>
          <w:lang w:val="zh-CN"/>
        </w:rPr>
        <w:t>或通过电子采购平台</w:t>
      </w:r>
      <w:r>
        <w:rPr>
          <w:rFonts w:hint="eastAsia" w:ascii="宋体" w:hAnsi="宋体" w:cs="宋体"/>
          <w:snapToGrid w:val="0"/>
          <w:kern w:val="0"/>
          <w:szCs w:val="21"/>
          <w:highlight w:val="none"/>
          <w:lang w:val="zh-CN"/>
        </w:rPr>
        <w:t>通知质疑供应商和其他有关供应商，但答复的内容不得涉及商业秘密。</w:t>
      </w:r>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3</w:t>
      </w:r>
      <w:r>
        <w:rPr>
          <w:rFonts w:hint="eastAsia" w:ascii="宋体" w:hAnsi="宋体" w:cs="宋体"/>
          <w:snapToGrid w:val="0"/>
          <w:kern w:val="0"/>
          <w:szCs w:val="21"/>
          <w:highlight w:val="none"/>
        </w:rPr>
        <w:t>1</w:t>
      </w:r>
      <w:r>
        <w:rPr>
          <w:rFonts w:hint="eastAsia" w:ascii="宋体" w:hAnsi="宋体" w:cs="宋体"/>
          <w:snapToGrid w:val="0"/>
          <w:kern w:val="0"/>
          <w:szCs w:val="21"/>
          <w:highlight w:val="none"/>
          <w:lang w:val="zh-CN"/>
        </w:rPr>
        <w:t>.2质疑答复应当包括下列内容：</w:t>
      </w:r>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（1）质疑人的名称、地址、联系人及联系电话；</w:t>
      </w:r>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（2）采购人或采购代理机构（委托项目一并列出）的名称、地址、联系人及联系电话；</w:t>
      </w:r>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（3）受理质疑的日期、质疑项目名称及编号、质疑事项；</w:t>
      </w:r>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（4）质疑事项答复的具体情况及事实根据、法律依据；</w:t>
      </w:r>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（5）告知质疑人依法投诉的权利和投诉方式；</w:t>
      </w:r>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（6）质疑答复日期。</w:t>
      </w:r>
    </w:p>
    <w:p>
      <w:pPr>
        <w:numPr>
          <w:ilvl w:val="0"/>
          <w:numId w:val="5"/>
        </w:numPr>
        <w:tabs>
          <w:tab w:val="left" w:pos="864"/>
          <w:tab w:val="left" w:pos="1080"/>
        </w:tabs>
        <w:spacing w:line="360" w:lineRule="auto"/>
        <w:ind w:hanging="540"/>
        <w:outlineLvl w:val="1"/>
        <w:rPr>
          <w:rFonts w:asciiTheme="minorEastAsia" w:hAnsiTheme="minorEastAsia" w:eastAsiaTheme="minorEastAsia" w:cstheme="minorEastAsia"/>
          <w:b/>
          <w:highlight w:val="none"/>
          <w:lang w:val="zh-CN"/>
        </w:rPr>
      </w:pPr>
      <w:bookmarkStart w:id="204" w:name="_Toc32501"/>
      <w:bookmarkStart w:id="205" w:name="_Toc8418"/>
      <w:bookmarkStart w:id="206" w:name="_Toc21729"/>
      <w:r>
        <w:rPr>
          <w:rFonts w:hint="eastAsia" w:asciiTheme="minorEastAsia" w:hAnsiTheme="minorEastAsia" w:eastAsiaTheme="minorEastAsia" w:cstheme="minorEastAsia"/>
          <w:b/>
          <w:highlight w:val="none"/>
          <w:lang w:val="zh-CN"/>
        </w:rPr>
        <w:t>投诉</w:t>
      </w:r>
      <w:bookmarkEnd w:id="204"/>
      <w:bookmarkEnd w:id="205"/>
      <w:bookmarkEnd w:id="206"/>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3</w:t>
      </w:r>
      <w:r>
        <w:rPr>
          <w:rFonts w:hint="eastAsia" w:ascii="宋体" w:hAnsi="宋体" w:cs="宋体"/>
          <w:snapToGrid w:val="0"/>
          <w:kern w:val="0"/>
          <w:szCs w:val="21"/>
          <w:highlight w:val="none"/>
        </w:rPr>
        <w:t>2</w:t>
      </w:r>
      <w:r>
        <w:rPr>
          <w:rFonts w:hint="eastAsia" w:ascii="宋体" w:hAnsi="宋体" w:cs="宋体"/>
          <w:snapToGrid w:val="0"/>
          <w:kern w:val="0"/>
          <w:szCs w:val="21"/>
          <w:highlight w:val="none"/>
          <w:lang w:val="zh-CN"/>
        </w:rPr>
        <w:t>.1质疑供应商对采购人、采购代理机构的答复不满意或者采购人、采购代理机构未在规定的时间内作出答复的，可以在答复期满后15个工作日内向同级政府采购监督管理部门投诉。供应商投诉应当有明确的请求和必要的证明材料，且投诉的事项不得超出已质疑事项的范围。</w:t>
      </w:r>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3</w:t>
      </w:r>
      <w:r>
        <w:rPr>
          <w:rFonts w:hint="eastAsia" w:ascii="宋体" w:hAnsi="宋体" w:cs="宋体"/>
          <w:snapToGrid w:val="0"/>
          <w:kern w:val="0"/>
          <w:szCs w:val="21"/>
          <w:highlight w:val="none"/>
        </w:rPr>
        <w:t>2</w:t>
      </w:r>
      <w:r>
        <w:rPr>
          <w:rFonts w:hint="eastAsia" w:ascii="宋体" w:hAnsi="宋体" w:cs="宋体"/>
          <w:snapToGrid w:val="0"/>
          <w:kern w:val="0"/>
          <w:szCs w:val="21"/>
          <w:highlight w:val="none"/>
          <w:lang w:val="zh-CN"/>
        </w:rPr>
        <w:t>.2政府采购监督管理部门应当在收到投诉后30个工作日内，对投诉事项作出处理决定，并以书面形式通知投诉人和与投诉事项有关的当事人。财政部门处理投诉事项，需要检验、检测、鉴定、专家评审以及需要投诉人补正材料的，所需时间不计算在投诉处理期限内。</w:t>
      </w:r>
    </w:p>
    <w:p>
      <w:pPr>
        <w:pStyle w:val="3"/>
        <w:numPr>
          <w:ilvl w:val="0"/>
          <w:numId w:val="0"/>
        </w:numPr>
        <w:bidi w:val="0"/>
        <w:spacing w:line="360" w:lineRule="auto"/>
        <w:rPr>
          <w:b/>
          <w:bCs/>
          <w:highlight w:val="none"/>
          <w:lang w:val="zh-CN"/>
        </w:rPr>
      </w:pPr>
      <w:bookmarkStart w:id="207" w:name="_Toc14767"/>
      <w:bookmarkStart w:id="208" w:name="_Toc26423"/>
      <w:bookmarkStart w:id="209" w:name="_Toc28705"/>
      <w:bookmarkStart w:id="210" w:name="_Toc5571"/>
      <w:bookmarkStart w:id="211" w:name="_Toc9538"/>
      <w:r>
        <w:rPr>
          <w:rFonts w:hint="eastAsia"/>
          <w:b/>
          <w:bCs/>
          <w:highlight w:val="none"/>
          <w:lang w:val="zh-CN"/>
        </w:rPr>
        <w:t>八、政策</w:t>
      </w:r>
      <w:bookmarkEnd w:id="207"/>
      <w:bookmarkEnd w:id="208"/>
      <w:bookmarkEnd w:id="209"/>
      <w:bookmarkEnd w:id="210"/>
      <w:bookmarkEnd w:id="211"/>
    </w:p>
    <w:p>
      <w:pPr>
        <w:numPr>
          <w:ilvl w:val="0"/>
          <w:numId w:val="5"/>
        </w:numPr>
        <w:tabs>
          <w:tab w:val="left" w:pos="864"/>
          <w:tab w:val="left" w:pos="1080"/>
        </w:tabs>
        <w:spacing w:line="360" w:lineRule="auto"/>
        <w:ind w:hanging="540"/>
        <w:outlineLvl w:val="1"/>
        <w:rPr>
          <w:rFonts w:asciiTheme="minorEastAsia" w:hAnsiTheme="minorEastAsia" w:eastAsiaTheme="minorEastAsia" w:cstheme="minorEastAsia"/>
          <w:b/>
          <w:highlight w:val="none"/>
        </w:rPr>
      </w:pPr>
      <w:bookmarkStart w:id="212" w:name="_Toc10277"/>
      <w:bookmarkStart w:id="213" w:name="_Toc7228"/>
      <w:bookmarkStart w:id="214" w:name="_Toc21594"/>
      <w:r>
        <w:rPr>
          <w:rFonts w:hint="eastAsia" w:asciiTheme="minorEastAsia" w:hAnsiTheme="minorEastAsia" w:eastAsiaTheme="minorEastAsia" w:cstheme="minorEastAsia"/>
          <w:b/>
          <w:highlight w:val="none"/>
        </w:rPr>
        <w:t>政府采购政策</w:t>
      </w:r>
      <w:bookmarkEnd w:id="212"/>
      <w:bookmarkEnd w:id="213"/>
      <w:bookmarkEnd w:id="214"/>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3</w:t>
      </w:r>
      <w:r>
        <w:rPr>
          <w:rFonts w:hint="eastAsia" w:ascii="宋体" w:hAnsi="宋体" w:cs="宋体"/>
          <w:snapToGrid w:val="0"/>
          <w:kern w:val="0"/>
          <w:szCs w:val="21"/>
          <w:highlight w:val="none"/>
        </w:rPr>
        <w:t>3</w:t>
      </w:r>
      <w:r>
        <w:rPr>
          <w:rFonts w:hint="eastAsia" w:ascii="宋体" w:hAnsi="宋体" w:cs="宋体"/>
          <w:snapToGrid w:val="0"/>
          <w:kern w:val="0"/>
          <w:szCs w:val="21"/>
          <w:highlight w:val="none"/>
          <w:lang w:val="zh-CN"/>
        </w:rPr>
        <w:t>.1</w:t>
      </w:r>
      <w:r>
        <w:rPr>
          <w:rFonts w:hint="eastAsia" w:ascii="宋体" w:hAnsi="宋体" w:cs="宋体"/>
          <w:snapToGrid w:val="0"/>
          <w:spacing w:val="-2"/>
          <w:kern w:val="0"/>
          <w:szCs w:val="21"/>
          <w:highlight w:val="none"/>
          <w:lang w:val="zh-CN"/>
        </w:rPr>
        <w:t>除非“供应商须知前附表”中有特殊规定，本项目所采购的货物应当为中华人民共和国境内提供。</w:t>
      </w:r>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3</w:t>
      </w:r>
      <w:r>
        <w:rPr>
          <w:rFonts w:hint="eastAsia" w:ascii="宋体" w:hAnsi="宋体" w:cs="宋体"/>
          <w:snapToGrid w:val="0"/>
          <w:kern w:val="0"/>
          <w:szCs w:val="21"/>
          <w:highlight w:val="none"/>
        </w:rPr>
        <w:t>3</w:t>
      </w:r>
      <w:r>
        <w:rPr>
          <w:rFonts w:hint="eastAsia" w:ascii="宋体" w:hAnsi="宋体" w:cs="宋体"/>
          <w:snapToGrid w:val="0"/>
          <w:kern w:val="0"/>
          <w:szCs w:val="21"/>
          <w:highlight w:val="none"/>
          <w:lang w:val="zh-CN"/>
        </w:rPr>
        <w:t>.2为促进中小企业发展，本项目供应商如符合工信部联企业【</w:t>
      </w:r>
      <w:r>
        <w:rPr>
          <w:rFonts w:hint="eastAsia" w:ascii="宋体" w:hAnsi="宋体" w:cs="宋体"/>
          <w:snapToGrid w:val="0"/>
          <w:kern w:val="0"/>
          <w:szCs w:val="21"/>
          <w:highlight w:val="none"/>
        </w:rPr>
        <w:t>2011</w:t>
      </w:r>
      <w:r>
        <w:rPr>
          <w:rFonts w:hint="eastAsia" w:ascii="宋体" w:hAnsi="宋体" w:cs="宋体"/>
          <w:snapToGrid w:val="0"/>
          <w:kern w:val="0"/>
          <w:szCs w:val="21"/>
          <w:highlight w:val="none"/>
          <w:lang w:val="zh-CN"/>
        </w:rPr>
        <w:t>】300号文中对中小企业划型标准的，可按照“评定办法前附表”中相关规定，对产品的价格给予一定比例的扣除，用扣除后的价格参与评审。具体扣除比例详见“评定办法前附表”。</w:t>
      </w:r>
    </w:p>
    <w:p>
      <w:pPr>
        <w:autoSpaceDE w:val="0"/>
        <w:autoSpaceDN w:val="0"/>
        <w:adjustRightInd w:val="0"/>
        <w:spacing w:line="360" w:lineRule="auto"/>
        <w:jc w:val="left"/>
        <w:rPr>
          <w:rFonts w:ascii="宋体" w:hAnsi="宋体" w:cs="宋体"/>
          <w:snapToGrid w:val="0"/>
          <w:kern w:val="0"/>
          <w:szCs w:val="21"/>
          <w:highlight w:val="none"/>
        </w:rPr>
      </w:pPr>
      <w:r>
        <w:rPr>
          <w:rFonts w:hint="eastAsia" w:ascii="宋体" w:hAnsi="宋体" w:cs="宋体"/>
          <w:snapToGrid w:val="0"/>
          <w:kern w:val="0"/>
          <w:szCs w:val="21"/>
          <w:highlight w:val="none"/>
        </w:rPr>
        <w:t>33.3按照财政部《关于政府采购支持监狱企业发展有关问题的通知》（财库【2014】68号）的规定，在政府采购活动中，监狱企业视同小型、微型企业，享受预留份额、评审中价格扣除等政府采购促进中小企业发展的政府采购政策。监狱企业参加政府采购活动时，应当提供由省级以上监狱管理局、戒毒管理局（含新疆生产建设兵团）出具的属于监狱企业的证明文件，材料不全的不予折扣。经磋商小组审核确认供应商属于监狱企业的，在评定时视同中小企业，价格给予6%的扣除后的价格参与评审。</w:t>
      </w:r>
    </w:p>
    <w:p>
      <w:pPr>
        <w:autoSpaceDE w:val="0"/>
        <w:autoSpaceDN w:val="0"/>
        <w:adjustRightInd w:val="0"/>
        <w:spacing w:line="360" w:lineRule="auto"/>
        <w:jc w:val="left"/>
        <w:rPr>
          <w:rFonts w:ascii="宋体" w:hAnsi="宋体" w:cs="宋体"/>
          <w:snapToGrid w:val="0"/>
          <w:kern w:val="0"/>
          <w:szCs w:val="21"/>
          <w:highlight w:val="none"/>
        </w:rPr>
      </w:pPr>
      <w:r>
        <w:rPr>
          <w:rFonts w:hint="eastAsia" w:ascii="宋体" w:hAnsi="宋体" w:cs="宋体"/>
          <w:snapToGrid w:val="0"/>
          <w:kern w:val="0"/>
          <w:szCs w:val="21"/>
          <w:highlight w:val="none"/>
        </w:rPr>
        <w:t>33.4按照《三部门联合发布关于促进残疾人就业政府采购政策的通知》（财库【2017】141 号）的规定，在政府采购活动中，残疾人福利性单位视同小型、微型企业，享受预留份额、评审中价格扣除等促进中小企业发展的政府采购政策。符合条件的残疾人福利性单位在参加政府采购活动时，应当提供财库【2017】141号文规定的《残疾人福利性单位声明函》（格式见第六章），并对声明的真实性负责，未提供声明函的不予折扣。经磋商小组审核确认供应商符合残疾人福利性单位条件的，在评定时视同中小企业。残疾人福利性单位属于小型、微型企业的，不重复享受政策。</w:t>
      </w:r>
    </w:p>
    <w:p>
      <w:pPr>
        <w:autoSpaceDE w:val="0"/>
        <w:autoSpaceDN w:val="0"/>
        <w:adjustRightInd w:val="0"/>
        <w:spacing w:line="360" w:lineRule="auto"/>
        <w:jc w:val="left"/>
        <w:rPr>
          <w:rFonts w:ascii="宋体" w:hAnsi="宋体" w:cs="宋体"/>
          <w:snapToGrid w:val="0"/>
          <w:kern w:val="0"/>
          <w:szCs w:val="21"/>
          <w:highlight w:val="none"/>
        </w:rPr>
      </w:pPr>
      <w:r>
        <w:rPr>
          <w:rFonts w:hint="eastAsia" w:ascii="宋体" w:hAnsi="宋体" w:cs="宋体"/>
          <w:snapToGrid w:val="0"/>
          <w:kern w:val="0"/>
          <w:szCs w:val="21"/>
          <w:highlight w:val="none"/>
          <w:lang w:val="zh-CN"/>
        </w:rPr>
        <w:t>3</w:t>
      </w:r>
      <w:r>
        <w:rPr>
          <w:rFonts w:hint="eastAsia" w:ascii="宋体" w:hAnsi="宋体" w:cs="宋体"/>
          <w:snapToGrid w:val="0"/>
          <w:kern w:val="0"/>
          <w:szCs w:val="21"/>
          <w:highlight w:val="none"/>
        </w:rPr>
        <w:t>3</w:t>
      </w:r>
      <w:r>
        <w:rPr>
          <w:rFonts w:hint="eastAsia" w:ascii="宋体" w:hAnsi="宋体" w:cs="宋体"/>
          <w:snapToGrid w:val="0"/>
          <w:kern w:val="0"/>
          <w:szCs w:val="21"/>
          <w:highlight w:val="none"/>
          <w:lang w:val="zh-CN"/>
        </w:rPr>
        <w:t>.</w:t>
      </w:r>
      <w:r>
        <w:rPr>
          <w:rFonts w:hint="eastAsia" w:ascii="宋体" w:hAnsi="宋体" w:cs="宋体"/>
          <w:snapToGrid w:val="0"/>
          <w:kern w:val="0"/>
          <w:szCs w:val="21"/>
          <w:highlight w:val="none"/>
        </w:rPr>
        <w:t>5按照《财政部 发展改革委 生态环境部 市场监管总局 关于调整优化节能产品、环境标志产品政府采购执行机制的通知》（财库〔2019〕9 号）/《关于印发环境标志产品政府采购品目清单的通知》（财库〔2019〕18 号）/《关于印发节能产品政府采购品目清单的通知》（财库〔2019〕19 号）/《市场监管总局关于发布参与实施政府采购节能产品、环境标志产品认证机构名录的公告》（2019 年第 16 号）文件执行。</w:t>
      </w:r>
    </w:p>
    <w:p>
      <w:pPr>
        <w:autoSpaceDE w:val="0"/>
        <w:autoSpaceDN w:val="0"/>
        <w:adjustRightInd w:val="0"/>
        <w:spacing w:line="360" w:lineRule="auto"/>
        <w:jc w:val="left"/>
        <w:rPr>
          <w:rFonts w:ascii="宋体" w:hAnsi="宋体" w:cs="宋体"/>
          <w:snapToGrid w:val="0"/>
          <w:kern w:val="0"/>
          <w:szCs w:val="21"/>
          <w:highlight w:val="none"/>
          <w:lang w:val="zh-CN"/>
        </w:rPr>
      </w:pPr>
      <w:r>
        <w:rPr>
          <w:rFonts w:hint="eastAsia" w:ascii="宋体" w:hAnsi="宋体" w:cs="宋体"/>
          <w:snapToGrid w:val="0"/>
          <w:kern w:val="0"/>
          <w:szCs w:val="21"/>
          <w:highlight w:val="none"/>
          <w:lang w:val="zh-CN"/>
        </w:rPr>
        <w:t>33.</w:t>
      </w:r>
      <w:r>
        <w:rPr>
          <w:rFonts w:hint="eastAsia" w:ascii="宋体" w:hAnsi="宋体" w:cs="宋体"/>
          <w:snapToGrid w:val="0"/>
          <w:kern w:val="0"/>
          <w:szCs w:val="21"/>
          <w:highlight w:val="none"/>
        </w:rPr>
        <w:t>6</w:t>
      </w:r>
      <w:r>
        <w:rPr>
          <w:rFonts w:hint="eastAsia" w:ascii="宋体" w:hAnsi="宋体" w:cs="宋体"/>
          <w:snapToGrid w:val="0"/>
          <w:kern w:val="0"/>
          <w:szCs w:val="21"/>
          <w:highlight w:val="none"/>
          <w:lang w:val="zh-CN"/>
        </w:rPr>
        <w:t>上述政府采购政策优惠须经磋商小组评审后执行，未提供单独分项报价或证明资料不全的不给予价格扣除。</w:t>
      </w:r>
    </w:p>
    <w:p>
      <w:pPr>
        <w:autoSpaceDE w:val="0"/>
        <w:autoSpaceDN w:val="0"/>
        <w:adjustRightInd w:val="0"/>
        <w:spacing w:line="360" w:lineRule="auto"/>
        <w:ind w:firstLine="422" w:firstLineChars="200"/>
        <w:jc w:val="left"/>
        <w:rPr>
          <w:rFonts w:ascii="宋体" w:hAnsi="宋体" w:cs="宋体"/>
          <w:b/>
          <w:bCs/>
          <w:snapToGrid w:val="0"/>
          <w:kern w:val="0"/>
          <w:szCs w:val="21"/>
          <w:highlight w:val="none"/>
          <w:lang w:val="zh-CN"/>
        </w:rPr>
      </w:pPr>
      <w:r>
        <w:rPr>
          <w:rFonts w:hint="eastAsia" w:ascii="宋体" w:hAnsi="宋体" w:cs="宋体"/>
          <w:b/>
          <w:bCs/>
          <w:snapToGrid w:val="0"/>
          <w:kern w:val="0"/>
          <w:szCs w:val="21"/>
          <w:highlight w:val="none"/>
          <w:lang w:val="zh-CN"/>
        </w:rPr>
        <w:t>供应商应当对《中小企业声明函》、监狱企业证明文件、《残疾人福利性单位声明函》的真实</w:t>
      </w:r>
    </w:p>
    <w:p>
      <w:pPr>
        <w:autoSpaceDE w:val="0"/>
        <w:autoSpaceDN w:val="0"/>
        <w:adjustRightInd w:val="0"/>
        <w:spacing w:line="360" w:lineRule="auto"/>
        <w:jc w:val="left"/>
        <w:rPr>
          <w:b/>
          <w:bCs/>
          <w:highlight w:val="none"/>
          <w:lang w:val="zh-CN"/>
        </w:rPr>
      </w:pPr>
      <w:r>
        <w:rPr>
          <w:rFonts w:hint="eastAsia" w:ascii="宋体" w:hAnsi="宋体" w:cs="宋体"/>
          <w:b/>
          <w:bCs/>
          <w:snapToGrid w:val="0"/>
          <w:kern w:val="0"/>
          <w:szCs w:val="21"/>
          <w:highlight w:val="none"/>
          <w:lang w:val="zh-CN"/>
        </w:rPr>
        <w:t>性负责，上述材料与事实不符的，依照《政府采购法》第七十七条第一款的规定，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3"/>
        <w:numPr>
          <w:ilvl w:val="0"/>
          <w:numId w:val="0"/>
        </w:numPr>
        <w:bidi w:val="0"/>
        <w:spacing w:line="360" w:lineRule="auto"/>
        <w:rPr>
          <w:b/>
          <w:bCs/>
          <w:highlight w:val="none"/>
          <w:lang w:val="zh-CN"/>
        </w:rPr>
      </w:pPr>
      <w:bookmarkStart w:id="215" w:name="_Toc21629"/>
      <w:bookmarkStart w:id="216" w:name="_Toc5726"/>
      <w:r>
        <w:rPr>
          <w:rFonts w:hint="eastAsia"/>
          <w:b/>
          <w:bCs/>
          <w:highlight w:val="none"/>
          <w:lang w:val="zh-CN"/>
        </w:rPr>
        <w:t>九、其他要求</w:t>
      </w:r>
      <w:bookmarkEnd w:id="215"/>
      <w:bookmarkEnd w:id="216"/>
    </w:p>
    <w:p>
      <w:pPr>
        <w:autoSpaceDE w:val="0"/>
        <w:autoSpaceDN w:val="0"/>
        <w:adjustRightInd w:val="0"/>
        <w:spacing w:line="360" w:lineRule="auto"/>
        <w:ind w:firstLine="420" w:firstLineChars="20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见《供应商须知前附表》。</w:t>
      </w:r>
    </w:p>
    <w:p>
      <w:pPr>
        <w:pStyle w:val="3"/>
        <w:numPr>
          <w:ilvl w:val="0"/>
          <w:numId w:val="0"/>
        </w:numPr>
        <w:bidi w:val="0"/>
        <w:spacing w:line="360" w:lineRule="auto"/>
        <w:rPr>
          <w:b/>
          <w:bCs/>
          <w:highlight w:val="none"/>
          <w:lang w:val="zh-CN"/>
        </w:rPr>
      </w:pPr>
      <w:bookmarkStart w:id="217" w:name="_Toc29876"/>
      <w:bookmarkStart w:id="218" w:name="_Toc9630"/>
      <w:r>
        <w:rPr>
          <w:rFonts w:hint="eastAsia"/>
          <w:b/>
          <w:bCs/>
          <w:highlight w:val="none"/>
          <w:lang w:val="zh-CN"/>
        </w:rPr>
        <w:t>十、适用法律</w:t>
      </w:r>
      <w:bookmarkEnd w:id="217"/>
      <w:bookmarkEnd w:id="218"/>
    </w:p>
    <w:p>
      <w:pPr>
        <w:autoSpaceDE w:val="0"/>
        <w:autoSpaceDN w:val="0"/>
        <w:adjustRightInd w:val="0"/>
        <w:spacing w:line="360" w:lineRule="auto"/>
        <w:ind w:firstLine="420" w:firstLineChars="200"/>
        <w:jc w:val="left"/>
        <w:rPr>
          <w:rFonts w:hint="eastAsia"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采购人或者采购代理机构和供应商的一切采购活动均适用于《中华人民共和国政府采购法》、《中华人民共和国政府采购实施条例》、《政府采购竞争性磋商采购方式管理办法》等相关规定。</w:t>
      </w:r>
    </w:p>
    <w:p>
      <w:pPr>
        <w:autoSpaceDE w:val="0"/>
        <w:autoSpaceDN w:val="0"/>
        <w:adjustRightInd w:val="0"/>
        <w:spacing w:line="360" w:lineRule="auto"/>
        <w:ind w:firstLine="422" w:firstLineChars="20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b/>
          <w:bCs/>
          <w:snapToGrid w:val="0"/>
          <w:kern w:val="0"/>
          <w:szCs w:val="21"/>
          <w:highlight w:val="none"/>
          <w:lang w:val="zh-CN"/>
        </w:rPr>
        <w:t>补充说明：</w:t>
      </w:r>
    </w:p>
    <w:p>
      <w:pPr>
        <w:autoSpaceDE w:val="0"/>
        <w:autoSpaceDN w:val="0"/>
        <w:adjustRightInd w:val="0"/>
        <w:spacing w:line="360" w:lineRule="auto"/>
        <w:ind w:firstLine="420" w:firstLineChars="20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1）除本采购文件另有规定外，采购文件中出现的类似于“近三年”或“前三年”、“近五年”或“前五年”均指递交响应文件时间以前 3 年或前 5 年，以此类推。如：递交响应文件时间为 201</w:t>
      </w:r>
      <w:r>
        <w:rPr>
          <w:rFonts w:hint="eastAsia" w:asciiTheme="minorEastAsia" w:hAnsiTheme="minorEastAsia" w:eastAsiaTheme="minorEastAsia" w:cstheme="minorEastAsia"/>
          <w:snapToGrid w:val="0"/>
          <w:kern w:val="0"/>
          <w:szCs w:val="21"/>
          <w:highlight w:val="none"/>
        </w:rPr>
        <w:t>9</w:t>
      </w:r>
      <w:r>
        <w:rPr>
          <w:rFonts w:hint="eastAsia" w:asciiTheme="minorEastAsia" w:hAnsiTheme="minorEastAsia" w:eastAsiaTheme="minorEastAsia" w:cstheme="minorEastAsia"/>
          <w:snapToGrid w:val="0"/>
          <w:kern w:val="0"/>
          <w:szCs w:val="21"/>
          <w:highlight w:val="none"/>
          <w:lang w:val="zh-CN"/>
        </w:rPr>
        <w:t>年 12 月 1 日，则“近三年”是指 201</w:t>
      </w:r>
      <w:r>
        <w:rPr>
          <w:rFonts w:hint="eastAsia" w:asciiTheme="minorEastAsia" w:hAnsiTheme="minorEastAsia" w:eastAsiaTheme="minorEastAsia" w:cstheme="minorEastAsia"/>
          <w:snapToGrid w:val="0"/>
          <w:kern w:val="0"/>
          <w:szCs w:val="21"/>
          <w:highlight w:val="none"/>
        </w:rPr>
        <w:t>6</w:t>
      </w:r>
      <w:r>
        <w:rPr>
          <w:rFonts w:hint="eastAsia" w:asciiTheme="minorEastAsia" w:hAnsiTheme="minorEastAsia" w:eastAsiaTheme="minorEastAsia" w:cstheme="minorEastAsia"/>
          <w:snapToGrid w:val="0"/>
          <w:kern w:val="0"/>
          <w:szCs w:val="21"/>
          <w:highlight w:val="none"/>
          <w:lang w:val="zh-CN"/>
        </w:rPr>
        <w:t>年 12 月 1 日至 201</w:t>
      </w:r>
      <w:r>
        <w:rPr>
          <w:rFonts w:hint="eastAsia" w:asciiTheme="minorEastAsia" w:hAnsiTheme="minorEastAsia" w:eastAsiaTheme="minorEastAsia" w:cstheme="minorEastAsia"/>
          <w:snapToGrid w:val="0"/>
          <w:kern w:val="0"/>
          <w:szCs w:val="21"/>
          <w:highlight w:val="none"/>
        </w:rPr>
        <w:t>9</w:t>
      </w:r>
      <w:r>
        <w:rPr>
          <w:rFonts w:hint="eastAsia" w:asciiTheme="minorEastAsia" w:hAnsiTheme="minorEastAsia" w:eastAsiaTheme="minorEastAsia" w:cstheme="minorEastAsia"/>
          <w:snapToGrid w:val="0"/>
          <w:kern w:val="0"/>
          <w:szCs w:val="21"/>
          <w:highlight w:val="none"/>
          <w:lang w:val="zh-CN"/>
        </w:rPr>
        <w:t>年 11 月 30 日。</w:t>
      </w:r>
    </w:p>
    <w:p>
      <w:pPr>
        <w:autoSpaceDE w:val="0"/>
        <w:autoSpaceDN w:val="0"/>
        <w:adjustRightInd w:val="0"/>
        <w:spacing w:line="360" w:lineRule="auto"/>
        <w:ind w:firstLine="420" w:firstLineChars="200"/>
        <w:jc w:val="left"/>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2）关于提交财务报告或财务报表的年份要求（“上一年度”也遵循此说明）：递交响应文件时间如在当年 6 月 30 日以前，</w:t>
      </w:r>
      <w:r>
        <w:rPr>
          <w:rFonts w:hint="eastAsia" w:asciiTheme="minorEastAsia" w:hAnsiTheme="minorEastAsia" w:eastAsiaTheme="minorEastAsia" w:cstheme="minorEastAsia"/>
          <w:snapToGrid w:val="0"/>
          <w:kern w:val="0"/>
          <w:szCs w:val="21"/>
          <w:highlight w:val="none"/>
        </w:rPr>
        <w:t>则</w:t>
      </w:r>
      <w:r>
        <w:rPr>
          <w:rFonts w:hint="eastAsia" w:asciiTheme="minorEastAsia" w:hAnsiTheme="minorEastAsia" w:eastAsiaTheme="minorEastAsia" w:cstheme="minorEastAsia"/>
          <w:snapToGrid w:val="0"/>
          <w:kern w:val="0"/>
          <w:szCs w:val="21"/>
          <w:highlight w:val="none"/>
          <w:lang w:val="zh-CN"/>
        </w:rPr>
        <w:t>近三年指上上个年度往前推算的三年，如递交响应文件时间为 201</w:t>
      </w:r>
      <w:r>
        <w:rPr>
          <w:rFonts w:hint="eastAsia" w:asciiTheme="minorEastAsia" w:hAnsiTheme="minorEastAsia" w:eastAsiaTheme="minorEastAsia" w:cstheme="minorEastAsia"/>
          <w:snapToGrid w:val="0"/>
          <w:kern w:val="0"/>
          <w:szCs w:val="21"/>
          <w:highlight w:val="none"/>
        </w:rPr>
        <w:t>9</w:t>
      </w:r>
      <w:r>
        <w:rPr>
          <w:rFonts w:hint="eastAsia" w:asciiTheme="minorEastAsia" w:hAnsiTheme="minorEastAsia" w:eastAsiaTheme="minorEastAsia" w:cstheme="minorEastAsia"/>
          <w:snapToGrid w:val="0"/>
          <w:kern w:val="0"/>
          <w:szCs w:val="21"/>
          <w:highlight w:val="none"/>
          <w:lang w:val="zh-CN"/>
        </w:rPr>
        <w:t>年 6 月 9 日，则“近三年”</w:t>
      </w:r>
      <w:r>
        <w:rPr>
          <w:rFonts w:hint="eastAsia" w:asciiTheme="minorEastAsia" w:hAnsiTheme="minorEastAsia" w:eastAsiaTheme="minorEastAsia" w:cstheme="minorEastAsia"/>
          <w:snapToGrid w:val="0"/>
          <w:kern w:val="0"/>
          <w:szCs w:val="21"/>
          <w:highlight w:val="none"/>
        </w:rPr>
        <w:t>是</w:t>
      </w:r>
      <w:r>
        <w:rPr>
          <w:rFonts w:hint="eastAsia" w:asciiTheme="minorEastAsia" w:hAnsiTheme="minorEastAsia" w:eastAsiaTheme="minorEastAsia" w:cstheme="minorEastAsia"/>
          <w:snapToGrid w:val="0"/>
          <w:kern w:val="0"/>
          <w:szCs w:val="21"/>
          <w:highlight w:val="none"/>
          <w:lang w:val="zh-CN"/>
        </w:rPr>
        <w:t>指 201</w:t>
      </w:r>
      <w:r>
        <w:rPr>
          <w:rFonts w:hint="eastAsia" w:asciiTheme="minorEastAsia" w:hAnsiTheme="minorEastAsia" w:eastAsiaTheme="minorEastAsia" w:cstheme="minorEastAsia"/>
          <w:snapToGrid w:val="0"/>
          <w:kern w:val="0"/>
          <w:szCs w:val="21"/>
          <w:highlight w:val="none"/>
        </w:rPr>
        <w:t>5</w:t>
      </w:r>
      <w:r>
        <w:rPr>
          <w:rFonts w:hint="eastAsia" w:asciiTheme="minorEastAsia" w:hAnsiTheme="minorEastAsia" w:eastAsiaTheme="minorEastAsia" w:cstheme="minorEastAsia"/>
          <w:snapToGrid w:val="0"/>
          <w:kern w:val="0"/>
          <w:szCs w:val="21"/>
          <w:highlight w:val="none"/>
          <w:lang w:val="zh-CN"/>
        </w:rPr>
        <w:t>年度、201</w:t>
      </w:r>
      <w:r>
        <w:rPr>
          <w:rFonts w:hint="eastAsia" w:asciiTheme="minorEastAsia" w:hAnsiTheme="minorEastAsia" w:eastAsiaTheme="minorEastAsia" w:cstheme="minorEastAsia"/>
          <w:snapToGrid w:val="0"/>
          <w:kern w:val="0"/>
          <w:szCs w:val="21"/>
          <w:highlight w:val="none"/>
        </w:rPr>
        <w:t>6</w:t>
      </w:r>
      <w:r>
        <w:rPr>
          <w:rFonts w:hint="eastAsia" w:asciiTheme="minorEastAsia" w:hAnsiTheme="minorEastAsia" w:eastAsiaTheme="minorEastAsia" w:cstheme="minorEastAsia"/>
          <w:snapToGrid w:val="0"/>
          <w:kern w:val="0"/>
          <w:szCs w:val="21"/>
          <w:highlight w:val="none"/>
          <w:lang w:val="zh-CN"/>
        </w:rPr>
        <w:t>年度、201</w:t>
      </w:r>
      <w:r>
        <w:rPr>
          <w:rFonts w:hint="eastAsia" w:asciiTheme="minorEastAsia" w:hAnsiTheme="minorEastAsia" w:eastAsiaTheme="minorEastAsia" w:cstheme="minorEastAsia"/>
          <w:snapToGrid w:val="0"/>
          <w:kern w:val="0"/>
          <w:szCs w:val="21"/>
          <w:highlight w:val="none"/>
        </w:rPr>
        <w:t>7</w:t>
      </w:r>
      <w:r>
        <w:rPr>
          <w:rFonts w:hint="eastAsia" w:asciiTheme="minorEastAsia" w:hAnsiTheme="minorEastAsia" w:eastAsiaTheme="minorEastAsia" w:cstheme="minorEastAsia"/>
          <w:snapToGrid w:val="0"/>
          <w:kern w:val="0"/>
          <w:szCs w:val="21"/>
          <w:highlight w:val="none"/>
          <w:lang w:val="zh-CN"/>
        </w:rPr>
        <w:t>年度。递交响应文件时间如在当年 6 月 30 日以后，则近三年是指上个年度往前推算的 3 年，如递交响应文件时间为 201</w:t>
      </w:r>
      <w:r>
        <w:rPr>
          <w:rFonts w:hint="eastAsia" w:asciiTheme="minorEastAsia" w:hAnsiTheme="minorEastAsia" w:eastAsiaTheme="minorEastAsia" w:cstheme="minorEastAsia"/>
          <w:snapToGrid w:val="0"/>
          <w:kern w:val="0"/>
          <w:szCs w:val="21"/>
          <w:highlight w:val="none"/>
        </w:rPr>
        <w:t>9</w:t>
      </w:r>
      <w:r>
        <w:rPr>
          <w:rFonts w:hint="eastAsia" w:asciiTheme="minorEastAsia" w:hAnsiTheme="minorEastAsia" w:eastAsiaTheme="minorEastAsia" w:cstheme="minorEastAsia"/>
          <w:snapToGrid w:val="0"/>
          <w:kern w:val="0"/>
          <w:szCs w:val="21"/>
          <w:highlight w:val="none"/>
          <w:lang w:val="zh-CN"/>
        </w:rPr>
        <w:t>年 12 月 1 日，则“近三年”是指 201</w:t>
      </w:r>
      <w:r>
        <w:rPr>
          <w:rFonts w:hint="eastAsia" w:asciiTheme="minorEastAsia" w:hAnsiTheme="minorEastAsia" w:eastAsiaTheme="minorEastAsia" w:cstheme="minorEastAsia"/>
          <w:snapToGrid w:val="0"/>
          <w:kern w:val="0"/>
          <w:szCs w:val="21"/>
          <w:highlight w:val="none"/>
        </w:rPr>
        <w:t>6</w:t>
      </w:r>
      <w:r>
        <w:rPr>
          <w:rFonts w:hint="eastAsia" w:asciiTheme="minorEastAsia" w:hAnsiTheme="minorEastAsia" w:eastAsiaTheme="minorEastAsia" w:cstheme="minorEastAsia"/>
          <w:snapToGrid w:val="0"/>
          <w:kern w:val="0"/>
          <w:szCs w:val="21"/>
          <w:highlight w:val="none"/>
          <w:lang w:val="zh-CN"/>
        </w:rPr>
        <w:t>年度、201</w:t>
      </w:r>
      <w:r>
        <w:rPr>
          <w:rFonts w:hint="eastAsia" w:asciiTheme="minorEastAsia" w:hAnsiTheme="minorEastAsia" w:eastAsiaTheme="minorEastAsia" w:cstheme="minorEastAsia"/>
          <w:snapToGrid w:val="0"/>
          <w:kern w:val="0"/>
          <w:szCs w:val="21"/>
          <w:highlight w:val="none"/>
        </w:rPr>
        <w:t>7</w:t>
      </w:r>
      <w:r>
        <w:rPr>
          <w:rFonts w:hint="eastAsia" w:asciiTheme="minorEastAsia" w:hAnsiTheme="minorEastAsia" w:eastAsiaTheme="minorEastAsia" w:cstheme="minorEastAsia"/>
          <w:snapToGrid w:val="0"/>
          <w:kern w:val="0"/>
          <w:szCs w:val="21"/>
          <w:highlight w:val="none"/>
          <w:lang w:val="zh-CN"/>
        </w:rPr>
        <w:t>年度、201</w:t>
      </w:r>
      <w:r>
        <w:rPr>
          <w:rFonts w:hint="eastAsia" w:asciiTheme="minorEastAsia" w:hAnsiTheme="minorEastAsia" w:eastAsiaTheme="minorEastAsia" w:cstheme="minorEastAsia"/>
          <w:snapToGrid w:val="0"/>
          <w:kern w:val="0"/>
          <w:szCs w:val="21"/>
          <w:highlight w:val="none"/>
        </w:rPr>
        <w:t>8</w:t>
      </w:r>
      <w:r>
        <w:rPr>
          <w:rFonts w:hint="eastAsia" w:asciiTheme="minorEastAsia" w:hAnsiTheme="minorEastAsia" w:eastAsiaTheme="minorEastAsia" w:cstheme="minorEastAsia"/>
          <w:snapToGrid w:val="0"/>
          <w:kern w:val="0"/>
          <w:szCs w:val="21"/>
          <w:highlight w:val="none"/>
          <w:lang w:val="zh-CN"/>
        </w:rPr>
        <w:t>年度。</w:t>
      </w:r>
    </w:p>
    <w:p>
      <w:pPr>
        <w:autoSpaceDE w:val="0"/>
        <w:autoSpaceDN w:val="0"/>
        <w:adjustRightInd w:val="0"/>
        <w:spacing w:line="360" w:lineRule="auto"/>
        <w:ind w:firstLine="420" w:firstLineChars="200"/>
        <w:jc w:val="left"/>
        <w:rPr>
          <w:rFonts w:hint="eastAsia"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napToGrid w:val="0"/>
          <w:kern w:val="0"/>
          <w:szCs w:val="21"/>
          <w:highlight w:val="none"/>
          <w:lang w:val="zh-CN"/>
        </w:rPr>
        <w:t>3）本采购文件所称的“以上”、“以下”、“内”、“以内”，均包括本数；所称的“不足”，不包括本数。</w:t>
      </w:r>
    </w:p>
    <w:p>
      <w:pPr>
        <w:pStyle w:val="7"/>
        <w:rPr>
          <w:rFonts w:hint="eastAsia"/>
          <w:highlight w:val="none"/>
          <w:lang w:val="zh-CN"/>
        </w:rPr>
      </w:pPr>
    </w:p>
    <w:p>
      <w:pPr>
        <w:pStyle w:val="7"/>
        <w:rPr>
          <w:rFonts w:hint="eastAsia"/>
          <w:highlight w:val="none"/>
          <w:lang w:val="zh-CN"/>
        </w:rPr>
      </w:pPr>
    </w:p>
    <w:p>
      <w:pPr>
        <w:pStyle w:val="7"/>
        <w:rPr>
          <w:highlight w:val="none"/>
          <w:lang w:val="zh-CN"/>
        </w:rPr>
      </w:pPr>
    </w:p>
    <w:p>
      <w:pPr>
        <w:pStyle w:val="12"/>
        <w:rPr>
          <w:rFonts w:hint="eastAsia"/>
          <w:highlight w:val="none"/>
          <w:lang w:val="zh-CN" w:eastAsia="zh-CN"/>
        </w:rPr>
      </w:pPr>
    </w:p>
    <w:p>
      <w:pPr>
        <w:rPr>
          <w:rFonts w:hint="eastAsia" w:ascii="宋体" w:hAnsi="宋体" w:eastAsia="宋体" w:cs="宋体"/>
          <w:b/>
          <w:bCs/>
          <w:sz w:val="44"/>
          <w:szCs w:val="44"/>
          <w:highlight w:val="none"/>
          <w:lang w:eastAsia="zh-CN"/>
        </w:rPr>
      </w:pPr>
      <w:r>
        <w:rPr>
          <w:rFonts w:hint="eastAsia" w:ascii="宋体" w:hAnsi="宋体" w:eastAsia="宋体" w:cs="宋体"/>
          <w:b/>
          <w:bCs/>
          <w:sz w:val="44"/>
          <w:szCs w:val="44"/>
          <w:highlight w:val="none"/>
          <w:lang w:eastAsia="zh-CN"/>
        </w:rPr>
        <w:br w:type="page"/>
      </w:r>
    </w:p>
    <w:p>
      <w:pPr>
        <w:pStyle w:val="2"/>
        <w:bidi w:val="0"/>
        <w:jc w:val="center"/>
        <w:rPr>
          <w:rFonts w:hint="eastAsia"/>
          <w:sz w:val="36"/>
          <w:szCs w:val="36"/>
          <w:highlight w:val="none"/>
        </w:rPr>
      </w:pPr>
      <w:bookmarkStart w:id="219" w:name="_Toc30129"/>
      <w:bookmarkStart w:id="220" w:name="_Toc9182"/>
      <w:bookmarkStart w:id="221" w:name="_Toc1290"/>
      <w:r>
        <w:rPr>
          <w:rFonts w:hint="eastAsia"/>
          <w:sz w:val="36"/>
          <w:szCs w:val="36"/>
          <w:highlight w:val="none"/>
          <w:lang w:val="en-US" w:eastAsia="zh-CN"/>
        </w:rPr>
        <w:t xml:space="preserve">第三章 </w:t>
      </w:r>
      <w:r>
        <w:rPr>
          <w:rFonts w:hint="eastAsia"/>
          <w:sz w:val="36"/>
          <w:szCs w:val="36"/>
          <w:highlight w:val="none"/>
        </w:rPr>
        <w:t>采购需求</w:t>
      </w:r>
      <w:bookmarkEnd w:id="219"/>
      <w:bookmarkEnd w:id="220"/>
      <w:bookmarkEnd w:id="221"/>
    </w:p>
    <w:p>
      <w:pPr>
        <w:pStyle w:val="3"/>
        <w:keepNext w:val="0"/>
        <w:keepLines w:val="0"/>
        <w:pageBreakBefore w:val="0"/>
        <w:widowControl w:val="0"/>
        <w:kinsoku/>
        <w:wordWrap/>
        <w:overflowPunct/>
        <w:topLinePunct w:val="0"/>
        <w:autoSpaceDE/>
        <w:autoSpaceDN/>
        <w:bidi w:val="0"/>
        <w:spacing w:before="0" w:beforeLines="0" w:after="0" w:afterLines="0" w:line="360" w:lineRule="auto"/>
        <w:ind w:left="0" w:leftChars="0" w:firstLine="0" w:firstLineChars="0"/>
        <w:textAlignment w:val="auto"/>
        <w:rPr>
          <w:rFonts w:hint="eastAsia" w:ascii="宋体" w:hAnsi="宋体" w:eastAsia="宋体" w:cs="宋体"/>
          <w:b/>
          <w:bCs/>
          <w:sz w:val="21"/>
          <w:szCs w:val="21"/>
          <w:highlight w:val="none"/>
          <w:lang w:eastAsia="zh-CN"/>
        </w:rPr>
      </w:pPr>
      <w:bookmarkStart w:id="222" w:name="_Toc30222"/>
      <w:bookmarkStart w:id="223" w:name="_Toc27836"/>
      <w:bookmarkStart w:id="224" w:name="_Toc19633321"/>
      <w:bookmarkStart w:id="225" w:name="_Toc22540"/>
      <w:bookmarkStart w:id="226" w:name="_Toc31750"/>
      <w:bookmarkStart w:id="227" w:name="_Toc15157"/>
      <w:r>
        <w:rPr>
          <w:rFonts w:hint="eastAsia" w:ascii="宋体" w:hAnsi="宋体" w:eastAsia="宋体" w:cs="宋体"/>
          <w:b/>
          <w:bCs/>
          <w:sz w:val="21"/>
          <w:szCs w:val="21"/>
          <w:highlight w:val="none"/>
          <w:lang w:eastAsia="zh-CN"/>
        </w:rPr>
        <w:t>一、</w:t>
      </w:r>
      <w:r>
        <w:rPr>
          <w:rFonts w:hint="eastAsia" w:ascii="宋体" w:hAnsi="宋体" w:cs="宋体"/>
          <w:b/>
          <w:bCs/>
          <w:sz w:val="21"/>
          <w:szCs w:val="21"/>
          <w:highlight w:val="none"/>
          <w:lang w:eastAsia="zh-CN"/>
        </w:rPr>
        <w:t>项目概况</w:t>
      </w:r>
      <w:r>
        <w:rPr>
          <w:rFonts w:hint="eastAsia" w:ascii="宋体" w:hAnsi="宋体" w:eastAsia="宋体" w:cs="宋体"/>
          <w:b/>
          <w:bCs/>
          <w:sz w:val="21"/>
          <w:szCs w:val="21"/>
          <w:highlight w:val="none"/>
          <w:lang w:eastAsia="zh-CN"/>
        </w:rPr>
        <w:t>：</w:t>
      </w:r>
      <w:bookmarkEnd w:id="222"/>
      <w:bookmarkEnd w:id="223"/>
      <w:bookmarkEnd w:id="224"/>
      <w:bookmarkEnd w:id="225"/>
      <w:bookmarkEnd w:id="226"/>
    </w:p>
    <w:p>
      <w:pPr>
        <w:keepNext w:val="0"/>
        <w:keepLines w:val="0"/>
        <w:pageBreakBefore w:val="0"/>
        <w:widowControl w:val="0"/>
        <w:numPr>
          <w:ilvl w:val="0"/>
          <w:numId w:val="0"/>
        </w:numPr>
        <w:kinsoku/>
        <w:wordWrap/>
        <w:overflowPunct/>
        <w:topLinePunct w:val="0"/>
        <w:autoSpaceDE/>
        <w:autoSpaceDN/>
        <w:bidi w:val="0"/>
        <w:spacing w:line="360" w:lineRule="auto"/>
        <w:ind w:firstLine="400" w:firstLineChars="200"/>
        <w:textAlignment w:val="auto"/>
        <w:rPr>
          <w:rFonts w:hint="eastAsia" w:ascii="宋体" w:hAnsi="宋体" w:eastAsia="宋体" w:cs="宋体"/>
          <w:spacing w:val="-5"/>
          <w:sz w:val="21"/>
          <w:szCs w:val="21"/>
          <w:highlight w:val="none"/>
          <w:lang w:eastAsia="zh-CN"/>
        </w:rPr>
      </w:pPr>
      <w:r>
        <w:rPr>
          <w:rFonts w:hint="eastAsia" w:ascii="宋体" w:hAnsi="宋体" w:eastAsia="宋体" w:cs="宋体"/>
          <w:spacing w:val="-5"/>
          <w:sz w:val="21"/>
          <w:szCs w:val="21"/>
          <w:highlight w:val="none"/>
          <w:lang w:val="en-US" w:eastAsia="zh-CN"/>
        </w:rPr>
        <w:t>1、项目名称：</w:t>
      </w:r>
      <w:r>
        <w:rPr>
          <w:rFonts w:hint="eastAsia" w:ascii="宋体" w:hAnsi="宋体" w:cs="宋体"/>
          <w:spacing w:val="-5"/>
          <w:sz w:val="21"/>
          <w:szCs w:val="21"/>
          <w:highlight w:val="none"/>
          <w:lang w:val="en-US" w:eastAsia="zh-CN"/>
        </w:rPr>
        <w:t>孝南区2024年度水利工程白蚁等害堤动物危害普查和防治项目</w:t>
      </w:r>
    </w:p>
    <w:p>
      <w:pPr>
        <w:keepNext w:val="0"/>
        <w:keepLines w:val="0"/>
        <w:pageBreakBefore w:val="0"/>
        <w:widowControl w:val="0"/>
        <w:numPr>
          <w:ilvl w:val="0"/>
          <w:numId w:val="0"/>
        </w:numPr>
        <w:kinsoku/>
        <w:wordWrap/>
        <w:overflowPunct/>
        <w:topLinePunct w:val="0"/>
        <w:autoSpaceDE/>
        <w:autoSpaceDN/>
        <w:bidi w:val="0"/>
        <w:spacing w:line="360" w:lineRule="auto"/>
        <w:ind w:firstLine="400" w:firstLineChars="200"/>
        <w:textAlignment w:val="auto"/>
        <w:rPr>
          <w:rFonts w:hint="eastAsia" w:ascii="宋体" w:hAnsi="宋体" w:eastAsia="宋体" w:cs="宋体"/>
          <w:spacing w:val="-5"/>
          <w:sz w:val="21"/>
          <w:szCs w:val="21"/>
          <w:highlight w:val="none"/>
          <w:lang w:eastAsia="zh-CN"/>
        </w:rPr>
      </w:pPr>
      <w:r>
        <w:rPr>
          <w:rFonts w:hint="eastAsia" w:ascii="宋体" w:hAnsi="宋体" w:eastAsia="宋体" w:cs="宋体"/>
          <w:spacing w:val="-5"/>
          <w:sz w:val="21"/>
          <w:szCs w:val="21"/>
          <w:highlight w:val="none"/>
          <w:lang w:eastAsia="zh-CN"/>
        </w:rPr>
        <w:t>2、</w:t>
      </w:r>
      <w:r>
        <w:rPr>
          <w:rFonts w:hint="eastAsia" w:ascii="宋体" w:hAnsi="宋体" w:cs="宋体"/>
          <w:spacing w:val="-5"/>
          <w:sz w:val="21"/>
          <w:szCs w:val="21"/>
          <w:highlight w:val="none"/>
          <w:lang w:eastAsia="zh-CN"/>
        </w:rPr>
        <w:t>项目地点</w:t>
      </w:r>
      <w:r>
        <w:rPr>
          <w:rFonts w:hint="eastAsia" w:ascii="宋体" w:hAnsi="宋体" w:eastAsia="宋体" w:cs="宋体"/>
          <w:spacing w:val="-5"/>
          <w:sz w:val="21"/>
          <w:szCs w:val="21"/>
          <w:highlight w:val="none"/>
          <w:lang w:eastAsia="zh-CN"/>
        </w:rPr>
        <w:t>：</w:t>
      </w:r>
      <w:r>
        <w:rPr>
          <w:rFonts w:hint="eastAsia" w:ascii="宋体" w:hAnsi="宋体" w:cs="宋体"/>
          <w:spacing w:val="-5"/>
          <w:sz w:val="21"/>
          <w:szCs w:val="21"/>
          <w:highlight w:val="none"/>
          <w:lang w:eastAsia="zh-CN"/>
        </w:rPr>
        <w:t>采购人指定地点</w:t>
      </w:r>
    </w:p>
    <w:p>
      <w:pPr>
        <w:keepNext w:val="0"/>
        <w:keepLines w:val="0"/>
        <w:pageBreakBefore w:val="0"/>
        <w:widowControl w:val="0"/>
        <w:numPr>
          <w:ilvl w:val="0"/>
          <w:numId w:val="0"/>
        </w:numPr>
        <w:kinsoku/>
        <w:wordWrap/>
        <w:overflowPunct/>
        <w:topLinePunct w:val="0"/>
        <w:autoSpaceDE/>
        <w:autoSpaceDN/>
        <w:bidi w:val="0"/>
        <w:spacing w:line="360" w:lineRule="auto"/>
        <w:ind w:firstLine="400" w:firstLineChars="200"/>
        <w:textAlignment w:val="auto"/>
        <w:rPr>
          <w:rFonts w:hint="eastAsia" w:ascii="宋体" w:hAnsi="宋体" w:eastAsia="宋体" w:cs="宋体"/>
          <w:spacing w:val="-5"/>
          <w:sz w:val="21"/>
          <w:szCs w:val="21"/>
          <w:highlight w:val="none"/>
          <w:lang w:eastAsia="zh-CN"/>
        </w:rPr>
      </w:pPr>
      <w:r>
        <w:rPr>
          <w:rFonts w:hint="eastAsia" w:ascii="宋体" w:hAnsi="宋体" w:eastAsia="宋体" w:cs="宋体"/>
          <w:spacing w:val="-5"/>
          <w:sz w:val="21"/>
          <w:szCs w:val="21"/>
          <w:highlight w:val="none"/>
          <w:lang w:eastAsia="zh-CN"/>
        </w:rPr>
        <w:t>3、</w:t>
      </w:r>
      <w:r>
        <w:rPr>
          <w:rFonts w:hint="eastAsia" w:ascii="宋体" w:hAnsi="宋体" w:cs="宋体"/>
          <w:spacing w:val="-5"/>
          <w:sz w:val="21"/>
          <w:szCs w:val="21"/>
          <w:highlight w:val="none"/>
          <w:lang w:val="en-US" w:eastAsia="zh-CN"/>
        </w:rPr>
        <w:t>最高限价</w:t>
      </w:r>
      <w:r>
        <w:rPr>
          <w:rFonts w:hint="eastAsia" w:ascii="宋体" w:hAnsi="宋体" w:eastAsia="宋体" w:cs="宋体"/>
          <w:spacing w:val="-5"/>
          <w:sz w:val="21"/>
          <w:szCs w:val="21"/>
          <w:highlight w:val="none"/>
          <w:lang w:eastAsia="zh-CN"/>
        </w:rPr>
        <w:t>：</w:t>
      </w:r>
      <w:r>
        <w:rPr>
          <w:rFonts w:hint="eastAsia" w:ascii="宋体" w:hAnsi="宋体" w:cs="宋体"/>
          <w:spacing w:val="-5"/>
          <w:sz w:val="21"/>
          <w:szCs w:val="21"/>
          <w:highlight w:val="none"/>
          <w:lang w:eastAsia="zh-CN"/>
        </w:rPr>
        <w:t>52万元</w:t>
      </w:r>
      <w:r>
        <w:rPr>
          <w:rFonts w:hint="eastAsia" w:ascii="宋体" w:hAnsi="宋体" w:eastAsia="宋体" w:cs="宋体"/>
          <w:spacing w:val="-5"/>
          <w:sz w:val="21"/>
          <w:szCs w:val="21"/>
          <w:highlight w:val="none"/>
          <w:lang w:eastAsia="zh-CN"/>
        </w:rPr>
        <w:t>，供应商最终报价不得超过</w:t>
      </w:r>
      <w:r>
        <w:rPr>
          <w:rFonts w:hint="eastAsia" w:ascii="宋体" w:hAnsi="宋体" w:cs="宋体"/>
          <w:spacing w:val="-5"/>
          <w:sz w:val="21"/>
          <w:szCs w:val="21"/>
          <w:highlight w:val="none"/>
          <w:lang w:eastAsia="zh-CN"/>
        </w:rPr>
        <w:t>最高限价</w:t>
      </w:r>
      <w:r>
        <w:rPr>
          <w:rFonts w:hint="eastAsia" w:ascii="宋体" w:hAnsi="宋体" w:eastAsia="宋体" w:cs="宋体"/>
          <w:spacing w:val="-5"/>
          <w:sz w:val="21"/>
          <w:szCs w:val="21"/>
          <w:highlight w:val="none"/>
          <w:lang w:eastAsia="zh-CN"/>
        </w:rPr>
        <w:t>，否则按无效响应文件处理。</w:t>
      </w:r>
    </w:p>
    <w:p>
      <w:pPr>
        <w:pStyle w:val="3"/>
        <w:keepNext w:val="0"/>
        <w:keepLines w:val="0"/>
        <w:pageBreakBefore w:val="0"/>
        <w:widowControl w:val="0"/>
        <w:kinsoku/>
        <w:wordWrap/>
        <w:overflowPunct/>
        <w:topLinePunct w:val="0"/>
        <w:autoSpaceDE/>
        <w:autoSpaceDN/>
        <w:bidi w:val="0"/>
        <w:spacing w:before="0" w:beforeLines="0" w:after="0" w:afterLines="0" w:line="360" w:lineRule="auto"/>
        <w:ind w:left="0" w:leftChars="0" w:firstLine="0" w:firstLineChars="0"/>
        <w:textAlignment w:val="auto"/>
        <w:rPr>
          <w:rFonts w:hint="eastAsia" w:ascii="宋体" w:hAnsi="宋体" w:eastAsia="宋体" w:cs="宋体"/>
          <w:b/>
          <w:bCs/>
          <w:sz w:val="21"/>
          <w:szCs w:val="21"/>
          <w:highlight w:val="none"/>
          <w:lang w:eastAsia="zh-CN"/>
        </w:rPr>
      </w:pPr>
      <w:bookmarkStart w:id="228" w:name="_Toc3625"/>
      <w:bookmarkStart w:id="229" w:name="_Toc6305"/>
      <w:bookmarkStart w:id="230" w:name="_Toc3129"/>
      <w:r>
        <w:rPr>
          <w:rFonts w:hint="eastAsia" w:ascii="宋体" w:hAnsi="宋体" w:eastAsia="宋体" w:cs="宋体"/>
          <w:b/>
          <w:bCs/>
          <w:sz w:val="21"/>
          <w:szCs w:val="21"/>
          <w:highlight w:val="none"/>
          <w:lang w:eastAsia="zh-CN"/>
        </w:rPr>
        <w:t>二、</w:t>
      </w:r>
      <w:r>
        <w:rPr>
          <w:rFonts w:hint="eastAsia" w:ascii="宋体" w:hAnsi="宋体" w:cs="宋体"/>
          <w:b/>
          <w:bCs/>
          <w:sz w:val="21"/>
          <w:szCs w:val="21"/>
          <w:highlight w:val="none"/>
          <w:lang w:eastAsia="zh-CN"/>
        </w:rPr>
        <w:t>服务内容</w:t>
      </w:r>
      <w:r>
        <w:rPr>
          <w:rFonts w:hint="eastAsia" w:ascii="宋体" w:hAnsi="宋体" w:eastAsia="宋体" w:cs="宋体"/>
          <w:b/>
          <w:bCs/>
          <w:sz w:val="21"/>
          <w:szCs w:val="21"/>
          <w:highlight w:val="none"/>
          <w:lang w:eastAsia="zh-CN"/>
        </w:rPr>
        <w:t>：</w:t>
      </w:r>
      <w:bookmarkEnd w:id="228"/>
      <w:bookmarkEnd w:id="229"/>
      <w:bookmarkEnd w:id="230"/>
    </w:p>
    <w:p>
      <w:pPr>
        <w:pStyle w:val="11"/>
        <w:keepNext w:val="0"/>
        <w:keepLines w:val="0"/>
        <w:pageBreakBefore w:val="0"/>
        <w:widowControl w:val="0"/>
        <w:kinsoku/>
        <w:wordWrap/>
        <w:overflowPunct/>
        <w:topLinePunct w:val="0"/>
        <w:autoSpaceDE/>
        <w:autoSpaceDN/>
        <w:bidi w:val="0"/>
        <w:adjustRightInd w:val="0"/>
        <w:snapToGrid w:val="0"/>
        <w:spacing w:line="360" w:lineRule="auto"/>
        <w:ind w:firstLine="623" w:firstLineChars="200"/>
        <w:textAlignment w:val="auto"/>
        <w:rPr>
          <w:rFonts w:hint="eastAsia" w:ascii="宋体" w:hAnsi="宋体" w:eastAsia="宋体" w:cs="宋体"/>
          <w:b/>
          <w:bCs/>
          <w:spacing w:val="-5"/>
          <w:sz w:val="32"/>
          <w:szCs w:val="32"/>
          <w:highlight w:val="none"/>
          <w:lang w:eastAsia="zh-CN"/>
        </w:rPr>
      </w:pPr>
      <w:r>
        <w:rPr>
          <w:rFonts w:hint="eastAsia" w:hAnsi="宋体" w:cs="宋体"/>
          <w:b/>
          <w:bCs/>
          <w:spacing w:val="-5"/>
          <w:sz w:val="32"/>
          <w:szCs w:val="32"/>
          <w:highlight w:val="none"/>
          <w:lang w:eastAsia="zh-CN"/>
        </w:rPr>
        <w:t>（一）普查清单</w:t>
      </w:r>
    </w:p>
    <w:tbl>
      <w:tblPr>
        <w:tblStyle w:val="57"/>
        <w:tblW w:w="920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52"/>
        <w:gridCol w:w="18"/>
        <w:gridCol w:w="2249"/>
        <w:gridCol w:w="28"/>
        <w:gridCol w:w="2250"/>
        <w:gridCol w:w="15"/>
        <w:gridCol w:w="2868"/>
        <w:gridCol w:w="2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7" w:type="dxa"/>
          <w:trHeight w:val="562" w:hRule="atLeast"/>
        </w:trPr>
        <w:tc>
          <w:tcPr>
            <w:tcW w:w="9180" w:type="dxa"/>
            <w:gridSpan w:val="7"/>
            <w:vAlign w:val="top"/>
          </w:tcPr>
          <w:p>
            <w:pPr>
              <w:pStyle w:val="11"/>
              <w:bidi w:val="0"/>
              <w:jc w:val="center"/>
              <w:rPr>
                <w:rFonts w:hint="eastAsia" w:ascii="宋体" w:hAnsi="宋体" w:eastAsia="宋体" w:cs="宋体"/>
                <w:spacing w:val="-6"/>
                <w:kern w:val="2"/>
                <w:sz w:val="24"/>
                <w:szCs w:val="24"/>
                <w:lang w:val="en-US" w:eastAsia="zh-CN" w:bidi="ar-SA"/>
              </w:rPr>
            </w:pPr>
            <w:r>
              <w:rPr>
                <w:rFonts w:hint="eastAsia" w:hAnsi="宋体" w:cs="宋体"/>
                <w:b/>
                <w:bCs/>
                <w:spacing w:val="-6"/>
                <w:kern w:val="2"/>
                <w:sz w:val="32"/>
                <w:szCs w:val="32"/>
                <w:lang w:val="en-US" w:eastAsia="zh-CN" w:bidi="ar-SA"/>
              </w:rPr>
              <w:t>水库普查清单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7" w:type="dxa"/>
          <w:trHeight w:val="432" w:hRule="atLeast"/>
        </w:trPr>
        <w:tc>
          <w:tcPr>
            <w:tcW w:w="1770" w:type="dxa"/>
            <w:gridSpan w:val="2"/>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en-US" w:bidi="ar"/>
              </w:rPr>
            </w:pPr>
            <w:r>
              <w:rPr>
                <w:rFonts w:hint="eastAsia" w:ascii="宋体" w:hAnsi="宋体" w:eastAsia="宋体" w:cs="宋体"/>
                <w:b/>
                <w:bCs/>
                <w:i w:val="0"/>
                <w:iCs w:val="0"/>
                <w:color w:val="000000"/>
                <w:kern w:val="0"/>
                <w:sz w:val="24"/>
                <w:szCs w:val="24"/>
                <w:highlight w:val="none"/>
                <w:u w:val="none"/>
                <w:lang w:val="en-US" w:eastAsia="en-US" w:bidi="ar"/>
              </w:rPr>
              <w:t>序号</w:t>
            </w:r>
          </w:p>
        </w:tc>
        <w:tc>
          <w:tcPr>
            <w:tcW w:w="2249" w:type="dxa"/>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en-US" w:bidi="ar"/>
              </w:rPr>
            </w:pPr>
            <w:r>
              <w:rPr>
                <w:rFonts w:hint="eastAsia" w:ascii="宋体" w:hAnsi="宋体" w:eastAsia="宋体" w:cs="宋体"/>
                <w:b/>
                <w:bCs/>
                <w:i w:val="0"/>
                <w:iCs w:val="0"/>
                <w:color w:val="000000"/>
                <w:kern w:val="0"/>
                <w:sz w:val="24"/>
                <w:szCs w:val="24"/>
                <w:highlight w:val="none"/>
                <w:u w:val="none"/>
                <w:lang w:val="en-US" w:eastAsia="en-US" w:bidi="ar"/>
              </w:rPr>
              <w:t>工程名称</w:t>
            </w:r>
          </w:p>
        </w:tc>
        <w:tc>
          <w:tcPr>
            <w:tcW w:w="2278" w:type="dxa"/>
            <w:gridSpan w:val="2"/>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en-US" w:bidi="ar"/>
              </w:rPr>
            </w:pPr>
            <w:r>
              <w:rPr>
                <w:rFonts w:hint="eastAsia" w:ascii="宋体" w:hAnsi="宋体" w:eastAsia="宋体" w:cs="宋体"/>
                <w:b/>
                <w:bCs/>
                <w:i w:val="0"/>
                <w:iCs w:val="0"/>
                <w:color w:val="000000"/>
                <w:kern w:val="0"/>
                <w:sz w:val="24"/>
                <w:szCs w:val="24"/>
                <w:highlight w:val="none"/>
                <w:u w:val="none"/>
                <w:lang w:val="en-US" w:eastAsia="en-US" w:bidi="ar"/>
              </w:rPr>
              <w:t>类型</w:t>
            </w:r>
          </w:p>
        </w:tc>
        <w:tc>
          <w:tcPr>
            <w:tcW w:w="2883" w:type="dxa"/>
            <w:gridSpan w:val="2"/>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en-US" w:bidi="ar"/>
              </w:rPr>
            </w:pPr>
            <w:r>
              <w:rPr>
                <w:rFonts w:hint="eastAsia" w:ascii="宋体" w:hAnsi="宋体" w:eastAsia="宋体" w:cs="宋体"/>
                <w:b/>
                <w:bCs/>
                <w:i w:val="0"/>
                <w:iCs w:val="0"/>
                <w:color w:val="000000"/>
                <w:kern w:val="0"/>
                <w:sz w:val="24"/>
                <w:szCs w:val="24"/>
                <w:highlight w:val="none"/>
                <w:u w:val="none"/>
                <w:lang w:val="en-US" w:eastAsia="en-US" w:bidi="ar"/>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7" w:type="dxa"/>
          <w:trHeight w:val="502" w:hRule="atLeast"/>
        </w:trPr>
        <w:tc>
          <w:tcPr>
            <w:tcW w:w="1770"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2249"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郑家河</w:t>
            </w:r>
          </w:p>
        </w:tc>
        <w:tc>
          <w:tcPr>
            <w:tcW w:w="2278"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大（2）型</w:t>
            </w:r>
          </w:p>
        </w:tc>
        <w:tc>
          <w:tcPr>
            <w:tcW w:w="2883"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7" w:type="dxa"/>
          <w:trHeight w:val="503" w:hRule="atLeast"/>
        </w:trPr>
        <w:tc>
          <w:tcPr>
            <w:tcW w:w="1770"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2249"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徐家河</w:t>
            </w:r>
          </w:p>
        </w:tc>
        <w:tc>
          <w:tcPr>
            <w:tcW w:w="2278"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大（2）型</w:t>
            </w:r>
          </w:p>
        </w:tc>
        <w:tc>
          <w:tcPr>
            <w:tcW w:w="2883"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7" w:type="dxa"/>
          <w:trHeight w:val="503" w:hRule="atLeast"/>
        </w:trPr>
        <w:tc>
          <w:tcPr>
            <w:tcW w:w="1770"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2249"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八汊洼</w:t>
            </w:r>
          </w:p>
        </w:tc>
        <w:tc>
          <w:tcPr>
            <w:tcW w:w="2278"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中型</w:t>
            </w:r>
          </w:p>
        </w:tc>
        <w:tc>
          <w:tcPr>
            <w:tcW w:w="2883"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7" w:type="dxa"/>
          <w:trHeight w:val="503" w:hRule="atLeast"/>
        </w:trPr>
        <w:tc>
          <w:tcPr>
            <w:tcW w:w="1770"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2249"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群建</w:t>
            </w:r>
          </w:p>
        </w:tc>
        <w:tc>
          <w:tcPr>
            <w:tcW w:w="2278"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小（1）</w:t>
            </w:r>
          </w:p>
        </w:tc>
        <w:tc>
          <w:tcPr>
            <w:tcW w:w="2883"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7" w:type="dxa"/>
          <w:trHeight w:val="502" w:hRule="atLeast"/>
        </w:trPr>
        <w:tc>
          <w:tcPr>
            <w:tcW w:w="1770"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2249"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石板沟</w:t>
            </w:r>
          </w:p>
        </w:tc>
        <w:tc>
          <w:tcPr>
            <w:tcW w:w="2278"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小（1）</w:t>
            </w:r>
          </w:p>
        </w:tc>
        <w:tc>
          <w:tcPr>
            <w:tcW w:w="2883"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7" w:type="dxa"/>
          <w:trHeight w:val="503" w:hRule="atLeast"/>
        </w:trPr>
        <w:tc>
          <w:tcPr>
            <w:tcW w:w="1770"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2249"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韩桥</w:t>
            </w:r>
          </w:p>
        </w:tc>
        <w:tc>
          <w:tcPr>
            <w:tcW w:w="2278"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小（1）</w:t>
            </w:r>
          </w:p>
        </w:tc>
        <w:tc>
          <w:tcPr>
            <w:tcW w:w="2883"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7" w:type="dxa"/>
          <w:trHeight w:val="503" w:hRule="atLeast"/>
        </w:trPr>
        <w:tc>
          <w:tcPr>
            <w:tcW w:w="1770"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2249"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丰产</w:t>
            </w:r>
          </w:p>
        </w:tc>
        <w:tc>
          <w:tcPr>
            <w:tcW w:w="2278"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小（1）</w:t>
            </w:r>
          </w:p>
        </w:tc>
        <w:tc>
          <w:tcPr>
            <w:tcW w:w="2883"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7" w:type="dxa"/>
          <w:trHeight w:val="503" w:hRule="atLeast"/>
        </w:trPr>
        <w:tc>
          <w:tcPr>
            <w:tcW w:w="1770"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2249"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刘寨</w:t>
            </w:r>
          </w:p>
        </w:tc>
        <w:tc>
          <w:tcPr>
            <w:tcW w:w="2278"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小（1）</w:t>
            </w:r>
          </w:p>
        </w:tc>
        <w:tc>
          <w:tcPr>
            <w:tcW w:w="2883"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7" w:type="dxa"/>
          <w:trHeight w:val="503" w:hRule="atLeast"/>
        </w:trPr>
        <w:tc>
          <w:tcPr>
            <w:tcW w:w="1770"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2249"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安全</w:t>
            </w:r>
          </w:p>
        </w:tc>
        <w:tc>
          <w:tcPr>
            <w:tcW w:w="2278"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小（1）</w:t>
            </w:r>
          </w:p>
        </w:tc>
        <w:tc>
          <w:tcPr>
            <w:tcW w:w="2883"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7" w:type="dxa"/>
          <w:trHeight w:val="502" w:hRule="atLeast"/>
        </w:trPr>
        <w:tc>
          <w:tcPr>
            <w:tcW w:w="1770"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2249"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围堰</w:t>
            </w:r>
          </w:p>
        </w:tc>
        <w:tc>
          <w:tcPr>
            <w:tcW w:w="2278"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2883"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7" w:type="dxa"/>
          <w:trHeight w:val="503" w:hRule="atLeast"/>
        </w:trPr>
        <w:tc>
          <w:tcPr>
            <w:tcW w:w="1770"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w:t>
            </w:r>
          </w:p>
        </w:tc>
        <w:tc>
          <w:tcPr>
            <w:tcW w:w="2249"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茨林</w:t>
            </w:r>
          </w:p>
        </w:tc>
        <w:tc>
          <w:tcPr>
            <w:tcW w:w="2278"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2883"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7" w:type="dxa"/>
          <w:trHeight w:val="502" w:hRule="atLeast"/>
        </w:trPr>
        <w:tc>
          <w:tcPr>
            <w:tcW w:w="1770"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w:t>
            </w:r>
          </w:p>
        </w:tc>
        <w:tc>
          <w:tcPr>
            <w:tcW w:w="2249"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百草湖</w:t>
            </w:r>
          </w:p>
        </w:tc>
        <w:tc>
          <w:tcPr>
            <w:tcW w:w="2278"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2883"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7" w:type="dxa"/>
          <w:trHeight w:val="503" w:hRule="atLeast"/>
        </w:trPr>
        <w:tc>
          <w:tcPr>
            <w:tcW w:w="1770"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w:t>
            </w:r>
          </w:p>
        </w:tc>
        <w:tc>
          <w:tcPr>
            <w:tcW w:w="2249"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杨店群力</w:t>
            </w:r>
          </w:p>
        </w:tc>
        <w:tc>
          <w:tcPr>
            <w:tcW w:w="2278"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2883"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7" w:type="dxa"/>
          <w:trHeight w:val="503" w:hRule="atLeast"/>
        </w:trPr>
        <w:tc>
          <w:tcPr>
            <w:tcW w:w="1770"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w:t>
            </w:r>
          </w:p>
        </w:tc>
        <w:tc>
          <w:tcPr>
            <w:tcW w:w="2249"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破山口</w:t>
            </w:r>
          </w:p>
        </w:tc>
        <w:tc>
          <w:tcPr>
            <w:tcW w:w="2278"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2883"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7" w:type="dxa"/>
          <w:trHeight w:val="503" w:hRule="atLeast"/>
        </w:trPr>
        <w:tc>
          <w:tcPr>
            <w:tcW w:w="1770"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2249"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众股</w:t>
            </w:r>
          </w:p>
        </w:tc>
        <w:tc>
          <w:tcPr>
            <w:tcW w:w="2278"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2883"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7" w:type="dxa"/>
          <w:trHeight w:val="509" w:hRule="atLeast"/>
        </w:trPr>
        <w:tc>
          <w:tcPr>
            <w:tcW w:w="1770"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w:t>
            </w:r>
          </w:p>
        </w:tc>
        <w:tc>
          <w:tcPr>
            <w:tcW w:w="2249"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王家楼</w:t>
            </w:r>
          </w:p>
        </w:tc>
        <w:tc>
          <w:tcPr>
            <w:tcW w:w="2278"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2883"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7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2295" w:type="dxa"/>
            <w:gridSpan w:val="3"/>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幸福</w:t>
            </w:r>
          </w:p>
        </w:tc>
        <w:tc>
          <w:tcPr>
            <w:tcW w:w="226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289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7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w:t>
            </w:r>
          </w:p>
        </w:tc>
        <w:tc>
          <w:tcPr>
            <w:tcW w:w="2295" w:type="dxa"/>
            <w:gridSpan w:val="3"/>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郑家堰</w:t>
            </w:r>
          </w:p>
        </w:tc>
        <w:tc>
          <w:tcPr>
            <w:tcW w:w="226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289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7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w:t>
            </w:r>
          </w:p>
        </w:tc>
        <w:tc>
          <w:tcPr>
            <w:tcW w:w="2295" w:type="dxa"/>
            <w:gridSpan w:val="3"/>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雀背塘</w:t>
            </w:r>
          </w:p>
        </w:tc>
        <w:tc>
          <w:tcPr>
            <w:tcW w:w="226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289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7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w:t>
            </w:r>
          </w:p>
        </w:tc>
        <w:tc>
          <w:tcPr>
            <w:tcW w:w="2295" w:type="dxa"/>
            <w:gridSpan w:val="3"/>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三角塘</w:t>
            </w:r>
          </w:p>
        </w:tc>
        <w:tc>
          <w:tcPr>
            <w:tcW w:w="226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289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7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w:t>
            </w:r>
          </w:p>
        </w:tc>
        <w:tc>
          <w:tcPr>
            <w:tcW w:w="2295" w:type="dxa"/>
            <w:gridSpan w:val="3"/>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松林</w:t>
            </w:r>
          </w:p>
        </w:tc>
        <w:tc>
          <w:tcPr>
            <w:tcW w:w="226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289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7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w:t>
            </w:r>
          </w:p>
        </w:tc>
        <w:tc>
          <w:tcPr>
            <w:tcW w:w="2295" w:type="dxa"/>
            <w:gridSpan w:val="3"/>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西河群力</w:t>
            </w:r>
          </w:p>
        </w:tc>
        <w:tc>
          <w:tcPr>
            <w:tcW w:w="226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289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7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23</w:t>
            </w:r>
          </w:p>
        </w:tc>
        <w:tc>
          <w:tcPr>
            <w:tcW w:w="2295" w:type="dxa"/>
            <w:gridSpan w:val="3"/>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白龙碑</w:t>
            </w:r>
          </w:p>
        </w:tc>
        <w:tc>
          <w:tcPr>
            <w:tcW w:w="226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289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7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24</w:t>
            </w:r>
          </w:p>
        </w:tc>
        <w:tc>
          <w:tcPr>
            <w:tcW w:w="2295" w:type="dxa"/>
            <w:gridSpan w:val="3"/>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五一</w:t>
            </w:r>
          </w:p>
        </w:tc>
        <w:tc>
          <w:tcPr>
            <w:tcW w:w="226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289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7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2295" w:type="dxa"/>
            <w:gridSpan w:val="3"/>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龙须后湖</w:t>
            </w:r>
          </w:p>
        </w:tc>
        <w:tc>
          <w:tcPr>
            <w:tcW w:w="226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289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7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w:t>
            </w:r>
          </w:p>
        </w:tc>
        <w:tc>
          <w:tcPr>
            <w:tcW w:w="2295" w:type="dxa"/>
            <w:gridSpan w:val="3"/>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大塘洼</w:t>
            </w:r>
          </w:p>
        </w:tc>
        <w:tc>
          <w:tcPr>
            <w:tcW w:w="226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289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7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w:t>
            </w:r>
          </w:p>
        </w:tc>
        <w:tc>
          <w:tcPr>
            <w:tcW w:w="2295" w:type="dxa"/>
            <w:gridSpan w:val="3"/>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群益</w:t>
            </w:r>
          </w:p>
        </w:tc>
        <w:tc>
          <w:tcPr>
            <w:tcW w:w="226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289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bl>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bl>
      <w:tblPr>
        <w:tblStyle w:val="57"/>
        <w:tblW w:w="9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52"/>
        <w:gridCol w:w="2520"/>
        <w:gridCol w:w="1875"/>
        <w:gridCol w:w="1335"/>
        <w:gridCol w:w="207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52" w:type="dxa"/>
            <w:gridSpan w:val="5"/>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32"/>
                <w:szCs w:val="32"/>
                <w:highlight w:val="none"/>
                <w:u w:val="none"/>
                <w:lang w:val="en-US" w:eastAsia="zh-CN" w:bidi="ar"/>
              </w:rPr>
              <w:t>堤防普查清单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trPr>
        <w:tc>
          <w:tcPr>
            <w:tcW w:w="1452" w:type="dxa"/>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2520" w:type="dxa"/>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工程名称</w:t>
            </w:r>
          </w:p>
        </w:tc>
        <w:tc>
          <w:tcPr>
            <w:tcW w:w="1875" w:type="dxa"/>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长度（km）</w:t>
            </w:r>
          </w:p>
        </w:tc>
        <w:tc>
          <w:tcPr>
            <w:tcW w:w="1335" w:type="dxa"/>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级别</w:t>
            </w:r>
          </w:p>
        </w:tc>
        <w:tc>
          <w:tcPr>
            <w:tcW w:w="2070" w:type="dxa"/>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澴河左堤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（17+144-36+944）</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19.8</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澴河右堤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（0+000-27+822）</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27.822</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童家湖堤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（0+000-7+000）</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幸福垸堤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（0+000-4+917）</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4.917</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府河左堤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（18+200-20+000）</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府河右堤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 14+450、</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3+210— 18+630）</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29.87</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沦左堤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（0+000-12+550）</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12.55</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澴河左堤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 17+144）</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17.144</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澴河左堤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（0+000—6+176）</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6.176</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府澴河左堤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 17+376）</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17.376</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府澴河左堤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（0+000－0+956、</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0+000—3+290）</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4.246</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府澴河右堤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（1+580—3+210）</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1.63</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野猪湖北堤</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野猪湖南堤</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4.2</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王母湖西汊堤</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4.1</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大教湖堤</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陈家河左堤</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6.5</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陈家河右堤</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6.3</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滚子河右堤</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滚子河左堤</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15.27</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界河祝站段</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女儿港左堤</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23</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女儿港右堤</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24</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杨店河左堤</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6.5</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杨店河右堤</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6.5</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复兴河左堤</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复兴河右堤</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6.6</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黄家寨河左堤</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黄家寨河右堤</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老澴河左堤</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老澴河右堤</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邓家河左堤</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452"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w:t>
            </w:r>
          </w:p>
        </w:tc>
        <w:tc>
          <w:tcPr>
            <w:tcW w:w="25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邓家河右堤</w:t>
            </w:r>
          </w:p>
        </w:tc>
        <w:tc>
          <w:tcPr>
            <w:tcW w:w="187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133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207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bl>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bl>
      <w:tblPr>
        <w:tblStyle w:val="57"/>
        <w:tblW w:w="9255" w:type="dxa"/>
        <w:tblInd w:w="-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55"/>
        <w:gridCol w:w="2715"/>
        <w:gridCol w:w="1710"/>
        <w:gridCol w:w="1320"/>
        <w:gridCol w:w="1995"/>
        <w:gridCol w:w="6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6" w:hRule="atLeast"/>
        </w:trPr>
        <w:tc>
          <w:tcPr>
            <w:tcW w:w="9255" w:type="dxa"/>
            <w:gridSpan w:val="6"/>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32"/>
                <w:szCs w:val="32"/>
                <w:highlight w:val="none"/>
                <w:u w:val="none"/>
                <w:lang w:val="en-US" w:eastAsia="zh-CN" w:bidi="ar"/>
              </w:rPr>
              <w:t>灌区高填方渠道普查清单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 w:hRule="atLeast"/>
        </w:trPr>
        <w:tc>
          <w:tcPr>
            <w:tcW w:w="1455" w:type="dxa"/>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2715" w:type="dxa"/>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灌区名称</w:t>
            </w:r>
          </w:p>
        </w:tc>
        <w:tc>
          <w:tcPr>
            <w:tcW w:w="1710" w:type="dxa"/>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渠道名称</w:t>
            </w:r>
          </w:p>
        </w:tc>
        <w:tc>
          <w:tcPr>
            <w:tcW w:w="1320" w:type="dxa"/>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渠道长度</w:t>
            </w:r>
          </w:p>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（km）</w:t>
            </w:r>
          </w:p>
        </w:tc>
        <w:tc>
          <w:tcPr>
            <w:tcW w:w="2055" w:type="dxa"/>
            <w:gridSpan w:val="2"/>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145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271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环东灌区田家岗</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片灌区</w:t>
            </w:r>
          </w:p>
        </w:tc>
        <w:tc>
          <w:tcPr>
            <w:tcW w:w="171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干渠</w:t>
            </w:r>
          </w:p>
        </w:tc>
        <w:tc>
          <w:tcPr>
            <w:tcW w:w="13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205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145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271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环东灌区石塔寺</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片灌区</w:t>
            </w:r>
          </w:p>
        </w:tc>
        <w:tc>
          <w:tcPr>
            <w:tcW w:w="171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主干渠</w:t>
            </w:r>
          </w:p>
        </w:tc>
        <w:tc>
          <w:tcPr>
            <w:tcW w:w="13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205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145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271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环东灌区三元宫</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片灌区</w:t>
            </w:r>
          </w:p>
        </w:tc>
        <w:tc>
          <w:tcPr>
            <w:tcW w:w="171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主干渠</w:t>
            </w:r>
          </w:p>
        </w:tc>
        <w:tc>
          <w:tcPr>
            <w:tcW w:w="13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205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145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2715" w:type="dxa"/>
            <w:tcBorders>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环东灌区盛家湾</w:t>
            </w:r>
          </w:p>
        </w:tc>
        <w:tc>
          <w:tcPr>
            <w:tcW w:w="171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一站渠系</w:t>
            </w:r>
          </w:p>
        </w:tc>
        <w:tc>
          <w:tcPr>
            <w:tcW w:w="13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w:t>
            </w:r>
          </w:p>
        </w:tc>
        <w:tc>
          <w:tcPr>
            <w:tcW w:w="205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0" w:type="dxa"/>
          <w:trHeight w:val="474" w:hRule="atLeast"/>
        </w:trPr>
        <w:tc>
          <w:tcPr>
            <w:tcW w:w="145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2715" w:type="dxa"/>
            <w:tcBorders>
              <w:top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片灌区</w:t>
            </w:r>
          </w:p>
        </w:tc>
        <w:tc>
          <w:tcPr>
            <w:tcW w:w="171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二站渠系</w:t>
            </w:r>
          </w:p>
        </w:tc>
        <w:tc>
          <w:tcPr>
            <w:tcW w:w="13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199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45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2715" w:type="dxa"/>
            <w:vMerge w:val="restart"/>
            <w:tcBorders>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环东灌区野猪湖</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片灌区</w:t>
            </w:r>
          </w:p>
        </w:tc>
        <w:tc>
          <w:tcPr>
            <w:tcW w:w="171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一站主干渠</w:t>
            </w:r>
          </w:p>
        </w:tc>
        <w:tc>
          <w:tcPr>
            <w:tcW w:w="13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205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45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2715" w:type="dxa"/>
            <w:vMerge w:val="continue"/>
            <w:tcBorders>
              <w:top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71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二站东干渠</w:t>
            </w:r>
          </w:p>
        </w:tc>
        <w:tc>
          <w:tcPr>
            <w:tcW w:w="13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205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0" w:type="dxa"/>
          <w:trHeight w:val="737" w:hRule="atLeast"/>
        </w:trPr>
        <w:tc>
          <w:tcPr>
            <w:tcW w:w="145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271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环东灌区周家山</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片灌区</w:t>
            </w:r>
          </w:p>
        </w:tc>
        <w:tc>
          <w:tcPr>
            <w:tcW w:w="171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干渠</w:t>
            </w:r>
          </w:p>
        </w:tc>
        <w:tc>
          <w:tcPr>
            <w:tcW w:w="13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0.25</w:t>
            </w:r>
          </w:p>
        </w:tc>
        <w:tc>
          <w:tcPr>
            <w:tcW w:w="199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0" w:type="dxa"/>
          <w:trHeight w:val="737" w:hRule="atLeast"/>
        </w:trPr>
        <w:tc>
          <w:tcPr>
            <w:tcW w:w="145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271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北水堤灌区</w:t>
            </w:r>
          </w:p>
        </w:tc>
        <w:tc>
          <w:tcPr>
            <w:tcW w:w="171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一站主干渠</w:t>
            </w:r>
          </w:p>
        </w:tc>
        <w:tc>
          <w:tcPr>
            <w:tcW w:w="1320"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0.27</w:t>
            </w:r>
          </w:p>
        </w:tc>
        <w:tc>
          <w:tcPr>
            <w:tcW w:w="199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r>
    </w:tbl>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highlight w:val="none"/>
          <w:u w:val="none"/>
          <w:lang w:val="en-US" w:eastAsia="zh-CN" w:bidi="ar"/>
        </w:rPr>
      </w:pPr>
      <w:r>
        <w:rPr>
          <w:rFonts w:hint="eastAsia" w:ascii="宋体" w:hAnsi="宋体" w:eastAsia="宋体" w:cs="宋体"/>
          <w:b/>
          <w:bCs/>
          <w:i w:val="0"/>
          <w:iCs w:val="0"/>
          <w:color w:val="000000"/>
          <w:kern w:val="0"/>
          <w:sz w:val="32"/>
          <w:szCs w:val="32"/>
          <w:highlight w:val="none"/>
          <w:u w:val="none"/>
          <w:lang w:val="en-US" w:eastAsia="zh-CN" w:bidi="ar"/>
        </w:rPr>
        <w:t>（二）防治清单</w:t>
      </w:r>
    </w:p>
    <w:tbl>
      <w:tblPr>
        <w:tblStyle w:val="57"/>
        <w:tblW w:w="91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2"/>
        <w:gridCol w:w="1425"/>
        <w:gridCol w:w="1275"/>
        <w:gridCol w:w="1635"/>
        <w:gridCol w:w="1785"/>
        <w:gridCol w:w="208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9147" w:type="dxa"/>
            <w:gridSpan w:val="6"/>
            <w:tcBorders>
              <w:bottom w:val="nil"/>
            </w:tcBorders>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highlight w:val="none"/>
                <w:u w:val="none"/>
                <w:lang w:val="en-US" w:eastAsia="zh-CN" w:bidi="ar"/>
              </w:rPr>
            </w:pPr>
            <w:r>
              <w:rPr>
                <w:rFonts w:hint="eastAsia" w:ascii="宋体" w:hAnsi="宋体" w:eastAsia="宋体" w:cs="宋体"/>
                <w:b/>
                <w:bCs/>
                <w:i w:val="0"/>
                <w:iCs w:val="0"/>
                <w:color w:val="000000"/>
                <w:kern w:val="0"/>
                <w:sz w:val="32"/>
                <w:szCs w:val="32"/>
                <w:highlight w:val="none"/>
                <w:u w:val="none"/>
                <w:lang w:val="en-US" w:eastAsia="zh-CN" w:bidi="ar"/>
              </w:rPr>
              <w:t>堤防防治清单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942" w:type="dxa"/>
            <w:tcBorders>
              <w:bottom w:val="nil"/>
            </w:tcBorders>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1425" w:type="dxa"/>
            <w:tcBorders>
              <w:bottom w:val="nil"/>
            </w:tcBorders>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堤防名称</w:t>
            </w:r>
          </w:p>
        </w:tc>
        <w:tc>
          <w:tcPr>
            <w:tcW w:w="1275" w:type="dxa"/>
            <w:tcBorders>
              <w:bottom w:val="nil"/>
            </w:tcBorders>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桩号起止</w:t>
            </w:r>
          </w:p>
        </w:tc>
        <w:tc>
          <w:tcPr>
            <w:tcW w:w="1635" w:type="dxa"/>
            <w:tcBorders>
              <w:bottom w:val="nil"/>
            </w:tcBorders>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工程量</w:t>
            </w:r>
          </w:p>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（km）</w:t>
            </w:r>
          </w:p>
        </w:tc>
        <w:tc>
          <w:tcPr>
            <w:tcW w:w="1785" w:type="dxa"/>
            <w:tcBorders>
              <w:bottom w:val="nil"/>
            </w:tcBorders>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治理方法</w:t>
            </w:r>
          </w:p>
        </w:tc>
        <w:tc>
          <w:tcPr>
            <w:tcW w:w="2085" w:type="dxa"/>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治理内容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942" w:type="dxa"/>
            <w:vMerge w:val="restart"/>
            <w:tcBorders>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425" w:type="dxa"/>
            <w:vMerge w:val="restart"/>
            <w:tcBorders>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府澴河左</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堤</w:t>
            </w:r>
          </w:p>
        </w:tc>
        <w:tc>
          <w:tcPr>
            <w:tcW w:w="1275" w:type="dxa"/>
            <w:vMerge w:val="restart"/>
            <w:tcBorders>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0+000-17+376</w:t>
            </w:r>
          </w:p>
        </w:tc>
        <w:tc>
          <w:tcPr>
            <w:tcW w:w="1635" w:type="dxa"/>
            <w:vMerge w:val="restart"/>
            <w:tcBorders>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17.376</w:t>
            </w:r>
          </w:p>
        </w:tc>
        <w:tc>
          <w:tcPr>
            <w:tcW w:w="1785" w:type="dxa"/>
            <w:vMerge w:val="restart"/>
            <w:tcBorders>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打孔灌药、投</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放诱杀包、设</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置监测点</w:t>
            </w:r>
          </w:p>
        </w:tc>
        <w:tc>
          <w:tcPr>
            <w:tcW w:w="208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打孔灌药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942" w:type="dxa"/>
            <w:vMerge w:val="continue"/>
            <w:tcBorders>
              <w:top w:val="nil"/>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425" w:type="dxa"/>
            <w:vMerge w:val="continue"/>
            <w:tcBorders>
              <w:top w:val="nil"/>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75" w:type="dxa"/>
            <w:vMerge w:val="continue"/>
            <w:tcBorders>
              <w:top w:val="nil"/>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635" w:type="dxa"/>
            <w:vMerge w:val="continue"/>
            <w:tcBorders>
              <w:top w:val="nil"/>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785" w:type="dxa"/>
            <w:vMerge w:val="continue"/>
            <w:tcBorders>
              <w:top w:val="nil"/>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08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设置诱杀包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942" w:type="dxa"/>
            <w:vMerge w:val="continue"/>
            <w:tcBorders>
              <w:top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425" w:type="dxa"/>
            <w:vMerge w:val="continue"/>
            <w:tcBorders>
              <w:top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75" w:type="dxa"/>
            <w:vMerge w:val="continue"/>
            <w:tcBorders>
              <w:top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635" w:type="dxa"/>
            <w:vMerge w:val="continue"/>
            <w:tcBorders>
              <w:top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785" w:type="dxa"/>
            <w:vMerge w:val="continue"/>
            <w:tcBorders>
              <w:top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08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设置监测点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942" w:type="dxa"/>
            <w:vMerge w:val="restart"/>
            <w:tcBorders>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425" w:type="dxa"/>
            <w:vMerge w:val="restart"/>
            <w:tcBorders>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府澴河左</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堤</w:t>
            </w:r>
          </w:p>
        </w:tc>
        <w:tc>
          <w:tcPr>
            <w:tcW w:w="1275" w:type="dxa"/>
            <w:vMerge w:val="restart"/>
            <w:tcBorders>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18+200-20+000</w:t>
            </w:r>
          </w:p>
        </w:tc>
        <w:tc>
          <w:tcPr>
            <w:tcW w:w="1635" w:type="dxa"/>
            <w:vMerge w:val="restart"/>
            <w:tcBorders>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w:t>
            </w:r>
          </w:p>
        </w:tc>
        <w:tc>
          <w:tcPr>
            <w:tcW w:w="1785" w:type="dxa"/>
            <w:vMerge w:val="restart"/>
            <w:tcBorders>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打孔灌药、投</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放诱杀包、设</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置监测点</w:t>
            </w:r>
          </w:p>
        </w:tc>
        <w:tc>
          <w:tcPr>
            <w:tcW w:w="208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打孔灌药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942" w:type="dxa"/>
            <w:vMerge w:val="continue"/>
            <w:tcBorders>
              <w:top w:val="nil"/>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425" w:type="dxa"/>
            <w:vMerge w:val="continue"/>
            <w:tcBorders>
              <w:top w:val="nil"/>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75" w:type="dxa"/>
            <w:vMerge w:val="continue"/>
            <w:tcBorders>
              <w:top w:val="nil"/>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635" w:type="dxa"/>
            <w:vMerge w:val="continue"/>
            <w:tcBorders>
              <w:top w:val="nil"/>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785" w:type="dxa"/>
            <w:vMerge w:val="continue"/>
            <w:tcBorders>
              <w:top w:val="nil"/>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08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设置诱杀包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942" w:type="dxa"/>
            <w:vMerge w:val="continue"/>
            <w:tcBorders>
              <w:top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425" w:type="dxa"/>
            <w:vMerge w:val="continue"/>
            <w:tcBorders>
              <w:top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75" w:type="dxa"/>
            <w:vMerge w:val="continue"/>
            <w:tcBorders>
              <w:top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635" w:type="dxa"/>
            <w:vMerge w:val="continue"/>
            <w:tcBorders>
              <w:top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785" w:type="dxa"/>
            <w:vMerge w:val="continue"/>
            <w:tcBorders>
              <w:top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08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设置监测点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942" w:type="dxa"/>
            <w:vMerge w:val="restart"/>
            <w:tcBorders>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425" w:type="dxa"/>
            <w:vMerge w:val="restart"/>
            <w:tcBorders>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府澴河右</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堤</w:t>
            </w:r>
          </w:p>
        </w:tc>
        <w:tc>
          <w:tcPr>
            <w:tcW w:w="1275" w:type="dxa"/>
            <w:vMerge w:val="restart"/>
            <w:tcBorders>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14+000-16+400</w:t>
            </w:r>
          </w:p>
        </w:tc>
        <w:tc>
          <w:tcPr>
            <w:tcW w:w="1635" w:type="dxa"/>
            <w:vMerge w:val="restart"/>
            <w:tcBorders>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2.4</w:t>
            </w:r>
          </w:p>
        </w:tc>
        <w:tc>
          <w:tcPr>
            <w:tcW w:w="1785" w:type="dxa"/>
            <w:vMerge w:val="restart"/>
            <w:tcBorders>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打孔灌药、投</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放诱杀包、设</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置监测点</w:t>
            </w:r>
          </w:p>
        </w:tc>
        <w:tc>
          <w:tcPr>
            <w:tcW w:w="208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打孔灌药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942" w:type="dxa"/>
            <w:vMerge w:val="continue"/>
            <w:tcBorders>
              <w:top w:val="nil"/>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425" w:type="dxa"/>
            <w:vMerge w:val="continue"/>
            <w:tcBorders>
              <w:top w:val="nil"/>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75" w:type="dxa"/>
            <w:vMerge w:val="continue"/>
            <w:tcBorders>
              <w:top w:val="nil"/>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635" w:type="dxa"/>
            <w:vMerge w:val="continue"/>
            <w:tcBorders>
              <w:top w:val="nil"/>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785" w:type="dxa"/>
            <w:vMerge w:val="continue"/>
            <w:tcBorders>
              <w:top w:val="nil"/>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08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设置诱杀包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942" w:type="dxa"/>
            <w:vMerge w:val="continue"/>
            <w:tcBorders>
              <w:top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425" w:type="dxa"/>
            <w:vMerge w:val="continue"/>
            <w:tcBorders>
              <w:top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75" w:type="dxa"/>
            <w:vMerge w:val="continue"/>
            <w:tcBorders>
              <w:top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635" w:type="dxa"/>
            <w:vMerge w:val="continue"/>
            <w:tcBorders>
              <w:top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785" w:type="dxa"/>
            <w:vMerge w:val="continue"/>
            <w:tcBorders>
              <w:top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085"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设置监测点</w:t>
            </w:r>
          </w:p>
        </w:tc>
      </w:tr>
    </w:tbl>
    <w:p>
      <w:pPr>
        <w:pStyle w:val="11"/>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textAlignment w:val="auto"/>
        <w:rPr>
          <w:rFonts w:hint="eastAsia" w:ascii="宋体" w:hAnsi="宋体" w:eastAsia="宋体" w:cs="宋体"/>
          <w:spacing w:val="-5"/>
          <w:sz w:val="21"/>
          <w:szCs w:val="21"/>
          <w:highlight w:val="none"/>
          <w:lang w:eastAsia="zh-CN"/>
        </w:rPr>
      </w:pPr>
    </w:p>
    <w:p>
      <w:pPr>
        <w:keepNext w:val="0"/>
        <w:keepLines w:val="0"/>
        <w:widowControl/>
        <w:suppressLineNumbers w:val="0"/>
        <w:jc w:val="left"/>
        <w:rPr>
          <w:rFonts w:hint="eastAsia" w:ascii="宋体" w:hAnsi="宋体" w:eastAsia="宋体" w:cs="宋体"/>
          <w:b/>
          <w:bCs/>
          <w:color w:val="000000"/>
          <w:kern w:val="0"/>
          <w:sz w:val="24"/>
          <w:szCs w:val="24"/>
          <w:highlight w:val="none"/>
          <w:lang w:val="en-US" w:eastAsia="zh-CN" w:bidi="ar"/>
        </w:rPr>
      </w:pPr>
      <w:bookmarkStart w:id="231" w:name="_Toc5527"/>
      <w:bookmarkStart w:id="232" w:name="_Toc2147"/>
      <w:bookmarkStart w:id="233" w:name="_Toc28770"/>
      <w:r>
        <w:rPr>
          <w:rStyle w:val="41"/>
          <w:rFonts w:hint="eastAsia"/>
          <w:b/>
          <w:bCs/>
          <w:highlight w:val="none"/>
          <w:lang w:eastAsia="zh-CN"/>
        </w:rPr>
        <w:t>三、</w:t>
      </w:r>
      <w:bookmarkEnd w:id="231"/>
      <w:bookmarkEnd w:id="232"/>
      <w:bookmarkEnd w:id="233"/>
      <w:r>
        <w:rPr>
          <w:rStyle w:val="41"/>
          <w:rFonts w:hint="eastAsia"/>
          <w:b/>
          <w:bCs/>
          <w:highlight w:val="none"/>
          <w:lang w:val="en-US" w:eastAsia="zh-CN"/>
        </w:rPr>
        <w:t>服务要求：</w:t>
      </w:r>
      <w:r>
        <w:rPr>
          <w:rFonts w:hint="eastAsia" w:ascii="宋体" w:hAnsi="宋体" w:eastAsia="宋体" w:cs="宋体"/>
          <w:b/>
          <w:bCs/>
          <w:color w:val="000000"/>
          <w:kern w:val="0"/>
          <w:sz w:val="24"/>
          <w:szCs w:val="24"/>
          <w:highlight w:val="none"/>
          <w:lang w:val="en-US" w:eastAsia="zh-CN" w:bidi="ar"/>
        </w:rPr>
        <w:t xml:space="preserve"> </w:t>
      </w:r>
    </w:p>
    <w:p>
      <w:pPr>
        <w:keepNext w:val="0"/>
        <w:keepLines w:val="0"/>
        <w:pageBreakBefore w:val="0"/>
        <w:widowControl w:val="0"/>
        <w:numPr>
          <w:ilvl w:val="0"/>
          <w:numId w:val="0"/>
        </w:numPr>
        <w:kinsoku/>
        <w:wordWrap/>
        <w:overflowPunct/>
        <w:topLinePunct w:val="0"/>
        <w:autoSpaceDE/>
        <w:autoSpaceDN/>
        <w:bidi w:val="0"/>
        <w:spacing w:line="360" w:lineRule="auto"/>
        <w:ind w:firstLine="400" w:firstLineChars="200"/>
        <w:textAlignment w:val="auto"/>
        <w:rPr>
          <w:rFonts w:hint="eastAsia" w:ascii="宋体" w:hAnsi="宋体" w:eastAsia="宋体" w:cs="宋体"/>
          <w:spacing w:val="-5"/>
          <w:sz w:val="21"/>
          <w:szCs w:val="21"/>
          <w:highlight w:val="none"/>
          <w:lang w:val="en-US" w:eastAsia="zh-CN"/>
        </w:rPr>
      </w:pPr>
      <w:r>
        <w:rPr>
          <w:rFonts w:hint="eastAsia" w:ascii="宋体" w:hAnsi="宋体" w:eastAsia="宋体" w:cs="宋体"/>
          <w:spacing w:val="-5"/>
          <w:sz w:val="21"/>
          <w:szCs w:val="21"/>
          <w:highlight w:val="none"/>
          <w:lang w:val="en-US" w:eastAsia="zh-CN"/>
        </w:rPr>
        <w:t>1、按照《水利工程白蚁防治标准DB42/T768-2011》对项目范围普查和基础性药物防治次数不低于2次，并对普查和药物防治形成书面报告提供</w:t>
      </w:r>
      <w:r>
        <w:rPr>
          <w:rFonts w:hint="eastAsia" w:ascii="宋体" w:hAnsi="宋体" w:cs="宋体"/>
          <w:spacing w:val="-5"/>
          <w:sz w:val="21"/>
          <w:szCs w:val="21"/>
          <w:highlight w:val="none"/>
          <w:lang w:val="en-US" w:eastAsia="zh-CN"/>
        </w:rPr>
        <w:t>采购人</w:t>
      </w:r>
      <w:r>
        <w:rPr>
          <w:rFonts w:hint="eastAsia" w:ascii="宋体" w:hAnsi="宋体" w:eastAsia="宋体" w:cs="宋体"/>
          <w:spacing w:val="-5"/>
          <w:sz w:val="21"/>
          <w:szCs w:val="21"/>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spacing w:line="360" w:lineRule="auto"/>
        <w:ind w:firstLine="400" w:firstLineChars="200"/>
        <w:textAlignment w:val="auto"/>
        <w:rPr>
          <w:rFonts w:hint="eastAsia" w:ascii="宋体" w:hAnsi="宋体" w:eastAsia="宋体" w:cs="宋体"/>
          <w:spacing w:val="-5"/>
          <w:sz w:val="21"/>
          <w:szCs w:val="21"/>
          <w:highlight w:val="none"/>
          <w:lang w:val="en-US" w:eastAsia="zh-CN"/>
        </w:rPr>
      </w:pPr>
      <w:r>
        <w:rPr>
          <w:rFonts w:hint="eastAsia" w:ascii="宋体" w:hAnsi="宋体" w:cs="宋体"/>
          <w:spacing w:val="-5"/>
          <w:sz w:val="21"/>
          <w:szCs w:val="21"/>
          <w:highlight w:val="none"/>
          <w:lang w:val="en-US" w:eastAsia="zh-CN"/>
        </w:rPr>
        <w:t>2、</w:t>
      </w:r>
      <w:r>
        <w:rPr>
          <w:rFonts w:hint="eastAsia" w:ascii="宋体" w:hAnsi="宋体" w:eastAsia="宋体" w:cs="宋体"/>
          <w:spacing w:val="-5"/>
          <w:sz w:val="21"/>
          <w:szCs w:val="21"/>
          <w:highlight w:val="none"/>
          <w:lang w:val="en-US" w:eastAsia="zh-CN"/>
        </w:rPr>
        <w:t xml:space="preserve">日常管理工作中，现场管理人员如发现蚁害的，24小时内安排人员进行消杀防治。 </w:t>
      </w:r>
    </w:p>
    <w:p>
      <w:pPr>
        <w:keepNext w:val="0"/>
        <w:keepLines w:val="0"/>
        <w:pageBreakBefore w:val="0"/>
        <w:widowControl w:val="0"/>
        <w:numPr>
          <w:ilvl w:val="0"/>
          <w:numId w:val="0"/>
        </w:numPr>
        <w:kinsoku/>
        <w:wordWrap/>
        <w:overflowPunct/>
        <w:topLinePunct w:val="0"/>
        <w:autoSpaceDE/>
        <w:autoSpaceDN/>
        <w:bidi w:val="0"/>
        <w:spacing w:line="360" w:lineRule="auto"/>
        <w:ind w:firstLine="400" w:firstLineChars="200"/>
        <w:textAlignment w:val="auto"/>
        <w:rPr>
          <w:rFonts w:hint="eastAsia" w:ascii="宋体" w:hAnsi="宋体" w:eastAsia="宋体" w:cs="宋体"/>
          <w:spacing w:val="-5"/>
          <w:sz w:val="21"/>
          <w:szCs w:val="21"/>
          <w:highlight w:val="none"/>
          <w:lang w:val="en-US" w:eastAsia="zh-CN"/>
        </w:rPr>
      </w:pPr>
      <w:r>
        <w:rPr>
          <w:rFonts w:hint="eastAsia" w:ascii="宋体" w:hAnsi="宋体" w:cs="宋体"/>
          <w:spacing w:val="-5"/>
          <w:sz w:val="21"/>
          <w:szCs w:val="21"/>
          <w:highlight w:val="none"/>
          <w:lang w:val="en-US" w:eastAsia="zh-CN"/>
        </w:rPr>
        <w:t>3</w:t>
      </w:r>
      <w:r>
        <w:rPr>
          <w:rFonts w:hint="eastAsia" w:ascii="宋体" w:hAnsi="宋体" w:eastAsia="宋体" w:cs="宋体"/>
          <w:spacing w:val="-5"/>
          <w:sz w:val="21"/>
          <w:szCs w:val="21"/>
          <w:highlight w:val="none"/>
          <w:lang w:val="en-US" w:eastAsia="zh-CN"/>
        </w:rPr>
        <w:t xml:space="preserve">、成交供应商在防治过程中必须严格执行技术方案、安全文明施工、做好环境保护，不乱洒、乱喷药剂，做好各项巡检质量登记归档。 </w:t>
      </w:r>
    </w:p>
    <w:p>
      <w:pPr>
        <w:keepNext w:val="0"/>
        <w:keepLines w:val="0"/>
        <w:pageBreakBefore w:val="0"/>
        <w:widowControl w:val="0"/>
        <w:numPr>
          <w:ilvl w:val="0"/>
          <w:numId w:val="0"/>
        </w:numPr>
        <w:kinsoku/>
        <w:wordWrap/>
        <w:overflowPunct/>
        <w:topLinePunct w:val="0"/>
        <w:autoSpaceDE/>
        <w:autoSpaceDN/>
        <w:bidi w:val="0"/>
        <w:spacing w:line="360" w:lineRule="auto"/>
        <w:ind w:firstLine="400" w:firstLineChars="200"/>
        <w:textAlignment w:val="auto"/>
        <w:rPr>
          <w:rFonts w:hint="eastAsia" w:ascii="宋体" w:hAnsi="宋体" w:eastAsia="宋体" w:cs="宋体"/>
          <w:spacing w:val="-5"/>
          <w:sz w:val="21"/>
          <w:szCs w:val="21"/>
          <w:highlight w:val="none"/>
          <w:lang w:val="en-US" w:eastAsia="zh-CN"/>
        </w:rPr>
      </w:pPr>
      <w:r>
        <w:rPr>
          <w:rFonts w:hint="eastAsia" w:ascii="宋体" w:hAnsi="宋体" w:cs="宋体"/>
          <w:spacing w:val="-5"/>
          <w:sz w:val="21"/>
          <w:szCs w:val="21"/>
          <w:highlight w:val="none"/>
          <w:lang w:val="en-US" w:eastAsia="zh-CN"/>
        </w:rPr>
        <w:t>4</w:t>
      </w:r>
      <w:r>
        <w:rPr>
          <w:rFonts w:hint="eastAsia" w:ascii="宋体" w:hAnsi="宋体" w:eastAsia="宋体" w:cs="宋体"/>
          <w:spacing w:val="-5"/>
          <w:sz w:val="21"/>
          <w:szCs w:val="21"/>
          <w:highlight w:val="none"/>
          <w:lang w:val="en-US" w:eastAsia="zh-CN"/>
        </w:rPr>
        <w:t xml:space="preserve">、成交供应商工作人员在作业期间，发生自身的人身伤害、伤亡及违反国家相关法律法规的行为均由成交供应商负责，采购人不承担任何责任。 </w:t>
      </w:r>
    </w:p>
    <w:p>
      <w:pPr>
        <w:keepNext w:val="0"/>
        <w:keepLines w:val="0"/>
        <w:pageBreakBefore w:val="0"/>
        <w:widowControl w:val="0"/>
        <w:numPr>
          <w:ilvl w:val="0"/>
          <w:numId w:val="0"/>
        </w:numPr>
        <w:kinsoku/>
        <w:wordWrap/>
        <w:overflowPunct/>
        <w:topLinePunct w:val="0"/>
        <w:autoSpaceDE/>
        <w:autoSpaceDN/>
        <w:bidi w:val="0"/>
        <w:spacing w:line="360" w:lineRule="auto"/>
        <w:ind w:firstLine="400" w:firstLineChars="200"/>
        <w:textAlignment w:val="auto"/>
        <w:rPr>
          <w:rFonts w:hint="eastAsia" w:ascii="宋体" w:hAnsi="宋体" w:eastAsia="宋体" w:cs="宋体"/>
          <w:spacing w:val="-5"/>
          <w:sz w:val="21"/>
          <w:szCs w:val="21"/>
          <w:highlight w:val="none"/>
          <w:lang w:val="en-US" w:eastAsia="zh-CN"/>
        </w:rPr>
      </w:pPr>
      <w:r>
        <w:rPr>
          <w:rFonts w:hint="eastAsia" w:ascii="宋体" w:hAnsi="宋体" w:cs="宋体"/>
          <w:spacing w:val="-5"/>
          <w:sz w:val="21"/>
          <w:szCs w:val="21"/>
          <w:highlight w:val="none"/>
          <w:lang w:val="en-US" w:eastAsia="zh-CN"/>
        </w:rPr>
        <w:t>5</w:t>
      </w:r>
      <w:r>
        <w:rPr>
          <w:rFonts w:hint="eastAsia" w:ascii="宋体" w:hAnsi="宋体" w:eastAsia="宋体" w:cs="宋体"/>
          <w:spacing w:val="-5"/>
          <w:sz w:val="21"/>
          <w:szCs w:val="21"/>
          <w:highlight w:val="none"/>
          <w:lang w:val="en-US" w:eastAsia="zh-CN"/>
        </w:rPr>
        <w:t xml:space="preserve">、防治药物要求：应当使用经国家有关部门批准生产的药剂，严禁使用国家命令禁止的药品。成交供应商在实施白蚁防治施药期间，应通知采购人到现场对灭治白蚁的药剂进行检查及登记。 </w:t>
      </w:r>
    </w:p>
    <w:p>
      <w:pPr>
        <w:keepNext w:val="0"/>
        <w:keepLines w:val="0"/>
        <w:pageBreakBefore w:val="0"/>
        <w:widowControl w:val="0"/>
        <w:numPr>
          <w:ilvl w:val="0"/>
          <w:numId w:val="0"/>
        </w:numPr>
        <w:kinsoku/>
        <w:wordWrap/>
        <w:overflowPunct/>
        <w:topLinePunct w:val="0"/>
        <w:autoSpaceDE/>
        <w:autoSpaceDN/>
        <w:bidi w:val="0"/>
        <w:spacing w:line="360" w:lineRule="auto"/>
        <w:ind w:firstLine="400" w:firstLineChars="200"/>
        <w:textAlignment w:val="auto"/>
        <w:rPr>
          <w:rFonts w:hint="eastAsia" w:ascii="宋体" w:hAnsi="宋体" w:eastAsia="宋体" w:cs="宋体"/>
          <w:spacing w:val="-5"/>
          <w:sz w:val="21"/>
          <w:szCs w:val="21"/>
          <w:highlight w:val="none"/>
          <w:lang w:val="en-US" w:eastAsia="zh-CN"/>
        </w:rPr>
      </w:pPr>
      <w:r>
        <w:rPr>
          <w:rFonts w:hint="eastAsia" w:ascii="宋体" w:hAnsi="宋体" w:cs="宋体"/>
          <w:spacing w:val="-5"/>
          <w:sz w:val="21"/>
          <w:szCs w:val="21"/>
          <w:highlight w:val="none"/>
          <w:lang w:val="en-US" w:eastAsia="zh-CN"/>
        </w:rPr>
        <w:t>6</w:t>
      </w:r>
      <w:r>
        <w:rPr>
          <w:rFonts w:hint="eastAsia" w:ascii="宋体" w:hAnsi="宋体" w:eastAsia="宋体" w:cs="宋体"/>
          <w:spacing w:val="-5"/>
          <w:sz w:val="21"/>
          <w:szCs w:val="21"/>
          <w:highlight w:val="none"/>
          <w:lang w:val="en-US" w:eastAsia="zh-CN"/>
        </w:rPr>
        <w:t xml:space="preserve">、若是在防治有效期限内出现严重的、明显的蚁害，采购人限期要求整改而逾期未整改的或整改不见效果，导致采购人经济损失的，成交供应商应承担赔偿责任。 </w:t>
      </w:r>
    </w:p>
    <w:p>
      <w:pPr>
        <w:keepNext w:val="0"/>
        <w:keepLines w:val="0"/>
        <w:pageBreakBefore w:val="0"/>
        <w:widowControl w:val="0"/>
        <w:numPr>
          <w:ilvl w:val="0"/>
          <w:numId w:val="0"/>
        </w:numPr>
        <w:kinsoku/>
        <w:wordWrap/>
        <w:overflowPunct/>
        <w:topLinePunct w:val="0"/>
        <w:autoSpaceDE/>
        <w:autoSpaceDN/>
        <w:bidi w:val="0"/>
        <w:spacing w:line="360" w:lineRule="auto"/>
        <w:ind w:firstLine="400" w:firstLineChars="200"/>
        <w:textAlignment w:val="auto"/>
        <w:rPr>
          <w:highlight w:val="none"/>
        </w:rPr>
      </w:pPr>
      <w:r>
        <w:rPr>
          <w:rFonts w:hint="eastAsia" w:ascii="宋体" w:hAnsi="宋体" w:cs="宋体"/>
          <w:spacing w:val="-5"/>
          <w:sz w:val="21"/>
          <w:szCs w:val="21"/>
          <w:highlight w:val="none"/>
          <w:lang w:val="en-US" w:eastAsia="zh-CN"/>
        </w:rPr>
        <w:t>7</w:t>
      </w:r>
      <w:r>
        <w:rPr>
          <w:rFonts w:hint="eastAsia" w:ascii="宋体" w:hAnsi="宋体" w:eastAsia="宋体" w:cs="宋体"/>
          <w:spacing w:val="-5"/>
          <w:sz w:val="21"/>
          <w:szCs w:val="21"/>
          <w:highlight w:val="none"/>
          <w:lang w:val="en-US" w:eastAsia="zh-CN"/>
        </w:rPr>
        <w:t>、供应商应当建立白蚁防治处理验收、定期复查回访制度，做好验收、回访复查的情况记录、登记、归档工作。</w:t>
      </w:r>
      <w:r>
        <w:rPr>
          <w:rFonts w:hint="eastAsia" w:ascii="宋体" w:hAnsi="宋体" w:eastAsia="宋体" w:cs="宋体"/>
          <w:color w:val="000000"/>
          <w:kern w:val="0"/>
          <w:sz w:val="24"/>
          <w:szCs w:val="24"/>
          <w:highlight w:val="none"/>
          <w:lang w:val="en-US" w:eastAsia="zh-CN" w:bidi="ar"/>
        </w:rPr>
        <w:t xml:space="preserve"> </w:t>
      </w:r>
    </w:p>
    <w:p>
      <w:pPr>
        <w:pStyle w:val="3"/>
        <w:bidi w:val="0"/>
        <w:ind w:left="0" w:leftChars="0" w:firstLine="0" w:firstLineChars="0"/>
        <w:rPr>
          <w:highlight w:val="none"/>
        </w:rPr>
      </w:pPr>
      <w:r>
        <w:rPr>
          <w:rFonts w:hint="eastAsia"/>
          <w:b/>
          <w:bCs/>
          <w:highlight w:val="none"/>
          <w:lang w:val="en-US" w:eastAsia="zh-CN"/>
        </w:rPr>
        <w:t>四、验收标准：</w:t>
      </w:r>
      <w:r>
        <w:rPr>
          <w:rFonts w:hint="eastAsia"/>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spacing w:line="360" w:lineRule="auto"/>
        <w:ind w:firstLine="400" w:firstLineChars="200"/>
        <w:textAlignment w:val="auto"/>
        <w:rPr>
          <w:rFonts w:hint="eastAsia" w:ascii="宋体" w:hAnsi="宋体" w:eastAsia="宋体" w:cs="宋体"/>
          <w:spacing w:val="-5"/>
          <w:sz w:val="21"/>
          <w:szCs w:val="21"/>
          <w:highlight w:val="none"/>
          <w:lang w:val="en-US" w:eastAsia="zh-CN"/>
        </w:rPr>
      </w:pPr>
      <w:r>
        <w:rPr>
          <w:rFonts w:hint="eastAsia" w:ascii="宋体" w:hAnsi="宋体" w:eastAsia="宋体" w:cs="宋体"/>
          <w:spacing w:val="-5"/>
          <w:sz w:val="21"/>
          <w:szCs w:val="21"/>
          <w:highlight w:val="none"/>
          <w:lang w:val="en-US" w:eastAsia="zh-CN"/>
        </w:rPr>
        <w:t xml:space="preserve">1、蚁患区无成年巢白蚁活动迹象； </w:t>
      </w:r>
    </w:p>
    <w:p>
      <w:pPr>
        <w:keepNext w:val="0"/>
        <w:keepLines w:val="0"/>
        <w:pageBreakBefore w:val="0"/>
        <w:widowControl w:val="0"/>
        <w:numPr>
          <w:ilvl w:val="0"/>
          <w:numId w:val="0"/>
        </w:numPr>
        <w:kinsoku/>
        <w:wordWrap/>
        <w:overflowPunct/>
        <w:topLinePunct w:val="0"/>
        <w:autoSpaceDE/>
        <w:autoSpaceDN/>
        <w:bidi w:val="0"/>
        <w:spacing w:line="360" w:lineRule="auto"/>
        <w:ind w:firstLine="400" w:firstLineChars="200"/>
        <w:textAlignment w:val="auto"/>
        <w:rPr>
          <w:rFonts w:hint="eastAsia" w:ascii="宋体" w:hAnsi="宋体" w:eastAsia="宋体" w:cs="宋体"/>
          <w:spacing w:val="-5"/>
          <w:sz w:val="21"/>
          <w:szCs w:val="21"/>
          <w:highlight w:val="none"/>
          <w:lang w:val="en-US" w:eastAsia="zh-CN"/>
        </w:rPr>
      </w:pPr>
      <w:r>
        <w:rPr>
          <w:rFonts w:hint="eastAsia" w:ascii="宋体" w:hAnsi="宋体" w:eastAsia="宋体" w:cs="宋体"/>
          <w:spacing w:val="-5"/>
          <w:sz w:val="21"/>
          <w:szCs w:val="21"/>
          <w:highlight w:val="none"/>
          <w:lang w:val="en-US" w:eastAsia="zh-CN"/>
        </w:rPr>
        <w:t xml:space="preserve">2、白蚁危害程度为轻度危害及以下； </w:t>
      </w:r>
    </w:p>
    <w:p>
      <w:pPr>
        <w:keepNext w:val="0"/>
        <w:keepLines w:val="0"/>
        <w:pageBreakBefore w:val="0"/>
        <w:widowControl w:val="0"/>
        <w:numPr>
          <w:ilvl w:val="0"/>
          <w:numId w:val="0"/>
        </w:numPr>
        <w:kinsoku/>
        <w:wordWrap/>
        <w:overflowPunct/>
        <w:topLinePunct w:val="0"/>
        <w:autoSpaceDE/>
        <w:autoSpaceDN/>
        <w:bidi w:val="0"/>
        <w:spacing w:line="360" w:lineRule="auto"/>
        <w:ind w:firstLine="400" w:firstLineChars="200"/>
        <w:textAlignment w:val="auto"/>
        <w:rPr>
          <w:rFonts w:hint="eastAsia" w:ascii="宋体" w:hAnsi="宋体" w:eastAsia="宋体" w:cs="宋体"/>
          <w:spacing w:val="-5"/>
          <w:sz w:val="21"/>
          <w:szCs w:val="21"/>
          <w:highlight w:val="none"/>
          <w:lang w:val="en-US" w:eastAsia="zh-CN"/>
        </w:rPr>
      </w:pPr>
      <w:r>
        <w:rPr>
          <w:rFonts w:hint="eastAsia" w:ascii="宋体" w:hAnsi="宋体" w:eastAsia="宋体" w:cs="宋体"/>
          <w:spacing w:val="-5"/>
          <w:sz w:val="21"/>
          <w:szCs w:val="21"/>
          <w:highlight w:val="none"/>
          <w:lang w:val="en-US" w:eastAsia="zh-CN"/>
        </w:rPr>
        <w:t xml:space="preserve">3、蚁源区无成年巢白蚁活动迹象； </w:t>
      </w:r>
    </w:p>
    <w:p>
      <w:pPr>
        <w:keepNext w:val="0"/>
        <w:keepLines w:val="0"/>
        <w:pageBreakBefore w:val="0"/>
        <w:widowControl w:val="0"/>
        <w:numPr>
          <w:ilvl w:val="0"/>
          <w:numId w:val="0"/>
        </w:numPr>
        <w:kinsoku/>
        <w:wordWrap/>
        <w:overflowPunct/>
        <w:topLinePunct w:val="0"/>
        <w:autoSpaceDE/>
        <w:autoSpaceDN/>
        <w:bidi w:val="0"/>
        <w:spacing w:line="360" w:lineRule="auto"/>
        <w:ind w:firstLine="400" w:firstLineChars="200"/>
        <w:textAlignment w:val="auto"/>
        <w:rPr>
          <w:rFonts w:hint="eastAsia" w:ascii="宋体" w:hAnsi="宋体" w:eastAsia="宋体" w:cs="宋体"/>
          <w:spacing w:val="-5"/>
          <w:sz w:val="21"/>
          <w:szCs w:val="21"/>
          <w:highlight w:val="none"/>
          <w:lang w:val="en-US" w:eastAsia="zh-CN"/>
        </w:rPr>
      </w:pPr>
      <w:r>
        <w:rPr>
          <w:rFonts w:hint="eastAsia" w:ascii="宋体" w:hAnsi="宋体" w:eastAsia="宋体" w:cs="宋体"/>
          <w:spacing w:val="-5"/>
          <w:sz w:val="21"/>
          <w:szCs w:val="21"/>
          <w:highlight w:val="none"/>
          <w:lang w:val="en-US" w:eastAsia="zh-CN"/>
        </w:rPr>
        <w:t xml:space="preserve">4、验收前一个月，设置引诱桩、引诱堆或引诱坑，引诱发现率低于2%； </w:t>
      </w:r>
    </w:p>
    <w:p>
      <w:pPr>
        <w:keepNext w:val="0"/>
        <w:keepLines w:val="0"/>
        <w:pageBreakBefore w:val="0"/>
        <w:widowControl w:val="0"/>
        <w:numPr>
          <w:ilvl w:val="0"/>
          <w:numId w:val="0"/>
        </w:numPr>
        <w:kinsoku/>
        <w:wordWrap/>
        <w:overflowPunct/>
        <w:topLinePunct w:val="0"/>
        <w:autoSpaceDE/>
        <w:autoSpaceDN/>
        <w:bidi w:val="0"/>
        <w:spacing w:line="360" w:lineRule="auto"/>
        <w:ind w:firstLine="400" w:firstLineChars="200"/>
        <w:textAlignment w:val="auto"/>
        <w:rPr>
          <w:rFonts w:hint="eastAsia" w:ascii="宋体" w:hAnsi="宋体" w:eastAsia="宋体" w:cs="宋体"/>
          <w:spacing w:val="-5"/>
          <w:sz w:val="21"/>
          <w:szCs w:val="21"/>
          <w:highlight w:val="none"/>
          <w:lang w:val="en-US" w:eastAsia="zh-CN"/>
        </w:rPr>
      </w:pPr>
      <w:r>
        <w:rPr>
          <w:rFonts w:hint="eastAsia" w:ascii="宋体" w:hAnsi="宋体" w:eastAsia="宋体" w:cs="宋体"/>
          <w:spacing w:val="-5"/>
          <w:sz w:val="21"/>
          <w:szCs w:val="21"/>
          <w:highlight w:val="none"/>
          <w:lang w:val="en-US" w:eastAsia="zh-CN"/>
        </w:rPr>
        <w:t>5、纳入基建项目的白蚁防治工程验收标准同时执行《水利水电建设验收工程》（SL223-2008）规定</w:t>
      </w:r>
    </w:p>
    <w:p>
      <w:pPr>
        <w:pStyle w:val="3"/>
        <w:numPr>
          <w:ilvl w:val="0"/>
          <w:numId w:val="0"/>
        </w:numPr>
        <w:bidi w:val="0"/>
        <w:jc w:val="both"/>
        <w:rPr>
          <w:rFonts w:hint="eastAsia"/>
          <w:b/>
          <w:bCs/>
          <w:highlight w:val="none"/>
          <w:lang w:val="en-US" w:eastAsia="zh-CN"/>
        </w:rPr>
      </w:pPr>
      <w:r>
        <w:rPr>
          <w:rFonts w:hint="eastAsia"/>
          <w:b/>
          <w:bCs/>
          <w:highlight w:val="none"/>
          <w:lang w:val="en-US" w:eastAsia="zh-CN"/>
        </w:rPr>
        <w:t>五、其他要求：</w:t>
      </w:r>
    </w:p>
    <w:p>
      <w:pPr>
        <w:keepNext w:val="0"/>
        <w:keepLines w:val="0"/>
        <w:pageBreakBefore w:val="0"/>
        <w:widowControl w:val="0"/>
        <w:numPr>
          <w:ilvl w:val="0"/>
          <w:numId w:val="0"/>
        </w:numPr>
        <w:kinsoku/>
        <w:wordWrap/>
        <w:overflowPunct/>
        <w:topLinePunct w:val="0"/>
        <w:autoSpaceDE/>
        <w:autoSpaceDN/>
        <w:bidi w:val="0"/>
        <w:spacing w:line="360" w:lineRule="auto"/>
        <w:ind w:firstLine="400" w:firstLineChars="200"/>
        <w:textAlignment w:val="auto"/>
        <w:rPr>
          <w:rFonts w:hint="eastAsia" w:ascii="宋体" w:hAnsi="宋体" w:eastAsia="宋体" w:cs="宋体"/>
          <w:spacing w:val="-5"/>
          <w:sz w:val="21"/>
          <w:szCs w:val="21"/>
          <w:highlight w:val="none"/>
          <w:lang w:val="en-US" w:eastAsia="zh-CN"/>
        </w:rPr>
      </w:pPr>
      <w:r>
        <w:rPr>
          <w:rFonts w:hint="eastAsia" w:ascii="宋体" w:hAnsi="宋体" w:eastAsia="宋体" w:cs="宋体"/>
          <w:spacing w:val="-5"/>
          <w:sz w:val="21"/>
          <w:szCs w:val="21"/>
          <w:highlight w:val="none"/>
          <w:lang w:val="en-US" w:eastAsia="zh-CN"/>
        </w:rPr>
        <w:t>1、报价方式和报价要求：人民币报价，投标总价为总价包干。对于本采购文件未列明，而投标供应商认为必需的费用也需列入投标总报价。在合同实施时，采购人将不予支付中标供应商没有列入的项目费用，并认为此项目的费用已包括在投标总报价中。</w:t>
      </w:r>
    </w:p>
    <w:p>
      <w:pPr>
        <w:keepNext w:val="0"/>
        <w:keepLines w:val="0"/>
        <w:pageBreakBefore w:val="0"/>
        <w:widowControl w:val="0"/>
        <w:numPr>
          <w:ilvl w:val="0"/>
          <w:numId w:val="0"/>
        </w:numPr>
        <w:kinsoku/>
        <w:wordWrap/>
        <w:overflowPunct/>
        <w:topLinePunct w:val="0"/>
        <w:autoSpaceDE/>
        <w:autoSpaceDN/>
        <w:bidi w:val="0"/>
        <w:spacing w:line="360" w:lineRule="auto"/>
        <w:ind w:firstLine="400" w:firstLineChars="200"/>
        <w:textAlignment w:val="auto"/>
        <w:rPr>
          <w:rFonts w:hint="eastAsia" w:ascii="宋体" w:hAnsi="宋体" w:eastAsia="宋体" w:cs="宋体"/>
          <w:spacing w:val="-5"/>
          <w:sz w:val="21"/>
          <w:szCs w:val="21"/>
          <w:highlight w:val="none"/>
          <w:lang w:val="en-US" w:eastAsia="zh-CN"/>
        </w:rPr>
      </w:pPr>
      <w:r>
        <w:rPr>
          <w:rFonts w:hint="eastAsia" w:ascii="宋体" w:hAnsi="宋体" w:eastAsia="宋体" w:cs="宋体"/>
          <w:spacing w:val="-5"/>
          <w:sz w:val="21"/>
          <w:szCs w:val="21"/>
          <w:highlight w:val="none"/>
          <w:lang w:val="en-US" w:eastAsia="zh-CN"/>
        </w:rPr>
        <w:t xml:space="preserve">2、供应商应根据本采购文件的规定和要求、市场价格水平及其走势、供应商的管理水平、供应商的方案和由这些因素决定的供应商之于本项目的成本水平等提出自己的报价。报价应包含完成本采购文件采购需求全部内容的所有费用，所有根据本采购文件或其它原因应由供应商支付的税款和其他应交纳的费用都应包括在报价中。供应商不得以低于其成本的价格进行报价。 </w:t>
      </w:r>
    </w:p>
    <w:p>
      <w:pPr>
        <w:keepNext w:val="0"/>
        <w:keepLines w:val="0"/>
        <w:pageBreakBefore w:val="0"/>
        <w:widowControl w:val="0"/>
        <w:numPr>
          <w:ilvl w:val="0"/>
          <w:numId w:val="0"/>
        </w:numPr>
        <w:kinsoku/>
        <w:wordWrap/>
        <w:overflowPunct/>
        <w:topLinePunct w:val="0"/>
        <w:autoSpaceDE/>
        <w:autoSpaceDN/>
        <w:bidi w:val="0"/>
        <w:spacing w:line="360" w:lineRule="auto"/>
        <w:ind w:firstLine="400" w:firstLineChars="200"/>
        <w:textAlignment w:val="auto"/>
        <w:rPr>
          <w:rFonts w:hint="eastAsia" w:ascii="宋体" w:hAnsi="宋体" w:eastAsia="宋体" w:cs="宋体"/>
          <w:spacing w:val="-5"/>
          <w:sz w:val="21"/>
          <w:szCs w:val="21"/>
          <w:highlight w:val="none"/>
          <w:lang w:val="en-US" w:eastAsia="zh-CN"/>
        </w:rPr>
      </w:pPr>
      <w:r>
        <w:rPr>
          <w:rFonts w:hint="eastAsia" w:ascii="宋体" w:hAnsi="宋体" w:cs="宋体"/>
          <w:spacing w:val="-5"/>
          <w:sz w:val="21"/>
          <w:szCs w:val="21"/>
          <w:highlight w:val="none"/>
          <w:lang w:val="en-US" w:eastAsia="zh-CN"/>
        </w:rPr>
        <w:t>3</w:t>
      </w:r>
      <w:r>
        <w:rPr>
          <w:rFonts w:hint="eastAsia" w:ascii="宋体" w:hAnsi="宋体" w:eastAsia="宋体" w:cs="宋体"/>
          <w:spacing w:val="-5"/>
          <w:sz w:val="21"/>
          <w:szCs w:val="21"/>
          <w:highlight w:val="none"/>
          <w:lang w:val="en-US" w:eastAsia="zh-CN"/>
        </w:rPr>
        <w:t>、服务质量标准：服务质量要求应满足但不限于采购文件规定，具体考核要求标准在合同中体现，满足国家、行业有关规范的标准。</w:t>
      </w:r>
    </w:p>
    <w:p>
      <w:pPr>
        <w:keepNext w:val="0"/>
        <w:keepLines w:val="0"/>
        <w:pageBreakBefore w:val="0"/>
        <w:widowControl w:val="0"/>
        <w:numPr>
          <w:ilvl w:val="0"/>
          <w:numId w:val="0"/>
        </w:numPr>
        <w:kinsoku/>
        <w:wordWrap/>
        <w:overflowPunct/>
        <w:topLinePunct w:val="0"/>
        <w:autoSpaceDE/>
        <w:autoSpaceDN/>
        <w:bidi w:val="0"/>
        <w:spacing w:line="360" w:lineRule="auto"/>
        <w:ind w:firstLine="400" w:firstLineChars="200"/>
        <w:jc w:val="both"/>
        <w:textAlignment w:val="auto"/>
        <w:rPr>
          <w:rFonts w:hint="eastAsia"/>
          <w:sz w:val="36"/>
          <w:szCs w:val="36"/>
          <w:highlight w:val="none"/>
        </w:rPr>
      </w:pPr>
      <w:r>
        <w:rPr>
          <w:rFonts w:hint="eastAsia" w:ascii="宋体" w:hAnsi="宋体" w:cs="宋体"/>
          <w:spacing w:val="-5"/>
          <w:sz w:val="21"/>
          <w:szCs w:val="21"/>
          <w:highlight w:val="none"/>
          <w:lang w:val="en-US" w:eastAsia="zh-CN"/>
        </w:rPr>
        <w:t>4</w:t>
      </w:r>
      <w:r>
        <w:rPr>
          <w:rFonts w:hint="eastAsia" w:ascii="宋体" w:hAnsi="宋体" w:eastAsia="宋体" w:cs="宋体"/>
          <w:spacing w:val="-5"/>
          <w:sz w:val="21"/>
          <w:szCs w:val="21"/>
          <w:highlight w:val="none"/>
          <w:lang w:val="en-US" w:eastAsia="zh-CN"/>
        </w:rPr>
        <w:t>、质保期：项目顺利完成通过验收后一年。</w:t>
      </w:r>
      <w:r>
        <w:rPr>
          <w:rFonts w:hint="eastAsia" w:ascii="宋体" w:hAnsi="宋体" w:eastAsia="宋体" w:cs="宋体"/>
          <w:color w:val="auto"/>
          <w:sz w:val="30"/>
          <w:szCs w:val="30"/>
          <w:highlight w:val="none"/>
          <w:lang w:val="en-US" w:eastAsia="zh-CN"/>
        </w:rPr>
        <w:br w:type="page"/>
      </w:r>
      <w:bookmarkStart w:id="234" w:name="_Toc2259"/>
      <w:bookmarkStart w:id="235" w:name="_Toc26052"/>
      <w:r>
        <w:rPr>
          <w:rStyle w:val="59"/>
          <w:rFonts w:hint="eastAsia"/>
          <w:lang w:val="en-US" w:eastAsia="zh-CN"/>
        </w:rPr>
        <w:t xml:space="preserve">第四章 </w:t>
      </w:r>
      <w:r>
        <w:rPr>
          <w:rStyle w:val="59"/>
          <w:rFonts w:hint="eastAsia"/>
        </w:rPr>
        <w:t>竞争性磋商采购评定办法</w:t>
      </w:r>
      <w:bookmarkEnd w:id="227"/>
      <w:bookmarkEnd w:id="234"/>
      <w:bookmarkEnd w:id="235"/>
    </w:p>
    <w:p>
      <w:pPr>
        <w:pStyle w:val="3"/>
        <w:bidi w:val="0"/>
        <w:ind w:left="0" w:leftChars="0" w:firstLine="0" w:firstLineChars="0"/>
        <w:rPr>
          <w:b/>
          <w:bCs/>
          <w:highlight w:val="none"/>
        </w:rPr>
      </w:pPr>
      <w:bookmarkStart w:id="236" w:name="_Toc15397"/>
      <w:bookmarkStart w:id="237" w:name="_Toc26231"/>
      <w:r>
        <w:rPr>
          <w:rFonts w:hint="eastAsia"/>
          <w:b/>
          <w:bCs/>
          <w:highlight w:val="none"/>
        </w:rPr>
        <w:t>一、评定办法前附表</w:t>
      </w:r>
      <w:bookmarkEnd w:id="236"/>
      <w:bookmarkEnd w:id="237"/>
    </w:p>
    <w:tbl>
      <w:tblPr>
        <w:tblStyle w:val="18"/>
        <w:tblW w:w="9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680"/>
        <w:gridCol w:w="627"/>
        <w:gridCol w:w="2797"/>
        <w:gridCol w:w="5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85" w:hRule="atLeast"/>
          <w:jc w:val="center"/>
        </w:trPr>
        <w:tc>
          <w:tcPr>
            <w:tcW w:w="1307" w:type="dxa"/>
            <w:gridSpan w:val="2"/>
            <w:vAlign w:val="center"/>
          </w:tcPr>
          <w:p>
            <w:pPr>
              <w:widowControl/>
              <w:jc w:val="center"/>
              <w:rPr>
                <w:rFonts w:asciiTheme="minorEastAsia" w:hAnsiTheme="minorEastAsia" w:eastAsiaTheme="minorEastAsia" w:cstheme="minorEastAsia"/>
                <w:b/>
                <w:bCs/>
                <w:kern w:val="0"/>
                <w:szCs w:val="21"/>
                <w:highlight w:val="none"/>
              </w:rPr>
            </w:pPr>
            <w:r>
              <w:rPr>
                <w:rFonts w:hint="eastAsia" w:asciiTheme="minorEastAsia" w:hAnsiTheme="minorEastAsia" w:eastAsiaTheme="minorEastAsia" w:cstheme="minorEastAsia"/>
                <w:b/>
                <w:bCs/>
                <w:kern w:val="0"/>
                <w:szCs w:val="21"/>
                <w:highlight w:val="none"/>
              </w:rPr>
              <w:t>条款号</w:t>
            </w:r>
          </w:p>
        </w:tc>
        <w:tc>
          <w:tcPr>
            <w:tcW w:w="2797" w:type="dxa"/>
            <w:vAlign w:val="center"/>
          </w:tcPr>
          <w:p>
            <w:pPr>
              <w:widowControl/>
              <w:jc w:val="center"/>
              <w:rPr>
                <w:rFonts w:asciiTheme="minorEastAsia" w:hAnsiTheme="minorEastAsia" w:eastAsiaTheme="minorEastAsia" w:cstheme="minorEastAsia"/>
                <w:b/>
                <w:bCs/>
                <w:kern w:val="0"/>
                <w:szCs w:val="21"/>
                <w:highlight w:val="none"/>
              </w:rPr>
            </w:pPr>
            <w:r>
              <w:rPr>
                <w:rFonts w:hint="eastAsia" w:asciiTheme="minorEastAsia" w:hAnsiTheme="minorEastAsia" w:eastAsiaTheme="minorEastAsia" w:cstheme="minorEastAsia"/>
                <w:b/>
                <w:bCs/>
                <w:kern w:val="0"/>
                <w:szCs w:val="21"/>
                <w:highlight w:val="none"/>
              </w:rPr>
              <w:t>评审因素</w:t>
            </w:r>
          </w:p>
        </w:tc>
        <w:tc>
          <w:tcPr>
            <w:tcW w:w="5258" w:type="dxa"/>
            <w:vAlign w:val="center"/>
          </w:tcPr>
          <w:p>
            <w:pPr>
              <w:widowControl/>
              <w:jc w:val="center"/>
              <w:rPr>
                <w:rFonts w:asciiTheme="minorEastAsia" w:hAnsiTheme="minorEastAsia" w:eastAsiaTheme="minorEastAsia" w:cstheme="minorEastAsia"/>
                <w:b/>
                <w:bCs/>
                <w:kern w:val="0"/>
                <w:szCs w:val="21"/>
                <w:highlight w:val="none"/>
              </w:rPr>
            </w:pPr>
            <w:r>
              <w:rPr>
                <w:rFonts w:hint="eastAsia" w:asciiTheme="minorEastAsia" w:hAnsiTheme="minorEastAsia" w:eastAsiaTheme="minorEastAsia" w:cstheme="minorEastAsia"/>
                <w:b/>
                <w:bCs/>
                <w:kern w:val="0"/>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28" w:hRule="atLeast"/>
          <w:jc w:val="center"/>
        </w:trPr>
        <w:tc>
          <w:tcPr>
            <w:tcW w:w="680" w:type="dxa"/>
            <w:vMerge w:val="restart"/>
            <w:vAlign w:val="center"/>
          </w:tcPr>
          <w:p>
            <w:pPr>
              <w:jc w:val="center"/>
              <w:rPr>
                <w:rFonts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1.1</w:t>
            </w:r>
          </w:p>
        </w:tc>
        <w:tc>
          <w:tcPr>
            <w:tcW w:w="627" w:type="dxa"/>
            <w:vMerge w:val="restart"/>
            <w:vAlign w:val="center"/>
          </w:tcPr>
          <w:p>
            <w:pPr>
              <w:jc w:val="center"/>
              <w:rPr>
                <w:rFonts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资格性审查标准</w:t>
            </w:r>
          </w:p>
        </w:tc>
        <w:tc>
          <w:tcPr>
            <w:tcW w:w="2797" w:type="dxa"/>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资格要求</w:t>
            </w:r>
          </w:p>
        </w:tc>
        <w:tc>
          <w:tcPr>
            <w:tcW w:w="5258" w:type="dxa"/>
            <w:vAlign w:val="center"/>
          </w:tcPr>
          <w:p>
            <w:pPr>
              <w:widowControl/>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符合本采购文件第一章第二款要求，并提供合格有效的证明材料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85" w:hRule="atLeast"/>
          <w:jc w:val="center"/>
        </w:trPr>
        <w:tc>
          <w:tcPr>
            <w:tcW w:w="680" w:type="dxa"/>
            <w:vMerge w:val="continue"/>
            <w:vAlign w:val="center"/>
          </w:tcPr>
          <w:p>
            <w:pPr>
              <w:widowControl/>
              <w:jc w:val="center"/>
              <w:rPr>
                <w:rFonts w:asciiTheme="minorEastAsia" w:hAnsiTheme="minorEastAsia" w:eastAsiaTheme="minorEastAsia" w:cstheme="minorEastAsia"/>
                <w:bCs/>
                <w:kern w:val="0"/>
                <w:szCs w:val="21"/>
                <w:highlight w:val="none"/>
              </w:rPr>
            </w:pPr>
          </w:p>
        </w:tc>
        <w:tc>
          <w:tcPr>
            <w:tcW w:w="627" w:type="dxa"/>
            <w:vMerge w:val="continue"/>
            <w:vAlign w:val="center"/>
          </w:tcPr>
          <w:p>
            <w:pPr>
              <w:widowControl/>
              <w:jc w:val="center"/>
              <w:rPr>
                <w:rFonts w:asciiTheme="minorEastAsia" w:hAnsiTheme="minorEastAsia" w:eastAsiaTheme="minorEastAsia" w:cstheme="minorEastAsia"/>
                <w:szCs w:val="21"/>
                <w:highlight w:val="none"/>
              </w:rPr>
            </w:pPr>
          </w:p>
        </w:tc>
        <w:tc>
          <w:tcPr>
            <w:tcW w:w="2797" w:type="dxa"/>
            <w:vAlign w:val="center"/>
          </w:tcPr>
          <w:p>
            <w:pPr>
              <w:widowControl/>
              <w:spacing w:line="280" w:lineRule="exact"/>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szCs w:val="21"/>
                <w:highlight w:val="none"/>
                <w:lang w:val="zh-CN"/>
              </w:rPr>
              <w:t>没有重大违法记录的书面声明</w:t>
            </w:r>
          </w:p>
        </w:tc>
        <w:tc>
          <w:tcPr>
            <w:tcW w:w="5258" w:type="dxa"/>
            <w:vAlign w:val="center"/>
          </w:tcPr>
          <w:p>
            <w:pPr>
              <w:widowControl/>
              <w:spacing w:line="280" w:lineRule="exact"/>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szCs w:val="21"/>
                <w:highlight w:val="none"/>
                <w:lang w:val="zh-CN"/>
              </w:rPr>
              <w:t>是否提交参加政府采购活动前三年内在经营活动中没有重大违法记录的书面承诺或声明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85" w:hRule="atLeast"/>
          <w:jc w:val="center"/>
        </w:trPr>
        <w:tc>
          <w:tcPr>
            <w:tcW w:w="680" w:type="dxa"/>
            <w:vMerge w:val="continue"/>
            <w:vAlign w:val="center"/>
          </w:tcPr>
          <w:p>
            <w:pPr>
              <w:widowControl/>
              <w:jc w:val="center"/>
              <w:rPr>
                <w:rFonts w:asciiTheme="minorEastAsia" w:hAnsiTheme="minorEastAsia" w:eastAsiaTheme="minorEastAsia" w:cstheme="minorEastAsia"/>
                <w:bCs/>
                <w:kern w:val="0"/>
                <w:szCs w:val="21"/>
                <w:highlight w:val="none"/>
              </w:rPr>
            </w:pPr>
          </w:p>
        </w:tc>
        <w:tc>
          <w:tcPr>
            <w:tcW w:w="627" w:type="dxa"/>
            <w:vMerge w:val="continue"/>
            <w:vAlign w:val="center"/>
          </w:tcPr>
          <w:p>
            <w:pPr>
              <w:widowControl/>
              <w:jc w:val="center"/>
              <w:rPr>
                <w:rFonts w:asciiTheme="minorEastAsia" w:hAnsiTheme="minorEastAsia" w:eastAsiaTheme="minorEastAsia" w:cstheme="minorEastAsia"/>
                <w:szCs w:val="21"/>
                <w:highlight w:val="none"/>
              </w:rPr>
            </w:pPr>
          </w:p>
        </w:tc>
        <w:tc>
          <w:tcPr>
            <w:tcW w:w="2797" w:type="dxa"/>
            <w:vAlign w:val="center"/>
          </w:tcPr>
          <w:p>
            <w:pPr>
              <w:widowControl/>
              <w:spacing w:line="280" w:lineRule="exact"/>
              <w:jc w:val="center"/>
              <w:rPr>
                <w:rFonts w:asciiTheme="minorEastAsia" w:hAnsiTheme="minorEastAsia" w:eastAsiaTheme="minorEastAsia" w:cstheme="minorEastAsia"/>
                <w:szCs w:val="21"/>
                <w:highlight w:val="none"/>
                <w:lang w:val="zh-CN"/>
              </w:rPr>
            </w:pPr>
            <w:r>
              <w:rPr>
                <w:rFonts w:hint="eastAsia" w:asciiTheme="minorEastAsia" w:hAnsiTheme="minorEastAsia" w:eastAsiaTheme="minorEastAsia" w:cstheme="minorEastAsia"/>
                <w:szCs w:val="21"/>
                <w:highlight w:val="none"/>
                <w:lang w:val="zh-CN"/>
              </w:rPr>
              <w:t>供应商不得存在的其他情形</w:t>
            </w:r>
          </w:p>
        </w:tc>
        <w:tc>
          <w:tcPr>
            <w:tcW w:w="5258" w:type="dxa"/>
            <w:vAlign w:val="center"/>
          </w:tcPr>
          <w:p>
            <w:pPr>
              <w:widowControl/>
              <w:spacing w:line="280" w:lineRule="exact"/>
              <w:jc w:val="left"/>
              <w:rPr>
                <w:highlight w:val="none"/>
                <w:lang w:val="zh-CN"/>
              </w:rPr>
            </w:pPr>
            <w:r>
              <w:rPr>
                <w:rFonts w:hint="eastAsia"/>
                <w:highlight w:val="none"/>
                <w:lang w:val="zh-CN"/>
              </w:rPr>
              <w:t>1、与采购人存在利害关系可能影响采购公正性的法人、其他组织或者个人，不得参与本项目；单位负责人为同一人或存在控股、管理关系的不同单位只能有一家单位报名。</w:t>
            </w:r>
          </w:p>
          <w:p>
            <w:pPr>
              <w:widowControl/>
              <w:spacing w:line="280" w:lineRule="exact"/>
              <w:jc w:val="left"/>
              <w:rPr>
                <w:highlight w:val="none"/>
                <w:lang w:val="zh-CN"/>
              </w:rPr>
            </w:pPr>
            <w:r>
              <w:rPr>
                <w:rFonts w:hint="eastAsia"/>
                <w:highlight w:val="none"/>
                <w:lang w:val="zh-CN"/>
              </w:rPr>
              <w:t>2、参与本项目采购活动前，已为本项目提供过整体设计、规范编制或者项目管理、监理、检测等服务的供应商。</w:t>
            </w:r>
          </w:p>
          <w:p>
            <w:pPr>
              <w:widowControl/>
              <w:spacing w:line="280" w:lineRule="exact"/>
              <w:jc w:val="left"/>
              <w:rPr>
                <w:highlight w:val="none"/>
                <w:lang w:val="zh-CN"/>
              </w:rPr>
            </w:pPr>
            <w:r>
              <w:rPr>
                <w:rFonts w:hint="eastAsia"/>
                <w:highlight w:val="none"/>
                <w:lang w:val="zh-CN"/>
              </w:rPr>
              <w:t>由供应商在《响应函》中声明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85" w:hRule="atLeast"/>
          <w:jc w:val="center"/>
        </w:trPr>
        <w:tc>
          <w:tcPr>
            <w:tcW w:w="680" w:type="dxa"/>
            <w:vMerge w:val="restart"/>
            <w:vAlign w:val="center"/>
          </w:tcPr>
          <w:p>
            <w:pPr>
              <w:widowControl/>
              <w:jc w:val="center"/>
              <w:rPr>
                <w:rFonts w:hint="default"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1.2</w:t>
            </w:r>
          </w:p>
        </w:tc>
        <w:tc>
          <w:tcPr>
            <w:tcW w:w="627" w:type="dxa"/>
            <w:vMerge w:val="restart"/>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符合性审查标准</w:t>
            </w:r>
          </w:p>
          <w:p>
            <w:pPr>
              <w:widowControl/>
              <w:jc w:val="center"/>
              <w:rPr>
                <w:rFonts w:asciiTheme="minorEastAsia" w:hAnsiTheme="minorEastAsia" w:eastAsiaTheme="minorEastAsia" w:cstheme="minorEastAsia"/>
                <w:bCs/>
                <w:kern w:val="0"/>
                <w:szCs w:val="21"/>
                <w:highlight w:val="none"/>
              </w:rPr>
            </w:pPr>
          </w:p>
        </w:tc>
        <w:tc>
          <w:tcPr>
            <w:tcW w:w="2797" w:type="dxa"/>
            <w:vMerge w:val="restart"/>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磋商报价</w:t>
            </w:r>
          </w:p>
        </w:tc>
        <w:tc>
          <w:tcPr>
            <w:tcW w:w="5258" w:type="dxa"/>
            <w:vAlign w:val="center"/>
          </w:tcPr>
          <w:p>
            <w:pPr>
              <w:widowControl/>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采购内容是否只有一个报价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85" w:hRule="atLeast"/>
          <w:jc w:val="center"/>
        </w:trPr>
        <w:tc>
          <w:tcPr>
            <w:tcW w:w="680" w:type="dxa"/>
            <w:vMerge w:val="continue"/>
            <w:vAlign w:val="center"/>
          </w:tcPr>
          <w:p>
            <w:pPr>
              <w:widowControl/>
              <w:jc w:val="center"/>
              <w:rPr>
                <w:rFonts w:asciiTheme="minorEastAsia" w:hAnsiTheme="minorEastAsia" w:eastAsiaTheme="minorEastAsia" w:cstheme="minorEastAsia"/>
                <w:bCs/>
                <w:kern w:val="0"/>
                <w:szCs w:val="21"/>
                <w:highlight w:val="none"/>
              </w:rPr>
            </w:pPr>
          </w:p>
        </w:tc>
        <w:tc>
          <w:tcPr>
            <w:tcW w:w="627" w:type="dxa"/>
            <w:vMerge w:val="continue"/>
            <w:vAlign w:val="center"/>
          </w:tcPr>
          <w:p>
            <w:pPr>
              <w:widowControl/>
              <w:jc w:val="center"/>
              <w:rPr>
                <w:rFonts w:asciiTheme="minorEastAsia" w:hAnsiTheme="minorEastAsia" w:eastAsiaTheme="minorEastAsia" w:cstheme="minorEastAsia"/>
                <w:bCs/>
                <w:kern w:val="0"/>
                <w:szCs w:val="21"/>
                <w:highlight w:val="none"/>
              </w:rPr>
            </w:pPr>
          </w:p>
        </w:tc>
        <w:tc>
          <w:tcPr>
            <w:tcW w:w="2797" w:type="dxa"/>
            <w:vMerge w:val="continue"/>
            <w:vAlign w:val="center"/>
          </w:tcPr>
          <w:p>
            <w:pPr>
              <w:widowControl/>
              <w:jc w:val="center"/>
              <w:rPr>
                <w:rFonts w:asciiTheme="minorEastAsia" w:hAnsiTheme="minorEastAsia" w:eastAsiaTheme="minorEastAsia" w:cstheme="minorEastAsia"/>
                <w:kern w:val="0"/>
                <w:szCs w:val="21"/>
                <w:highlight w:val="none"/>
              </w:rPr>
            </w:pPr>
          </w:p>
        </w:tc>
        <w:tc>
          <w:tcPr>
            <w:tcW w:w="5258" w:type="dxa"/>
            <w:vAlign w:val="center"/>
          </w:tcPr>
          <w:p>
            <w:pPr>
              <w:widowControl/>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报价金额是否超过采购预算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85" w:hRule="atLeast"/>
          <w:jc w:val="center"/>
        </w:trPr>
        <w:tc>
          <w:tcPr>
            <w:tcW w:w="680" w:type="dxa"/>
            <w:vMerge w:val="continue"/>
            <w:vAlign w:val="center"/>
          </w:tcPr>
          <w:p>
            <w:pPr>
              <w:widowControl/>
              <w:jc w:val="center"/>
              <w:rPr>
                <w:rFonts w:asciiTheme="minorEastAsia" w:hAnsiTheme="minorEastAsia" w:eastAsiaTheme="minorEastAsia" w:cstheme="minorEastAsia"/>
                <w:bCs/>
                <w:kern w:val="0"/>
                <w:szCs w:val="21"/>
                <w:highlight w:val="none"/>
              </w:rPr>
            </w:pPr>
          </w:p>
        </w:tc>
        <w:tc>
          <w:tcPr>
            <w:tcW w:w="627" w:type="dxa"/>
            <w:vMerge w:val="continue"/>
            <w:vAlign w:val="center"/>
          </w:tcPr>
          <w:p>
            <w:pPr>
              <w:widowControl/>
              <w:jc w:val="center"/>
              <w:rPr>
                <w:rFonts w:asciiTheme="minorEastAsia" w:hAnsiTheme="minorEastAsia" w:eastAsiaTheme="minorEastAsia" w:cstheme="minorEastAsia"/>
                <w:bCs/>
                <w:kern w:val="0"/>
                <w:szCs w:val="21"/>
                <w:highlight w:val="none"/>
              </w:rPr>
            </w:pPr>
          </w:p>
        </w:tc>
        <w:tc>
          <w:tcPr>
            <w:tcW w:w="2797" w:type="dxa"/>
            <w:vAlign w:val="center"/>
          </w:tcPr>
          <w:p>
            <w:pPr>
              <w:widowControl/>
              <w:jc w:val="center"/>
              <w:rPr>
                <w:rFonts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lang w:eastAsia="zh-CN"/>
              </w:rPr>
              <w:t>响应</w:t>
            </w:r>
            <w:r>
              <w:rPr>
                <w:rFonts w:hint="eastAsia" w:asciiTheme="minorEastAsia" w:hAnsiTheme="minorEastAsia" w:eastAsiaTheme="minorEastAsia" w:cstheme="minorEastAsia"/>
                <w:kern w:val="0"/>
                <w:szCs w:val="21"/>
                <w:highlight w:val="none"/>
                <w:lang w:val="en-US" w:eastAsia="zh-CN"/>
              </w:rPr>
              <w:t>文件</w:t>
            </w:r>
            <w:r>
              <w:rPr>
                <w:rFonts w:hint="eastAsia" w:asciiTheme="minorEastAsia" w:hAnsiTheme="minorEastAsia" w:eastAsiaTheme="minorEastAsia" w:cstheme="minorEastAsia"/>
                <w:kern w:val="0"/>
                <w:szCs w:val="21"/>
                <w:highlight w:val="none"/>
              </w:rPr>
              <w:t>签字盖章</w:t>
            </w:r>
          </w:p>
        </w:tc>
        <w:tc>
          <w:tcPr>
            <w:tcW w:w="5258" w:type="dxa"/>
            <w:vAlign w:val="center"/>
          </w:tcPr>
          <w:p>
            <w:pPr>
              <w:widowControl/>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是否有法定代表人或其委托代理人签字并加盖单位公章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85" w:hRule="atLeast"/>
          <w:jc w:val="center"/>
        </w:trPr>
        <w:tc>
          <w:tcPr>
            <w:tcW w:w="680" w:type="dxa"/>
            <w:vMerge w:val="continue"/>
            <w:vAlign w:val="center"/>
          </w:tcPr>
          <w:p>
            <w:pPr>
              <w:widowControl/>
              <w:jc w:val="center"/>
              <w:rPr>
                <w:rFonts w:asciiTheme="minorEastAsia" w:hAnsiTheme="minorEastAsia" w:eastAsiaTheme="minorEastAsia" w:cstheme="minorEastAsia"/>
                <w:bCs/>
                <w:kern w:val="0"/>
                <w:szCs w:val="21"/>
                <w:highlight w:val="none"/>
              </w:rPr>
            </w:pPr>
          </w:p>
        </w:tc>
        <w:tc>
          <w:tcPr>
            <w:tcW w:w="627" w:type="dxa"/>
            <w:vMerge w:val="continue"/>
            <w:vAlign w:val="center"/>
          </w:tcPr>
          <w:p>
            <w:pPr>
              <w:widowControl/>
              <w:jc w:val="center"/>
              <w:rPr>
                <w:rFonts w:asciiTheme="minorEastAsia" w:hAnsiTheme="minorEastAsia" w:eastAsiaTheme="minorEastAsia" w:cstheme="minorEastAsia"/>
                <w:bCs/>
                <w:kern w:val="0"/>
                <w:szCs w:val="21"/>
                <w:highlight w:val="none"/>
              </w:rPr>
            </w:pPr>
          </w:p>
        </w:tc>
        <w:tc>
          <w:tcPr>
            <w:tcW w:w="2797" w:type="dxa"/>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磋商有效期</w:t>
            </w:r>
          </w:p>
        </w:tc>
        <w:tc>
          <w:tcPr>
            <w:tcW w:w="5258" w:type="dxa"/>
            <w:vAlign w:val="center"/>
          </w:tcPr>
          <w:p>
            <w:pPr>
              <w:widowControl/>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磋商有效期是否满足竞争性磋商采购文件要求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85" w:hRule="atLeast"/>
          <w:jc w:val="center"/>
        </w:trPr>
        <w:tc>
          <w:tcPr>
            <w:tcW w:w="680" w:type="dxa"/>
            <w:vMerge w:val="continue"/>
            <w:vAlign w:val="center"/>
          </w:tcPr>
          <w:p>
            <w:pPr>
              <w:widowControl/>
              <w:jc w:val="center"/>
              <w:rPr>
                <w:rFonts w:asciiTheme="minorEastAsia" w:hAnsiTheme="minorEastAsia" w:eastAsiaTheme="minorEastAsia" w:cstheme="minorEastAsia"/>
                <w:bCs/>
                <w:kern w:val="0"/>
                <w:szCs w:val="21"/>
                <w:highlight w:val="none"/>
              </w:rPr>
            </w:pPr>
          </w:p>
        </w:tc>
        <w:tc>
          <w:tcPr>
            <w:tcW w:w="627" w:type="dxa"/>
            <w:vMerge w:val="continue"/>
            <w:vAlign w:val="center"/>
          </w:tcPr>
          <w:p>
            <w:pPr>
              <w:widowControl/>
              <w:jc w:val="center"/>
              <w:rPr>
                <w:rFonts w:asciiTheme="minorEastAsia" w:hAnsiTheme="minorEastAsia" w:eastAsiaTheme="minorEastAsia" w:cstheme="minorEastAsia"/>
                <w:bCs/>
                <w:kern w:val="0"/>
                <w:szCs w:val="21"/>
                <w:highlight w:val="none"/>
              </w:rPr>
            </w:pPr>
          </w:p>
        </w:tc>
        <w:tc>
          <w:tcPr>
            <w:tcW w:w="2797" w:type="dxa"/>
            <w:vMerge w:val="restart"/>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采购需求响应</w:t>
            </w:r>
          </w:p>
        </w:tc>
        <w:tc>
          <w:tcPr>
            <w:tcW w:w="5258" w:type="dxa"/>
            <w:vAlign w:val="center"/>
          </w:tcPr>
          <w:p>
            <w:pPr>
              <w:widowControl/>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lang w:val="en-US" w:eastAsia="zh-CN"/>
              </w:rPr>
              <w:t>采购</w:t>
            </w:r>
            <w:r>
              <w:rPr>
                <w:rFonts w:hint="eastAsia" w:asciiTheme="minorEastAsia" w:hAnsiTheme="minorEastAsia" w:eastAsiaTheme="minorEastAsia" w:cstheme="minorEastAsia"/>
                <w:kern w:val="0"/>
                <w:szCs w:val="21"/>
                <w:highlight w:val="none"/>
              </w:rPr>
              <w:t>需求是否实质性响应磋商文件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85" w:hRule="atLeast"/>
          <w:jc w:val="center"/>
        </w:trPr>
        <w:tc>
          <w:tcPr>
            <w:tcW w:w="680" w:type="dxa"/>
            <w:vMerge w:val="continue"/>
            <w:vAlign w:val="center"/>
          </w:tcPr>
          <w:p>
            <w:pPr>
              <w:widowControl/>
              <w:jc w:val="center"/>
              <w:rPr>
                <w:rFonts w:asciiTheme="minorEastAsia" w:hAnsiTheme="minorEastAsia" w:eastAsiaTheme="minorEastAsia" w:cstheme="minorEastAsia"/>
                <w:bCs/>
                <w:kern w:val="0"/>
                <w:szCs w:val="21"/>
                <w:highlight w:val="none"/>
              </w:rPr>
            </w:pPr>
          </w:p>
        </w:tc>
        <w:tc>
          <w:tcPr>
            <w:tcW w:w="627" w:type="dxa"/>
            <w:vMerge w:val="continue"/>
            <w:vAlign w:val="center"/>
          </w:tcPr>
          <w:p>
            <w:pPr>
              <w:widowControl/>
              <w:jc w:val="center"/>
              <w:rPr>
                <w:rFonts w:asciiTheme="minorEastAsia" w:hAnsiTheme="minorEastAsia" w:eastAsiaTheme="minorEastAsia" w:cstheme="minorEastAsia"/>
                <w:bCs/>
                <w:kern w:val="0"/>
                <w:szCs w:val="21"/>
                <w:highlight w:val="none"/>
              </w:rPr>
            </w:pPr>
          </w:p>
        </w:tc>
        <w:tc>
          <w:tcPr>
            <w:tcW w:w="2797" w:type="dxa"/>
            <w:vMerge w:val="continue"/>
            <w:vAlign w:val="center"/>
          </w:tcPr>
          <w:p>
            <w:pPr>
              <w:widowControl/>
              <w:jc w:val="center"/>
              <w:rPr>
                <w:rFonts w:asciiTheme="minorEastAsia" w:hAnsiTheme="minorEastAsia" w:eastAsiaTheme="minorEastAsia" w:cstheme="minorEastAsia"/>
                <w:kern w:val="0"/>
                <w:szCs w:val="21"/>
                <w:highlight w:val="none"/>
              </w:rPr>
            </w:pPr>
          </w:p>
        </w:tc>
        <w:tc>
          <w:tcPr>
            <w:tcW w:w="5258" w:type="dxa"/>
            <w:vAlign w:val="center"/>
          </w:tcPr>
          <w:p>
            <w:pPr>
              <w:widowControl/>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是否有提出采购人不能接受的合同条件的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85" w:hRule="atLeast"/>
          <w:jc w:val="center"/>
        </w:trPr>
        <w:tc>
          <w:tcPr>
            <w:tcW w:w="680" w:type="dxa"/>
            <w:vMerge w:val="continue"/>
            <w:vAlign w:val="center"/>
          </w:tcPr>
          <w:p>
            <w:pPr>
              <w:widowControl/>
              <w:jc w:val="center"/>
              <w:rPr>
                <w:rFonts w:asciiTheme="minorEastAsia" w:hAnsiTheme="minorEastAsia" w:eastAsiaTheme="minorEastAsia" w:cstheme="minorEastAsia"/>
                <w:bCs/>
                <w:kern w:val="0"/>
                <w:szCs w:val="21"/>
                <w:highlight w:val="none"/>
              </w:rPr>
            </w:pPr>
          </w:p>
        </w:tc>
        <w:tc>
          <w:tcPr>
            <w:tcW w:w="627" w:type="dxa"/>
            <w:vMerge w:val="continue"/>
            <w:vAlign w:val="center"/>
          </w:tcPr>
          <w:p>
            <w:pPr>
              <w:widowControl/>
              <w:jc w:val="center"/>
              <w:rPr>
                <w:rFonts w:asciiTheme="minorEastAsia" w:hAnsiTheme="minorEastAsia" w:eastAsiaTheme="minorEastAsia" w:cstheme="minorEastAsia"/>
                <w:bCs/>
                <w:kern w:val="0"/>
                <w:szCs w:val="21"/>
                <w:highlight w:val="none"/>
              </w:rPr>
            </w:pPr>
          </w:p>
        </w:tc>
        <w:tc>
          <w:tcPr>
            <w:tcW w:w="2797" w:type="dxa"/>
            <w:vAlign w:val="center"/>
          </w:tcPr>
          <w:p>
            <w:pPr>
              <w:autoSpaceDE w:val="0"/>
              <w:autoSpaceDN w:val="0"/>
              <w:adjustRightInd w:val="0"/>
              <w:snapToGrid w:val="0"/>
              <w:jc w:val="center"/>
              <w:rPr>
                <w:rFonts w:ascii="宋体" w:hAnsi="宋体"/>
                <w:szCs w:val="21"/>
                <w:highlight w:val="none"/>
              </w:rPr>
            </w:pPr>
            <w:r>
              <w:rPr>
                <w:rFonts w:hint="eastAsia" w:ascii="宋体" w:hAnsi="宋体"/>
                <w:szCs w:val="21"/>
                <w:highlight w:val="none"/>
              </w:rPr>
              <w:t>其他要求（一）</w:t>
            </w:r>
          </w:p>
        </w:tc>
        <w:tc>
          <w:tcPr>
            <w:tcW w:w="5258" w:type="dxa"/>
            <w:vAlign w:val="center"/>
          </w:tcPr>
          <w:p>
            <w:pPr>
              <w:autoSpaceDE w:val="0"/>
              <w:autoSpaceDN w:val="0"/>
              <w:adjustRightInd w:val="0"/>
              <w:snapToGrid w:val="0"/>
              <w:rPr>
                <w:rFonts w:ascii="宋体" w:hAnsi="宋体"/>
                <w:szCs w:val="21"/>
                <w:highlight w:val="none"/>
              </w:rPr>
            </w:pPr>
            <w:r>
              <w:rPr>
                <w:rFonts w:hint="eastAsia" w:ascii="宋体" w:hAnsi="宋体"/>
                <w:szCs w:val="21"/>
                <w:highlight w:val="none"/>
              </w:rPr>
              <w:t>供应商未有下列任一情形：</w:t>
            </w:r>
          </w:p>
          <w:p>
            <w:pPr>
              <w:autoSpaceDE w:val="0"/>
              <w:autoSpaceDN w:val="0"/>
              <w:adjustRightInd w:val="0"/>
              <w:snapToGrid w:val="0"/>
              <w:rPr>
                <w:rFonts w:ascii="宋体" w:hAnsi="宋体"/>
                <w:szCs w:val="21"/>
                <w:highlight w:val="none"/>
              </w:rPr>
            </w:pPr>
            <w:r>
              <w:rPr>
                <w:rFonts w:hint="eastAsia" w:ascii="宋体" w:hAnsi="宋体"/>
                <w:szCs w:val="21"/>
                <w:highlight w:val="none"/>
              </w:rPr>
              <w:t>（1）不同供应商的响应文件由同一单位或者个人编制；</w:t>
            </w:r>
          </w:p>
          <w:p>
            <w:pPr>
              <w:autoSpaceDE w:val="0"/>
              <w:autoSpaceDN w:val="0"/>
              <w:adjustRightInd w:val="0"/>
              <w:snapToGrid w:val="0"/>
              <w:rPr>
                <w:rFonts w:ascii="宋体" w:hAnsi="宋体"/>
                <w:szCs w:val="21"/>
                <w:highlight w:val="none"/>
              </w:rPr>
            </w:pPr>
            <w:r>
              <w:rPr>
                <w:rFonts w:hint="eastAsia" w:ascii="宋体" w:hAnsi="宋体"/>
                <w:szCs w:val="21"/>
                <w:highlight w:val="none"/>
              </w:rPr>
              <w:t>（2）不同供应商委托同一单位或者个人办理投标事宜；</w:t>
            </w:r>
          </w:p>
          <w:p>
            <w:pPr>
              <w:autoSpaceDE w:val="0"/>
              <w:autoSpaceDN w:val="0"/>
              <w:adjustRightInd w:val="0"/>
              <w:snapToGrid w:val="0"/>
              <w:rPr>
                <w:rFonts w:ascii="宋体" w:hAnsi="宋体"/>
                <w:szCs w:val="21"/>
                <w:highlight w:val="none"/>
              </w:rPr>
            </w:pPr>
            <w:r>
              <w:rPr>
                <w:rFonts w:hint="eastAsia" w:ascii="宋体" w:hAnsi="宋体"/>
                <w:szCs w:val="21"/>
                <w:highlight w:val="none"/>
              </w:rPr>
              <w:t>（3）不同供应商的响应文件载明的项目管理成员或者联系人员为同一人；</w:t>
            </w:r>
          </w:p>
          <w:p>
            <w:pPr>
              <w:autoSpaceDE w:val="0"/>
              <w:autoSpaceDN w:val="0"/>
              <w:adjustRightInd w:val="0"/>
              <w:snapToGrid w:val="0"/>
              <w:rPr>
                <w:rFonts w:ascii="宋体" w:hAnsi="宋体"/>
                <w:szCs w:val="21"/>
                <w:highlight w:val="none"/>
              </w:rPr>
            </w:pPr>
            <w:r>
              <w:rPr>
                <w:rFonts w:hint="eastAsia" w:ascii="宋体" w:hAnsi="宋体"/>
                <w:szCs w:val="21"/>
                <w:highlight w:val="none"/>
              </w:rPr>
              <w:t>（4）不同供应商的响应文件异常一致或者投标报价呈规律性差异；</w:t>
            </w:r>
          </w:p>
          <w:p>
            <w:pPr>
              <w:autoSpaceDE w:val="0"/>
              <w:autoSpaceDN w:val="0"/>
              <w:adjustRightInd w:val="0"/>
              <w:snapToGrid w:val="0"/>
              <w:rPr>
                <w:rFonts w:hint="eastAsia" w:ascii="宋体" w:hAnsi="宋体"/>
                <w:szCs w:val="21"/>
                <w:highlight w:val="none"/>
              </w:rPr>
            </w:pPr>
            <w:r>
              <w:rPr>
                <w:rFonts w:hint="eastAsia" w:ascii="宋体" w:hAnsi="宋体"/>
                <w:szCs w:val="21"/>
                <w:highlight w:val="none"/>
              </w:rPr>
              <w:t>（5）不同供应商的响应文件相互混装。</w:t>
            </w:r>
          </w:p>
          <w:p>
            <w:pPr>
              <w:autoSpaceDE w:val="0"/>
              <w:autoSpaceDN w:val="0"/>
              <w:adjustRightInd w:val="0"/>
              <w:snapToGrid w:val="0"/>
              <w:rPr>
                <w:rFonts w:hint="eastAsia" w:ascii="宋体" w:hAnsi="宋体"/>
                <w:szCs w:val="21"/>
                <w:highlight w:val="none"/>
              </w:rPr>
            </w:pPr>
            <w:r>
              <w:rPr>
                <w:rFonts w:hint="eastAsia" w:ascii="宋体" w:hAnsi="宋体"/>
                <w:szCs w:val="21"/>
                <w:highlight w:val="none"/>
              </w:rPr>
              <w:t>（6）不同供应商使用同一电脑（机器特征值一致：如MAC地址等）或使用同一电子密钥，编制或上传电子响应文件。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33" w:hRule="atLeast"/>
          <w:jc w:val="center"/>
        </w:trPr>
        <w:tc>
          <w:tcPr>
            <w:tcW w:w="680" w:type="dxa"/>
            <w:vMerge w:val="continue"/>
            <w:vAlign w:val="center"/>
          </w:tcPr>
          <w:p>
            <w:pPr>
              <w:widowControl/>
              <w:jc w:val="center"/>
              <w:rPr>
                <w:rFonts w:asciiTheme="minorEastAsia" w:hAnsiTheme="minorEastAsia" w:eastAsiaTheme="minorEastAsia" w:cstheme="minorEastAsia"/>
                <w:bCs/>
                <w:kern w:val="0"/>
                <w:szCs w:val="21"/>
                <w:highlight w:val="none"/>
              </w:rPr>
            </w:pPr>
          </w:p>
        </w:tc>
        <w:tc>
          <w:tcPr>
            <w:tcW w:w="627" w:type="dxa"/>
            <w:vMerge w:val="continue"/>
            <w:vAlign w:val="center"/>
          </w:tcPr>
          <w:p>
            <w:pPr>
              <w:widowControl/>
              <w:jc w:val="center"/>
              <w:rPr>
                <w:rFonts w:asciiTheme="minorEastAsia" w:hAnsiTheme="minorEastAsia" w:eastAsiaTheme="minorEastAsia" w:cstheme="minorEastAsia"/>
                <w:bCs/>
                <w:kern w:val="0"/>
                <w:szCs w:val="21"/>
                <w:highlight w:val="none"/>
              </w:rPr>
            </w:pPr>
          </w:p>
        </w:tc>
        <w:tc>
          <w:tcPr>
            <w:tcW w:w="2797" w:type="dxa"/>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其他要求（二）</w:t>
            </w:r>
          </w:p>
        </w:tc>
        <w:tc>
          <w:tcPr>
            <w:tcW w:w="5258" w:type="dxa"/>
            <w:vAlign w:val="center"/>
          </w:tcPr>
          <w:p>
            <w:pPr>
              <w:widowControl/>
              <w:rPr>
                <w:rFonts w:asciiTheme="minorEastAsia" w:hAnsiTheme="minorEastAsia" w:eastAsiaTheme="minorEastAsia" w:cstheme="minorEastAsia"/>
                <w:kern w:val="0"/>
                <w:szCs w:val="21"/>
                <w:highlight w:val="none"/>
              </w:rPr>
            </w:pPr>
            <w:r>
              <w:rPr>
                <w:rFonts w:hint="eastAsia" w:ascii="宋体" w:hAnsi="宋体" w:cs="宋体"/>
                <w:kern w:val="0"/>
                <w:szCs w:val="21"/>
                <w:highlight w:val="none"/>
              </w:rPr>
              <w:t>磋商文件中规定被视为无效投标其它条款的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056" w:hRule="atLeast"/>
          <w:jc w:val="center"/>
        </w:trPr>
        <w:tc>
          <w:tcPr>
            <w:tcW w:w="680" w:type="dxa"/>
            <w:vMerge w:val="restart"/>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1.4</w:t>
            </w:r>
          </w:p>
        </w:tc>
        <w:tc>
          <w:tcPr>
            <w:tcW w:w="627" w:type="dxa"/>
            <w:vMerge w:val="restart"/>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确定磋商供应商进行最后报价</w:t>
            </w:r>
          </w:p>
        </w:tc>
        <w:tc>
          <w:tcPr>
            <w:tcW w:w="2797" w:type="dxa"/>
            <w:vAlign w:val="center"/>
          </w:tcPr>
          <w:p>
            <w:pPr>
              <w:widowControl/>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磋商文件能完整、明确列明采购需求，无需要供应商提供最终设计方案或者解决方案的</w:t>
            </w:r>
          </w:p>
        </w:tc>
        <w:tc>
          <w:tcPr>
            <w:tcW w:w="5258" w:type="dxa"/>
            <w:vAlign w:val="center"/>
          </w:tcPr>
          <w:p>
            <w:pPr>
              <w:widowControl/>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在磋商结束后，磋商小组向所有通过资格性和符合性审查的磋商供应商发出报价书，并要求其在规定时间内提交最后报价。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0" w:hRule="atLeast"/>
          <w:jc w:val="center"/>
        </w:trPr>
        <w:tc>
          <w:tcPr>
            <w:tcW w:w="680" w:type="dxa"/>
            <w:vMerge w:val="continue"/>
            <w:vAlign w:val="center"/>
          </w:tcPr>
          <w:p>
            <w:pPr>
              <w:widowControl/>
              <w:jc w:val="center"/>
              <w:rPr>
                <w:rFonts w:asciiTheme="minorEastAsia" w:hAnsiTheme="minorEastAsia" w:eastAsiaTheme="minorEastAsia" w:cstheme="minorEastAsia"/>
                <w:kern w:val="0"/>
                <w:szCs w:val="21"/>
                <w:highlight w:val="none"/>
              </w:rPr>
            </w:pPr>
          </w:p>
        </w:tc>
        <w:tc>
          <w:tcPr>
            <w:tcW w:w="627" w:type="dxa"/>
            <w:vMerge w:val="continue"/>
            <w:vAlign w:val="center"/>
          </w:tcPr>
          <w:p>
            <w:pPr>
              <w:widowControl/>
              <w:jc w:val="center"/>
              <w:rPr>
                <w:rFonts w:asciiTheme="minorEastAsia" w:hAnsiTheme="minorEastAsia" w:eastAsiaTheme="minorEastAsia" w:cstheme="minorEastAsia"/>
                <w:kern w:val="0"/>
                <w:szCs w:val="21"/>
                <w:highlight w:val="none"/>
              </w:rPr>
            </w:pPr>
          </w:p>
        </w:tc>
        <w:tc>
          <w:tcPr>
            <w:tcW w:w="2797" w:type="dxa"/>
            <w:vAlign w:val="center"/>
          </w:tcPr>
          <w:p>
            <w:pPr>
              <w:widowControl/>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磋商文件不能完整、明确列明采购需求，需要由供应商提供最终设计方案或者解决方案的</w:t>
            </w:r>
          </w:p>
        </w:tc>
        <w:tc>
          <w:tcPr>
            <w:tcW w:w="5258" w:type="dxa"/>
            <w:vAlign w:val="center"/>
          </w:tcPr>
          <w:p>
            <w:pPr>
              <w:widowControl/>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在磋商结束后，磋商小组应当按照少数服从多数的原则投票推荐供应商的设计方案或者解决方案，并要求其在规定时间内提交最后报价。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674" w:hRule="atLeast"/>
          <w:jc w:val="center"/>
        </w:trPr>
        <w:tc>
          <w:tcPr>
            <w:tcW w:w="680" w:type="dxa"/>
            <w:vAlign w:val="center"/>
          </w:tcPr>
          <w:p>
            <w:pPr>
              <w:widowControl/>
              <w:jc w:val="center"/>
              <w:rPr>
                <w:rFonts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w:t>
            </w:r>
          </w:p>
        </w:tc>
        <w:tc>
          <w:tcPr>
            <w:tcW w:w="627" w:type="dxa"/>
            <w:vAlign w:val="center"/>
          </w:tcPr>
          <w:p>
            <w:pPr>
              <w:widowControl/>
              <w:jc w:val="center"/>
              <w:rPr>
                <w:rFonts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评定</w:t>
            </w:r>
          </w:p>
          <w:p>
            <w:pPr>
              <w:widowControl/>
              <w:jc w:val="center"/>
              <w:rPr>
                <w:rFonts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办法</w:t>
            </w:r>
          </w:p>
        </w:tc>
        <w:tc>
          <w:tcPr>
            <w:tcW w:w="2797" w:type="dxa"/>
            <w:vAlign w:val="center"/>
          </w:tcPr>
          <w:p>
            <w:pPr>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Cs/>
                <w:kern w:val="0"/>
                <w:szCs w:val="21"/>
                <w:highlight w:val="none"/>
              </w:rPr>
              <w:t>综合评分法</w:t>
            </w:r>
          </w:p>
        </w:tc>
        <w:tc>
          <w:tcPr>
            <w:tcW w:w="5258" w:type="dxa"/>
            <w:vAlign w:val="center"/>
          </w:tcPr>
          <w:p>
            <w:pP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各供应商的最终得分为各评委所评定分数的算术平均值。磋商小组将根据供应商最终得分由高到低的照顺序推荐3名成交候选人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674" w:hRule="atLeast"/>
          <w:jc w:val="center"/>
        </w:trPr>
        <w:tc>
          <w:tcPr>
            <w:tcW w:w="680" w:type="dxa"/>
            <w:vAlign w:val="center"/>
          </w:tcPr>
          <w:p>
            <w:pPr>
              <w:widowControl/>
              <w:jc w:val="center"/>
              <w:rPr>
                <w:rFonts w:asciiTheme="minorEastAsia" w:hAnsiTheme="minorEastAsia" w:eastAsiaTheme="minorEastAsia" w:cstheme="minorEastAsia"/>
                <w:bCs/>
                <w:color w:val="000000" w:themeColor="text1"/>
                <w:kern w:val="0"/>
                <w:szCs w:val="21"/>
                <w:highlight w:val="none"/>
                <w14:textFill>
                  <w14:solidFill>
                    <w14:schemeClr w14:val="tx1"/>
                  </w14:solidFill>
                </w14:textFill>
              </w:rPr>
            </w:pPr>
            <w:r>
              <w:rPr>
                <w:rFonts w:hint="eastAsia" w:asciiTheme="minorEastAsia" w:hAnsiTheme="minorEastAsia" w:eastAsiaTheme="minorEastAsia" w:cstheme="minorEastAsia"/>
                <w:bCs/>
                <w:color w:val="000000" w:themeColor="text1"/>
                <w:kern w:val="0"/>
                <w:szCs w:val="21"/>
                <w:highlight w:val="none"/>
                <w14:textFill>
                  <w14:solidFill>
                    <w14:schemeClr w14:val="tx1"/>
                  </w14:solidFill>
                </w14:textFill>
              </w:rPr>
              <w:t>3.</w:t>
            </w:r>
          </w:p>
        </w:tc>
        <w:tc>
          <w:tcPr>
            <w:tcW w:w="627" w:type="dxa"/>
            <w:vAlign w:val="center"/>
          </w:tcPr>
          <w:p>
            <w:pPr>
              <w:widowControl/>
              <w:jc w:val="center"/>
              <w:rPr>
                <w:rFonts w:asciiTheme="minorEastAsia" w:hAnsiTheme="minorEastAsia" w:eastAsiaTheme="minorEastAsia" w:cstheme="minorEastAsia"/>
                <w:bCs/>
                <w:color w:val="000000" w:themeColor="text1"/>
                <w:kern w:val="0"/>
                <w:szCs w:val="21"/>
                <w:highlight w:val="none"/>
                <w14:textFill>
                  <w14:solidFill>
                    <w14:schemeClr w14:val="tx1"/>
                  </w14:solidFill>
                </w14:textFill>
              </w:rPr>
            </w:pPr>
            <w:r>
              <w:rPr>
                <w:rFonts w:hint="eastAsia" w:asciiTheme="minorEastAsia" w:hAnsiTheme="minorEastAsia" w:eastAsiaTheme="minorEastAsia" w:cstheme="minorEastAsia"/>
                <w:bCs/>
                <w:color w:val="000000" w:themeColor="text1"/>
                <w:kern w:val="0"/>
                <w:szCs w:val="21"/>
                <w:highlight w:val="none"/>
                <w14:textFill>
                  <w14:solidFill>
                    <w14:schemeClr w14:val="tx1"/>
                  </w14:solidFill>
                </w14:textFill>
              </w:rPr>
              <w:t>相同品牌</w:t>
            </w: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（本项目不适用）</w:t>
            </w:r>
          </w:p>
        </w:tc>
        <w:tc>
          <w:tcPr>
            <w:tcW w:w="2797" w:type="dxa"/>
            <w:vAlign w:val="center"/>
          </w:tcPr>
          <w:p>
            <w:pPr>
              <w:jc w:val="center"/>
              <w:rPr>
                <w:rFonts w:asciiTheme="minorEastAsia" w:hAnsiTheme="minorEastAsia" w:eastAsiaTheme="minorEastAsia" w:cstheme="minorEastAsia"/>
                <w:bCs/>
                <w:color w:val="000000" w:themeColor="text1"/>
                <w:kern w:val="0"/>
                <w:szCs w:val="21"/>
                <w:highlight w:val="none"/>
                <w14:textFill>
                  <w14:solidFill>
                    <w14:schemeClr w14:val="tx1"/>
                  </w14:solidFill>
                </w14:textFill>
              </w:rPr>
            </w:pPr>
            <w:r>
              <w:rPr>
                <w:rFonts w:hint="eastAsia" w:asciiTheme="minorEastAsia" w:hAnsiTheme="minorEastAsia" w:eastAsiaTheme="minorEastAsia" w:cstheme="minorEastAsia"/>
                <w:bCs/>
                <w:color w:val="000000" w:themeColor="text1"/>
                <w:kern w:val="0"/>
                <w:szCs w:val="21"/>
                <w:highlight w:val="none"/>
                <w14:textFill>
                  <w14:solidFill>
                    <w14:schemeClr w14:val="tx1"/>
                  </w14:solidFill>
                </w14:textFill>
              </w:rPr>
              <w:t>相同品牌处理原则</w:t>
            </w:r>
          </w:p>
        </w:tc>
        <w:tc>
          <w:tcPr>
            <w:tcW w:w="5258" w:type="dxa"/>
            <w:vAlign w:val="center"/>
          </w:tcPr>
          <w:p>
            <w:pPr>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 xml:space="preserve">提供相同品牌产品且通过资格审查、符合性审查的不同供应商参加同一合同项下竞标的，按一家供应商计算，评审后得分最高的同品牌供应商获得成交候选供应商推荐资格；评审得分相同的，由采购人确定或者采购人委托磋商小组以投票方式确定一个供应商获得成交候选供应商推荐资格，其他同品牌供应商不作为成交候选供应商。 </w:t>
            </w:r>
          </w:p>
          <w:p>
            <w:pPr>
              <w:autoSpaceDE w:val="0"/>
              <w:autoSpaceDN w:val="0"/>
              <w:adjustRightInd w:val="0"/>
              <w:snapToGrid w:val="0"/>
              <w:spacing w:beforeLines="10" w:afterLines="10"/>
              <w:ind w:right="21" w:rightChars="10"/>
              <w:jc w:val="left"/>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非单一产品采购项目，采购人应当根据采购项目技术构成、产品价格比重等合理确定一个核心产品，并以“核心产品”在磋商文件中标注。若核心产品不止1个，各供应商所投任一核心产品的品牌相同，则按一家供应商计算。</w:t>
            </w:r>
          </w:p>
          <w:p>
            <w:pPr>
              <w:rPr>
                <w:rFonts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多家供应商提供的核心产品品牌相同的，按上述规定处理。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16" w:hRule="atLeast"/>
          <w:jc w:val="center"/>
        </w:trPr>
        <w:tc>
          <w:tcPr>
            <w:tcW w:w="9362" w:type="dxa"/>
            <w:gridSpan w:val="4"/>
            <w:vAlign w:val="center"/>
          </w:tcPr>
          <w:p>
            <w:pPr>
              <w:widowControl/>
              <w:pBdr>
                <w:between w:val="single" w:color="auto" w:sz="4" w:space="0"/>
              </w:pBdr>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
                <w:kern w:val="0"/>
                <w:szCs w:val="21"/>
                <w:highlight w:val="none"/>
              </w:rPr>
              <w:t>政策支持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020" w:hRule="atLeast"/>
          <w:jc w:val="center"/>
        </w:trPr>
        <w:tc>
          <w:tcPr>
            <w:tcW w:w="1307" w:type="dxa"/>
            <w:gridSpan w:val="2"/>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所属行业及</w:t>
            </w:r>
          </w:p>
          <w:p>
            <w:pPr>
              <w:widowControl/>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划型标准</w:t>
            </w:r>
          </w:p>
        </w:tc>
        <w:tc>
          <w:tcPr>
            <w:tcW w:w="8055" w:type="dxa"/>
            <w:gridSpan w:val="2"/>
            <w:vAlign w:val="center"/>
          </w:tcPr>
          <w:p>
            <w:pPr>
              <w:widowControl/>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类型：其他未列明行业……（查询划型标准）</w:t>
            </w:r>
          </w:p>
          <w:p>
            <w:pPr>
              <w:widowControl/>
              <w:rPr>
                <w:rFonts w:asciiTheme="minorEastAsia" w:hAnsiTheme="minorEastAsia" w:eastAsiaTheme="minorEastAsia" w:cstheme="minorEastAsia"/>
                <w:kern w:val="0"/>
                <w:szCs w:val="21"/>
                <w:highlight w:val="none"/>
                <w:u w:val="single"/>
              </w:rPr>
            </w:pPr>
            <w:r>
              <w:rPr>
                <w:rFonts w:hint="eastAsia" w:asciiTheme="minorEastAsia" w:hAnsiTheme="minorEastAsia" w:eastAsiaTheme="minorEastAsia" w:cstheme="minorEastAsia"/>
                <w:kern w:val="0"/>
                <w:szCs w:val="21"/>
                <w:highlight w:val="none"/>
              </w:rPr>
              <w:t>小型：营业收入从业人员资产总额</w:t>
            </w:r>
          </w:p>
          <w:p>
            <w:pPr>
              <w:widowControl/>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微型：营业收入从业人员资产总额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020" w:hRule="atLeast"/>
          <w:jc w:val="center"/>
        </w:trPr>
        <w:tc>
          <w:tcPr>
            <w:tcW w:w="1307" w:type="dxa"/>
            <w:gridSpan w:val="2"/>
            <w:vAlign w:val="center"/>
          </w:tcPr>
          <w:p>
            <w:pPr>
              <w:widowControl/>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中小企业</w:t>
            </w:r>
          </w:p>
        </w:tc>
        <w:tc>
          <w:tcPr>
            <w:tcW w:w="8055" w:type="dxa"/>
            <w:gridSpan w:val="2"/>
            <w:vAlign w:val="center"/>
          </w:tcPr>
          <w:p>
            <w:pPr>
              <w:widowControl/>
              <w:rPr>
                <w:rFonts w:hint="eastAsia"/>
                <w:highlight w:val="none"/>
              </w:rPr>
            </w:pPr>
            <w:r>
              <w:rPr>
                <w:rFonts w:hint="eastAsia" w:asciiTheme="minorEastAsia" w:hAnsiTheme="minorEastAsia" w:eastAsiaTheme="minorEastAsia" w:cstheme="minorEastAsia"/>
                <w:kern w:val="0"/>
                <w:szCs w:val="21"/>
                <w:highlight w:val="none"/>
                <w:lang w:eastAsia="zh-CN"/>
              </w:rPr>
              <w:t>适用于非专门面向中小微企业项目，</w:t>
            </w:r>
            <w:r>
              <w:rPr>
                <w:rFonts w:hint="eastAsia" w:asciiTheme="minorEastAsia" w:hAnsiTheme="minorEastAsia" w:eastAsiaTheme="minorEastAsia" w:cstheme="minorEastAsia"/>
                <w:kern w:val="0"/>
                <w:szCs w:val="21"/>
                <w:highlight w:val="none"/>
              </w:rPr>
              <w:t>如符合工信部联企业【2011】300号文中对中小企业划型标准的， 需提供本单位的 《中小企业声明函》（格式见第六章）及企业相关数据资料。代理商竞标需同时提供制造商及代理商双方的数据资料（制造商直接竞标的仅需提供制造商数据资料），如果数据资料与声明函不一致的，由磋商小组判定。经磋商小组审核确认供应商符合工信部联企业【2011】300 号文中对中小企业划型标准的，将根据</w:t>
            </w:r>
            <w:r>
              <w:rPr>
                <w:rFonts w:hint="eastAsia" w:asciiTheme="minorEastAsia" w:hAnsiTheme="minorEastAsia" w:eastAsiaTheme="minorEastAsia" w:cstheme="minorEastAsia"/>
                <w:kern w:val="0"/>
                <w:szCs w:val="21"/>
                <w:highlight w:val="none"/>
                <w:lang w:eastAsia="zh-CN"/>
              </w:rPr>
              <w:t>财库【</w:t>
            </w:r>
            <w:r>
              <w:rPr>
                <w:rFonts w:hint="eastAsia" w:asciiTheme="minorEastAsia" w:hAnsiTheme="minorEastAsia" w:eastAsiaTheme="minorEastAsia" w:cstheme="minorEastAsia"/>
                <w:kern w:val="0"/>
                <w:szCs w:val="21"/>
                <w:highlight w:val="none"/>
                <w:lang w:val="en-US" w:eastAsia="zh-CN"/>
              </w:rPr>
              <w:t>2020</w:t>
            </w:r>
            <w:r>
              <w:rPr>
                <w:rFonts w:hint="eastAsia" w:asciiTheme="minorEastAsia" w:hAnsiTheme="minorEastAsia" w:eastAsiaTheme="minorEastAsia" w:cstheme="minorEastAsia"/>
                <w:kern w:val="0"/>
                <w:szCs w:val="21"/>
                <w:highlight w:val="none"/>
                <w:lang w:eastAsia="zh-CN"/>
              </w:rPr>
              <w:t>】46号文</w:t>
            </w:r>
            <w:r>
              <w:rPr>
                <w:rFonts w:hint="eastAsia" w:asciiTheme="minorEastAsia" w:hAnsiTheme="minorEastAsia" w:eastAsiaTheme="minorEastAsia" w:cstheme="minorEastAsia"/>
                <w:kern w:val="0"/>
                <w:szCs w:val="21"/>
                <w:highlight w:val="none"/>
              </w:rPr>
              <w:t>的相关规定在评定时对小型和微型企业产品</w:t>
            </w:r>
            <w:r>
              <w:rPr>
                <w:rFonts w:hint="eastAsia" w:asciiTheme="minorEastAsia" w:hAnsiTheme="minorEastAsia" w:eastAsiaTheme="minorEastAsia" w:cstheme="minorEastAsia"/>
                <w:kern w:val="0"/>
                <w:szCs w:val="21"/>
                <w:highlight w:val="none"/>
                <w:lang w:eastAsia="zh-CN"/>
              </w:rPr>
              <w:t>和服务类项目</w:t>
            </w:r>
            <w:r>
              <w:rPr>
                <w:rFonts w:hint="eastAsia" w:asciiTheme="minorEastAsia" w:hAnsiTheme="minorEastAsia" w:eastAsiaTheme="minorEastAsia" w:cstheme="minorEastAsia"/>
                <w:kern w:val="0"/>
                <w:szCs w:val="21"/>
                <w:highlight w:val="none"/>
              </w:rPr>
              <w:t>的价格给予</w:t>
            </w:r>
            <w:r>
              <w:rPr>
                <w:rFonts w:hint="eastAsia" w:asciiTheme="minorEastAsia" w:hAnsiTheme="minorEastAsia" w:eastAsiaTheme="minorEastAsia" w:cstheme="minorEastAsia"/>
                <w:kern w:val="0"/>
                <w:szCs w:val="21"/>
                <w:highlight w:val="none"/>
                <w:lang w:val="en-US" w:eastAsia="zh-CN"/>
              </w:rPr>
              <w:t>10</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kern w:val="0"/>
                <w:szCs w:val="21"/>
                <w:highlight w:val="none"/>
                <w:lang w:eastAsia="zh-CN"/>
              </w:rPr>
              <w:t>（工程项目的价格给予</w:t>
            </w:r>
            <w:r>
              <w:rPr>
                <w:rFonts w:hint="eastAsia" w:asciiTheme="minorEastAsia" w:hAnsiTheme="minorEastAsia" w:eastAsiaTheme="minorEastAsia" w:cstheme="minorEastAsia"/>
                <w:kern w:val="0"/>
                <w:szCs w:val="21"/>
                <w:highlight w:val="none"/>
                <w:lang w:val="en-US" w:eastAsia="zh-CN"/>
              </w:rPr>
              <w:t>3%</w:t>
            </w:r>
            <w:r>
              <w:rPr>
                <w:rFonts w:hint="eastAsia" w:asciiTheme="minorEastAsia" w:hAnsiTheme="minorEastAsia" w:eastAsiaTheme="minorEastAsia" w:cstheme="minorEastAsia"/>
                <w:kern w:val="0"/>
                <w:szCs w:val="21"/>
                <w:highlight w:val="none"/>
                <w:lang w:eastAsia="zh-CN"/>
              </w:rPr>
              <w:t>）</w:t>
            </w:r>
            <w:r>
              <w:rPr>
                <w:rFonts w:hint="eastAsia" w:asciiTheme="minorEastAsia" w:hAnsiTheme="minorEastAsia" w:eastAsiaTheme="minorEastAsia" w:cstheme="minorEastAsia"/>
                <w:kern w:val="0"/>
                <w:szCs w:val="21"/>
                <w:highlight w:val="none"/>
              </w:rPr>
              <w:t>的扣除后的价格参与评审</w:t>
            </w:r>
            <w:r>
              <w:rPr>
                <w:rFonts w:hint="eastAsia" w:asciiTheme="minorEastAsia" w:hAnsiTheme="minorEastAsia" w:eastAsiaTheme="minorEastAsia" w:cstheme="minorEastAsia"/>
                <w:kern w:val="0"/>
                <w:szCs w:val="21"/>
                <w:highlight w:val="none"/>
                <w:lang w:eastAsia="zh-CN"/>
              </w:rPr>
              <w:t>，</w:t>
            </w:r>
            <w:r>
              <w:rPr>
                <w:rFonts w:hint="eastAsia" w:asciiTheme="minorEastAsia" w:hAnsiTheme="minorEastAsia" w:eastAsiaTheme="minorEastAsia" w:cstheme="minorEastAsia"/>
                <w:kern w:val="0"/>
                <w:szCs w:val="21"/>
                <w:highlight w:val="none"/>
              </w:rPr>
              <w:t>。大中型企业与小型、微型企业组成联合体共同参加非专门面向中小企业的政府采购活动，且联合体协议中约定小型、微型企业的协议合同金额占到联合体协议合同总金额 30%以上的，给予联合体</w:t>
            </w:r>
            <w:r>
              <w:rPr>
                <w:rFonts w:hint="eastAsia" w:asciiTheme="minorEastAsia" w:hAnsiTheme="minorEastAsia" w:eastAsiaTheme="minorEastAsia" w:cstheme="minorEastAsia"/>
                <w:kern w:val="0"/>
                <w:szCs w:val="21"/>
                <w:highlight w:val="none"/>
                <w:lang w:val="en-US" w:eastAsia="zh-CN"/>
              </w:rPr>
              <w:t>4</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kern w:val="0"/>
                <w:szCs w:val="21"/>
                <w:highlight w:val="none"/>
                <w:lang w:eastAsia="zh-CN"/>
              </w:rPr>
              <w:t>（工程项目为</w:t>
            </w:r>
            <w:r>
              <w:rPr>
                <w:rFonts w:hint="eastAsia" w:asciiTheme="minorEastAsia" w:hAnsiTheme="minorEastAsia" w:eastAsiaTheme="minorEastAsia" w:cstheme="minorEastAsia"/>
                <w:kern w:val="0"/>
                <w:szCs w:val="21"/>
                <w:highlight w:val="none"/>
                <w:lang w:val="en-US" w:eastAsia="zh-CN"/>
              </w:rPr>
              <w:t>1%</w:t>
            </w:r>
            <w:r>
              <w:rPr>
                <w:rFonts w:hint="eastAsia" w:asciiTheme="minorEastAsia" w:hAnsiTheme="minorEastAsia" w:eastAsiaTheme="minorEastAsia" w:cstheme="minorEastAsia"/>
                <w:kern w:val="0"/>
                <w:szCs w:val="21"/>
                <w:highlight w:val="none"/>
                <w:lang w:eastAsia="zh-CN"/>
              </w:rPr>
              <w:t>）</w:t>
            </w:r>
            <w:r>
              <w:rPr>
                <w:rFonts w:hint="eastAsia" w:asciiTheme="minorEastAsia" w:hAnsiTheme="minorEastAsia" w:eastAsiaTheme="minorEastAsia" w:cstheme="minorEastAsia"/>
                <w:kern w:val="0"/>
                <w:szCs w:val="21"/>
                <w:highlight w:val="none"/>
              </w:rPr>
              <w:t>的价格扣除。</w:t>
            </w:r>
          </w:p>
          <w:p>
            <w:pPr>
              <w:keepNext w:val="0"/>
              <w:keepLines w:val="0"/>
              <w:widowControl/>
              <w:suppressLineNumbers w:val="0"/>
              <w:jc w:val="left"/>
              <w:rPr>
                <w:rFonts w:asciiTheme="minorEastAsia" w:hAnsiTheme="minorEastAsia" w:eastAsiaTheme="minorEastAsia" w:cstheme="minorEastAsia"/>
                <w:szCs w:val="21"/>
                <w:highlight w:val="none"/>
              </w:rPr>
            </w:pPr>
            <w:r>
              <w:rPr>
                <w:rFonts w:hint="eastAsia" w:ascii="宋体" w:hAnsi="宋体" w:eastAsia="宋体" w:cs="宋体"/>
                <w:b w:val="0"/>
                <w:bCs w:val="0"/>
                <w:sz w:val="21"/>
                <w:szCs w:val="21"/>
                <w:highlight w:val="none"/>
              </w:rPr>
              <w:t>根据《湖北省财政厅 湖北省经济和信息化厅关于进一步加强政府采购促进中小企业发展的通知》的通知（鄂财采发[2021]8 号），对符合以下情形之一的小微企业，属于特殊小微企业，以价格优惠幅度的上限享受评审优惠：残疾人企业或监狱企业；纳入创新产品应用示范推荐目录内的企业；政府采购项目的品目属于政府优先采购《节能产品政府采购品目清单》《环境标志产品政府采购品目》范围内，获得相关证书的企业</w:t>
            </w:r>
            <w:r>
              <w:rPr>
                <w:rFonts w:hint="eastAsia" w:ascii="宋体" w:hAnsi="宋体" w:eastAsia="宋体" w:cs="宋体"/>
                <w:b w:val="0"/>
                <w:bCs w:val="0"/>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0" w:hRule="atLeast"/>
          <w:jc w:val="center"/>
        </w:trPr>
        <w:tc>
          <w:tcPr>
            <w:tcW w:w="1307" w:type="dxa"/>
            <w:gridSpan w:val="2"/>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监狱企业</w:t>
            </w:r>
          </w:p>
        </w:tc>
        <w:tc>
          <w:tcPr>
            <w:tcW w:w="8055" w:type="dxa"/>
            <w:gridSpan w:val="2"/>
            <w:vAlign w:val="center"/>
          </w:tcPr>
          <w:p>
            <w:pPr>
              <w:widowControl/>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按照财政部《关于政府采购支持监狱企业发展有关问题的通知》（财库【2014】68号）的规定，在政府采购活动中，监狱企业视同小型、微型企业，享受预留份额、评审中价格扣除等政府采购促进中小企业发展的政府采购政策。监狱企业参加政府采购活动时，应当提供由省级以上监狱管理局、戒毒管理局（含新疆生产建设兵团）出具的属于监狱企业的证明文件，材料不全的不予折扣。经磋商小组审核确认供应商属于监狱企业的，在评定时视同中小企业，价格给予</w:t>
            </w:r>
            <w:r>
              <w:rPr>
                <w:rFonts w:hint="eastAsia" w:asciiTheme="minorEastAsia" w:hAnsiTheme="minorEastAsia" w:eastAsiaTheme="minorEastAsia" w:cstheme="minorEastAsia"/>
                <w:kern w:val="0"/>
                <w:szCs w:val="21"/>
                <w:highlight w:val="none"/>
                <w:lang w:val="en-US" w:eastAsia="zh-CN"/>
              </w:rPr>
              <w:t>10</w:t>
            </w:r>
            <w:r>
              <w:rPr>
                <w:rFonts w:hint="eastAsia" w:asciiTheme="minorEastAsia" w:hAnsiTheme="minorEastAsia" w:eastAsiaTheme="minorEastAsia" w:cstheme="minorEastAsia"/>
                <w:kern w:val="0"/>
                <w:szCs w:val="21"/>
                <w:highlight w:val="none"/>
              </w:rPr>
              <w:t>%的扣除后的价格参与评审。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37" w:hRule="atLeast"/>
          <w:jc w:val="center"/>
        </w:trPr>
        <w:tc>
          <w:tcPr>
            <w:tcW w:w="1307" w:type="dxa"/>
            <w:gridSpan w:val="2"/>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促进残疾人</w:t>
            </w:r>
          </w:p>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就业</w:t>
            </w:r>
          </w:p>
        </w:tc>
        <w:tc>
          <w:tcPr>
            <w:tcW w:w="8055" w:type="dxa"/>
            <w:gridSpan w:val="2"/>
            <w:vAlign w:val="center"/>
          </w:tcPr>
          <w:p>
            <w:pPr>
              <w:widowControl/>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按照《三部门联合发布关于促进残疾人就业政府采购政策的通知》（财库【2017】141 号）的规定，在政府采购活动中，残疾人福利性单位视同小型、微型企业，享受预留份额、评审中价格扣除等促进中小企业发展的政府采购政策。符合条件的残疾人福利性单位在参加政府采购活动时，应当提供财库【2017】141号文规定的《残疾人福利性单位声明函》（格式见第六章），并对声明的真实性负责，未提供声明函的不予折扣。经磋商小组审核确认供应商符合残疾人福利性单位条件的，在评定时视同中小企业。残疾人福利性单位属于小型、微型企业的，不重复享受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297" w:hRule="atLeast"/>
          <w:jc w:val="center"/>
        </w:trPr>
        <w:tc>
          <w:tcPr>
            <w:tcW w:w="1307" w:type="dxa"/>
            <w:gridSpan w:val="2"/>
            <w:vAlign w:val="center"/>
          </w:tcPr>
          <w:p>
            <w:pPr>
              <w:autoSpaceDE w:val="0"/>
              <w:autoSpaceDN w:val="0"/>
              <w:adjustRightInd w:val="0"/>
              <w:jc w:val="center"/>
              <w:rPr>
                <w:rFonts w:ascii="宋体" w:hAnsi="宋体" w:cs="宋体"/>
                <w:snapToGrid w:val="0"/>
                <w:kern w:val="0"/>
                <w:szCs w:val="21"/>
                <w:highlight w:val="none"/>
                <w:lang w:val="zh-CN"/>
              </w:rPr>
            </w:pPr>
          </w:p>
          <w:p>
            <w:pPr>
              <w:autoSpaceDE w:val="0"/>
              <w:autoSpaceDN w:val="0"/>
              <w:adjustRightInd w:val="0"/>
              <w:jc w:val="center"/>
              <w:rPr>
                <w:rFonts w:asciiTheme="minorEastAsia" w:hAnsiTheme="minorEastAsia" w:cstheme="minorEastAsia"/>
                <w:kern w:val="0"/>
                <w:szCs w:val="21"/>
                <w:highlight w:val="none"/>
              </w:rPr>
            </w:pPr>
            <w:r>
              <w:rPr>
                <w:rFonts w:hint="eastAsia" w:ascii="宋体" w:hAnsi="宋体" w:cs="宋体"/>
                <w:snapToGrid w:val="0"/>
                <w:kern w:val="0"/>
                <w:szCs w:val="21"/>
                <w:highlight w:val="none"/>
                <w:lang w:val="zh-CN"/>
              </w:rPr>
              <w:t>节能</w:t>
            </w:r>
            <w:r>
              <w:rPr>
                <w:rFonts w:hint="eastAsia" w:ascii="宋体" w:hAnsi="宋体" w:cs="宋体"/>
                <w:snapToGrid w:val="0"/>
                <w:kern w:val="0"/>
                <w:szCs w:val="21"/>
                <w:highlight w:val="none"/>
              </w:rPr>
              <w:t>环保</w:t>
            </w:r>
          </w:p>
        </w:tc>
        <w:tc>
          <w:tcPr>
            <w:tcW w:w="8055" w:type="dxa"/>
            <w:gridSpan w:val="2"/>
            <w:vAlign w:val="center"/>
          </w:tcPr>
          <w:p>
            <w:pPr>
              <w:autoSpaceDE w:val="0"/>
              <w:autoSpaceDN w:val="0"/>
              <w:adjustRightInd w:val="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按照《财政部 发展改革委 生态环境部 市场监管总局 关于调整优化节能产品、环境标志产品政府采购执行机制的通知》（财库〔2019〕9 号）/《关于印发环境标志产品政府采购品目清单的通知》（财库〔2019〕18 号）/《关于印发节能产品政府采购品目清单的通知》（财库〔2019〕19 号）/《市场监管总局关于发布参与实施政府采购节能产品、环境标志产品认证机构名录的公告》（2019 年第 16 号）文件执行。</w:t>
            </w:r>
          </w:p>
          <w:p>
            <w:pPr>
              <w:autoSpaceDE w:val="0"/>
              <w:autoSpaceDN w:val="0"/>
              <w:adjustRightInd w:val="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如供应商投标产品符合以上文件的政策支持，须提供产品认证证书（合格有效时间内的）或节能产品查（http://www、ccgp、gov、cn/search/jnqdchaxun、htm）/环境标志产品查询（http://www、ccgp、gov、cn/search/hbqdchaxun、htm）查询结果截图。经评委会审核确认供应商投标产品符合以上政府采购政策的，给予该项投标产品所占价格的 1%的价格扣除，用扣除后的价格参与评审。上述政府采购政策优惠须经评标委评审后执行，未提供单独分项报价或证明资料不全的不给予价格扣除。同一项目包内的节能产品价格扣除只对属于节能产品政府清单内的非强制类产品进行，强制类产品已作为投标时强制性要求不再给予价格扣除。同时被认证为节能产品和环境标志产品的不重复享受价格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0" w:hRule="atLeast"/>
          <w:jc w:val="center"/>
        </w:trPr>
        <w:tc>
          <w:tcPr>
            <w:tcW w:w="1307" w:type="dxa"/>
            <w:gridSpan w:val="2"/>
            <w:vAlign w:val="center"/>
          </w:tcPr>
          <w:p>
            <w:pPr>
              <w:snapToGrid w:val="0"/>
              <w:spacing w:before="148" w:beforeAutospacing="0" w:after="0" w:afterAutospacing="0" w:line="240" w:lineRule="auto"/>
              <w:jc w:val="left"/>
              <w:textAlignment w:val="baseline"/>
              <w:rPr>
                <w:rFonts w:hint="eastAsia" w:asciiTheme="minorEastAsia" w:hAnsiTheme="minorEastAsia" w:eastAsiaTheme="minorEastAsia" w:cstheme="minorEastAsia"/>
                <w:kern w:val="0"/>
                <w:szCs w:val="21"/>
                <w:highlight w:val="none"/>
                <w:lang w:val="zh-CN" w:eastAsia="zh-CN"/>
              </w:rPr>
            </w:pPr>
            <w:bookmarkStart w:id="238" w:name="_Toc16140"/>
            <w:bookmarkStart w:id="239" w:name="_Toc12097"/>
            <w:r>
              <w:rPr>
                <w:rFonts w:hint="eastAsia" w:ascii="宋体" w:hAnsi="宋体" w:eastAsia="宋体" w:cs="仿宋"/>
                <w:b w:val="0"/>
                <w:i w:val="0"/>
                <w:caps w:val="0"/>
                <w:spacing w:val="0"/>
                <w:w w:val="100"/>
                <w:kern w:val="0"/>
                <w:sz w:val="21"/>
                <w:szCs w:val="21"/>
                <w:highlight w:val="none"/>
                <w:lang w:val="zh-CN" w:bidi="zh-CN"/>
              </w:rPr>
              <w:t>政府采购合同融资政策</w:t>
            </w:r>
          </w:p>
        </w:tc>
        <w:tc>
          <w:tcPr>
            <w:tcW w:w="8055" w:type="dxa"/>
            <w:gridSpan w:val="2"/>
            <w:vAlign w:val="top"/>
          </w:tcPr>
          <w:p>
            <w:pPr>
              <w:snapToGrid w:val="0"/>
              <w:spacing w:before="148" w:beforeAutospacing="0" w:after="0" w:afterAutospacing="0" w:line="240" w:lineRule="auto"/>
              <w:ind w:left="110" w:leftChars="0"/>
              <w:jc w:val="left"/>
              <w:textAlignment w:val="baseline"/>
              <w:rPr>
                <w:rFonts w:hint="eastAsia" w:asciiTheme="minorEastAsia" w:hAnsiTheme="minorEastAsia" w:eastAsiaTheme="minorEastAsia" w:cstheme="minorEastAsia"/>
                <w:kern w:val="0"/>
                <w:szCs w:val="21"/>
                <w:highlight w:val="none"/>
                <w:lang w:val="zh-CN" w:eastAsia="zh-CN"/>
              </w:rPr>
            </w:pPr>
            <w:r>
              <w:rPr>
                <w:rFonts w:hint="eastAsia" w:ascii="宋体" w:hAnsi="宋体" w:eastAsia="宋体" w:cs="仿宋"/>
                <w:b w:val="0"/>
                <w:i w:val="0"/>
                <w:caps w:val="0"/>
                <w:spacing w:val="0"/>
                <w:w w:val="100"/>
                <w:kern w:val="0"/>
                <w:sz w:val="21"/>
                <w:szCs w:val="21"/>
                <w:highlight w:val="none"/>
                <w:lang w:val="zh-CN" w:bidi="zh-CN"/>
              </w:rPr>
              <w:t>参与政府采购活动的中小微企业,在获得政府采购中标（成交）通知书后,可以向开展政府采购合同融资业务的金融机构提出申请,金融机构依据政府采购中标（成交）通知书和政府采购合同,为中小微企业提供融资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0" w:hRule="atLeast"/>
          <w:jc w:val="center"/>
        </w:trPr>
        <w:tc>
          <w:tcPr>
            <w:tcW w:w="1307" w:type="dxa"/>
            <w:gridSpan w:val="2"/>
            <w:vAlign w:val="center"/>
          </w:tcPr>
          <w:p>
            <w:pPr>
              <w:snapToGrid w:val="0"/>
              <w:spacing w:before="148"/>
              <w:jc w:val="left"/>
              <w:textAlignment w:val="baseline"/>
              <w:rPr>
                <w:rFonts w:hint="eastAsia" w:ascii="宋体" w:hAnsi="宋体" w:eastAsia="宋体" w:cs="仿宋"/>
                <w:kern w:val="0"/>
                <w:sz w:val="21"/>
                <w:szCs w:val="21"/>
                <w:highlight w:val="none"/>
                <w:lang w:val="zh-CN" w:eastAsia="zh-CN" w:bidi="zh-CN"/>
              </w:rPr>
            </w:pPr>
            <w:r>
              <w:rPr>
                <w:rFonts w:hint="eastAsia" w:ascii="宋体" w:hAnsi="宋体" w:cs="仿宋"/>
                <w:kern w:val="0"/>
                <w:highlight w:val="none"/>
                <w:lang w:val="zh-CN" w:bidi="zh-CN"/>
              </w:rPr>
              <w:t>政府采购支持绿色建材促进建筑品质提升政策</w:t>
            </w:r>
          </w:p>
        </w:tc>
        <w:tc>
          <w:tcPr>
            <w:tcW w:w="8055" w:type="dxa"/>
            <w:gridSpan w:val="2"/>
            <w:vAlign w:val="top"/>
          </w:tcPr>
          <w:p>
            <w:pPr>
              <w:snapToGrid w:val="0"/>
              <w:spacing w:before="148"/>
              <w:ind w:left="110" w:leftChars="0"/>
              <w:jc w:val="left"/>
              <w:textAlignment w:val="baseline"/>
              <w:rPr>
                <w:rFonts w:hint="eastAsia" w:ascii="宋体" w:hAnsi="宋体" w:eastAsia="宋体" w:cs="仿宋"/>
                <w:kern w:val="0"/>
                <w:sz w:val="21"/>
                <w:szCs w:val="21"/>
                <w:highlight w:val="none"/>
                <w:lang w:val="zh-CN" w:eastAsia="zh-CN" w:bidi="zh-CN"/>
              </w:rPr>
            </w:pPr>
            <w:r>
              <w:rPr>
                <w:rFonts w:hint="eastAsia" w:ascii="宋体" w:hAnsi="宋体" w:cs="仿宋"/>
                <w:kern w:val="0"/>
                <w:highlight w:val="none"/>
                <w:lang w:val="zh-CN" w:bidi="zh-CN"/>
              </w:rPr>
              <w:t>详见“财政部办公厅住房城乡建设部办公厅工业和信息化部办公厅关于印发《政府采购支持绿色建材促进建筑品质提升政策项目实施指南》的通知（财办库[2023]52号文）”</w:t>
            </w:r>
          </w:p>
        </w:tc>
      </w:tr>
    </w:tbl>
    <w:p>
      <w:pPr>
        <w:pStyle w:val="3"/>
        <w:numPr>
          <w:ilvl w:val="0"/>
          <w:numId w:val="0"/>
        </w:numPr>
        <w:bidi w:val="0"/>
        <w:rPr>
          <w:highlight w:val="none"/>
        </w:rPr>
      </w:pPr>
      <w:r>
        <w:rPr>
          <w:rFonts w:hint="eastAsia"/>
          <w:b/>
          <w:bCs/>
          <w:highlight w:val="none"/>
          <w:lang w:val="en-US" w:eastAsia="zh-CN"/>
        </w:rPr>
        <w:t>二、</w:t>
      </w:r>
      <w:r>
        <w:rPr>
          <w:rFonts w:hint="eastAsia"/>
          <w:b/>
          <w:bCs/>
          <w:highlight w:val="none"/>
        </w:rPr>
        <w:t>计算办法</w:t>
      </w:r>
      <w:bookmarkEnd w:id="238"/>
      <w:bookmarkEnd w:id="239"/>
    </w:p>
    <w:p>
      <w:pPr>
        <w:rPr>
          <w:highlight w:val="none"/>
        </w:rPr>
      </w:pPr>
    </w:p>
    <w:tbl>
      <w:tblPr>
        <w:tblStyle w:val="18"/>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2940"/>
        <w:gridCol w:w="6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85" w:hRule="atLeast"/>
          <w:jc w:val="center"/>
        </w:trPr>
        <w:tc>
          <w:tcPr>
            <w:tcW w:w="2940" w:type="dxa"/>
            <w:vAlign w:val="center"/>
          </w:tcPr>
          <w:p>
            <w:pPr>
              <w:widowControl/>
              <w:jc w:val="center"/>
              <w:rPr>
                <w:rFonts w:asciiTheme="minorEastAsia" w:hAnsiTheme="minorEastAsia" w:eastAsiaTheme="minorEastAsia" w:cstheme="minorEastAsia"/>
                <w:b/>
                <w:bCs/>
                <w:kern w:val="0"/>
                <w:szCs w:val="21"/>
                <w:highlight w:val="none"/>
              </w:rPr>
            </w:pPr>
            <w:r>
              <w:rPr>
                <w:rFonts w:hint="eastAsia" w:asciiTheme="minorEastAsia" w:hAnsiTheme="minorEastAsia" w:eastAsiaTheme="minorEastAsia" w:cstheme="minorEastAsia"/>
                <w:b/>
                <w:bCs/>
                <w:kern w:val="0"/>
                <w:szCs w:val="21"/>
                <w:highlight w:val="none"/>
              </w:rPr>
              <w:t>条款内容</w:t>
            </w:r>
          </w:p>
        </w:tc>
        <w:tc>
          <w:tcPr>
            <w:tcW w:w="6322" w:type="dxa"/>
            <w:vAlign w:val="center"/>
          </w:tcPr>
          <w:p>
            <w:pPr>
              <w:widowControl/>
              <w:jc w:val="center"/>
              <w:rPr>
                <w:rFonts w:asciiTheme="minorEastAsia" w:hAnsiTheme="minorEastAsia" w:eastAsiaTheme="minorEastAsia" w:cstheme="minorEastAsia"/>
                <w:b/>
                <w:bCs/>
                <w:kern w:val="0"/>
                <w:szCs w:val="21"/>
                <w:highlight w:val="none"/>
              </w:rPr>
            </w:pPr>
            <w:r>
              <w:rPr>
                <w:rFonts w:hint="eastAsia" w:asciiTheme="minorEastAsia" w:hAnsiTheme="minorEastAsia" w:eastAsiaTheme="minorEastAsia" w:cstheme="minorEastAsia"/>
                <w:b/>
                <w:bCs/>
                <w:kern w:val="0"/>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16" w:hRule="atLeast"/>
          <w:jc w:val="center"/>
        </w:trPr>
        <w:tc>
          <w:tcPr>
            <w:tcW w:w="2940" w:type="dxa"/>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分值构成(总分100分)</w:t>
            </w:r>
          </w:p>
        </w:tc>
        <w:tc>
          <w:tcPr>
            <w:tcW w:w="6322" w:type="dxa"/>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详见评分细则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64" w:hRule="atLeast"/>
          <w:jc w:val="center"/>
        </w:trPr>
        <w:tc>
          <w:tcPr>
            <w:tcW w:w="2940" w:type="dxa"/>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评标基准价计算方法</w:t>
            </w:r>
          </w:p>
        </w:tc>
        <w:tc>
          <w:tcPr>
            <w:tcW w:w="6322" w:type="dxa"/>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满足采购文件要求且报价最低的竞标报价为评标基准价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85" w:hRule="atLeast"/>
          <w:jc w:val="center"/>
        </w:trPr>
        <w:tc>
          <w:tcPr>
            <w:tcW w:w="2940" w:type="dxa"/>
            <w:vAlign w:val="center"/>
          </w:tcPr>
          <w:p>
            <w:pPr>
              <w:widowControl/>
              <w:jc w:val="center"/>
              <w:rPr>
                <w:rFonts w:asciiTheme="minorEastAsia" w:hAnsiTheme="minorEastAsia" w:eastAsiaTheme="minorEastAsia" w:cstheme="minorEastAsia"/>
                <w:b/>
                <w:bCs/>
                <w:kern w:val="0"/>
                <w:szCs w:val="21"/>
                <w:highlight w:val="none"/>
              </w:rPr>
            </w:pPr>
            <w:r>
              <w:rPr>
                <w:rFonts w:hint="eastAsia" w:asciiTheme="minorEastAsia" w:hAnsiTheme="minorEastAsia" w:eastAsiaTheme="minorEastAsia" w:cstheme="minorEastAsia"/>
                <w:b/>
                <w:bCs/>
                <w:kern w:val="0"/>
                <w:szCs w:val="21"/>
                <w:highlight w:val="none"/>
              </w:rPr>
              <w:t>评分因素</w:t>
            </w:r>
          </w:p>
        </w:tc>
        <w:tc>
          <w:tcPr>
            <w:tcW w:w="6322" w:type="dxa"/>
            <w:vAlign w:val="center"/>
          </w:tcPr>
          <w:p>
            <w:pPr>
              <w:widowControl/>
              <w:jc w:val="center"/>
              <w:rPr>
                <w:rFonts w:asciiTheme="minorEastAsia" w:hAnsiTheme="minorEastAsia" w:eastAsiaTheme="minorEastAsia" w:cstheme="minorEastAsia"/>
                <w:b/>
                <w:bCs/>
                <w:kern w:val="0"/>
                <w:szCs w:val="21"/>
                <w:highlight w:val="none"/>
              </w:rPr>
            </w:pPr>
            <w:r>
              <w:rPr>
                <w:rFonts w:hint="eastAsia" w:asciiTheme="minorEastAsia" w:hAnsiTheme="minorEastAsia" w:eastAsiaTheme="minorEastAsia" w:cstheme="minorEastAsia"/>
                <w:b/>
                <w:bCs/>
                <w:kern w:val="0"/>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85" w:hRule="atLeast"/>
          <w:jc w:val="center"/>
        </w:trPr>
        <w:tc>
          <w:tcPr>
            <w:tcW w:w="2940" w:type="dxa"/>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技术部分评分标准</w:t>
            </w:r>
          </w:p>
        </w:tc>
        <w:tc>
          <w:tcPr>
            <w:tcW w:w="6322" w:type="dxa"/>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详见评分细则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85" w:hRule="atLeast"/>
          <w:jc w:val="center"/>
        </w:trPr>
        <w:tc>
          <w:tcPr>
            <w:tcW w:w="2940" w:type="dxa"/>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商务部分评分标准</w:t>
            </w:r>
          </w:p>
        </w:tc>
        <w:tc>
          <w:tcPr>
            <w:tcW w:w="6322" w:type="dxa"/>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详见评分细则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16" w:hRule="atLeast"/>
          <w:jc w:val="center"/>
        </w:trPr>
        <w:tc>
          <w:tcPr>
            <w:tcW w:w="2940" w:type="dxa"/>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竞标报价评分标准</w:t>
            </w:r>
          </w:p>
        </w:tc>
        <w:tc>
          <w:tcPr>
            <w:tcW w:w="6322" w:type="dxa"/>
            <w:vAlign w:val="center"/>
          </w:tcPr>
          <w:p>
            <w:pPr>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低价优先法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97" w:hRule="atLeast"/>
          <w:jc w:val="center"/>
        </w:trPr>
        <w:tc>
          <w:tcPr>
            <w:tcW w:w="2940" w:type="dxa"/>
            <w:vAlign w:val="center"/>
          </w:tcPr>
          <w:p>
            <w:pPr>
              <w:widowControl/>
              <w:jc w:val="center"/>
              <w:rPr>
                <w:rFonts w:asciiTheme="minorEastAsia" w:hAnsiTheme="minorEastAsia" w:eastAsiaTheme="minorEastAsia" w:cstheme="minorEastAsia"/>
                <w:b/>
                <w:bCs/>
                <w:kern w:val="0"/>
                <w:szCs w:val="21"/>
                <w:highlight w:val="none"/>
              </w:rPr>
            </w:pPr>
            <w:r>
              <w:rPr>
                <w:rFonts w:hint="eastAsia" w:asciiTheme="minorEastAsia" w:hAnsiTheme="minorEastAsia" w:eastAsiaTheme="minorEastAsia" w:cstheme="minorEastAsia"/>
                <w:b/>
                <w:bCs/>
                <w:kern w:val="0"/>
                <w:szCs w:val="21"/>
                <w:highlight w:val="none"/>
              </w:rPr>
              <w:t>条款内容</w:t>
            </w:r>
          </w:p>
        </w:tc>
        <w:tc>
          <w:tcPr>
            <w:tcW w:w="6322" w:type="dxa"/>
            <w:vAlign w:val="center"/>
          </w:tcPr>
          <w:p>
            <w:pPr>
              <w:widowControl/>
              <w:jc w:val="center"/>
              <w:rPr>
                <w:rFonts w:asciiTheme="minorEastAsia" w:hAnsiTheme="minorEastAsia" w:eastAsiaTheme="minorEastAsia" w:cstheme="minorEastAsia"/>
                <w:b/>
                <w:bCs/>
                <w:kern w:val="0"/>
                <w:szCs w:val="21"/>
                <w:highlight w:val="none"/>
              </w:rPr>
            </w:pPr>
            <w:r>
              <w:rPr>
                <w:rFonts w:hint="eastAsia" w:asciiTheme="minorEastAsia" w:hAnsiTheme="minorEastAsia" w:eastAsiaTheme="minorEastAsia" w:cstheme="minorEastAsia"/>
                <w:b/>
                <w:bCs/>
                <w:kern w:val="0"/>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98" w:hRule="atLeast"/>
          <w:jc w:val="center"/>
        </w:trPr>
        <w:tc>
          <w:tcPr>
            <w:tcW w:w="2940" w:type="dxa"/>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各供应商的最终得分计算办法</w:t>
            </w:r>
          </w:p>
        </w:tc>
        <w:tc>
          <w:tcPr>
            <w:tcW w:w="6322" w:type="dxa"/>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Cs/>
                <w:szCs w:val="21"/>
                <w:highlight w:val="none"/>
              </w:rPr>
              <w:t>所有评委评分的算术平均值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86" w:hRule="atLeast"/>
          <w:jc w:val="center"/>
        </w:trPr>
        <w:tc>
          <w:tcPr>
            <w:tcW w:w="2940" w:type="dxa"/>
            <w:vAlign w:val="center"/>
          </w:tcPr>
          <w:p>
            <w:pPr>
              <w:widowControl/>
              <w:jc w:val="center"/>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szCs w:val="21"/>
                <w:highlight w:val="none"/>
              </w:rPr>
              <w:t>供应商最后得分相同时对供应商进行排序的方法</w:t>
            </w:r>
          </w:p>
        </w:tc>
        <w:tc>
          <w:tcPr>
            <w:tcW w:w="6322" w:type="dxa"/>
            <w:vAlign w:val="center"/>
          </w:tcPr>
          <w:p>
            <w:pPr>
              <w:widowControl/>
              <w:jc w:val="center"/>
              <w:rPr>
                <w:rFonts w:asciiTheme="minorEastAsia" w:hAnsiTheme="minorEastAsia" w:eastAsiaTheme="minorEastAsia" w:cstheme="minorEastAsia"/>
                <w:snapToGrid w:val="0"/>
                <w:kern w:val="0"/>
                <w:szCs w:val="21"/>
                <w:highlight w:val="none"/>
                <w:lang w:val="zh-CN"/>
              </w:rPr>
            </w:pPr>
            <w:r>
              <w:rPr>
                <w:rFonts w:hint="eastAsia" w:asciiTheme="minorEastAsia" w:hAnsiTheme="minorEastAsia" w:eastAsiaTheme="minorEastAsia" w:cstheme="minorEastAsia"/>
                <w:szCs w:val="21"/>
                <w:highlight w:val="none"/>
              </w:rPr>
              <w:t>得分相同的供应商，按竞标报价由低到高顺序排列。得分且报价相同的，按技术指标优劣顺序排列。</w:t>
            </w:r>
          </w:p>
        </w:tc>
      </w:tr>
    </w:tbl>
    <w:p>
      <w:pPr>
        <w:spacing w:line="360" w:lineRule="auto"/>
        <w:rPr>
          <w:rFonts w:asciiTheme="minorEastAsia" w:hAnsiTheme="minorEastAsia" w:eastAsiaTheme="minorEastAsia" w:cstheme="minorEastAsia"/>
          <w:b/>
          <w:szCs w:val="21"/>
          <w:highlight w:val="none"/>
        </w:rPr>
      </w:pPr>
    </w:p>
    <w:p>
      <w:pPr>
        <w:pStyle w:val="14"/>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p>
    <w:p>
      <w:pPr>
        <w:pStyle w:val="3"/>
        <w:bidi w:val="0"/>
        <w:ind w:left="0" w:leftChars="0" w:firstLine="0" w:firstLineChars="0"/>
        <w:rPr>
          <w:highlight w:val="none"/>
        </w:rPr>
      </w:pPr>
      <w:bookmarkStart w:id="240" w:name="_Toc10415"/>
      <w:bookmarkStart w:id="241" w:name="_Toc12262"/>
      <w:r>
        <w:rPr>
          <w:rFonts w:hint="eastAsia"/>
          <w:b/>
          <w:bCs/>
          <w:highlight w:val="none"/>
        </w:rPr>
        <w:t>三、评分细则</w:t>
      </w:r>
      <w:bookmarkEnd w:id="240"/>
      <w:bookmarkEnd w:id="241"/>
    </w:p>
    <w:p>
      <w:pPr>
        <w:pStyle w:val="3"/>
        <w:tabs>
          <w:tab w:val="left" w:pos="794"/>
        </w:tabs>
        <w:bidi w:val="0"/>
        <w:ind w:left="0" w:leftChars="0" w:firstLine="0" w:firstLineChars="0"/>
        <w:outlineLvl w:val="9"/>
        <w:rPr>
          <w:rFonts w:hint="eastAsia" w:eastAsia="宋体"/>
          <w:highlight w:val="none"/>
          <w:lang w:eastAsia="zh-CN"/>
        </w:rPr>
      </w:pPr>
      <w:bookmarkStart w:id="242" w:name="_Toc11485"/>
    </w:p>
    <w:tbl>
      <w:tblPr>
        <w:tblStyle w:val="18"/>
        <w:tblW w:w="102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270"/>
        <w:gridCol w:w="7218"/>
        <w:gridCol w:w="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07" w:type="dxa"/>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类别</w:t>
            </w:r>
          </w:p>
        </w:tc>
        <w:tc>
          <w:tcPr>
            <w:tcW w:w="1270" w:type="dxa"/>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评审因素</w:t>
            </w:r>
          </w:p>
        </w:tc>
        <w:tc>
          <w:tcPr>
            <w:tcW w:w="7218" w:type="dxa"/>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评审标准</w:t>
            </w:r>
          </w:p>
        </w:tc>
        <w:tc>
          <w:tcPr>
            <w:tcW w:w="758" w:type="dxa"/>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9" w:hRule="atLeast"/>
          <w:jc w:val="center"/>
        </w:trPr>
        <w:tc>
          <w:tcPr>
            <w:tcW w:w="1007" w:type="dxa"/>
            <w:vMerge w:val="restart"/>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highlight w:val="none"/>
              </w:rPr>
            </w:pPr>
            <w:r>
              <w:rPr>
                <w:rFonts w:hint="eastAsia" w:ascii="宋体" w:hAnsi="宋体" w:eastAsia="宋体" w:cs="宋体"/>
                <w:highlight w:val="none"/>
              </w:rPr>
              <w:t>商务</w:t>
            </w:r>
          </w:p>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highlight w:val="none"/>
              </w:rPr>
            </w:pPr>
            <w:r>
              <w:rPr>
                <w:rFonts w:hint="eastAsia" w:ascii="宋体" w:hAnsi="宋体" w:eastAsia="宋体" w:cs="宋体"/>
                <w:highlight w:val="none"/>
              </w:rPr>
              <w:t>评议</w:t>
            </w:r>
          </w:p>
          <w:p>
            <w:pPr>
              <w:pStyle w:val="32"/>
              <w:ind w:left="0" w:leftChars="0" w:firstLine="0" w:firstLineChars="0"/>
              <w:rPr>
                <w:rFonts w:hint="eastAsia" w:ascii="宋体" w:hAnsi="宋体" w:eastAsia="宋体" w:cs="宋体"/>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30分</w:t>
            </w:r>
            <w:r>
              <w:rPr>
                <w:rFonts w:hint="eastAsia" w:ascii="宋体" w:hAnsi="宋体" w:eastAsia="宋体" w:cs="宋体"/>
                <w:sz w:val="21"/>
                <w:szCs w:val="21"/>
                <w:highlight w:val="none"/>
                <w:lang w:eastAsia="zh-CN"/>
              </w:rPr>
              <w:t>）</w:t>
            </w:r>
          </w:p>
        </w:tc>
        <w:tc>
          <w:tcPr>
            <w:tcW w:w="1270" w:type="dxa"/>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类似业绩</w:t>
            </w:r>
          </w:p>
        </w:tc>
        <w:tc>
          <w:tcPr>
            <w:tcW w:w="7218" w:type="dxa"/>
            <w:vAlign w:val="center"/>
          </w:tcPr>
          <w:p>
            <w:pPr>
              <w:keepNext w:val="0"/>
              <w:keepLines w:val="0"/>
              <w:suppressLineNumbers w:val="0"/>
              <w:spacing w:before="0" w:beforeAutospacing="0" w:after="0" w:afterAutospacing="0" w:line="400" w:lineRule="exact"/>
              <w:ind w:left="0" w:right="0"/>
              <w:jc w:val="left"/>
              <w:rPr>
                <w:rFonts w:hint="eastAsia" w:ascii="宋体" w:hAnsi="宋体" w:eastAsia="宋体" w:cs="宋体"/>
                <w:color w:val="000000"/>
                <w:kern w:val="0"/>
                <w:sz w:val="21"/>
                <w:szCs w:val="21"/>
                <w:highlight w:val="none"/>
              </w:rPr>
            </w:pPr>
            <w:r>
              <w:rPr>
                <w:rFonts w:hint="eastAsia" w:ascii="宋体" w:hAnsi="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提供近</w:t>
            </w:r>
            <w:r>
              <w:rPr>
                <w:rFonts w:hint="eastAsia" w:ascii="宋体" w:hAnsi="宋体" w:eastAsia="宋体" w:cs="宋体"/>
                <w:color w:val="000000"/>
                <w:kern w:val="0"/>
                <w:sz w:val="21"/>
                <w:szCs w:val="21"/>
                <w:highlight w:val="none"/>
                <w:lang w:val="en-US" w:eastAsia="zh-CN"/>
              </w:rPr>
              <w:t>三</w:t>
            </w:r>
            <w:r>
              <w:rPr>
                <w:rFonts w:hint="eastAsia" w:ascii="宋体" w:hAnsi="宋体" w:eastAsia="宋体" w:cs="宋体"/>
                <w:color w:val="000000"/>
                <w:kern w:val="0"/>
                <w:sz w:val="21"/>
                <w:szCs w:val="21"/>
                <w:highlight w:val="none"/>
              </w:rPr>
              <w:t>年</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lang w:val="en-US" w:eastAsia="zh-CN"/>
              </w:rPr>
              <w:t>至响应文件递交截止时间，以合同签订时间为准</w:t>
            </w:r>
            <w:r>
              <w:rPr>
                <w:rFonts w:hint="eastAsia" w:ascii="宋体" w:hAnsi="宋体" w:eastAsia="宋体" w:cs="宋体"/>
                <w:color w:val="000000"/>
                <w:kern w:val="0"/>
                <w:sz w:val="21"/>
                <w:szCs w:val="21"/>
                <w:highlight w:val="none"/>
                <w:lang w:eastAsia="zh-CN"/>
              </w:rPr>
              <w:t>）</w:t>
            </w:r>
            <w:r>
              <w:rPr>
                <w:rFonts w:hint="eastAsia" w:asciiTheme="minorEastAsia" w:hAnsiTheme="minorEastAsia" w:cstheme="minorEastAsia"/>
                <w:szCs w:val="21"/>
                <w:highlight w:val="none"/>
              </w:rPr>
              <w:t>类似(堤防、水库和大坝）白蚁防治的业绩每提供一个得</w:t>
            </w:r>
            <w:r>
              <w:rPr>
                <w:rFonts w:hint="eastAsia" w:asciiTheme="minorEastAsia" w:hAnsiTheme="minorEastAsia" w:cstheme="minorEastAsia"/>
                <w:szCs w:val="21"/>
                <w:highlight w:val="none"/>
                <w:lang w:val="en-US" w:eastAsia="zh-CN"/>
              </w:rPr>
              <w:t>4</w:t>
            </w:r>
            <w:r>
              <w:rPr>
                <w:rFonts w:hint="eastAsia" w:asciiTheme="minorEastAsia" w:hAnsiTheme="minorEastAsia" w:cstheme="minorEastAsia"/>
                <w:szCs w:val="21"/>
                <w:highlight w:val="none"/>
              </w:rPr>
              <w:t>分，最多1</w:t>
            </w:r>
            <w:r>
              <w:rPr>
                <w:rFonts w:hint="eastAsia" w:asciiTheme="minorEastAsia" w:hAnsiTheme="minorEastAsia" w:cstheme="minorEastAsia"/>
                <w:szCs w:val="21"/>
                <w:highlight w:val="none"/>
                <w:lang w:val="en-US" w:eastAsia="zh-CN"/>
              </w:rPr>
              <w:t>2</w:t>
            </w:r>
            <w:r>
              <w:rPr>
                <w:rFonts w:hint="eastAsia" w:asciiTheme="minorEastAsia" w:hAnsiTheme="minorEastAsia" w:cstheme="minorEastAsia"/>
                <w:szCs w:val="21"/>
                <w:highlight w:val="none"/>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eastAsia="zh-CN"/>
              </w:rPr>
            </w:pPr>
            <w:r>
              <w:rPr>
                <w:rFonts w:hint="eastAsia" w:asciiTheme="minorEastAsia" w:hAnsiTheme="minorEastAsia" w:cstheme="minorEastAsia"/>
                <w:b/>
                <w:bCs/>
                <w:szCs w:val="21"/>
                <w:highlight w:val="none"/>
                <w:lang w:eastAsia="zh-CN"/>
              </w:rPr>
              <w:t>（提供中标通知书或合同复印件加盖公章，未提供不得分）</w:t>
            </w:r>
          </w:p>
        </w:tc>
        <w:tc>
          <w:tcPr>
            <w:tcW w:w="758" w:type="dxa"/>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lang w:val="en-US" w:eastAsia="zh-CN"/>
              </w:rPr>
              <w:t>12</w:t>
            </w:r>
            <w:r>
              <w:rPr>
                <w:rFonts w:hint="eastAsia" w:ascii="宋体" w:hAnsi="宋体" w:eastAsia="宋体" w:cs="宋体"/>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1007" w:type="dxa"/>
            <w:vMerge w:val="continue"/>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sz w:val="21"/>
                <w:szCs w:val="21"/>
                <w:highlight w:val="none"/>
              </w:rPr>
            </w:pPr>
          </w:p>
        </w:tc>
        <w:tc>
          <w:tcPr>
            <w:tcW w:w="1270" w:type="dxa"/>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lang w:eastAsia="zh-CN"/>
              </w:rPr>
              <w:t>团队人员配备</w:t>
            </w:r>
          </w:p>
        </w:tc>
        <w:tc>
          <w:tcPr>
            <w:tcW w:w="7218" w:type="dxa"/>
            <w:vAlign w:val="center"/>
          </w:tcPr>
          <w:p>
            <w:pPr>
              <w:keepNext w:val="0"/>
              <w:keepLines w:val="0"/>
              <w:numPr>
                <w:ilvl w:val="0"/>
                <w:numId w:val="0"/>
              </w:numPr>
              <w:suppressLineNumbers w:val="0"/>
              <w:spacing w:before="0" w:beforeAutospacing="0" w:after="0" w:afterAutospacing="0" w:line="340" w:lineRule="exact"/>
              <w:ind w:right="0" w:rightChars="0"/>
              <w:jc w:val="left"/>
              <w:rPr>
                <w:rFonts w:hint="eastAsia" w:asciiTheme="minorEastAsia" w:hAnsiTheme="minorEastAsia" w:cstheme="minorEastAsia"/>
                <w:szCs w:val="21"/>
                <w:highlight w:val="none"/>
              </w:rPr>
            </w:pPr>
            <w:r>
              <w:rPr>
                <w:rFonts w:hint="eastAsia" w:asciiTheme="minorEastAsia" w:hAnsiTheme="minorEastAsia" w:cstheme="minorEastAsia"/>
                <w:szCs w:val="21"/>
                <w:highlight w:val="none"/>
              </w:rPr>
              <w:t>团队人员每具有1个白蚁防治培训证书的得</w:t>
            </w:r>
            <w:r>
              <w:rPr>
                <w:rFonts w:hint="eastAsia" w:asciiTheme="minorEastAsia" w:hAnsiTheme="minorEastAsia" w:cstheme="minorEastAsia"/>
                <w:szCs w:val="21"/>
                <w:highlight w:val="none"/>
                <w:lang w:val="en-US" w:eastAsia="zh-CN"/>
              </w:rPr>
              <w:t>3</w:t>
            </w:r>
            <w:r>
              <w:rPr>
                <w:rFonts w:hint="eastAsia" w:asciiTheme="minorEastAsia" w:hAnsiTheme="minorEastAsia" w:cstheme="minorEastAsia"/>
                <w:szCs w:val="21"/>
                <w:highlight w:val="none"/>
              </w:rPr>
              <w:t>分，最高</w:t>
            </w:r>
            <w:r>
              <w:rPr>
                <w:rFonts w:hint="eastAsia" w:asciiTheme="minorEastAsia" w:hAnsiTheme="minorEastAsia" w:cstheme="minorEastAsia"/>
                <w:szCs w:val="21"/>
                <w:highlight w:val="none"/>
                <w:lang w:val="en-US" w:eastAsia="zh-CN"/>
              </w:rPr>
              <w:t>12</w:t>
            </w:r>
            <w:r>
              <w:rPr>
                <w:rFonts w:hint="eastAsia" w:asciiTheme="minorEastAsia" w:hAnsiTheme="minorEastAsia" w:cstheme="minorEastAsia"/>
                <w:szCs w:val="21"/>
                <w:highlight w:val="none"/>
              </w:rPr>
              <w:t>分</w:t>
            </w:r>
          </w:p>
          <w:p>
            <w:pPr>
              <w:keepNext w:val="0"/>
              <w:keepLines w:val="0"/>
              <w:suppressLineNumbers w:val="0"/>
              <w:spacing w:before="0" w:beforeAutospacing="0" w:after="0" w:afterAutospacing="0" w:line="340" w:lineRule="exact"/>
              <w:ind w:left="0" w:leftChars="0" w:right="0" w:rightChars="0"/>
              <w:jc w:val="left"/>
              <w:rPr>
                <w:rFonts w:hint="eastAsia" w:ascii="宋体" w:hAnsi="宋体" w:eastAsia="宋体" w:cs="宋体"/>
                <w:color w:val="000000"/>
                <w:kern w:val="0"/>
                <w:sz w:val="21"/>
                <w:szCs w:val="21"/>
                <w:highlight w:val="none"/>
                <w:lang w:val="en-US" w:eastAsia="zh-CN" w:bidi="ar"/>
              </w:rPr>
            </w:pPr>
            <w:r>
              <w:rPr>
                <w:rFonts w:hint="eastAsia" w:asciiTheme="minorEastAsia" w:hAnsiTheme="minorEastAsia" w:cstheme="minorEastAsia"/>
                <w:b/>
                <w:bCs/>
                <w:szCs w:val="21"/>
                <w:highlight w:val="none"/>
                <w:lang w:eastAsia="zh-CN"/>
              </w:rPr>
              <w:t>（提供相关证明材料复印件加盖公章，未提供不得分）</w:t>
            </w:r>
          </w:p>
        </w:tc>
        <w:tc>
          <w:tcPr>
            <w:tcW w:w="758" w:type="dxa"/>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lang w:val="en-US" w:eastAsia="zh-CN"/>
              </w:rPr>
              <w:t>12</w:t>
            </w:r>
            <w:r>
              <w:rPr>
                <w:rFonts w:hint="eastAsia" w:ascii="宋体" w:hAnsi="宋体" w:eastAsia="宋体" w:cs="宋体"/>
                <w:sz w:val="21"/>
                <w:szCs w:val="21"/>
                <w:highlight w:val="none"/>
                <w:lang w:val="en-US" w:eastAsia="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1007" w:type="dxa"/>
            <w:vMerge w:val="continue"/>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sz w:val="21"/>
                <w:szCs w:val="21"/>
                <w:highlight w:val="none"/>
              </w:rPr>
            </w:pPr>
          </w:p>
        </w:tc>
        <w:tc>
          <w:tcPr>
            <w:tcW w:w="1270" w:type="dxa"/>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both"/>
              <w:textAlignment w:val="auto"/>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lang w:val="en-US" w:eastAsia="zh-CN"/>
              </w:rPr>
              <w:t>用户评价</w:t>
            </w:r>
          </w:p>
        </w:tc>
        <w:tc>
          <w:tcPr>
            <w:tcW w:w="7218" w:type="dxa"/>
            <w:vAlign w:val="center"/>
          </w:tcPr>
          <w:p>
            <w:pPr>
              <w:widowControl/>
              <w:spacing w:line="343" w:lineRule="exact"/>
              <w:jc w:val="left"/>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供应商提供类似项目</w:t>
            </w:r>
            <w:r>
              <w:rPr>
                <w:rFonts w:hint="eastAsia" w:ascii="宋体" w:hAnsi="宋体" w:cs="宋体"/>
                <w:kern w:val="0"/>
                <w:sz w:val="21"/>
                <w:szCs w:val="21"/>
                <w:highlight w:val="none"/>
                <w:lang w:eastAsia="zh-CN"/>
              </w:rPr>
              <w:t>用户</w:t>
            </w:r>
            <w:r>
              <w:rPr>
                <w:rFonts w:hint="eastAsia" w:ascii="宋体" w:hAnsi="宋体" w:eastAsia="宋体" w:cs="宋体"/>
                <w:kern w:val="0"/>
                <w:sz w:val="21"/>
                <w:szCs w:val="21"/>
                <w:highlight w:val="none"/>
                <w:lang w:eastAsia="zh-CN"/>
              </w:rPr>
              <w:t>评价</w:t>
            </w:r>
            <w:r>
              <w:rPr>
                <w:rFonts w:hint="eastAsia" w:ascii="宋体" w:hAnsi="宋体" w:eastAsia="宋体" w:cs="宋体"/>
                <w:kern w:val="0"/>
                <w:sz w:val="21"/>
                <w:szCs w:val="21"/>
                <w:highlight w:val="none"/>
              </w:rPr>
              <w:t>，每提供一份</w:t>
            </w:r>
            <w:r>
              <w:rPr>
                <w:rFonts w:hint="eastAsia" w:ascii="宋体" w:hAnsi="宋体" w:cs="宋体"/>
                <w:kern w:val="0"/>
                <w:sz w:val="21"/>
                <w:szCs w:val="21"/>
                <w:highlight w:val="none"/>
                <w:lang w:eastAsia="zh-CN"/>
              </w:rPr>
              <w:t>用户评价</w:t>
            </w:r>
            <w:r>
              <w:rPr>
                <w:rFonts w:hint="eastAsia" w:ascii="宋体" w:hAnsi="宋体" w:eastAsia="宋体" w:cs="宋体"/>
                <w:kern w:val="0"/>
                <w:sz w:val="21"/>
                <w:szCs w:val="21"/>
                <w:highlight w:val="none"/>
              </w:rPr>
              <w:t>良好</w:t>
            </w:r>
            <w:r>
              <w:rPr>
                <w:rFonts w:hint="eastAsia" w:ascii="宋体" w:hAnsi="宋体" w:eastAsia="宋体" w:cs="宋体"/>
                <w:kern w:val="0"/>
                <w:sz w:val="21"/>
                <w:szCs w:val="21"/>
                <w:highlight w:val="none"/>
                <w:lang w:val="en-US" w:eastAsia="zh-CN"/>
              </w:rPr>
              <w:t>及</w:t>
            </w:r>
            <w:r>
              <w:rPr>
                <w:rFonts w:hint="eastAsia" w:ascii="宋体" w:hAnsi="宋体" w:eastAsia="宋体" w:cs="宋体"/>
                <w:kern w:val="0"/>
                <w:sz w:val="21"/>
                <w:szCs w:val="21"/>
                <w:highlight w:val="none"/>
              </w:rPr>
              <w:t>以上的得</w:t>
            </w:r>
            <w:r>
              <w:rPr>
                <w:rFonts w:hint="eastAsia" w:ascii="宋体" w:hAnsi="宋体" w:eastAsia="宋体" w:cs="宋体"/>
                <w:kern w:val="0"/>
                <w:sz w:val="21"/>
                <w:szCs w:val="21"/>
                <w:highlight w:val="none"/>
                <w:lang w:val="en-US" w:eastAsia="zh-CN"/>
              </w:rPr>
              <w:t>2</w:t>
            </w:r>
            <w:r>
              <w:rPr>
                <w:rFonts w:hint="eastAsia" w:ascii="宋体" w:hAnsi="宋体" w:eastAsia="宋体" w:cs="宋体"/>
                <w:kern w:val="0"/>
                <w:sz w:val="21"/>
                <w:szCs w:val="21"/>
                <w:highlight w:val="none"/>
              </w:rPr>
              <w:t>分，最多得</w:t>
            </w:r>
            <w:r>
              <w:rPr>
                <w:rFonts w:hint="eastAsia" w:ascii="宋体" w:hAnsi="宋体" w:eastAsia="宋体" w:cs="宋体"/>
                <w:kern w:val="0"/>
                <w:sz w:val="21"/>
                <w:szCs w:val="21"/>
                <w:highlight w:val="none"/>
                <w:lang w:val="en-US" w:eastAsia="zh-CN"/>
              </w:rPr>
              <w:t>6</w:t>
            </w:r>
            <w:r>
              <w:rPr>
                <w:rFonts w:hint="eastAsia" w:ascii="宋体" w:hAnsi="宋体" w:eastAsia="宋体" w:cs="宋体"/>
                <w:kern w:val="0"/>
                <w:sz w:val="21"/>
                <w:szCs w:val="21"/>
                <w:highlight w:val="none"/>
              </w:rPr>
              <w:t>分</w:t>
            </w:r>
            <w:r>
              <w:rPr>
                <w:rFonts w:hint="eastAsia" w:ascii="宋体" w:hAnsi="宋体" w:eastAsia="宋体" w:cs="宋体"/>
                <w:kern w:val="0"/>
                <w:sz w:val="21"/>
                <w:szCs w:val="21"/>
                <w:highlight w:val="none"/>
                <w:lang w:eastAsia="zh-CN"/>
              </w:rPr>
              <w:t>。</w:t>
            </w:r>
          </w:p>
          <w:p>
            <w:pPr>
              <w:widowControl/>
              <w:spacing w:line="343" w:lineRule="exact"/>
              <w:jc w:val="left"/>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b/>
                <w:bCs/>
                <w:kern w:val="0"/>
                <w:sz w:val="21"/>
                <w:szCs w:val="21"/>
                <w:highlight w:val="none"/>
                <w:lang w:eastAsia="zh-CN"/>
              </w:rPr>
              <w:t>（提供相关证明材料复印件加盖公章，未提供不得分）</w:t>
            </w:r>
          </w:p>
        </w:tc>
        <w:tc>
          <w:tcPr>
            <w:tcW w:w="758" w:type="dxa"/>
            <w:vAlign w:val="center"/>
          </w:tcPr>
          <w:p>
            <w:pPr>
              <w:widowControl/>
              <w:spacing w:line="343" w:lineRule="exact"/>
              <w:jc w:val="cente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kern w:val="0"/>
                <w:sz w:val="21"/>
                <w:szCs w:val="21"/>
                <w:highlight w:val="none"/>
                <w:lang w:val="en-US" w:eastAsia="zh-CN"/>
              </w:rPr>
              <w:t>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1007" w:type="dxa"/>
            <w:vMerge w:val="restart"/>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highlight w:val="none"/>
              </w:rPr>
            </w:pPr>
            <w:r>
              <w:rPr>
                <w:rFonts w:hint="eastAsia" w:ascii="宋体" w:hAnsi="宋体" w:eastAsia="宋体" w:cs="宋体"/>
                <w:highlight w:val="none"/>
              </w:rPr>
              <w:t>技术</w:t>
            </w:r>
          </w:p>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highlight w:val="none"/>
              </w:rPr>
            </w:pPr>
            <w:r>
              <w:rPr>
                <w:rFonts w:hint="eastAsia" w:ascii="宋体" w:hAnsi="宋体" w:eastAsia="宋体" w:cs="宋体"/>
                <w:highlight w:val="none"/>
              </w:rPr>
              <w:t>评议</w:t>
            </w:r>
          </w:p>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w:t>
            </w:r>
            <w:r>
              <w:rPr>
                <w:rFonts w:hint="eastAsia" w:ascii="宋体" w:hAnsi="宋体" w:cs="宋体"/>
                <w:highlight w:val="none"/>
                <w:lang w:val="en-US" w:eastAsia="zh-CN"/>
              </w:rPr>
              <w:t>60</w:t>
            </w:r>
            <w:r>
              <w:rPr>
                <w:rFonts w:hint="eastAsia" w:ascii="宋体" w:hAnsi="宋体" w:eastAsia="宋体" w:cs="宋体"/>
                <w:highlight w:val="none"/>
                <w:lang w:val="en-US" w:eastAsia="zh-CN"/>
              </w:rPr>
              <w:t>分</w:t>
            </w:r>
            <w:r>
              <w:rPr>
                <w:rFonts w:hint="eastAsia" w:ascii="宋体" w:hAnsi="宋体" w:eastAsia="宋体" w:cs="宋体"/>
                <w:highlight w:val="none"/>
                <w:lang w:eastAsia="zh-CN"/>
              </w:rPr>
              <w:t>）</w:t>
            </w:r>
          </w:p>
          <w:p>
            <w:pPr>
              <w:pStyle w:val="32"/>
              <w:rPr>
                <w:rFonts w:hint="eastAsia" w:ascii="宋体" w:hAnsi="宋体" w:eastAsia="宋体" w:cs="宋体"/>
                <w:highlight w:val="none"/>
                <w:lang w:eastAsia="zh-CN"/>
              </w:rPr>
            </w:pPr>
          </w:p>
        </w:tc>
        <w:tc>
          <w:tcPr>
            <w:tcW w:w="127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highlight w:val="none"/>
                <w:lang w:eastAsia="zh-CN"/>
              </w:rPr>
            </w:pPr>
            <w:r>
              <w:rPr>
                <w:rFonts w:hint="eastAsia" w:ascii="宋体" w:hAnsi="宋体" w:cs="宋体"/>
                <w:color w:val="000000"/>
                <w:kern w:val="0"/>
                <w:sz w:val="21"/>
                <w:szCs w:val="21"/>
                <w:highlight w:val="none"/>
                <w:lang w:eastAsia="zh-CN"/>
              </w:rPr>
              <w:t>项目整体服务方案</w:t>
            </w:r>
          </w:p>
        </w:tc>
        <w:tc>
          <w:tcPr>
            <w:tcW w:w="7218"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供应商根据本项目</w:t>
            </w:r>
            <w:r>
              <w:rPr>
                <w:rFonts w:hint="eastAsia" w:ascii="宋体" w:hAnsi="宋体" w:cs="宋体"/>
                <w:sz w:val="21"/>
                <w:szCs w:val="21"/>
                <w:highlight w:val="none"/>
                <w:lang w:val="en-US" w:eastAsia="zh-CN"/>
              </w:rPr>
              <w:t>需求</w:t>
            </w:r>
            <w:r>
              <w:rPr>
                <w:rFonts w:hint="eastAsia" w:ascii="宋体" w:hAnsi="宋体" w:eastAsia="宋体" w:cs="宋体"/>
                <w:sz w:val="21"/>
                <w:szCs w:val="21"/>
                <w:highlight w:val="none"/>
                <w:lang w:val="en-US" w:eastAsia="zh-CN"/>
              </w:rPr>
              <w:t>提供</w:t>
            </w:r>
            <w:r>
              <w:rPr>
                <w:rFonts w:hint="eastAsia" w:ascii="宋体" w:hAnsi="宋体" w:cs="宋体"/>
                <w:sz w:val="21"/>
                <w:szCs w:val="21"/>
                <w:highlight w:val="none"/>
                <w:lang w:val="en-US" w:eastAsia="zh-CN"/>
              </w:rPr>
              <w:t>项目整体服务方案，内容包含但不限于针对本项的工作目标、工作思路、技术规程及针对本项目的工作重点分析</w:t>
            </w:r>
            <w:r>
              <w:rPr>
                <w:rFonts w:hint="eastAsia" w:ascii="宋体" w:hAnsi="宋体" w:eastAsia="宋体" w:cs="宋体"/>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以上</w:t>
            </w:r>
            <w:r>
              <w:rPr>
                <w:rFonts w:hint="eastAsia" w:ascii="宋体" w:hAnsi="宋体" w:eastAsia="宋体" w:cs="宋体"/>
                <w:sz w:val="21"/>
                <w:szCs w:val="21"/>
                <w:highlight w:val="none"/>
                <w:lang w:val="en-US" w:eastAsia="zh-CN"/>
              </w:rPr>
              <w:t>内容</w:t>
            </w:r>
            <w:r>
              <w:rPr>
                <w:rFonts w:hint="eastAsia" w:ascii="宋体" w:hAnsi="宋体" w:cs="宋体"/>
                <w:sz w:val="21"/>
                <w:szCs w:val="21"/>
                <w:highlight w:val="none"/>
                <w:lang w:val="en-US" w:eastAsia="zh-CN"/>
              </w:rPr>
              <w:t>全面，无瑕疵且针对性强</w:t>
            </w:r>
            <w:r>
              <w:rPr>
                <w:rFonts w:hint="eastAsia" w:ascii="宋体" w:hAnsi="宋体" w:eastAsia="宋体" w:cs="宋体"/>
                <w:sz w:val="21"/>
                <w:szCs w:val="21"/>
                <w:highlight w:val="none"/>
                <w:lang w:val="en-US" w:eastAsia="zh-CN"/>
              </w:rPr>
              <w:t xml:space="preserve">的得 </w:t>
            </w:r>
            <w:r>
              <w:rPr>
                <w:rFonts w:hint="eastAsia" w:ascii="宋体" w:hAnsi="宋体" w:cs="宋体"/>
                <w:sz w:val="21"/>
                <w:szCs w:val="21"/>
                <w:highlight w:val="none"/>
                <w:lang w:val="en-US" w:eastAsia="zh-CN"/>
              </w:rPr>
              <w:t>18</w:t>
            </w:r>
            <w:r>
              <w:rPr>
                <w:rFonts w:hint="eastAsia" w:ascii="宋体" w:hAnsi="宋体" w:eastAsia="宋体" w:cs="宋体"/>
                <w:sz w:val="21"/>
                <w:szCs w:val="21"/>
                <w:highlight w:val="none"/>
                <w:lang w:val="en-US" w:eastAsia="zh-CN"/>
              </w:rPr>
              <w:t xml:space="preserve">分；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以上</w:t>
            </w:r>
            <w:r>
              <w:rPr>
                <w:rFonts w:hint="eastAsia" w:ascii="宋体" w:hAnsi="宋体" w:eastAsia="宋体" w:cs="宋体"/>
                <w:sz w:val="21"/>
                <w:szCs w:val="21"/>
                <w:highlight w:val="none"/>
                <w:lang w:val="en-US" w:eastAsia="zh-CN"/>
              </w:rPr>
              <w:t>内容</w:t>
            </w:r>
            <w:r>
              <w:rPr>
                <w:rFonts w:hint="eastAsia" w:ascii="宋体" w:hAnsi="宋体" w:cs="宋体"/>
                <w:sz w:val="21"/>
                <w:szCs w:val="21"/>
                <w:highlight w:val="none"/>
                <w:lang w:val="en-US" w:eastAsia="zh-CN"/>
              </w:rPr>
              <w:t>较全面，存在1-2处瑕疵，具有一定针对性的</w:t>
            </w:r>
            <w:r>
              <w:rPr>
                <w:rFonts w:hint="eastAsia" w:ascii="宋体" w:hAnsi="宋体" w:eastAsia="宋体" w:cs="宋体"/>
                <w:sz w:val="21"/>
                <w:szCs w:val="21"/>
                <w:highlight w:val="none"/>
                <w:lang w:val="en-US" w:eastAsia="zh-CN"/>
              </w:rPr>
              <w:t>得</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lang w:val="en-US" w:eastAsia="zh-CN"/>
              </w:rPr>
              <w:t xml:space="preserve">分；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以上内容基本全面，存在3-5瑕疵</w:t>
            </w:r>
            <w:r>
              <w:rPr>
                <w:rFonts w:hint="eastAsia" w:ascii="宋体" w:hAnsi="宋体" w:eastAsia="宋体" w:cs="宋体"/>
                <w:sz w:val="21"/>
                <w:szCs w:val="21"/>
                <w:highlight w:val="none"/>
                <w:lang w:val="en-US" w:eastAsia="zh-CN"/>
              </w:rPr>
              <w:t>的得</w:t>
            </w: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lang w:val="en-US" w:eastAsia="zh-CN"/>
              </w:rPr>
              <w:t xml:space="preserve">分 ；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较差或未提供不得分。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（本项所称“瑕疵”是指内容缺少关键点，非专门针对本项目或不适用本项目特性，套用其他项目内容，前后表述矛盾，存在逻辑漏洞或常识性错误。）</w:t>
            </w:r>
          </w:p>
        </w:tc>
        <w:tc>
          <w:tcPr>
            <w:tcW w:w="758" w:type="dxa"/>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lang w:val="en-US" w:eastAsia="zh-CN"/>
              </w:rPr>
              <w:t>18</w:t>
            </w:r>
            <w:r>
              <w:rPr>
                <w:rFonts w:hint="eastAsia" w:ascii="宋体" w:hAnsi="宋体" w:eastAsia="宋体" w:cs="宋体"/>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7" w:hRule="atLeast"/>
          <w:jc w:val="center"/>
        </w:trPr>
        <w:tc>
          <w:tcPr>
            <w:tcW w:w="1007" w:type="dxa"/>
            <w:vMerge w:val="continue"/>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sz w:val="21"/>
                <w:szCs w:val="21"/>
                <w:highlight w:val="none"/>
              </w:rPr>
            </w:pPr>
          </w:p>
        </w:tc>
        <w:tc>
          <w:tcPr>
            <w:tcW w:w="127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highlight w:val="none"/>
                <w:lang w:val="zh-CN" w:eastAsia="zh-CN"/>
              </w:rPr>
            </w:pPr>
            <w:r>
              <w:rPr>
                <w:rFonts w:hint="eastAsia" w:ascii="宋体" w:hAnsi="宋体" w:cs="宋体"/>
                <w:sz w:val="21"/>
                <w:szCs w:val="21"/>
                <w:highlight w:val="none"/>
                <w:lang w:val="zh-CN" w:eastAsia="zh-CN"/>
              </w:rPr>
              <w:t>实施方案</w:t>
            </w:r>
          </w:p>
        </w:tc>
        <w:tc>
          <w:tcPr>
            <w:tcW w:w="7218"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供应商根据本项目</w:t>
            </w:r>
            <w:r>
              <w:rPr>
                <w:rFonts w:hint="eastAsia" w:ascii="宋体" w:hAnsi="宋体" w:cs="宋体"/>
                <w:sz w:val="21"/>
                <w:szCs w:val="21"/>
                <w:highlight w:val="none"/>
                <w:lang w:val="en-US" w:eastAsia="zh-CN"/>
              </w:rPr>
              <w:t>需求</w:t>
            </w:r>
            <w:r>
              <w:rPr>
                <w:rFonts w:hint="eastAsia" w:ascii="宋体" w:hAnsi="宋体" w:eastAsia="宋体" w:cs="宋体"/>
                <w:sz w:val="21"/>
                <w:szCs w:val="21"/>
                <w:highlight w:val="none"/>
                <w:lang w:val="en-US" w:eastAsia="zh-CN"/>
              </w:rPr>
              <w:t>提供</w:t>
            </w:r>
            <w:r>
              <w:rPr>
                <w:rFonts w:hint="eastAsia" w:ascii="宋体" w:hAnsi="宋体" w:cs="宋体"/>
                <w:sz w:val="21"/>
                <w:szCs w:val="21"/>
                <w:highlight w:val="none"/>
                <w:lang w:val="en-US" w:eastAsia="zh-CN"/>
              </w:rPr>
              <w:t>项目项目实施方案，内容包含但不限于针对本项的施工方法、技术措施、施工现场准备及针对本项目的进度保障措施</w:t>
            </w:r>
            <w:r>
              <w:rPr>
                <w:rFonts w:hint="eastAsia" w:ascii="宋体" w:hAnsi="宋体" w:eastAsia="宋体" w:cs="宋体"/>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以上</w:t>
            </w:r>
            <w:r>
              <w:rPr>
                <w:rFonts w:hint="eastAsia" w:ascii="宋体" w:hAnsi="宋体" w:eastAsia="宋体" w:cs="宋体"/>
                <w:sz w:val="21"/>
                <w:szCs w:val="21"/>
                <w:highlight w:val="none"/>
                <w:lang w:val="en-US" w:eastAsia="zh-CN"/>
              </w:rPr>
              <w:t>内容</w:t>
            </w:r>
            <w:r>
              <w:rPr>
                <w:rFonts w:hint="eastAsia" w:ascii="宋体" w:hAnsi="宋体" w:cs="宋体"/>
                <w:sz w:val="21"/>
                <w:szCs w:val="21"/>
                <w:highlight w:val="none"/>
                <w:lang w:val="en-US" w:eastAsia="zh-CN"/>
              </w:rPr>
              <w:t>全面，无瑕疵且针对性强</w:t>
            </w:r>
            <w:r>
              <w:rPr>
                <w:rFonts w:hint="eastAsia" w:ascii="宋体" w:hAnsi="宋体" w:eastAsia="宋体" w:cs="宋体"/>
                <w:sz w:val="21"/>
                <w:szCs w:val="21"/>
                <w:highlight w:val="none"/>
                <w:lang w:val="en-US" w:eastAsia="zh-CN"/>
              </w:rPr>
              <w:t xml:space="preserve">的得 </w:t>
            </w:r>
            <w:r>
              <w:rPr>
                <w:rFonts w:hint="eastAsia" w:ascii="宋体" w:hAnsi="宋体" w:cs="宋体"/>
                <w:sz w:val="21"/>
                <w:szCs w:val="21"/>
                <w:highlight w:val="none"/>
                <w:lang w:val="en-US" w:eastAsia="zh-CN"/>
              </w:rPr>
              <w:t>12</w:t>
            </w:r>
            <w:r>
              <w:rPr>
                <w:rFonts w:hint="eastAsia" w:ascii="宋体" w:hAnsi="宋体" w:eastAsia="宋体" w:cs="宋体"/>
                <w:sz w:val="21"/>
                <w:szCs w:val="21"/>
                <w:highlight w:val="none"/>
                <w:lang w:val="en-US" w:eastAsia="zh-CN"/>
              </w:rPr>
              <w:t xml:space="preserve">分；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以上</w:t>
            </w:r>
            <w:r>
              <w:rPr>
                <w:rFonts w:hint="eastAsia" w:ascii="宋体" w:hAnsi="宋体" w:eastAsia="宋体" w:cs="宋体"/>
                <w:sz w:val="21"/>
                <w:szCs w:val="21"/>
                <w:highlight w:val="none"/>
                <w:lang w:val="en-US" w:eastAsia="zh-CN"/>
              </w:rPr>
              <w:t>内容</w:t>
            </w:r>
            <w:r>
              <w:rPr>
                <w:rFonts w:hint="eastAsia" w:ascii="宋体" w:hAnsi="宋体" w:cs="宋体"/>
                <w:sz w:val="21"/>
                <w:szCs w:val="21"/>
                <w:highlight w:val="none"/>
                <w:lang w:val="en-US" w:eastAsia="zh-CN"/>
              </w:rPr>
              <w:t>较全面，存在1-2处瑕疵，具有一定针对性的</w:t>
            </w:r>
            <w:r>
              <w:rPr>
                <w:rFonts w:hint="eastAsia" w:ascii="宋体" w:hAnsi="宋体" w:eastAsia="宋体" w:cs="宋体"/>
                <w:sz w:val="21"/>
                <w:szCs w:val="21"/>
                <w:highlight w:val="none"/>
                <w:lang w:val="en-US" w:eastAsia="zh-CN"/>
              </w:rPr>
              <w:t>得</w:t>
            </w: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lang w:val="en-US" w:eastAsia="zh-CN"/>
              </w:rPr>
              <w:t xml:space="preserve">分；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以上内容基本全面，存在3-5瑕疵</w:t>
            </w:r>
            <w:r>
              <w:rPr>
                <w:rFonts w:hint="eastAsia" w:ascii="宋体" w:hAnsi="宋体" w:eastAsia="宋体" w:cs="宋体"/>
                <w:sz w:val="21"/>
                <w:szCs w:val="21"/>
                <w:highlight w:val="none"/>
                <w:lang w:val="en-US" w:eastAsia="zh-CN"/>
              </w:rPr>
              <w:t>的得</w:t>
            </w: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lang w:val="en-US" w:eastAsia="zh-CN"/>
              </w:rPr>
              <w:t xml:space="preserve">分 ；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较差或未提供不得分。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（本项所称“瑕疵”是指内容缺少关键点，非专门针对本项目或不适用本项目特性，套用其他项目内容，前后表述矛盾，存在逻辑漏洞或常识性错误。）</w:t>
            </w:r>
          </w:p>
        </w:tc>
        <w:tc>
          <w:tcPr>
            <w:tcW w:w="758" w:type="dxa"/>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lang w:val="en-US" w:eastAsia="zh-CN"/>
              </w:rPr>
              <w:t>12</w:t>
            </w:r>
            <w:r>
              <w:rPr>
                <w:rFonts w:hint="eastAsia" w:ascii="宋体" w:hAnsi="宋体" w:eastAsia="宋体" w:cs="宋体"/>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6" w:hRule="atLeast"/>
          <w:jc w:val="center"/>
        </w:trPr>
        <w:tc>
          <w:tcPr>
            <w:tcW w:w="1007" w:type="dxa"/>
            <w:vMerge w:val="continue"/>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sz w:val="21"/>
                <w:szCs w:val="21"/>
                <w:highlight w:val="none"/>
              </w:rPr>
            </w:pPr>
          </w:p>
        </w:tc>
        <w:tc>
          <w:tcPr>
            <w:tcW w:w="127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highlight w:val="none"/>
                <w:lang w:val="zh-CN" w:eastAsia="zh-CN"/>
              </w:rPr>
            </w:pPr>
            <w:r>
              <w:rPr>
                <w:rFonts w:hint="eastAsia" w:ascii="宋体" w:hAnsi="宋体" w:cs="宋体"/>
                <w:sz w:val="21"/>
                <w:szCs w:val="21"/>
                <w:highlight w:val="none"/>
                <w:lang w:val="zh-CN" w:eastAsia="zh-CN"/>
              </w:rPr>
              <w:t>项目质量保障措施</w:t>
            </w:r>
          </w:p>
        </w:tc>
        <w:tc>
          <w:tcPr>
            <w:tcW w:w="7218"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供应商根据本项目</w:t>
            </w:r>
            <w:r>
              <w:rPr>
                <w:rFonts w:hint="eastAsia" w:ascii="宋体" w:hAnsi="宋体" w:cs="宋体"/>
                <w:sz w:val="21"/>
                <w:szCs w:val="21"/>
                <w:highlight w:val="none"/>
                <w:lang w:val="en-US" w:eastAsia="zh-CN"/>
              </w:rPr>
              <w:t>需求</w:t>
            </w:r>
            <w:r>
              <w:rPr>
                <w:rFonts w:hint="eastAsia" w:ascii="宋体" w:hAnsi="宋体" w:eastAsia="宋体" w:cs="宋体"/>
                <w:sz w:val="21"/>
                <w:szCs w:val="21"/>
                <w:highlight w:val="none"/>
                <w:lang w:val="en-US" w:eastAsia="zh-CN"/>
              </w:rPr>
              <w:t>提供</w:t>
            </w:r>
            <w:r>
              <w:rPr>
                <w:rFonts w:hint="eastAsia" w:ascii="宋体" w:hAnsi="宋体" w:cs="宋体"/>
                <w:sz w:val="21"/>
                <w:szCs w:val="21"/>
                <w:highlight w:val="none"/>
                <w:lang w:val="en-US" w:eastAsia="zh-CN"/>
              </w:rPr>
              <w:t>项目质量保障措施，内容包含但不限于针对本项的项目管理制度、文明施工技术措施、环境保持措施及针对本项目的组织协调方案</w:t>
            </w:r>
            <w:r>
              <w:rPr>
                <w:rFonts w:hint="eastAsia" w:ascii="宋体" w:hAnsi="宋体" w:eastAsia="宋体" w:cs="宋体"/>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以上</w:t>
            </w:r>
            <w:r>
              <w:rPr>
                <w:rFonts w:hint="eastAsia" w:ascii="宋体" w:hAnsi="宋体" w:eastAsia="宋体" w:cs="宋体"/>
                <w:sz w:val="21"/>
                <w:szCs w:val="21"/>
                <w:highlight w:val="none"/>
                <w:lang w:val="en-US" w:eastAsia="zh-CN"/>
              </w:rPr>
              <w:t>内容</w:t>
            </w:r>
            <w:r>
              <w:rPr>
                <w:rFonts w:hint="eastAsia" w:ascii="宋体" w:hAnsi="宋体" w:cs="宋体"/>
                <w:sz w:val="21"/>
                <w:szCs w:val="21"/>
                <w:highlight w:val="none"/>
                <w:lang w:val="en-US" w:eastAsia="zh-CN"/>
              </w:rPr>
              <w:t>全面，无瑕疵且针对性强</w:t>
            </w:r>
            <w:r>
              <w:rPr>
                <w:rFonts w:hint="eastAsia" w:ascii="宋体" w:hAnsi="宋体" w:eastAsia="宋体" w:cs="宋体"/>
                <w:sz w:val="21"/>
                <w:szCs w:val="21"/>
                <w:highlight w:val="none"/>
                <w:lang w:val="en-US" w:eastAsia="zh-CN"/>
              </w:rPr>
              <w:t>的得</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lang w:val="en-US" w:eastAsia="zh-CN"/>
              </w:rPr>
              <w:t xml:space="preserve">分；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以上</w:t>
            </w:r>
            <w:r>
              <w:rPr>
                <w:rFonts w:hint="eastAsia" w:ascii="宋体" w:hAnsi="宋体" w:eastAsia="宋体" w:cs="宋体"/>
                <w:sz w:val="21"/>
                <w:szCs w:val="21"/>
                <w:highlight w:val="none"/>
                <w:lang w:val="en-US" w:eastAsia="zh-CN"/>
              </w:rPr>
              <w:t>内容</w:t>
            </w:r>
            <w:r>
              <w:rPr>
                <w:rFonts w:hint="eastAsia" w:ascii="宋体" w:hAnsi="宋体" w:cs="宋体"/>
                <w:sz w:val="21"/>
                <w:szCs w:val="21"/>
                <w:highlight w:val="none"/>
                <w:lang w:val="en-US" w:eastAsia="zh-CN"/>
              </w:rPr>
              <w:t>较全面，存在1-2处瑕疵，具有一定针对性的</w:t>
            </w:r>
            <w:r>
              <w:rPr>
                <w:rFonts w:hint="eastAsia" w:ascii="宋体" w:hAnsi="宋体" w:eastAsia="宋体" w:cs="宋体"/>
                <w:sz w:val="21"/>
                <w:szCs w:val="21"/>
                <w:highlight w:val="none"/>
                <w:lang w:val="en-US" w:eastAsia="zh-CN"/>
              </w:rPr>
              <w:t>得</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lang w:val="en-US" w:eastAsia="zh-CN"/>
              </w:rPr>
              <w:t xml:space="preserve">分；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以上内容基本全面，存在3-5瑕疵</w:t>
            </w:r>
            <w:r>
              <w:rPr>
                <w:rFonts w:hint="eastAsia" w:ascii="宋体" w:hAnsi="宋体" w:eastAsia="宋体" w:cs="宋体"/>
                <w:sz w:val="21"/>
                <w:szCs w:val="21"/>
                <w:highlight w:val="none"/>
                <w:lang w:val="en-US" w:eastAsia="zh-CN"/>
              </w:rPr>
              <w:t>的得</w:t>
            </w: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较差或未提供不得分。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highlight w:val="none"/>
                <w:lang w:eastAsia="zh-CN"/>
              </w:rPr>
            </w:pPr>
            <w:r>
              <w:rPr>
                <w:rFonts w:hint="eastAsia" w:ascii="宋体" w:hAnsi="宋体" w:cs="宋体"/>
                <w:sz w:val="21"/>
                <w:szCs w:val="21"/>
                <w:highlight w:val="none"/>
                <w:lang w:val="en-US" w:eastAsia="zh-CN"/>
              </w:rPr>
              <w:t>（本项所称“瑕疵”是指内容缺少关键点，非专门针对本项目或不适用本项目特性，套用其他项目内容，前后表述矛盾，存在逻辑漏洞或常识性错误。）</w:t>
            </w:r>
          </w:p>
        </w:tc>
        <w:tc>
          <w:tcPr>
            <w:tcW w:w="758" w:type="dxa"/>
            <w:vAlign w:val="center"/>
          </w:tcPr>
          <w:p>
            <w:pPr>
              <w:spacing w:before="120" w:after="120" w:line="260" w:lineRule="exact"/>
              <w:jc w:val="center"/>
              <w:rPr>
                <w:rFonts w:hint="eastAsia" w:ascii="宋体" w:hAnsi="宋体" w:eastAsia="宋体" w:cs="宋体"/>
                <w:kern w:val="2"/>
                <w:sz w:val="21"/>
                <w:szCs w:val="21"/>
                <w:highlight w:val="none"/>
                <w:lang w:val="en-US" w:eastAsia="zh-CN" w:bidi="ar-SA"/>
              </w:rPr>
            </w:pPr>
            <w:r>
              <w:rPr>
                <w:rFonts w:hint="eastAsia" w:ascii="宋体" w:hAnsi="宋体" w:cs="宋体"/>
                <w:highlight w:val="none"/>
                <w:lang w:val="en-US" w:eastAsia="zh-CN"/>
              </w:rPr>
              <w:t>10</w:t>
            </w:r>
            <w:r>
              <w:rPr>
                <w:rFonts w:hint="eastAsia" w:ascii="宋体" w:hAnsi="宋体" w:eastAsia="宋体" w:cs="宋体"/>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6" w:hRule="atLeast"/>
          <w:jc w:val="center"/>
        </w:trPr>
        <w:tc>
          <w:tcPr>
            <w:tcW w:w="1007" w:type="dxa"/>
            <w:vMerge w:val="continue"/>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sz w:val="21"/>
                <w:szCs w:val="21"/>
                <w:highlight w:val="none"/>
              </w:rPr>
            </w:pPr>
          </w:p>
        </w:tc>
        <w:tc>
          <w:tcPr>
            <w:tcW w:w="127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21"/>
                <w:szCs w:val="21"/>
                <w:highlight w:val="none"/>
                <w:lang w:val="zh-CN" w:eastAsia="zh-CN" w:bidi="ar-SA"/>
              </w:rPr>
            </w:pPr>
            <w:r>
              <w:rPr>
                <w:rFonts w:hint="eastAsia" w:ascii="宋体" w:hAnsi="宋体" w:cs="宋体"/>
                <w:color w:val="000000"/>
                <w:kern w:val="0"/>
                <w:sz w:val="21"/>
                <w:szCs w:val="21"/>
                <w:highlight w:val="none"/>
                <w:lang w:val="en-US" w:eastAsia="zh-CN"/>
              </w:rPr>
              <w:t>应急方案</w:t>
            </w:r>
          </w:p>
        </w:tc>
        <w:tc>
          <w:tcPr>
            <w:tcW w:w="7218"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供应商根据本项目</w:t>
            </w:r>
            <w:r>
              <w:rPr>
                <w:rFonts w:hint="eastAsia" w:ascii="宋体" w:hAnsi="宋体" w:cs="宋体"/>
                <w:sz w:val="21"/>
                <w:szCs w:val="21"/>
                <w:highlight w:val="none"/>
                <w:lang w:val="en-US" w:eastAsia="zh-CN"/>
              </w:rPr>
              <w:t>需求</w:t>
            </w:r>
            <w:r>
              <w:rPr>
                <w:rFonts w:hint="eastAsia" w:ascii="宋体" w:hAnsi="宋体" w:eastAsia="宋体" w:cs="宋体"/>
                <w:sz w:val="21"/>
                <w:szCs w:val="21"/>
                <w:highlight w:val="none"/>
                <w:lang w:val="en-US" w:eastAsia="zh-CN"/>
              </w:rPr>
              <w:t>提供</w:t>
            </w:r>
            <w:r>
              <w:rPr>
                <w:rFonts w:hint="eastAsia" w:ascii="宋体" w:hAnsi="宋体" w:cs="宋体"/>
                <w:sz w:val="21"/>
                <w:szCs w:val="21"/>
                <w:highlight w:val="none"/>
                <w:lang w:val="en-US" w:eastAsia="zh-CN"/>
              </w:rPr>
              <w:t>应急方案，内容包含但不限于针对本项的应急救援程序、中毒处理方案、消防方案及针对现场伤亡预防及处理方案</w:t>
            </w:r>
            <w:r>
              <w:rPr>
                <w:rFonts w:hint="eastAsia" w:ascii="宋体" w:hAnsi="宋体" w:eastAsia="宋体" w:cs="宋体"/>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以上</w:t>
            </w:r>
            <w:r>
              <w:rPr>
                <w:rFonts w:hint="eastAsia" w:ascii="宋体" w:hAnsi="宋体" w:eastAsia="宋体" w:cs="宋体"/>
                <w:sz w:val="21"/>
                <w:szCs w:val="21"/>
                <w:highlight w:val="none"/>
                <w:lang w:val="en-US" w:eastAsia="zh-CN"/>
              </w:rPr>
              <w:t>内容</w:t>
            </w:r>
            <w:r>
              <w:rPr>
                <w:rFonts w:hint="eastAsia" w:ascii="宋体" w:hAnsi="宋体" w:cs="宋体"/>
                <w:sz w:val="21"/>
                <w:szCs w:val="21"/>
                <w:highlight w:val="none"/>
                <w:lang w:val="en-US" w:eastAsia="zh-CN"/>
              </w:rPr>
              <w:t>全面，无瑕疵且针对性强</w:t>
            </w:r>
            <w:r>
              <w:rPr>
                <w:rFonts w:hint="eastAsia" w:ascii="宋体" w:hAnsi="宋体" w:eastAsia="宋体" w:cs="宋体"/>
                <w:sz w:val="21"/>
                <w:szCs w:val="21"/>
                <w:highlight w:val="none"/>
                <w:lang w:val="en-US" w:eastAsia="zh-CN"/>
              </w:rPr>
              <w:t>的得</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lang w:val="en-US" w:eastAsia="zh-CN"/>
              </w:rPr>
              <w:t xml:space="preserve">分；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以上</w:t>
            </w:r>
            <w:r>
              <w:rPr>
                <w:rFonts w:hint="eastAsia" w:ascii="宋体" w:hAnsi="宋体" w:eastAsia="宋体" w:cs="宋体"/>
                <w:sz w:val="21"/>
                <w:szCs w:val="21"/>
                <w:highlight w:val="none"/>
                <w:lang w:val="en-US" w:eastAsia="zh-CN"/>
              </w:rPr>
              <w:t>内容</w:t>
            </w:r>
            <w:r>
              <w:rPr>
                <w:rFonts w:hint="eastAsia" w:ascii="宋体" w:hAnsi="宋体" w:cs="宋体"/>
                <w:sz w:val="21"/>
                <w:szCs w:val="21"/>
                <w:highlight w:val="none"/>
                <w:lang w:val="en-US" w:eastAsia="zh-CN"/>
              </w:rPr>
              <w:t>较全面，存在1-2处瑕疵，具有一定针对性的</w:t>
            </w:r>
            <w:r>
              <w:rPr>
                <w:rFonts w:hint="eastAsia" w:ascii="宋体" w:hAnsi="宋体" w:eastAsia="宋体" w:cs="宋体"/>
                <w:sz w:val="21"/>
                <w:szCs w:val="21"/>
                <w:highlight w:val="none"/>
                <w:lang w:val="en-US" w:eastAsia="zh-CN"/>
              </w:rPr>
              <w:t>得</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lang w:val="en-US" w:eastAsia="zh-CN"/>
              </w:rPr>
              <w:t xml:space="preserve">分；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以上内容基本全面，存在3-5瑕疵</w:t>
            </w:r>
            <w:r>
              <w:rPr>
                <w:rFonts w:hint="eastAsia" w:ascii="宋体" w:hAnsi="宋体" w:eastAsia="宋体" w:cs="宋体"/>
                <w:sz w:val="21"/>
                <w:szCs w:val="21"/>
                <w:highlight w:val="none"/>
                <w:lang w:val="en-US" w:eastAsia="zh-CN"/>
              </w:rPr>
              <w:t>的得</w:t>
            </w: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较差或未提供不得分。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lang w:val="en-US" w:eastAsia="zh-CN"/>
              </w:rPr>
              <w:t>（本项所称“瑕疵”是指内容缺少关键点，非专门针对本项目或不适用本项目特性，套用其他项目内容，前后表述矛盾，存在逻辑漏洞或常识性错误。）</w:t>
            </w:r>
          </w:p>
        </w:tc>
        <w:tc>
          <w:tcPr>
            <w:tcW w:w="758" w:type="dxa"/>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lang w:val="en-US" w:eastAsia="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1007" w:type="dxa"/>
            <w:vMerge w:val="continue"/>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sz w:val="21"/>
                <w:szCs w:val="21"/>
                <w:highlight w:val="none"/>
              </w:rPr>
            </w:pPr>
          </w:p>
        </w:tc>
        <w:tc>
          <w:tcPr>
            <w:tcW w:w="127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val="en-US" w:eastAsia="zh-CN"/>
              </w:rPr>
              <w:t xml:space="preserve">售后服务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21"/>
                <w:szCs w:val="21"/>
                <w:highlight w:val="none"/>
              </w:rPr>
            </w:pPr>
            <w:r>
              <w:rPr>
                <w:rFonts w:hint="eastAsia" w:ascii="宋体" w:hAnsi="宋体" w:cs="宋体"/>
                <w:color w:val="000000"/>
                <w:kern w:val="0"/>
                <w:sz w:val="21"/>
                <w:szCs w:val="21"/>
                <w:highlight w:val="none"/>
                <w:lang w:val="en-US" w:eastAsia="zh-CN"/>
              </w:rPr>
              <w:t>方案</w:t>
            </w:r>
          </w:p>
        </w:tc>
        <w:tc>
          <w:tcPr>
            <w:tcW w:w="7218"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 w:val="21"/>
                <w:szCs w:val="21"/>
                <w:highlight w:val="none"/>
                <w:lang w:val="en-US" w:eastAsia="zh-CN"/>
              </w:rPr>
            </w:pPr>
            <w:r>
              <w:rPr>
                <w:rFonts w:hint="eastAsia" w:ascii="宋体" w:hAnsi="宋体" w:eastAsia="宋体" w:cs="宋体"/>
                <w:sz w:val="21"/>
                <w:szCs w:val="21"/>
                <w:highlight w:val="none"/>
                <w:lang w:val="en-US" w:eastAsia="zh-CN"/>
              </w:rPr>
              <w:t>供应商根据本项目</w:t>
            </w:r>
            <w:r>
              <w:rPr>
                <w:rFonts w:hint="eastAsia" w:ascii="宋体" w:hAnsi="宋体" w:cs="宋体"/>
                <w:sz w:val="21"/>
                <w:szCs w:val="21"/>
                <w:highlight w:val="none"/>
                <w:lang w:val="en-US" w:eastAsia="zh-CN"/>
              </w:rPr>
              <w:t>需求</w:t>
            </w:r>
            <w:r>
              <w:rPr>
                <w:rFonts w:hint="eastAsia" w:ascii="宋体" w:hAnsi="宋体" w:eastAsia="宋体" w:cs="宋体"/>
                <w:sz w:val="21"/>
                <w:szCs w:val="21"/>
                <w:highlight w:val="none"/>
                <w:lang w:val="en-US" w:eastAsia="zh-CN"/>
              </w:rPr>
              <w:t>提供</w:t>
            </w:r>
            <w:r>
              <w:rPr>
                <w:rFonts w:hint="eastAsia" w:ascii="宋体" w:hAnsi="宋体" w:cs="宋体"/>
                <w:sz w:val="21"/>
                <w:szCs w:val="21"/>
                <w:highlight w:val="none"/>
                <w:lang w:val="en-US" w:eastAsia="zh-CN"/>
              </w:rPr>
              <w:t>售后服务方案，内容包含但不限于针对本项的环境保护承诺、验收工作内容及程序、项目保修承诺及项目后期服务措施：</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以上</w:t>
            </w:r>
            <w:r>
              <w:rPr>
                <w:rFonts w:hint="eastAsia" w:ascii="宋体" w:hAnsi="宋体" w:eastAsia="宋体" w:cs="宋体"/>
                <w:sz w:val="21"/>
                <w:szCs w:val="21"/>
                <w:highlight w:val="none"/>
                <w:lang w:val="en-US" w:eastAsia="zh-CN"/>
              </w:rPr>
              <w:t>内容</w:t>
            </w:r>
            <w:r>
              <w:rPr>
                <w:rFonts w:hint="eastAsia" w:ascii="宋体" w:hAnsi="宋体" w:cs="宋体"/>
                <w:sz w:val="21"/>
                <w:szCs w:val="21"/>
                <w:highlight w:val="none"/>
                <w:lang w:val="en-US" w:eastAsia="zh-CN"/>
              </w:rPr>
              <w:t>全面，无瑕疵且针对性强</w:t>
            </w:r>
            <w:r>
              <w:rPr>
                <w:rFonts w:hint="eastAsia" w:ascii="宋体" w:hAnsi="宋体" w:eastAsia="宋体" w:cs="宋体"/>
                <w:sz w:val="21"/>
                <w:szCs w:val="21"/>
                <w:highlight w:val="none"/>
                <w:lang w:val="en-US" w:eastAsia="zh-CN"/>
              </w:rPr>
              <w:t>的得</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lang w:val="en-US" w:eastAsia="zh-CN"/>
              </w:rPr>
              <w:t xml:space="preserve">分；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以上</w:t>
            </w:r>
            <w:r>
              <w:rPr>
                <w:rFonts w:hint="eastAsia" w:ascii="宋体" w:hAnsi="宋体" w:eastAsia="宋体" w:cs="宋体"/>
                <w:sz w:val="21"/>
                <w:szCs w:val="21"/>
                <w:highlight w:val="none"/>
                <w:lang w:val="en-US" w:eastAsia="zh-CN"/>
              </w:rPr>
              <w:t>内容</w:t>
            </w:r>
            <w:r>
              <w:rPr>
                <w:rFonts w:hint="eastAsia" w:ascii="宋体" w:hAnsi="宋体" w:cs="宋体"/>
                <w:sz w:val="21"/>
                <w:szCs w:val="21"/>
                <w:highlight w:val="none"/>
                <w:lang w:val="en-US" w:eastAsia="zh-CN"/>
              </w:rPr>
              <w:t>较全面，存在1-2处瑕疵，具有一定针对性的</w:t>
            </w:r>
            <w:r>
              <w:rPr>
                <w:rFonts w:hint="eastAsia" w:ascii="宋体" w:hAnsi="宋体" w:eastAsia="宋体" w:cs="宋体"/>
                <w:sz w:val="21"/>
                <w:szCs w:val="21"/>
                <w:highlight w:val="none"/>
                <w:lang w:val="en-US" w:eastAsia="zh-CN"/>
              </w:rPr>
              <w:t>得</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lang w:val="en-US" w:eastAsia="zh-CN"/>
              </w:rPr>
              <w:t xml:space="preserve">分；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以上内容基本全面，存在3-5瑕疵</w:t>
            </w:r>
            <w:r>
              <w:rPr>
                <w:rFonts w:hint="eastAsia" w:ascii="宋体" w:hAnsi="宋体" w:eastAsia="宋体" w:cs="宋体"/>
                <w:sz w:val="21"/>
                <w:szCs w:val="21"/>
                <w:highlight w:val="none"/>
                <w:lang w:val="en-US" w:eastAsia="zh-CN"/>
              </w:rPr>
              <w:t>的得</w:t>
            </w: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较差或未提供不得分。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（本项所称“瑕疵”是指内容缺少关键点，非专门针对本项目或不适用本项目特性，套用其他项目内容，前后表述矛盾，存在逻辑漏洞或常识性错误。）</w:t>
            </w:r>
          </w:p>
        </w:tc>
        <w:tc>
          <w:tcPr>
            <w:tcW w:w="758" w:type="dxa"/>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lang w:val="en-US" w:eastAsia="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8" w:hRule="atLeast"/>
          <w:jc w:val="center"/>
        </w:trPr>
        <w:tc>
          <w:tcPr>
            <w:tcW w:w="1007" w:type="dxa"/>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价格</w:t>
            </w:r>
          </w:p>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得分</w:t>
            </w:r>
          </w:p>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lang w:val="en-US" w:eastAsia="zh-CN"/>
              </w:rPr>
              <w:t>分</w:t>
            </w:r>
            <w:r>
              <w:rPr>
                <w:rFonts w:hint="eastAsia" w:ascii="宋体" w:hAnsi="宋体" w:eastAsia="宋体" w:cs="宋体"/>
                <w:sz w:val="21"/>
                <w:szCs w:val="21"/>
                <w:highlight w:val="none"/>
                <w:lang w:eastAsia="zh-CN"/>
              </w:rPr>
              <w:t>）</w:t>
            </w:r>
          </w:p>
        </w:tc>
        <w:tc>
          <w:tcPr>
            <w:tcW w:w="1270" w:type="dxa"/>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报价得分</w:t>
            </w:r>
          </w:p>
        </w:tc>
        <w:tc>
          <w:tcPr>
            <w:tcW w:w="7218"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满足</w:t>
            </w: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文件要求且</w:t>
            </w: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价格最低的</w:t>
            </w: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报价为评标基准价，其价格分为满分。其他</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的价格分统一按照下列公式计算：</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磋商报价得分=（磋商基准价/最后磋商报价（核算后））×</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lang w:val="zh-CN"/>
              </w:rPr>
              <w:t>×100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（价格得分精确到小数点后两位，按四舍五入取值）</w:t>
            </w:r>
          </w:p>
        </w:tc>
        <w:tc>
          <w:tcPr>
            <w:tcW w:w="758" w:type="dxa"/>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eastAsia" w:ascii="宋体" w:hAnsi="宋体" w:eastAsia="宋体" w:cs="宋体"/>
                <w:kern w:val="2"/>
                <w:sz w:val="21"/>
                <w:szCs w:val="21"/>
                <w:highlight w:val="none"/>
                <w:lang w:val="zh-CN" w:eastAsia="zh-CN" w:bidi="ar-SA"/>
              </w:rPr>
            </w:pP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jc w:val="center"/>
        </w:trPr>
        <w:tc>
          <w:tcPr>
            <w:tcW w:w="10253" w:type="dxa"/>
            <w:gridSpan w:val="4"/>
            <w:vAlign w:val="center"/>
          </w:tcPr>
          <w:p>
            <w:pPr>
              <w:keepNext w:val="0"/>
              <w:keepLines w:val="0"/>
              <w:pageBreakBefore w:val="0"/>
              <w:widowControl w:val="0"/>
              <w:kinsoku/>
              <w:wordWrap/>
              <w:overflowPunct/>
              <w:topLinePunct w:val="0"/>
              <w:autoSpaceDE/>
              <w:autoSpaceDN/>
              <w:bidi w:val="0"/>
              <w:adjustRightInd/>
              <w:snapToGrid/>
              <w:spacing w:before="120" w:after="120" w:line="240" w:lineRule="auto"/>
              <w:jc w:val="center"/>
              <w:textAlignment w:val="auto"/>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总分100分</w:t>
            </w:r>
          </w:p>
        </w:tc>
      </w:tr>
    </w:tbl>
    <w:p>
      <w:pPr>
        <w:rPr>
          <w:rFonts w:hint="eastAsia"/>
          <w:highlight w:val="none"/>
          <w:lang w:eastAsia="zh-CN"/>
        </w:rPr>
      </w:pPr>
    </w:p>
    <w:p>
      <w:pPr>
        <w:pStyle w:val="3"/>
        <w:bidi w:val="0"/>
        <w:ind w:left="0" w:leftChars="0" w:firstLine="0" w:firstLineChars="0"/>
        <w:rPr>
          <w:b/>
          <w:bCs/>
          <w:highlight w:val="none"/>
        </w:rPr>
      </w:pPr>
      <w:bookmarkStart w:id="243" w:name="_Toc31215"/>
      <w:r>
        <w:rPr>
          <w:rFonts w:hint="eastAsia"/>
          <w:b/>
          <w:bCs/>
          <w:highlight w:val="none"/>
        </w:rPr>
        <w:t>四、评定办法</w:t>
      </w:r>
      <w:bookmarkEnd w:id="242"/>
      <w:bookmarkEnd w:id="243"/>
    </w:p>
    <w:p>
      <w:pPr>
        <w:numPr>
          <w:ilvl w:val="3"/>
          <w:numId w:val="27"/>
        </w:numPr>
        <w:tabs>
          <w:tab w:val="left" w:pos="540"/>
        </w:tabs>
        <w:spacing w:line="360" w:lineRule="auto"/>
        <w:ind w:left="540" w:hanging="540"/>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初步审查标准</w:t>
      </w:r>
    </w:p>
    <w:p>
      <w:pPr>
        <w:numPr>
          <w:ilvl w:val="1"/>
          <w:numId w:val="28"/>
        </w:numPr>
        <w:tabs>
          <w:tab w:val="left" w:pos="540"/>
          <w:tab w:val="clear" w:pos="360"/>
        </w:tabs>
        <w:spacing w:line="360" w:lineRule="auto"/>
        <w:ind w:left="540" w:hanging="540"/>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资格性审查标准：见评定办法前附表。</w:t>
      </w:r>
    </w:p>
    <w:p>
      <w:pPr>
        <w:numPr>
          <w:ilvl w:val="1"/>
          <w:numId w:val="28"/>
        </w:numPr>
        <w:tabs>
          <w:tab w:val="left" w:pos="540"/>
          <w:tab w:val="clear" w:pos="360"/>
        </w:tabs>
        <w:spacing w:line="360" w:lineRule="auto"/>
        <w:ind w:left="540" w:hanging="540"/>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符合性审查标准：见评定办法前附表。</w:t>
      </w:r>
    </w:p>
    <w:p>
      <w:pPr>
        <w:numPr>
          <w:ilvl w:val="1"/>
          <w:numId w:val="28"/>
        </w:numPr>
        <w:tabs>
          <w:tab w:val="left" w:pos="540"/>
          <w:tab w:val="clear" w:pos="360"/>
        </w:tabs>
        <w:spacing w:line="360" w:lineRule="auto"/>
        <w:ind w:left="540" w:hanging="540"/>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确定磋商供应商进行最后报价：见评定方法前附表。</w:t>
      </w:r>
    </w:p>
    <w:p>
      <w:pPr>
        <w:numPr>
          <w:ilvl w:val="3"/>
          <w:numId w:val="27"/>
        </w:numPr>
        <w:tabs>
          <w:tab w:val="left" w:pos="540"/>
        </w:tabs>
        <w:spacing w:line="360" w:lineRule="auto"/>
        <w:ind w:left="540" w:hanging="540"/>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评定方法：见评定办法前附表。</w:t>
      </w:r>
    </w:p>
    <w:p>
      <w:pPr>
        <w:spacing w:line="360" w:lineRule="auto"/>
        <w:ind w:firstLine="420" w:firstLineChars="200"/>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2.2.1 分值构成</w:t>
      </w:r>
    </w:p>
    <w:p>
      <w:pPr>
        <w:spacing w:line="360" w:lineRule="auto"/>
        <w:ind w:firstLine="718" w:firstLineChars="342"/>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（1）技术部分：见评标办法前附表；</w:t>
      </w:r>
    </w:p>
    <w:p>
      <w:pPr>
        <w:spacing w:line="360" w:lineRule="auto"/>
        <w:ind w:firstLine="718" w:firstLineChars="342"/>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（2）商务部分：见评标办法前附表；</w:t>
      </w:r>
    </w:p>
    <w:p>
      <w:pPr>
        <w:spacing w:line="360" w:lineRule="auto"/>
        <w:ind w:firstLine="718" w:firstLineChars="342"/>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（3）竞标报价：见评标办法前附表。</w:t>
      </w:r>
    </w:p>
    <w:p>
      <w:pPr>
        <w:spacing w:line="360" w:lineRule="auto"/>
        <w:ind w:firstLine="420" w:firstLineChars="200"/>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2.2.2 评标基准价计算</w:t>
      </w:r>
    </w:p>
    <w:p>
      <w:pPr>
        <w:spacing w:line="360" w:lineRule="auto"/>
        <w:ind w:firstLine="840" w:firstLineChars="400"/>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评标基准价计算方法：见评标办法前附表。</w:t>
      </w:r>
    </w:p>
    <w:p>
      <w:pPr>
        <w:spacing w:line="360" w:lineRule="auto"/>
        <w:ind w:firstLine="420" w:firstLineChars="200"/>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2.2.3 评分标准</w:t>
      </w:r>
    </w:p>
    <w:p>
      <w:pPr>
        <w:spacing w:line="360" w:lineRule="auto"/>
        <w:ind w:firstLine="718" w:firstLineChars="342"/>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（1）技术部分评分标准：见评标办法前附表；</w:t>
      </w:r>
    </w:p>
    <w:p>
      <w:pPr>
        <w:spacing w:line="360" w:lineRule="auto"/>
        <w:ind w:firstLine="718" w:firstLineChars="342"/>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（2）商务部分评分标准：见评标办法前附表；</w:t>
      </w:r>
    </w:p>
    <w:p>
      <w:pPr>
        <w:spacing w:line="360" w:lineRule="auto"/>
        <w:ind w:firstLine="718" w:firstLineChars="342"/>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（3）竞标报价评分标准：见评标办法前附表。</w:t>
      </w:r>
    </w:p>
    <w:p>
      <w:pPr>
        <w:numPr>
          <w:ilvl w:val="3"/>
          <w:numId w:val="27"/>
        </w:numPr>
        <w:tabs>
          <w:tab w:val="left" w:pos="540"/>
        </w:tabs>
        <w:spacing w:line="360" w:lineRule="auto"/>
        <w:ind w:left="540" w:hanging="540"/>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评定结果</w:t>
      </w:r>
    </w:p>
    <w:p>
      <w:pPr>
        <w:tabs>
          <w:tab w:val="left" w:pos="540"/>
        </w:tabs>
        <w:spacing w:line="360" w:lineRule="auto"/>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napToGrid w:val="0"/>
          <w:kern w:val="0"/>
          <w:szCs w:val="21"/>
          <w:highlight w:val="none"/>
          <w:lang w:val="zh-CN"/>
        </w:rPr>
        <w:t>3.1磋商小组严格按照本章要求对最终报价进行评定。</w:t>
      </w:r>
    </w:p>
    <w:p>
      <w:pPr>
        <w:tabs>
          <w:tab w:val="left" w:pos="540"/>
        </w:tabs>
        <w:spacing w:line="360" w:lineRule="auto"/>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3.2完成评定后，</w:t>
      </w:r>
      <w:r>
        <w:rPr>
          <w:rFonts w:hint="eastAsia" w:asciiTheme="minorEastAsia" w:hAnsiTheme="minorEastAsia" w:eastAsiaTheme="minorEastAsia" w:cstheme="minorEastAsia"/>
          <w:snapToGrid w:val="0"/>
          <w:kern w:val="0"/>
          <w:szCs w:val="21"/>
          <w:highlight w:val="none"/>
          <w:lang w:val="zh-CN"/>
        </w:rPr>
        <w:t>磋商小组</w:t>
      </w:r>
      <w:r>
        <w:rPr>
          <w:rFonts w:hint="eastAsia" w:asciiTheme="minorEastAsia" w:hAnsiTheme="minorEastAsia" w:eastAsiaTheme="minorEastAsia" w:cstheme="minorEastAsia"/>
          <w:szCs w:val="21"/>
          <w:highlight w:val="none"/>
        </w:rPr>
        <w:t>须在评审结果推荐意见上共同签字。</w:t>
      </w:r>
    </w:p>
    <w:p>
      <w:pPr>
        <w:spacing w:line="360" w:lineRule="auto"/>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磋商小组成员对评审报告有异议的，磋商小组按照少数服从多数的原则推荐成交候选人，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numPr>
          <w:ilvl w:val="3"/>
          <w:numId w:val="27"/>
        </w:numPr>
        <w:tabs>
          <w:tab w:val="left" w:pos="540"/>
        </w:tabs>
        <w:spacing w:line="360" w:lineRule="auto"/>
        <w:ind w:left="540" w:hanging="540"/>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其它</w:t>
      </w:r>
    </w:p>
    <w:p>
      <w:pPr>
        <w:spacing w:line="360" w:lineRule="auto"/>
        <w:ind w:firstLine="420"/>
        <w:jc w:val="left"/>
        <w:rPr>
          <w:highlight w:val="none"/>
        </w:rPr>
      </w:pPr>
      <w:r>
        <w:rPr>
          <w:rFonts w:hint="eastAsia" w:asciiTheme="minorEastAsia" w:hAnsiTheme="minorEastAsia" w:eastAsiaTheme="minorEastAsia" w:cstheme="minorEastAsia"/>
          <w:highlight w:val="none"/>
        </w:rPr>
        <w:t>磋商供应商的最终报价均超过了政府采购预算，采购人不能支付的，磋商活动终止；终止后，采购人需要采取调整采购预算或项目配置标准等，或采取其他采购方式的，应当在采购活动开始前获得政府采购监督管理部门批准。</w:t>
      </w:r>
    </w:p>
    <w:p>
      <w:pPr>
        <w:pStyle w:val="3"/>
        <w:bidi w:val="0"/>
        <w:spacing w:line="360" w:lineRule="auto"/>
        <w:ind w:left="0" w:leftChars="0" w:firstLine="0" w:firstLineChars="0"/>
        <w:rPr>
          <w:b/>
          <w:bCs/>
          <w:highlight w:val="none"/>
        </w:rPr>
      </w:pPr>
      <w:bookmarkStart w:id="244" w:name="_Toc27685"/>
      <w:bookmarkStart w:id="245" w:name="_Toc18805"/>
      <w:r>
        <w:rPr>
          <w:rFonts w:hint="eastAsia"/>
          <w:b/>
          <w:bCs/>
          <w:highlight w:val="none"/>
        </w:rPr>
        <w:t>五、磋商及评审步骤</w:t>
      </w:r>
      <w:bookmarkEnd w:id="244"/>
      <w:bookmarkEnd w:id="245"/>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磋商及评审步骤分别依次为磋商小组对供应商及其响应文件的资格和符合性检查、磋商小组同供应商的磋商及供应商的最后报价、详细评审。</w:t>
      </w:r>
    </w:p>
    <w:p>
      <w:pPr>
        <w:spacing w:line="360" w:lineRule="auto"/>
        <w:ind w:firstLine="420" w:firstLineChars="200"/>
        <w:rPr>
          <w:rFonts w:hint="eastAsia" w:asciiTheme="minorEastAsia" w:hAnsiTheme="minorEastAsia" w:eastAsiaTheme="minorEastAsia" w:cstheme="minorEastAsia"/>
          <w:szCs w:val="28"/>
          <w:highlight w:val="none"/>
          <w:lang w:eastAsia="zh-CN"/>
        </w:rPr>
      </w:pPr>
      <w:r>
        <w:rPr>
          <w:rFonts w:hint="eastAsia" w:asciiTheme="minorEastAsia" w:hAnsiTheme="minorEastAsia" w:eastAsiaTheme="minorEastAsia" w:cstheme="minorEastAsia"/>
          <w:szCs w:val="28"/>
          <w:highlight w:val="none"/>
        </w:rPr>
        <w:t>1.</w:t>
      </w:r>
      <w:r>
        <w:rPr>
          <w:rFonts w:hint="eastAsia" w:asciiTheme="minorEastAsia" w:hAnsiTheme="minorEastAsia" w:eastAsiaTheme="minorEastAsia" w:cstheme="minorEastAsia"/>
          <w:szCs w:val="28"/>
          <w:highlight w:val="none"/>
          <w:lang w:eastAsia="zh-CN"/>
        </w:rPr>
        <w:t>按照政府电子采购平台系统流程完成开标</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2.资格和符合性审查</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2.1磋商小组审查每份响应文件是否实质上响应了采购文件的要求。磋商小组决定其是否响应只根据响应文件本身的内容，而不依据外部的证据，但响应文件有不真实不正确的内容时除外。</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2.2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2.3只有通过了资格和符合性审查的供应商才能进入详细评审阶段。</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3.供应商的澄清</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3.1磋商小组要求供应商澄清、说明或者更正响应文件将以书面形式作出。供应商的澄清、说明或者更正应当由法定代表人或其授权代表签字或者加盖公章。</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4.磋商及最后报价</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4.1磋商小组所有成员应当集中与单一供应商分别进行磋商，并按照</w:t>
      </w:r>
      <w:r>
        <w:rPr>
          <w:rFonts w:hint="eastAsia" w:asciiTheme="minorEastAsia" w:hAnsiTheme="minorEastAsia" w:eastAsiaTheme="minorEastAsia" w:cstheme="minorEastAsia"/>
          <w:szCs w:val="28"/>
          <w:highlight w:val="none"/>
          <w:lang w:eastAsia="zh-CN"/>
        </w:rPr>
        <w:t>系统顺序</w:t>
      </w:r>
      <w:r>
        <w:rPr>
          <w:rFonts w:hint="eastAsia" w:asciiTheme="minorEastAsia" w:hAnsiTheme="minorEastAsia" w:eastAsiaTheme="minorEastAsia" w:cstheme="minorEastAsia"/>
          <w:szCs w:val="28"/>
          <w:highlight w:val="none"/>
        </w:rPr>
        <w:t>给予所有参加磋商的供应商平等的磋商机会。</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4.2</w:t>
      </w:r>
      <w:r>
        <w:rPr>
          <w:rFonts w:hint="eastAsia" w:asciiTheme="minorEastAsia" w:hAnsiTheme="minorEastAsia" w:eastAsiaTheme="minorEastAsia" w:cstheme="minorEastAsia"/>
          <w:b/>
          <w:szCs w:val="28"/>
          <w:highlight w:val="none"/>
        </w:rPr>
        <w:t>在磋商过程中，若磋商小组无法联系上供应商代表或者供应商代表在接到</w:t>
      </w:r>
      <w:r>
        <w:rPr>
          <w:rFonts w:hint="eastAsia" w:asciiTheme="minorEastAsia" w:hAnsiTheme="minorEastAsia" w:eastAsiaTheme="minorEastAsia" w:cstheme="minorEastAsia"/>
          <w:b/>
          <w:szCs w:val="28"/>
          <w:highlight w:val="none"/>
          <w:lang w:eastAsia="zh-CN"/>
        </w:rPr>
        <w:t>系统</w:t>
      </w:r>
      <w:r>
        <w:rPr>
          <w:rFonts w:hint="eastAsia" w:asciiTheme="minorEastAsia" w:hAnsiTheme="minorEastAsia" w:eastAsiaTheme="minorEastAsia" w:cstheme="minorEastAsia"/>
          <w:b/>
          <w:szCs w:val="28"/>
          <w:highlight w:val="none"/>
        </w:rPr>
        <w:t>通知后</w:t>
      </w:r>
      <w:r>
        <w:rPr>
          <w:rFonts w:hint="eastAsia" w:asciiTheme="minorEastAsia" w:hAnsiTheme="minorEastAsia" w:eastAsiaTheme="minorEastAsia" w:cstheme="minorEastAsia"/>
          <w:b/>
          <w:szCs w:val="28"/>
          <w:highlight w:val="none"/>
          <w:lang w:eastAsia="zh-CN"/>
        </w:rPr>
        <w:t>在系统规定时间内未参加磋商的</w:t>
      </w:r>
      <w:r>
        <w:rPr>
          <w:rFonts w:hint="eastAsia" w:asciiTheme="minorEastAsia" w:hAnsiTheme="minorEastAsia" w:eastAsiaTheme="minorEastAsia" w:cstheme="minorEastAsia"/>
          <w:b/>
          <w:szCs w:val="28"/>
          <w:highlight w:val="none"/>
        </w:rPr>
        <w:t>，视为该供应商自动退出磋商。</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4.3</w:t>
      </w:r>
      <w:r>
        <w:rPr>
          <w:rFonts w:hint="eastAsia" w:asciiTheme="minorEastAsia" w:hAnsiTheme="minorEastAsia" w:eastAsiaTheme="minorEastAsia" w:cstheme="minorEastAsia"/>
          <w:b/>
          <w:szCs w:val="28"/>
          <w:highlight w:val="none"/>
        </w:rPr>
        <w:t>磋商小组在与供应商磋商之前，应首先对参与磋商的供应商代表的身份进行核验，经核验的供应商代表身份与证明文件（法定代表人身份证明或法定代表人授权委托书）或身份证不符的，磋商小组有权拒绝该供应商参加磋商。</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4.4在磋商过程中，磋商小组可以根据采购文件和磋商情况实质性变动采购需求中的技术、服务要求以及合同草案条款，但不得变动采购文件中的其他内容。实质性变动的内容，经采购人代表确认后，将作为采购文件的有效组成部分，磋商小组应当及时以书面形式同时通知所有参加磋商的供应商。</w:t>
      </w:r>
    </w:p>
    <w:p>
      <w:pPr>
        <w:spacing w:line="360" w:lineRule="auto"/>
        <w:ind w:firstLine="420" w:firstLineChars="200"/>
        <w:rPr>
          <w:rFonts w:asciiTheme="minorEastAsia" w:hAnsiTheme="minorEastAsia" w:eastAsiaTheme="minorEastAsia" w:cstheme="minorEastAsia"/>
          <w:bCs/>
          <w:szCs w:val="28"/>
          <w:highlight w:val="none"/>
        </w:rPr>
      </w:pPr>
      <w:r>
        <w:rPr>
          <w:rFonts w:hint="eastAsia" w:asciiTheme="minorEastAsia" w:hAnsiTheme="minorEastAsia" w:eastAsiaTheme="minorEastAsia" w:cstheme="minorEastAsia"/>
          <w:szCs w:val="28"/>
          <w:highlight w:val="none"/>
        </w:rPr>
        <w:t>4.5磋商结束后，磋商小组将要求所有实质性响应的供应商在规定时间内提交最后报价，最后报价是供应商响应文件的有效组成部分。</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bCs/>
          <w:szCs w:val="28"/>
          <w:highlight w:val="none"/>
        </w:rPr>
        <w:t>4.6</w:t>
      </w:r>
      <w:r>
        <w:rPr>
          <w:rFonts w:hint="eastAsia" w:asciiTheme="minorEastAsia" w:hAnsiTheme="minorEastAsia" w:eastAsiaTheme="minorEastAsia" w:cstheme="minorEastAsia"/>
          <w:szCs w:val="28"/>
          <w:highlight w:val="none"/>
        </w:rPr>
        <w:t>已提交响应文件的供应商，在提交最后报价之前，可以根据磋商情况退出磋商。</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4.7符合下列情形，在采购过程中符合要求的供应商可以为2家：</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（1）政府购买服务项目（含政府和社会资本合作项目）；</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（2）市场竞争不充分的科研项目，以及需要扶持的科技成果转化项目。</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5.详细评审</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5.1经磋商确定最终采购需求和提交最后报价的供应商后，由磋商小组采用综合评分法对提交最后报价的供应商的响应文件和最后报价进行综合评分。具体详见“评分细则”。</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5.2评审时，磋商小组各成员应当独立对每个有效响应的文件进行评价、打分，然后汇总每个供应商每项评分因素的得分。</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 xml:space="preserve">5.3采购代理机构负责对各磋商小组成员的总分进行复核和汇总。各项统计结果均精确到小数点后两位。 </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5.4磋商小组应当根据综合评分情况，按照评审得分由高到低顺序（评审得分相同的，按照最后报价由低到高的顺序确定，评审得分且最后报价相同的，按照技术指标优劣顺序确定）推荐3名成交候选供应商，并编写评审报告。</w:t>
      </w:r>
    </w:p>
    <w:p>
      <w:pPr>
        <w:spacing w:line="360" w:lineRule="auto"/>
        <w:ind w:firstLine="420" w:firstLineChars="200"/>
        <w:rPr>
          <w:rFonts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5.5在评审期间，供应商不得干扰和阻碍评审工作，供应商不得向磋商小组询问评审情况，任何影响和干扰评审工作的行为都可能导致被取消本次评审的资格，并承担相应的法律责任。</w:t>
      </w:r>
    </w:p>
    <w:p>
      <w:pPr>
        <w:spacing w:line="360" w:lineRule="auto"/>
        <w:ind w:firstLine="420" w:firstLineChars="200"/>
        <w:rPr>
          <w:rFonts w:hint="eastAsia" w:asciiTheme="minorEastAsia" w:hAnsiTheme="minorEastAsia" w:eastAsiaTheme="minorEastAsia" w:cstheme="minorEastAsia"/>
          <w:szCs w:val="28"/>
          <w:highlight w:val="none"/>
        </w:rPr>
      </w:pPr>
      <w:r>
        <w:rPr>
          <w:rFonts w:hint="eastAsia" w:asciiTheme="minorEastAsia" w:hAnsiTheme="minorEastAsia" w:eastAsiaTheme="minorEastAsia" w:cstheme="minorEastAsia"/>
          <w:szCs w:val="28"/>
          <w:highlight w:val="none"/>
        </w:rPr>
        <w:t>5.6在评审过程中，磋商小组不得与供应商私下交换意见，从采购工作开始，直到授予供应商合同止，凡是属于审查、澄清、评价和比较响应文件的有关资料以及授标意向等，均不得向供应商或其他无关的人员透露。否则，磋商小组应承担法律、法规责任。</w:t>
      </w:r>
    </w:p>
    <w:p>
      <w:pPr>
        <w:pStyle w:val="7"/>
        <w:rPr>
          <w:rFonts w:hint="eastAsia" w:asciiTheme="minorEastAsia" w:hAnsiTheme="minorEastAsia" w:eastAsiaTheme="minorEastAsia" w:cstheme="minorEastAsia"/>
          <w:szCs w:val="28"/>
          <w:highlight w:val="none"/>
        </w:rPr>
      </w:pPr>
    </w:p>
    <w:p>
      <w:pPr>
        <w:pStyle w:val="8"/>
        <w:rPr>
          <w:rFonts w:hint="eastAsia" w:asciiTheme="minorEastAsia" w:hAnsiTheme="minorEastAsia" w:eastAsiaTheme="minorEastAsia" w:cstheme="minorEastAsia"/>
          <w:szCs w:val="28"/>
          <w:highlight w:val="none"/>
        </w:rPr>
      </w:pPr>
    </w:p>
    <w:p>
      <w:pPr>
        <w:rPr>
          <w:rFonts w:hint="eastAsia" w:asciiTheme="minorEastAsia" w:hAnsiTheme="minorEastAsia" w:eastAsiaTheme="minorEastAsia" w:cstheme="minorEastAsia"/>
          <w:szCs w:val="28"/>
          <w:highlight w:val="none"/>
        </w:rPr>
      </w:pPr>
    </w:p>
    <w:p>
      <w:pPr>
        <w:bidi w:val="0"/>
        <w:rPr>
          <w:rFonts w:hint="eastAsia"/>
          <w:highlight w:val="none"/>
        </w:rPr>
      </w:pPr>
    </w:p>
    <w:p>
      <w:pPr>
        <w:bidi w:val="0"/>
        <w:rPr>
          <w:rFonts w:hint="eastAsia"/>
          <w:highlight w:val="none"/>
        </w:rPr>
      </w:pPr>
    </w:p>
    <w:p>
      <w:pPr>
        <w:rPr>
          <w:rFonts w:hint="eastAsia"/>
          <w:highlight w:val="none"/>
        </w:rPr>
      </w:pPr>
    </w:p>
    <w:p>
      <w:pPr>
        <w:rPr>
          <w:rFonts w:hint="eastAsia" w:asciiTheme="minorEastAsia" w:hAnsiTheme="minorEastAsia" w:eastAsiaTheme="minorEastAsia" w:cstheme="minorEastAsia"/>
          <w:szCs w:val="28"/>
          <w:highlight w:val="none"/>
        </w:rPr>
      </w:pPr>
    </w:p>
    <w:p>
      <w:pPr>
        <w:bidi w:val="0"/>
        <w:rPr>
          <w:rFonts w:hint="eastAsia"/>
          <w:highlight w:val="none"/>
        </w:rPr>
      </w:pPr>
    </w:p>
    <w:p>
      <w:pPr>
        <w:bidi w:val="0"/>
        <w:rPr>
          <w:rFonts w:hint="eastAsia"/>
          <w:highlight w:val="none"/>
        </w:rPr>
      </w:pPr>
    </w:p>
    <w:p>
      <w:pPr>
        <w:rPr>
          <w:rFonts w:hint="eastAsia" w:asciiTheme="minorEastAsia" w:hAnsiTheme="minorEastAsia" w:eastAsiaTheme="minorEastAsia" w:cstheme="minorEastAsia"/>
          <w:szCs w:val="28"/>
          <w:highlight w:val="none"/>
        </w:rPr>
      </w:pPr>
    </w:p>
    <w:p>
      <w:pPr>
        <w:bidi w:val="0"/>
        <w:rPr>
          <w:rFonts w:hint="eastAsia"/>
          <w:highlight w:val="none"/>
        </w:rPr>
      </w:pPr>
    </w:p>
    <w:p>
      <w:pPr>
        <w:rPr>
          <w:rFonts w:hint="eastAsia"/>
          <w:highlight w:val="none"/>
          <w:lang w:val="en-US" w:eastAsia="zh-CN"/>
        </w:rPr>
      </w:pPr>
      <w:bookmarkStart w:id="246" w:name="_Toc211783328"/>
      <w:bookmarkStart w:id="247" w:name="_Toc318643471"/>
      <w:bookmarkStart w:id="248" w:name="_Toc18598"/>
    </w:p>
    <w:p>
      <w:pPr>
        <w:pStyle w:val="2"/>
        <w:bidi w:val="0"/>
        <w:jc w:val="center"/>
        <w:rPr>
          <w:rFonts w:hint="eastAsia"/>
          <w:sz w:val="36"/>
          <w:szCs w:val="36"/>
          <w:highlight w:val="none"/>
          <w:lang w:val="en-US" w:eastAsia="zh-CN"/>
        </w:rPr>
        <w:sectPr>
          <w:footerReference r:id="rId5" w:type="default"/>
          <w:pgSz w:w="11906" w:h="16838"/>
          <w:pgMar w:top="1417" w:right="1417" w:bottom="1417" w:left="1417" w:header="851" w:footer="992" w:gutter="0"/>
          <w:pgNumType w:fmt="decimal" w:start="1"/>
          <w:cols w:space="720" w:num="1"/>
          <w:docGrid w:type="lines" w:linePitch="312" w:charSpace="0"/>
        </w:sectPr>
      </w:pPr>
      <w:bookmarkStart w:id="249" w:name="_Toc8903"/>
      <w:bookmarkStart w:id="250" w:name="_Toc29270"/>
    </w:p>
    <w:p>
      <w:pPr>
        <w:pStyle w:val="2"/>
        <w:bidi w:val="0"/>
        <w:jc w:val="center"/>
        <w:rPr>
          <w:rFonts w:hint="eastAsia"/>
          <w:highlight w:val="none"/>
          <w:lang w:val="en-US" w:eastAsia="zh-CN"/>
        </w:rPr>
      </w:pPr>
      <w:r>
        <w:rPr>
          <w:rFonts w:hint="eastAsia"/>
          <w:highlight w:val="none"/>
          <w:lang w:val="en-US" w:eastAsia="zh-CN"/>
        </w:rPr>
        <w:t>第五章 合同书</w:t>
      </w:r>
      <w:bookmarkEnd w:id="246"/>
      <w:bookmarkEnd w:id="247"/>
      <w:r>
        <w:rPr>
          <w:rFonts w:hint="eastAsia"/>
          <w:highlight w:val="none"/>
          <w:lang w:val="en-US" w:eastAsia="zh-CN"/>
        </w:rPr>
        <w:t>格式</w:t>
      </w:r>
      <w:bookmarkEnd w:id="248"/>
      <w:bookmarkEnd w:id="249"/>
      <w:bookmarkEnd w:id="250"/>
    </w:p>
    <w:p>
      <w:pPr>
        <w:ind w:firstLine="420"/>
        <w:jc w:val="center"/>
        <w:rPr>
          <w:rFonts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
          <w:bCs/>
          <w:szCs w:val="21"/>
          <w:highlight w:val="none"/>
        </w:rPr>
        <w:t>（此合同书仅供签订正式合同时参考用）</w:t>
      </w:r>
    </w:p>
    <w:p>
      <w:pPr>
        <w:autoSpaceDE w:val="0"/>
        <w:autoSpaceDN w:val="0"/>
        <w:adjustRightInd w:val="0"/>
        <w:spacing w:line="360" w:lineRule="auto"/>
        <w:jc w:val="center"/>
        <w:outlineLvl w:val="1"/>
        <w:rPr>
          <w:rFonts w:asciiTheme="minorEastAsia" w:hAnsiTheme="minorEastAsia" w:eastAsiaTheme="minorEastAsia" w:cstheme="minorEastAsia"/>
          <w:b/>
          <w:kern w:val="0"/>
          <w:sz w:val="22"/>
          <w:szCs w:val="22"/>
          <w:highlight w:val="none"/>
        </w:rPr>
      </w:pPr>
      <w:bookmarkStart w:id="251" w:name="_Toc23862"/>
      <w:bookmarkStart w:id="252" w:name="_Toc10467"/>
      <w:r>
        <w:rPr>
          <w:rFonts w:hint="eastAsia" w:asciiTheme="minorEastAsia" w:hAnsiTheme="minorEastAsia" w:eastAsiaTheme="minorEastAsia" w:cstheme="minorEastAsia"/>
          <w:b/>
          <w:kern w:val="0"/>
          <w:sz w:val="22"/>
          <w:szCs w:val="22"/>
          <w:highlight w:val="none"/>
        </w:rPr>
        <w:t>合　　同　　协    议   书</w:t>
      </w:r>
      <w:bookmarkEnd w:id="251"/>
      <w:bookmarkEnd w:id="252"/>
    </w:p>
    <w:p>
      <w:pPr>
        <w:autoSpaceDE w:val="0"/>
        <w:autoSpaceDN w:val="0"/>
        <w:adjustRightInd w:val="0"/>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项目名称：</w:t>
      </w:r>
    </w:p>
    <w:p>
      <w:pPr>
        <w:autoSpaceDE w:val="0"/>
        <w:autoSpaceDN w:val="0"/>
        <w:adjustRightInd w:val="0"/>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合同编号：</w:t>
      </w:r>
    </w:p>
    <w:p>
      <w:pPr>
        <w:autoSpaceDE w:val="0"/>
        <w:autoSpaceDN w:val="0"/>
        <w:adjustRightInd w:val="0"/>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签订日期：</w:t>
      </w:r>
    </w:p>
    <w:p>
      <w:pPr>
        <w:autoSpaceDE w:val="0"/>
        <w:autoSpaceDN w:val="0"/>
        <w:adjustRightInd w:val="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签订合同地点：</w:t>
      </w:r>
    </w:p>
    <w:p>
      <w:pPr>
        <w:pStyle w:val="15"/>
        <w:ind w:firstLine="416"/>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 w:val="21"/>
          <w:szCs w:val="21"/>
          <w:highlight w:val="none"/>
        </w:rPr>
        <w:t>本合同由（以下简称“需方”）与（以下简称“供方”）签订。供方以总金额万元人民币（用大写数字书写）向需方提供如下 （工程/货物/服务）：</w:t>
      </w:r>
    </w:p>
    <w:p>
      <w:pPr>
        <w:autoSpaceDE w:val="0"/>
        <w:autoSpaceDN w:val="0"/>
        <w:adjustRightInd w:val="0"/>
        <w:spacing w:line="360" w:lineRule="auto"/>
        <w:rPr>
          <w:rFonts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
          <w:kern w:val="0"/>
          <w:szCs w:val="21"/>
          <w:highlight w:val="none"/>
        </w:rPr>
        <w:t>经双方协商，同意按下列条文执行：</w:t>
      </w:r>
    </w:p>
    <w:p>
      <w:pPr>
        <w:autoSpaceDE w:val="0"/>
        <w:autoSpaceDN w:val="0"/>
        <w:adjustRightInd w:val="0"/>
        <w:spacing w:line="360" w:lineRule="auto"/>
        <w:ind w:left="210" w:hanging="210" w:hangingChars="10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1.本合同供、需双方必须遵守国家颁布的“合同法”，并各自履行应负的全部责任和义务。</w:t>
      </w:r>
    </w:p>
    <w:p>
      <w:pPr>
        <w:autoSpaceDE w:val="0"/>
        <w:autoSpaceDN w:val="0"/>
        <w:adjustRightInd w:val="0"/>
        <w:spacing w:line="360" w:lineRule="auto"/>
        <w:ind w:left="210" w:hanging="210" w:hangingChars="10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2.需方保证按合同条款规定的时间和方式付给供方到期应付的货款，并承担应负的责任和义务。</w:t>
      </w:r>
    </w:p>
    <w:p>
      <w:pPr>
        <w:autoSpaceDE w:val="0"/>
        <w:autoSpaceDN w:val="0"/>
        <w:adjustRightInd w:val="0"/>
        <w:spacing w:line="360" w:lineRule="auto"/>
        <w:ind w:left="210" w:hanging="210" w:hangingChars="10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3.供方保证全部按合同条款规定的内容和交货期向需方提供合格的</w:t>
      </w:r>
      <w:r>
        <w:rPr>
          <w:rFonts w:hint="eastAsia" w:asciiTheme="minorEastAsia" w:hAnsiTheme="minorEastAsia" w:eastAsiaTheme="minorEastAsia" w:cstheme="minorEastAsia"/>
          <w:kern w:val="0"/>
          <w:szCs w:val="21"/>
          <w:highlight w:val="none"/>
          <w:u w:val="single"/>
        </w:rPr>
        <w:t>（工程/货物/服务）</w:t>
      </w:r>
      <w:r>
        <w:rPr>
          <w:rFonts w:hint="eastAsia" w:asciiTheme="minorEastAsia" w:hAnsiTheme="minorEastAsia" w:eastAsiaTheme="minorEastAsia" w:cstheme="minorEastAsia"/>
          <w:kern w:val="0"/>
          <w:szCs w:val="21"/>
          <w:highlight w:val="none"/>
        </w:rPr>
        <w:t>，并承担应负的责任和义务。</w:t>
      </w:r>
    </w:p>
    <w:p>
      <w:pPr>
        <w:autoSpaceDE w:val="0"/>
        <w:autoSpaceDN w:val="0"/>
        <w:adjustRightInd w:val="0"/>
        <w:spacing w:before="156" w:line="360" w:lineRule="auto"/>
        <w:jc w:val="left"/>
        <w:rPr>
          <w:rFonts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
          <w:kern w:val="0"/>
          <w:szCs w:val="21"/>
          <w:highlight w:val="none"/>
        </w:rPr>
        <w:t>4.</w:t>
      </w:r>
      <w:r>
        <w:rPr>
          <w:rFonts w:hint="eastAsia" w:asciiTheme="minorEastAsia" w:hAnsiTheme="minorEastAsia" w:eastAsiaTheme="minorEastAsia" w:cstheme="minorEastAsia"/>
          <w:b/>
          <w:kern w:val="0"/>
          <w:szCs w:val="21"/>
          <w:highlight w:val="none"/>
        </w:rPr>
        <w:tab/>
      </w:r>
      <w:r>
        <w:rPr>
          <w:rFonts w:hint="eastAsia" w:asciiTheme="minorEastAsia" w:hAnsiTheme="minorEastAsia" w:eastAsiaTheme="minorEastAsia" w:cstheme="minorEastAsia"/>
          <w:b/>
          <w:kern w:val="0"/>
          <w:szCs w:val="21"/>
          <w:highlight w:val="none"/>
        </w:rPr>
        <w:t>合同文件</w:t>
      </w:r>
    </w:p>
    <w:p>
      <w:pPr>
        <w:autoSpaceDE w:val="0"/>
        <w:autoSpaceDN w:val="0"/>
        <w:adjustRightInd w:val="0"/>
        <w:spacing w:line="360" w:lineRule="auto"/>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下列文件为本合同不可分割的部分。</w:t>
      </w:r>
    </w:p>
    <w:p>
      <w:pPr>
        <w:autoSpaceDE w:val="0"/>
        <w:autoSpaceDN w:val="0"/>
        <w:adjustRightInd w:val="0"/>
        <w:spacing w:line="360" w:lineRule="auto"/>
        <w:jc w:val="left"/>
        <w:outlineLvl w:val="1"/>
        <w:rPr>
          <w:rFonts w:asciiTheme="minorEastAsia" w:hAnsiTheme="minorEastAsia" w:eastAsiaTheme="minorEastAsia" w:cstheme="minorEastAsia"/>
          <w:kern w:val="0"/>
          <w:szCs w:val="21"/>
          <w:highlight w:val="none"/>
        </w:rPr>
      </w:pPr>
      <w:bookmarkStart w:id="253" w:name="_Toc10553"/>
      <w:bookmarkStart w:id="254" w:name="_Toc10350"/>
      <w:r>
        <w:rPr>
          <w:rFonts w:hint="eastAsia" w:asciiTheme="minorEastAsia" w:hAnsiTheme="minorEastAsia" w:eastAsiaTheme="minorEastAsia" w:cstheme="minorEastAsia"/>
          <w:kern w:val="0"/>
          <w:szCs w:val="21"/>
          <w:highlight w:val="none"/>
        </w:rPr>
        <w:t>4.1</w:t>
      </w:r>
      <w:r>
        <w:rPr>
          <w:rFonts w:hint="eastAsia" w:asciiTheme="minorEastAsia" w:hAnsiTheme="minorEastAsia" w:eastAsiaTheme="minorEastAsia" w:cstheme="minorEastAsia"/>
          <w:kern w:val="0"/>
          <w:szCs w:val="21"/>
          <w:highlight w:val="none"/>
        </w:rPr>
        <w:tab/>
      </w:r>
      <w:r>
        <w:rPr>
          <w:rFonts w:hint="eastAsia" w:asciiTheme="minorEastAsia" w:hAnsiTheme="minorEastAsia" w:eastAsiaTheme="minorEastAsia" w:cstheme="minorEastAsia"/>
          <w:kern w:val="0"/>
          <w:szCs w:val="21"/>
          <w:highlight w:val="none"/>
        </w:rPr>
        <w:t>本竞争性磋商采购文件；</w:t>
      </w:r>
      <w:bookmarkEnd w:id="253"/>
      <w:bookmarkEnd w:id="254"/>
    </w:p>
    <w:p>
      <w:pPr>
        <w:autoSpaceDE w:val="0"/>
        <w:autoSpaceDN w:val="0"/>
        <w:adjustRightInd w:val="0"/>
        <w:spacing w:line="360" w:lineRule="auto"/>
        <w:jc w:val="left"/>
        <w:outlineLvl w:val="1"/>
        <w:rPr>
          <w:rFonts w:asciiTheme="minorEastAsia" w:hAnsiTheme="minorEastAsia" w:eastAsiaTheme="minorEastAsia" w:cstheme="minorEastAsia"/>
          <w:kern w:val="0"/>
          <w:szCs w:val="21"/>
          <w:highlight w:val="none"/>
        </w:rPr>
      </w:pPr>
      <w:bookmarkStart w:id="255" w:name="_Toc30907"/>
      <w:bookmarkStart w:id="256" w:name="_Toc22195"/>
      <w:r>
        <w:rPr>
          <w:rFonts w:hint="eastAsia" w:asciiTheme="minorEastAsia" w:hAnsiTheme="minorEastAsia" w:eastAsiaTheme="minorEastAsia" w:cstheme="minorEastAsia"/>
          <w:kern w:val="0"/>
          <w:szCs w:val="21"/>
          <w:highlight w:val="none"/>
        </w:rPr>
        <w:t>4.2</w:t>
      </w:r>
      <w:r>
        <w:rPr>
          <w:rFonts w:hint="eastAsia" w:asciiTheme="minorEastAsia" w:hAnsiTheme="minorEastAsia" w:eastAsiaTheme="minorEastAsia" w:cstheme="minorEastAsia"/>
          <w:kern w:val="0"/>
          <w:szCs w:val="21"/>
          <w:highlight w:val="none"/>
        </w:rPr>
        <w:tab/>
      </w:r>
      <w:r>
        <w:rPr>
          <w:rFonts w:hint="eastAsia" w:asciiTheme="minorEastAsia" w:hAnsiTheme="minorEastAsia" w:eastAsiaTheme="minorEastAsia" w:cstheme="minorEastAsia"/>
          <w:kern w:val="0"/>
          <w:szCs w:val="21"/>
          <w:highlight w:val="none"/>
        </w:rPr>
        <w:t>供方成交的竞争性磋商响应文件；</w:t>
      </w:r>
      <w:bookmarkEnd w:id="255"/>
      <w:bookmarkEnd w:id="256"/>
    </w:p>
    <w:p>
      <w:pPr>
        <w:autoSpaceDE w:val="0"/>
        <w:autoSpaceDN w:val="0"/>
        <w:adjustRightInd w:val="0"/>
        <w:spacing w:line="360" w:lineRule="auto"/>
        <w:jc w:val="left"/>
        <w:outlineLvl w:val="1"/>
        <w:rPr>
          <w:rFonts w:asciiTheme="minorEastAsia" w:hAnsiTheme="minorEastAsia" w:eastAsiaTheme="minorEastAsia" w:cstheme="minorEastAsia"/>
          <w:kern w:val="0"/>
          <w:szCs w:val="21"/>
          <w:highlight w:val="none"/>
        </w:rPr>
      </w:pPr>
      <w:bookmarkStart w:id="257" w:name="_Toc32473"/>
      <w:bookmarkStart w:id="258" w:name="_Toc16841"/>
      <w:r>
        <w:rPr>
          <w:rFonts w:hint="eastAsia" w:asciiTheme="minorEastAsia" w:hAnsiTheme="minorEastAsia" w:eastAsiaTheme="minorEastAsia" w:cstheme="minorEastAsia"/>
          <w:kern w:val="0"/>
          <w:szCs w:val="21"/>
          <w:highlight w:val="none"/>
        </w:rPr>
        <w:t>4.3</w:t>
      </w:r>
      <w:r>
        <w:rPr>
          <w:rFonts w:hint="eastAsia" w:asciiTheme="minorEastAsia" w:hAnsiTheme="minorEastAsia" w:eastAsiaTheme="minorEastAsia" w:cstheme="minorEastAsia"/>
          <w:kern w:val="0"/>
          <w:szCs w:val="21"/>
          <w:highlight w:val="none"/>
        </w:rPr>
        <w:tab/>
      </w:r>
      <w:r>
        <w:rPr>
          <w:rFonts w:hint="eastAsia" w:asciiTheme="minorEastAsia" w:hAnsiTheme="minorEastAsia" w:eastAsiaTheme="minorEastAsia" w:cstheme="minorEastAsia"/>
          <w:kern w:val="0"/>
          <w:szCs w:val="21"/>
          <w:highlight w:val="none"/>
        </w:rPr>
        <w:t>合同协议书；</w:t>
      </w:r>
      <w:bookmarkEnd w:id="257"/>
      <w:bookmarkEnd w:id="258"/>
    </w:p>
    <w:p>
      <w:pPr>
        <w:autoSpaceDE w:val="0"/>
        <w:autoSpaceDN w:val="0"/>
        <w:adjustRightInd w:val="0"/>
        <w:spacing w:line="360" w:lineRule="auto"/>
        <w:outlineLvl w:val="1"/>
        <w:rPr>
          <w:rFonts w:asciiTheme="minorEastAsia" w:hAnsiTheme="minorEastAsia" w:eastAsiaTheme="minorEastAsia" w:cstheme="minorEastAsia"/>
          <w:kern w:val="0"/>
          <w:szCs w:val="21"/>
          <w:highlight w:val="none"/>
        </w:rPr>
      </w:pPr>
      <w:bookmarkStart w:id="259" w:name="_Toc28100"/>
      <w:bookmarkStart w:id="260" w:name="_Toc7170"/>
      <w:r>
        <w:rPr>
          <w:rFonts w:hint="eastAsia" w:asciiTheme="minorEastAsia" w:hAnsiTheme="minorEastAsia" w:eastAsiaTheme="minorEastAsia" w:cstheme="minorEastAsia"/>
          <w:kern w:val="0"/>
          <w:szCs w:val="21"/>
          <w:highlight w:val="none"/>
        </w:rPr>
        <w:t>4.4</w:t>
      </w:r>
      <w:r>
        <w:rPr>
          <w:rFonts w:hint="eastAsia" w:asciiTheme="minorEastAsia" w:hAnsiTheme="minorEastAsia" w:eastAsiaTheme="minorEastAsia" w:cstheme="minorEastAsia"/>
          <w:kern w:val="0"/>
          <w:szCs w:val="21"/>
          <w:highlight w:val="none"/>
        </w:rPr>
        <w:tab/>
      </w:r>
      <w:r>
        <w:rPr>
          <w:rFonts w:hint="eastAsia" w:asciiTheme="minorEastAsia" w:hAnsiTheme="minorEastAsia" w:eastAsiaTheme="minorEastAsia" w:cstheme="minorEastAsia"/>
          <w:kern w:val="0"/>
          <w:szCs w:val="21"/>
          <w:highlight w:val="none"/>
        </w:rPr>
        <w:t>合同条款；</w:t>
      </w:r>
      <w:bookmarkEnd w:id="259"/>
      <w:bookmarkEnd w:id="260"/>
    </w:p>
    <w:p>
      <w:pPr>
        <w:autoSpaceDE w:val="0"/>
        <w:autoSpaceDN w:val="0"/>
        <w:adjustRightInd w:val="0"/>
        <w:spacing w:line="360" w:lineRule="auto"/>
        <w:outlineLvl w:val="1"/>
        <w:rPr>
          <w:rFonts w:asciiTheme="minorEastAsia" w:hAnsiTheme="minorEastAsia" w:eastAsiaTheme="minorEastAsia" w:cstheme="minorEastAsia"/>
          <w:kern w:val="0"/>
          <w:szCs w:val="21"/>
          <w:highlight w:val="none"/>
        </w:rPr>
      </w:pPr>
      <w:bookmarkStart w:id="261" w:name="_Toc30032"/>
      <w:bookmarkStart w:id="262" w:name="_Toc19888"/>
      <w:r>
        <w:rPr>
          <w:rFonts w:hint="eastAsia" w:asciiTheme="minorEastAsia" w:hAnsiTheme="minorEastAsia" w:eastAsiaTheme="minorEastAsia" w:cstheme="minorEastAsia"/>
          <w:kern w:val="0"/>
          <w:szCs w:val="21"/>
          <w:highlight w:val="none"/>
        </w:rPr>
        <w:t>4.5</w:t>
      </w:r>
      <w:r>
        <w:rPr>
          <w:rFonts w:hint="eastAsia" w:asciiTheme="minorEastAsia" w:hAnsiTheme="minorEastAsia" w:eastAsiaTheme="minorEastAsia" w:cstheme="minorEastAsia"/>
          <w:kern w:val="0"/>
          <w:szCs w:val="21"/>
          <w:highlight w:val="none"/>
        </w:rPr>
        <w:tab/>
      </w:r>
      <w:r>
        <w:rPr>
          <w:rFonts w:hint="eastAsia" w:asciiTheme="minorEastAsia" w:hAnsiTheme="minorEastAsia" w:eastAsiaTheme="minorEastAsia" w:cstheme="minorEastAsia"/>
          <w:kern w:val="0"/>
          <w:szCs w:val="21"/>
          <w:highlight w:val="none"/>
          <w:u w:val="single"/>
        </w:rPr>
        <w:t xml:space="preserve">  （政府采购代理机构）  </w:t>
      </w:r>
      <w:r>
        <w:rPr>
          <w:rFonts w:hint="eastAsia" w:asciiTheme="minorEastAsia" w:hAnsiTheme="minorEastAsia" w:eastAsiaTheme="minorEastAsia" w:cstheme="minorEastAsia"/>
          <w:kern w:val="0"/>
          <w:szCs w:val="21"/>
          <w:highlight w:val="none"/>
        </w:rPr>
        <w:t>发出的成交通知书；</w:t>
      </w:r>
      <w:bookmarkEnd w:id="261"/>
      <w:bookmarkEnd w:id="262"/>
    </w:p>
    <w:p>
      <w:pPr>
        <w:autoSpaceDE w:val="0"/>
        <w:autoSpaceDN w:val="0"/>
        <w:adjustRightInd w:val="0"/>
        <w:spacing w:line="360" w:lineRule="auto"/>
        <w:outlineLvl w:val="1"/>
        <w:rPr>
          <w:rFonts w:asciiTheme="minorEastAsia" w:hAnsiTheme="minorEastAsia" w:eastAsiaTheme="minorEastAsia" w:cstheme="minorEastAsia"/>
          <w:kern w:val="0"/>
          <w:szCs w:val="21"/>
          <w:highlight w:val="none"/>
        </w:rPr>
      </w:pPr>
      <w:bookmarkStart w:id="263" w:name="_Toc672"/>
      <w:bookmarkStart w:id="264" w:name="_Toc5655"/>
      <w:r>
        <w:rPr>
          <w:rFonts w:hint="eastAsia" w:asciiTheme="minorEastAsia" w:hAnsiTheme="minorEastAsia" w:eastAsiaTheme="minorEastAsia" w:cstheme="minorEastAsia"/>
          <w:kern w:val="0"/>
          <w:szCs w:val="21"/>
          <w:highlight w:val="none"/>
        </w:rPr>
        <w:t>4.6</w:t>
      </w:r>
      <w:r>
        <w:rPr>
          <w:rFonts w:hint="eastAsia" w:asciiTheme="minorEastAsia" w:hAnsiTheme="minorEastAsia" w:eastAsiaTheme="minorEastAsia" w:cstheme="minorEastAsia"/>
          <w:kern w:val="0"/>
          <w:szCs w:val="21"/>
          <w:highlight w:val="none"/>
        </w:rPr>
        <w:tab/>
      </w:r>
      <w:r>
        <w:rPr>
          <w:rFonts w:hint="eastAsia" w:asciiTheme="minorEastAsia" w:hAnsiTheme="minorEastAsia" w:eastAsiaTheme="minorEastAsia" w:cstheme="minorEastAsia"/>
          <w:kern w:val="0"/>
          <w:szCs w:val="21"/>
          <w:highlight w:val="none"/>
        </w:rPr>
        <w:t>附件：</w:t>
      </w:r>
      <w:bookmarkEnd w:id="263"/>
      <w:bookmarkEnd w:id="264"/>
    </w:p>
    <w:p>
      <w:pPr>
        <w:autoSpaceDE w:val="0"/>
        <w:autoSpaceDN w:val="0"/>
        <w:adjustRightInd w:val="0"/>
        <w:spacing w:line="360" w:lineRule="auto"/>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4.6.1 采购方在采购期间发布的所有补充通知；</w:t>
      </w:r>
    </w:p>
    <w:p>
      <w:pPr>
        <w:autoSpaceDE w:val="0"/>
        <w:autoSpaceDN w:val="0"/>
        <w:adjustRightInd w:val="0"/>
        <w:spacing w:line="360" w:lineRule="auto"/>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4.6.2 供方在磋商期内补充的所有书面文件；</w:t>
      </w:r>
    </w:p>
    <w:p>
      <w:pPr>
        <w:autoSpaceDE w:val="0"/>
        <w:autoSpaceDN w:val="0"/>
        <w:adjustRightInd w:val="0"/>
        <w:spacing w:line="360" w:lineRule="auto"/>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4.6.3 供方在磋商时随同竞争性磋商响应文件一起递送的资料及附图；</w:t>
      </w:r>
    </w:p>
    <w:p>
      <w:pPr>
        <w:autoSpaceDE w:val="0"/>
        <w:autoSpaceDN w:val="0"/>
        <w:adjustRightInd w:val="0"/>
        <w:spacing w:line="360" w:lineRule="auto"/>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4.6.4 在商洽本合同时，双方澄清、确认并共同签字的补充文件、技术协议。</w:t>
      </w:r>
    </w:p>
    <w:p>
      <w:pPr>
        <w:autoSpaceDE w:val="0"/>
        <w:autoSpaceDN w:val="0"/>
        <w:adjustRightInd w:val="0"/>
        <w:spacing w:before="156" w:line="360" w:lineRule="auto"/>
        <w:jc w:val="left"/>
        <w:rPr>
          <w:rFonts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
          <w:kern w:val="0"/>
          <w:szCs w:val="21"/>
          <w:highlight w:val="none"/>
        </w:rPr>
        <w:t>5.</w:t>
      </w:r>
      <w:r>
        <w:rPr>
          <w:rFonts w:hint="eastAsia" w:asciiTheme="minorEastAsia" w:hAnsiTheme="minorEastAsia" w:eastAsiaTheme="minorEastAsia" w:cstheme="minorEastAsia"/>
          <w:b/>
          <w:kern w:val="0"/>
          <w:szCs w:val="21"/>
          <w:highlight w:val="none"/>
        </w:rPr>
        <w:tab/>
      </w:r>
      <w:r>
        <w:rPr>
          <w:rFonts w:hint="eastAsia" w:asciiTheme="minorEastAsia" w:hAnsiTheme="minorEastAsia" w:eastAsiaTheme="minorEastAsia" w:cstheme="minorEastAsia"/>
          <w:b/>
          <w:kern w:val="0"/>
          <w:szCs w:val="21"/>
          <w:highlight w:val="none"/>
        </w:rPr>
        <w:t>合同范围和条件</w:t>
      </w:r>
    </w:p>
    <w:p>
      <w:pPr>
        <w:autoSpaceDE w:val="0"/>
        <w:autoSpaceDN w:val="0"/>
        <w:adjustRightInd w:val="0"/>
        <w:spacing w:line="360" w:lineRule="auto"/>
        <w:ind w:firstLine="420" w:firstLineChars="200"/>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本合同的范围和条件应与上述规定的合同文件内容相一致。</w:t>
      </w:r>
    </w:p>
    <w:p>
      <w:pPr>
        <w:autoSpaceDE w:val="0"/>
        <w:autoSpaceDN w:val="0"/>
        <w:adjustRightInd w:val="0"/>
        <w:spacing w:before="156" w:line="360" w:lineRule="auto"/>
        <w:rPr>
          <w:rFonts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
          <w:kern w:val="0"/>
          <w:szCs w:val="21"/>
          <w:highlight w:val="none"/>
        </w:rPr>
        <w:t>6.</w:t>
      </w:r>
      <w:r>
        <w:rPr>
          <w:rFonts w:hint="eastAsia" w:asciiTheme="minorEastAsia" w:hAnsiTheme="minorEastAsia" w:eastAsiaTheme="minorEastAsia" w:cstheme="minorEastAsia"/>
          <w:b/>
          <w:kern w:val="0"/>
          <w:szCs w:val="21"/>
          <w:highlight w:val="none"/>
        </w:rPr>
        <w:tab/>
      </w:r>
      <w:r>
        <w:rPr>
          <w:rFonts w:hint="eastAsia" w:asciiTheme="minorEastAsia" w:hAnsiTheme="minorEastAsia" w:eastAsiaTheme="minorEastAsia" w:cstheme="minorEastAsia"/>
          <w:b/>
          <w:kern w:val="0"/>
          <w:szCs w:val="21"/>
          <w:highlight w:val="none"/>
        </w:rPr>
        <w:t>货物及数量</w:t>
      </w:r>
    </w:p>
    <w:p>
      <w:pPr>
        <w:pStyle w:val="15"/>
        <w:spacing w:line="360" w:lineRule="auto"/>
        <w:ind w:left="0" w:leftChars="0" w:firstLine="420" w:firstLineChars="200"/>
        <w:rPr>
          <w:rFonts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本合同所提供的</w:t>
      </w:r>
      <w:r>
        <w:rPr>
          <w:rFonts w:hint="eastAsia" w:asciiTheme="minorEastAsia" w:hAnsiTheme="minorEastAsia" w:eastAsiaTheme="minorEastAsia" w:cstheme="minorEastAsia"/>
          <w:kern w:val="0"/>
          <w:sz w:val="21"/>
          <w:szCs w:val="21"/>
          <w:highlight w:val="none"/>
          <w:u w:val="single"/>
        </w:rPr>
        <w:t xml:space="preserve">  （工程/货物/服务）  </w:t>
      </w:r>
      <w:r>
        <w:rPr>
          <w:rFonts w:hint="eastAsia" w:asciiTheme="minorEastAsia" w:hAnsiTheme="minorEastAsia" w:eastAsiaTheme="minorEastAsia" w:cstheme="minorEastAsia"/>
          <w:kern w:val="0"/>
          <w:sz w:val="21"/>
          <w:szCs w:val="21"/>
          <w:highlight w:val="none"/>
        </w:rPr>
        <w:t>及数量详见竞争性磋商采购文件的要求及供方竞争性磋商响应文件中的承诺。</w:t>
      </w:r>
    </w:p>
    <w:p>
      <w:pPr>
        <w:autoSpaceDE w:val="0"/>
        <w:autoSpaceDN w:val="0"/>
        <w:adjustRightInd w:val="0"/>
        <w:spacing w:before="156" w:line="360" w:lineRule="auto"/>
        <w:rPr>
          <w:rFonts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
          <w:kern w:val="0"/>
          <w:szCs w:val="21"/>
          <w:highlight w:val="none"/>
        </w:rPr>
        <w:t>7.</w:t>
      </w:r>
      <w:r>
        <w:rPr>
          <w:rFonts w:hint="eastAsia" w:asciiTheme="minorEastAsia" w:hAnsiTheme="minorEastAsia" w:eastAsiaTheme="minorEastAsia" w:cstheme="minorEastAsia"/>
          <w:b/>
          <w:kern w:val="0"/>
          <w:szCs w:val="21"/>
          <w:highlight w:val="none"/>
        </w:rPr>
        <w:tab/>
      </w:r>
      <w:r>
        <w:rPr>
          <w:rFonts w:hint="eastAsia" w:asciiTheme="minorEastAsia" w:hAnsiTheme="minorEastAsia" w:eastAsiaTheme="minorEastAsia" w:cstheme="minorEastAsia"/>
          <w:b/>
          <w:kern w:val="0"/>
          <w:szCs w:val="21"/>
          <w:highlight w:val="none"/>
        </w:rPr>
        <w:t>付款条件</w:t>
      </w:r>
    </w:p>
    <w:p>
      <w:pPr>
        <w:autoSpaceDE w:val="0"/>
        <w:autoSpaceDN w:val="0"/>
        <w:adjustRightInd w:val="0"/>
        <w:spacing w:line="360" w:lineRule="auto"/>
        <w:ind w:firstLine="420" w:firstLineChars="20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本合同的付款条件在竞争性磋商采购文件中有明确规定。</w:t>
      </w:r>
    </w:p>
    <w:p>
      <w:pPr>
        <w:autoSpaceDE w:val="0"/>
        <w:autoSpaceDN w:val="0"/>
        <w:adjustRightInd w:val="0"/>
        <w:spacing w:before="156" w:line="360" w:lineRule="auto"/>
        <w:rPr>
          <w:rFonts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
          <w:kern w:val="0"/>
          <w:szCs w:val="21"/>
          <w:highlight w:val="none"/>
        </w:rPr>
        <w:t>8.</w:t>
      </w:r>
      <w:r>
        <w:rPr>
          <w:rFonts w:hint="eastAsia" w:asciiTheme="minorEastAsia" w:hAnsiTheme="minorEastAsia" w:eastAsiaTheme="minorEastAsia" w:cstheme="minorEastAsia"/>
          <w:b/>
          <w:kern w:val="0"/>
          <w:szCs w:val="21"/>
          <w:highlight w:val="none"/>
        </w:rPr>
        <w:tab/>
      </w:r>
      <w:r>
        <w:rPr>
          <w:rFonts w:hint="eastAsia" w:asciiTheme="minorEastAsia" w:hAnsiTheme="minorEastAsia" w:eastAsiaTheme="minorEastAsia" w:cstheme="minorEastAsia"/>
          <w:b/>
          <w:kern w:val="0"/>
          <w:szCs w:val="21"/>
          <w:highlight w:val="none"/>
        </w:rPr>
        <w:t>合同金额</w:t>
      </w:r>
    </w:p>
    <w:p>
      <w:pPr>
        <w:autoSpaceDE w:val="0"/>
        <w:autoSpaceDN w:val="0"/>
        <w:adjustRightInd w:val="0"/>
        <w:spacing w:line="360" w:lineRule="auto"/>
        <w:ind w:firstLine="420" w:firstLineChars="20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合同总金额见合同书，分项价格在供方的竞争性磋商响应文件中有明确规定。</w:t>
      </w:r>
    </w:p>
    <w:p>
      <w:pPr>
        <w:autoSpaceDE w:val="0"/>
        <w:autoSpaceDN w:val="0"/>
        <w:adjustRightInd w:val="0"/>
        <w:spacing w:before="156" w:line="360" w:lineRule="auto"/>
        <w:jc w:val="left"/>
        <w:rPr>
          <w:rFonts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
          <w:kern w:val="0"/>
          <w:szCs w:val="21"/>
          <w:highlight w:val="none"/>
        </w:rPr>
        <w:t>9.</w:t>
      </w:r>
      <w:r>
        <w:rPr>
          <w:rFonts w:hint="eastAsia" w:asciiTheme="minorEastAsia" w:hAnsiTheme="minorEastAsia" w:eastAsiaTheme="minorEastAsia" w:cstheme="minorEastAsia"/>
          <w:b/>
          <w:kern w:val="0"/>
          <w:szCs w:val="21"/>
          <w:highlight w:val="none"/>
        </w:rPr>
        <w:tab/>
      </w:r>
      <w:r>
        <w:rPr>
          <w:rFonts w:hint="eastAsia" w:asciiTheme="minorEastAsia" w:hAnsiTheme="minorEastAsia" w:eastAsiaTheme="minorEastAsia" w:cstheme="minorEastAsia"/>
          <w:b/>
          <w:kern w:val="0"/>
          <w:szCs w:val="21"/>
          <w:highlight w:val="none"/>
        </w:rPr>
        <w:t>交货时间和交货地点</w:t>
      </w:r>
    </w:p>
    <w:p>
      <w:pPr>
        <w:autoSpaceDE w:val="0"/>
        <w:autoSpaceDN w:val="0"/>
        <w:adjustRightInd w:val="0"/>
        <w:spacing w:line="360" w:lineRule="auto"/>
        <w:ind w:firstLine="420" w:firstLineChars="20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本合同中</w:t>
      </w:r>
      <w:r>
        <w:rPr>
          <w:rFonts w:hint="eastAsia" w:asciiTheme="minorEastAsia" w:hAnsiTheme="minorEastAsia" w:eastAsiaTheme="minorEastAsia" w:cstheme="minorEastAsia"/>
          <w:kern w:val="0"/>
          <w:szCs w:val="21"/>
          <w:highlight w:val="none"/>
          <w:u w:val="single"/>
        </w:rPr>
        <w:t xml:space="preserve"> （工程/货物/服务） </w:t>
      </w:r>
      <w:r>
        <w:rPr>
          <w:rFonts w:hint="eastAsia" w:asciiTheme="minorEastAsia" w:hAnsiTheme="minorEastAsia" w:eastAsiaTheme="minorEastAsia" w:cstheme="minorEastAsia"/>
          <w:kern w:val="0"/>
          <w:szCs w:val="21"/>
          <w:highlight w:val="none"/>
        </w:rPr>
        <w:t>的</w:t>
      </w:r>
      <w:r>
        <w:rPr>
          <w:rFonts w:hint="eastAsia" w:asciiTheme="minorEastAsia" w:hAnsiTheme="minorEastAsia" w:eastAsiaTheme="minorEastAsia" w:cstheme="minorEastAsia"/>
          <w:kern w:val="0"/>
          <w:szCs w:val="21"/>
          <w:highlight w:val="none"/>
          <w:u w:val="single"/>
        </w:rPr>
        <w:t xml:space="preserve"> (交货时间/服务完成时间） </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kern w:val="0"/>
          <w:szCs w:val="21"/>
          <w:highlight w:val="none"/>
          <w:u w:val="single"/>
        </w:rPr>
        <w:t xml:space="preserve"> (交货地点/服务地点） </w:t>
      </w:r>
      <w:r>
        <w:rPr>
          <w:rFonts w:hint="eastAsia" w:asciiTheme="minorEastAsia" w:hAnsiTheme="minorEastAsia" w:eastAsiaTheme="minorEastAsia" w:cstheme="minorEastAsia"/>
          <w:kern w:val="0"/>
          <w:szCs w:val="21"/>
          <w:highlight w:val="none"/>
        </w:rPr>
        <w:t>在竞争性磋商采购文件中有明确规定。</w:t>
      </w:r>
    </w:p>
    <w:p>
      <w:pPr>
        <w:autoSpaceDE w:val="0"/>
        <w:autoSpaceDN w:val="0"/>
        <w:adjustRightInd w:val="0"/>
        <w:spacing w:before="156" w:line="360" w:lineRule="auto"/>
        <w:rPr>
          <w:rFonts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
          <w:kern w:val="0"/>
          <w:szCs w:val="21"/>
          <w:highlight w:val="none"/>
        </w:rPr>
        <w:t>10.</w:t>
      </w:r>
      <w:r>
        <w:rPr>
          <w:rFonts w:hint="eastAsia" w:asciiTheme="minorEastAsia" w:hAnsiTheme="minorEastAsia" w:eastAsiaTheme="minorEastAsia" w:cstheme="minorEastAsia"/>
          <w:b/>
          <w:kern w:val="0"/>
          <w:szCs w:val="21"/>
          <w:highlight w:val="none"/>
        </w:rPr>
        <w:tab/>
      </w:r>
      <w:r>
        <w:rPr>
          <w:rFonts w:hint="eastAsia" w:asciiTheme="minorEastAsia" w:hAnsiTheme="minorEastAsia" w:eastAsiaTheme="minorEastAsia" w:cstheme="minorEastAsia"/>
          <w:b/>
          <w:kern w:val="0"/>
          <w:szCs w:val="21"/>
          <w:highlight w:val="none"/>
        </w:rPr>
        <w:t>合同生效</w:t>
      </w:r>
    </w:p>
    <w:p>
      <w:pPr>
        <w:autoSpaceDE w:val="0"/>
        <w:autoSpaceDN w:val="0"/>
        <w:adjustRightInd w:val="0"/>
        <w:spacing w:line="360" w:lineRule="auto"/>
        <w:ind w:firstLine="420" w:firstLineChars="200"/>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本合同经供、需双方授权代表签字和加盖公章（或合同专用章）后生效。如采购申请公证的，合同需经公证机构公证后生效。</w:t>
      </w:r>
    </w:p>
    <w:p>
      <w:pPr>
        <w:autoSpaceDE w:val="0"/>
        <w:autoSpaceDN w:val="0"/>
        <w:adjustRightInd w:val="0"/>
        <w:spacing w:before="156" w:line="360" w:lineRule="auto"/>
        <w:jc w:val="left"/>
        <w:rPr>
          <w:rFonts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
          <w:kern w:val="0"/>
          <w:szCs w:val="21"/>
          <w:highlight w:val="none"/>
        </w:rPr>
        <w:t>11.</w:t>
      </w:r>
      <w:r>
        <w:rPr>
          <w:rFonts w:hint="eastAsia" w:asciiTheme="minorEastAsia" w:hAnsiTheme="minorEastAsia" w:eastAsiaTheme="minorEastAsia" w:cstheme="minorEastAsia"/>
          <w:b/>
          <w:kern w:val="0"/>
          <w:szCs w:val="21"/>
          <w:highlight w:val="none"/>
        </w:rPr>
        <w:tab/>
      </w:r>
      <w:r>
        <w:rPr>
          <w:rFonts w:hint="eastAsia" w:asciiTheme="minorEastAsia" w:hAnsiTheme="minorEastAsia" w:eastAsiaTheme="minorEastAsia" w:cstheme="minorEastAsia"/>
          <w:b/>
          <w:kern w:val="0"/>
          <w:szCs w:val="21"/>
          <w:highlight w:val="none"/>
        </w:rPr>
        <w:t>合同的份数</w:t>
      </w:r>
    </w:p>
    <w:p>
      <w:pPr>
        <w:autoSpaceDE w:val="0"/>
        <w:autoSpaceDN w:val="0"/>
        <w:adjustRightInd w:val="0"/>
        <w:spacing w:line="360" w:lineRule="auto"/>
        <w:ind w:firstLine="420" w:firstLineChars="200"/>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本合同正本一式份，需方执份，供方执份；副本一式份，需方执份，供方执份，主管部门执份。</w:t>
      </w:r>
    </w:p>
    <w:p>
      <w:pPr>
        <w:autoSpaceDE w:val="0"/>
        <w:autoSpaceDN w:val="0"/>
        <w:adjustRightInd w:val="0"/>
        <w:spacing w:before="156" w:line="360" w:lineRule="auto"/>
        <w:jc w:val="left"/>
        <w:rPr>
          <w:rFonts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
          <w:kern w:val="0"/>
          <w:szCs w:val="21"/>
          <w:highlight w:val="none"/>
        </w:rPr>
        <w:t>12.</w:t>
      </w:r>
      <w:r>
        <w:rPr>
          <w:rFonts w:hint="eastAsia" w:asciiTheme="minorEastAsia" w:hAnsiTheme="minorEastAsia" w:eastAsiaTheme="minorEastAsia" w:cstheme="minorEastAsia"/>
          <w:b/>
          <w:kern w:val="0"/>
          <w:szCs w:val="21"/>
          <w:highlight w:val="none"/>
        </w:rPr>
        <w:tab/>
      </w:r>
      <w:r>
        <w:rPr>
          <w:rFonts w:hint="eastAsia" w:asciiTheme="minorEastAsia" w:hAnsiTheme="minorEastAsia" w:eastAsiaTheme="minorEastAsia" w:cstheme="minorEastAsia"/>
          <w:b/>
          <w:kern w:val="0"/>
          <w:szCs w:val="21"/>
          <w:highlight w:val="none"/>
        </w:rPr>
        <w:t>合同的失效</w:t>
      </w:r>
    </w:p>
    <w:p>
      <w:pPr>
        <w:autoSpaceDE w:val="0"/>
        <w:autoSpaceDN w:val="0"/>
        <w:adjustRightInd w:val="0"/>
        <w:spacing w:line="360" w:lineRule="auto"/>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本合同在合同价款结清后失效。</w:t>
      </w:r>
    </w:p>
    <w:p>
      <w:pPr>
        <w:tabs>
          <w:tab w:val="left" w:pos="4615"/>
        </w:tabs>
        <w:autoSpaceDE w:val="0"/>
        <w:autoSpaceDN w:val="0"/>
        <w:adjustRightInd w:val="0"/>
        <w:spacing w:line="360" w:lineRule="auto"/>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需　　方</w:t>
      </w:r>
      <w:r>
        <w:rPr>
          <w:rFonts w:hint="eastAsia" w:asciiTheme="minorEastAsia" w:hAnsiTheme="minorEastAsia" w:eastAsiaTheme="minorEastAsia" w:cstheme="minorEastAsia"/>
          <w:kern w:val="0"/>
          <w:szCs w:val="21"/>
          <w:highlight w:val="none"/>
        </w:rPr>
        <w:tab/>
      </w:r>
      <w:r>
        <w:rPr>
          <w:rFonts w:hint="eastAsia" w:asciiTheme="minorEastAsia" w:hAnsiTheme="minorEastAsia" w:eastAsiaTheme="minorEastAsia" w:cstheme="minorEastAsia"/>
          <w:kern w:val="0"/>
          <w:szCs w:val="21"/>
          <w:highlight w:val="none"/>
        </w:rPr>
        <w:t>供　　方</w:t>
      </w:r>
    </w:p>
    <w:p>
      <w:pPr>
        <w:tabs>
          <w:tab w:val="left" w:pos="4615"/>
        </w:tabs>
        <w:autoSpaceDE w:val="0"/>
        <w:autoSpaceDN w:val="0"/>
        <w:adjustRightInd w:val="0"/>
        <w:spacing w:line="360" w:lineRule="auto"/>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单位名称（盖章）：</w:t>
      </w:r>
      <w:r>
        <w:rPr>
          <w:rFonts w:hint="eastAsia" w:asciiTheme="minorEastAsia" w:hAnsiTheme="minorEastAsia" w:eastAsiaTheme="minorEastAsia" w:cstheme="minorEastAsia"/>
          <w:kern w:val="0"/>
          <w:szCs w:val="21"/>
          <w:highlight w:val="none"/>
        </w:rPr>
        <w:tab/>
      </w:r>
      <w:r>
        <w:rPr>
          <w:rFonts w:hint="eastAsia" w:asciiTheme="minorEastAsia" w:hAnsiTheme="minorEastAsia" w:eastAsiaTheme="minorEastAsia" w:cstheme="minorEastAsia"/>
          <w:kern w:val="0"/>
          <w:szCs w:val="21"/>
          <w:highlight w:val="none"/>
        </w:rPr>
        <w:t>单位名称（盖章）：</w:t>
      </w:r>
    </w:p>
    <w:p>
      <w:pPr>
        <w:tabs>
          <w:tab w:val="left" w:pos="4615"/>
        </w:tabs>
        <w:autoSpaceDE w:val="0"/>
        <w:autoSpaceDN w:val="0"/>
        <w:adjustRightInd w:val="0"/>
        <w:spacing w:line="360" w:lineRule="auto"/>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单位地址：</w:t>
      </w:r>
      <w:r>
        <w:rPr>
          <w:rFonts w:hint="eastAsia" w:asciiTheme="minorEastAsia" w:hAnsiTheme="minorEastAsia" w:eastAsiaTheme="minorEastAsia" w:cstheme="minorEastAsia"/>
          <w:kern w:val="0"/>
          <w:szCs w:val="21"/>
          <w:highlight w:val="none"/>
        </w:rPr>
        <w:tab/>
      </w:r>
      <w:r>
        <w:rPr>
          <w:rFonts w:hint="eastAsia" w:asciiTheme="minorEastAsia" w:hAnsiTheme="minorEastAsia" w:eastAsiaTheme="minorEastAsia" w:cstheme="minorEastAsia"/>
          <w:kern w:val="0"/>
          <w:szCs w:val="21"/>
          <w:highlight w:val="none"/>
        </w:rPr>
        <w:t>单位地址：</w:t>
      </w:r>
    </w:p>
    <w:p>
      <w:pPr>
        <w:tabs>
          <w:tab w:val="left" w:pos="4615"/>
        </w:tabs>
        <w:autoSpaceDE w:val="0"/>
        <w:autoSpaceDN w:val="0"/>
        <w:adjustRightInd w:val="0"/>
        <w:spacing w:line="360" w:lineRule="auto"/>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法人代表授权人(签字)：</w:t>
      </w:r>
      <w:r>
        <w:rPr>
          <w:rFonts w:hint="eastAsia" w:asciiTheme="minorEastAsia" w:hAnsiTheme="minorEastAsia" w:eastAsiaTheme="minorEastAsia" w:cstheme="minorEastAsia"/>
          <w:kern w:val="0"/>
          <w:szCs w:val="21"/>
          <w:highlight w:val="none"/>
        </w:rPr>
        <w:tab/>
      </w:r>
      <w:r>
        <w:rPr>
          <w:rFonts w:hint="eastAsia" w:asciiTheme="minorEastAsia" w:hAnsiTheme="minorEastAsia" w:eastAsiaTheme="minorEastAsia" w:cstheme="minorEastAsia"/>
          <w:kern w:val="0"/>
          <w:szCs w:val="21"/>
          <w:highlight w:val="none"/>
        </w:rPr>
        <w:t>法人代表授权人(签字)：</w:t>
      </w:r>
    </w:p>
    <w:p>
      <w:pPr>
        <w:tabs>
          <w:tab w:val="left" w:pos="4615"/>
        </w:tabs>
        <w:autoSpaceDE w:val="0"/>
        <w:autoSpaceDN w:val="0"/>
        <w:adjustRightInd w:val="0"/>
        <w:spacing w:line="360" w:lineRule="auto"/>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联 系 人：</w:t>
      </w:r>
      <w:r>
        <w:rPr>
          <w:rFonts w:hint="eastAsia" w:asciiTheme="minorEastAsia" w:hAnsiTheme="minorEastAsia" w:eastAsiaTheme="minorEastAsia" w:cstheme="minorEastAsia"/>
          <w:kern w:val="0"/>
          <w:szCs w:val="21"/>
          <w:highlight w:val="none"/>
        </w:rPr>
        <w:tab/>
      </w:r>
      <w:r>
        <w:rPr>
          <w:rFonts w:hint="eastAsia" w:asciiTheme="minorEastAsia" w:hAnsiTheme="minorEastAsia" w:eastAsiaTheme="minorEastAsia" w:cstheme="minorEastAsia"/>
          <w:kern w:val="0"/>
          <w:szCs w:val="21"/>
          <w:highlight w:val="none"/>
        </w:rPr>
        <w:t>联 系 人：</w:t>
      </w:r>
    </w:p>
    <w:p>
      <w:pPr>
        <w:tabs>
          <w:tab w:val="left" w:pos="4615"/>
        </w:tabs>
        <w:autoSpaceDE w:val="0"/>
        <w:autoSpaceDN w:val="0"/>
        <w:adjustRightInd w:val="0"/>
        <w:spacing w:line="360" w:lineRule="auto"/>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电　　话：</w:t>
      </w:r>
      <w:r>
        <w:rPr>
          <w:rFonts w:hint="eastAsia" w:asciiTheme="minorEastAsia" w:hAnsiTheme="minorEastAsia" w:eastAsiaTheme="minorEastAsia" w:cstheme="minorEastAsia"/>
          <w:kern w:val="0"/>
          <w:szCs w:val="21"/>
          <w:highlight w:val="none"/>
        </w:rPr>
        <w:tab/>
      </w:r>
      <w:r>
        <w:rPr>
          <w:rFonts w:hint="eastAsia" w:asciiTheme="minorEastAsia" w:hAnsiTheme="minorEastAsia" w:eastAsiaTheme="minorEastAsia" w:cstheme="minorEastAsia"/>
          <w:kern w:val="0"/>
          <w:szCs w:val="21"/>
          <w:highlight w:val="none"/>
        </w:rPr>
        <w:t>电　　话：</w:t>
      </w:r>
    </w:p>
    <w:p>
      <w:pPr>
        <w:tabs>
          <w:tab w:val="left" w:pos="4615"/>
        </w:tabs>
        <w:autoSpaceDE w:val="0"/>
        <w:autoSpaceDN w:val="0"/>
        <w:adjustRightInd w:val="0"/>
        <w:spacing w:line="360" w:lineRule="auto"/>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传　　真：</w:t>
      </w:r>
      <w:r>
        <w:rPr>
          <w:rFonts w:hint="eastAsia" w:asciiTheme="minorEastAsia" w:hAnsiTheme="minorEastAsia" w:eastAsiaTheme="minorEastAsia" w:cstheme="minorEastAsia"/>
          <w:kern w:val="0"/>
          <w:szCs w:val="21"/>
          <w:highlight w:val="none"/>
        </w:rPr>
        <w:tab/>
      </w:r>
      <w:r>
        <w:rPr>
          <w:rFonts w:hint="eastAsia" w:asciiTheme="minorEastAsia" w:hAnsiTheme="minorEastAsia" w:eastAsiaTheme="minorEastAsia" w:cstheme="minorEastAsia"/>
          <w:kern w:val="0"/>
          <w:szCs w:val="21"/>
          <w:highlight w:val="none"/>
        </w:rPr>
        <w:t>传　　真：</w:t>
      </w:r>
    </w:p>
    <w:p>
      <w:pPr>
        <w:tabs>
          <w:tab w:val="left" w:pos="4615"/>
        </w:tabs>
        <w:autoSpaceDE w:val="0"/>
        <w:autoSpaceDN w:val="0"/>
        <w:adjustRightInd w:val="0"/>
        <w:spacing w:line="360" w:lineRule="auto"/>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邮政编码：</w:t>
      </w:r>
      <w:r>
        <w:rPr>
          <w:rFonts w:hint="eastAsia" w:asciiTheme="minorEastAsia" w:hAnsiTheme="minorEastAsia" w:eastAsiaTheme="minorEastAsia" w:cstheme="minorEastAsia"/>
          <w:kern w:val="0"/>
          <w:szCs w:val="21"/>
          <w:highlight w:val="none"/>
        </w:rPr>
        <w:tab/>
      </w:r>
      <w:r>
        <w:rPr>
          <w:rFonts w:hint="eastAsia" w:asciiTheme="minorEastAsia" w:hAnsiTheme="minorEastAsia" w:eastAsiaTheme="minorEastAsia" w:cstheme="minorEastAsia"/>
          <w:kern w:val="0"/>
          <w:szCs w:val="21"/>
          <w:highlight w:val="none"/>
        </w:rPr>
        <w:t>邮政编码：</w:t>
      </w:r>
    </w:p>
    <w:p>
      <w:pPr>
        <w:tabs>
          <w:tab w:val="left" w:pos="4615"/>
        </w:tabs>
        <w:autoSpaceDE w:val="0"/>
        <w:autoSpaceDN w:val="0"/>
        <w:adjustRightInd w:val="0"/>
        <w:spacing w:line="360" w:lineRule="auto"/>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开户银行：</w:t>
      </w:r>
      <w:r>
        <w:rPr>
          <w:rFonts w:hint="eastAsia" w:asciiTheme="minorEastAsia" w:hAnsiTheme="minorEastAsia" w:eastAsiaTheme="minorEastAsia" w:cstheme="minorEastAsia"/>
          <w:kern w:val="0"/>
          <w:szCs w:val="21"/>
          <w:highlight w:val="none"/>
        </w:rPr>
        <w:tab/>
      </w:r>
      <w:r>
        <w:rPr>
          <w:rFonts w:hint="eastAsia" w:asciiTheme="minorEastAsia" w:hAnsiTheme="minorEastAsia" w:eastAsiaTheme="minorEastAsia" w:cstheme="minorEastAsia"/>
          <w:kern w:val="0"/>
          <w:szCs w:val="21"/>
          <w:highlight w:val="none"/>
        </w:rPr>
        <w:t>开户银行：</w:t>
      </w:r>
    </w:p>
    <w:p>
      <w:pPr>
        <w:tabs>
          <w:tab w:val="left" w:pos="4615"/>
        </w:tabs>
        <w:autoSpaceDE w:val="0"/>
        <w:autoSpaceDN w:val="0"/>
        <w:adjustRightInd w:val="0"/>
        <w:spacing w:line="360" w:lineRule="auto"/>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帐　　号：</w:t>
      </w:r>
      <w:r>
        <w:rPr>
          <w:rFonts w:hint="eastAsia" w:asciiTheme="minorEastAsia" w:hAnsiTheme="minorEastAsia" w:eastAsiaTheme="minorEastAsia" w:cstheme="minorEastAsia"/>
          <w:kern w:val="0"/>
          <w:szCs w:val="21"/>
          <w:highlight w:val="none"/>
        </w:rPr>
        <w:tab/>
      </w:r>
      <w:r>
        <w:rPr>
          <w:rFonts w:hint="eastAsia" w:asciiTheme="minorEastAsia" w:hAnsiTheme="minorEastAsia" w:eastAsiaTheme="minorEastAsia" w:cstheme="minorEastAsia"/>
          <w:kern w:val="0"/>
          <w:szCs w:val="21"/>
          <w:highlight w:val="none"/>
        </w:rPr>
        <w:t>帐　　号：</w:t>
      </w:r>
    </w:p>
    <w:p>
      <w:pPr>
        <w:tabs>
          <w:tab w:val="left" w:pos="4615"/>
        </w:tabs>
        <w:autoSpaceDE w:val="0"/>
        <w:autoSpaceDN w:val="0"/>
        <w:adjustRightInd w:val="0"/>
        <w:spacing w:line="360" w:lineRule="auto"/>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税　　号：</w:t>
      </w:r>
      <w:r>
        <w:rPr>
          <w:rFonts w:hint="eastAsia" w:asciiTheme="minorEastAsia" w:hAnsiTheme="minorEastAsia" w:eastAsiaTheme="minorEastAsia" w:cstheme="minorEastAsia"/>
          <w:kern w:val="0"/>
          <w:szCs w:val="21"/>
          <w:highlight w:val="none"/>
        </w:rPr>
        <w:tab/>
      </w:r>
      <w:r>
        <w:rPr>
          <w:rFonts w:hint="eastAsia" w:asciiTheme="minorEastAsia" w:hAnsiTheme="minorEastAsia" w:eastAsiaTheme="minorEastAsia" w:cstheme="minorEastAsia"/>
          <w:kern w:val="0"/>
          <w:szCs w:val="21"/>
          <w:highlight w:val="none"/>
        </w:rPr>
        <w:t>税　　号：</w:t>
      </w:r>
    </w:p>
    <w:p>
      <w:pPr>
        <w:spacing w:line="360" w:lineRule="auto"/>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合同签订地址：</w:t>
      </w:r>
    </w:p>
    <w:p>
      <w:pPr>
        <w:rPr>
          <w:highlight w:val="none"/>
        </w:rPr>
      </w:pPr>
      <w:r>
        <w:rPr>
          <w:rFonts w:hint="eastAsia" w:asciiTheme="minorEastAsia" w:hAnsiTheme="minorEastAsia" w:eastAsiaTheme="minorEastAsia" w:cstheme="minorEastAsia"/>
          <w:szCs w:val="21"/>
          <w:highlight w:val="none"/>
        </w:rPr>
        <w:br w:type="page"/>
      </w:r>
    </w:p>
    <w:p>
      <w:pPr>
        <w:pStyle w:val="2"/>
        <w:bidi w:val="0"/>
        <w:jc w:val="center"/>
        <w:rPr>
          <w:rFonts w:hint="eastAsia"/>
          <w:highlight w:val="none"/>
          <w:lang w:val="en-US" w:eastAsia="zh-CN"/>
        </w:rPr>
      </w:pPr>
      <w:bookmarkStart w:id="265" w:name="_Toc31159"/>
      <w:bookmarkStart w:id="266" w:name="_Toc10571"/>
      <w:bookmarkStart w:id="267" w:name="_Toc24023"/>
      <w:bookmarkStart w:id="268" w:name="_Toc23429"/>
      <w:r>
        <w:rPr>
          <w:rFonts w:hint="eastAsia"/>
          <w:highlight w:val="none"/>
          <w:lang w:val="en-US" w:eastAsia="zh-CN"/>
        </w:rPr>
        <w:t>第六章 竞争性磋商响应文件格式</w:t>
      </w:r>
      <w:bookmarkEnd w:id="265"/>
      <w:bookmarkEnd w:id="266"/>
      <w:bookmarkEnd w:id="267"/>
      <w:bookmarkEnd w:id="268"/>
    </w:p>
    <w:p>
      <w:pPr>
        <w:autoSpaceDE w:val="0"/>
        <w:autoSpaceDN w:val="0"/>
        <w:adjustRightInd w:val="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封面：</w:t>
      </w:r>
    </w:p>
    <w:p>
      <w:pPr>
        <w:autoSpaceDE w:val="0"/>
        <w:autoSpaceDN w:val="0"/>
        <w:adjustRightInd w:val="0"/>
        <w:rPr>
          <w:rFonts w:asciiTheme="minorEastAsia" w:hAnsiTheme="minorEastAsia" w:eastAsiaTheme="minorEastAsia" w:cstheme="minorEastAsia"/>
          <w:highlight w:val="none"/>
        </w:rPr>
      </w:pPr>
    </w:p>
    <w:p>
      <w:pPr>
        <w:autoSpaceDE w:val="0"/>
        <w:autoSpaceDN w:val="0"/>
        <w:adjustRightInd w:val="0"/>
        <w:rPr>
          <w:rFonts w:asciiTheme="minorEastAsia" w:hAnsiTheme="minorEastAsia" w:eastAsiaTheme="minorEastAsia" w:cstheme="minorEastAsia"/>
          <w:highlight w:val="none"/>
        </w:rPr>
      </w:pPr>
    </w:p>
    <w:p>
      <w:pPr>
        <w:autoSpaceDE w:val="0"/>
        <w:autoSpaceDN w:val="0"/>
        <w:adjustRightInd w:val="0"/>
        <w:jc w:val="center"/>
        <w:outlineLvl w:val="0"/>
        <w:rPr>
          <w:rFonts w:asciiTheme="minorEastAsia" w:hAnsiTheme="minorEastAsia" w:eastAsiaTheme="minorEastAsia" w:cstheme="minorEastAsia"/>
          <w:sz w:val="28"/>
          <w:szCs w:val="28"/>
          <w:highlight w:val="none"/>
        </w:rPr>
      </w:pPr>
      <w:bookmarkStart w:id="269" w:name="_Toc543"/>
      <w:bookmarkStart w:id="270" w:name="_Toc22727"/>
      <w:bookmarkStart w:id="271" w:name="_Toc30415"/>
      <w:bookmarkStart w:id="272" w:name="_Toc18502"/>
      <w:bookmarkStart w:id="273" w:name="_Toc19459"/>
      <w:r>
        <w:rPr>
          <w:rFonts w:hint="eastAsia" w:asciiTheme="minorEastAsia" w:hAnsiTheme="minorEastAsia" w:eastAsiaTheme="minorEastAsia" w:cstheme="minorEastAsia"/>
          <w:sz w:val="28"/>
          <w:szCs w:val="28"/>
          <w:highlight w:val="none"/>
        </w:rPr>
        <w:t>政</w:t>
      </w:r>
      <w:r>
        <w:rPr>
          <w:rFonts w:hint="eastAsia" w:asciiTheme="minorEastAsia" w:hAnsiTheme="minorEastAsia" w:eastAsia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府</w:t>
      </w:r>
      <w:r>
        <w:rPr>
          <w:rFonts w:hint="eastAsia" w:asciiTheme="minorEastAsia" w:hAnsiTheme="minorEastAsia" w:eastAsia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采</w:t>
      </w:r>
      <w:r>
        <w:rPr>
          <w:rFonts w:hint="eastAsia" w:asciiTheme="minorEastAsia" w:hAnsiTheme="minorEastAsia" w:eastAsia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购</w:t>
      </w:r>
      <w:bookmarkEnd w:id="269"/>
      <w:bookmarkEnd w:id="270"/>
      <w:bookmarkEnd w:id="271"/>
      <w:bookmarkEnd w:id="272"/>
      <w:bookmarkEnd w:id="273"/>
    </w:p>
    <w:p>
      <w:pPr>
        <w:autoSpaceDE w:val="0"/>
        <w:autoSpaceDN w:val="0"/>
        <w:adjustRightInd w:val="0"/>
        <w:jc w:val="center"/>
        <w:rPr>
          <w:rFonts w:asciiTheme="minorEastAsia" w:hAnsiTheme="minorEastAsia" w:eastAsiaTheme="minorEastAsia" w:cstheme="minorEastAsia"/>
          <w:b/>
          <w:sz w:val="84"/>
          <w:szCs w:val="84"/>
          <w:highlight w:val="none"/>
        </w:rPr>
      </w:pPr>
      <w:r>
        <w:rPr>
          <w:rFonts w:hint="eastAsia" w:asciiTheme="minorEastAsia" w:hAnsiTheme="minorEastAsia" w:eastAsiaTheme="minorEastAsia" w:cstheme="minorEastAsia"/>
          <w:b/>
          <w:sz w:val="84"/>
          <w:szCs w:val="84"/>
          <w:highlight w:val="none"/>
        </w:rPr>
        <w:t>响 应 文 件</w:t>
      </w:r>
    </w:p>
    <w:p>
      <w:pPr>
        <w:autoSpaceDE w:val="0"/>
        <w:autoSpaceDN w:val="0"/>
        <w:adjustRightInd w:val="0"/>
        <w:rPr>
          <w:rFonts w:asciiTheme="minorEastAsia" w:hAnsiTheme="minorEastAsia" w:eastAsiaTheme="minorEastAsia" w:cstheme="minorEastAsia"/>
          <w:szCs w:val="21"/>
          <w:highlight w:val="none"/>
        </w:rPr>
      </w:pPr>
    </w:p>
    <w:p>
      <w:pPr>
        <w:autoSpaceDE w:val="0"/>
        <w:autoSpaceDN w:val="0"/>
        <w:adjustRightInd w:val="0"/>
        <w:rPr>
          <w:rFonts w:asciiTheme="minorEastAsia" w:hAnsiTheme="minorEastAsia" w:eastAsiaTheme="minorEastAsia" w:cstheme="minorEastAsia"/>
          <w:szCs w:val="21"/>
          <w:highlight w:val="none"/>
        </w:rPr>
      </w:pPr>
    </w:p>
    <w:p>
      <w:pPr>
        <w:autoSpaceDE w:val="0"/>
        <w:autoSpaceDN w:val="0"/>
        <w:adjustRightInd w:val="0"/>
        <w:jc w:val="center"/>
        <w:outlineLvl w:val="0"/>
        <w:rPr>
          <w:rFonts w:asciiTheme="minorEastAsia" w:hAnsiTheme="minorEastAsia" w:eastAsiaTheme="minorEastAsia" w:cstheme="minorEastAsia"/>
          <w:szCs w:val="21"/>
          <w:highlight w:val="none"/>
        </w:rPr>
      </w:pPr>
      <w:bookmarkStart w:id="274" w:name="_Toc7288"/>
      <w:bookmarkStart w:id="275" w:name="_Toc28134"/>
      <w:bookmarkStart w:id="276" w:name="_Toc27160"/>
      <w:bookmarkStart w:id="277" w:name="_Toc16483"/>
      <w:bookmarkStart w:id="278" w:name="_Toc13378"/>
      <w:r>
        <w:rPr>
          <w:rFonts w:hint="eastAsia" w:asciiTheme="minorEastAsia" w:hAnsiTheme="minorEastAsia" w:eastAsiaTheme="minorEastAsia" w:cstheme="minorEastAsia"/>
          <w:szCs w:val="21"/>
          <w:highlight w:val="none"/>
        </w:rPr>
        <w:t>（正本/副本）</w:t>
      </w:r>
      <w:bookmarkEnd w:id="274"/>
      <w:bookmarkEnd w:id="275"/>
      <w:bookmarkEnd w:id="276"/>
      <w:bookmarkEnd w:id="277"/>
      <w:bookmarkEnd w:id="278"/>
    </w:p>
    <w:p>
      <w:pPr>
        <w:autoSpaceDE w:val="0"/>
        <w:autoSpaceDN w:val="0"/>
        <w:adjustRightInd w:val="0"/>
        <w:rPr>
          <w:rFonts w:asciiTheme="minorEastAsia" w:hAnsiTheme="minorEastAsia" w:eastAsiaTheme="minorEastAsia" w:cstheme="minorEastAsia"/>
          <w:szCs w:val="21"/>
          <w:highlight w:val="none"/>
        </w:rPr>
      </w:pPr>
    </w:p>
    <w:p>
      <w:pPr>
        <w:autoSpaceDE w:val="0"/>
        <w:autoSpaceDN w:val="0"/>
        <w:adjustRightInd w:val="0"/>
        <w:rPr>
          <w:rFonts w:asciiTheme="minorEastAsia" w:hAnsiTheme="minorEastAsia" w:eastAsiaTheme="minorEastAsia" w:cstheme="minorEastAsia"/>
          <w:szCs w:val="21"/>
          <w:highlight w:val="none"/>
        </w:rPr>
      </w:pPr>
    </w:p>
    <w:p>
      <w:pPr>
        <w:autoSpaceDE w:val="0"/>
        <w:autoSpaceDN w:val="0"/>
        <w:adjustRightInd w:val="0"/>
        <w:rPr>
          <w:rFonts w:asciiTheme="minorEastAsia" w:hAnsiTheme="minorEastAsia" w:eastAsiaTheme="minorEastAsia" w:cstheme="minorEastAsia"/>
          <w:szCs w:val="21"/>
          <w:highlight w:val="none"/>
        </w:rPr>
      </w:pPr>
    </w:p>
    <w:p>
      <w:pPr>
        <w:autoSpaceDE w:val="0"/>
        <w:autoSpaceDN w:val="0"/>
        <w:adjustRightInd w:val="0"/>
        <w:rPr>
          <w:rFonts w:asciiTheme="minorEastAsia" w:hAnsiTheme="minorEastAsia" w:eastAsiaTheme="minorEastAsia" w:cstheme="minorEastAsia"/>
          <w:szCs w:val="21"/>
          <w:highlight w:val="none"/>
        </w:rPr>
      </w:pPr>
    </w:p>
    <w:p>
      <w:pPr>
        <w:pStyle w:val="11"/>
        <w:spacing w:line="360" w:lineRule="auto"/>
        <w:ind w:firstLine="1285" w:firstLineChars="400"/>
        <w:outlineLvl w:val="0"/>
        <w:rPr>
          <w:rFonts w:hAnsi="宋体" w:cs="宋体"/>
          <w:b/>
          <w:bCs/>
          <w:sz w:val="32"/>
          <w:szCs w:val="32"/>
          <w:highlight w:val="none"/>
        </w:rPr>
      </w:pPr>
      <w:bookmarkStart w:id="279" w:name="_Toc28864"/>
      <w:bookmarkStart w:id="280" w:name="_Toc26067"/>
      <w:bookmarkStart w:id="281" w:name="_Toc29366"/>
      <w:bookmarkStart w:id="282" w:name="_Toc2258"/>
      <w:bookmarkStart w:id="283" w:name="_Toc714"/>
      <w:r>
        <w:rPr>
          <w:rFonts w:hint="eastAsia" w:hAnsi="宋体" w:cs="宋体"/>
          <w:b/>
          <w:bCs/>
          <w:sz w:val="32"/>
          <w:szCs w:val="32"/>
          <w:highlight w:val="none"/>
        </w:rPr>
        <w:t>项目编号：</w:t>
      </w:r>
      <w:bookmarkEnd w:id="279"/>
      <w:bookmarkEnd w:id="280"/>
      <w:bookmarkEnd w:id="281"/>
      <w:bookmarkEnd w:id="282"/>
      <w:bookmarkEnd w:id="283"/>
    </w:p>
    <w:p>
      <w:pPr>
        <w:pStyle w:val="11"/>
        <w:spacing w:line="360" w:lineRule="auto"/>
        <w:ind w:firstLine="1285" w:firstLineChars="400"/>
        <w:outlineLvl w:val="0"/>
        <w:rPr>
          <w:rFonts w:hAnsi="宋体" w:cs="宋体"/>
          <w:b/>
          <w:bCs/>
          <w:sz w:val="32"/>
          <w:szCs w:val="32"/>
          <w:highlight w:val="none"/>
          <w:u w:val="single"/>
        </w:rPr>
      </w:pPr>
      <w:bookmarkStart w:id="284" w:name="_Toc26693"/>
      <w:bookmarkStart w:id="285" w:name="_Toc5759"/>
      <w:bookmarkStart w:id="286" w:name="_Toc32684"/>
      <w:bookmarkStart w:id="287" w:name="_Toc27936"/>
      <w:bookmarkStart w:id="288" w:name="_Toc63"/>
      <w:r>
        <w:rPr>
          <w:rFonts w:hint="eastAsia" w:hAnsi="宋体" w:cs="宋体"/>
          <w:b/>
          <w:bCs/>
          <w:sz w:val="32"/>
          <w:szCs w:val="32"/>
          <w:highlight w:val="none"/>
        </w:rPr>
        <w:t>项目名称：</w:t>
      </w:r>
      <w:bookmarkEnd w:id="284"/>
      <w:bookmarkEnd w:id="285"/>
      <w:bookmarkEnd w:id="286"/>
      <w:bookmarkEnd w:id="287"/>
      <w:bookmarkEnd w:id="288"/>
    </w:p>
    <w:p>
      <w:pPr>
        <w:pStyle w:val="11"/>
        <w:spacing w:line="360" w:lineRule="auto"/>
        <w:ind w:firstLine="1285" w:firstLineChars="400"/>
        <w:outlineLvl w:val="0"/>
        <w:rPr>
          <w:rFonts w:hAnsi="宋体" w:cs="宋体"/>
          <w:b/>
          <w:bCs/>
          <w:sz w:val="32"/>
          <w:szCs w:val="32"/>
          <w:highlight w:val="none"/>
          <w:u w:val="single"/>
        </w:rPr>
      </w:pPr>
      <w:bookmarkStart w:id="289" w:name="_Toc8594"/>
      <w:bookmarkStart w:id="290" w:name="_Toc2636"/>
      <w:bookmarkStart w:id="291" w:name="_Toc25254"/>
      <w:bookmarkStart w:id="292" w:name="_Toc5291"/>
      <w:bookmarkStart w:id="293" w:name="_Toc31022"/>
      <w:bookmarkStart w:id="294" w:name="_Toc29039"/>
      <w:r>
        <w:rPr>
          <w:rFonts w:hint="eastAsia" w:hAnsi="宋体" w:cs="宋体"/>
          <w:b/>
          <w:bCs/>
          <w:sz w:val="32"/>
          <w:szCs w:val="32"/>
          <w:highlight w:val="none"/>
          <w:lang w:val="en-US" w:eastAsia="zh-CN"/>
        </w:rPr>
        <w:t>政府采购计划备案号</w:t>
      </w:r>
      <w:r>
        <w:rPr>
          <w:rFonts w:hint="eastAsia" w:hAnsi="宋体" w:cs="宋体"/>
          <w:b/>
          <w:bCs/>
          <w:sz w:val="32"/>
          <w:szCs w:val="32"/>
          <w:highlight w:val="none"/>
        </w:rPr>
        <w:t>：</w:t>
      </w:r>
      <w:bookmarkEnd w:id="289"/>
      <w:bookmarkEnd w:id="290"/>
      <w:bookmarkEnd w:id="291"/>
      <w:bookmarkEnd w:id="292"/>
      <w:bookmarkEnd w:id="293"/>
      <w:bookmarkEnd w:id="294"/>
    </w:p>
    <w:p>
      <w:pPr>
        <w:autoSpaceDE w:val="0"/>
        <w:autoSpaceDN w:val="0"/>
        <w:adjustRightInd w:val="0"/>
        <w:rPr>
          <w:rFonts w:asciiTheme="minorEastAsia" w:hAnsiTheme="minorEastAsia" w:eastAsiaTheme="minorEastAsia" w:cstheme="minorEastAsia"/>
          <w:szCs w:val="21"/>
          <w:highlight w:val="none"/>
        </w:rPr>
      </w:pPr>
    </w:p>
    <w:p>
      <w:pPr>
        <w:autoSpaceDE w:val="0"/>
        <w:autoSpaceDN w:val="0"/>
        <w:adjustRightInd w:val="0"/>
        <w:rPr>
          <w:rFonts w:asciiTheme="minorEastAsia" w:hAnsiTheme="minorEastAsia" w:eastAsiaTheme="minorEastAsia" w:cstheme="minorEastAsia"/>
          <w:szCs w:val="21"/>
          <w:highlight w:val="none"/>
        </w:rPr>
      </w:pPr>
    </w:p>
    <w:p>
      <w:pPr>
        <w:autoSpaceDE w:val="0"/>
        <w:autoSpaceDN w:val="0"/>
        <w:adjustRightInd w:val="0"/>
        <w:rPr>
          <w:rFonts w:asciiTheme="minorEastAsia" w:hAnsiTheme="minorEastAsia" w:eastAsiaTheme="minorEastAsia" w:cstheme="minorEastAsia"/>
          <w:szCs w:val="21"/>
          <w:highlight w:val="none"/>
        </w:rPr>
      </w:pPr>
    </w:p>
    <w:p>
      <w:pPr>
        <w:autoSpaceDE w:val="0"/>
        <w:autoSpaceDN w:val="0"/>
        <w:adjustRightInd w:val="0"/>
        <w:rPr>
          <w:rFonts w:asciiTheme="minorEastAsia" w:hAnsiTheme="minorEastAsia" w:eastAsiaTheme="minorEastAsia" w:cstheme="minorEastAsia"/>
          <w:szCs w:val="21"/>
          <w:highlight w:val="none"/>
        </w:rPr>
      </w:pPr>
    </w:p>
    <w:p>
      <w:pPr>
        <w:autoSpaceDE w:val="0"/>
        <w:autoSpaceDN w:val="0"/>
        <w:adjustRightInd w:val="0"/>
        <w:rPr>
          <w:rFonts w:asciiTheme="minorEastAsia" w:hAnsiTheme="minorEastAsia" w:eastAsiaTheme="minorEastAsia" w:cstheme="minorEastAsia"/>
          <w:szCs w:val="21"/>
          <w:highlight w:val="none"/>
        </w:rPr>
      </w:pPr>
    </w:p>
    <w:p>
      <w:pPr>
        <w:autoSpaceDE w:val="0"/>
        <w:autoSpaceDN w:val="0"/>
        <w:adjustRightInd w:val="0"/>
        <w:rPr>
          <w:rFonts w:asciiTheme="minorEastAsia" w:hAnsiTheme="minorEastAsia" w:eastAsiaTheme="minorEastAsia" w:cstheme="minorEastAsia"/>
          <w:szCs w:val="21"/>
          <w:highlight w:val="none"/>
        </w:rPr>
      </w:pPr>
    </w:p>
    <w:p>
      <w:pPr>
        <w:autoSpaceDE w:val="0"/>
        <w:autoSpaceDN w:val="0"/>
        <w:adjustRightInd w:val="0"/>
        <w:rPr>
          <w:rFonts w:asciiTheme="minorEastAsia" w:hAnsiTheme="minorEastAsia" w:eastAsiaTheme="minorEastAsia" w:cstheme="minorEastAsia"/>
          <w:szCs w:val="21"/>
          <w:highlight w:val="none"/>
        </w:rPr>
      </w:pPr>
    </w:p>
    <w:p>
      <w:pPr>
        <w:autoSpaceDE w:val="0"/>
        <w:autoSpaceDN w:val="0"/>
        <w:adjustRightInd w:val="0"/>
        <w:rPr>
          <w:rFonts w:asciiTheme="minorEastAsia" w:hAnsiTheme="minorEastAsia" w:eastAsiaTheme="minorEastAsia" w:cstheme="minorEastAsia"/>
          <w:szCs w:val="21"/>
          <w:highlight w:val="none"/>
        </w:rPr>
      </w:pPr>
    </w:p>
    <w:p>
      <w:pPr>
        <w:autoSpaceDE w:val="0"/>
        <w:autoSpaceDN w:val="0"/>
        <w:adjustRightInd w:val="0"/>
        <w:rPr>
          <w:rFonts w:asciiTheme="minorEastAsia" w:hAnsiTheme="minorEastAsia" w:eastAsiaTheme="minorEastAsia" w:cstheme="minorEastAsia"/>
          <w:szCs w:val="21"/>
          <w:highlight w:val="none"/>
        </w:rPr>
      </w:pPr>
    </w:p>
    <w:p>
      <w:pPr>
        <w:autoSpaceDE w:val="0"/>
        <w:autoSpaceDN w:val="0"/>
        <w:adjustRightInd w:val="0"/>
        <w:rPr>
          <w:rFonts w:asciiTheme="minorEastAsia" w:hAnsiTheme="minorEastAsia" w:eastAsiaTheme="minorEastAsia" w:cstheme="minorEastAsia"/>
          <w:szCs w:val="21"/>
          <w:highlight w:val="none"/>
        </w:rPr>
      </w:pPr>
    </w:p>
    <w:p>
      <w:pPr>
        <w:autoSpaceDE w:val="0"/>
        <w:autoSpaceDN w:val="0"/>
        <w:adjustRightInd w:val="0"/>
        <w:spacing w:line="360" w:lineRule="auto"/>
        <w:ind w:firstLine="1260" w:firstLineChars="450"/>
        <w:outlineLvl w:val="0"/>
        <w:rPr>
          <w:rFonts w:asciiTheme="minorEastAsia" w:hAnsiTheme="minorEastAsia" w:eastAsiaTheme="minorEastAsia" w:cstheme="minorEastAsia"/>
          <w:b/>
          <w:bCs/>
          <w:sz w:val="32"/>
          <w:highlight w:val="none"/>
          <w:u w:val="single"/>
        </w:rPr>
      </w:pPr>
      <w:bookmarkStart w:id="295" w:name="_Toc30950"/>
      <w:bookmarkStart w:id="296" w:name="_Toc27095"/>
      <w:bookmarkStart w:id="297" w:name="_Toc14535"/>
      <w:bookmarkStart w:id="298" w:name="_Toc961"/>
      <w:bookmarkStart w:id="299" w:name="_Toc18630"/>
      <w:r>
        <w:rPr>
          <w:rFonts w:hint="eastAsia" w:asciiTheme="minorEastAsia" w:hAnsiTheme="minorEastAsia" w:eastAsiaTheme="minorEastAsia" w:cstheme="minorEastAsia"/>
          <w:sz w:val="28"/>
          <w:szCs w:val="28"/>
          <w:highlight w:val="none"/>
        </w:rPr>
        <w:t>磋商供应商名称（盖章）：</w:t>
      </w:r>
      <w:bookmarkEnd w:id="295"/>
      <w:bookmarkEnd w:id="296"/>
      <w:bookmarkEnd w:id="297"/>
      <w:bookmarkEnd w:id="298"/>
      <w:bookmarkEnd w:id="299"/>
      <w:bookmarkStart w:id="300" w:name="_Toc23858"/>
      <w:bookmarkStart w:id="301" w:name="_Toc5751"/>
    </w:p>
    <w:p>
      <w:pPr>
        <w:autoSpaceDE w:val="0"/>
        <w:autoSpaceDN w:val="0"/>
        <w:adjustRightInd w:val="0"/>
        <w:spacing w:line="360" w:lineRule="auto"/>
        <w:ind w:firstLine="1260" w:firstLineChars="450"/>
        <w:outlineLvl w:val="0"/>
        <w:rPr>
          <w:rFonts w:asciiTheme="minorEastAsia" w:hAnsiTheme="minorEastAsia" w:eastAsiaTheme="minorEastAsia" w:cstheme="minorEastAsia"/>
          <w:sz w:val="28"/>
          <w:szCs w:val="28"/>
          <w:highlight w:val="none"/>
        </w:rPr>
      </w:pPr>
      <w:bookmarkStart w:id="302" w:name="_Toc27136"/>
      <w:bookmarkStart w:id="303" w:name="_Toc28195"/>
      <w:bookmarkStart w:id="304" w:name="_Toc20750"/>
      <w:bookmarkStart w:id="305" w:name="_Toc770"/>
      <w:bookmarkStart w:id="306" w:name="_Toc16099"/>
      <w:r>
        <w:rPr>
          <w:rFonts w:hint="eastAsia" w:asciiTheme="minorEastAsia" w:hAnsiTheme="minorEastAsia" w:eastAsiaTheme="minorEastAsia" w:cstheme="minorEastAsia"/>
          <w:sz w:val="28"/>
          <w:szCs w:val="28"/>
          <w:highlight w:val="none"/>
        </w:rPr>
        <w:t>日          期：年月日</w:t>
      </w:r>
      <w:bookmarkEnd w:id="302"/>
      <w:bookmarkEnd w:id="303"/>
      <w:bookmarkEnd w:id="304"/>
      <w:bookmarkEnd w:id="305"/>
      <w:bookmarkEnd w:id="306"/>
    </w:p>
    <w:bookmarkEnd w:id="300"/>
    <w:bookmarkEnd w:id="301"/>
    <w:p>
      <w:pPr>
        <w:autoSpaceDE w:val="0"/>
        <w:autoSpaceDN w:val="0"/>
        <w:adjustRightInd w:val="0"/>
        <w:spacing w:line="360" w:lineRule="auto"/>
        <w:jc w:val="center"/>
        <w:outlineLvl w:val="0"/>
        <w:rPr>
          <w:rFonts w:asciiTheme="minorEastAsia" w:hAnsiTheme="minorEastAsia" w:eastAsiaTheme="minorEastAsia" w:cstheme="minorEastAsia"/>
          <w:b/>
          <w:bCs/>
          <w:sz w:val="24"/>
          <w:highlight w:val="none"/>
        </w:rPr>
      </w:pPr>
      <w:bookmarkStart w:id="307" w:name="_Toc360174584"/>
      <w:bookmarkStart w:id="308" w:name="_Toc264644272"/>
      <w:bookmarkStart w:id="309" w:name="_Toc533331084"/>
      <w:bookmarkStart w:id="310" w:name="_Toc211783342"/>
      <w:bookmarkStart w:id="311" w:name="_Toc533330957"/>
      <w:bookmarkStart w:id="312" w:name="_Toc11320441"/>
      <w:r>
        <w:rPr>
          <w:rFonts w:hint="eastAsia" w:asciiTheme="minorEastAsia" w:hAnsiTheme="minorEastAsia" w:eastAsiaTheme="minorEastAsia" w:cstheme="minorEastAsia"/>
          <w:b/>
          <w:bCs/>
          <w:sz w:val="24"/>
          <w:highlight w:val="none"/>
        </w:rPr>
        <w:br w:type="page"/>
      </w:r>
      <w:bookmarkStart w:id="313" w:name="_Toc23427"/>
      <w:bookmarkStart w:id="314" w:name="_Toc21335"/>
      <w:bookmarkStart w:id="315" w:name="_Toc20827"/>
      <w:bookmarkStart w:id="316" w:name="_Toc19731"/>
      <w:bookmarkStart w:id="317" w:name="_Toc10290"/>
      <w:r>
        <w:rPr>
          <w:rFonts w:hint="eastAsia" w:asciiTheme="minorEastAsia" w:hAnsiTheme="minorEastAsia" w:eastAsiaTheme="minorEastAsia" w:cstheme="minorEastAsia"/>
          <w:b/>
          <w:bCs/>
          <w:sz w:val="24"/>
          <w:highlight w:val="none"/>
        </w:rPr>
        <w:t>响应文件目录</w:t>
      </w:r>
      <w:bookmarkEnd w:id="307"/>
      <w:bookmarkEnd w:id="308"/>
      <w:bookmarkEnd w:id="313"/>
      <w:bookmarkEnd w:id="314"/>
      <w:bookmarkEnd w:id="315"/>
      <w:bookmarkEnd w:id="316"/>
      <w:bookmarkEnd w:id="317"/>
    </w:p>
    <w:p>
      <w:pPr>
        <w:autoSpaceDE w:val="0"/>
        <w:autoSpaceDN w:val="0"/>
        <w:adjustRightInd w:val="0"/>
        <w:rPr>
          <w:rFonts w:asciiTheme="minorEastAsia" w:hAnsiTheme="minorEastAsia" w:eastAsiaTheme="minorEastAsia" w:cstheme="minorEastAsia"/>
          <w:b/>
          <w:bCs/>
          <w:szCs w:val="21"/>
          <w:highlight w:val="none"/>
        </w:rPr>
      </w:pPr>
    </w:p>
    <w:p>
      <w:pPr>
        <w:keepNext w:val="0"/>
        <w:keepLines w:val="0"/>
        <w:pageBreakBefore w:val="0"/>
        <w:widowControl w:val="0"/>
        <w:kinsoku/>
        <w:wordWrap/>
        <w:overflowPunct/>
        <w:topLinePunct w:val="0"/>
        <w:bidi w:val="0"/>
        <w:spacing w:line="360" w:lineRule="auto"/>
        <w:jc w:val="center"/>
        <w:textAlignment w:val="auto"/>
        <w:rPr>
          <w:rFonts w:hint="eastAsia" w:asciiTheme="minorEastAsia" w:hAnsiTheme="minorEastAsia" w:eastAsiaTheme="minorEastAsia" w:cstheme="minorEastAsia"/>
          <w:bCs/>
          <w:spacing w:val="6"/>
          <w:szCs w:val="21"/>
          <w:highlight w:val="none"/>
          <w:lang w:val="en-US" w:eastAsia="zh-CN"/>
        </w:rPr>
      </w:pPr>
      <w:r>
        <w:rPr>
          <w:rFonts w:hint="eastAsia" w:asciiTheme="minorEastAsia" w:hAnsiTheme="minorEastAsia" w:eastAsiaTheme="minorEastAsia" w:cstheme="minorEastAsia"/>
          <w:bCs/>
          <w:spacing w:val="6"/>
          <w:szCs w:val="21"/>
          <w:highlight w:val="none"/>
        </w:rPr>
        <w:t>（</w:t>
      </w:r>
      <w:r>
        <w:rPr>
          <w:rFonts w:hint="eastAsia" w:asciiTheme="minorEastAsia" w:hAnsiTheme="minorEastAsia" w:eastAsiaTheme="minorEastAsia" w:cstheme="minorEastAsia"/>
          <w:bCs/>
          <w:spacing w:val="6"/>
          <w:szCs w:val="21"/>
          <w:highlight w:val="none"/>
          <w:lang w:val="en-US" w:eastAsia="zh-CN"/>
        </w:rPr>
        <w:t xml:space="preserve">编制的详细目录应能链接到投标文件对应章节内容，且具有文档结构图。设置方法：在     </w:t>
      </w:r>
    </w:p>
    <w:p>
      <w:pPr>
        <w:keepNext w:val="0"/>
        <w:keepLines w:val="0"/>
        <w:pageBreakBefore w:val="0"/>
        <w:widowControl w:val="0"/>
        <w:kinsoku/>
        <w:wordWrap/>
        <w:overflowPunct/>
        <w:topLinePunct w:val="0"/>
        <w:bidi w:val="0"/>
        <w:spacing w:line="360" w:lineRule="auto"/>
        <w:ind w:left="420" w:leftChars="200" w:firstLine="0" w:firstLineChars="0"/>
        <w:jc w:val="both"/>
        <w:textAlignment w:val="auto"/>
        <w:rPr>
          <w:rFonts w:hint="eastAsia" w:asciiTheme="minorEastAsia" w:hAnsiTheme="minorEastAsia" w:eastAsiaTheme="minorEastAsia" w:cstheme="minorEastAsia"/>
          <w:bCs/>
          <w:spacing w:val="6"/>
          <w:szCs w:val="21"/>
          <w:highlight w:val="none"/>
          <w:lang w:eastAsia="zh-CN"/>
        </w:rPr>
      </w:pPr>
      <w:r>
        <w:rPr>
          <w:rFonts w:hint="eastAsia" w:asciiTheme="minorEastAsia" w:hAnsiTheme="minorEastAsia" w:eastAsiaTheme="minorEastAsia" w:cstheme="minorEastAsia"/>
          <w:bCs/>
          <w:spacing w:val="6"/>
          <w:szCs w:val="21"/>
          <w:highlight w:val="none"/>
          <w:lang w:val="en-US" w:eastAsia="zh-CN"/>
        </w:rPr>
        <w:t>word中设置相应章节的段落大纲级别；查看方法：打开 Word 视图中的“导航窗格”后能看到各章节</w:t>
      </w:r>
      <w:r>
        <w:rPr>
          <w:rFonts w:hint="eastAsia" w:asciiTheme="minorEastAsia" w:hAnsiTheme="minorEastAsia" w:eastAsiaTheme="minorEastAsia" w:cstheme="minorEastAsia"/>
          <w:bCs/>
          <w:spacing w:val="6"/>
          <w:szCs w:val="21"/>
          <w:highlight w:val="none"/>
        </w:rPr>
        <w:t>）</w:t>
      </w:r>
    </w:p>
    <w:p>
      <w:pPr>
        <w:autoSpaceDE w:val="0"/>
        <w:autoSpaceDN w:val="0"/>
        <w:adjustRightInd w:val="0"/>
        <w:spacing w:line="480" w:lineRule="auto"/>
        <w:rPr>
          <w:rFonts w:asciiTheme="minorEastAsia" w:hAnsiTheme="minorEastAsia" w:eastAsiaTheme="minorEastAsia" w:cstheme="minorEastAsia"/>
          <w:b/>
          <w:highlight w:val="none"/>
        </w:rPr>
      </w:pPr>
    </w:p>
    <w:p>
      <w:pPr>
        <w:autoSpaceDE w:val="0"/>
        <w:autoSpaceDN w:val="0"/>
        <w:adjustRightInd w:val="0"/>
        <w:spacing w:line="480" w:lineRule="auto"/>
        <w:rPr>
          <w:rFonts w:asciiTheme="minorEastAsia" w:hAnsiTheme="minorEastAsia" w:eastAsiaTheme="minorEastAsia" w:cstheme="minorEastAsia"/>
          <w:b/>
          <w:highlight w:val="none"/>
        </w:rPr>
      </w:pPr>
    </w:p>
    <w:p>
      <w:pPr>
        <w:autoSpaceDE w:val="0"/>
        <w:autoSpaceDN w:val="0"/>
        <w:adjustRightInd w:val="0"/>
        <w:spacing w:line="480" w:lineRule="auto"/>
        <w:rPr>
          <w:rFonts w:asciiTheme="minorEastAsia" w:hAnsiTheme="minorEastAsia" w:eastAsiaTheme="minorEastAsia" w:cstheme="minorEastAsia"/>
          <w:b/>
          <w:highlight w:val="none"/>
        </w:rPr>
      </w:pPr>
    </w:p>
    <w:p>
      <w:pPr>
        <w:autoSpaceDE w:val="0"/>
        <w:autoSpaceDN w:val="0"/>
        <w:adjustRightInd w:val="0"/>
        <w:spacing w:line="480" w:lineRule="auto"/>
        <w:rPr>
          <w:rFonts w:hint="eastAsia" w:asciiTheme="minorEastAsia" w:hAnsiTheme="minorEastAsia" w:eastAsiaTheme="minorEastAsia" w:cstheme="minorEastAsia"/>
          <w:b/>
          <w:highlight w:val="none"/>
          <w:lang w:eastAsia="zh-CN"/>
        </w:rPr>
      </w:pPr>
    </w:p>
    <w:p>
      <w:pPr>
        <w:pStyle w:val="7"/>
        <w:rPr>
          <w:rFonts w:hint="eastAsia"/>
          <w:highlight w:val="none"/>
          <w:lang w:eastAsia="zh-CN"/>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pStyle w:val="7"/>
        <w:rPr>
          <w:rFonts w:hint="eastAsia" w:asciiTheme="minorEastAsia" w:hAnsiTheme="minorEastAsia" w:eastAsiaTheme="minorEastAsia" w:cstheme="minorEastAsia"/>
          <w:b/>
          <w:highlight w:val="none"/>
        </w:rPr>
      </w:pPr>
    </w:p>
    <w:p>
      <w:pPr>
        <w:rPr>
          <w:rFonts w:hint="eastAsia" w:asciiTheme="minorEastAsia" w:hAnsiTheme="minorEastAsia" w:eastAsiaTheme="minorEastAsia" w:cstheme="minorEastAsia"/>
          <w:b/>
          <w:highlight w:val="none"/>
        </w:rPr>
      </w:pPr>
      <w:r>
        <w:rPr>
          <w:rFonts w:hint="eastAsia" w:asciiTheme="minorEastAsia" w:hAnsiTheme="minorEastAsia" w:eastAsiaTheme="minorEastAsia" w:cstheme="minorEastAsia"/>
          <w:b/>
          <w:highlight w:val="none"/>
        </w:rPr>
        <w:br w:type="page"/>
      </w:r>
    </w:p>
    <w:p>
      <w:pPr>
        <w:rPr>
          <w:rFonts w:hint="eastAsia"/>
          <w:highlight w:val="none"/>
        </w:rPr>
      </w:pPr>
    </w:p>
    <w:p>
      <w:pPr>
        <w:pStyle w:val="8"/>
        <w:rPr>
          <w:rFonts w:hint="eastAsia"/>
          <w:highlight w:val="none"/>
        </w:rPr>
      </w:pPr>
    </w:p>
    <w:p>
      <w:pPr>
        <w:pStyle w:val="3"/>
        <w:numPr>
          <w:ilvl w:val="0"/>
          <w:numId w:val="29"/>
        </w:numPr>
        <w:bidi w:val="0"/>
        <w:jc w:val="center"/>
        <w:rPr>
          <w:rFonts w:hint="eastAsia"/>
          <w:b/>
          <w:bCs/>
          <w:highlight w:val="none"/>
          <w:lang w:eastAsia="zh-CN"/>
        </w:rPr>
      </w:pPr>
      <w:bookmarkStart w:id="318" w:name="_Toc23135"/>
      <w:r>
        <w:rPr>
          <w:rFonts w:hint="eastAsia"/>
          <w:b/>
          <w:bCs/>
          <w:highlight w:val="none"/>
          <w:lang w:eastAsia="zh-CN"/>
        </w:rPr>
        <w:t>资格性自查表</w:t>
      </w:r>
      <w:bookmarkEnd w:id="318"/>
    </w:p>
    <w:tbl>
      <w:tblPr>
        <w:tblStyle w:val="19"/>
        <w:tblW w:w="94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9"/>
        <w:gridCol w:w="1912"/>
        <w:gridCol w:w="5525"/>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trPr>
        <w:tc>
          <w:tcPr>
            <w:tcW w:w="739" w:type="dxa"/>
          </w:tcPr>
          <w:p>
            <w:pPr>
              <w:pStyle w:val="7"/>
              <w:widowControl w:val="0"/>
              <w:numPr>
                <w:ilvl w:val="0"/>
                <w:numId w:val="0"/>
              </w:numPr>
              <w:jc w:val="both"/>
              <w:rPr>
                <w:rFonts w:hint="eastAsia" w:asciiTheme="minorEastAsia" w:hAnsiTheme="minorEastAsia" w:eastAsiaTheme="minorEastAsia" w:cstheme="minorEastAsia"/>
                <w:b/>
                <w:sz w:val="21"/>
                <w:szCs w:val="21"/>
                <w:highlight w:val="none"/>
                <w:vertAlign w:val="baseline"/>
                <w:lang w:eastAsia="zh-CN"/>
              </w:rPr>
            </w:pPr>
            <w:r>
              <w:rPr>
                <w:rFonts w:hint="eastAsia" w:asciiTheme="minorEastAsia" w:hAnsiTheme="minorEastAsia" w:eastAsiaTheme="minorEastAsia" w:cstheme="minorEastAsia"/>
                <w:b/>
                <w:sz w:val="21"/>
                <w:szCs w:val="21"/>
                <w:highlight w:val="none"/>
                <w:vertAlign w:val="baseline"/>
                <w:lang w:eastAsia="zh-CN"/>
              </w:rPr>
              <w:t>序号</w:t>
            </w:r>
          </w:p>
        </w:tc>
        <w:tc>
          <w:tcPr>
            <w:tcW w:w="1912" w:type="dxa"/>
          </w:tcPr>
          <w:p>
            <w:pPr>
              <w:pStyle w:val="7"/>
              <w:widowControl w:val="0"/>
              <w:numPr>
                <w:ilvl w:val="0"/>
                <w:numId w:val="0"/>
              </w:numPr>
              <w:jc w:val="center"/>
              <w:rPr>
                <w:rFonts w:hint="eastAsia" w:asciiTheme="minorEastAsia" w:hAnsiTheme="minorEastAsia" w:eastAsiaTheme="minorEastAsia" w:cstheme="minorEastAsia"/>
                <w:b/>
                <w:sz w:val="21"/>
                <w:szCs w:val="21"/>
                <w:highlight w:val="none"/>
                <w:vertAlign w:val="baseline"/>
                <w:lang w:eastAsia="zh-CN"/>
              </w:rPr>
            </w:pPr>
            <w:r>
              <w:rPr>
                <w:rFonts w:hint="eastAsia" w:asciiTheme="minorEastAsia" w:hAnsiTheme="minorEastAsia" w:eastAsiaTheme="minorEastAsia" w:cstheme="minorEastAsia"/>
                <w:b/>
                <w:sz w:val="21"/>
                <w:szCs w:val="21"/>
                <w:highlight w:val="none"/>
                <w:vertAlign w:val="baseline"/>
                <w:lang w:val="en-US" w:eastAsia="zh-CN"/>
              </w:rPr>
              <w:t>资格要求</w:t>
            </w:r>
          </w:p>
        </w:tc>
        <w:tc>
          <w:tcPr>
            <w:tcW w:w="5525" w:type="dxa"/>
          </w:tcPr>
          <w:p>
            <w:pPr>
              <w:pStyle w:val="7"/>
              <w:widowControl w:val="0"/>
              <w:numPr>
                <w:ilvl w:val="0"/>
                <w:numId w:val="0"/>
              </w:numPr>
              <w:jc w:val="center"/>
              <w:rPr>
                <w:rFonts w:hint="eastAsia" w:asciiTheme="minorEastAsia" w:hAnsiTheme="minorEastAsia" w:eastAsiaTheme="minorEastAsia" w:cstheme="minorEastAsia"/>
                <w:b/>
                <w:sz w:val="21"/>
                <w:szCs w:val="21"/>
                <w:highlight w:val="none"/>
                <w:vertAlign w:val="baseline"/>
                <w:lang w:eastAsia="zh-CN"/>
              </w:rPr>
            </w:pPr>
            <w:r>
              <w:rPr>
                <w:rFonts w:hint="eastAsia" w:asciiTheme="minorEastAsia" w:hAnsiTheme="minorEastAsia" w:eastAsiaTheme="minorEastAsia" w:cstheme="minorEastAsia"/>
                <w:b/>
                <w:sz w:val="21"/>
                <w:szCs w:val="21"/>
                <w:highlight w:val="none"/>
                <w:vertAlign w:val="baseline"/>
                <w:lang w:val="en-US" w:eastAsia="zh-CN"/>
              </w:rPr>
              <w:t>须提供的资料</w:t>
            </w:r>
          </w:p>
        </w:tc>
        <w:tc>
          <w:tcPr>
            <w:tcW w:w="1250" w:type="dxa"/>
          </w:tcPr>
          <w:p>
            <w:pPr>
              <w:pStyle w:val="7"/>
              <w:widowControl w:val="0"/>
              <w:numPr>
                <w:ilvl w:val="0"/>
                <w:numId w:val="0"/>
              </w:numPr>
              <w:jc w:val="both"/>
              <w:rPr>
                <w:rFonts w:hint="eastAsia" w:asciiTheme="minorEastAsia" w:hAnsiTheme="minorEastAsia" w:eastAsiaTheme="minorEastAsia" w:cstheme="minorEastAsia"/>
                <w:b/>
                <w:sz w:val="21"/>
                <w:szCs w:val="21"/>
                <w:highlight w:val="none"/>
                <w:vertAlign w:val="baseline"/>
                <w:lang w:eastAsia="zh-CN"/>
              </w:rPr>
            </w:pPr>
            <w:r>
              <w:rPr>
                <w:rFonts w:hint="eastAsia" w:asciiTheme="minorEastAsia" w:hAnsiTheme="minorEastAsia" w:eastAsiaTheme="minorEastAsia" w:cstheme="minorEastAsia"/>
                <w:b/>
                <w:sz w:val="21"/>
                <w:szCs w:val="21"/>
                <w:highlight w:val="none"/>
                <w:vertAlign w:val="baseline"/>
                <w:lang w:val="en-US" w:eastAsia="zh-CN"/>
              </w:rPr>
              <w:t xml:space="preserve">响应文件 </w:t>
            </w:r>
          </w:p>
          <w:p>
            <w:pPr>
              <w:pStyle w:val="7"/>
              <w:widowControl w:val="0"/>
              <w:numPr>
                <w:ilvl w:val="0"/>
                <w:numId w:val="0"/>
              </w:numPr>
              <w:jc w:val="both"/>
              <w:rPr>
                <w:rFonts w:hint="eastAsia" w:asciiTheme="minorEastAsia" w:hAnsiTheme="minorEastAsia" w:eastAsiaTheme="minorEastAsia" w:cstheme="minorEastAsia"/>
                <w:b/>
                <w:sz w:val="21"/>
                <w:szCs w:val="21"/>
                <w:highlight w:val="none"/>
                <w:vertAlign w:val="baseline"/>
                <w:lang w:eastAsia="zh-CN"/>
              </w:rPr>
            </w:pPr>
            <w:r>
              <w:rPr>
                <w:rFonts w:hint="eastAsia" w:asciiTheme="minorEastAsia" w:hAnsiTheme="minorEastAsia" w:eastAsiaTheme="minorEastAsia" w:cstheme="minorEastAsia"/>
                <w:b/>
                <w:sz w:val="21"/>
                <w:szCs w:val="21"/>
                <w:highlight w:val="none"/>
                <w:vertAlign w:val="baseline"/>
                <w:lang w:val="en-US" w:eastAsia="zh-CN"/>
              </w:rPr>
              <w:t>对应页码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6" w:hRule="atLeast"/>
        </w:trPr>
        <w:tc>
          <w:tcPr>
            <w:tcW w:w="739" w:type="dxa"/>
            <w:vMerge w:val="restart"/>
          </w:tcPr>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1</w:t>
            </w:r>
          </w:p>
        </w:tc>
        <w:tc>
          <w:tcPr>
            <w:tcW w:w="1912" w:type="dxa"/>
          </w:tcPr>
          <w:p>
            <w:pPr>
              <w:keepNext w:val="0"/>
              <w:keepLines w:val="0"/>
              <w:widowControl/>
              <w:suppressLineNumbers w:val="0"/>
              <w:jc w:val="left"/>
              <w:rPr>
                <w:rFonts w:hint="eastAsia" w:ascii="宋体" w:hAnsi="宋体" w:eastAsia="宋体" w:cs="宋体"/>
                <w:b w:val="0"/>
                <w:bCs/>
                <w:color w:val="000000"/>
                <w:kern w:val="0"/>
                <w:sz w:val="21"/>
                <w:szCs w:val="21"/>
                <w:highlight w:val="none"/>
                <w:lang w:val="en-US" w:eastAsia="zh-CN" w:bidi="ar"/>
              </w:rPr>
            </w:pPr>
          </w:p>
          <w:p>
            <w:pPr>
              <w:keepNext w:val="0"/>
              <w:keepLines w:val="0"/>
              <w:widowControl/>
              <w:suppressLineNumbers w:val="0"/>
              <w:jc w:val="left"/>
              <w:rPr>
                <w:rFonts w:hint="eastAsia" w:ascii="宋体" w:hAnsi="宋体" w:eastAsia="宋体" w:cs="宋体"/>
                <w:b w:val="0"/>
                <w:bCs/>
                <w:color w:val="000000"/>
                <w:kern w:val="0"/>
                <w:sz w:val="21"/>
                <w:szCs w:val="21"/>
                <w:highlight w:val="none"/>
                <w:lang w:val="en-US" w:eastAsia="zh-CN" w:bidi="ar"/>
              </w:rPr>
            </w:pPr>
          </w:p>
          <w:p>
            <w:pPr>
              <w:keepNext w:val="0"/>
              <w:keepLines w:val="0"/>
              <w:widowControl/>
              <w:suppressLineNumbers w:val="0"/>
              <w:jc w:val="left"/>
              <w:rPr>
                <w:rFonts w:hint="eastAsia" w:ascii="宋体" w:hAnsi="宋体" w:eastAsia="宋体" w:cs="宋体"/>
                <w:b w:val="0"/>
                <w:bCs/>
                <w:color w:val="000000"/>
                <w:kern w:val="0"/>
                <w:sz w:val="21"/>
                <w:szCs w:val="21"/>
                <w:highlight w:val="none"/>
                <w:lang w:val="en-US" w:eastAsia="zh-CN" w:bidi="ar"/>
              </w:rPr>
            </w:pPr>
            <w:r>
              <w:rPr>
                <w:rFonts w:hint="eastAsia" w:ascii="宋体" w:hAnsi="宋体" w:eastAsia="宋体" w:cs="宋体"/>
                <w:b w:val="0"/>
                <w:bCs/>
                <w:color w:val="000000"/>
                <w:kern w:val="0"/>
                <w:sz w:val="21"/>
                <w:szCs w:val="21"/>
                <w:highlight w:val="none"/>
                <w:lang w:val="en-US" w:eastAsia="zh-CN" w:bidi="ar"/>
              </w:rPr>
              <w:t>具有独立承担民</w:t>
            </w:r>
          </w:p>
          <w:p>
            <w:pPr>
              <w:keepNext w:val="0"/>
              <w:keepLines w:val="0"/>
              <w:widowControl/>
              <w:suppressLineNumbers w:val="0"/>
              <w:jc w:val="left"/>
              <w:rPr>
                <w:rFonts w:hint="eastAsia" w:ascii="宋体" w:hAnsi="宋体" w:eastAsia="宋体" w:cs="宋体"/>
                <w:b w:val="0"/>
                <w:bCs/>
                <w:sz w:val="21"/>
                <w:szCs w:val="21"/>
                <w:highlight w:val="none"/>
                <w:vertAlign w:val="baseline"/>
                <w:lang w:eastAsia="zh-CN"/>
              </w:rPr>
            </w:pPr>
            <w:r>
              <w:rPr>
                <w:rFonts w:hint="eastAsia" w:ascii="宋体" w:hAnsi="宋体" w:eastAsia="宋体" w:cs="宋体"/>
                <w:b w:val="0"/>
                <w:bCs/>
                <w:color w:val="000000"/>
                <w:kern w:val="0"/>
                <w:sz w:val="21"/>
                <w:szCs w:val="21"/>
                <w:highlight w:val="none"/>
                <w:lang w:val="en-US" w:eastAsia="zh-CN" w:bidi="ar"/>
              </w:rPr>
              <w:t>事责任的能力</w:t>
            </w:r>
          </w:p>
        </w:tc>
        <w:tc>
          <w:tcPr>
            <w:tcW w:w="5525" w:type="dxa"/>
          </w:tcPr>
          <w:p>
            <w:pPr>
              <w:keepNext w:val="0"/>
              <w:keepLines w:val="0"/>
              <w:widowControl/>
              <w:suppressLineNumbers w:val="0"/>
              <w:jc w:val="left"/>
              <w:rPr>
                <w:rFonts w:hint="eastAsia" w:ascii="宋体" w:hAnsi="宋体" w:eastAsia="宋体" w:cs="宋体"/>
                <w:b w:val="0"/>
                <w:bCs/>
                <w:sz w:val="21"/>
                <w:szCs w:val="21"/>
                <w:highlight w:val="none"/>
                <w:vertAlign w:val="baseline"/>
                <w:lang w:eastAsia="zh-CN"/>
              </w:rPr>
            </w:pPr>
            <w:r>
              <w:rPr>
                <w:rFonts w:hint="eastAsia" w:ascii="宋体" w:hAnsi="宋体" w:eastAsia="宋体" w:cs="宋体"/>
                <w:b w:val="0"/>
                <w:bCs/>
                <w:color w:val="000000"/>
                <w:kern w:val="0"/>
                <w:sz w:val="21"/>
                <w:szCs w:val="21"/>
                <w:highlight w:val="none"/>
                <w:lang w:val="en-US" w:eastAsia="zh-CN" w:bidi="ar"/>
              </w:rPr>
              <w:t xml:space="preserve">如供应商是企业（包括合伙企业），应提供在工商部门注册的有效“企业法人营业执照”或“营业执照”；如供应商是事业单位，应提供有效的“事业单位法人证书”；供应商是非企业专业服务机构的，应提供执业许可证等证明文件；如供应商是个体工商户，应提供有效的“个体工商户营业执照”；如供应商是自然人，应提供有效的自然人身份证明。 </w:t>
            </w:r>
          </w:p>
        </w:tc>
        <w:tc>
          <w:tcPr>
            <w:tcW w:w="1250" w:type="dxa"/>
          </w:tcPr>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vMerge w:val="continue"/>
          </w:tcPr>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p>
        </w:tc>
        <w:tc>
          <w:tcPr>
            <w:tcW w:w="1912" w:type="dxa"/>
          </w:tcPr>
          <w:p>
            <w:pPr>
              <w:keepNext w:val="0"/>
              <w:keepLines w:val="0"/>
              <w:widowControl/>
              <w:suppressLineNumbers w:val="0"/>
              <w:jc w:val="left"/>
              <w:rPr>
                <w:rFonts w:hint="eastAsia" w:ascii="宋体" w:hAnsi="宋体" w:eastAsia="宋体" w:cs="宋体"/>
                <w:b w:val="0"/>
                <w:bCs/>
                <w:color w:val="000000"/>
                <w:kern w:val="0"/>
                <w:sz w:val="21"/>
                <w:szCs w:val="21"/>
                <w:highlight w:val="none"/>
                <w:lang w:val="en-US" w:eastAsia="zh-CN" w:bidi="ar"/>
              </w:rPr>
            </w:pPr>
          </w:p>
          <w:p>
            <w:pPr>
              <w:keepNext w:val="0"/>
              <w:keepLines w:val="0"/>
              <w:widowControl/>
              <w:suppressLineNumbers w:val="0"/>
              <w:jc w:val="left"/>
              <w:rPr>
                <w:rFonts w:hint="eastAsia" w:ascii="宋体" w:hAnsi="宋体" w:eastAsia="宋体" w:cs="宋体"/>
                <w:b w:val="0"/>
                <w:bCs/>
                <w:sz w:val="21"/>
                <w:szCs w:val="21"/>
                <w:highlight w:val="none"/>
                <w:vertAlign w:val="baseline"/>
                <w:lang w:eastAsia="zh-CN"/>
              </w:rPr>
            </w:pPr>
            <w:r>
              <w:rPr>
                <w:rFonts w:hint="eastAsia" w:ascii="宋体" w:hAnsi="宋体" w:eastAsia="宋体" w:cs="宋体"/>
                <w:b w:val="0"/>
                <w:bCs/>
                <w:color w:val="000000"/>
                <w:kern w:val="0"/>
                <w:sz w:val="21"/>
                <w:szCs w:val="21"/>
                <w:highlight w:val="none"/>
                <w:lang w:val="en-US" w:eastAsia="zh-CN" w:bidi="ar"/>
              </w:rPr>
              <w:t>具有良好的商业信誉和健全的财务会计制度</w:t>
            </w:r>
          </w:p>
        </w:tc>
        <w:tc>
          <w:tcPr>
            <w:tcW w:w="5525" w:type="dxa"/>
          </w:tcPr>
          <w:p>
            <w:pPr>
              <w:pStyle w:val="7"/>
              <w:widowControl w:val="0"/>
              <w:numPr>
                <w:ilvl w:val="0"/>
                <w:numId w:val="0"/>
              </w:numPr>
              <w:jc w:val="both"/>
              <w:rPr>
                <w:rFonts w:hint="eastAsia" w:ascii="宋体" w:hAnsi="宋体" w:eastAsia="宋体" w:cs="宋体"/>
                <w:b/>
                <w:bCs w:val="0"/>
                <w:sz w:val="21"/>
                <w:szCs w:val="21"/>
                <w:highlight w:val="none"/>
                <w:vertAlign w:val="baseline"/>
                <w:lang w:val="en-US" w:eastAsia="zh-CN"/>
              </w:rPr>
            </w:pPr>
            <w:r>
              <w:rPr>
                <w:rFonts w:hint="eastAsia" w:ascii="宋体" w:hAnsi="宋体" w:eastAsia="宋体" w:cs="宋体"/>
                <w:b/>
                <w:bCs w:val="0"/>
                <w:sz w:val="21"/>
                <w:szCs w:val="21"/>
                <w:highlight w:val="none"/>
                <w:vertAlign w:val="baseline"/>
                <w:lang w:val="en-US" w:eastAsia="zh-CN"/>
              </w:rPr>
              <w:t>由供应商对以下内容提供书面承诺及声明， 或提供相应证明材料。</w:t>
            </w:r>
          </w:p>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r>
              <w:rPr>
                <w:rFonts w:hint="eastAsia" w:ascii="宋体" w:hAnsi="宋体" w:eastAsia="宋体" w:cs="宋体"/>
                <w:b w:val="0"/>
                <w:bCs/>
                <w:sz w:val="21"/>
                <w:szCs w:val="21"/>
                <w:highlight w:val="none"/>
                <w:vertAlign w:val="baseline"/>
                <w:lang w:val="en-US" w:eastAsia="zh-CN"/>
              </w:rPr>
              <w:t>供应商是法人的，应具有上一年度财务报表或财务报告，或其基本开户银行出具的资信证明。其他组织和自然人，没有财务报表或财务报告，应具有银行出具的资信证明。</w:t>
            </w:r>
          </w:p>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r>
              <w:rPr>
                <w:rFonts w:hint="eastAsia" w:ascii="宋体" w:hAnsi="宋体" w:eastAsia="宋体" w:cs="宋体"/>
                <w:b w:val="0"/>
                <w:bCs/>
                <w:sz w:val="21"/>
                <w:szCs w:val="21"/>
                <w:highlight w:val="none"/>
                <w:vertAlign w:val="baseline"/>
                <w:lang w:eastAsia="zh-CN"/>
              </w:rPr>
              <w:t>由财政部门认可的政府采购专业担保机构对供应商进行资信审查后出具投标担保函的，可以不用提供财务报表或财务报告和银行资信证明文件。</w:t>
            </w:r>
          </w:p>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r>
              <w:rPr>
                <w:rFonts w:hint="eastAsia" w:ascii="宋体" w:hAnsi="宋体" w:eastAsia="宋体" w:cs="宋体"/>
                <w:b/>
                <w:bCs w:val="0"/>
                <w:sz w:val="21"/>
                <w:szCs w:val="21"/>
                <w:highlight w:val="none"/>
                <w:vertAlign w:val="baseline"/>
                <w:lang w:val="en-US" w:eastAsia="zh-CN"/>
              </w:rPr>
              <w:t>备注：如果供应商同时提供了 1）书面承诺及声明、2）相应证明材料，且二者内容不一致的，评审专家有权任选其中一种进行评审，由供应商自行承担一切后果。</w:t>
            </w:r>
          </w:p>
        </w:tc>
        <w:tc>
          <w:tcPr>
            <w:tcW w:w="1250" w:type="dxa"/>
          </w:tcPr>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39" w:type="dxa"/>
            <w:vMerge w:val="continue"/>
          </w:tcPr>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p>
        </w:tc>
        <w:tc>
          <w:tcPr>
            <w:tcW w:w="1912" w:type="dxa"/>
          </w:tcPr>
          <w:p>
            <w:pPr>
              <w:keepNext w:val="0"/>
              <w:keepLines w:val="0"/>
              <w:widowControl/>
              <w:suppressLineNumbers w:val="0"/>
              <w:jc w:val="left"/>
              <w:rPr>
                <w:rFonts w:hint="eastAsia" w:ascii="宋体" w:hAnsi="宋体" w:eastAsia="宋体" w:cs="宋体"/>
                <w:b w:val="0"/>
                <w:bCs/>
                <w:sz w:val="21"/>
                <w:szCs w:val="21"/>
                <w:highlight w:val="none"/>
                <w:vertAlign w:val="baseline"/>
                <w:lang w:eastAsia="zh-CN"/>
              </w:rPr>
            </w:pPr>
            <w:r>
              <w:rPr>
                <w:rFonts w:hint="eastAsia" w:ascii="宋体" w:hAnsi="宋体" w:eastAsia="宋体" w:cs="宋体"/>
                <w:b w:val="0"/>
                <w:bCs/>
                <w:color w:val="000000"/>
                <w:kern w:val="0"/>
                <w:sz w:val="21"/>
                <w:szCs w:val="21"/>
                <w:highlight w:val="none"/>
                <w:lang w:val="en-US" w:eastAsia="zh-CN" w:bidi="ar"/>
              </w:rPr>
              <w:t>具有履行合同所必需的设备和专业技术能力</w:t>
            </w:r>
          </w:p>
        </w:tc>
        <w:tc>
          <w:tcPr>
            <w:tcW w:w="5525" w:type="dxa"/>
          </w:tcPr>
          <w:p>
            <w:pPr>
              <w:pStyle w:val="7"/>
              <w:widowControl w:val="0"/>
              <w:numPr>
                <w:ilvl w:val="0"/>
                <w:numId w:val="0"/>
              </w:numPr>
              <w:jc w:val="both"/>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r>
              <w:rPr>
                <w:rFonts w:hint="eastAsia" w:ascii="宋体" w:hAnsi="宋体" w:eastAsia="宋体" w:cs="宋体"/>
                <w:b w:val="0"/>
                <w:bCs/>
                <w:sz w:val="21"/>
                <w:szCs w:val="21"/>
                <w:highlight w:val="none"/>
                <w:vertAlign w:val="baseline"/>
                <w:lang w:val="en-US" w:eastAsia="zh-CN"/>
              </w:rPr>
              <w:t xml:space="preserve">由供应商提供书面承诺及声明，或提供相应证明材料。 </w:t>
            </w:r>
          </w:p>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p>
        </w:tc>
        <w:tc>
          <w:tcPr>
            <w:tcW w:w="1250" w:type="dxa"/>
          </w:tcPr>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9" w:type="dxa"/>
            <w:vMerge w:val="continue"/>
          </w:tcPr>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p>
        </w:tc>
        <w:tc>
          <w:tcPr>
            <w:tcW w:w="1912" w:type="dxa"/>
          </w:tcPr>
          <w:p>
            <w:pPr>
              <w:keepNext w:val="0"/>
              <w:keepLines w:val="0"/>
              <w:widowControl/>
              <w:suppressLineNumbers w:val="0"/>
              <w:jc w:val="left"/>
              <w:rPr>
                <w:rFonts w:hint="eastAsia" w:ascii="宋体" w:hAnsi="宋体" w:eastAsia="宋体" w:cs="宋体"/>
                <w:b w:val="0"/>
                <w:bCs/>
                <w:color w:val="000000"/>
                <w:kern w:val="0"/>
                <w:sz w:val="21"/>
                <w:szCs w:val="21"/>
                <w:highlight w:val="none"/>
                <w:lang w:val="en-US" w:eastAsia="zh-CN" w:bidi="ar"/>
              </w:rPr>
            </w:pPr>
          </w:p>
          <w:p>
            <w:pPr>
              <w:keepNext w:val="0"/>
              <w:keepLines w:val="0"/>
              <w:widowControl/>
              <w:suppressLineNumbers w:val="0"/>
              <w:jc w:val="left"/>
              <w:rPr>
                <w:rFonts w:hint="eastAsia" w:ascii="宋体" w:hAnsi="宋体" w:eastAsia="宋体" w:cs="宋体"/>
                <w:b w:val="0"/>
                <w:bCs/>
                <w:color w:val="000000"/>
                <w:kern w:val="0"/>
                <w:sz w:val="21"/>
                <w:szCs w:val="21"/>
                <w:highlight w:val="none"/>
                <w:lang w:val="en-US" w:eastAsia="zh-CN" w:bidi="ar"/>
              </w:rPr>
            </w:pPr>
          </w:p>
          <w:p>
            <w:pPr>
              <w:keepNext w:val="0"/>
              <w:keepLines w:val="0"/>
              <w:widowControl/>
              <w:suppressLineNumbers w:val="0"/>
              <w:jc w:val="left"/>
              <w:rPr>
                <w:rFonts w:hint="eastAsia" w:ascii="宋体" w:hAnsi="宋体" w:eastAsia="宋体" w:cs="宋体"/>
                <w:b w:val="0"/>
                <w:bCs/>
                <w:color w:val="000000"/>
                <w:kern w:val="0"/>
                <w:sz w:val="21"/>
                <w:szCs w:val="21"/>
                <w:highlight w:val="none"/>
                <w:lang w:val="en-US" w:eastAsia="zh-CN" w:bidi="ar"/>
              </w:rPr>
            </w:pPr>
          </w:p>
          <w:p>
            <w:pPr>
              <w:keepNext w:val="0"/>
              <w:keepLines w:val="0"/>
              <w:widowControl/>
              <w:suppressLineNumbers w:val="0"/>
              <w:jc w:val="left"/>
              <w:rPr>
                <w:rFonts w:hint="eastAsia" w:ascii="宋体" w:hAnsi="宋体" w:eastAsia="宋体" w:cs="宋体"/>
                <w:b w:val="0"/>
                <w:bCs/>
                <w:color w:val="000000"/>
                <w:kern w:val="0"/>
                <w:sz w:val="21"/>
                <w:szCs w:val="21"/>
                <w:highlight w:val="none"/>
                <w:lang w:val="en-US" w:eastAsia="zh-CN" w:bidi="ar"/>
              </w:rPr>
            </w:pPr>
          </w:p>
          <w:p>
            <w:pPr>
              <w:keepNext w:val="0"/>
              <w:keepLines w:val="0"/>
              <w:widowControl/>
              <w:suppressLineNumbers w:val="0"/>
              <w:jc w:val="left"/>
              <w:rPr>
                <w:rFonts w:hint="eastAsia" w:ascii="宋体" w:hAnsi="宋体" w:eastAsia="宋体" w:cs="宋体"/>
                <w:b w:val="0"/>
                <w:bCs/>
                <w:color w:val="000000"/>
                <w:kern w:val="0"/>
                <w:sz w:val="21"/>
                <w:szCs w:val="21"/>
                <w:highlight w:val="none"/>
                <w:lang w:val="en-US" w:eastAsia="zh-CN" w:bidi="ar"/>
              </w:rPr>
            </w:pPr>
          </w:p>
          <w:p>
            <w:pPr>
              <w:keepNext w:val="0"/>
              <w:keepLines w:val="0"/>
              <w:widowControl/>
              <w:suppressLineNumbers w:val="0"/>
              <w:jc w:val="left"/>
              <w:rPr>
                <w:rFonts w:hint="eastAsia" w:ascii="宋体" w:hAnsi="宋体" w:eastAsia="宋体" w:cs="宋体"/>
                <w:b w:val="0"/>
                <w:bCs/>
                <w:sz w:val="21"/>
                <w:szCs w:val="21"/>
                <w:highlight w:val="none"/>
              </w:rPr>
            </w:pPr>
            <w:r>
              <w:rPr>
                <w:rFonts w:hint="eastAsia" w:ascii="宋体" w:hAnsi="宋体" w:eastAsia="宋体" w:cs="宋体"/>
                <w:b w:val="0"/>
                <w:bCs/>
                <w:color w:val="000000"/>
                <w:kern w:val="0"/>
                <w:sz w:val="21"/>
                <w:szCs w:val="21"/>
                <w:highlight w:val="none"/>
                <w:lang w:val="en-US" w:eastAsia="zh-CN" w:bidi="ar"/>
              </w:rPr>
              <w:t>有依法缴纳税收和社会保障资金的良好记录</w:t>
            </w:r>
          </w:p>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p>
        </w:tc>
        <w:tc>
          <w:tcPr>
            <w:tcW w:w="5525" w:type="dxa"/>
          </w:tcPr>
          <w:p>
            <w:pPr>
              <w:keepNext w:val="0"/>
              <w:keepLines w:val="0"/>
              <w:widowControl/>
              <w:suppressLineNumbers w:val="0"/>
              <w:jc w:val="left"/>
              <w:rPr>
                <w:rFonts w:hint="eastAsia"/>
                <w:highlight w:val="none"/>
              </w:rPr>
            </w:pPr>
            <w:r>
              <w:rPr>
                <w:rFonts w:hint="eastAsia" w:ascii="宋体" w:hAnsi="宋体" w:eastAsia="宋体" w:cs="宋体"/>
                <w:b/>
                <w:bCs/>
                <w:color w:val="000000"/>
                <w:kern w:val="0"/>
                <w:sz w:val="20"/>
                <w:szCs w:val="20"/>
                <w:highlight w:val="none"/>
                <w:lang w:val="en-US" w:eastAsia="zh-CN" w:bidi="ar"/>
              </w:rPr>
              <w:t>由供应商对以下内容提供书面承诺及声明， 或提供相应证明材料。</w:t>
            </w:r>
          </w:p>
          <w:p>
            <w:pPr>
              <w:numPr>
                <w:ilvl w:val="0"/>
                <w:numId w:val="3"/>
              </w:numPr>
              <w:autoSpaceDE w:val="0"/>
              <w:autoSpaceDN w:val="0"/>
              <w:adjustRightInd w:val="0"/>
              <w:snapToGrid w:val="0"/>
              <w:spacing w:beforeLines="10" w:afterLines="10"/>
              <w:ind w:right="21" w:rightChars="10"/>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供应商依法缴纳税收的证明材料：竞标截止时间前连续六个月（至少提供</w:t>
            </w:r>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一个月</w:t>
            </w:r>
            <w:r>
              <w:rPr>
                <w:rFonts w:hint="eastAsia" w:asciiTheme="minorEastAsia" w:hAnsiTheme="minorEastAsia" w:eastAsiaTheme="minorEastAsia" w:cstheme="minorEastAsia"/>
                <w:color w:val="000000" w:themeColor="text1"/>
                <w:highlight w:val="none"/>
                <w14:textFill>
                  <w14:solidFill>
                    <w14:schemeClr w14:val="tx1"/>
                  </w14:solidFill>
                </w14:textFill>
              </w:rPr>
              <w:t>）缴纳税收的凭据（完税证、缴款书、印花税票、银行代扣（代缴）转账凭证等均可）；（2）供应商依法缴纳社会保障资金的证明材料：竞标截止时间前连续六个月（至少提供</w:t>
            </w:r>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一个月</w:t>
            </w:r>
            <w:r>
              <w:rPr>
                <w:rFonts w:hint="eastAsia" w:asciiTheme="minorEastAsia" w:hAnsiTheme="minorEastAsia" w:eastAsiaTheme="minorEastAsia" w:cstheme="minorEastAsia"/>
                <w:color w:val="000000" w:themeColor="text1"/>
                <w:highlight w:val="none"/>
                <w14:textFill>
                  <w14:solidFill>
                    <w14:schemeClr w14:val="tx1"/>
                  </w14:solidFill>
                </w14:textFill>
              </w:rPr>
              <w:t>）缴纳社会保险的凭据（专用收据或社会保险缴纳清单）；</w:t>
            </w:r>
          </w:p>
          <w:p>
            <w:pPr>
              <w:numPr>
                <w:ilvl w:val="0"/>
                <w:numId w:val="0"/>
              </w:numPr>
              <w:autoSpaceDE w:val="0"/>
              <w:autoSpaceDN w:val="0"/>
              <w:adjustRightInd w:val="0"/>
              <w:snapToGrid w:val="0"/>
              <w:spacing w:beforeLines="10" w:afterLines="10"/>
              <w:ind w:right="21" w:rightChars="10"/>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highlight w:val="none"/>
                <w14:textFill>
                  <w14:solidFill>
                    <w14:schemeClr w14:val="tx1"/>
                  </w14:solidFill>
                </w14:textFill>
              </w:rPr>
              <w:t>供应商为其他组织或自然人的，也需要按此项规定提供缴纳税收的凭据和缴纳社会保险的凭据；</w:t>
            </w:r>
          </w:p>
          <w:p>
            <w:pPr>
              <w:numPr>
                <w:ilvl w:val="0"/>
                <w:numId w:val="0"/>
              </w:numPr>
              <w:autoSpaceDE w:val="0"/>
              <w:autoSpaceDN w:val="0"/>
              <w:adjustRightInd w:val="0"/>
              <w:snapToGrid w:val="0"/>
              <w:spacing w:beforeLines="10" w:afterLines="10"/>
              <w:ind w:leftChars="0" w:right="21" w:rightChars="10"/>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（4）递交响应文件截止时间的当月成立但因税务机关原因导致其尚未依法缴纳税收的供应商，提供依法缴纳税收承诺书原件（格式自拟），该承诺书视同税收缴纳凭据。</w:t>
            </w:r>
          </w:p>
          <w:p>
            <w:pPr>
              <w:numPr>
                <w:ilvl w:val="0"/>
                <w:numId w:val="0"/>
              </w:numPr>
              <w:autoSpaceDE w:val="0"/>
              <w:autoSpaceDN w:val="0"/>
              <w:adjustRightInd w:val="0"/>
              <w:snapToGrid w:val="0"/>
              <w:spacing w:beforeLines="10" w:afterLines="10"/>
              <w:ind w:leftChars="0" w:right="21" w:rightChars="10"/>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（5）递交响应文件截止时间的当月成立但因社会保障资金管理机关原因导致其尚未依法缴纳社会保障资金的供应商，提供依法缴纳社会保障资金承诺书原件（格式自拟），该承诺书视同社会保险凭据。</w:t>
            </w:r>
          </w:p>
          <w:p>
            <w:pPr>
              <w:numPr>
                <w:ilvl w:val="0"/>
                <w:numId w:val="0"/>
              </w:numPr>
              <w:autoSpaceDE w:val="0"/>
              <w:autoSpaceDN w:val="0"/>
              <w:adjustRightInd w:val="0"/>
              <w:snapToGrid w:val="0"/>
              <w:spacing w:beforeLines="10" w:afterLines="10"/>
              <w:ind w:leftChars="0" w:right="21" w:rightChars="10"/>
              <w:rPr>
                <w:rFonts w:hint="eastAsia" w:ascii="宋体" w:hAnsi="宋体" w:eastAsia="宋体" w:cs="宋体"/>
                <w:b w:val="0"/>
                <w:bCs/>
                <w:sz w:val="21"/>
                <w:szCs w:val="21"/>
                <w:highlight w:val="none"/>
                <w:vertAlign w:val="baseline"/>
                <w:lang w:eastAsia="zh-CN"/>
              </w:rPr>
            </w:pPr>
            <w:r>
              <w:rPr>
                <w:rFonts w:hint="eastAsia" w:asciiTheme="minorEastAsia" w:hAnsiTheme="minorEastAsia" w:eastAsiaTheme="minorEastAsia" w:cstheme="minorEastAsia"/>
                <w:color w:val="000000" w:themeColor="text1"/>
                <w:highlight w:val="none"/>
                <w14:textFill>
                  <w14:solidFill>
                    <w14:schemeClr w14:val="tx1"/>
                  </w14:solidFill>
                </w14:textFill>
              </w:rPr>
              <w:t>（6）依法免税或不需要缴纳社会保障资金的供应商，应提供相应文件证明其依法免税或不需要缴纳社会保障资金。</w:t>
            </w:r>
            <w:r>
              <w:rPr>
                <w:rFonts w:hint="eastAsia" w:ascii="宋体" w:hAnsi="宋体" w:eastAsia="宋体" w:cs="宋体"/>
                <w:b/>
                <w:bCs/>
                <w:color w:val="000000"/>
                <w:kern w:val="0"/>
                <w:sz w:val="20"/>
                <w:szCs w:val="20"/>
                <w:highlight w:val="none"/>
                <w:lang w:val="en-US" w:eastAsia="zh-CN" w:bidi="ar"/>
              </w:rPr>
              <w:t xml:space="preserve">备注：如果供应商同时提供了 </w:t>
            </w:r>
            <w:r>
              <w:rPr>
                <w:rFonts w:hint="default" w:ascii="Times New Roman" w:hAnsi="Times New Roman" w:eastAsia="宋体" w:cs="Times New Roman"/>
                <w:b/>
                <w:bCs/>
                <w:color w:val="000000"/>
                <w:kern w:val="0"/>
                <w:sz w:val="20"/>
                <w:szCs w:val="20"/>
                <w:highlight w:val="none"/>
                <w:lang w:val="en-US" w:eastAsia="zh-CN" w:bidi="ar"/>
              </w:rPr>
              <w:t>1</w:t>
            </w:r>
            <w:r>
              <w:rPr>
                <w:rFonts w:hint="eastAsia" w:ascii="宋体" w:hAnsi="宋体" w:eastAsia="宋体" w:cs="宋体"/>
                <w:b/>
                <w:bCs/>
                <w:color w:val="000000"/>
                <w:kern w:val="0"/>
                <w:sz w:val="20"/>
                <w:szCs w:val="20"/>
                <w:highlight w:val="none"/>
                <w:lang w:val="en-US" w:eastAsia="zh-CN" w:bidi="ar"/>
              </w:rPr>
              <w:t>）书面承诺及声明、</w:t>
            </w:r>
            <w:r>
              <w:rPr>
                <w:rFonts w:hint="default" w:ascii="Times New Roman" w:hAnsi="Times New Roman" w:eastAsia="宋体" w:cs="Times New Roman"/>
                <w:b/>
                <w:bCs/>
                <w:color w:val="000000"/>
                <w:kern w:val="0"/>
                <w:sz w:val="20"/>
                <w:szCs w:val="20"/>
                <w:highlight w:val="none"/>
                <w:lang w:val="en-US" w:eastAsia="zh-CN" w:bidi="ar"/>
              </w:rPr>
              <w:t>2</w:t>
            </w:r>
            <w:r>
              <w:rPr>
                <w:rFonts w:hint="eastAsia" w:ascii="宋体" w:hAnsi="宋体" w:eastAsia="宋体" w:cs="宋体"/>
                <w:b/>
                <w:bCs/>
                <w:color w:val="000000"/>
                <w:kern w:val="0"/>
                <w:sz w:val="20"/>
                <w:szCs w:val="20"/>
                <w:highlight w:val="none"/>
                <w:lang w:val="en-US" w:eastAsia="zh-CN" w:bidi="ar"/>
              </w:rPr>
              <w:t>）相应证明材料，且二者内容不一致的，评审专家有权任选其中一种进行评审，由供应商自行承担一切后果。</w:t>
            </w:r>
            <w:r>
              <w:rPr>
                <w:rFonts w:hint="eastAsia" w:asciiTheme="minorEastAsia" w:hAnsiTheme="minorEastAsia" w:eastAsiaTheme="minorEastAsia" w:cstheme="minorEastAsia"/>
                <w:color w:val="000000" w:themeColor="text1"/>
                <w:highlight w:val="none"/>
                <w14:textFill>
                  <w14:solidFill>
                    <w14:schemeClr w14:val="tx1"/>
                  </w14:solidFill>
                </w14:textFill>
              </w:rPr>
              <w:t xml:space="preserve"> </w:t>
            </w:r>
            <w:r>
              <w:rPr>
                <w:rFonts w:hint="eastAsia" w:ascii="宋体" w:hAnsi="宋体" w:eastAsia="宋体" w:cs="宋体"/>
                <w:b w:val="0"/>
                <w:bCs/>
                <w:color w:val="000000"/>
                <w:kern w:val="0"/>
                <w:sz w:val="21"/>
                <w:szCs w:val="21"/>
                <w:highlight w:val="none"/>
                <w:lang w:val="en-US" w:eastAsia="zh-CN" w:bidi="ar"/>
              </w:rPr>
              <w:t xml:space="preserve"> </w:t>
            </w:r>
          </w:p>
        </w:tc>
        <w:tc>
          <w:tcPr>
            <w:tcW w:w="1250" w:type="dxa"/>
          </w:tcPr>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vMerge w:val="continue"/>
          </w:tcPr>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p>
        </w:tc>
        <w:tc>
          <w:tcPr>
            <w:tcW w:w="1912" w:type="dxa"/>
          </w:tcPr>
          <w:p>
            <w:pPr>
              <w:keepNext w:val="0"/>
              <w:keepLines w:val="0"/>
              <w:widowControl/>
              <w:suppressLineNumbers w:val="0"/>
              <w:jc w:val="left"/>
              <w:rPr>
                <w:rFonts w:hint="eastAsia" w:ascii="宋体" w:hAnsi="宋体" w:eastAsia="宋体" w:cs="宋体"/>
                <w:b w:val="0"/>
                <w:bCs/>
                <w:sz w:val="21"/>
                <w:szCs w:val="21"/>
                <w:highlight w:val="none"/>
              </w:rPr>
            </w:pPr>
            <w:r>
              <w:rPr>
                <w:rFonts w:hint="eastAsia" w:ascii="宋体" w:hAnsi="宋体" w:eastAsia="宋体" w:cs="宋体"/>
                <w:b w:val="0"/>
                <w:bCs/>
                <w:color w:val="000000"/>
                <w:kern w:val="0"/>
                <w:sz w:val="21"/>
                <w:szCs w:val="21"/>
                <w:highlight w:val="none"/>
                <w:lang w:val="en-US" w:eastAsia="zh-CN" w:bidi="ar"/>
              </w:rPr>
              <w:t xml:space="preserve">参加政府采购活 </w:t>
            </w:r>
          </w:p>
          <w:p>
            <w:pPr>
              <w:keepNext w:val="0"/>
              <w:keepLines w:val="0"/>
              <w:widowControl/>
              <w:suppressLineNumbers w:val="0"/>
              <w:jc w:val="left"/>
              <w:rPr>
                <w:rFonts w:hint="eastAsia" w:ascii="宋体" w:hAnsi="宋体" w:eastAsia="宋体" w:cs="宋体"/>
                <w:b w:val="0"/>
                <w:bCs/>
                <w:sz w:val="21"/>
                <w:szCs w:val="21"/>
                <w:highlight w:val="none"/>
              </w:rPr>
            </w:pPr>
            <w:r>
              <w:rPr>
                <w:rFonts w:hint="eastAsia" w:ascii="宋体" w:hAnsi="宋体" w:eastAsia="宋体" w:cs="宋体"/>
                <w:b w:val="0"/>
                <w:bCs/>
                <w:color w:val="000000"/>
                <w:kern w:val="0"/>
                <w:sz w:val="21"/>
                <w:szCs w:val="21"/>
                <w:highlight w:val="none"/>
                <w:lang w:val="en-US" w:eastAsia="zh-CN" w:bidi="ar"/>
              </w:rPr>
              <w:t>动前三年内，在</w:t>
            </w:r>
          </w:p>
          <w:p>
            <w:pPr>
              <w:keepNext w:val="0"/>
              <w:keepLines w:val="0"/>
              <w:widowControl/>
              <w:suppressLineNumbers w:val="0"/>
              <w:jc w:val="left"/>
              <w:rPr>
                <w:rFonts w:hint="eastAsia" w:ascii="宋体" w:hAnsi="宋体" w:eastAsia="宋体" w:cs="宋体"/>
                <w:b w:val="0"/>
                <w:bCs/>
                <w:sz w:val="21"/>
                <w:szCs w:val="21"/>
                <w:highlight w:val="none"/>
              </w:rPr>
            </w:pPr>
            <w:r>
              <w:rPr>
                <w:rFonts w:hint="eastAsia" w:ascii="宋体" w:hAnsi="宋体" w:eastAsia="宋体" w:cs="宋体"/>
                <w:b w:val="0"/>
                <w:bCs/>
                <w:color w:val="000000"/>
                <w:kern w:val="0"/>
                <w:sz w:val="21"/>
                <w:szCs w:val="21"/>
                <w:highlight w:val="none"/>
                <w:lang w:val="en-US" w:eastAsia="zh-CN" w:bidi="ar"/>
              </w:rPr>
              <w:t xml:space="preserve">经营活动中没有 </w:t>
            </w:r>
          </w:p>
          <w:p>
            <w:pPr>
              <w:keepNext w:val="0"/>
              <w:keepLines w:val="0"/>
              <w:widowControl/>
              <w:suppressLineNumbers w:val="0"/>
              <w:jc w:val="left"/>
              <w:rPr>
                <w:rFonts w:hint="eastAsia" w:ascii="宋体" w:hAnsi="宋体" w:eastAsia="宋体" w:cs="宋体"/>
                <w:b w:val="0"/>
                <w:bCs/>
                <w:sz w:val="21"/>
                <w:szCs w:val="21"/>
                <w:highlight w:val="none"/>
                <w:vertAlign w:val="baseline"/>
                <w:lang w:eastAsia="zh-CN"/>
              </w:rPr>
            </w:pPr>
            <w:r>
              <w:rPr>
                <w:rFonts w:hint="eastAsia" w:ascii="宋体" w:hAnsi="宋体" w:eastAsia="宋体" w:cs="宋体"/>
                <w:b w:val="0"/>
                <w:bCs/>
                <w:color w:val="000000"/>
                <w:kern w:val="0"/>
                <w:sz w:val="21"/>
                <w:szCs w:val="21"/>
                <w:highlight w:val="none"/>
                <w:lang w:val="en-US" w:eastAsia="zh-CN" w:bidi="ar"/>
              </w:rPr>
              <w:t>重大违法记录</w:t>
            </w:r>
          </w:p>
        </w:tc>
        <w:tc>
          <w:tcPr>
            <w:tcW w:w="5525" w:type="dxa"/>
          </w:tcPr>
          <w:p>
            <w:pPr>
              <w:keepNext w:val="0"/>
              <w:keepLines w:val="0"/>
              <w:widowControl/>
              <w:suppressLineNumbers w:val="0"/>
              <w:jc w:val="left"/>
              <w:rPr>
                <w:rFonts w:hint="eastAsia" w:ascii="宋体" w:hAnsi="宋体" w:eastAsia="宋体" w:cs="宋体"/>
                <w:b w:val="0"/>
                <w:bCs/>
                <w:color w:val="000000"/>
                <w:kern w:val="0"/>
                <w:sz w:val="21"/>
                <w:szCs w:val="21"/>
                <w:highlight w:val="none"/>
                <w:lang w:val="en-US" w:eastAsia="zh-CN" w:bidi="ar"/>
              </w:rPr>
            </w:pPr>
          </w:p>
          <w:p>
            <w:pPr>
              <w:keepNext w:val="0"/>
              <w:keepLines w:val="0"/>
              <w:widowControl/>
              <w:suppressLineNumbers w:val="0"/>
              <w:jc w:val="left"/>
              <w:rPr>
                <w:rFonts w:hint="eastAsia" w:ascii="宋体" w:hAnsi="宋体" w:eastAsia="宋体" w:cs="宋体"/>
                <w:b w:val="0"/>
                <w:bCs/>
                <w:color w:val="000000"/>
                <w:kern w:val="0"/>
                <w:sz w:val="21"/>
                <w:szCs w:val="21"/>
                <w:highlight w:val="none"/>
                <w:lang w:val="en-US" w:eastAsia="zh-CN" w:bidi="ar"/>
              </w:rPr>
            </w:pPr>
          </w:p>
          <w:p>
            <w:pPr>
              <w:keepNext w:val="0"/>
              <w:keepLines w:val="0"/>
              <w:widowControl/>
              <w:suppressLineNumbers w:val="0"/>
              <w:jc w:val="left"/>
              <w:rPr>
                <w:rFonts w:hint="eastAsia" w:ascii="宋体" w:hAnsi="宋体" w:eastAsia="宋体" w:cs="宋体"/>
                <w:b w:val="0"/>
                <w:bCs/>
                <w:sz w:val="21"/>
                <w:szCs w:val="21"/>
                <w:highlight w:val="none"/>
                <w:vertAlign w:val="baseline"/>
                <w:lang w:eastAsia="zh-CN"/>
              </w:rPr>
            </w:pPr>
            <w:r>
              <w:rPr>
                <w:rFonts w:hint="eastAsia" w:ascii="宋体" w:hAnsi="宋体" w:eastAsia="宋体" w:cs="宋体"/>
                <w:b w:val="0"/>
                <w:bCs/>
                <w:color w:val="000000"/>
                <w:kern w:val="0"/>
                <w:sz w:val="21"/>
                <w:szCs w:val="21"/>
                <w:highlight w:val="none"/>
                <w:lang w:val="en-US" w:eastAsia="zh-CN" w:bidi="ar"/>
              </w:rPr>
              <w:t>由供应商提供书面承诺及声明，或提供相应证明材料。</w:t>
            </w:r>
          </w:p>
        </w:tc>
        <w:tc>
          <w:tcPr>
            <w:tcW w:w="1250" w:type="dxa"/>
          </w:tcPr>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vMerge w:val="continue"/>
          </w:tcPr>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p>
        </w:tc>
        <w:tc>
          <w:tcPr>
            <w:tcW w:w="1912" w:type="dxa"/>
          </w:tcPr>
          <w:p>
            <w:pPr>
              <w:keepNext w:val="0"/>
              <w:keepLines w:val="0"/>
              <w:widowControl/>
              <w:suppressLineNumbers w:val="0"/>
              <w:jc w:val="left"/>
              <w:rPr>
                <w:rFonts w:hint="eastAsia"/>
                <w:highlight w:val="none"/>
              </w:rPr>
            </w:pPr>
            <w:r>
              <w:rPr>
                <w:rFonts w:hint="eastAsia"/>
                <w:highlight w:val="none"/>
                <w:lang w:val="en-US" w:eastAsia="zh-CN"/>
              </w:rPr>
              <w:t xml:space="preserve">法律、行政法规 </w:t>
            </w:r>
          </w:p>
          <w:p>
            <w:pPr>
              <w:keepNext w:val="0"/>
              <w:keepLines w:val="0"/>
              <w:widowControl/>
              <w:suppressLineNumbers w:val="0"/>
              <w:jc w:val="left"/>
              <w:rPr>
                <w:rFonts w:hint="eastAsia" w:ascii="宋体" w:hAnsi="宋体" w:eastAsia="宋体" w:cs="宋体"/>
                <w:b w:val="0"/>
                <w:bCs/>
                <w:color w:val="000000"/>
                <w:kern w:val="0"/>
                <w:sz w:val="21"/>
                <w:szCs w:val="21"/>
                <w:highlight w:val="none"/>
                <w:lang w:val="en-US" w:eastAsia="zh-CN" w:bidi="ar"/>
              </w:rPr>
            </w:pPr>
            <w:r>
              <w:rPr>
                <w:rFonts w:hint="eastAsia"/>
                <w:highlight w:val="none"/>
                <w:lang w:val="en-US" w:eastAsia="zh-CN"/>
              </w:rPr>
              <w:t xml:space="preserve">规定的其他条件 </w:t>
            </w:r>
          </w:p>
        </w:tc>
        <w:tc>
          <w:tcPr>
            <w:tcW w:w="5525" w:type="dxa"/>
          </w:tcPr>
          <w:p>
            <w:pPr>
              <w:keepNext w:val="0"/>
              <w:keepLines w:val="0"/>
              <w:widowControl/>
              <w:suppressLineNumbers w:val="0"/>
              <w:jc w:val="left"/>
              <w:rPr>
                <w:rFonts w:hint="eastAsia" w:ascii="宋体" w:hAnsi="宋体" w:eastAsia="宋体" w:cs="宋体"/>
                <w:b w:val="0"/>
                <w:bCs/>
                <w:color w:val="000000"/>
                <w:kern w:val="0"/>
                <w:sz w:val="21"/>
                <w:szCs w:val="21"/>
                <w:highlight w:val="none"/>
                <w:lang w:val="en-US" w:eastAsia="zh-CN" w:bidi="ar"/>
              </w:rPr>
            </w:pPr>
          </w:p>
          <w:p>
            <w:pPr>
              <w:keepNext w:val="0"/>
              <w:keepLines w:val="0"/>
              <w:widowControl/>
              <w:suppressLineNumbers w:val="0"/>
              <w:jc w:val="left"/>
              <w:rPr>
                <w:rFonts w:hint="eastAsia" w:ascii="宋体" w:hAnsi="宋体" w:eastAsia="宋体" w:cs="宋体"/>
                <w:b w:val="0"/>
                <w:bCs/>
                <w:sz w:val="21"/>
                <w:szCs w:val="21"/>
                <w:highlight w:val="none"/>
                <w:vertAlign w:val="baseline"/>
                <w:lang w:eastAsia="zh-CN"/>
              </w:rPr>
            </w:pPr>
            <w:r>
              <w:rPr>
                <w:rFonts w:hint="eastAsia" w:ascii="宋体" w:hAnsi="宋体" w:eastAsia="宋体" w:cs="宋体"/>
                <w:b w:val="0"/>
                <w:bCs/>
                <w:color w:val="000000"/>
                <w:kern w:val="0"/>
                <w:sz w:val="21"/>
                <w:szCs w:val="21"/>
                <w:highlight w:val="none"/>
                <w:lang w:val="en-US" w:eastAsia="zh-CN" w:bidi="ar"/>
              </w:rPr>
              <w:t xml:space="preserve">由供应商提供书面承诺及声明，或提供相应证明材料。 </w:t>
            </w:r>
          </w:p>
        </w:tc>
        <w:tc>
          <w:tcPr>
            <w:tcW w:w="1250" w:type="dxa"/>
          </w:tcPr>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tcPr>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2</w:t>
            </w:r>
          </w:p>
        </w:tc>
        <w:tc>
          <w:tcPr>
            <w:tcW w:w="1912" w:type="dxa"/>
          </w:tcPr>
          <w:p>
            <w:pPr>
              <w:keepNext w:val="0"/>
              <w:keepLines w:val="0"/>
              <w:widowControl/>
              <w:suppressLineNumbers w:val="0"/>
              <w:jc w:val="left"/>
              <w:rPr>
                <w:rFonts w:hint="eastAsia" w:ascii="宋体" w:hAnsi="宋体" w:eastAsia="宋体" w:cs="宋体"/>
                <w:b w:val="0"/>
                <w:bCs/>
                <w:sz w:val="21"/>
                <w:szCs w:val="21"/>
                <w:highlight w:val="none"/>
                <w:vertAlign w:val="baseline"/>
                <w:lang w:eastAsia="zh-CN"/>
              </w:rPr>
            </w:pPr>
            <w:r>
              <w:rPr>
                <w:rFonts w:hint="eastAsia" w:ascii="宋体" w:hAnsi="宋体" w:eastAsia="宋体" w:cs="宋体"/>
                <w:b w:val="0"/>
                <w:bCs/>
                <w:color w:val="000000"/>
                <w:kern w:val="0"/>
                <w:sz w:val="21"/>
                <w:szCs w:val="21"/>
                <w:highlight w:val="none"/>
                <w:lang w:val="en-US" w:eastAsia="zh-CN" w:bidi="ar"/>
              </w:rPr>
              <w:t xml:space="preserve">单位负责人为同一人或者存在直接控股、管理关系的不同的投标人，不得参加本项目同一合同项 下的政府采购活动 </w:t>
            </w:r>
          </w:p>
        </w:tc>
        <w:tc>
          <w:tcPr>
            <w:tcW w:w="5525" w:type="dxa"/>
          </w:tcPr>
          <w:p>
            <w:pPr>
              <w:keepNext w:val="0"/>
              <w:keepLines w:val="0"/>
              <w:widowControl/>
              <w:suppressLineNumbers w:val="0"/>
              <w:jc w:val="left"/>
              <w:rPr>
                <w:rFonts w:hint="eastAsia" w:ascii="宋体" w:hAnsi="宋体" w:eastAsia="宋体" w:cs="宋体"/>
                <w:b w:val="0"/>
                <w:bCs/>
                <w:color w:val="000000"/>
                <w:kern w:val="0"/>
                <w:sz w:val="21"/>
                <w:szCs w:val="21"/>
                <w:highlight w:val="none"/>
                <w:lang w:val="en-US" w:eastAsia="zh-CN" w:bidi="ar"/>
              </w:rPr>
            </w:pPr>
          </w:p>
          <w:p>
            <w:pPr>
              <w:keepNext w:val="0"/>
              <w:keepLines w:val="0"/>
              <w:widowControl/>
              <w:suppressLineNumbers w:val="0"/>
              <w:jc w:val="left"/>
              <w:rPr>
                <w:rFonts w:hint="eastAsia" w:ascii="宋体" w:hAnsi="宋体" w:eastAsia="宋体" w:cs="宋体"/>
                <w:b w:val="0"/>
                <w:bCs/>
                <w:color w:val="000000"/>
                <w:kern w:val="0"/>
                <w:sz w:val="21"/>
                <w:szCs w:val="21"/>
                <w:highlight w:val="none"/>
                <w:lang w:val="en-US" w:eastAsia="zh-CN" w:bidi="ar"/>
              </w:rPr>
            </w:pPr>
          </w:p>
          <w:p>
            <w:pPr>
              <w:keepNext w:val="0"/>
              <w:keepLines w:val="0"/>
              <w:widowControl/>
              <w:suppressLineNumbers w:val="0"/>
              <w:jc w:val="left"/>
              <w:rPr>
                <w:rFonts w:hint="eastAsia" w:ascii="宋体" w:hAnsi="宋体" w:eastAsia="宋体" w:cs="宋体"/>
                <w:b w:val="0"/>
                <w:bCs/>
                <w:color w:val="000000"/>
                <w:kern w:val="0"/>
                <w:sz w:val="21"/>
                <w:szCs w:val="21"/>
                <w:highlight w:val="none"/>
                <w:lang w:val="en-US" w:eastAsia="zh-CN" w:bidi="ar"/>
              </w:rPr>
            </w:pPr>
          </w:p>
          <w:p>
            <w:pPr>
              <w:keepNext w:val="0"/>
              <w:keepLines w:val="0"/>
              <w:widowControl/>
              <w:suppressLineNumbers w:val="0"/>
              <w:jc w:val="left"/>
              <w:rPr>
                <w:rFonts w:hint="eastAsia" w:ascii="宋体" w:hAnsi="宋体" w:eastAsia="宋体" w:cs="宋体"/>
                <w:b w:val="0"/>
                <w:bCs/>
                <w:sz w:val="21"/>
                <w:szCs w:val="21"/>
                <w:highlight w:val="none"/>
              </w:rPr>
            </w:pPr>
            <w:r>
              <w:rPr>
                <w:rFonts w:hint="eastAsia" w:ascii="宋体" w:hAnsi="宋体" w:eastAsia="宋体" w:cs="宋体"/>
                <w:b w:val="0"/>
                <w:bCs/>
                <w:color w:val="000000"/>
                <w:kern w:val="0"/>
                <w:sz w:val="21"/>
                <w:szCs w:val="21"/>
                <w:highlight w:val="none"/>
                <w:lang w:val="en-US" w:eastAsia="zh-CN" w:bidi="ar"/>
              </w:rPr>
              <w:t xml:space="preserve">由供应商在《响应函》中声明 </w:t>
            </w:r>
          </w:p>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p>
        </w:tc>
        <w:tc>
          <w:tcPr>
            <w:tcW w:w="1250" w:type="dxa"/>
          </w:tcPr>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9" w:hRule="atLeast"/>
        </w:trPr>
        <w:tc>
          <w:tcPr>
            <w:tcW w:w="739" w:type="dxa"/>
          </w:tcPr>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3</w:t>
            </w:r>
          </w:p>
        </w:tc>
        <w:tc>
          <w:tcPr>
            <w:tcW w:w="1912" w:type="dxa"/>
          </w:tcPr>
          <w:p>
            <w:pPr>
              <w:keepNext w:val="0"/>
              <w:keepLines w:val="0"/>
              <w:widowControl/>
              <w:suppressLineNumbers w:val="0"/>
              <w:jc w:val="left"/>
              <w:rPr>
                <w:rFonts w:hint="eastAsia" w:ascii="宋体" w:hAnsi="宋体" w:eastAsia="宋体" w:cs="宋体"/>
                <w:b w:val="0"/>
                <w:bCs/>
                <w:sz w:val="21"/>
                <w:szCs w:val="21"/>
                <w:highlight w:val="none"/>
                <w:vertAlign w:val="baseline"/>
                <w:lang w:eastAsia="zh-CN"/>
              </w:rPr>
            </w:pPr>
            <w:r>
              <w:rPr>
                <w:rFonts w:hint="eastAsia" w:ascii="宋体" w:hAnsi="宋体" w:eastAsia="宋体" w:cs="宋体"/>
                <w:b w:val="0"/>
                <w:bCs/>
                <w:color w:val="000000"/>
                <w:kern w:val="0"/>
                <w:sz w:val="21"/>
                <w:szCs w:val="21"/>
                <w:highlight w:val="none"/>
                <w:lang w:val="en-US" w:eastAsia="zh-CN" w:bidi="ar"/>
              </w:rPr>
              <w:t xml:space="preserve">为本采购项目提供整体设计、规 范编制或者项目管理、监理、检测等服务的，不得再参加本项目的其他招标采购活动。 </w:t>
            </w:r>
          </w:p>
        </w:tc>
        <w:tc>
          <w:tcPr>
            <w:tcW w:w="5525" w:type="dxa"/>
          </w:tcPr>
          <w:p>
            <w:pPr>
              <w:keepNext w:val="0"/>
              <w:keepLines w:val="0"/>
              <w:widowControl/>
              <w:suppressLineNumbers w:val="0"/>
              <w:jc w:val="left"/>
              <w:rPr>
                <w:rFonts w:hint="eastAsia" w:ascii="宋体" w:hAnsi="宋体" w:eastAsia="宋体" w:cs="宋体"/>
                <w:b w:val="0"/>
                <w:bCs/>
                <w:color w:val="000000"/>
                <w:kern w:val="0"/>
                <w:sz w:val="21"/>
                <w:szCs w:val="21"/>
                <w:highlight w:val="none"/>
                <w:lang w:val="en-US" w:eastAsia="zh-CN" w:bidi="ar"/>
              </w:rPr>
            </w:pPr>
          </w:p>
          <w:p>
            <w:pPr>
              <w:keepNext w:val="0"/>
              <w:keepLines w:val="0"/>
              <w:widowControl/>
              <w:suppressLineNumbers w:val="0"/>
              <w:jc w:val="left"/>
              <w:rPr>
                <w:rFonts w:hint="eastAsia" w:ascii="宋体" w:hAnsi="宋体" w:eastAsia="宋体" w:cs="宋体"/>
                <w:b w:val="0"/>
                <w:bCs/>
                <w:color w:val="000000"/>
                <w:kern w:val="0"/>
                <w:sz w:val="21"/>
                <w:szCs w:val="21"/>
                <w:highlight w:val="none"/>
                <w:lang w:val="en-US" w:eastAsia="zh-CN" w:bidi="ar"/>
              </w:rPr>
            </w:pPr>
          </w:p>
          <w:p>
            <w:pPr>
              <w:keepNext w:val="0"/>
              <w:keepLines w:val="0"/>
              <w:widowControl/>
              <w:suppressLineNumbers w:val="0"/>
              <w:jc w:val="left"/>
              <w:rPr>
                <w:rFonts w:hint="eastAsia" w:ascii="宋体" w:hAnsi="宋体" w:eastAsia="宋体" w:cs="宋体"/>
                <w:b w:val="0"/>
                <w:bCs/>
                <w:color w:val="000000"/>
                <w:kern w:val="0"/>
                <w:sz w:val="21"/>
                <w:szCs w:val="21"/>
                <w:highlight w:val="none"/>
                <w:lang w:val="en-US" w:eastAsia="zh-CN" w:bidi="ar"/>
              </w:rPr>
            </w:pPr>
          </w:p>
          <w:p>
            <w:pPr>
              <w:keepNext w:val="0"/>
              <w:keepLines w:val="0"/>
              <w:widowControl/>
              <w:suppressLineNumbers w:val="0"/>
              <w:jc w:val="left"/>
              <w:rPr>
                <w:rFonts w:hint="eastAsia" w:ascii="宋体" w:hAnsi="宋体" w:eastAsia="宋体" w:cs="宋体"/>
                <w:b w:val="0"/>
                <w:bCs/>
                <w:sz w:val="21"/>
                <w:szCs w:val="21"/>
                <w:highlight w:val="none"/>
                <w:vertAlign w:val="baseline"/>
                <w:lang w:eastAsia="zh-CN"/>
              </w:rPr>
            </w:pPr>
            <w:r>
              <w:rPr>
                <w:rFonts w:hint="eastAsia" w:ascii="宋体" w:hAnsi="宋体" w:eastAsia="宋体" w:cs="宋体"/>
                <w:b w:val="0"/>
                <w:bCs/>
                <w:color w:val="000000"/>
                <w:kern w:val="0"/>
                <w:sz w:val="21"/>
                <w:szCs w:val="21"/>
                <w:highlight w:val="none"/>
                <w:lang w:val="en-US" w:eastAsia="zh-CN" w:bidi="ar"/>
              </w:rPr>
              <w:t>由供应商在《响应函》中声明</w:t>
            </w:r>
          </w:p>
        </w:tc>
        <w:tc>
          <w:tcPr>
            <w:tcW w:w="1250" w:type="dxa"/>
          </w:tcPr>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tcPr>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4</w:t>
            </w:r>
          </w:p>
        </w:tc>
        <w:tc>
          <w:tcPr>
            <w:tcW w:w="1912" w:type="dxa"/>
          </w:tcPr>
          <w:p>
            <w:pPr>
              <w:keepNext w:val="0"/>
              <w:keepLines w:val="0"/>
              <w:widowControl/>
              <w:suppressLineNumbers w:val="0"/>
              <w:jc w:val="left"/>
              <w:rPr>
                <w:rFonts w:hint="eastAsia" w:ascii="宋体" w:hAnsi="宋体" w:eastAsia="宋体" w:cs="宋体"/>
                <w:b w:val="0"/>
                <w:bCs/>
                <w:sz w:val="21"/>
                <w:szCs w:val="21"/>
                <w:highlight w:val="none"/>
                <w:vertAlign w:val="baseline"/>
                <w:lang w:eastAsia="zh-CN"/>
              </w:rPr>
            </w:pPr>
            <w:r>
              <w:rPr>
                <w:rFonts w:hint="eastAsia" w:ascii="宋体" w:hAnsi="宋体" w:eastAsia="宋体" w:cs="宋体"/>
                <w:b w:val="0"/>
                <w:bCs/>
                <w:color w:val="000000"/>
                <w:kern w:val="0"/>
                <w:sz w:val="21"/>
                <w:szCs w:val="21"/>
                <w:highlight w:val="none"/>
                <w:lang w:val="en-US" w:eastAsia="zh-CN" w:bidi="ar"/>
              </w:rPr>
              <w:t>未被列入失信被执行人、</w:t>
            </w:r>
            <w:r>
              <w:rPr>
                <w:rFonts w:hint="eastAsia" w:ascii="宋体" w:hAnsi="宋体" w:cs="宋体"/>
                <w:b w:val="0"/>
                <w:bCs/>
                <w:color w:val="000000"/>
                <w:kern w:val="0"/>
                <w:sz w:val="21"/>
                <w:szCs w:val="21"/>
                <w:highlight w:val="none"/>
                <w:lang w:val="en-US" w:eastAsia="zh-CN" w:bidi="ar"/>
              </w:rPr>
              <w:t>重大税收违法失信主体</w:t>
            </w:r>
            <w:r>
              <w:rPr>
                <w:rFonts w:hint="eastAsia" w:ascii="宋体" w:hAnsi="宋体" w:eastAsia="宋体" w:cs="宋体"/>
                <w:b w:val="0"/>
                <w:bCs/>
                <w:color w:val="000000"/>
                <w:kern w:val="0"/>
                <w:sz w:val="21"/>
                <w:szCs w:val="21"/>
                <w:highlight w:val="none"/>
                <w:lang w:val="en-US" w:eastAsia="zh-CN" w:bidi="ar"/>
              </w:rPr>
              <w:t xml:space="preserve">，未被列入政府采购严重违法失信行为记录名单。 </w:t>
            </w:r>
          </w:p>
        </w:tc>
        <w:tc>
          <w:tcPr>
            <w:tcW w:w="5525" w:type="dxa"/>
          </w:tcPr>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r>
              <w:rPr>
                <w:rFonts w:hint="eastAsia" w:ascii="宋体" w:hAnsi="宋体" w:eastAsia="宋体" w:cs="宋体"/>
                <w:b w:val="0"/>
                <w:bCs/>
                <w:sz w:val="21"/>
                <w:szCs w:val="21"/>
                <w:highlight w:val="none"/>
                <w:vertAlign w:val="baseline"/>
                <w:lang w:val="en-US" w:eastAsia="zh-CN"/>
              </w:rPr>
              <w:t>供应商未被列入“信用中国”网站(www.creditchina.gov.cn)失信被执行人、</w:t>
            </w:r>
            <w:r>
              <w:rPr>
                <w:rFonts w:hint="eastAsia" w:ascii="宋体" w:hAnsi="宋体" w:cs="宋体"/>
                <w:b w:val="0"/>
                <w:bCs/>
                <w:sz w:val="21"/>
                <w:szCs w:val="21"/>
                <w:highlight w:val="none"/>
                <w:vertAlign w:val="baseline"/>
                <w:lang w:val="en-US" w:eastAsia="zh-CN"/>
              </w:rPr>
              <w:t>重大税收违法失信主体</w:t>
            </w:r>
            <w:r>
              <w:rPr>
                <w:rFonts w:hint="eastAsia" w:ascii="宋体" w:hAnsi="宋体" w:eastAsia="宋体" w:cs="宋体"/>
                <w:b w:val="0"/>
                <w:bCs/>
                <w:sz w:val="21"/>
                <w:szCs w:val="21"/>
                <w:highlight w:val="none"/>
                <w:vertAlign w:val="baseline"/>
                <w:lang w:val="en-US" w:eastAsia="zh-CN"/>
              </w:rPr>
              <w:t>、政府采购严重违法失信行为记录名单和“中国政府采购”网站（www.ccgp.gov.cn）政府采购严重违法失信行为记录名单；供应商应提供“信用中国”中的“信用报告”。</w:t>
            </w:r>
          </w:p>
        </w:tc>
        <w:tc>
          <w:tcPr>
            <w:tcW w:w="1250" w:type="dxa"/>
          </w:tcPr>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739" w:type="dxa"/>
          </w:tcPr>
          <w:p>
            <w:pPr>
              <w:pStyle w:val="7"/>
              <w:widowControl w:val="0"/>
              <w:numPr>
                <w:ilvl w:val="0"/>
                <w:numId w:val="0"/>
              </w:numPr>
              <w:jc w:val="center"/>
              <w:rPr>
                <w:rFonts w:hint="eastAsia" w:ascii="宋体" w:hAnsi="宋体" w:eastAsia="宋体" w:cs="宋体"/>
                <w:b w:val="0"/>
                <w:bCs/>
                <w:sz w:val="21"/>
                <w:szCs w:val="21"/>
                <w:highlight w:val="none"/>
                <w:vertAlign w:val="baseline"/>
                <w:lang w:val="en-US" w:eastAsia="zh-CN"/>
              </w:rPr>
            </w:pPr>
          </w:p>
          <w:p>
            <w:pPr>
              <w:pStyle w:val="7"/>
              <w:widowControl w:val="0"/>
              <w:numPr>
                <w:ilvl w:val="0"/>
                <w:numId w:val="0"/>
              </w:numPr>
              <w:ind w:firstLine="210" w:firstLineChars="100"/>
              <w:jc w:val="both"/>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5</w:t>
            </w:r>
          </w:p>
        </w:tc>
        <w:tc>
          <w:tcPr>
            <w:tcW w:w="1912" w:type="dxa"/>
          </w:tcPr>
          <w:p>
            <w:pPr>
              <w:keepNext w:val="0"/>
              <w:keepLines w:val="0"/>
              <w:widowControl/>
              <w:suppressLineNumbers w:val="0"/>
              <w:jc w:val="left"/>
              <w:rPr>
                <w:rFonts w:hint="eastAsia"/>
                <w:highlight w:val="none"/>
                <w:lang w:eastAsia="zh-CN"/>
              </w:rPr>
            </w:pPr>
            <w:r>
              <w:rPr>
                <w:rFonts w:hint="eastAsia"/>
                <w:highlight w:val="none"/>
                <w:lang w:val="en-US" w:eastAsia="zh-CN"/>
              </w:rPr>
              <w:t>落实政府采购政策需满足的资格要求</w:t>
            </w:r>
          </w:p>
        </w:tc>
        <w:tc>
          <w:tcPr>
            <w:tcW w:w="5525" w:type="dxa"/>
          </w:tcPr>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r>
              <w:rPr>
                <w:rFonts w:hint="eastAsia" w:ascii="宋体" w:hAnsi="宋体" w:eastAsia="宋体" w:cs="宋体"/>
                <w:b w:val="0"/>
                <w:bCs/>
                <w:sz w:val="21"/>
                <w:szCs w:val="21"/>
                <w:highlight w:val="none"/>
                <w:vertAlign w:val="baseline"/>
                <w:lang w:val="en-US" w:eastAsia="zh-CN"/>
              </w:rPr>
              <w:t>本项目专门面向小微企业，</w:t>
            </w:r>
            <w:r>
              <w:rPr>
                <w:rFonts w:hint="eastAsia" w:ascii="宋体" w:hAnsi="宋体" w:cs="宋体"/>
                <w:b w:val="0"/>
                <w:bCs/>
                <w:sz w:val="21"/>
                <w:szCs w:val="21"/>
                <w:highlight w:val="none"/>
                <w:vertAlign w:val="baseline"/>
                <w:lang w:val="en-US" w:eastAsia="zh-CN"/>
              </w:rPr>
              <w:t>供应商应如实提供《中小企业声明函》，</w:t>
            </w:r>
            <w:r>
              <w:rPr>
                <w:rFonts w:hint="eastAsia" w:ascii="宋体" w:hAnsi="宋体" w:eastAsia="宋体" w:cs="宋体"/>
                <w:b w:val="0"/>
                <w:bCs/>
                <w:sz w:val="21"/>
                <w:szCs w:val="21"/>
                <w:highlight w:val="none"/>
                <w:vertAlign w:val="baseline"/>
                <w:lang w:eastAsia="zh-CN"/>
              </w:rPr>
              <w:t>落实政府采购强制、优先采购节能产品政策；政府采购优先采购环保产品政策；政府采购促进中小企业发展（监狱企业、残疾人福利性单位视同小微企业）等政策。</w:t>
            </w:r>
          </w:p>
        </w:tc>
        <w:tc>
          <w:tcPr>
            <w:tcW w:w="1250" w:type="dxa"/>
          </w:tcPr>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tcPr>
          <w:p>
            <w:pPr>
              <w:pStyle w:val="7"/>
              <w:widowControl w:val="0"/>
              <w:numPr>
                <w:ilvl w:val="0"/>
                <w:numId w:val="0"/>
              </w:numPr>
              <w:ind w:firstLine="210" w:firstLineChars="100"/>
              <w:jc w:val="both"/>
              <w:rPr>
                <w:rFonts w:hint="eastAsia" w:ascii="宋体" w:hAnsi="宋体" w:eastAsia="宋体" w:cs="宋体"/>
                <w:b w:val="0"/>
                <w:bCs/>
                <w:sz w:val="21"/>
                <w:szCs w:val="21"/>
                <w:highlight w:val="none"/>
                <w:vertAlign w:val="baseline"/>
                <w:lang w:val="en-US" w:eastAsia="zh-CN"/>
              </w:rPr>
            </w:pPr>
            <w:r>
              <w:rPr>
                <w:rFonts w:hint="eastAsia" w:ascii="宋体" w:hAnsi="宋体" w:eastAsia="宋体" w:cs="宋体"/>
                <w:b w:val="0"/>
                <w:bCs/>
                <w:sz w:val="21"/>
                <w:szCs w:val="21"/>
                <w:highlight w:val="none"/>
                <w:vertAlign w:val="baseline"/>
                <w:lang w:val="en-US" w:eastAsia="zh-CN"/>
              </w:rPr>
              <w:t>6</w:t>
            </w:r>
          </w:p>
        </w:tc>
        <w:tc>
          <w:tcPr>
            <w:tcW w:w="1912" w:type="dxa"/>
          </w:tcPr>
          <w:p>
            <w:pPr>
              <w:keepNext w:val="0"/>
              <w:keepLines w:val="0"/>
              <w:widowControl/>
              <w:suppressLineNumbers w:val="0"/>
              <w:jc w:val="both"/>
              <w:rPr>
                <w:rFonts w:hint="eastAsia" w:ascii="宋体" w:hAnsi="宋体" w:eastAsia="宋体" w:cs="宋体"/>
                <w:b w:val="0"/>
                <w:bCs/>
                <w:color w:val="000000"/>
                <w:kern w:val="0"/>
                <w:sz w:val="21"/>
                <w:szCs w:val="21"/>
                <w:highlight w:val="none"/>
                <w:lang w:val="en-US" w:eastAsia="zh-CN" w:bidi="ar"/>
              </w:rPr>
            </w:pPr>
            <w:r>
              <w:rPr>
                <w:rFonts w:hint="eastAsia" w:ascii="宋体" w:hAnsi="宋体" w:eastAsia="宋体" w:cs="宋体"/>
                <w:b w:val="0"/>
                <w:bCs/>
                <w:color w:val="000000"/>
                <w:kern w:val="0"/>
                <w:sz w:val="21"/>
                <w:szCs w:val="21"/>
                <w:highlight w:val="none"/>
                <w:lang w:val="en-US" w:eastAsia="zh-CN" w:bidi="ar"/>
              </w:rPr>
              <w:t>本项目的特定</w:t>
            </w:r>
          </w:p>
          <w:p>
            <w:pPr>
              <w:keepNext w:val="0"/>
              <w:keepLines w:val="0"/>
              <w:widowControl/>
              <w:suppressLineNumbers w:val="0"/>
              <w:jc w:val="both"/>
              <w:rPr>
                <w:rFonts w:hint="eastAsia" w:ascii="宋体" w:hAnsi="宋体" w:eastAsia="宋体" w:cs="宋体"/>
                <w:b w:val="0"/>
                <w:bCs/>
                <w:sz w:val="21"/>
                <w:szCs w:val="21"/>
                <w:highlight w:val="none"/>
                <w:vertAlign w:val="baseline"/>
                <w:lang w:eastAsia="zh-CN"/>
              </w:rPr>
            </w:pPr>
            <w:r>
              <w:rPr>
                <w:rFonts w:hint="eastAsia" w:ascii="宋体" w:hAnsi="宋体" w:eastAsia="宋体" w:cs="宋体"/>
                <w:b w:val="0"/>
                <w:bCs/>
                <w:color w:val="000000"/>
                <w:kern w:val="0"/>
                <w:sz w:val="21"/>
                <w:szCs w:val="21"/>
                <w:highlight w:val="none"/>
                <w:lang w:val="en-US" w:eastAsia="zh-CN" w:bidi="ar"/>
              </w:rPr>
              <w:t>资格要求</w:t>
            </w:r>
          </w:p>
        </w:tc>
        <w:tc>
          <w:tcPr>
            <w:tcW w:w="5525" w:type="dxa"/>
          </w:tcPr>
          <w:p>
            <w:pPr>
              <w:rPr>
                <w:rFonts w:hint="default"/>
                <w:highlight w:val="none"/>
                <w:lang w:val="en-US" w:eastAsia="zh-CN"/>
              </w:rPr>
            </w:pPr>
            <w:r>
              <w:rPr>
                <w:rFonts w:hint="eastAsia"/>
                <w:highlight w:val="none"/>
                <w:lang w:val="en-US" w:eastAsia="zh-CN"/>
              </w:rPr>
              <w:t>/</w:t>
            </w:r>
          </w:p>
        </w:tc>
        <w:tc>
          <w:tcPr>
            <w:tcW w:w="1250" w:type="dxa"/>
          </w:tcPr>
          <w:p>
            <w:pPr>
              <w:pStyle w:val="7"/>
              <w:widowControl w:val="0"/>
              <w:numPr>
                <w:ilvl w:val="0"/>
                <w:numId w:val="0"/>
              </w:numPr>
              <w:jc w:val="both"/>
              <w:rPr>
                <w:rFonts w:hint="eastAsia" w:ascii="宋体" w:hAnsi="宋体" w:eastAsia="宋体" w:cs="宋体"/>
                <w:b w:val="0"/>
                <w:bCs/>
                <w:sz w:val="21"/>
                <w:szCs w:val="21"/>
                <w:highlight w:val="none"/>
                <w:vertAlign w:val="baseline"/>
                <w:lang w:eastAsia="zh-CN"/>
              </w:rPr>
            </w:pPr>
          </w:p>
        </w:tc>
      </w:tr>
    </w:tbl>
    <w:p>
      <w:pPr>
        <w:pStyle w:val="7"/>
        <w:widowControl w:val="0"/>
        <w:numPr>
          <w:ilvl w:val="0"/>
          <w:numId w:val="0"/>
        </w:numPr>
        <w:jc w:val="both"/>
        <w:rPr>
          <w:rFonts w:hint="eastAsia" w:asciiTheme="minorEastAsia" w:hAnsiTheme="minorEastAsia" w:eastAsiaTheme="minorEastAsia" w:cstheme="minorEastAsia"/>
          <w:b/>
          <w:highlight w:val="none"/>
          <w:lang w:eastAsia="zh-CN"/>
        </w:rPr>
        <w:sectPr>
          <w:pgSz w:w="11906" w:h="16838"/>
          <w:pgMar w:top="1417" w:right="1417" w:bottom="1417" w:left="1417" w:header="851" w:footer="992" w:gutter="0"/>
          <w:pgNumType w:fmt="decimal"/>
          <w:cols w:space="720" w:num="1"/>
          <w:docGrid w:type="lines" w:linePitch="312" w:charSpace="0"/>
        </w:sectPr>
      </w:pPr>
    </w:p>
    <w:p>
      <w:pPr>
        <w:pStyle w:val="3"/>
        <w:numPr>
          <w:ilvl w:val="0"/>
          <w:numId w:val="29"/>
        </w:numPr>
        <w:bidi w:val="0"/>
        <w:ind w:left="563" w:leftChars="0" w:firstLine="0" w:firstLineChars="0"/>
        <w:jc w:val="center"/>
        <w:rPr>
          <w:rFonts w:hint="eastAsia"/>
          <w:b/>
          <w:bCs/>
          <w:highlight w:val="none"/>
          <w:lang w:eastAsia="zh-CN"/>
        </w:rPr>
      </w:pPr>
      <w:bookmarkStart w:id="319" w:name="_Toc10098"/>
      <w:bookmarkStart w:id="320" w:name="_Toc30243"/>
      <w:bookmarkStart w:id="321" w:name="_Toc28898"/>
      <w:bookmarkStart w:id="322" w:name="_Toc22971"/>
      <w:r>
        <w:rPr>
          <w:rFonts w:hint="eastAsia"/>
          <w:b/>
          <w:bCs/>
          <w:highlight w:val="none"/>
          <w:lang w:eastAsia="zh-CN"/>
        </w:rPr>
        <w:t>评分标准索引表</w:t>
      </w:r>
      <w:bookmarkEnd w:id="319"/>
      <w:bookmarkEnd w:id="320"/>
      <w:bookmarkEnd w:id="321"/>
      <w:bookmarkEnd w:id="322"/>
    </w:p>
    <w:p>
      <w:pPr>
        <w:numPr>
          <w:ilvl w:val="0"/>
          <w:numId w:val="0"/>
        </w:numPr>
        <w:ind w:left="563" w:leftChars="0"/>
        <w:rPr>
          <w:rFonts w:hint="eastAsia"/>
          <w:highlight w:val="none"/>
          <w:lang w:eastAsia="zh-CN"/>
        </w:rPr>
      </w:pPr>
    </w:p>
    <w:tbl>
      <w:tblPr>
        <w:tblStyle w:val="18"/>
        <w:tblW w:w="92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87"/>
        <w:gridCol w:w="1285"/>
        <w:gridCol w:w="5197"/>
        <w:gridCol w:w="1005"/>
        <w:gridCol w:w="111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87" w:hRule="atLeast"/>
        </w:trPr>
        <w:tc>
          <w:tcPr>
            <w:tcW w:w="687" w:type="dxa"/>
            <w:tcBorders>
              <w:top w:val="single" w:color="auto" w:sz="12" w:space="0"/>
            </w:tcBorders>
            <w:vAlign w:val="center"/>
          </w:tcPr>
          <w:p>
            <w:pPr>
              <w:spacing w:line="360" w:lineRule="atLeast"/>
              <w:jc w:val="center"/>
              <w:rPr>
                <w:rFonts w:asciiTheme="minorEastAsia" w:hAnsiTheme="minorEastAsia" w:eastAsiaTheme="minorEastAsia" w:cstheme="minorEastAsia"/>
                <w:b/>
                <w:bCs/>
                <w:spacing w:val="-6"/>
                <w:szCs w:val="21"/>
                <w:highlight w:val="none"/>
              </w:rPr>
            </w:pPr>
            <w:r>
              <w:rPr>
                <w:rFonts w:hint="eastAsia" w:asciiTheme="minorEastAsia" w:hAnsiTheme="minorEastAsia" w:eastAsiaTheme="minorEastAsia" w:cstheme="minorEastAsia"/>
                <w:b/>
                <w:bCs/>
                <w:szCs w:val="21"/>
                <w:highlight w:val="none"/>
              </w:rPr>
              <w:t>类别</w:t>
            </w:r>
          </w:p>
        </w:tc>
        <w:tc>
          <w:tcPr>
            <w:tcW w:w="1285" w:type="dxa"/>
            <w:tcBorders>
              <w:top w:val="single" w:color="auto" w:sz="12" w:space="0"/>
            </w:tcBorders>
            <w:vAlign w:val="center"/>
          </w:tcPr>
          <w:p>
            <w:pPr>
              <w:spacing w:line="360" w:lineRule="atLeast"/>
              <w:jc w:val="center"/>
              <w:rPr>
                <w:rFonts w:asciiTheme="minorEastAsia" w:hAnsiTheme="minorEastAsia" w:eastAsiaTheme="minorEastAsia" w:cstheme="minorEastAsia"/>
                <w:b/>
                <w:bCs/>
                <w:spacing w:val="-6"/>
                <w:szCs w:val="21"/>
                <w:highlight w:val="none"/>
              </w:rPr>
            </w:pPr>
            <w:r>
              <w:rPr>
                <w:rFonts w:hint="eastAsia" w:asciiTheme="minorEastAsia" w:hAnsiTheme="minorEastAsia" w:eastAsiaTheme="minorEastAsia" w:cstheme="minorEastAsia"/>
                <w:b/>
                <w:bCs/>
                <w:szCs w:val="21"/>
                <w:highlight w:val="none"/>
              </w:rPr>
              <w:t>评审因素</w:t>
            </w:r>
          </w:p>
        </w:tc>
        <w:tc>
          <w:tcPr>
            <w:tcW w:w="5197" w:type="dxa"/>
            <w:tcBorders>
              <w:top w:val="single" w:color="auto" w:sz="12" w:space="0"/>
            </w:tcBorders>
            <w:vAlign w:val="center"/>
          </w:tcPr>
          <w:p>
            <w:pPr>
              <w:spacing w:line="360" w:lineRule="atLeast"/>
              <w:jc w:val="center"/>
              <w:rPr>
                <w:rFonts w:asciiTheme="minorEastAsia" w:hAnsiTheme="minorEastAsia" w:eastAsiaTheme="minorEastAsia" w:cstheme="minorEastAsia"/>
                <w:b/>
                <w:bCs/>
                <w:spacing w:val="-6"/>
                <w:szCs w:val="21"/>
                <w:highlight w:val="none"/>
              </w:rPr>
            </w:pPr>
            <w:r>
              <w:rPr>
                <w:rFonts w:hint="eastAsia" w:asciiTheme="minorEastAsia" w:hAnsiTheme="minorEastAsia" w:eastAsiaTheme="minorEastAsia" w:cstheme="minorEastAsia"/>
                <w:b/>
                <w:bCs/>
                <w:szCs w:val="21"/>
                <w:highlight w:val="none"/>
              </w:rPr>
              <w:t>评审标准</w:t>
            </w:r>
          </w:p>
        </w:tc>
        <w:tc>
          <w:tcPr>
            <w:tcW w:w="1005" w:type="dxa"/>
            <w:tcBorders>
              <w:top w:val="single" w:color="auto" w:sz="12" w:space="0"/>
            </w:tcBorders>
            <w:vAlign w:val="center"/>
          </w:tcPr>
          <w:p>
            <w:pPr>
              <w:spacing w:line="360" w:lineRule="atLeast"/>
              <w:jc w:val="center"/>
              <w:rPr>
                <w:rFonts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分值</w:t>
            </w:r>
          </w:p>
        </w:tc>
        <w:tc>
          <w:tcPr>
            <w:tcW w:w="1114" w:type="dxa"/>
            <w:tcBorders>
              <w:top w:val="single" w:color="auto" w:sz="12" w:space="0"/>
            </w:tcBorders>
            <w:vAlign w:val="center"/>
          </w:tcPr>
          <w:p>
            <w:pPr>
              <w:spacing w:line="360" w:lineRule="atLeast"/>
              <w:jc w:val="center"/>
              <w:rPr>
                <w:rFonts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对应页码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18" w:hRule="atLeast"/>
        </w:trPr>
        <w:tc>
          <w:tcPr>
            <w:tcW w:w="687" w:type="dxa"/>
            <w:vAlign w:val="center"/>
          </w:tcPr>
          <w:p>
            <w:pPr>
              <w:widowControl/>
              <w:spacing w:line="260" w:lineRule="exact"/>
              <w:jc w:val="center"/>
              <w:textAlignment w:val="center"/>
              <w:rPr>
                <w:rFonts w:asciiTheme="minorEastAsia" w:hAnsiTheme="minorEastAsia" w:eastAsiaTheme="minorEastAsia" w:cstheme="minorEastAsia"/>
                <w:spacing w:val="-6"/>
                <w:szCs w:val="21"/>
                <w:highlight w:val="none"/>
              </w:rPr>
            </w:pPr>
          </w:p>
        </w:tc>
        <w:tc>
          <w:tcPr>
            <w:tcW w:w="1285" w:type="dxa"/>
            <w:vAlign w:val="center"/>
          </w:tcPr>
          <w:p>
            <w:pPr>
              <w:widowControl/>
              <w:spacing w:line="260" w:lineRule="exact"/>
              <w:jc w:val="center"/>
              <w:textAlignment w:val="center"/>
              <w:rPr>
                <w:rFonts w:asciiTheme="minorEastAsia" w:hAnsiTheme="minorEastAsia" w:eastAsiaTheme="minorEastAsia" w:cstheme="minorEastAsia"/>
                <w:spacing w:val="-6"/>
                <w:szCs w:val="21"/>
                <w:highlight w:val="none"/>
              </w:rPr>
            </w:pPr>
          </w:p>
        </w:tc>
        <w:tc>
          <w:tcPr>
            <w:tcW w:w="5197" w:type="dxa"/>
            <w:vAlign w:val="center"/>
          </w:tcPr>
          <w:p>
            <w:pPr>
              <w:widowControl/>
              <w:spacing w:line="260" w:lineRule="exact"/>
              <w:jc w:val="left"/>
              <w:textAlignment w:val="center"/>
              <w:rPr>
                <w:highlight w:val="none"/>
              </w:rPr>
            </w:pPr>
          </w:p>
        </w:tc>
        <w:tc>
          <w:tcPr>
            <w:tcW w:w="1005" w:type="dxa"/>
            <w:vAlign w:val="center"/>
          </w:tcPr>
          <w:p>
            <w:pPr>
              <w:widowControl/>
              <w:spacing w:line="260" w:lineRule="exact"/>
              <w:jc w:val="center"/>
              <w:textAlignment w:val="center"/>
              <w:rPr>
                <w:highlight w:val="none"/>
              </w:rPr>
            </w:pPr>
          </w:p>
        </w:tc>
        <w:tc>
          <w:tcPr>
            <w:tcW w:w="1114" w:type="dxa"/>
            <w:vAlign w:val="center"/>
          </w:tcPr>
          <w:p>
            <w:pPr>
              <w:widowControl/>
              <w:spacing w:line="260" w:lineRule="exact"/>
              <w:jc w:val="center"/>
              <w:textAlignment w:val="center"/>
              <w:rPr>
                <w:rFonts w:ascii="宋体" w:hAnsi="宋体" w:cs="宋体"/>
                <w:color w:val="FF0000"/>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7" w:hRule="atLeast"/>
        </w:trPr>
        <w:tc>
          <w:tcPr>
            <w:tcW w:w="687" w:type="dxa"/>
            <w:vMerge w:val="restart"/>
            <w:vAlign w:val="center"/>
          </w:tcPr>
          <w:p>
            <w:pPr>
              <w:jc w:val="center"/>
              <w:rPr>
                <w:rFonts w:asciiTheme="minorEastAsia" w:hAnsiTheme="minorEastAsia" w:eastAsiaTheme="minorEastAsia" w:cstheme="minorEastAsia"/>
                <w:spacing w:val="-6"/>
                <w:szCs w:val="21"/>
                <w:highlight w:val="none"/>
              </w:rPr>
            </w:pPr>
          </w:p>
        </w:tc>
        <w:tc>
          <w:tcPr>
            <w:tcW w:w="1285" w:type="dxa"/>
            <w:vAlign w:val="center"/>
          </w:tcPr>
          <w:p>
            <w:pPr>
              <w:rPr>
                <w:rFonts w:asciiTheme="minorEastAsia" w:hAnsiTheme="minorEastAsia" w:eastAsiaTheme="minorEastAsia" w:cstheme="minorEastAsia"/>
                <w:spacing w:val="-6"/>
                <w:kern w:val="0"/>
                <w:szCs w:val="21"/>
                <w:highlight w:val="none"/>
              </w:rPr>
            </w:pPr>
          </w:p>
        </w:tc>
        <w:tc>
          <w:tcPr>
            <w:tcW w:w="5197" w:type="dxa"/>
            <w:vAlign w:val="center"/>
          </w:tcPr>
          <w:p>
            <w:pPr>
              <w:rPr>
                <w:rFonts w:asciiTheme="minorEastAsia" w:hAnsiTheme="minorEastAsia" w:eastAsiaTheme="minorEastAsia" w:cstheme="minorEastAsia"/>
                <w:spacing w:val="-6"/>
                <w:szCs w:val="21"/>
                <w:highlight w:val="none"/>
              </w:rPr>
            </w:pPr>
          </w:p>
        </w:tc>
        <w:tc>
          <w:tcPr>
            <w:tcW w:w="1005" w:type="dxa"/>
            <w:vAlign w:val="center"/>
          </w:tcPr>
          <w:p>
            <w:pPr>
              <w:rPr>
                <w:rFonts w:asciiTheme="minorEastAsia" w:hAnsiTheme="minorEastAsia" w:eastAsiaTheme="minorEastAsia" w:cstheme="minorEastAsia"/>
                <w:spacing w:val="-6"/>
                <w:szCs w:val="21"/>
                <w:highlight w:val="none"/>
              </w:rPr>
            </w:pPr>
          </w:p>
        </w:tc>
        <w:tc>
          <w:tcPr>
            <w:tcW w:w="1114" w:type="dxa"/>
            <w:vAlign w:val="center"/>
          </w:tcPr>
          <w:p>
            <w:pPr>
              <w:rPr>
                <w:rFonts w:asciiTheme="minorEastAsia" w:hAnsiTheme="minorEastAsia" w:eastAsiaTheme="minorEastAsia" w:cstheme="minorEastAsia"/>
                <w:spacing w:val="-6"/>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807" w:hRule="atLeast"/>
        </w:trPr>
        <w:tc>
          <w:tcPr>
            <w:tcW w:w="687" w:type="dxa"/>
            <w:vMerge w:val="continue"/>
            <w:vAlign w:val="center"/>
          </w:tcPr>
          <w:p>
            <w:pPr>
              <w:rPr>
                <w:rFonts w:asciiTheme="minorEastAsia" w:hAnsiTheme="minorEastAsia" w:eastAsiaTheme="minorEastAsia" w:cstheme="minorEastAsia"/>
                <w:szCs w:val="21"/>
                <w:highlight w:val="none"/>
              </w:rPr>
            </w:pPr>
          </w:p>
        </w:tc>
        <w:tc>
          <w:tcPr>
            <w:tcW w:w="1285" w:type="dxa"/>
            <w:vAlign w:val="center"/>
          </w:tcPr>
          <w:p>
            <w:pPr>
              <w:rPr>
                <w:rFonts w:asciiTheme="minorEastAsia" w:hAnsiTheme="minorEastAsia" w:eastAsiaTheme="minorEastAsia" w:cstheme="minorEastAsia"/>
                <w:spacing w:val="-6"/>
                <w:kern w:val="0"/>
                <w:szCs w:val="21"/>
                <w:highlight w:val="none"/>
              </w:rPr>
            </w:pPr>
          </w:p>
        </w:tc>
        <w:tc>
          <w:tcPr>
            <w:tcW w:w="5197" w:type="dxa"/>
            <w:vAlign w:val="center"/>
          </w:tcPr>
          <w:p>
            <w:pPr>
              <w:autoSpaceDE w:val="0"/>
              <w:autoSpaceDN w:val="0"/>
              <w:adjustRightInd w:val="0"/>
              <w:spacing w:line="300" w:lineRule="auto"/>
              <w:ind w:right="71" w:rightChars="34"/>
              <w:rPr>
                <w:rFonts w:asciiTheme="minorEastAsia" w:hAnsiTheme="minorEastAsia" w:eastAsiaTheme="minorEastAsia" w:cstheme="minorEastAsia"/>
                <w:spacing w:val="-6"/>
                <w:kern w:val="0"/>
                <w:szCs w:val="21"/>
                <w:highlight w:val="none"/>
              </w:rPr>
            </w:pPr>
          </w:p>
        </w:tc>
        <w:tc>
          <w:tcPr>
            <w:tcW w:w="1005" w:type="dxa"/>
            <w:vAlign w:val="center"/>
          </w:tcPr>
          <w:p>
            <w:pPr>
              <w:autoSpaceDE w:val="0"/>
              <w:autoSpaceDN w:val="0"/>
              <w:adjustRightInd w:val="0"/>
              <w:spacing w:line="300" w:lineRule="auto"/>
              <w:ind w:right="71" w:rightChars="34"/>
              <w:rPr>
                <w:rFonts w:asciiTheme="minorEastAsia" w:hAnsiTheme="minorEastAsia" w:eastAsiaTheme="minorEastAsia" w:cstheme="minorEastAsia"/>
                <w:spacing w:val="-6"/>
                <w:kern w:val="0"/>
                <w:szCs w:val="21"/>
                <w:highlight w:val="none"/>
              </w:rPr>
            </w:pPr>
          </w:p>
        </w:tc>
        <w:tc>
          <w:tcPr>
            <w:tcW w:w="1114" w:type="dxa"/>
            <w:vAlign w:val="center"/>
          </w:tcPr>
          <w:p>
            <w:pPr>
              <w:autoSpaceDE w:val="0"/>
              <w:autoSpaceDN w:val="0"/>
              <w:adjustRightInd w:val="0"/>
              <w:spacing w:line="300" w:lineRule="auto"/>
              <w:ind w:right="71" w:rightChars="34"/>
              <w:rPr>
                <w:rFonts w:asciiTheme="minorEastAsia" w:hAnsiTheme="minorEastAsia" w:eastAsiaTheme="minorEastAsia" w:cstheme="minorEastAsia"/>
                <w:spacing w:val="-6"/>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7" w:hRule="atLeast"/>
        </w:trPr>
        <w:tc>
          <w:tcPr>
            <w:tcW w:w="687" w:type="dxa"/>
            <w:vMerge w:val="continue"/>
            <w:vAlign w:val="center"/>
          </w:tcPr>
          <w:p>
            <w:pPr>
              <w:rPr>
                <w:rFonts w:asciiTheme="minorEastAsia" w:hAnsiTheme="minorEastAsia" w:eastAsiaTheme="minorEastAsia" w:cstheme="minorEastAsia"/>
                <w:szCs w:val="21"/>
                <w:highlight w:val="none"/>
              </w:rPr>
            </w:pPr>
          </w:p>
        </w:tc>
        <w:tc>
          <w:tcPr>
            <w:tcW w:w="1285" w:type="dxa"/>
            <w:vAlign w:val="center"/>
          </w:tcPr>
          <w:p>
            <w:pPr>
              <w:rPr>
                <w:rFonts w:asciiTheme="minorEastAsia" w:hAnsiTheme="minorEastAsia" w:eastAsiaTheme="minorEastAsia" w:cstheme="minorEastAsia"/>
                <w:color w:val="000000"/>
                <w:spacing w:val="-6"/>
                <w:szCs w:val="21"/>
                <w:highlight w:val="none"/>
              </w:rPr>
            </w:pPr>
          </w:p>
        </w:tc>
        <w:tc>
          <w:tcPr>
            <w:tcW w:w="5197" w:type="dxa"/>
            <w:vAlign w:val="center"/>
          </w:tcPr>
          <w:p>
            <w:pPr>
              <w:autoSpaceDE w:val="0"/>
              <w:autoSpaceDN w:val="0"/>
              <w:adjustRightInd w:val="0"/>
              <w:spacing w:line="300" w:lineRule="auto"/>
              <w:ind w:right="71" w:rightChars="34"/>
              <w:rPr>
                <w:rFonts w:asciiTheme="minorEastAsia" w:hAnsiTheme="minorEastAsia" w:eastAsiaTheme="minorEastAsia" w:cstheme="minorEastAsia"/>
                <w:color w:val="000000"/>
                <w:spacing w:val="-6"/>
                <w:szCs w:val="21"/>
                <w:highlight w:val="none"/>
              </w:rPr>
            </w:pPr>
          </w:p>
        </w:tc>
        <w:tc>
          <w:tcPr>
            <w:tcW w:w="1005" w:type="dxa"/>
            <w:vAlign w:val="center"/>
          </w:tcPr>
          <w:p>
            <w:pPr>
              <w:autoSpaceDE w:val="0"/>
              <w:autoSpaceDN w:val="0"/>
              <w:adjustRightInd w:val="0"/>
              <w:spacing w:line="300" w:lineRule="auto"/>
              <w:ind w:right="71" w:rightChars="34"/>
              <w:rPr>
                <w:rFonts w:asciiTheme="minorEastAsia" w:hAnsiTheme="minorEastAsia" w:eastAsiaTheme="minorEastAsia" w:cstheme="minorEastAsia"/>
                <w:color w:val="000000"/>
                <w:spacing w:val="-6"/>
                <w:szCs w:val="21"/>
                <w:highlight w:val="none"/>
              </w:rPr>
            </w:pPr>
          </w:p>
        </w:tc>
        <w:tc>
          <w:tcPr>
            <w:tcW w:w="1114" w:type="dxa"/>
            <w:vAlign w:val="center"/>
          </w:tcPr>
          <w:p>
            <w:pPr>
              <w:autoSpaceDE w:val="0"/>
              <w:autoSpaceDN w:val="0"/>
              <w:adjustRightInd w:val="0"/>
              <w:spacing w:line="300" w:lineRule="auto"/>
              <w:ind w:right="71" w:rightChars="34"/>
              <w:rPr>
                <w:rFonts w:asciiTheme="minorEastAsia" w:hAnsiTheme="minorEastAsia" w:eastAsiaTheme="minorEastAsia" w:cstheme="minorEastAsia"/>
                <w:color w:val="000000"/>
                <w:spacing w:val="-6"/>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7" w:hRule="atLeast"/>
        </w:trPr>
        <w:tc>
          <w:tcPr>
            <w:tcW w:w="687" w:type="dxa"/>
            <w:vMerge w:val="continue"/>
            <w:vAlign w:val="center"/>
          </w:tcPr>
          <w:p>
            <w:pPr>
              <w:rPr>
                <w:rFonts w:asciiTheme="minorEastAsia" w:hAnsiTheme="minorEastAsia" w:eastAsiaTheme="minorEastAsia" w:cstheme="minorEastAsia"/>
                <w:szCs w:val="21"/>
                <w:highlight w:val="none"/>
              </w:rPr>
            </w:pPr>
          </w:p>
        </w:tc>
        <w:tc>
          <w:tcPr>
            <w:tcW w:w="1285" w:type="dxa"/>
            <w:tcBorders>
              <w:bottom w:val="single" w:color="auto" w:sz="4" w:space="0"/>
            </w:tcBorders>
            <w:vAlign w:val="center"/>
          </w:tcPr>
          <w:p>
            <w:pPr>
              <w:rPr>
                <w:rFonts w:asciiTheme="minorEastAsia" w:hAnsiTheme="minorEastAsia" w:eastAsiaTheme="minorEastAsia" w:cstheme="minorEastAsia"/>
                <w:spacing w:val="-6"/>
                <w:kern w:val="0"/>
                <w:szCs w:val="21"/>
                <w:highlight w:val="none"/>
              </w:rPr>
            </w:pPr>
          </w:p>
        </w:tc>
        <w:tc>
          <w:tcPr>
            <w:tcW w:w="5197" w:type="dxa"/>
            <w:tcBorders>
              <w:bottom w:val="single" w:color="auto" w:sz="4" w:space="0"/>
            </w:tcBorders>
            <w:vAlign w:val="center"/>
          </w:tcPr>
          <w:p>
            <w:pPr>
              <w:autoSpaceDE w:val="0"/>
              <w:autoSpaceDN w:val="0"/>
              <w:adjustRightInd w:val="0"/>
              <w:spacing w:line="300" w:lineRule="auto"/>
              <w:ind w:right="71" w:rightChars="34"/>
              <w:rPr>
                <w:rFonts w:asciiTheme="minorEastAsia" w:hAnsiTheme="minorEastAsia" w:eastAsiaTheme="minorEastAsia" w:cstheme="minorEastAsia"/>
                <w:spacing w:val="-6"/>
                <w:kern w:val="0"/>
                <w:szCs w:val="21"/>
                <w:highlight w:val="none"/>
              </w:rPr>
            </w:pPr>
          </w:p>
        </w:tc>
        <w:tc>
          <w:tcPr>
            <w:tcW w:w="1005" w:type="dxa"/>
            <w:tcBorders>
              <w:bottom w:val="single" w:color="auto" w:sz="4" w:space="0"/>
            </w:tcBorders>
            <w:vAlign w:val="center"/>
          </w:tcPr>
          <w:p>
            <w:pPr>
              <w:autoSpaceDE w:val="0"/>
              <w:autoSpaceDN w:val="0"/>
              <w:adjustRightInd w:val="0"/>
              <w:spacing w:line="300" w:lineRule="auto"/>
              <w:ind w:right="71" w:rightChars="34"/>
              <w:rPr>
                <w:rFonts w:asciiTheme="minorEastAsia" w:hAnsiTheme="minorEastAsia" w:eastAsiaTheme="minorEastAsia" w:cstheme="minorEastAsia"/>
                <w:spacing w:val="-6"/>
                <w:kern w:val="0"/>
                <w:szCs w:val="21"/>
                <w:highlight w:val="none"/>
              </w:rPr>
            </w:pPr>
          </w:p>
        </w:tc>
        <w:tc>
          <w:tcPr>
            <w:tcW w:w="1114" w:type="dxa"/>
            <w:tcBorders>
              <w:bottom w:val="single" w:color="auto" w:sz="4" w:space="0"/>
            </w:tcBorders>
            <w:vAlign w:val="center"/>
          </w:tcPr>
          <w:p>
            <w:pPr>
              <w:autoSpaceDE w:val="0"/>
              <w:autoSpaceDN w:val="0"/>
              <w:adjustRightInd w:val="0"/>
              <w:spacing w:line="300" w:lineRule="auto"/>
              <w:ind w:right="71" w:rightChars="34"/>
              <w:rPr>
                <w:rFonts w:asciiTheme="minorEastAsia" w:hAnsiTheme="minorEastAsia" w:eastAsiaTheme="minorEastAsia" w:cstheme="minorEastAsia"/>
                <w:spacing w:val="-6"/>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807" w:hRule="atLeast"/>
        </w:trPr>
        <w:tc>
          <w:tcPr>
            <w:tcW w:w="687" w:type="dxa"/>
            <w:vMerge w:val="continue"/>
            <w:vAlign w:val="center"/>
          </w:tcPr>
          <w:p>
            <w:pPr>
              <w:rPr>
                <w:rFonts w:asciiTheme="minorEastAsia" w:hAnsiTheme="minorEastAsia" w:eastAsiaTheme="minorEastAsia" w:cstheme="minorEastAsia"/>
                <w:szCs w:val="21"/>
                <w:highlight w:val="none"/>
              </w:rPr>
            </w:pPr>
          </w:p>
        </w:tc>
        <w:tc>
          <w:tcPr>
            <w:tcW w:w="1285" w:type="dxa"/>
            <w:tcBorders>
              <w:top w:val="single" w:color="auto" w:sz="4" w:space="0"/>
            </w:tcBorders>
            <w:vAlign w:val="center"/>
          </w:tcPr>
          <w:p>
            <w:pPr>
              <w:rPr>
                <w:rFonts w:asciiTheme="minorEastAsia" w:hAnsiTheme="minorEastAsia" w:eastAsiaTheme="minorEastAsia" w:cstheme="minorEastAsia"/>
                <w:spacing w:val="-6"/>
                <w:kern w:val="0"/>
                <w:szCs w:val="21"/>
                <w:highlight w:val="none"/>
              </w:rPr>
            </w:pPr>
          </w:p>
        </w:tc>
        <w:tc>
          <w:tcPr>
            <w:tcW w:w="5197" w:type="dxa"/>
            <w:tcBorders>
              <w:top w:val="single" w:color="auto" w:sz="4" w:space="0"/>
            </w:tcBorders>
            <w:vAlign w:val="center"/>
          </w:tcPr>
          <w:p>
            <w:pPr>
              <w:autoSpaceDE w:val="0"/>
              <w:autoSpaceDN w:val="0"/>
              <w:adjustRightInd w:val="0"/>
              <w:spacing w:line="300" w:lineRule="auto"/>
              <w:ind w:right="71" w:rightChars="34"/>
              <w:rPr>
                <w:rFonts w:asciiTheme="minorEastAsia" w:hAnsiTheme="minorEastAsia" w:eastAsiaTheme="minorEastAsia" w:cstheme="minorEastAsia"/>
                <w:spacing w:val="-6"/>
                <w:kern w:val="0"/>
                <w:szCs w:val="21"/>
                <w:highlight w:val="none"/>
              </w:rPr>
            </w:pPr>
          </w:p>
        </w:tc>
        <w:tc>
          <w:tcPr>
            <w:tcW w:w="1005" w:type="dxa"/>
            <w:tcBorders>
              <w:top w:val="single" w:color="auto" w:sz="4" w:space="0"/>
            </w:tcBorders>
            <w:vAlign w:val="center"/>
          </w:tcPr>
          <w:p>
            <w:pPr>
              <w:autoSpaceDE w:val="0"/>
              <w:autoSpaceDN w:val="0"/>
              <w:adjustRightInd w:val="0"/>
              <w:spacing w:line="300" w:lineRule="auto"/>
              <w:ind w:right="71" w:rightChars="34"/>
              <w:rPr>
                <w:rFonts w:asciiTheme="minorEastAsia" w:hAnsiTheme="minorEastAsia" w:eastAsiaTheme="minorEastAsia" w:cstheme="minorEastAsia"/>
                <w:spacing w:val="-6"/>
                <w:kern w:val="0"/>
                <w:szCs w:val="21"/>
                <w:highlight w:val="none"/>
              </w:rPr>
            </w:pPr>
          </w:p>
        </w:tc>
        <w:tc>
          <w:tcPr>
            <w:tcW w:w="1114" w:type="dxa"/>
            <w:tcBorders>
              <w:top w:val="single" w:color="auto" w:sz="4" w:space="0"/>
            </w:tcBorders>
            <w:vAlign w:val="center"/>
          </w:tcPr>
          <w:p>
            <w:pPr>
              <w:autoSpaceDE w:val="0"/>
              <w:autoSpaceDN w:val="0"/>
              <w:adjustRightInd w:val="0"/>
              <w:spacing w:line="300" w:lineRule="auto"/>
              <w:ind w:right="71" w:rightChars="34"/>
              <w:rPr>
                <w:rFonts w:asciiTheme="minorEastAsia" w:hAnsiTheme="minorEastAsia" w:eastAsiaTheme="minorEastAsia" w:cstheme="minorEastAsia"/>
                <w:spacing w:val="-6"/>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7" w:hRule="atLeast"/>
        </w:trPr>
        <w:tc>
          <w:tcPr>
            <w:tcW w:w="687" w:type="dxa"/>
            <w:vMerge w:val="restart"/>
            <w:vAlign w:val="center"/>
          </w:tcPr>
          <w:p>
            <w:pPr>
              <w:jc w:val="center"/>
              <w:rPr>
                <w:rFonts w:asciiTheme="minorEastAsia" w:hAnsiTheme="minorEastAsia" w:eastAsiaTheme="minorEastAsia" w:cstheme="minorEastAsia"/>
                <w:spacing w:val="-6"/>
                <w:szCs w:val="21"/>
                <w:highlight w:val="none"/>
              </w:rPr>
            </w:pPr>
          </w:p>
        </w:tc>
        <w:tc>
          <w:tcPr>
            <w:tcW w:w="1285" w:type="dxa"/>
            <w:vAlign w:val="center"/>
          </w:tcPr>
          <w:p>
            <w:pPr>
              <w:rPr>
                <w:rFonts w:asciiTheme="minorEastAsia" w:hAnsiTheme="minorEastAsia" w:eastAsiaTheme="minorEastAsia" w:cstheme="minorEastAsia"/>
                <w:spacing w:val="-6"/>
                <w:szCs w:val="21"/>
                <w:highlight w:val="none"/>
              </w:rPr>
            </w:pPr>
          </w:p>
        </w:tc>
        <w:tc>
          <w:tcPr>
            <w:tcW w:w="5197" w:type="dxa"/>
            <w:vAlign w:val="center"/>
          </w:tcPr>
          <w:p>
            <w:pPr>
              <w:ind w:left="-4" w:leftChars="-2" w:firstLine="1" w:firstLineChars="1"/>
              <w:rPr>
                <w:rFonts w:asciiTheme="minorEastAsia" w:hAnsiTheme="minorEastAsia" w:eastAsiaTheme="minorEastAsia" w:cstheme="minorEastAsia"/>
                <w:spacing w:val="-6"/>
                <w:szCs w:val="21"/>
                <w:highlight w:val="none"/>
              </w:rPr>
            </w:pPr>
          </w:p>
        </w:tc>
        <w:tc>
          <w:tcPr>
            <w:tcW w:w="1005" w:type="dxa"/>
            <w:vAlign w:val="center"/>
          </w:tcPr>
          <w:p>
            <w:pPr>
              <w:ind w:left="-4" w:leftChars="-2" w:firstLine="1" w:firstLineChars="1"/>
              <w:rPr>
                <w:rFonts w:asciiTheme="minorEastAsia" w:hAnsiTheme="minorEastAsia" w:eastAsiaTheme="minorEastAsia" w:cstheme="minorEastAsia"/>
                <w:spacing w:val="-6"/>
                <w:szCs w:val="21"/>
                <w:highlight w:val="none"/>
              </w:rPr>
            </w:pPr>
          </w:p>
        </w:tc>
        <w:tc>
          <w:tcPr>
            <w:tcW w:w="1114" w:type="dxa"/>
            <w:vAlign w:val="center"/>
          </w:tcPr>
          <w:p>
            <w:pPr>
              <w:ind w:left="-4" w:leftChars="-2" w:firstLine="1" w:firstLineChars="1"/>
              <w:rPr>
                <w:rFonts w:asciiTheme="minorEastAsia" w:hAnsiTheme="minorEastAsia" w:eastAsiaTheme="minorEastAsia" w:cstheme="minorEastAsia"/>
                <w:spacing w:val="-6"/>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7" w:hRule="atLeast"/>
        </w:trPr>
        <w:tc>
          <w:tcPr>
            <w:tcW w:w="687" w:type="dxa"/>
            <w:vMerge w:val="continue"/>
            <w:vAlign w:val="center"/>
          </w:tcPr>
          <w:p>
            <w:pPr>
              <w:ind w:left="-4" w:leftChars="-2" w:firstLine="2" w:firstLineChars="1"/>
              <w:rPr>
                <w:rFonts w:asciiTheme="minorEastAsia" w:hAnsiTheme="minorEastAsia" w:eastAsiaTheme="minorEastAsia" w:cstheme="minorEastAsia"/>
                <w:szCs w:val="21"/>
                <w:highlight w:val="none"/>
              </w:rPr>
            </w:pPr>
          </w:p>
        </w:tc>
        <w:tc>
          <w:tcPr>
            <w:tcW w:w="1285" w:type="dxa"/>
            <w:vAlign w:val="center"/>
          </w:tcPr>
          <w:p>
            <w:pPr>
              <w:ind w:left="-4" w:leftChars="-2" w:firstLine="2" w:firstLineChars="1"/>
              <w:rPr>
                <w:rFonts w:asciiTheme="minorEastAsia" w:hAnsiTheme="minorEastAsia" w:eastAsiaTheme="minorEastAsia" w:cstheme="minorEastAsia"/>
                <w:szCs w:val="21"/>
                <w:highlight w:val="none"/>
              </w:rPr>
            </w:pPr>
          </w:p>
        </w:tc>
        <w:tc>
          <w:tcPr>
            <w:tcW w:w="5197" w:type="dxa"/>
            <w:vAlign w:val="center"/>
          </w:tcPr>
          <w:p>
            <w:pPr>
              <w:ind w:left="-4" w:leftChars="-2" w:firstLine="2" w:firstLineChars="1"/>
              <w:rPr>
                <w:rFonts w:asciiTheme="minorEastAsia" w:hAnsiTheme="minorEastAsia" w:eastAsiaTheme="minorEastAsia" w:cstheme="minorEastAsia"/>
                <w:szCs w:val="21"/>
                <w:highlight w:val="none"/>
              </w:rPr>
            </w:pPr>
          </w:p>
        </w:tc>
        <w:tc>
          <w:tcPr>
            <w:tcW w:w="1005" w:type="dxa"/>
            <w:vAlign w:val="center"/>
          </w:tcPr>
          <w:p>
            <w:pPr>
              <w:ind w:left="-4" w:leftChars="-2" w:firstLine="2" w:firstLineChars="1"/>
              <w:rPr>
                <w:rFonts w:asciiTheme="minorEastAsia" w:hAnsiTheme="minorEastAsia" w:eastAsiaTheme="minorEastAsia" w:cstheme="minorEastAsia"/>
                <w:szCs w:val="21"/>
                <w:highlight w:val="none"/>
              </w:rPr>
            </w:pPr>
          </w:p>
        </w:tc>
        <w:tc>
          <w:tcPr>
            <w:tcW w:w="1114" w:type="dxa"/>
            <w:vAlign w:val="center"/>
          </w:tcPr>
          <w:p>
            <w:pPr>
              <w:ind w:left="-4" w:leftChars="-2" w:firstLine="2" w:firstLineChars="1"/>
              <w:rPr>
                <w:rFonts w:asciiTheme="minorEastAsia" w:hAnsiTheme="minorEastAsia" w:eastAsiaTheme="minorEastAsia" w:cstheme="minorEastAsia"/>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7" w:hRule="atLeast"/>
        </w:trPr>
        <w:tc>
          <w:tcPr>
            <w:tcW w:w="687" w:type="dxa"/>
            <w:vMerge w:val="continue"/>
            <w:vAlign w:val="center"/>
          </w:tcPr>
          <w:p>
            <w:pPr>
              <w:rPr>
                <w:rFonts w:asciiTheme="minorEastAsia" w:hAnsiTheme="minorEastAsia" w:eastAsiaTheme="minorEastAsia" w:cstheme="minorEastAsia"/>
                <w:szCs w:val="21"/>
                <w:highlight w:val="none"/>
              </w:rPr>
            </w:pPr>
          </w:p>
        </w:tc>
        <w:tc>
          <w:tcPr>
            <w:tcW w:w="1285" w:type="dxa"/>
            <w:vAlign w:val="center"/>
          </w:tcPr>
          <w:p>
            <w:pPr>
              <w:rPr>
                <w:rFonts w:asciiTheme="minorEastAsia" w:hAnsiTheme="minorEastAsia" w:eastAsiaTheme="minorEastAsia" w:cstheme="minorEastAsia"/>
                <w:spacing w:val="-6"/>
                <w:kern w:val="0"/>
                <w:szCs w:val="21"/>
                <w:highlight w:val="none"/>
              </w:rPr>
            </w:pPr>
          </w:p>
        </w:tc>
        <w:tc>
          <w:tcPr>
            <w:tcW w:w="5197" w:type="dxa"/>
            <w:vAlign w:val="center"/>
          </w:tcPr>
          <w:p>
            <w:pPr>
              <w:autoSpaceDE w:val="0"/>
              <w:autoSpaceDN w:val="0"/>
              <w:adjustRightInd w:val="0"/>
              <w:rPr>
                <w:rFonts w:asciiTheme="minorEastAsia" w:hAnsiTheme="minorEastAsia" w:eastAsiaTheme="minorEastAsia" w:cstheme="minorEastAsia"/>
                <w:spacing w:val="-6"/>
                <w:kern w:val="0"/>
                <w:szCs w:val="21"/>
                <w:highlight w:val="none"/>
              </w:rPr>
            </w:pPr>
          </w:p>
        </w:tc>
        <w:tc>
          <w:tcPr>
            <w:tcW w:w="1005" w:type="dxa"/>
            <w:vAlign w:val="center"/>
          </w:tcPr>
          <w:p>
            <w:pPr>
              <w:autoSpaceDE w:val="0"/>
              <w:autoSpaceDN w:val="0"/>
              <w:adjustRightInd w:val="0"/>
              <w:rPr>
                <w:rFonts w:asciiTheme="minorEastAsia" w:hAnsiTheme="minorEastAsia" w:eastAsiaTheme="minorEastAsia" w:cstheme="minorEastAsia"/>
                <w:spacing w:val="-6"/>
                <w:kern w:val="0"/>
                <w:szCs w:val="21"/>
                <w:highlight w:val="none"/>
              </w:rPr>
            </w:pPr>
          </w:p>
        </w:tc>
        <w:tc>
          <w:tcPr>
            <w:tcW w:w="1114" w:type="dxa"/>
            <w:vAlign w:val="center"/>
          </w:tcPr>
          <w:p>
            <w:pPr>
              <w:autoSpaceDE w:val="0"/>
              <w:autoSpaceDN w:val="0"/>
              <w:adjustRightInd w:val="0"/>
              <w:rPr>
                <w:rFonts w:asciiTheme="minorEastAsia" w:hAnsiTheme="minorEastAsia" w:eastAsiaTheme="minorEastAsia" w:cstheme="minorEastAsia"/>
                <w:spacing w:val="-6"/>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7" w:hRule="atLeast"/>
        </w:trPr>
        <w:tc>
          <w:tcPr>
            <w:tcW w:w="687" w:type="dxa"/>
            <w:vMerge w:val="continue"/>
            <w:vAlign w:val="center"/>
          </w:tcPr>
          <w:p>
            <w:pPr>
              <w:rPr>
                <w:rFonts w:asciiTheme="minorEastAsia" w:hAnsiTheme="minorEastAsia" w:eastAsiaTheme="minorEastAsia" w:cstheme="minorEastAsia"/>
                <w:szCs w:val="21"/>
                <w:highlight w:val="none"/>
              </w:rPr>
            </w:pPr>
          </w:p>
        </w:tc>
        <w:tc>
          <w:tcPr>
            <w:tcW w:w="1285" w:type="dxa"/>
            <w:vAlign w:val="center"/>
          </w:tcPr>
          <w:p>
            <w:pPr>
              <w:rPr>
                <w:rFonts w:asciiTheme="minorEastAsia" w:hAnsiTheme="minorEastAsia" w:eastAsiaTheme="minorEastAsia" w:cstheme="minorEastAsia"/>
                <w:spacing w:val="-6"/>
                <w:szCs w:val="21"/>
                <w:highlight w:val="none"/>
              </w:rPr>
            </w:pPr>
          </w:p>
        </w:tc>
        <w:tc>
          <w:tcPr>
            <w:tcW w:w="5197" w:type="dxa"/>
            <w:vAlign w:val="center"/>
          </w:tcPr>
          <w:p>
            <w:pPr>
              <w:ind w:left="-4" w:leftChars="-2" w:firstLine="1" w:firstLineChars="1"/>
              <w:rPr>
                <w:rFonts w:asciiTheme="minorEastAsia" w:hAnsiTheme="minorEastAsia" w:eastAsiaTheme="minorEastAsia" w:cstheme="minorEastAsia"/>
                <w:spacing w:val="-6"/>
                <w:szCs w:val="21"/>
                <w:highlight w:val="none"/>
              </w:rPr>
            </w:pPr>
          </w:p>
        </w:tc>
        <w:tc>
          <w:tcPr>
            <w:tcW w:w="1005" w:type="dxa"/>
            <w:vAlign w:val="center"/>
          </w:tcPr>
          <w:p>
            <w:pPr>
              <w:ind w:left="-4" w:leftChars="-2" w:firstLine="1" w:firstLineChars="1"/>
              <w:rPr>
                <w:rFonts w:asciiTheme="minorEastAsia" w:hAnsiTheme="minorEastAsia" w:eastAsiaTheme="minorEastAsia" w:cstheme="minorEastAsia"/>
                <w:spacing w:val="-6"/>
                <w:szCs w:val="21"/>
                <w:highlight w:val="none"/>
              </w:rPr>
            </w:pPr>
          </w:p>
        </w:tc>
        <w:tc>
          <w:tcPr>
            <w:tcW w:w="1114" w:type="dxa"/>
            <w:vAlign w:val="center"/>
          </w:tcPr>
          <w:p>
            <w:pPr>
              <w:ind w:left="-4" w:leftChars="-2" w:firstLine="1" w:firstLineChars="1"/>
              <w:rPr>
                <w:rFonts w:asciiTheme="minorEastAsia" w:hAnsiTheme="minorEastAsia" w:eastAsiaTheme="minorEastAsia" w:cstheme="minorEastAsia"/>
                <w:spacing w:val="-6"/>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7" w:hRule="atLeast"/>
        </w:trPr>
        <w:tc>
          <w:tcPr>
            <w:tcW w:w="687" w:type="dxa"/>
            <w:vMerge w:val="continue"/>
            <w:vAlign w:val="center"/>
          </w:tcPr>
          <w:p>
            <w:pPr>
              <w:rPr>
                <w:rFonts w:asciiTheme="minorEastAsia" w:hAnsiTheme="minorEastAsia" w:eastAsiaTheme="minorEastAsia" w:cstheme="minorEastAsia"/>
                <w:szCs w:val="21"/>
                <w:highlight w:val="none"/>
              </w:rPr>
            </w:pPr>
          </w:p>
        </w:tc>
        <w:tc>
          <w:tcPr>
            <w:tcW w:w="1285" w:type="dxa"/>
            <w:vAlign w:val="center"/>
          </w:tcPr>
          <w:p>
            <w:pPr>
              <w:rPr>
                <w:rFonts w:asciiTheme="minorEastAsia" w:hAnsiTheme="minorEastAsia" w:eastAsiaTheme="minorEastAsia" w:cstheme="minorEastAsia"/>
                <w:spacing w:val="-6"/>
                <w:szCs w:val="21"/>
                <w:highlight w:val="none"/>
              </w:rPr>
            </w:pPr>
          </w:p>
        </w:tc>
        <w:tc>
          <w:tcPr>
            <w:tcW w:w="5197" w:type="dxa"/>
            <w:vAlign w:val="center"/>
          </w:tcPr>
          <w:p>
            <w:pPr>
              <w:rPr>
                <w:rFonts w:asciiTheme="minorEastAsia" w:hAnsiTheme="minorEastAsia" w:eastAsiaTheme="minorEastAsia" w:cstheme="minorEastAsia"/>
                <w:spacing w:val="-6"/>
                <w:szCs w:val="21"/>
                <w:highlight w:val="none"/>
              </w:rPr>
            </w:pPr>
          </w:p>
        </w:tc>
        <w:tc>
          <w:tcPr>
            <w:tcW w:w="1005" w:type="dxa"/>
            <w:vAlign w:val="center"/>
          </w:tcPr>
          <w:p>
            <w:pPr>
              <w:rPr>
                <w:rFonts w:asciiTheme="minorEastAsia" w:hAnsiTheme="minorEastAsia" w:eastAsiaTheme="minorEastAsia" w:cstheme="minorEastAsia"/>
                <w:spacing w:val="-6"/>
                <w:szCs w:val="21"/>
                <w:highlight w:val="none"/>
              </w:rPr>
            </w:pPr>
          </w:p>
        </w:tc>
        <w:tc>
          <w:tcPr>
            <w:tcW w:w="1114" w:type="dxa"/>
            <w:vAlign w:val="center"/>
          </w:tcPr>
          <w:p>
            <w:pPr>
              <w:rPr>
                <w:rFonts w:asciiTheme="minorEastAsia" w:hAnsiTheme="minorEastAsia" w:eastAsiaTheme="minorEastAsia" w:cstheme="minorEastAsia"/>
                <w:spacing w:val="-6"/>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7" w:hRule="atLeast"/>
        </w:trPr>
        <w:tc>
          <w:tcPr>
            <w:tcW w:w="687" w:type="dxa"/>
            <w:vMerge w:val="continue"/>
            <w:vAlign w:val="center"/>
          </w:tcPr>
          <w:p>
            <w:pPr>
              <w:rPr>
                <w:rFonts w:asciiTheme="minorEastAsia" w:hAnsiTheme="minorEastAsia" w:eastAsiaTheme="minorEastAsia" w:cstheme="minorEastAsia"/>
                <w:szCs w:val="21"/>
                <w:highlight w:val="none"/>
              </w:rPr>
            </w:pPr>
          </w:p>
        </w:tc>
        <w:tc>
          <w:tcPr>
            <w:tcW w:w="1285" w:type="dxa"/>
            <w:vAlign w:val="center"/>
          </w:tcPr>
          <w:p>
            <w:pPr>
              <w:rPr>
                <w:rFonts w:asciiTheme="minorEastAsia" w:hAnsiTheme="minorEastAsia" w:eastAsiaTheme="minorEastAsia" w:cstheme="minorEastAsia"/>
                <w:spacing w:val="-6"/>
                <w:szCs w:val="21"/>
                <w:highlight w:val="none"/>
              </w:rPr>
            </w:pPr>
          </w:p>
        </w:tc>
        <w:tc>
          <w:tcPr>
            <w:tcW w:w="5197" w:type="dxa"/>
            <w:vAlign w:val="center"/>
          </w:tcPr>
          <w:p>
            <w:pPr>
              <w:rPr>
                <w:rFonts w:asciiTheme="minorEastAsia" w:hAnsiTheme="minorEastAsia" w:eastAsiaTheme="minorEastAsia" w:cstheme="minorEastAsia"/>
                <w:spacing w:val="-6"/>
                <w:szCs w:val="21"/>
                <w:highlight w:val="none"/>
              </w:rPr>
            </w:pPr>
          </w:p>
        </w:tc>
        <w:tc>
          <w:tcPr>
            <w:tcW w:w="1005" w:type="dxa"/>
            <w:vAlign w:val="center"/>
          </w:tcPr>
          <w:p>
            <w:pPr>
              <w:rPr>
                <w:rFonts w:asciiTheme="minorEastAsia" w:hAnsiTheme="minorEastAsia" w:eastAsiaTheme="minorEastAsia" w:cstheme="minorEastAsia"/>
                <w:spacing w:val="-6"/>
                <w:szCs w:val="21"/>
                <w:highlight w:val="none"/>
              </w:rPr>
            </w:pPr>
          </w:p>
        </w:tc>
        <w:tc>
          <w:tcPr>
            <w:tcW w:w="1114" w:type="dxa"/>
            <w:vAlign w:val="center"/>
          </w:tcPr>
          <w:p>
            <w:pPr>
              <w:rPr>
                <w:rFonts w:asciiTheme="minorEastAsia" w:hAnsiTheme="minorEastAsia" w:eastAsiaTheme="minorEastAsia" w:cstheme="minorEastAsia"/>
                <w:spacing w:val="-6"/>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807" w:hRule="atLeast"/>
        </w:trPr>
        <w:tc>
          <w:tcPr>
            <w:tcW w:w="687" w:type="dxa"/>
            <w:vAlign w:val="center"/>
          </w:tcPr>
          <w:p>
            <w:pPr>
              <w:jc w:val="center"/>
              <w:rPr>
                <w:rFonts w:asciiTheme="minorEastAsia" w:hAnsiTheme="minorEastAsia" w:eastAsiaTheme="minorEastAsia" w:cstheme="minorEastAsia"/>
                <w:szCs w:val="21"/>
                <w:highlight w:val="none"/>
              </w:rPr>
            </w:pPr>
          </w:p>
        </w:tc>
        <w:tc>
          <w:tcPr>
            <w:tcW w:w="7487" w:type="dxa"/>
            <w:gridSpan w:val="3"/>
            <w:vAlign w:val="center"/>
          </w:tcPr>
          <w:p>
            <w:pPr>
              <w:jc w:val="center"/>
              <w:rPr>
                <w:rFonts w:asciiTheme="minorEastAsia" w:hAnsiTheme="minorEastAsia" w:eastAsiaTheme="minorEastAsia" w:cstheme="minorEastAsia"/>
                <w:spacing w:val="-6"/>
                <w:szCs w:val="21"/>
                <w:highlight w:val="none"/>
              </w:rPr>
            </w:pPr>
          </w:p>
        </w:tc>
        <w:tc>
          <w:tcPr>
            <w:tcW w:w="1114" w:type="dxa"/>
            <w:vAlign w:val="center"/>
          </w:tcPr>
          <w:p>
            <w:pPr>
              <w:jc w:val="center"/>
              <w:rPr>
                <w:rFonts w:asciiTheme="minorEastAsia" w:hAnsiTheme="minorEastAsia" w:eastAsiaTheme="minorEastAsia" w:cstheme="minorEastAsia"/>
                <w:spacing w:val="-6"/>
                <w:szCs w:val="21"/>
                <w:highlight w:val="none"/>
              </w:rPr>
            </w:pPr>
          </w:p>
        </w:tc>
      </w:tr>
    </w:tbl>
    <w:p>
      <w:pPr>
        <w:adjustRightInd w:val="0"/>
        <w:snapToGrid w:val="0"/>
        <w:spacing w:line="480" w:lineRule="auto"/>
        <w:rPr>
          <w:rFonts w:hint="eastAsia" w:asciiTheme="minorEastAsia" w:hAnsiTheme="minorEastAsia" w:eastAsiaTheme="minorEastAsia" w:cstheme="minorEastAsia"/>
          <w:szCs w:val="21"/>
          <w:highlight w:val="none"/>
          <w:lang w:eastAsia="zh-CN"/>
        </w:rPr>
      </w:pPr>
    </w:p>
    <w:p>
      <w:pPr>
        <w:pStyle w:val="7"/>
        <w:rPr>
          <w:rFonts w:hint="eastAsia"/>
          <w:highlight w:val="none"/>
          <w:lang w:eastAsia="zh-CN"/>
        </w:rPr>
      </w:pPr>
    </w:p>
    <w:p>
      <w:pPr>
        <w:adjustRightInd w:val="0"/>
        <w:snapToGrid w:val="0"/>
        <w:spacing w:line="480" w:lineRule="auto"/>
        <w:jc w:val="center"/>
        <w:outlineLvl w:val="9"/>
        <w:rPr>
          <w:rFonts w:hint="eastAsia" w:asciiTheme="minorEastAsia" w:hAnsiTheme="minorEastAsia" w:eastAsiaTheme="minorEastAsia" w:cstheme="minorEastAsia"/>
          <w:b/>
          <w:highlight w:val="none"/>
        </w:rPr>
      </w:pPr>
      <w:bookmarkStart w:id="323" w:name="_Toc30144"/>
      <w:bookmarkStart w:id="324" w:name="_Toc24344"/>
      <w:bookmarkStart w:id="325" w:name="_Toc479184125"/>
      <w:bookmarkStart w:id="326" w:name="_Toc15789"/>
    </w:p>
    <w:p>
      <w:pPr>
        <w:pStyle w:val="3"/>
        <w:bidi w:val="0"/>
        <w:jc w:val="center"/>
        <w:rPr>
          <w:rFonts w:hint="eastAsia"/>
          <w:b/>
          <w:bCs/>
          <w:highlight w:val="none"/>
          <w:lang w:eastAsia="zh-CN"/>
        </w:rPr>
      </w:pPr>
      <w:bookmarkStart w:id="327" w:name="_Toc8922"/>
      <w:bookmarkStart w:id="328" w:name="_Toc31177"/>
      <w:bookmarkStart w:id="329" w:name="_Toc14708"/>
      <w:r>
        <w:rPr>
          <w:rFonts w:hint="eastAsia"/>
          <w:b/>
          <w:bCs/>
          <w:highlight w:val="none"/>
          <w:lang w:eastAsia="zh-CN"/>
        </w:rPr>
        <w:t>三、</w:t>
      </w:r>
      <w:bookmarkEnd w:id="323"/>
      <w:bookmarkEnd w:id="324"/>
      <w:bookmarkEnd w:id="325"/>
      <w:bookmarkEnd w:id="326"/>
      <w:bookmarkEnd w:id="327"/>
      <w:bookmarkEnd w:id="328"/>
      <w:r>
        <w:rPr>
          <w:rFonts w:hint="eastAsia"/>
          <w:b/>
          <w:bCs/>
          <w:highlight w:val="none"/>
          <w:lang w:eastAsia="zh-CN"/>
        </w:rPr>
        <w:t>响应函</w:t>
      </w:r>
      <w:bookmarkEnd w:id="329"/>
    </w:p>
    <w:p>
      <w:pPr>
        <w:pStyle w:val="14"/>
        <w:rPr>
          <w:rFonts w:asciiTheme="minorEastAsia" w:hAnsiTheme="minorEastAsia" w:eastAsiaTheme="minorEastAsia" w:cstheme="minorEastAsia"/>
          <w:b/>
          <w:szCs w:val="21"/>
          <w:highlight w:val="none"/>
        </w:rPr>
      </w:pPr>
    </w:p>
    <w:p>
      <w:pPr>
        <w:autoSpaceDE w:val="0"/>
        <w:autoSpaceDN w:val="0"/>
        <w:adjustRightInd w:val="0"/>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Cs/>
          <w:szCs w:val="21"/>
          <w:highlight w:val="none"/>
          <w:u w:val="single"/>
        </w:rPr>
        <w:t>（政府采购代理机构）：</w:t>
      </w:r>
    </w:p>
    <w:p>
      <w:pPr>
        <w:autoSpaceDE w:val="0"/>
        <w:autoSpaceDN w:val="0"/>
        <w:adjustRightInd w:val="0"/>
        <w:ind w:left="2" w:firstLine="462" w:firstLineChars="22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依据贵方（项目名称/项目编号）项目第</w:t>
      </w:r>
      <w:r>
        <w:rPr>
          <w:rFonts w:hint="eastAsia" w:asciiTheme="minorEastAsia" w:hAnsiTheme="minorEastAsia" w:eastAsiaTheme="minorEastAsia" w:cstheme="minorEastAsia"/>
          <w:kern w:val="0"/>
          <w:szCs w:val="21"/>
          <w:highlight w:val="none"/>
          <w:u w:val="single"/>
          <w:lang w:val="en-US" w:eastAsia="zh-CN"/>
        </w:rPr>
        <w:t xml:space="preserve">   </w:t>
      </w:r>
      <w:r>
        <w:rPr>
          <w:rFonts w:hint="eastAsia" w:asciiTheme="minorEastAsia" w:hAnsiTheme="minorEastAsia" w:eastAsiaTheme="minorEastAsia" w:cstheme="minorEastAsia"/>
          <w:kern w:val="0"/>
          <w:szCs w:val="21"/>
          <w:highlight w:val="none"/>
        </w:rPr>
        <w:t>包的磋商邀请，我方代表（姓名、职务）经正式授权并代表供应商（供应商的名称、地址）提交下述文件。</w:t>
      </w:r>
    </w:p>
    <w:p>
      <w:pPr>
        <w:numPr>
          <w:ilvl w:val="1"/>
          <w:numId w:val="30"/>
        </w:numPr>
        <w:tabs>
          <w:tab w:val="left" w:pos="840"/>
          <w:tab w:val="clear" w:pos="360"/>
        </w:tabs>
        <w:autoSpaceDE w:val="0"/>
        <w:autoSpaceDN w:val="0"/>
        <w:adjustRightInd w:val="0"/>
        <w:ind w:left="840" w:hanging="42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竞争性磋商响应文件；</w:t>
      </w:r>
    </w:p>
    <w:p>
      <w:pPr>
        <w:numPr>
          <w:ilvl w:val="1"/>
          <w:numId w:val="30"/>
        </w:numPr>
        <w:tabs>
          <w:tab w:val="left" w:pos="840"/>
          <w:tab w:val="clear" w:pos="360"/>
        </w:tabs>
        <w:autoSpaceDE w:val="0"/>
        <w:autoSpaceDN w:val="0"/>
        <w:adjustRightInd w:val="0"/>
        <w:ind w:left="840" w:hanging="42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资格证明文件；</w:t>
      </w:r>
    </w:p>
    <w:p>
      <w:pPr>
        <w:numPr>
          <w:ilvl w:val="1"/>
          <w:numId w:val="30"/>
        </w:numPr>
        <w:tabs>
          <w:tab w:val="left" w:pos="840"/>
          <w:tab w:val="clear" w:pos="360"/>
        </w:tabs>
        <w:autoSpaceDE w:val="0"/>
        <w:autoSpaceDN w:val="0"/>
        <w:adjustRightInd w:val="0"/>
        <w:ind w:left="840" w:hanging="42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按采购的规定递交</w:t>
      </w:r>
      <w:r>
        <w:rPr>
          <w:rFonts w:hint="eastAsia" w:asciiTheme="minorEastAsia" w:hAnsiTheme="minorEastAsia" w:eastAsiaTheme="minorEastAsia" w:cstheme="minorEastAsia"/>
          <w:kern w:val="0"/>
          <w:szCs w:val="21"/>
          <w:highlight w:val="none"/>
          <w:u w:val="single"/>
          <w:lang w:val="en-US" w:eastAsia="zh-CN"/>
        </w:rPr>
        <w:t xml:space="preserve">  </w:t>
      </w:r>
      <w:r>
        <w:rPr>
          <w:rFonts w:hint="eastAsia" w:asciiTheme="minorEastAsia" w:hAnsiTheme="minorEastAsia" w:eastAsiaTheme="minorEastAsia" w:cstheme="minorEastAsia"/>
          <w:kern w:val="0"/>
          <w:szCs w:val="21"/>
          <w:highlight w:val="none"/>
        </w:rPr>
        <w:t>元（人民币大写）的保证金（如有）。</w:t>
      </w:r>
    </w:p>
    <w:p>
      <w:pPr>
        <w:autoSpaceDE w:val="0"/>
        <w:autoSpaceDN w:val="0"/>
        <w:adjustRightInd w:val="0"/>
        <w:ind w:firstLine="422" w:firstLineChars="200"/>
        <w:rPr>
          <w:rFonts w:asciiTheme="minorEastAsia" w:hAnsiTheme="minorEastAsia" w:eastAsiaTheme="minorEastAsia" w:cstheme="minorEastAsia"/>
          <w:b/>
          <w:bCs/>
          <w:kern w:val="0"/>
          <w:szCs w:val="21"/>
          <w:highlight w:val="none"/>
        </w:rPr>
      </w:pPr>
      <w:r>
        <w:rPr>
          <w:rFonts w:hint="eastAsia" w:asciiTheme="minorEastAsia" w:hAnsiTheme="minorEastAsia" w:eastAsiaTheme="minorEastAsia" w:cstheme="minorEastAsia"/>
          <w:b/>
          <w:bCs/>
          <w:kern w:val="0"/>
          <w:szCs w:val="21"/>
          <w:highlight w:val="none"/>
        </w:rPr>
        <w:t>并进行如下承诺声明：</w:t>
      </w:r>
    </w:p>
    <w:p>
      <w:pPr>
        <w:numPr>
          <w:ilvl w:val="0"/>
          <w:numId w:val="31"/>
        </w:numPr>
        <w:tabs>
          <w:tab w:val="left" w:pos="840"/>
        </w:tabs>
        <w:autoSpaceDE w:val="0"/>
        <w:autoSpaceDN w:val="0"/>
        <w:adjustRightInd w:val="0"/>
        <w:ind w:firstLine="420" w:firstLineChars="20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lang w:val="zh-CN"/>
        </w:rPr>
        <w:t>我公司在参加本次政府采购活动前</w:t>
      </w:r>
      <w:r>
        <w:rPr>
          <w:rFonts w:hint="eastAsia" w:asciiTheme="minorEastAsia" w:hAnsiTheme="minorEastAsia" w:eastAsiaTheme="minorEastAsia" w:cstheme="minorEastAsia"/>
          <w:kern w:val="0"/>
          <w:szCs w:val="21"/>
          <w:highlight w:val="none"/>
        </w:rPr>
        <w:t>3年内在经营活动中没有重大违法记录；</w:t>
      </w:r>
    </w:p>
    <w:p>
      <w:pPr>
        <w:numPr>
          <w:ilvl w:val="0"/>
          <w:numId w:val="31"/>
        </w:numPr>
        <w:tabs>
          <w:tab w:val="left" w:pos="840"/>
        </w:tabs>
        <w:autoSpaceDE w:val="0"/>
        <w:autoSpaceDN w:val="0"/>
        <w:adjustRightInd w:val="0"/>
        <w:ind w:firstLine="420" w:firstLineChars="20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我公司在本响应文件中所提供的全部资格证明文件均真实有效，我方承诺对其真实性负责并承担相应后果；</w:t>
      </w:r>
    </w:p>
    <w:p>
      <w:pPr>
        <w:numPr>
          <w:ilvl w:val="0"/>
          <w:numId w:val="31"/>
        </w:numPr>
        <w:tabs>
          <w:tab w:val="left" w:pos="840"/>
        </w:tabs>
        <w:autoSpaceDE w:val="0"/>
        <w:autoSpaceDN w:val="0"/>
        <w:adjustRightInd w:val="0"/>
        <w:ind w:firstLine="420" w:firstLineChars="20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我公司在本响应文件中所响应的内容均将成为签订合同的依据，并承诺按响应内容提供相应服务；</w:t>
      </w:r>
    </w:p>
    <w:p>
      <w:pPr>
        <w:numPr>
          <w:ilvl w:val="0"/>
          <w:numId w:val="31"/>
        </w:numPr>
        <w:tabs>
          <w:tab w:val="left" w:pos="840"/>
        </w:tabs>
        <w:autoSpaceDE w:val="0"/>
        <w:autoSpaceDN w:val="0"/>
        <w:adjustRightInd w:val="0"/>
        <w:ind w:firstLine="420" w:firstLineChars="200"/>
        <w:rPr>
          <w:rFonts w:asciiTheme="minorEastAsia" w:hAnsiTheme="minorEastAsia" w:eastAsiaTheme="minorEastAsia" w:cstheme="minorEastAsia"/>
          <w:highlight w:val="none"/>
        </w:rPr>
      </w:pPr>
      <w:r>
        <w:rPr>
          <w:rFonts w:hint="eastAsia" w:asciiTheme="minorEastAsia" w:hAnsiTheme="minorEastAsia" w:eastAsiaTheme="minorEastAsia" w:cstheme="minorEastAsia"/>
          <w:kern w:val="0"/>
          <w:szCs w:val="21"/>
          <w:highlight w:val="none"/>
        </w:rPr>
        <w:t>重要声明：</w:t>
      </w:r>
    </w:p>
    <w:p>
      <w:pPr>
        <w:tabs>
          <w:tab w:val="left" w:pos="840"/>
        </w:tabs>
        <w:autoSpaceDE w:val="0"/>
        <w:autoSpaceDN w:val="0"/>
        <w:adjustRightInd w:val="0"/>
        <w:ind w:left="420" w:leftChars="200"/>
        <w:rPr>
          <w:rFonts w:asciiTheme="minorEastAsia" w:hAnsiTheme="minorEastAsia" w:eastAsiaTheme="minorEastAsia" w:cstheme="minorEastAsia"/>
          <w:highlight w:val="none"/>
        </w:rPr>
      </w:pPr>
      <w:r>
        <w:rPr>
          <w:rFonts w:hint="eastAsia" w:asciiTheme="minorEastAsia" w:hAnsiTheme="minorEastAsia" w:eastAsiaTheme="minorEastAsia" w:cstheme="minorEastAsia"/>
          <w:kern w:val="0"/>
          <w:szCs w:val="21"/>
          <w:highlight w:val="none"/>
        </w:rPr>
        <w:t>4.1</w:t>
      </w:r>
      <w:r>
        <w:rPr>
          <w:rFonts w:hint="eastAsia" w:asciiTheme="minorEastAsia" w:hAnsiTheme="minorEastAsia" w:eastAsiaTheme="minorEastAsia" w:cstheme="minorEastAsia"/>
          <w:highlight w:val="none"/>
        </w:rPr>
        <w:t>与我方单位负责人为同一人的其他单位名称：□无；□有，具体单位名称为：</w:t>
      </w:r>
      <w:r>
        <w:rPr>
          <w:rFonts w:hint="eastAsia" w:asciiTheme="minorEastAsia" w:hAnsiTheme="minorEastAsia" w:eastAsiaTheme="minorEastAsia" w:cstheme="minorEastAsia"/>
          <w:highlight w:val="none"/>
          <w:u w:val="single"/>
        </w:rPr>
        <w:t>     </w:t>
      </w:r>
    </w:p>
    <w:p>
      <w:pPr>
        <w:tabs>
          <w:tab w:val="left" w:pos="840"/>
        </w:tabs>
        <w:autoSpaceDE w:val="0"/>
        <w:autoSpaceDN w:val="0"/>
        <w:adjustRightInd w:val="0"/>
        <w:ind w:left="420" w:leftChars="20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4.2与我方存在控股、管理关系的其他单位的名称：□无；□有，具体单位名称为：</w:t>
      </w:r>
      <w:r>
        <w:rPr>
          <w:rFonts w:hint="eastAsia" w:asciiTheme="minorEastAsia" w:hAnsiTheme="minorEastAsia" w:eastAsiaTheme="minorEastAsia" w:cstheme="minorEastAsia"/>
          <w:highlight w:val="none"/>
          <w:u w:val="single"/>
        </w:rPr>
        <w:t>     </w:t>
      </w:r>
    </w:p>
    <w:p>
      <w:pPr>
        <w:tabs>
          <w:tab w:val="left" w:pos="840"/>
        </w:tabs>
        <w:autoSpaceDE w:val="0"/>
        <w:autoSpaceDN w:val="0"/>
        <w:adjustRightInd w:val="0"/>
        <w:ind w:left="420" w:leftChars="20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4.3参与本项目采购活动前，是否为本项目前期准备提供过整体设计、规范编制或者项目管理、监理、检测等服务：□否；</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rPr>
        <w:t>是，已提供的具体服务内容为：</w:t>
      </w:r>
      <w:r>
        <w:rPr>
          <w:rFonts w:hint="eastAsia" w:asciiTheme="minorEastAsia" w:hAnsiTheme="minorEastAsia" w:eastAsiaTheme="minorEastAsia" w:cstheme="minorEastAsia"/>
          <w:highlight w:val="none"/>
          <w:u w:val="single"/>
        </w:rPr>
        <w:t>     </w:t>
      </w:r>
    </w:p>
    <w:p>
      <w:pPr>
        <w:rPr>
          <w:highlight w:val="none"/>
        </w:rPr>
      </w:pPr>
      <w:r>
        <w:rPr>
          <w:rFonts w:hint="eastAsia" w:asciiTheme="minorEastAsia" w:hAnsiTheme="minorEastAsia" w:eastAsiaTheme="minorEastAsia" w:cstheme="minorEastAsia"/>
          <w:b/>
          <w:bCs/>
          <w:highlight w:val="none"/>
        </w:rPr>
        <w:t>（备注：以上3项声明，必须如实选择，选中项用√表示，未选中项用□表示。①“单位负责人”是指单位法定代表人或者法律、行政法规规定代表单位行使职权的主要负责人。②本条所规定的控股、管理关系仅限于直接控股、直接管理关系，不包括间接的控股或管理关系。③供应商如未如实填报，视为提供虚假材料谋取中标，应承担相应法律责任。）</w:t>
      </w:r>
    </w:p>
    <w:p>
      <w:pPr>
        <w:autoSpaceDE w:val="0"/>
        <w:autoSpaceDN w:val="0"/>
        <w:adjustRightInd w:val="0"/>
        <w:ind w:firstLine="420" w:firstLineChars="20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在此，我方宣布同意如下：</w:t>
      </w:r>
    </w:p>
    <w:p>
      <w:pPr>
        <w:numPr>
          <w:ilvl w:val="6"/>
          <w:numId w:val="32"/>
        </w:numPr>
        <w:tabs>
          <w:tab w:val="left" w:pos="840"/>
        </w:tabs>
        <w:autoSpaceDE w:val="0"/>
        <w:autoSpaceDN w:val="0"/>
        <w:adjustRightInd w:val="0"/>
        <w:ind w:left="0" w:firstLine="420" w:firstLineChars="20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所附《报价一览表》中规定的应提交和交付的货物</w:t>
      </w:r>
      <w:r>
        <w:rPr>
          <w:rFonts w:hint="eastAsia" w:asciiTheme="minorEastAsia" w:hAnsiTheme="minorEastAsia" w:eastAsiaTheme="minorEastAsia" w:cstheme="minorEastAsia"/>
          <w:kern w:val="0"/>
          <w:szCs w:val="21"/>
          <w:highlight w:val="none"/>
          <w:lang w:eastAsia="zh-CN"/>
        </w:rPr>
        <w:t>、服务、或工程</w:t>
      </w:r>
      <w:r>
        <w:rPr>
          <w:rFonts w:hint="eastAsia" w:asciiTheme="minorEastAsia" w:hAnsiTheme="minorEastAsia" w:eastAsiaTheme="minorEastAsia" w:cstheme="minorEastAsia"/>
          <w:kern w:val="0"/>
          <w:szCs w:val="21"/>
          <w:highlight w:val="none"/>
        </w:rPr>
        <w:t>报价总价为</w:t>
      </w:r>
      <w:r>
        <w:rPr>
          <w:rFonts w:hint="eastAsia" w:asciiTheme="minorEastAsia" w:hAnsiTheme="minorEastAsia" w:eastAsiaTheme="minorEastAsia" w:cstheme="minorEastAsia"/>
          <w:kern w:val="0"/>
          <w:szCs w:val="21"/>
          <w:highlight w:val="none"/>
          <w:u w:val="single"/>
        </w:rPr>
        <w:t>（注明币种，并用文字和数字表示的报价总价）</w:t>
      </w:r>
      <w:r>
        <w:rPr>
          <w:rFonts w:hint="eastAsia" w:asciiTheme="minorEastAsia" w:hAnsiTheme="minorEastAsia" w:eastAsiaTheme="minorEastAsia" w:cstheme="minorEastAsia"/>
          <w:kern w:val="0"/>
          <w:szCs w:val="21"/>
          <w:highlight w:val="none"/>
        </w:rPr>
        <w:t>。</w:t>
      </w:r>
    </w:p>
    <w:p>
      <w:pPr>
        <w:numPr>
          <w:ilvl w:val="6"/>
          <w:numId w:val="32"/>
        </w:numPr>
        <w:tabs>
          <w:tab w:val="left" w:pos="840"/>
        </w:tabs>
        <w:autoSpaceDE w:val="0"/>
        <w:autoSpaceDN w:val="0"/>
        <w:adjustRightInd w:val="0"/>
        <w:ind w:left="0" w:firstLine="420" w:firstLineChars="20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将按竞争性磋商采购文件的约定履行合同责任和义务。</w:t>
      </w:r>
    </w:p>
    <w:p>
      <w:pPr>
        <w:numPr>
          <w:ilvl w:val="6"/>
          <w:numId w:val="32"/>
        </w:numPr>
        <w:tabs>
          <w:tab w:val="left" w:pos="840"/>
        </w:tabs>
        <w:autoSpaceDE w:val="0"/>
        <w:autoSpaceDN w:val="0"/>
        <w:adjustRightInd w:val="0"/>
        <w:ind w:left="0" w:firstLine="420" w:firstLineChars="20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已详细审查全部竞争性磋商采购文件，包括</w:t>
      </w:r>
      <w:r>
        <w:rPr>
          <w:rFonts w:hint="eastAsia" w:asciiTheme="minorEastAsia" w:hAnsiTheme="minorEastAsia" w:eastAsiaTheme="minorEastAsia" w:cstheme="minorEastAsia"/>
          <w:kern w:val="0"/>
          <w:szCs w:val="21"/>
          <w:highlight w:val="none"/>
          <w:u w:val="single"/>
        </w:rPr>
        <w:t>（补充文件等）</w:t>
      </w:r>
      <w:r>
        <w:rPr>
          <w:rFonts w:hint="eastAsia" w:asciiTheme="minorEastAsia" w:hAnsiTheme="minorEastAsia" w:eastAsiaTheme="minorEastAsia" w:cstheme="minorEastAsia"/>
          <w:kern w:val="0"/>
          <w:szCs w:val="21"/>
          <w:highlight w:val="none"/>
        </w:rPr>
        <w:t>，对此无异议。</w:t>
      </w:r>
    </w:p>
    <w:p>
      <w:pPr>
        <w:numPr>
          <w:ilvl w:val="6"/>
          <w:numId w:val="32"/>
        </w:numPr>
        <w:tabs>
          <w:tab w:val="left" w:pos="840"/>
        </w:tabs>
        <w:autoSpaceDE w:val="0"/>
        <w:autoSpaceDN w:val="0"/>
        <w:adjustRightInd w:val="0"/>
        <w:ind w:left="0" w:firstLine="420" w:firstLineChars="20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本竞争性磋商响应文件的有效期自磋商截止时间起共</w:t>
      </w:r>
      <w:r>
        <w:rPr>
          <w:rFonts w:hint="eastAsia" w:asciiTheme="minorEastAsia" w:hAnsiTheme="minorEastAsia" w:eastAsiaTheme="minorEastAsia" w:cstheme="minorEastAsia"/>
          <w:kern w:val="0"/>
          <w:szCs w:val="21"/>
          <w:highlight w:val="none"/>
          <w:u w:val="single"/>
          <w:lang w:val="en-US" w:eastAsia="zh-CN"/>
        </w:rPr>
        <w:t xml:space="preserve"> 90  </w:t>
      </w:r>
      <w:r>
        <w:rPr>
          <w:rFonts w:hint="eastAsia" w:asciiTheme="minorEastAsia" w:hAnsiTheme="minorEastAsia" w:eastAsiaTheme="minorEastAsia" w:cstheme="minorEastAsia"/>
          <w:kern w:val="0"/>
          <w:szCs w:val="21"/>
          <w:highlight w:val="none"/>
        </w:rPr>
        <w:t>日历天。</w:t>
      </w:r>
    </w:p>
    <w:p>
      <w:pPr>
        <w:numPr>
          <w:ilvl w:val="6"/>
          <w:numId w:val="32"/>
        </w:numPr>
        <w:tabs>
          <w:tab w:val="left" w:pos="840"/>
        </w:tabs>
        <w:autoSpaceDE w:val="0"/>
        <w:autoSpaceDN w:val="0"/>
        <w:adjustRightInd w:val="0"/>
        <w:ind w:left="0" w:firstLine="420" w:firstLineChars="20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接收竞争性磋商采购文件中关于没收保证金的约定。</w:t>
      </w:r>
    </w:p>
    <w:p>
      <w:pPr>
        <w:numPr>
          <w:ilvl w:val="6"/>
          <w:numId w:val="32"/>
        </w:numPr>
        <w:tabs>
          <w:tab w:val="left" w:pos="840"/>
        </w:tabs>
        <w:autoSpaceDE w:val="0"/>
        <w:autoSpaceDN w:val="0"/>
        <w:adjustRightInd w:val="0"/>
        <w:ind w:left="0" w:firstLine="420" w:firstLineChars="20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同意提供按照贵方可能要求的与其报价有关的一切数据或资料。</w:t>
      </w:r>
    </w:p>
    <w:p>
      <w:pPr>
        <w:autoSpaceDE w:val="0"/>
        <w:autoSpaceDN w:val="0"/>
        <w:adjustRightInd w:val="0"/>
        <w:ind w:firstLine="420" w:firstLineChars="200"/>
        <w:jc w:val="left"/>
        <w:rPr>
          <w:rFonts w:asciiTheme="minorEastAsia" w:hAnsiTheme="minorEastAsia" w:eastAsiaTheme="minorEastAsia" w:cstheme="minorEastAsia"/>
          <w:kern w:val="0"/>
          <w:szCs w:val="21"/>
          <w:highlight w:val="none"/>
        </w:rPr>
      </w:pPr>
    </w:p>
    <w:p>
      <w:pPr>
        <w:pStyle w:val="30"/>
        <w:rPr>
          <w:highlight w:val="none"/>
        </w:rPr>
      </w:pPr>
    </w:p>
    <w:p>
      <w:pPr>
        <w:autoSpaceDE w:val="0"/>
        <w:autoSpaceDN w:val="0"/>
        <w:adjustRightInd w:val="0"/>
        <w:ind w:firstLine="420" w:firstLineChars="200"/>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供    应    商：（盖章）</w:t>
      </w:r>
    </w:p>
    <w:p>
      <w:pPr>
        <w:autoSpaceDE w:val="0"/>
        <w:autoSpaceDN w:val="0"/>
        <w:adjustRightInd w:val="0"/>
        <w:ind w:firstLine="420" w:firstLineChars="200"/>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法定代表人</w:t>
      </w:r>
      <w:r>
        <w:rPr>
          <w:rFonts w:hint="eastAsia" w:asciiTheme="minorEastAsia" w:hAnsiTheme="minorEastAsia" w:eastAsiaTheme="minorEastAsia" w:cstheme="minorEastAsia"/>
          <w:kern w:val="0"/>
          <w:szCs w:val="21"/>
          <w:highlight w:val="none"/>
          <w:lang w:val="en-US" w:eastAsia="zh-CN"/>
        </w:rPr>
        <w:t>或授权代表</w:t>
      </w:r>
      <w:r>
        <w:rPr>
          <w:rFonts w:hint="eastAsia" w:asciiTheme="minorEastAsia" w:hAnsiTheme="minorEastAsia" w:eastAsiaTheme="minorEastAsia" w:cstheme="minorEastAsia"/>
          <w:kern w:val="0"/>
          <w:szCs w:val="21"/>
          <w:highlight w:val="none"/>
        </w:rPr>
        <w:t>（签字或盖章）：</w:t>
      </w:r>
    </w:p>
    <w:p>
      <w:pPr>
        <w:autoSpaceDE w:val="0"/>
        <w:autoSpaceDN w:val="0"/>
        <w:adjustRightInd w:val="0"/>
        <w:ind w:firstLine="420" w:firstLineChars="200"/>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通  讯  地  址：</w:t>
      </w:r>
    </w:p>
    <w:p>
      <w:pPr>
        <w:autoSpaceDE w:val="0"/>
        <w:autoSpaceDN w:val="0"/>
        <w:adjustRightInd w:val="0"/>
        <w:ind w:firstLine="420" w:firstLineChars="200"/>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传        　真：</w:t>
      </w:r>
    </w:p>
    <w:p>
      <w:pPr>
        <w:autoSpaceDE w:val="0"/>
        <w:autoSpaceDN w:val="0"/>
        <w:adjustRightInd w:val="0"/>
        <w:ind w:firstLine="420" w:firstLineChars="200"/>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电          话：</w:t>
      </w:r>
    </w:p>
    <w:p>
      <w:pPr>
        <w:autoSpaceDE w:val="0"/>
        <w:autoSpaceDN w:val="0"/>
        <w:adjustRightInd w:val="0"/>
        <w:ind w:firstLine="420" w:firstLineChars="200"/>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电  子  函  件：</w:t>
      </w:r>
    </w:p>
    <w:p>
      <w:pPr>
        <w:autoSpaceDE w:val="0"/>
        <w:autoSpaceDN w:val="0"/>
        <w:adjustRightInd w:val="0"/>
        <w:ind w:firstLine="420" w:firstLineChars="200"/>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日         期：</w:t>
      </w:r>
    </w:p>
    <w:p>
      <w:pPr>
        <w:tabs>
          <w:tab w:val="left" w:pos="540"/>
        </w:tabs>
        <w:autoSpaceDE w:val="0"/>
        <w:autoSpaceDN w:val="0"/>
        <w:adjustRightInd w:val="0"/>
        <w:jc w:val="center"/>
        <w:outlineLvl w:val="1"/>
        <w:rPr>
          <w:rFonts w:hint="eastAsia" w:asciiTheme="minorEastAsia" w:hAnsiTheme="minorEastAsia" w:eastAsiaTheme="minorEastAsia" w:cstheme="minorEastAsia"/>
          <w:b/>
          <w:highlight w:val="none"/>
          <w:lang w:eastAsia="zh-CN"/>
        </w:rPr>
      </w:pPr>
      <w:bookmarkStart w:id="330" w:name="_Toc25234"/>
      <w:bookmarkStart w:id="331" w:name="_Toc229"/>
      <w:bookmarkStart w:id="332" w:name="_Toc24205"/>
      <w:bookmarkStart w:id="333" w:name="_Toc479184126"/>
      <w:bookmarkStart w:id="334" w:name="_Toc13969"/>
    </w:p>
    <w:p>
      <w:pPr>
        <w:pStyle w:val="7"/>
        <w:rPr>
          <w:rFonts w:hint="eastAsia"/>
          <w:highlight w:val="none"/>
          <w:lang w:eastAsia="zh-CN"/>
        </w:rPr>
      </w:pPr>
    </w:p>
    <w:p>
      <w:pPr>
        <w:pStyle w:val="7"/>
        <w:rPr>
          <w:rFonts w:hint="eastAsia"/>
          <w:highlight w:val="none"/>
          <w:lang w:eastAsia="zh-CN"/>
        </w:rPr>
      </w:pPr>
    </w:p>
    <w:p>
      <w:pPr>
        <w:tabs>
          <w:tab w:val="left" w:pos="540"/>
        </w:tabs>
        <w:autoSpaceDE w:val="0"/>
        <w:autoSpaceDN w:val="0"/>
        <w:adjustRightInd w:val="0"/>
        <w:jc w:val="center"/>
        <w:outlineLvl w:val="1"/>
        <w:rPr>
          <w:rFonts w:hint="eastAsia" w:asciiTheme="minorEastAsia" w:hAnsiTheme="minorEastAsia" w:eastAsiaTheme="minorEastAsia" w:cstheme="minorEastAsia"/>
          <w:b/>
          <w:bCs/>
          <w:sz w:val="24"/>
          <w:highlight w:val="none"/>
          <w:lang w:eastAsia="zh-CN"/>
        </w:rPr>
      </w:pPr>
      <w:r>
        <w:rPr>
          <w:rStyle w:val="41"/>
          <w:rFonts w:hint="eastAsia"/>
          <w:b/>
          <w:bCs/>
          <w:highlight w:val="none"/>
          <w:lang w:eastAsia="zh-CN"/>
        </w:rPr>
        <w:t>四、法定代表人授权书</w:t>
      </w:r>
      <w:bookmarkEnd w:id="330"/>
      <w:bookmarkEnd w:id="331"/>
      <w:bookmarkEnd w:id="332"/>
      <w:bookmarkEnd w:id="333"/>
      <w:bookmarkEnd w:id="334"/>
    </w:p>
    <w:p>
      <w:pPr>
        <w:rPr>
          <w:rFonts w:asciiTheme="minorEastAsia" w:hAnsiTheme="minorEastAsia" w:eastAsiaTheme="minorEastAsia" w:cstheme="minorEastAsia"/>
          <w:kern w:val="0"/>
          <w:szCs w:val="21"/>
          <w:highlight w:val="none"/>
        </w:rPr>
      </w:pPr>
    </w:p>
    <w:p>
      <w:pPr>
        <w:rPr>
          <w:rFonts w:asciiTheme="minorEastAsia" w:hAnsiTheme="minorEastAsia" w:eastAsiaTheme="minorEastAsia" w:cstheme="minorEastAsia"/>
          <w:kern w:val="0"/>
          <w:szCs w:val="21"/>
          <w:highlight w:val="none"/>
        </w:rPr>
      </w:pPr>
    </w:p>
    <w:p>
      <w:pPr>
        <w:autoSpaceDE w:val="0"/>
        <w:autoSpaceDN w:val="0"/>
        <w:adjustRightInd w:val="0"/>
        <w:spacing w:line="360" w:lineRule="auto"/>
        <w:ind w:firstLine="697"/>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兹授权</w:t>
      </w:r>
      <w:r>
        <w:rPr>
          <w:rFonts w:hint="eastAsia" w:asciiTheme="minorEastAsia" w:hAnsiTheme="minorEastAsia" w:eastAsiaTheme="minorEastAsia" w:cstheme="minorEastAsia"/>
          <w:kern w:val="0"/>
          <w:szCs w:val="21"/>
          <w:highlight w:val="none"/>
          <w:u w:val="single"/>
        </w:rPr>
        <w:t xml:space="preserve">　　　   </w:t>
      </w:r>
      <w:r>
        <w:rPr>
          <w:rFonts w:hint="eastAsia" w:asciiTheme="minorEastAsia" w:hAnsiTheme="minorEastAsia" w:eastAsiaTheme="minorEastAsia" w:cstheme="minorEastAsia"/>
          <w:kern w:val="0"/>
          <w:szCs w:val="21"/>
          <w:highlight w:val="none"/>
        </w:rPr>
        <w:t>同志为我公司参加贵单位组织的</w:t>
      </w:r>
      <w:r>
        <w:rPr>
          <w:rFonts w:hint="eastAsia" w:asciiTheme="minorEastAsia" w:hAnsiTheme="minorEastAsia" w:eastAsiaTheme="minorEastAsia" w:cstheme="minorEastAsia"/>
          <w:kern w:val="0"/>
          <w:szCs w:val="21"/>
          <w:highlight w:val="none"/>
          <w:u w:val="single"/>
        </w:rPr>
        <w:t>（项目名称）</w:t>
      </w:r>
      <w:r>
        <w:rPr>
          <w:rFonts w:hint="eastAsia" w:asciiTheme="minorEastAsia" w:hAnsiTheme="minorEastAsia" w:eastAsiaTheme="minorEastAsia" w:cstheme="minorEastAsia"/>
          <w:kern w:val="0"/>
          <w:szCs w:val="21"/>
          <w:highlight w:val="none"/>
        </w:rPr>
        <w:t>采购活动的供应商代表人（磋商代表），全权代表我公司处理在该项目采购活动中的一切事宜。代理期限从</w:t>
      </w:r>
      <w:r>
        <w:rPr>
          <w:rFonts w:hint="eastAsia" w:asciiTheme="minorEastAsia" w:hAnsiTheme="minorEastAsia" w:eastAsiaTheme="minorEastAsia" w:cstheme="minorEastAsia"/>
          <w:kern w:val="0"/>
          <w:szCs w:val="21"/>
          <w:highlight w:val="none"/>
          <w:u w:val="none"/>
          <w:lang w:val="en-US" w:eastAsia="zh-CN"/>
        </w:rPr>
        <w:t xml:space="preserve">  </w:t>
      </w:r>
      <w:r>
        <w:rPr>
          <w:rFonts w:hint="eastAsia" w:asciiTheme="minorEastAsia" w:hAnsiTheme="minorEastAsia" w:eastAsiaTheme="minorEastAsia" w:cstheme="minorEastAsia"/>
          <w:kern w:val="0"/>
          <w:szCs w:val="21"/>
          <w:highlight w:val="none"/>
        </w:rPr>
        <w:t>年 月</w:t>
      </w:r>
      <w:r>
        <w:rPr>
          <w:rFonts w:hint="eastAsia" w:asciiTheme="minorEastAsia" w:hAnsiTheme="minorEastAsia" w:eastAsiaTheme="minorEastAsia" w:cstheme="minorEastAsia"/>
          <w:kern w:val="0"/>
          <w:szCs w:val="21"/>
          <w:highlight w:val="none"/>
          <w:lang w:val="en-US" w:eastAsia="zh-CN"/>
        </w:rPr>
        <w:t xml:space="preserve">  </w:t>
      </w:r>
      <w:r>
        <w:rPr>
          <w:rFonts w:hint="eastAsia" w:asciiTheme="minorEastAsia" w:hAnsiTheme="minorEastAsia" w:eastAsiaTheme="minorEastAsia" w:cstheme="minorEastAsia"/>
          <w:kern w:val="0"/>
          <w:szCs w:val="21"/>
          <w:highlight w:val="none"/>
        </w:rPr>
        <w:t>日起至</w:t>
      </w:r>
      <w:r>
        <w:rPr>
          <w:rFonts w:hint="eastAsia" w:asciiTheme="minorEastAsia" w:hAnsiTheme="minorEastAsia" w:eastAsiaTheme="minorEastAsia" w:cstheme="minorEastAsia"/>
          <w:kern w:val="0"/>
          <w:szCs w:val="21"/>
          <w:highlight w:val="none"/>
          <w:lang w:val="en-US" w:eastAsia="zh-CN"/>
        </w:rPr>
        <w:t xml:space="preserve">  </w:t>
      </w:r>
      <w:r>
        <w:rPr>
          <w:rFonts w:hint="eastAsia" w:asciiTheme="minorEastAsia" w:hAnsiTheme="minorEastAsia" w:eastAsiaTheme="minorEastAsia" w:cstheme="minorEastAsia"/>
          <w:kern w:val="0"/>
          <w:szCs w:val="21"/>
          <w:highlight w:val="none"/>
        </w:rPr>
        <w:t>年 月</w:t>
      </w:r>
      <w:r>
        <w:rPr>
          <w:rFonts w:hint="eastAsia" w:asciiTheme="minorEastAsia" w:hAnsiTheme="minorEastAsia" w:eastAsiaTheme="minorEastAsia" w:cstheme="minorEastAsia"/>
          <w:kern w:val="0"/>
          <w:szCs w:val="21"/>
          <w:highlight w:val="none"/>
          <w:lang w:val="en-US" w:eastAsia="zh-CN"/>
        </w:rPr>
        <w:t xml:space="preserve">  </w:t>
      </w:r>
      <w:r>
        <w:rPr>
          <w:rFonts w:hint="eastAsia" w:asciiTheme="minorEastAsia" w:hAnsiTheme="minorEastAsia" w:eastAsiaTheme="minorEastAsia" w:cstheme="minorEastAsia"/>
          <w:kern w:val="0"/>
          <w:szCs w:val="21"/>
          <w:highlight w:val="none"/>
        </w:rPr>
        <w:t>日止。</w:t>
      </w:r>
    </w:p>
    <w:p>
      <w:pPr>
        <w:autoSpaceDE w:val="0"/>
        <w:autoSpaceDN w:val="0"/>
        <w:adjustRightInd w:val="0"/>
        <w:spacing w:line="360" w:lineRule="auto"/>
        <w:ind w:firstLine="697"/>
        <w:jc w:val="left"/>
        <w:rPr>
          <w:rFonts w:asciiTheme="minorEastAsia" w:hAnsiTheme="minorEastAsia" w:eastAsiaTheme="minorEastAsia" w:cstheme="minorEastAsia"/>
          <w:kern w:val="0"/>
          <w:szCs w:val="21"/>
          <w:highlight w:val="none"/>
        </w:rPr>
      </w:pPr>
    </w:p>
    <w:p>
      <w:pPr>
        <w:autoSpaceDE w:val="0"/>
        <w:autoSpaceDN w:val="0"/>
        <w:adjustRightInd w:val="0"/>
        <w:spacing w:line="360" w:lineRule="auto"/>
        <w:ind w:firstLine="697"/>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授权单位（盖章）：</w:t>
      </w:r>
    </w:p>
    <w:p>
      <w:pPr>
        <w:autoSpaceDE w:val="0"/>
        <w:autoSpaceDN w:val="0"/>
        <w:adjustRightInd w:val="0"/>
        <w:spacing w:line="360" w:lineRule="auto"/>
        <w:ind w:firstLine="697"/>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法定代表人（签字或盖章）：</w:t>
      </w:r>
    </w:p>
    <w:p>
      <w:pPr>
        <w:autoSpaceDE w:val="0"/>
        <w:autoSpaceDN w:val="0"/>
        <w:adjustRightInd w:val="0"/>
        <w:spacing w:line="360" w:lineRule="auto"/>
        <w:ind w:firstLine="697"/>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 xml:space="preserve">签发日期：年 月日         </w:t>
      </w:r>
    </w:p>
    <w:p>
      <w:pPr>
        <w:autoSpaceDE w:val="0"/>
        <w:autoSpaceDN w:val="0"/>
        <w:adjustRightInd w:val="0"/>
        <w:spacing w:line="360" w:lineRule="auto"/>
        <w:ind w:firstLine="697"/>
        <w:jc w:val="left"/>
        <w:rPr>
          <w:rFonts w:asciiTheme="minorEastAsia" w:hAnsiTheme="minorEastAsia" w:eastAsiaTheme="minorEastAsia" w:cstheme="minorEastAsia"/>
          <w:kern w:val="0"/>
          <w:szCs w:val="21"/>
          <w:highlight w:val="none"/>
        </w:rPr>
      </w:pPr>
    </w:p>
    <w:p>
      <w:pPr>
        <w:autoSpaceDE w:val="0"/>
        <w:autoSpaceDN w:val="0"/>
        <w:adjustRightInd w:val="0"/>
        <w:spacing w:line="360" w:lineRule="auto"/>
        <w:ind w:firstLine="697"/>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附：</w:t>
      </w:r>
    </w:p>
    <w:p>
      <w:pPr>
        <w:autoSpaceDE w:val="0"/>
        <w:autoSpaceDN w:val="0"/>
        <w:adjustRightInd w:val="0"/>
        <w:spacing w:line="360" w:lineRule="auto"/>
        <w:ind w:firstLine="697"/>
        <w:jc w:val="left"/>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lang w:eastAsia="zh-CN"/>
        </w:rPr>
        <w:t>授权代表姓名</w:t>
      </w:r>
      <w:r>
        <w:rPr>
          <w:rFonts w:hint="eastAsia" w:asciiTheme="minorEastAsia" w:hAnsiTheme="minorEastAsia" w:eastAsiaTheme="minorEastAsia" w:cstheme="minorEastAsia"/>
          <w:kern w:val="0"/>
          <w:szCs w:val="21"/>
          <w:highlight w:val="none"/>
        </w:rPr>
        <w:t>：</w:t>
      </w:r>
    </w:p>
    <w:p>
      <w:pPr>
        <w:autoSpaceDE w:val="0"/>
        <w:autoSpaceDN w:val="0"/>
        <w:adjustRightInd w:val="0"/>
        <w:spacing w:line="360" w:lineRule="auto"/>
        <w:ind w:firstLine="697"/>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授权代表身份证号码：</w:t>
      </w:r>
    </w:p>
    <w:p>
      <w:pPr>
        <w:pStyle w:val="7"/>
        <w:rPr>
          <w:rFonts w:hint="eastAsia"/>
          <w:highlight w:val="none"/>
          <w:lang w:val="en-US" w:eastAsia="zh-CN"/>
        </w:rPr>
      </w:pPr>
      <w:r>
        <w:rPr>
          <w:rFonts w:hint="eastAsia"/>
          <w:highlight w:val="none"/>
          <w:lang w:val="en-US" w:eastAsia="zh-CN"/>
        </w:rPr>
        <w:t xml:space="preserve">    </w:t>
      </w:r>
      <w:r>
        <w:rPr>
          <w:rFonts w:hint="eastAsia" w:asciiTheme="minorEastAsia" w:hAnsiTheme="minorEastAsia" w:eastAsiaTheme="minorEastAsia" w:cstheme="minorEastAsia"/>
          <w:kern w:val="0"/>
          <w:sz w:val="21"/>
          <w:szCs w:val="21"/>
          <w:highlight w:val="none"/>
          <w:lang w:val="en-US" w:eastAsia="zh-CN" w:bidi="ar-SA"/>
        </w:rPr>
        <w:t xml:space="preserve">  授权代表联系电话：</w:t>
      </w:r>
    </w:p>
    <w:p>
      <w:pPr>
        <w:pStyle w:val="7"/>
        <w:rPr>
          <w:rFonts w:hint="default" w:eastAsia="宋体"/>
          <w:highlight w:val="none"/>
          <w:lang w:val="en-US" w:eastAsia="zh-CN"/>
        </w:rPr>
      </w:pPr>
    </w:p>
    <w:tbl>
      <w:tblPr>
        <w:tblStyle w:val="1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4" w:hRule="atLeast"/>
          <w:jc w:val="center"/>
        </w:trPr>
        <w:tc>
          <w:tcPr>
            <w:tcW w:w="9071" w:type="dxa"/>
          </w:tcPr>
          <w:p>
            <w:pPr>
              <w:autoSpaceDE w:val="0"/>
              <w:autoSpaceDN w:val="0"/>
              <w:adjustRightInd w:val="0"/>
              <w:spacing w:line="360" w:lineRule="auto"/>
              <w:jc w:val="left"/>
              <w:rPr>
                <w:highlight w:val="none"/>
              </w:rPr>
            </w:pPr>
            <w:r>
              <w:rPr>
                <w:rFonts w:hint="eastAsia" w:ascii="宋体" w:hAnsi="宋体" w:cs="宋体"/>
                <w:kern w:val="0"/>
                <w:sz w:val="24"/>
                <w:szCs w:val="24"/>
                <w:highlight w:val="none"/>
              </w:rPr>
              <w:t>授权人</w:t>
            </w:r>
            <w:r>
              <w:rPr>
                <w:rFonts w:hint="eastAsia" w:ascii="宋体" w:hAnsi="宋体" w:cs="宋体"/>
                <w:kern w:val="0"/>
                <w:sz w:val="24"/>
                <w:szCs w:val="24"/>
                <w:highlight w:val="none"/>
                <w:lang w:eastAsia="zh-CN"/>
              </w:rPr>
              <w:t>和</w:t>
            </w:r>
            <w:r>
              <w:rPr>
                <w:rFonts w:hint="eastAsia" w:ascii="宋体" w:hAnsi="宋体" w:cs="宋体"/>
                <w:kern w:val="0"/>
                <w:sz w:val="24"/>
                <w:szCs w:val="24"/>
                <w:highlight w:val="none"/>
              </w:rPr>
              <w:t>被授权人身份证（复印件）：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9071" w:type="dxa"/>
          </w:tcPr>
          <w:p>
            <w:pPr>
              <w:autoSpaceDE w:val="0"/>
              <w:autoSpaceDN w:val="0"/>
              <w:adjustRightInd w:val="0"/>
              <w:spacing w:line="360" w:lineRule="auto"/>
              <w:jc w:val="left"/>
              <w:rPr>
                <w:highlight w:val="none"/>
              </w:rPr>
            </w:pPr>
            <w:r>
              <w:rPr>
                <w:rFonts w:hint="eastAsia"/>
                <w:b/>
                <w:bCs/>
                <w:highlight w:val="none"/>
              </w:rPr>
              <w:t>注：如法定代表人直接参加磋商并签署响应文件，无须提供本授权书。</w:t>
            </w:r>
          </w:p>
        </w:tc>
      </w:tr>
    </w:tbl>
    <w:p>
      <w:pPr>
        <w:tabs>
          <w:tab w:val="left" w:pos="540"/>
        </w:tabs>
        <w:autoSpaceDE w:val="0"/>
        <w:autoSpaceDN w:val="0"/>
        <w:adjustRightInd w:val="0"/>
        <w:spacing w:line="360" w:lineRule="auto"/>
        <w:jc w:val="center"/>
        <w:outlineLvl w:val="1"/>
        <w:rPr>
          <w:rFonts w:hint="eastAsia" w:asciiTheme="minorEastAsia" w:hAnsiTheme="minorEastAsia" w:eastAsiaTheme="minorEastAsia" w:cstheme="minorEastAsia"/>
          <w:b/>
          <w:bCs/>
          <w:kern w:val="0"/>
          <w:szCs w:val="21"/>
          <w:highlight w:val="none"/>
          <w:lang w:eastAsia="zh-CN"/>
        </w:rPr>
      </w:pPr>
      <w:bookmarkStart w:id="335" w:name="_Toc424832832"/>
      <w:bookmarkStart w:id="336" w:name="_Toc10569"/>
      <w:bookmarkStart w:id="337" w:name="_Toc30245"/>
      <w:bookmarkStart w:id="338" w:name="_Toc360120184"/>
      <w:bookmarkStart w:id="339" w:name="_Toc479184127"/>
      <w:bookmarkStart w:id="340" w:name="_Toc29904"/>
      <w:bookmarkStart w:id="341" w:name="_Toc432149008"/>
      <w:bookmarkStart w:id="342" w:name="_Toc28385"/>
    </w:p>
    <w:p>
      <w:pPr>
        <w:pStyle w:val="7"/>
        <w:rPr>
          <w:rFonts w:hint="eastAsia"/>
          <w:highlight w:val="none"/>
          <w:lang w:eastAsia="zh-CN"/>
        </w:rPr>
      </w:pPr>
    </w:p>
    <w:p>
      <w:pPr>
        <w:tabs>
          <w:tab w:val="left" w:pos="540"/>
        </w:tabs>
        <w:autoSpaceDE w:val="0"/>
        <w:autoSpaceDN w:val="0"/>
        <w:adjustRightInd w:val="0"/>
        <w:spacing w:line="360" w:lineRule="auto"/>
        <w:jc w:val="center"/>
        <w:outlineLvl w:val="1"/>
        <w:rPr>
          <w:rFonts w:hint="eastAsia" w:asciiTheme="minorEastAsia" w:hAnsiTheme="minorEastAsia" w:eastAsiaTheme="minorEastAsia" w:cstheme="minorEastAsia"/>
          <w:b/>
          <w:bCs/>
          <w:sz w:val="24"/>
          <w:highlight w:val="none"/>
          <w:lang w:eastAsia="zh-CN"/>
        </w:rPr>
      </w:pPr>
      <w:r>
        <w:rPr>
          <w:rStyle w:val="41"/>
          <w:rFonts w:hint="eastAsia"/>
          <w:b/>
          <w:bCs/>
          <w:highlight w:val="none"/>
          <w:lang w:eastAsia="zh-CN"/>
        </w:rPr>
        <w:t>五、法定代表人身份证明书</w:t>
      </w:r>
      <w:bookmarkEnd w:id="335"/>
      <w:bookmarkEnd w:id="336"/>
      <w:bookmarkEnd w:id="337"/>
      <w:bookmarkEnd w:id="338"/>
      <w:bookmarkEnd w:id="339"/>
      <w:bookmarkEnd w:id="340"/>
      <w:bookmarkEnd w:id="341"/>
      <w:bookmarkEnd w:id="342"/>
    </w:p>
    <w:p>
      <w:pPr>
        <w:spacing w:line="360" w:lineRule="auto"/>
        <w:rPr>
          <w:rFonts w:asciiTheme="minorEastAsia" w:hAnsiTheme="minorEastAsia" w:eastAsiaTheme="minorEastAsia" w:cstheme="minorEastAsia"/>
          <w:kern w:val="0"/>
          <w:szCs w:val="21"/>
          <w:highlight w:val="none"/>
        </w:rPr>
      </w:pPr>
    </w:p>
    <w:p>
      <w:pPr>
        <w:spacing w:line="360" w:lineRule="auto"/>
        <w:ind w:firstLine="630" w:firstLineChars="30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兹证明</w:t>
      </w:r>
      <w:r>
        <w:rPr>
          <w:rFonts w:hint="eastAsia" w:asciiTheme="minorEastAsia" w:hAnsiTheme="minorEastAsia" w:eastAsiaTheme="minorEastAsia" w:cstheme="minorEastAsia"/>
          <w:kern w:val="0"/>
          <w:szCs w:val="21"/>
          <w:highlight w:val="none"/>
          <w:u w:val="single"/>
          <w:lang w:val="en-US" w:eastAsia="zh-CN"/>
        </w:rPr>
        <w:t xml:space="preserve">        </w:t>
      </w:r>
      <w:r>
        <w:rPr>
          <w:rFonts w:hint="eastAsia" w:asciiTheme="minorEastAsia" w:hAnsiTheme="minorEastAsia" w:eastAsiaTheme="minorEastAsia" w:cstheme="minorEastAsia"/>
          <w:kern w:val="0"/>
          <w:szCs w:val="21"/>
          <w:highlight w:val="none"/>
        </w:rPr>
        <w:t>（姓名）</w:t>
      </w:r>
      <w:r>
        <w:rPr>
          <w:rFonts w:hint="eastAsia" w:asciiTheme="minorEastAsia" w:hAnsiTheme="minorEastAsia" w:eastAsiaTheme="minorEastAsia" w:cstheme="minorEastAsia"/>
          <w:szCs w:val="21"/>
          <w:highlight w:val="none"/>
        </w:rPr>
        <w:t>在我单位任</w:t>
      </w:r>
      <w:r>
        <w:rPr>
          <w:rFonts w:hint="eastAsia" w:asciiTheme="minorEastAsia" w:hAnsiTheme="minorEastAsia" w:eastAsiaTheme="minorEastAsia" w:cstheme="minorEastAsia"/>
          <w:szCs w:val="21"/>
          <w:highlight w:val="none"/>
          <w:u w:val="single"/>
          <w:lang w:val="en-US" w:eastAsia="zh-CN"/>
        </w:rPr>
        <w:t xml:space="preserve">            </w:t>
      </w:r>
      <w:r>
        <w:rPr>
          <w:rFonts w:hint="eastAsia" w:asciiTheme="minorEastAsia" w:hAnsiTheme="minorEastAsia" w:eastAsiaTheme="minorEastAsia" w:cstheme="minorEastAsia"/>
          <w:szCs w:val="21"/>
          <w:highlight w:val="none"/>
        </w:rPr>
        <w:t>职务</w:t>
      </w:r>
      <w:r>
        <w:rPr>
          <w:rFonts w:hint="eastAsia" w:asciiTheme="minorEastAsia" w:hAnsiTheme="minorEastAsia" w:eastAsiaTheme="minorEastAsia" w:cstheme="minorEastAsia"/>
          <w:kern w:val="0"/>
          <w:szCs w:val="21"/>
          <w:highlight w:val="none"/>
        </w:rPr>
        <w:t>，系</w:t>
      </w:r>
      <w:r>
        <w:rPr>
          <w:rFonts w:hint="eastAsia" w:asciiTheme="minorEastAsia" w:hAnsiTheme="minorEastAsia" w:eastAsiaTheme="minorEastAsia" w:cstheme="minorEastAsia"/>
          <w:kern w:val="0"/>
          <w:szCs w:val="21"/>
          <w:highlight w:val="none"/>
          <w:u w:val="single"/>
          <w:lang w:val="en-US" w:eastAsia="zh-CN"/>
        </w:rPr>
        <w:t xml:space="preserve">           </w:t>
      </w:r>
      <w:r>
        <w:rPr>
          <w:rFonts w:hint="eastAsia" w:asciiTheme="minorEastAsia" w:hAnsiTheme="minorEastAsia" w:eastAsiaTheme="minorEastAsia" w:cstheme="minorEastAsia"/>
          <w:kern w:val="0"/>
          <w:szCs w:val="21"/>
          <w:highlight w:val="none"/>
        </w:rPr>
        <w:t>（供应商）的法定代表人。</w:t>
      </w:r>
    </w:p>
    <w:p>
      <w:pPr>
        <w:spacing w:line="360" w:lineRule="auto"/>
        <w:ind w:firstLine="630" w:firstLineChars="300"/>
        <w:rPr>
          <w:rFonts w:asciiTheme="minorEastAsia" w:hAnsiTheme="minorEastAsia" w:eastAsiaTheme="minorEastAsia" w:cstheme="minorEastAsia"/>
          <w:kern w:val="0"/>
          <w:szCs w:val="21"/>
          <w:highlight w:val="none"/>
        </w:rPr>
      </w:pPr>
    </w:p>
    <w:p>
      <w:pPr>
        <w:spacing w:line="360" w:lineRule="auto"/>
        <w:ind w:firstLine="630" w:firstLineChars="30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供应商（盖章）：</w:t>
      </w:r>
    </w:p>
    <w:p>
      <w:pPr>
        <w:spacing w:line="360" w:lineRule="auto"/>
        <w:ind w:firstLine="630" w:firstLineChars="30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法定代表人（签字或盖章）：</w:t>
      </w:r>
    </w:p>
    <w:p>
      <w:pPr>
        <w:spacing w:line="360" w:lineRule="auto"/>
        <w:ind w:firstLine="630" w:firstLineChars="300"/>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身份证号码：</w:t>
      </w:r>
    </w:p>
    <w:p>
      <w:pPr>
        <w:spacing w:line="360" w:lineRule="auto"/>
        <w:ind w:firstLine="630" w:firstLineChars="300"/>
        <w:rPr>
          <w:rFonts w:hint="eastAsia" w:asciiTheme="minorEastAsia" w:hAnsiTheme="minorEastAsia" w:eastAsiaTheme="minorEastAsia" w:cstheme="minorEastAsia"/>
          <w:kern w:val="0"/>
          <w:szCs w:val="21"/>
          <w:highlight w:val="none"/>
          <w:lang w:val="en-US" w:eastAsia="zh-CN"/>
        </w:rPr>
      </w:pPr>
      <w:r>
        <w:rPr>
          <w:rFonts w:hint="eastAsia" w:asciiTheme="minorEastAsia" w:hAnsiTheme="minorEastAsia" w:eastAsiaTheme="minorEastAsia" w:cstheme="minorEastAsia"/>
          <w:kern w:val="0"/>
          <w:szCs w:val="21"/>
          <w:highlight w:val="none"/>
          <w:lang w:val="en-US" w:eastAsia="zh-CN"/>
        </w:rPr>
        <w:t xml:space="preserve">联系电话： </w:t>
      </w:r>
    </w:p>
    <w:p>
      <w:pPr>
        <w:spacing w:line="360" w:lineRule="auto"/>
        <w:ind w:firstLine="5985" w:firstLineChars="2850"/>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年</w:t>
      </w:r>
      <w:r>
        <w:rPr>
          <w:rFonts w:hint="eastAsia" w:asciiTheme="minorEastAsia" w:hAnsiTheme="minorEastAsia" w:eastAsiaTheme="minorEastAsia" w:cstheme="minorEastAsia"/>
          <w:kern w:val="0"/>
          <w:szCs w:val="21"/>
          <w:highlight w:val="none"/>
          <w:lang w:val="en-US" w:eastAsia="zh-CN"/>
        </w:rPr>
        <w:t xml:space="preserve">  </w:t>
      </w:r>
      <w:r>
        <w:rPr>
          <w:rFonts w:hint="eastAsia" w:asciiTheme="minorEastAsia" w:hAnsiTheme="minorEastAsia" w:eastAsiaTheme="minorEastAsia" w:cstheme="minorEastAsia"/>
          <w:kern w:val="0"/>
          <w:szCs w:val="21"/>
          <w:highlight w:val="none"/>
        </w:rPr>
        <w:t>月</w:t>
      </w:r>
      <w:r>
        <w:rPr>
          <w:rFonts w:hint="eastAsia" w:asciiTheme="minorEastAsia" w:hAnsiTheme="minorEastAsia" w:eastAsiaTheme="minorEastAsia" w:cstheme="minorEastAsia"/>
          <w:kern w:val="0"/>
          <w:szCs w:val="21"/>
          <w:highlight w:val="none"/>
          <w:lang w:val="en-US" w:eastAsia="zh-CN"/>
        </w:rPr>
        <w:t xml:space="preserve">    </w:t>
      </w:r>
      <w:r>
        <w:rPr>
          <w:rFonts w:hint="eastAsia" w:asciiTheme="minorEastAsia" w:hAnsiTheme="minorEastAsia" w:eastAsiaTheme="minorEastAsia" w:cstheme="minorEastAsia"/>
          <w:kern w:val="0"/>
          <w:szCs w:val="21"/>
          <w:highlight w:val="none"/>
        </w:rPr>
        <w:t>日</w:t>
      </w:r>
    </w:p>
    <w:p>
      <w:pPr>
        <w:autoSpaceDE w:val="0"/>
        <w:autoSpaceDN w:val="0"/>
        <w:adjustRightInd w:val="0"/>
        <w:spacing w:line="360" w:lineRule="auto"/>
        <w:rPr>
          <w:rFonts w:asciiTheme="minorEastAsia" w:hAnsiTheme="minorEastAsia" w:eastAsiaTheme="minorEastAsia" w:cstheme="minorEastAsia"/>
          <w:kern w:val="0"/>
          <w:szCs w:val="21"/>
          <w:highlight w:val="none"/>
        </w:rPr>
      </w:pPr>
    </w:p>
    <w:p>
      <w:pPr>
        <w:autoSpaceDE w:val="0"/>
        <w:autoSpaceDN w:val="0"/>
        <w:adjustRightInd w:val="0"/>
        <w:spacing w:line="360" w:lineRule="auto"/>
        <w:rPr>
          <w:rFonts w:asciiTheme="minorEastAsia" w:hAnsiTheme="minorEastAsia" w:eastAsiaTheme="minorEastAsia" w:cstheme="minorEastAsia"/>
          <w:kern w:val="0"/>
          <w:szCs w:val="21"/>
          <w:highlight w:val="none"/>
        </w:rPr>
      </w:pPr>
    </w:p>
    <w:p>
      <w:pPr>
        <w:autoSpaceDE w:val="0"/>
        <w:autoSpaceDN w:val="0"/>
        <w:adjustRightInd w:val="0"/>
        <w:spacing w:line="360" w:lineRule="auto"/>
        <w:rPr>
          <w:rFonts w:asciiTheme="minorEastAsia" w:hAnsiTheme="minorEastAsia" w:eastAsiaTheme="minorEastAsia" w:cstheme="minorEastAsia"/>
          <w:kern w:val="0"/>
          <w:szCs w:val="21"/>
          <w:highlight w:val="none"/>
        </w:rPr>
      </w:pPr>
    </w:p>
    <w:tbl>
      <w:tblPr>
        <w:tblStyle w:val="1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5" w:hRule="atLeast"/>
          <w:jc w:val="center"/>
        </w:trPr>
        <w:tc>
          <w:tcPr>
            <w:tcW w:w="9071" w:type="dxa"/>
          </w:tcPr>
          <w:p>
            <w:pPr>
              <w:spacing w:line="360" w:lineRule="auto"/>
              <w:rPr>
                <w:rFonts w:asciiTheme="minorEastAsia" w:hAnsiTheme="minorEastAsia" w:eastAsiaTheme="minorEastAsia" w:cstheme="minorEastAsia"/>
                <w:kern w:val="0"/>
                <w:szCs w:val="21"/>
                <w:highlight w:val="none"/>
              </w:rPr>
            </w:pPr>
            <w:r>
              <w:rPr>
                <w:rFonts w:hint="eastAsia"/>
                <w:highlight w:val="none"/>
              </w:rPr>
              <w:t>法定代表人身份证正反面（</w:t>
            </w:r>
            <w:r>
              <w:rPr>
                <w:rFonts w:hint="eastAsia"/>
                <w:highlight w:val="none"/>
                <w:lang w:eastAsia="zh-CN"/>
              </w:rPr>
              <w:t>复印件</w:t>
            </w:r>
            <w:r>
              <w:rPr>
                <w:rFonts w:hint="eastAsia"/>
                <w:highlight w:val="none"/>
              </w:rPr>
              <w:t>）：</w:t>
            </w:r>
          </w:p>
        </w:tc>
      </w:tr>
    </w:tbl>
    <w:p>
      <w:pPr>
        <w:spacing w:line="360" w:lineRule="auto"/>
        <w:rPr>
          <w:rFonts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注：本表适用于供应商不授权代理人，而由法定代表人直接参加磋商并签署响应文件的情况；</w:t>
      </w:r>
    </w:p>
    <w:p>
      <w:pPr>
        <w:rPr>
          <w:rFonts w:asciiTheme="minorEastAsia" w:hAnsiTheme="minorEastAsia" w:eastAsiaTheme="minorEastAsia" w:cstheme="minorEastAsia"/>
          <w:b/>
          <w:kern w:val="0"/>
          <w:szCs w:val="21"/>
          <w:highlight w:val="none"/>
        </w:rPr>
      </w:pPr>
    </w:p>
    <w:p>
      <w:pPr>
        <w:spacing w:line="360" w:lineRule="auto"/>
        <w:rPr>
          <w:rFonts w:asciiTheme="minorEastAsia" w:hAnsiTheme="minorEastAsia" w:eastAsiaTheme="minorEastAsia" w:cstheme="minorEastAsia"/>
          <w:szCs w:val="21"/>
          <w:highlight w:val="none"/>
        </w:rPr>
      </w:pPr>
    </w:p>
    <w:p>
      <w:pPr>
        <w:spacing w:line="360" w:lineRule="auto"/>
        <w:rPr>
          <w:rFonts w:asciiTheme="minorEastAsia" w:hAnsiTheme="minorEastAsia" w:eastAsiaTheme="minorEastAsia" w:cstheme="minorEastAsia"/>
          <w:bCs/>
          <w:szCs w:val="21"/>
          <w:highlight w:val="none"/>
        </w:rPr>
      </w:pPr>
    </w:p>
    <w:p>
      <w:pPr>
        <w:tabs>
          <w:tab w:val="left" w:pos="3969"/>
        </w:tabs>
        <w:spacing w:line="500" w:lineRule="exact"/>
        <w:rPr>
          <w:rFonts w:asciiTheme="minorEastAsia" w:hAnsiTheme="minorEastAsia" w:eastAsiaTheme="minorEastAsia" w:cstheme="minorEastAsia"/>
          <w:szCs w:val="21"/>
          <w:highlight w:val="none"/>
        </w:rPr>
      </w:pPr>
    </w:p>
    <w:p>
      <w:pPr>
        <w:tabs>
          <w:tab w:val="left" w:pos="540"/>
        </w:tabs>
        <w:autoSpaceDE w:val="0"/>
        <w:autoSpaceDN w:val="0"/>
        <w:adjustRightInd w:val="0"/>
        <w:spacing w:line="360" w:lineRule="auto"/>
        <w:jc w:val="center"/>
        <w:outlineLvl w:val="0"/>
        <w:rPr>
          <w:rFonts w:hint="eastAsia" w:asciiTheme="minorEastAsia" w:hAnsiTheme="minorEastAsia" w:eastAsiaTheme="minorEastAsia" w:cstheme="minorEastAsia"/>
          <w:b/>
          <w:bCs/>
          <w:sz w:val="24"/>
          <w:highlight w:val="none"/>
          <w:lang w:eastAsia="zh-CN"/>
        </w:rPr>
      </w:pPr>
      <w:bookmarkStart w:id="343" w:name="_Toc422466732"/>
      <w:bookmarkStart w:id="344" w:name="_Toc432149006"/>
      <w:r>
        <w:rPr>
          <w:rFonts w:hint="eastAsia" w:asciiTheme="minorEastAsia" w:hAnsiTheme="minorEastAsia" w:eastAsiaTheme="minorEastAsia" w:cstheme="minorEastAsia"/>
          <w:b/>
          <w:bCs/>
          <w:sz w:val="24"/>
          <w:highlight w:val="none"/>
        </w:rPr>
        <w:br w:type="page"/>
      </w:r>
      <w:bookmarkStart w:id="345" w:name="_Toc4301"/>
      <w:bookmarkStart w:id="346" w:name="_Toc8368"/>
      <w:bookmarkStart w:id="347" w:name="_Toc32286"/>
      <w:bookmarkStart w:id="348" w:name="_Toc3732"/>
      <w:bookmarkStart w:id="349" w:name="_Toc16891"/>
      <w:bookmarkStart w:id="350" w:name="_Toc28449"/>
      <w:bookmarkStart w:id="351" w:name="_Toc4741"/>
      <w:bookmarkStart w:id="352" w:name="_Toc479184128"/>
      <w:r>
        <w:rPr>
          <w:rStyle w:val="41"/>
          <w:rFonts w:hint="eastAsia"/>
          <w:b/>
          <w:bCs/>
          <w:highlight w:val="none"/>
          <w:lang w:eastAsia="zh-CN"/>
        </w:rPr>
        <w:t>六、报价一览表</w:t>
      </w:r>
      <w:bookmarkEnd w:id="343"/>
      <w:bookmarkEnd w:id="344"/>
      <w:bookmarkEnd w:id="345"/>
      <w:bookmarkEnd w:id="346"/>
      <w:bookmarkEnd w:id="347"/>
      <w:bookmarkEnd w:id="348"/>
      <w:bookmarkEnd w:id="349"/>
      <w:bookmarkEnd w:id="350"/>
      <w:bookmarkEnd w:id="351"/>
      <w:bookmarkEnd w:id="352"/>
    </w:p>
    <w:p>
      <w:pPr>
        <w:adjustRightInd w:val="0"/>
        <w:snapToGrid w:val="0"/>
        <w:ind w:left="-88" w:leftChars="-42"/>
        <w:rPr>
          <w:rFonts w:asciiTheme="minorEastAsia" w:hAnsiTheme="minorEastAsia" w:eastAsiaTheme="minorEastAsia" w:cstheme="minorEastAsia"/>
          <w:szCs w:val="21"/>
          <w:highlight w:val="none"/>
        </w:rPr>
      </w:pPr>
    </w:p>
    <w:p>
      <w:pPr>
        <w:adjustRightInd w:val="0"/>
        <w:snapToGrid w:val="0"/>
        <w:spacing w:line="360" w:lineRule="auto"/>
        <w:rPr>
          <w:rFonts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zCs w:val="21"/>
          <w:highlight w:val="none"/>
        </w:rPr>
        <w:t>项目名称：</w:t>
      </w:r>
    </w:p>
    <w:p>
      <w:pPr>
        <w:adjustRightInd w:val="0"/>
        <w:snapToGrid w:val="0"/>
        <w:spacing w:line="360" w:lineRule="auto"/>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项目编号：</w:t>
      </w:r>
    </w:p>
    <w:tbl>
      <w:tblPr>
        <w:tblStyle w:val="18"/>
        <w:tblW w:w="8584"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418"/>
        <w:gridCol w:w="61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2418"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供应商名称</w:t>
            </w:r>
          </w:p>
        </w:tc>
        <w:tc>
          <w:tcPr>
            <w:tcW w:w="6166"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2418" w:type="dxa"/>
            <w:vMerge w:val="restart"/>
            <w:tcBorders>
              <w:top w:val="single" w:color="auto" w:sz="4" w:space="0"/>
              <w:left w:val="single" w:color="auto" w:sz="4" w:space="0"/>
              <w:right w:val="single" w:color="auto" w:sz="4" w:space="0"/>
            </w:tcBorders>
            <w:vAlign w:val="center"/>
          </w:tcPr>
          <w:p>
            <w:pPr>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bCs/>
                <w:szCs w:val="21"/>
                <w:highlight w:val="none"/>
              </w:rPr>
              <w:t>竞标报价</w:t>
            </w:r>
            <w:r>
              <w:rPr>
                <w:rFonts w:hint="eastAsia" w:asciiTheme="minorEastAsia" w:hAnsiTheme="minorEastAsia" w:eastAsiaTheme="minorEastAsia" w:cstheme="minorEastAsia"/>
                <w:bCs/>
                <w:szCs w:val="21"/>
                <w:highlight w:val="none"/>
                <w:lang w:eastAsia="zh-CN"/>
              </w:rPr>
              <w:t>（元）</w:t>
            </w:r>
          </w:p>
        </w:tc>
        <w:tc>
          <w:tcPr>
            <w:tcW w:w="6166"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小写</w:t>
            </w:r>
            <w:r>
              <w:rPr>
                <w:rFonts w:hint="eastAsia" w:asciiTheme="minorEastAsia" w:hAnsiTheme="minorEastAsia" w:eastAsiaTheme="minorEastAsia" w:cstheme="minorEastAsia"/>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2418" w:type="dxa"/>
            <w:vMerge w:val="continue"/>
            <w:tcBorders>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bCs/>
                <w:szCs w:val="21"/>
                <w:highlight w:val="none"/>
              </w:rPr>
            </w:pPr>
          </w:p>
        </w:tc>
        <w:tc>
          <w:tcPr>
            <w:tcW w:w="6166"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大写</w:t>
            </w:r>
            <w:r>
              <w:rPr>
                <w:rFonts w:hint="eastAsia" w:asciiTheme="minorEastAsia" w:hAnsiTheme="minorEastAsia" w:eastAsiaTheme="minorEastAsia" w:cstheme="minorEastAsia"/>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2418"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lang w:eastAsia="zh-CN"/>
              </w:rPr>
              <w:t>合同履行期</w:t>
            </w:r>
          </w:p>
        </w:tc>
        <w:tc>
          <w:tcPr>
            <w:tcW w:w="6166"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2418"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lang w:eastAsia="zh-CN"/>
              </w:rPr>
              <w:t>质保期</w:t>
            </w:r>
          </w:p>
        </w:tc>
        <w:tc>
          <w:tcPr>
            <w:tcW w:w="6166"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13" w:hRule="atLeast"/>
        </w:trPr>
        <w:tc>
          <w:tcPr>
            <w:tcW w:w="2418"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优惠声明（如有）</w:t>
            </w:r>
          </w:p>
        </w:tc>
        <w:tc>
          <w:tcPr>
            <w:tcW w:w="6166"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2418"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备注</w:t>
            </w:r>
          </w:p>
        </w:tc>
        <w:tc>
          <w:tcPr>
            <w:tcW w:w="6166"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cstheme="minorEastAsia"/>
                <w:szCs w:val="21"/>
                <w:highlight w:val="none"/>
              </w:rPr>
            </w:pPr>
          </w:p>
        </w:tc>
      </w:tr>
    </w:tbl>
    <w:p>
      <w:pPr>
        <w:spacing w:line="360" w:lineRule="auto"/>
        <w:rPr>
          <w:rFonts w:hint="eastAsia" w:asciiTheme="minorEastAsia" w:hAnsiTheme="minorEastAsia" w:eastAsiaTheme="minorEastAsia" w:cstheme="minorEastAsia"/>
          <w:szCs w:val="21"/>
          <w:highlight w:val="none"/>
        </w:rPr>
      </w:pPr>
    </w:p>
    <w:p>
      <w:pPr>
        <w:spacing w:line="360" w:lineRule="auto"/>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说明</w:t>
      </w:r>
      <w:r>
        <w:rPr>
          <w:rFonts w:hint="eastAsia" w:asciiTheme="minorEastAsia" w:hAnsiTheme="minorEastAsia" w:eastAsiaTheme="minorEastAsia" w:cstheme="minorEastAsia"/>
          <w:bCs/>
          <w:szCs w:val="21"/>
          <w:highlight w:val="none"/>
        </w:rPr>
        <w:t>：</w:t>
      </w:r>
      <w:r>
        <w:rPr>
          <w:rFonts w:hint="eastAsia" w:asciiTheme="minorEastAsia" w:hAnsiTheme="minorEastAsia" w:eastAsiaTheme="minorEastAsia" w:cstheme="minorEastAsia"/>
          <w:szCs w:val="21"/>
          <w:highlight w:val="none"/>
        </w:rPr>
        <w:t>按照“供应商须知”的</w:t>
      </w:r>
      <w:r>
        <w:rPr>
          <w:rFonts w:hint="eastAsia" w:asciiTheme="minorEastAsia" w:hAnsiTheme="minorEastAsia" w:eastAsiaTheme="minorEastAsia" w:cstheme="minorEastAsia"/>
          <w:szCs w:val="21"/>
          <w:highlight w:val="none"/>
          <w:lang w:eastAsia="zh-CN"/>
        </w:rPr>
        <w:t>及采购文件</w:t>
      </w:r>
      <w:r>
        <w:rPr>
          <w:rFonts w:hint="eastAsia" w:asciiTheme="minorEastAsia" w:hAnsiTheme="minorEastAsia" w:eastAsiaTheme="minorEastAsia" w:cstheme="minorEastAsia"/>
          <w:szCs w:val="21"/>
          <w:highlight w:val="none"/>
        </w:rPr>
        <w:t>要求报价。</w:t>
      </w:r>
    </w:p>
    <w:p>
      <w:pPr>
        <w:spacing w:line="360" w:lineRule="auto"/>
        <w:rPr>
          <w:rFonts w:asciiTheme="minorEastAsia" w:hAnsiTheme="minorEastAsia" w:eastAsiaTheme="minorEastAsia" w:cstheme="minorEastAsia"/>
          <w:szCs w:val="21"/>
          <w:highlight w:val="none"/>
        </w:rPr>
      </w:pPr>
    </w:p>
    <w:p>
      <w:pPr>
        <w:spacing w:line="360" w:lineRule="auto"/>
        <w:rPr>
          <w:rFonts w:asciiTheme="minorEastAsia" w:hAnsiTheme="minorEastAsia" w:eastAsiaTheme="minorEastAsia" w:cstheme="minorEastAsia"/>
          <w:szCs w:val="21"/>
          <w:highlight w:val="none"/>
        </w:rPr>
      </w:pPr>
    </w:p>
    <w:p>
      <w:pPr>
        <w:spacing w:line="360" w:lineRule="auto"/>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供应商法定代表人</w:t>
      </w:r>
      <w:r>
        <w:rPr>
          <w:rFonts w:hint="eastAsia" w:asciiTheme="minorEastAsia" w:hAnsiTheme="minorEastAsia" w:eastAsiaTheme="minorEastAsia" w:cstheme="minorEastAsia"/>
          <w:szCs w:val="21"/>
          <w:highlight w:val="none"/>
          <w:lang w:eastAsia="zh-CN"/>
        </w:rPr>
        <w:t>或授权代表</w:t>
      </w:r>
      <w:r>
        <w:rPr>
          <w:rFonts w:hint="eastAsia" w:asciiTheme="minorEastAsia" w:hAnsiTheme="minorEastAsia" w:eastAsiaTheme="minorEastAsia" w:cstheme="minorEastAsia"/>
          <w:szCs w:val="21"/>
          <w:highlight w:val="none"/>
        </w:rPr>
        <w:t>（签字）：</w:t>
      </w:r>
    </w:p>
    <w:p>
      <w:pPr>
        <w:spacing w:line="360" w:lineRule="auto"/>
        <w:rPr>
          <w:rFonts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zCs w:val="21"/>
          <w:highlight w:val="none"/>
        </w:rPr>
        <w:t>供应商名称（盖章）：</w:t>
      </w:r>
    </w:p>
    <w:p>
      <w:pPr>
        <w:spacing w:line="360" w:lineRule="auto"/>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时                 间：</w:t>
      </w:r>
      <w:r>
        <w:rPr>
          <w:rFonts w:hint="eastAsia" w:asciiTheme="minorEastAsia" w:hAnsiTheme="minorEastAsia" w:eastAsiaTheme="minorEastAsia" w:cstheme="minorEastAsia"/>
          <w:szCs w:val="21"/>
          <w:highlight w:val="none"/>
          <w:lang w:val="en-US" w:eastAsia="zh-CN"/>
        </w:rPr>
        <w:t xml:space="preserve">      </w:t>
      </w:r>
      <w:r>
        <w:rPr>
          <w:rFonts w:hint="eastAsia" w:asciiTheme="minorEastAsia" w:hAnsiTheme="minorEastAsia" w:eastAsiaTheme="minorEastAsia" w:cstheme="minorEastAsia"/>
          <w:szCs w:val="21"/>
          <w:highlight w:val="none"/>
        </w:rPr>
        <w:t>年</w:t>
      </w:r>
      <w:r>
        <w:rPr>
          <w:rFonts w:hint="eastAsia" w:asciiTheme="minorEastAsia" w:hAnsiTheme="minorEastAsia" w:eastAsiaTheme="minorEastAsia" w:cstheme="minorEastAsia"/>
          <w:szCs w:val="21"/>
          <w:highlight w:val="none"/>
          <w:lang w:val="en-US" w:eastAsia="zh-CN"/>
        </w:rPr>
        <w:t xml:space="preserve">   </w:t>
      </w:r>
      <w:r>
        <w:rPr>
          <w:rFonts w:hint="eastAsia" w:asciiTheme="minorEastAsia" w:hAnsiTheme="minorEastAsia" w:eastAsiaTheme="minorEastAsia" w:cstheme="minorEastAsia"/>
          <w:szCs w:val="21"/>
          <w:highlight w:val="none"/>
        </w:rPr>
        <w:t>月</w:t>
      </w:r>
      <w:r>
        <w:rPr>
          <w:rFonts w:hint="eastAsia" w:asciiTheme="minorEastAsia" w:hAnsiTheme="minorEastAsia" w:eastAsiaTheme="minorEastAsia" w:cstheme="minorEastAsia"/>
          <w:szCs w:val="21"/>
          <w:highlight w:val="none"/>
          <w:lang w:val="en-US" w:eastAsia="zh-CN"/>
        </w:rPr>
        <w:t xml:space="preserve">   </w:t>
      </w:r>
      <w:r>
        <w:rPr>
          <w:rFonts w:hint="eastAsia" w:asciiTheme="minorEastAsia" w:hAnsiTheme="minorEastAsia" w:eastAsiaTheme="minorEastAsia" w:cstheme="minorEastAsia"/>
          <w:szCs w:val="21"/>
          <w:highlight w:val="none"/>
        </w:rPr>
        <w:t>日</w:t>
      </w:r>
    </w:p>
    <w:p>
      <w:pPr>
        <w:tabs>
          <w:tab w:val="left" w:pos="540"/>
        </w:tabs>
        <w:autoSpaceDE w:val="0"/>
        <w:autoSpaceDN w:val="0"/>
        <w:adjustRightInd w:val="0"/>
        <w:spacing w:line="360" w:lineRule="auto"/>
        <w:jc w:val="center"/>
        <w:outlineLvl w:val="0"/>
        <w:rPr>
          <w:rFonts w:hint="default" w:asciiTheme="minorEastAsia" w:hAnsiTheme="minorEastAsia" w:eastAsiaTheme="minorEastAsia" w:cstheme="minorEastAsia"/>
          <w:b/>
          <w:bCs/>
          <w:sz w:val="24"/>
          <w:highlight w:val="none"/>
          <w:lang w:val="en-US" w:eastAsia="zh-CN"/>
        </w:rPr>
      </w:pPr>
      <w:bookmarkStart w:id="353" w:name="_Toc460258117"/>
      <w:bookmarkStart w:id="354" w:name="_Toc259028723"/>
      <w:bookmarkStart w:id="355" w:name="_Toc424832831"/>
      <w:bookmarkStart w:id="356" w:name="_Toc432149007"/>
      <w:r>
        <w:rPr>
          <w:rFonts w:hint="eastAsia" w:asciiTheme="minorEastAsia" w:hAnsiTheme="minorEastAsia" w:eastAsiaTheme="minorEastAsia" w:cstheme="minorEastAsia"/>
          <w:b/>
          <w:bCs/>
          <w:sz w:val="24"/>
          <w:highlight w:val="none"/>
        </w:rPr>
        <w:br w:type="page"/>
      </w:r>
      <w:bookmarkStart w:id="357" w:name="_Toc5424"/>
      <w:bookmarkStart w:id="358" w:name="_Toc32377"/>
      <w:bookmarkStart w:id="359" w:name="_Toc18559"/>
      <w:bookmarkStart w:id="360" w:name="_Toc15229"/>
      <w:bookmarkStart w:id="361" w:name="_Toc1079"/>
      <w:bookmarkStart w:id="362" w:name="_Toc30253"/>
      <w:bookmarkStart w:id="363" w:name="_Toc479184129"/>
      <w:bookmarkStart w:id="364" w:name="_Toc30497"/>
      <w:r>
        <w:rPr>
          <w:rStyle w:val="41"/>
          <w:rFonts w:hint="eastAsia"/>
          <w:b/>
          <w:bCs/>
          <w:highlight w:val="none"/>
          <w:lang w:eastAsia="zh-CN"/>
        </w:rPr>
        <w:t>七、</w:t>
      </w:r>
      <w:bookmarkEnd w:id="353"/>
      <w:bookmarkEnd w:id="354"/>
      <w:bookmarkEnd w:id="357"/>
      <w:bookmarkEnd w:id="358"/>
      <w:bookmarkEnd w:id="359"/>
      <w:bookmarkEnd w:id="360"/>
      <w:bookmarkEnd w:id="361"/>
      <w:bookmarkEnd w:id="362"/>
      <w:bookmarkEnd w:id="363"/>
      <w:bookmarkEnd w:id="364"/>
      <w:r>
        <w:rPr>
          <w:rStyle w:val="41"/>
          <w:rFonts w:hint="eastAsia"/>
          <w:b/>
          <w:bCs/>
          <w:highlight w:val="none"/>
          <w:lang w:eastAsia="zh-CN"/>
        </w:rPr>
        <w:t>分项报价表（参考格式）</w:t>
      </w:r>
    </w:p>
    <w:p>
      <w:pPr>
        <w:adjustRightInd w:val="0"/>
        <w:snapToGrid w:val="0"/>
        <w:spacing w:line="360" w:lineRule="auto"/>
        <w:ind w:left="-88" w:leftChars="-42"/>
        <w:jc w:val="left"/>
        <w:rPr>
          <w:rFonts w:hint="eastAsia" w:ascii="宋体" w:hAnsi="宋体" w:eastAsia="宋体" w:cs="宋体"/>
          <w:sz w:val="21"/>
          <w:szCs w:val="21"/>
          <w:highlight w:val="none"/>
        </w:rPr>
      </w:pPr>
      <w:bookmarkStart w:id="365" w:name="_Toc58665125"/>
      <w:bookmarkStart w:id="366" w:name="_Toc114371525"/>
      <w:bookmarkStart w:id="367" w:name="_Toc114371676"/>
      <w:bookmarkStart w:id="368" w:name="_Toc114375866"/>
      <w:bookmarkStart w:id="369" w:name="_Toc11280"/>
      <w:bookmarkStart w:id="370" w:name="_Toc32726"/>
      <w:bookmarkStart w:id="371" w:name="_Toc9196"/>
      <w:bookmarkStart w:id="372" w:name="_Toc114377000"/>
      <w:bookmarkStart w:id="373" w:name="_Toc428624707"/>
      <w:bookmarkStart w:id="374" w:name="_Toc479184131"/>
      <w:bookmarkStart w:id="375" w:name="_Toc20316"/>
      <w:bookmarkStart w:id="376" w:name="_Toc114916896"/>
      <w:bookmarkStart w:id="377" w:name="_Toc7535"/>
      <w:bookmarkStart w:id="378" w:name="_Toc114916957"/>
      <w:bookmarkStart w:id="379" w:name="_Toc19482"/>
      <w:bookmarkStart w:id="380" w:name="_Toc78098337"/>
      <w:bookmarkStart w:id="381" w:name="_Toc112752897"/>
      <w:bookmarkStart w:id="382" w:name="_Toc114887903"/>
      <w:r>
        <w:rPr>
          <w:rFonts w:hint="eastAsia" w:ascii="宋体" w:hAnsi="宋体" w:eastAsia="宋体" w:cs="宋体"/>
          <w:sz w:val="21"/>
          <w:szCs w:val="21"/>
          <w:highlight w:val="none"/>
          <w:lang w:eastAsia="zh-CN"/>
        </w:rPr>
        <w:t>项目</w:t>
      </w:r>
      <w:r>
        <w:rPr>
          <w:rFonts w:hint="eastAsia" w:ascii="宋体" w:hAnsi="宋体" w:eastAsia="宋体" w:cs="宋体"/>
          <w:sz w:val="21"/>
          <w:szCs w:val="21"/>
          <w:highlight w:val="none"/>
        </w:rPr>
        <w:t xml:space="preserve">名称:                               </w:t>
      </w:r>
      <w:r>
        <w:rPr>
          <w:rFonts w:hint="eastAsia" w:ascii="宋体" w:hAnsi="宋体" w:eastAsia="宋体" w:cs="宋体"/>
          <w:sz w:val="21"/>
          <w:szCs w:val="21"/>
          <w:highlight w:val="none"/>
          <w:lang w:eastAsia="zh-CN"/>
        </w:rPr>
        <w:t>项目编号</w:t>
      </w:r>
      <w:r>
        <w:rPr>
          <w:rFonts w:hint="eastAsia" w:ascii="宋体" w:hAnsi="宋体" w:eastAsia="宋体" w:cs="宋体"/>
          <w:sz w:val="21"/>
          <w:szCs w:val="21"/>
          <w:highlight w:val="none"/>
        </w:rPr>
        <w:t>:</w:t>
      </w:r>
    </w:p>
    <w:p>
      <w:pPr>
        <w:pStyle w:val="7"/>
        <w:rPr>
          <w:rFonts w:hint="eastAsia" w:ascii="宋体" w:hAnsi="宋体" w:eastAsia="宋体" w:cs="宋体"/>
          <w:sz w:val="21"/>
          <w:szCs w:val="21"/>
          <w:highlight w:val="none"/>
        </w:rPr>
      </w:pPr>
    </w:p>
    <w:tbl>
      <w:tblPr>
        <w:tblStyle w:val="18"/>
        <w:tblW w:w="871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2"/>
        <w:gridCol w:w="44"/>
        <w:gridCol w:w="1186"/>
        <w:gridCol w:w="784"/>
        <w:gridCol w:w="1181"/>
        <w:gridCol w:w="365"/>
        <w:gridCol w:w="618"/>
        <w:gridCol w:w="216"/>
        <w:gridCol w:w="105"/>
        <w:gridCol w:w="1606"/>
        <w:gridCol w:w="61"/>
        <w:gridCol w:w="919"/>
        <w:gridCol w:w="9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4" w:hRule="atLeast"/>
        </w:trPr>
        <w:tc>
          <w:tcPr>
            <w:tcW w:w="871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b/>
                <w:bCs/>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堤防防治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4"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堤防名称</w:t>
            </w:r>
          </w:p>
        </w:tc>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桩号起止</w:t>
            </w:r>
          </w:p>
        </w:tc>
        <w:tc>
          <w:tcPr>
            <w:tcW w:w="11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lang w:eastAsia="zh-CN"/>
              </w:rPr>
            </w:pPr>
            <w:r>
              <w:rPr>
                <w:rFonts w:hint="eastAsia" w:ascii="宋体" w:hAnsi="宋体" w:cs="宋体"/>
                <w:b/>
                <w:bCs/>
                <w:i w:val="0"/>
                <w:iCs w:val="0"/>
                <w:color w:val="000000"/>
                <w:sz w:val="24"/>
                <w:szCs w:val="24"/>
                <w:highlight w:val="none"/>
                <w:u w:val="none"/>
                <w:lang w:eastAsia="zh-CN"/>
              </w:rPr>
              <w:t>工程量（</w:t>
            </w:r>
            <w:r>
              <w:rPr>
                <w:rFonts w:hint="eastAsia" w:ascii="宋体" w:hAnsi="宋体" w:cs="宋体"/>
                <w:b/>
                <w:bCs/>
                <w:i w:val="0"/>
                <w:iCs w:val="0"/>
                <w:color w:val="000000"/>
                <w:sz w:val="24"/>
                <w:szCs w:val="24"/>
                <w:highlight w:val="none"/>
                <w:u w:val="none"/>
                <w:lang w:val="en-US" w:eastAsia="zh-CN"/>
              </w:rPr>
              <w:t>km</w:t>
            </w:r>
            <w:r>
              <w:rPr>
                <w:rFonts w:hint="eastAsia" w:ascii="宋体" w:hAnsi="宋体" w:cs="宋体"/>
                <w:b/>
                <w:bCs/>
                <w:i w:val="0"/>
                <w:iCs w:val="0"/>
                <w:color w:val="000000"/>
                <w:sz w:val="24"/>
                <w:szCs w:val="24"/>
                <w:highlight w:val="none"/>
                <w:u w:val="none"/>
                <w:lang w:eastAsia="zh-CN"/>
              </w:rPr>
              <w:t>）</w:t>
            </w: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治理方法</w:t>
            </w: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单价</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总价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9"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府澴河左</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堤</w:t>
            </w:r>
          </w:p>
        </w:tc>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0+000-17+376</w:t>
            </w:r>
          </w:p>
        </w:tc>
        <w:tc>
          <w:tcPr>
            <w:tcW w:w="119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17.376</w:t>
            </w: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打孔灌药、投</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放诱杀包、设</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置监测点</w:t>
            </w: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2"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府澴河左</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堤</w:t>
            </w:r>
          </w:p>
        </w:tc>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18+200-20+000</w:t>
            </w:r>
          </w:p>
        </w:tc>
        <w:tc>
          <w:tcPr>
            <w:tcW w:w="119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w:t>
            </w: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打孔灌药、投</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放诱杀包、设</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置监测点</w:t>
            </w: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9" w:hRule="atLeast"/>
        </w:trPr>
        <w:tc>
          <w:tcPr>
            <w:tcW w:w="712" w:type="dxa"/>
            <w:tcBorders>
              <w:top w:val="single" w:color="000000" w:sz="4" w:space="0"/>
              <w:left w:val="single" w:color="000000" w:sz="4" w:space="0"/>
              <w:bottom w:val="single" w:color="auto" w:sz="4" w:space="0"/>
              <w:right w:val="single" w:color="auto" w:sz="4" w:space="0"/>
            </w:tcBorders>
            <w:shd w:val="clear" w:color="auto" w:fill="auto"/>
            <w:noWrap/>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230" w:type="dxa"/>
            <w:gridSpan w:val="2"/>
            <w:tcBorders>
              <w:top w:val="single" w:color="auto" w:sz="4" w:space="0"/>
              <w:left w:val="single" w:color="auto" w:sz="4" w:space="0"/>
              <w:bottom w:val="single" w:color="auto"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府澴河右</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堤</w:t>
            </w:r>
          </w:p>
        </w:tc>
        <w:tc>
          <w:tcPr>
            <w:tcW w:w="1965" w:type="dxa"/>
            <w:gridSpan w:val="2"/>
            <w:tcBorders>
              <w:top w:val="single" w:color="auto" w:sz="4" w:space="0"/>
              <w:left w:val="single" w:color="000000" w:sz="4" w:space="0"/>
              <w:bottom w:val="single" w:color="auto"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14+000-16+400</w:t>
            </w:r>
          </w:p>
        </w:tc>
        <w:tc>
          <w:tcPr>
            <w:tcW w:w="1199" w:type="dxa"/>
            <w:gridSpan w:val="3"/>
            <w:tcBorders>
              <w:top w:val="single" w:color="auto" w:sz="4" w:space="0"/>
              <w:left w:val="single" w:color="000000" w:sz="4" w:space="0"/>
              <w:bottom w:val="single" w:color="auto"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2.4</w:t>
            </w:r>
          </w:p>
        </w:tc>
        <w:tc>
          <w:tcPr>
            <w:tcW w:w="1711" w:type="dxa"/>
            <w:gridSpan w:val="2"/>
            <w:tcBorders>
              <w:top w:val="single" w:color="auto" w:sz="4" w:space="0"/>
              <w:left w:val="single" w:color="000000"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打孔灌药、投</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放诱杀包、设</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置监测点</w:t>
            </w:r>
          </w:p>
        </w:tc>
        <w:tc>
          <w:tcPr>
            <w:tcW w:w="980" w:type="dxa"/>
            <w:gridSpan w:val="2"/>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22"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6817" w:type="dxa"/>
            <w:gridSpan w:val="10"/>
            <w:tcBorders>
              <w:top w:val="single" w:color="auto" w:sz="4" w:space="0"/>
              <w:left w:val="single" w:color="000000"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eastAsia="zh-CN"/>
              </w:rPr>
            </w:pPr>
            <w:r>
              <w:rPr>
                <w:rFonts w:hint="eastAsia" w:ascii="宋体" w:hAnsi="宋体" w:cs="宋体"/>
                <w:b/>
                <w:bCs/>
                <w:i w:val="0"/>
                <w:iCs w:val="0"/>
                <w:color w:val="000000"/>
                <w:sz w:val="24"/>
                <w:szCs w:val="24"/>
                <w:highlight w:val="none"/>
                <w:u w:val="none"/>
                <w:lang w:eastAsia="zh-CN"/>
              </w:rPr>
              <w:t>小计</w:t>
            </w:r>
          </w:p>
        </w:tc>
        <w:tc>
          <w:tcPr>
            <w:tcW w:w="980" w:type="dxa"/>
            <w:gridSpan w:val="2"/>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22"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71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5"/>
                <w:highlight w:val="none"/>
                <w:lang w:val="en-US" w:eastAsia="zh-CN" w:bidi="ar"/>
              </w:rPr>
            </w:pPr>
            <w:r>
              <w:rPr>
                <w:rStyle w:val="55"/>
                <w:highlight w:val="none"/>
                <w:lang w:val="en-US" w:eastAsia="zh-CN" w:bidi="ar"/>
              </w:rPr>
              <w:t>水库普查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Style w:val="55"/>
                <w:highlight w:val="none"/>
                <w:lang w:val="en-US" w:eastAsia="zh-CN" w:bidi="ar"/>
              </w:rPr>
              <w:t>序号</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lang w:eastAsia="zh-CN"/>
              </w:rPr>
            </w:pPr>
            <w:r>
              <w:rPr>
                <w:rFonts w:hint="eastAsia" w:ascii="宋体" w:hAnsi="宋体" w:cs="宋体"/>
                <w:b/>
                <w:bCs/>
                <w:i w:val="0"/>
                <w:iCs w:val="0"/>
                <w:color w:val="000000"/>
                <w:sz w:val="24"/>
                <w:szCs w:val="24"/>
                <w:highlight w:val="none"/>
                <w:u w:val="none"/>
                <w:lang w:eastAsia="zh-CN"/>
              </w:rPr>
              <w:t>工程名称</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lang w:eastAsia="zh-CN"/>
              </w:rPr>
            </w:pPr>
            <w:r>
              <w:rPr>
                <w:rFonts w:hint="eastAsia" w:ascii="宋体" w:hAnsi="宋体" w:cs="宋体"/>
                <w:b/>
                <w:bCs/>
                <w:i w:val="0"/>
                <w:iCs w:val="0"/>
                <w:color w:val="000000"/>
                <w:sz w:val="24"/>
                <w:szCs w:val="24"/>
                <w:highlight w:val="none"/>
                <w:u w:val="none"/>
                <w:lang w:eastAsia="zh-CN"/>
              </w:rPr>
              <w:t>类型</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Style w:val="55"/>
                <w:highlight w:val="none"/>
                <w:lang w:val="en-US" w:eastAsia="zh-CN" w:bidi="ar"/>
              </w:rPr>
              <w:t>备注</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5"/>
                <w:highlight w:val="none"/>
                <w:lang w:val="en-US" w:eastAsia="zh-CN" w:bidi="ar"/>
              </w:rPr>
            </w:pPr>
            <w:r>
              <w:rPr>
                <w:rStyle w:val="55"/>
                <w:highlight w:val="none"/>
                <w:lang w:val="en-US" w:eastAsia="zh-CN" w:bidi="ar"/>
              </w:rPr>
              <w:t>单价</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5"/>
                <w:highlight w:val="none"/>
                <w:lang w:val="en-US" w:eastAsia="zh-CN" w:bidi="ar"/>
              </w:rPr>
            </w:pPr>
            <w:r>
              <w:rPr>
                <w:rStyle w:val="55"/>
                <w:highlight w:val="none"/>
                <w:lang w:val="en-US" w:eastAsia="zh-CN" w:bidi="ar"/>
              </w:rPr>
              <w:t>总价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郑家河</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大（2）型</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徐家河</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大（2）型</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八汊洼</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中型</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群建</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小（1）</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石板沟</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小（1）</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韩桥</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小（1）</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丰产</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小（1）</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刘寨</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小（1）</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安全</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小（1）</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围堰</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茨林</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百草湖</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杨店群力</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破山口</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众股</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王家楼</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幸福</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郑家堰</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雀背塘</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三角塘</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松林</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西河群力</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23</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白龙碑</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24</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五一</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龙须后湖</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大塘洼</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群益</w:t>
            </w:r>
          </w:p>
        </w:tc>
        <w:tc>
          <w:tcPr>
            <w:tcW w:w="2164"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小（2）</w:t>
            </w:r>
          </w:p>
        </w:tc>
        <w:tc>
          <w:tcPr>
            <w:tcW w:w="198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eastAsia="zh-CN"/>
              </w:rPr>
            </w:pPr>
            <w:r>
              <w:rPr>
                <w:rFonts w:hint="eastAsia" w:ascii="宋体" w:hAnsi="宋体" w:cs="宋体"/>
                <w:b/>
                <w:bCs/>
                <w:i w:val="0"/>
                <w:iCs w:val="0"/>
                <w:color w:val="000000"/>
                <w:sz w:val="24"/>
                <w:szCs w:val="24"/>
                <w:highlight w:val="none"/>
                <w:u w:val="none"/>
                <w:lang w:eastAsia="zh-CN"/>
              </w:rPr>
              <w:t>小计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8719" w:type="dxa"/>
            <w:gridSpan w:val="1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32"/>
                <w:szCs w:val="32"/>
                <w:highlight w:val="none"/>
                <w:u w:val="none"/>
                <w:lang w:val="en-US" w:eastAsia="zh-CN" w:bidi="ar"/>
              </w:rPr>
              <w:t>堤防普查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工程名称</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长度（km）</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级别</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备注</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单价</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总价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澴河左堤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（17+144-36+944）</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19.8</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澴河右堤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（0+000-27+822）</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27.822</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童家湖堤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（0+000-7+000）</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幸福垸堤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（0+000-4+917）</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4.917</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府河左堤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（18+200-20+000）</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府河右堤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 14+450、</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3+210— 18+630）</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29.87</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沦左堤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（0+000-12+550）</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12.55</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澴河左堤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 17+144）</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17.144</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澴河左堤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（0+000—6+176）</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6.176</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府澴河左堤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 17+376）</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17.376</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府澴河左堤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（0+000－0+956、</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0+000—3+290）</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4.246</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府澴河右堤</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（1+580—3+210）</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1.63</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野猪湖北堤</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野猪湖南堤</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4.2</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王母湖西汊堤</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4.1</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大教湖堤</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陈家河左堤</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6.5</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陈家河右堤</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6.3</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滚子河右堤</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滚子河左堤</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15.27</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界河祝站段</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女儿港左堤</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23</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女儿港右堤</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24</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杨店河左堤</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6.5</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杨店河右堤</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6.5</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复兴河左堤</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复兴河右堤</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6.6</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黄家寨河左堤</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黄家寨河右堤</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老澴河左堤</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老澴河右堤</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邓家河左堤</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w:t>
            </w:r>
          </w:p>
        </w:tc>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邓家河右堤</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93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级</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6878" w:type="dxa"/>
            <w:gridSpan w:val="11"/>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小计</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56"/>
                <w:highlight w:val="none"/>
                <w:lang w:val="en-US" w:eastAsia="zh-CN" w:bidi="ar"/>
              </w:rPr>
            </w:pPr>
          </w:p>
        </w:tc>
      </w:tr>
    </w:tbl>
    <w:tbl>
      <w:tblPr>
        <w:tblStyle w:val="57"/>
        <w:tblW w:w="525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85"/>
        <w:gridCol w:w="1785"/>
        <w:gridCol w:w="1344"/>
        <w:gridCol w:w="1309"/>
        <w:gridCol w:w="1656"/>
        <w:gridCol w:w="955"/>
        <w:gridCol w:w="9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6" w:hRule="atLeast"/>
        </w:trPr>
        <w:tc>
          <w:tcPr>
            <w:tcW w:w="5000" w:type="pct"/>
            <w:gridSpan w:val="7"/>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highlight w:val="none"/>
                <w:u w:val="none"/>
                <w:lang w:val="en-US" w:eastAsia="zh-CN" w:bidi="ar"/>
              </w:rPr>
            </w:pPr>
            <w:r>
              <w:rPr>
                <w:rFonts w:hint="eastAsia" w:ascii="宋体" w:hAnsi="宋体" w:eastAsia="宋体" w:cs="宋体"/>
                <w:b/>
                <w:bCs/>
                <w:i w:val="0"/>
                <w:iCs w:val="0"/>
                <w:color w:val="000000"/>
                <w:kern w:val="0"/>
                <w:sz w:val="32"/>
                <w:szCs w:val="32"/>
                <w:highlight w:val="none"/>
                <w:u w:val="none"/>
                <w:lang w:val="en-US" w:eastAsia="zh-CN" w:bidi="ar"/>
              </w:rPr>
              <w:t>灌区高填方渠道普查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 w:hRule="atLeast"/>
        </w:trPr>
        <w:tc>
          <w:tcPr>
            <w:tcW w:w="449" w:type="pct"/>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1021" w:type="pct"/>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灌区名称</w:t>
            </w:r>
          </w:p>
        </w:tc>
        <w:tc>
          <w:tcPr>
            <w:tcW w:w="769" w:type="pct"/>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渠道名称</w:t>
            </w:r>
          </w:p>
        </w:tc>
        <w:tc>
          <w:tcPr>
            <w:tcW w:w="749" w:type="pct"/>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渠道长度</w:t>
            </w:r>
          </w:p>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（km）</w:t>
            </w:r>
          </w:p>
        </w:tc>
        <w:tc>
          <w:tcPr>
            <w:tcW w:w="944" w:type="pct"/>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备注</w:t>
            </w:r>
          </w:p>
        </w:tc>
        <w:tc>
          <w:tcPr>
            <w:tcW w:w="546" w:type="pct"/>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单价</w:t>
            </w:r>
          </w:p>
        </w:tc>
        <w:tc>
          <w:tcPr>
            <w:tcW w:w="518" w:type="pct"/>
            <w:vAlign w:val="top"/>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总价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44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21"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环东灌区田家岗</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片灌区</w:t>
            </w:r>
          </w:p>
        </w:tc>
        <w:tc>
          <w:tcPr>
            <w:tcW w:w="76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干渠</w:t>
            </w:r>
          </w:p>
        </w:tc>
        <w:tc>
          <w:tcPr>
            <w:tcW w:w="74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944"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546"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518"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44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21"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环东灌区石塔寺</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片灌区</w:t>
            </w:r>
          </w:p>
        </w:tc>
        <w:tc>
          <w:tcPr>
            <w:tcW w:w="76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主干渠</w:t>
            </w:r>
          </w:p>
        </w:tc>
        <w:tc>
          <w:tcPr>
            <w:tcW w:w="74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944"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546"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518"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44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021"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环东灌区三元宫</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片灌区</w:t>
            </w:r>
          </w:p>
        </w:tc>
        <w:tc>
          <w:tcPr>
            <w:tcW w:w="76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主干渠</w:t>
            </w:r>
          </w:p>
        </w:tc>
        <w:tc>
          <w:tcPr>
            <w:tcW w:w="74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944"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546"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518"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44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1021" w:type="pct"/>
            <w:tcBorders>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环东灌区盛家湾</w:t>
            </w:r>
          </w:p>
        </w:tc>
        <w:tc>
          <w:tcPr>
            <w:tcW w:w="76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一站渠系</w:t>
            </w:r>
          </w:p>
        </w:tc>
        <w:tc>
          <w:tcPr>
            <w:tcW w:w="74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w:t>
            </w:r>
          </w:p>
        </w:tc>
        <w:tc>
          <w:tcPr>
            <w:tcW w:w="944"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546"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518"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44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021" w:type="pct"/>
            <w:tcBorders>
              <w:top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片灌区</w:t>
            </w:r>
          </w:p>
        </w:tc>
        <w:tc>
          <w:tcPr>
            <w:tcW w:w="76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二站渠系</w:t>
            </w:r>
          </w:p>
        </w:tc>
        <w:tc>
          <w:tcPr>
            <w:tcW w:w="74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944"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546"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518"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4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1021" w:type="pct"/>
            <w:vMerge w:val="restart"/>
            <w:tcBorders>
              <w:bottom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环东灌区野猪湖</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片灌区</w:t>
            </w:r>
          </w:p>
        </w:tc>
        <w:tc>
          <w:tcPr>
            <w:tcW w:w="76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一站主干渠</w:t>
            </w:r>
          </w:p>
        </w:tc>
        <w:tc>
          <w:tcPr>
            <w:tcW w:w="74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944"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546"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518"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44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1021" w:type="pct"/>
            <w:vMerge w:val="continue"/>
            <w:tcBorders>
              <w:top w:val="nil"/>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二站东干渠</w:t>
            </w:r>
          </w:p>
        </w:tc>
        <w:tc>
          <w:tcPr>
            <w:tcW w:w="74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944"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546"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518"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44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1021"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环东灌区周家山</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片灌区</w:t>
            </w:r>
          </w:p>
        </w:tc>
        <w:tc>
          <w:tcPr>
            <w:tcW w:w="76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干渠</w:t>
            </w:r>
          </w:p>
        </w:tc>
        <w:tc>
          <w:tcPr>
            <w:tcW w:w="74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0.25</w:t>
            </w:r>
          </w:p>
        </w:tc>
        <w:tc>
          <w:tcPr>
            <w:tcW w:w="944"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546"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518"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44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1021"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北水堤灌区</w:t>
            </w:r>
          </w:p>
        </w:tc>
        <w:tc>
          <w:tcPr>
            <w:tcW w:w="76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一站主干渠</w:t>
            </w:r>
          </w:p>
        </w:tc>
        <w:tc>
          <w:tcPr>
            <w:tcW w:w="74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0.27</w:t>
            </w:r>
          </w:p>
        </w:tc>
        <w:tc>
          <w:tcPr>
            <w:tcW w:w="944"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春秋各一次</w:t>
            </w:r>
          </w:p>
        </w:tc>
        <w:tc>
          <w:tcPr>
            <w:tcW w:w="546"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518"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935" w:type="pct"/>
            <w:gridSpan w:val="5"/>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小计</w:t>
            </w:r>
          </w:p>
        </w:tc>
        <w:tc>
          <w:tcPr>
            <w:tcW w:w="546"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518"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449" w:type="pct"/>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cs="宋体"/>
                <w:i w:val="0"/>
                <w:iCs w:val="0"/>
                <w:color w:val="000000"/>
                <w:kern w:val="0"/>
                <w:sz w:val="24"/>
                <w:szCs w:val="24"/>
                <w:highlight w:val="none"/>
                <w:u w:val="none"/>
                <w:lang w:val="en-US" w:eastAsia="zh-CN" w:bidi="ar"/>
              </w:rPr>
              <w:t>....</w:t>
            </w:r>
          </w:p>
        </w:tc>
        <w:tc>
          <w:tcPr>
            <w:tcW w:w="1021"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cs="宋体"/>
                <w:i w:val="0"/>
                <w:iCs w:val="0"/>
                <w:color w:val="000000"/>
                <w:kern w:val="0"/>
                <w:sz w:val="24"/>
                <w:szCs w:val="24"/>
                <w:highlight w:val="none"/>
                <w:u w:val="none"/>
                <w:lang w:val="en-US" w:eastAsia="zh-CN" w:bidi="ar"/>
              </w:rPr>
              <w:t>其它</w:t>
            </w:r>
          </w:p>
        </w:tc>
        <w:tc>
          <w:tcPr>
            <w:tcW w:w="76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49"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44"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546"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518"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4481" w:type="pct"/>
            <w:gridSpan w:val="6"/>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合计</w:t>
            </w:r>
          </w:p>
        </w:tc>
        <w:tc>
          <w:tcPr>
            <w:tcW w:w="518" w:type="pct"/>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bl>
    <w:p/>
    <w:p>
      <w:pPr>
        <w:widowControl/>
        <w:adjustRightInd w:val="0"/>
        <w:snapToGrid w:val="0"/>
        <w:spacing w:line="500" w:lineRule="exact"/>
        <w:ind w:left="-88" w:leftChars="-42"/>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说明：</w:t>
      </w:r>
    </w:p>
    <w:p>
      <w:pPr>
        <w:widowControl/>
        <w:adjustRightInd w:val="0"/>
        <w:snapToGrid w:val="0"/>
        <w:spacing w:line="500" w:lineRule="exact"/>
        <w:ind w:left="-88" w:leftChars="-42"/>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（1）所有价格均用人民币表示，单位为元</w:t>
      </w:r>
      <w:r>
        <w:rPr>
          <w:rFonts w:hint="eastAsia" w:ascii="宋体" w:hAnsi="宋体" w:cs="宋体"/>
          <w:sz w:val="21"/>
          <w:szCs w:val="21"/>
          <w:highlight w:val="none"/>
          <w:lang w:eastAsia="zh-CN"/>
        </w:rPr>
        <w:t>，精确到小数点后两位</w:t>
      </w:r>
      <w:r>
        <w:rPr>
          <w:rFonts w:hint="eastAsia" w:ascii="宋体" w:hAnsi="宋体" w:eastAsia="宋体" w:cs="宋体"/>
          <w:sz w:val="21"/>
          <w:szCs w:val="21"/>
          <w:highlight w:val="none"/>
        </w:rPr>
        <w:t>。</w:t>
      </w:r>
    </w:p>
    <w:p>
      <w:pPr>
        <w:widowControl/>
        <w:adjustRightInd w:val="0"/>
        <w:snapToGrid w:val="0"/>
        <w:spacing w:line="500" w:lineRule="exact"/>
        <w:ind w:left="-88" w:leftChars="-42"/>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（2）如果单价与总价不符时，以单价为准，并修正总价。</w:t>
      </w:r>
    </w:p>
    <w:p>
      <w:pPr>
        <w:widowControl/>
        <w:adjustRightInd w:val="0"/>
        <w:snapToGrid w:val="0"/>
        <w:spacing w:line="500" w:lineRule="exact"/>
        <w:ind w:left="-88" w:leftChars="-42"/>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合计</w:t>
      </w:r>
      <w:r>
        <w:rPr>
          <w:rFonts w:hint="eastAsia" w:ascii="宋体" w:hAnsi="宋体" w:eastAsia="宋体" w:cs="宋体"/>
          <w:sz w:val="21"/>
          <w:szCs w:val="21"/>
          <w:highlight w:val="none"/>
          <w:lang w:eastAsia="zh-CN"/>
        </w:rPr>
        <w:t>等于</w:t>
      </w:r>
      <w:r>
        <w:rPr>
          <w:rFonts w:hint="eastAsia" w:ascii="宋体" w:hAnsi="宋体" w:eastAsia="宋体" w:cs="宋体"/>
          <w:sz w:val="21"/>
          <w:szCs w:val="21"/>
          <w:highlight w:val="none"/>
        </w:rPr>
        <w:t>所有项的费用之和。</w:t>
      </w:r>
    </w:p>
    <w:p>
      <w:pPr>
        <w:widowControl/>
        <w:adjustRightInd w:val="0"/>
        <w:snapToGrid w:val="0"/>
        <w:spacing w:line="500" w:lineRule="exact"/>
        <w:ind w:left="-88" w:leftChars="-42"/>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）供应商必须按此表格式中的对应栏目内容填写，若需增加栏目，请在栏目“</w:t>
      </w:r>
      <w:r>
        <w:rPr>
          <w:rFonts w:hint="eastAsia" w:ascii="宋体" w:hAnsi="宋体" w:cs="宋体"/>
          <w:sz w:val="21"/>
          <w:szCs w:val="21"/>
          <w:highlight w:val="none"/>
          <w:lang w:eastAsia="zh-CN"/>
        </w:rPr>
        <w:t>其</w:t>
      </w:r>
      <w:r>
        <w:rPr>
          <w:rFonts w:hint="eastAsia" w:ascii="宋体" w:hAnsi="宋体" w:eastAsia="宋体" w:cs="宋体"/>
          <w:sz w:val="21"/>
          <w:szCs w:val="21"/>
          <w:highlight w:val="none"/>
        </w:rPr>
        <w:t>它”中填写，并作详细说明。</w:t>
      </w:r>
    </w:p>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Pr>
        <w:spacing w:line="720" w:lineRule="auto"/>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供应商（盖章）：</w:t>
      </w:r>
    </w:p>
    <w:p>
      <w:pPr>
        <w:spacing w:line="720" w:lineRule="auto"/>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法定代表人或委托代理人（签字或盖章）：</w:t>
      </w:r>
    </w:p>
    <w:p>
      <w:pPr>
        <w:pStyle w:val="8"/>
        <w:spacing w:line="720" w:lineRule="auto"/>
        <w:ind w:left="0" w:leftChars="0" w:firstLine="0" w:firstLineChars="0"/>
        <w:rPr>
          <w:rFonts w:hint="eastAsia"/>
          <w:highlight w:val="none"/>
          <w:lang w:eastAsia="zh-CN"/>
        </w:rPr>
      </w:pPr>
      <w:r>
        <w:rPr>
          <w:rFonts w:hint="eastAsia" w:ascii="宋体" w:hAnsi="宋体" w:cs="宋体"/>
          <w:color w:val="auto"/>
          <w:kern w:val="0"/>
          <w:sz w:val="21"/>
          <w:szCs w:val="21"/>
          <w:highlight w:val="none"/>
          <w:lang w:val="en-US" w:eastAsia="zh-CN"/>
        </w:rPr>
        <w:t>时间：     年    月    日</w:t>
      </w:r>
    </w:p>
    <w:p>
      <w:pPr>
        <w:pStyle w:val="8"/>
        <w:ind w:left="0" w:leftChars="0" w:firstLine="0" w:firstLineChars="0"/>
        <w:rPr>
          <w:rFonts w:hint="eastAsia"/>
          <w:highlight w:val="none"/>
          <w:lang w:eastAsia="zh-CN"/>
        </w:rPr>
        <w:sectPr>
          <w:pgSz w:w="11906" w:h="16838"/>
          <w:pgMar w:top="1440" w:right="1800" w:bottom="1440" w:left="1800" w:header="851" w:footer="992" w:gutter="0"/>
          <w:pgNumType w:fmt="decimal"/>
          <w:cols w:space="425" w:num="1"/>
          <w:docGrid w:type="lines" w:linePitch="312" w:charSpace="0"/>
        </w:sectPr>
      </w:pPr>
      <w:bookmarkStart w:id="383" w:name="_Toc479184132"/>
      <w:bookmarkStart w:id="384" w:name="_Toc450827818"/>
      <w:bookmarkStart w:id="385" w:name="_Toc23692"/>
      <w:bookmarkStart w:id="386" w:name="_Toc10449"/>
      <w:bookmarkStart w:id="387" w:name="_Toc27053"/>
      <w:bookmarkStart w:id="388" w:name="_Toc18922"/>
      <w:bookmarkStart w:id="389" w:name="_Toc1491"/>
      <w:bookmarkStart w:id="390" w:name="_Toc20879"/>
      <w:bookmarkStart w:id="391" w:name="_Toc16851"/>
    </w:p>
    <w:p>
      <w:pPr>
        <w:tabs>
          <w:tab w:val="left" w:pos="540"/>
        </w:tabs>
        <w:autoSpaceDE w:val="0"/>
        <w:autoSpaceDN w:val="0"/>
        <w:adjustRightInd w:val="0"/>
        <w:spacing w:line="360" w:lineRule="auto"/>
        <w:jc w:val="center"/>
        <w:outlineLvl w:val="0"/>
        <w:rPr>
          <w:rFonts w:hint="eastAsia" w:asciiTheme="minorEastAsia" w:hAnsiTheme="minorEastAsia" w:eastAsiaTheme="minorEastAsia" w:cstheme="minorEastAsia"/>
          <w:b/>
          <w:bCs/>
          <w:sz w:val="24"/>
          <w:highlight w:val="none"/>
          <w:lang w:eastAsia="zh-CN"/>
        </w:rPr>
      </w:pPr>
      <w:r>
        <w:rPr>
          <w:rStyle w:val="41"/>
          <w:rFonts w:hint="eastAsia"/>
          <w:b/>
          <w:bCs/>
          <w:highlight w:val="none"/>
          <w:lang w:eastAsia="zh-CN"/>
        </w:rPr>
        <w:t>八、</w:t>
      </w:r>
      <w:bookmarkEnd w:id="383"/>
      <w:bookmarkEnd w:id="384"/>
      <w:bookmarkEnd w:id="385"/>
      <w:bookmarkEnd w:id="386"/>
      <w:bookmarkEnd w:id="387"/>
      <w:r>
        <w:rPr>
          <w:rStyle w:val="41"/>
          <w:rFonts w:hint="eastAsia"/>
          <w:b/>
          <w:bCs/>
          <w:highlight w:val="none"/>
          <w:lang w:val="en-US" w:eastAsia="zh-CN"/>
        </w:rPr>
        <w:t>供应商的基本情况</w:t>
      </w:r>
      <w:bookmarkEnd w:id="388"/>
      <w:bookmarkEnd w:id="389"/>
      <w:bookmarkEnd w:id="390"/>
      <w:bookmarkEnd w:id="391"/>
    </w:p>
    <w:tbl>
      <w:tblPr>
        <w:tblStyle w:val="18"/>
        <w:tblpPr w:leftFromText="180" w:rightFromText="180" w:vertAnchor="text" w:horzAnchor="page" w:tblpX="1912" w:tblpY="204"/>
        <w:tblOverlap w:val="never"/>
        <w:tblW w:w="83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952"/>
        <w:gridCol w:w="161"/>
        <w:gridCol w:w="1035"/>
        <w:gridCol w:w="1196"/>
        <w:gridCol w:w="90"/>
        <w:gridCol w:w="1106"/>
        <w:gridCol w:w="140"/>
        <w:gridCol w:w="1056"/>
        <w:gridCol w:w="1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0" w:type="dxa"/>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w:t>
            </w:r>
          </w:p>
        </w:tc>
        <w:tc>
          <w:tcPr>
            <w:tcW w:w="6937" w:type="dxa"/>
            <w:gridSpan w:val="9"/>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0" w:type="dxa"/>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p>
        </w:tc>
        <w:tc>
          <w:tcPr>
            <w:tcW w:w="3434" w:type="dxa"/>
            <w:gridSpan w:val="5"/>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c>
          <w:tcPr>
            <w:tcW w:w="1246" w:type="dxa"/>
            <w:gridSpan w:val="2"/>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2257" w:type="dxa"/>
            <w:gridSpan w:val="2"/>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0" w:type="dxa"/>
            <w:vMerge w:val="restart"/>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p>
        </w:tc>
        <w:tc>
          <w:tcPr>
            <w:tcW w:w="1113" w:type="dxa"/>
            <w:gridSpan w:val="2"/>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c>
          <w:tcPr>
            <w:tcW w:w="2321" w:type="dxa"/>
            <w:gridSpan w:val="3"/>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c>
          <w:tcPr>
            <w:tcW w:w="1246" w:type="dxa"/>
            <w:gridSpan w:val="2"/>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tc>
        <w:tc>
          <w:tcPr>
            <w:tcW w:w="2257" w:type="dxa"/>
            <w:gridSpan w:val="2"/>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0" w:type="dxa"/>
            <w:vMerge w:val="continue"/>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c>
          <w:tcPr>
            <w:tcW w:w="1113" w:type="dxa"/>
            <w:gridSpan w:val="2"/>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p>
        </w:tc>
        <w:tc>
          <w:tcPr>
            <w:tcW w:w="2321" w:type="dxa"/>
            <w:gridSpan w:val="3"/>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c>
          <w:tcPr>
            <w:tcW w:w="1246" w:type="dxa"/>
            <w:gridSpan w:val="2"/>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网  址</w:t>
            </w:r>
          </w:p>
        </w:tc>
        <w:tc>
          <w:tcPr>
            <w:tcW w:w="2257" w:type="dxa"/>
            <w:gridSpan w:val="2"/>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0" w:type="dxa"/>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组织结构</w:t>
            </w:r>
          </w:p>
        </w:tc>
        <w:tc>
          <w:tcPr>
            <w:tcW w:w="6937" w:type="dxa"/>
            <w:gridSpan w:val="9"/>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0" w:type="dxa"/>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952" w:type="dxa"/>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196" w:type="dxa"/>
            <w:gridSpan w:val="2"/>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c>
          <w:tcPr>
            <w:tcW w:w="1196" w:type="dxa"/>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技术职称</w:t>
            </w:r>
          </w:p>
        </w:tc>
        <w:tc>
          <w:tcPr>
            <w:tcW w:w="1196" w:type="dxa"/>
            <w:gridSpan w:val="2"/>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c>
          <w:tcPr>
            <w:tcW w:w="1196" w:type="dxa"/>
            <w:gridSpan w:val="2"/>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1201" w:type="dxa"/>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0" w:type="dxa"/>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负责人</w:t>
            </w:r>
          </w:p>
        </w:tc>
        <w:tc>
          <w:tcPr>
            <w:tcW w:w="952" w:type="dxa"/>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196" w:type="dxa"/>
            <w:gridSpan w:val="2"/>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c>
          <w:tcPr>
            <w:tcW w:w="1196" w:type="dxa"/>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技术职称</w:t>
            </w:r>
          </w:p>
        </w:tc>
        <w:tc>
          <w:tcPr>
            <w:tcW w:w="1196" w:type="dxa"/>
            <w:gridSpan w:val="2"/>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c>
          <w:tcPr>
            <w:tcW w:w="1196" w:type="dxa"/>
            <w:gridSpan w:val="2"/>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1201" w:type="dxa"/>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0" w:type="dxa"/>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p>
        </w:tc>
        <w:tc>
          <w:tcPr>
            <w:tcW w:w="6937" w:type="dxa"/>
            <w:gridSpan w:val="9"/>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0" w:type="dxa"/>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营业执照号</w:t>
            </w:r>
          </w:p>
        </w:tc>
        <w:tc>
          <w:tcPr>
            <w:tcW w:w="6937" w:type="dxa"/>
            <w:gridSpan w:val="9"/>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0" w:type="dxa"/>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注册资金</w:t>
            </w:r>
          </w:p>
        </w:tc>
        <w:tc>
          <w:tcPr>
            <w:tcW w:w="6937" w:type="dxa"/>
            <w:gridSpan w:val="9"/>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0" w:type="dxa"/>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6937" w:type="dxa"/>
            <w:gridSpan w:val="9"/>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0" w:type="dxa"/>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p>
        </w:tc>
        <w:tc>
          <w:tcPr>
            <w:tcW w:w="6937" w:type="dxa"/>
            <w:gridSpan w:val="9"/>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trPr>
        <w:tc>
          <w:tcPr>
            <w:tcW w:w="1440" w:type="dxa"/>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经营范围</w:t>
            </w:r>
          </w:p>
        </w:tc>
        <w:tc>
          <w:tcPr>
            <w:tcW w:w="6937" w:type="dxa"/>
            <w:gridSpan w:val="9"/>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0" w:type="dxa"/>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6937" w:type="dxa"/>
            <w:gridSpan w:val="9"/>
            <w:vAlign w:val="center"/>
          </w:tcPr>
          <w:p>
            <w:pPr>
              <w:pageBreakBefore w:val="0"/>
              <w:kinsoku/>
              <w:wordWrap/>
              <w:overflowPunct/>
              <w:topLinePunct w:val="0"/>
              <w:bidi w:val="0"/>
              <w:spacing w:line="480" w:lineRule="exact"/>
              <w:jc w:val="center"/>
              <w:rPr>
                <w:rFonts w:hint="eastAsia" w:ascii="宋体" w:hAnsi="宋体" w:eastAsia="宋体" w:cs="宋体"/>
                <w:color w:val="auto"/>
                <w:sz w:val="24"/>
                <w:szCs w:val="24"/>
                <w:highlight w:val="none"/>
              </w:rPr>
            </w:pPr>
          </w:p>
        </w:tc>
      </w:tr>
    </w:tbl>
    <w:p>
      <w:pPr>
        <w:spacing w:line="360" w:lineRule="auto"/>
        <w:jc w:val="center"/>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ab/>
      </w:r>
      <w:r>
        <w:rPr>
          <w:rFonts w:hint="eastAsia" w:asciiTheme="minorEastAsia" w:hAnsiTheme="minorEastAsia" w:eastAsiaTheme="minorEastAsia" w:cstheme="minorEastAsia"/>
          <w:bCs/>
          <w:szCs w:val="21"/>
          <w:highlight w:val="none"/>
        </w:rPr>
        <w:tab/>
      </w:r>
      <w:r>
        <w:rPr>
          <w:rFonts w:hint="eastAsia" w:asciiTheme="minorEastAsia" w:hAnsiTheme="minorEastAsia" w:eastAsiaTheme="minorEastAsia" w:cstheme="minorEastAsia"/>
          <w:bCs/>
          <w:szCs w:val="21"/>
          <w:highlight w:val="none"/>
        </w:rPr>
        <w:tab/>
      </w:r>
      <w:r>
        <w:rPr>
          <w:rFonts w:hint="eastAsia" w:asciiTheme="minorEastAsia" w:hAnsiTheme="minorEastAsia" w:eastAsiaTheme="minorEastAsia" w:cstheme="minorEastAsia"/>
          <w:bCs/>
          <w:szCs w:val="21"/>
          <w:highlight w:val="none"/>
        </w:rPr>
        <w:tab/>
      </w:r>
      <w:r>
        <w:rPr>
          <w:rFonts w:hint="eastAsia" w:asciiTheme="minorEastAsia" w:hAnsiTheme="minorEastAsia" w:eastAsiaTheme="minorEastAsia" w:cstheme="minorEastAsia"/>
          <w:bCs/>
          <w:szCs w:val="21"/>
          <w:highlight w:val="none"/>
        </w:rPr>
        <w:tab/>
      </w:r>
      <w:r>
        <w:rPr>
          <w:rFonts w:hint="eastAsia" w:asciiTheme="minorEastAsia" w:hAnsiTheme="minorEastAsia" w:eastAsiaTheme="minorEastAsia" w:cstheme="minorEastAsia"/>
          <w:bCs/>
          <w:szCs w:val="21"/>
          <w:highlight w:val="none"/>
        </w:rPr>
        <w:tab/>
      </w:r>
      <w:r>
        <w:rPr>
          <w:rFonts w:hint="eastAsia" w:asciiTheme="minorEastAsia" w:hAnsiTheme="minorEastAsia" w:eastAsiaTheme="minorEastAsia" w:cstheme="minorEastAsia"/>
          <w:bCs/>
          <w:szCs w:val="21"/>
          <w:highlight w:val="none"/>
        </w:rPr>
        <w:tab/>
      </w:r>
      <w:r>
        <w:rPr>
          <w:rFonts w:hint="eastAsia" w:asciiTheme="minorEastAsia" w:hAnsiTheme="minorEastAsia" w:eastAsiaTheme="minorEastAsia" w:cstheme="minorEastAsia"/>
          <w:bCs/>
          <w:szCs w:val="21"/>
          <w:highlight w:val="none"/>
        </w:rPr>
        <w:tab/>
      </w:r>
    </w:p>
    <w:bookmarkEnd w:id="355"/>
    <w:bookmarkEnd w:id="356"/>
    <w:p>
      <w:pPr>
        <w:rPr>
          <w:rFonts w:hint="eastAsia" w:asciiTheme="minorEastAsia" w:hAnsiTheme="minorEastAsia" w:eastAsiaTheme="minorEastAsia" w:cstheme="minorEastAsia"/>
          <w:b/>
          <w:bCs/>
          <w:sz w:val="24"/>
          <w:highlight w:val="none"/>
          <w:lang w:eastAsia="zh-CN"/>
        </w:rPr>
      </w:pPr>
      <w:bookmarkStart w:id="392" w:name="_Toc479184133"/>
      <w:bookmarkStart w:id="393" w:name="_Toc432149012"/>
      <w:bookmarkStart w:id="394" w:name="_Toc15863"/>
      <w:bookmarkStart w:id="395" w:name="_Toc1591"/>
      <w:bookmarkStart w:id="396" w:name="_Toc28200"/>
      <w:bookmarkStart w:id="397" w:name="_Toc422466736"/>
    </w:p>
    <w:p>
      <w:pPr>
        <w:tabs>
          <w:tab w:val="left" w:pos="540"/>
        </w:tabs>
        <w:autoSpaceDE w:val="0"/>
        <w:autoSpaceDN w:val="0"/>
        <w:adjustRightInd w:val="0"/>
        <w:spacing w:line="360" w:lineRule="auto"/>
        <w:jc w:val="center"/>
        <w:outlineLvl w:val="0"/>
        <w:rPr>
          <w:rFonts w:hint="eastAsia" w:asciiTheme="minorEastAsia" w:hAnsiTheme="minorEastAsia" w:eastAsiaTheme="minorEastAsia" w:cstheme="minorEastAsia"/>
          <w:b/>
          <w:bCs/>
          <w:sz w:val="24"/>
          <w:highlight w:val="none"/>
          <w:lang w:eastAsia="zh-CN"/>
        </w:rPr>
      </w:pPr>
      <w:bookmarkStart w:id="398" w:name="_Toc31756"/>
      <w:bookmarkStart w:id="399" w:name="_Toc27438"/>
      <w:bookmarkStart w:id="400" w:name="_Toc5951"/>
      <w:bookmarkStart w:id="401" w:name="_Toc27704"/>
    </w:p>
    <w:p>
      <w:pPr>
        <w:tabs>
          <w:tab w:val="left" w:pos="540"/>
        </w:tabs>
        <w:autoSpaceDE w:val="0"/>
        <w:autoSpaceDN w:val="0"/>
        <w:adjustRightInd w:val="0"/>
        <w:spacing w:line="360" w:lineRule="auto"/>
        <w:jc w:val="center"/>
        <w:outlineLvl w:val="0"/>
        <w:rPr>
          <w:rFonts w:hint="eastAsia" w:asciiTheme="minorEastAsia" w:hAnsiTheme="minorEastAsia" w:eastAsiaTheme="minorEastAsia" w:cstheme="minorEastAsia"/>
          <w:b/>
          <w:bCs/>
          <w:sz w:val="24"/>
          <w:highlight w:val="none"/>
          <w:lang w:eastAsia="zh-CN"/>
        </w:rPr>
      </w:pPr>
    </w:p>
    <w:p>
      <w:pPr>
        <w:tabs>
          <w:tab w:val="left" w:pos="540"/>
        </w:tabs>
        <w:autoSpaceDE w:val="0"/>
        <w:autoSpaceDN w:val="0"/>
        <w:adjustRightInd w:val="0"/>
        <w:spacing w:line="360" w:lineRule="auto"/>
        <w:jc w:val="center"/>
        <w:outlineLvl w:val="0"/>
        <w:rPr>
          <w:rFonts w:hint="eastAsia" w:asciiTheme="minorEastAsia" w:hAnsiTheme="minorEastAsia" w:eastAsiaTheme="minorEastAsia" w:cstheme="minorEastAsia"/>
          <w:b/>
          <w:bCs/>
          <w:sz w:val="24"/>
          <w:highlight w:val="none"/>
          <w:lang w:eastAsia="zh-CN"/>
        </w:rPr>
      </w:pPr>
    </w:p>
    <w:p>
      <w:pPr>
        <w:tabs>
          <w:tab w:val="left" w:pos="540"/>
        </w:tabs>
        <w:autoSpaceDE w:val="0"/>
        <w:autoSpaceDN w:val="0"/>
        <w:adjustRightInd w:val="0"/>
        <w:spacing w:line="360" w:lineRule="auto"/>
        <w:jc w:val="center"/>
        <w:outlineLvl w:val="0"/>
        <w:rPr>
          <w:rFonts w:hint="eastAsia" w:asciiTheme="minorEastAsia" w:hAnsiTheme="minorEastAsia" w:eastAsiaTheme="minorEastAsia" w:cstheme="minorEastAsia"/>
          <w:b/>
          <w:bCs/>
          <w:sz w:val="24"/>
          <w:highlight w:val="none"/>
          <w:lang w:eastAsia="zh-CN"/>
        </w:rPr>
      </w:pPr>
    </w:p>
    <w:p>
      <w:pPr>
        <w:tabs>
          <w:tab w:val="left" w:pos="540"/>
        </w:tabs>
        <w:autoSpaceDE w:val="0"/>
        <w:autoSpaceDN w:val="0"/>
        <w:adjustRightInd w:val="0"/>
        <w:spacing w:line="360" w:lineRule="auto"/>
        <w:jc w:val="center"/>
        <w:outlineLvl w:val="0"/>
        <w:rPr>
          <w:rFonts w:hint="eastAsia" w:asciiTheme="minorEastAsia" w:hAnsiTheme="minorEastAsia" w:eastAsiaTheme="minorEastAsia" w:cstheme="minorEastAsia"/>
          <w:b/>
          <w:bCs/>
          <w:sz w:val="24"/>
          <w:highlight w:val="none"/>
          <w:lang w:eastAsia="zh-CN"/>
        </w:rPr>
      </w:pPr>
    </w:p>
    <w:p>
      <w:pPr>
        <w:tabs>
          <w:tab w:val="left" w:pos="540"/>
        </w:tabs>
        <w:autoSpaceDE w:val="0"/>
        <w:autoSpaceDN w:val="0"/>
        <w:adjustRightInd w:val="0"/>
        <w:spacing w:line="360" w:lineRule="auto"/>
        <w:jc w:val="center"/>
        <w:outlineLvl w:val="0"/>
        <w:rPr>
          <w:rFonts w:hint="default" w:asciiTheme="minorEastAsia" w:hAnsiTheme="minorEastAsia" w:eastAsiaTheme="minorEastAsia" w:cstheme="minorEastAsia"/>
          <w:b/>
          <w:bCs/>
          <w:sz w:val="24"/>
          <w:highlight w:val="none"/>
          <w:lang w:val="en-US" w:eastAsia="zh-CN"/>
        </w:rPr>
      </w:pPr>
      <w:r>
        <w:rPr>
          <w:rFonts w:hint="eastAsia" w:asciiTheme="minorEastAsia" w:hAnsiTheme="minorEastAsia" w:eastAsiaTheme="minorEastAsia" w:cstheme="minorEastAsia"/>
          <w:b/>
          <w:bCs/>
          <w:sz w:val="24"/>
          <w:highlight w:val="none"/>
          <w:lang w:eastAsia="zh-CN"/>
        </w:rPr>
        <w:t>九、</w:t>
      </w:r>
      <w:bookmarkEnd w:id="392"/>
      <w:bookmarkEnd w:id="393"/>
      <w:bookmarkEnd w:id="394"/>
      <w:bookmarkEnd w:id="395"/>
      <w:bookmarkEnd w:id="396"/>
      <w:bookmarkEnd w:id="397"/>
      <w:r>
        <w:rPr>
          <w:rFonts w:hint="eastAsia" w:asciiTheme="minorEastAsia" w:hAnsiTheme="minorEastAsia" w:eastAsiaTheme="minorEastAsia" w:cstheme="minorEastAsia"/>
          <w:b/>
          <w:bCs/>
          <w:sz w:val="24"/>
          <w:highlight w:val="none"/>
          <w:lang w:val="en-US" w:eastAsia="zh-CN"/>
        </w:rPr>
        <w:t>资格证明文件</w:t>
      </w:r>
      <w:bookmarkEnd w:id="398"/>
      <w:bookmarkEnd w:id="399"/>
      <w:bookmarkEnd w:id="400"/>
      <w:bookmarkEnd w:id="401"/>
    </w:p>
    <w:p>
      <w:pPr>
        <w:adjustRightInd w:val="0"/>
        <w:snapToGrid w:val="0"/>
        <w:rPr>
          <w:rFonts w:asciiTheme="minorEastAsia" w:hAnsiTheme="minorEastAsia" w:eastAsiaTheme="minorEastAsia" w:cstheme="minorEastAsia"/>
          <w:szCs w:val="21"/>
          <w:highlight w:val="none"/>
        </w:rPr>
      </w:pPr>
    </w:p>
    <w:p>
      <w:pPr>
        <w:adjustRightInd w:val="0"/>
        <w:snapToGrid w:val="0"/>
        <w:spacing w:line="490" w:lineRule="exact"/>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按</w:t>
      </w:r>
      <w:r>
        <w:rPr>
          <w:rFonts w:hint="eastAsia" w:ascii="宋体" w:hAnsi="宋体" w:eastAsia="宋体" w:cs="宋体"/>
          <w:color w:val="auto"/>
          <w:kern w:val="0"/>
          <w:sz w:val="24"/>
          <w:highlight w:val="none"/>
          <w:lang w:val="en-US" w:eastAsia="zh-CN"/>
        </w:rPr>
        <w:t>磋商</w:t>
      </w:r>
      <w:r>
        <w:rPr>
          <w:rFonts w:hint="eastAsia" w:ascii="宋体" w:hAnsi="宋体" w:eastAsia="宋体" w:cs="宋体"/>
          <w:color w:val="auto"/>
          <w:kern w:val="0"/>
          <w:sz w:val="24"/>
          <w:highlight w:val="none"/>
        </w:rPr>
        <w:t>文件</w:t>
      </w:r>
      <w:r>
        <w:rPr>
          <w:rFonts w:hint="eastAsia" w:ascii="宋体" w:hAnsi="宋体" w:eastAsia="宋体" w:cs="宋体"/>
          <w:color w:val="auto"/>
          <w:kern w:val="0"/>
          <w:sz w:val="24"/>
          <w:highlight w:val="none"/>
          <w:lang w:val="en-US" w:eastAsia="zh-CN"/>
        </w:rPr>
        <w:t>供应商</w:t>
      </w:r>
      <w:r>
        <w:rPr>
          <w:rFonts w:hint="eastAsia" w:ascii="宋体" w:hAnsi="宋体" w:eastAsia="宋体" w:cs="宋体"/>
          <w:color w:val="auto"/>
          <w:kern w:val="0"/>
          <w:sz w:val="24"/>
          <w:highlight w:val="none"/>
        </w:rPr>
        <w:t>资格要求提供相关证明文件，格式自拟。</w:t>
      </w:r>
    </w:p>
    <w:p>
      <w:pPr>
        <w:rPr>
          <w:rFonts w:asciiTheme="minorEastAsia" w:hAnsiTheme="minorEastAsia" w:eastAsiaTheme="minorEastAsia" w:cstheme="minorEastAsia"/>
          <w:b/>
          <w:kern w:val="0"/>
          <w:szCs w:val="21"/>
          <w:highlight w:val="none"/>
        </w:rPr>
      </w:pPr>
    </w:p>
    <w:p>
      <w:pPr>
        <w:tabs>
          <w:tab w:val="left" w:pos="540"/>
        </w:tabs>
        <w:autoSpaceDE w:val="0"/>
        <w:autoSpaceDN w:val="0"/>
        <w:adjustRightInd w:val="0"/>
        <w:spacing w:line="600" w:lineRule="auto"/>
        <w:jc w:val="center"/>
        <w:outlineLvl w:val="0"/>
        <w:rPr>
          <w:rFonts w:hint="eastAsia" w:asciiTheme="minorEastAsia" w:hAnsiTheme="minorEastAsia" w:eastAsiaTheme="minorEastAsia" w:cstheme="minorEastAsia"/>
          <w:b/>
          <w:bCs/>
          <w:sz w:val="24"/>
          <w:highlight w:val="none"/>
          <w:lang w:eastAsia="zh-CN"/>
        </w:rPr>
      </w:pPr>
      <w:r>
        <w:rPr>
          <w:rFonts w:hint="eastAsia" w:asciiTheme="minorEastAsia" w:hAnsiTheme="minorEastAsia" w:eastAsiaTheme="minorEastAsia" w:cstheme="minorEastAsia"/>
          <w:b/>
          <w:kern w:val="0"/>
          <w:szCs w:val="21"/>
          <w:highlight w:val="none"/>
        </w:rPr>
        <w:br w:type="page"/>
      </w:r>
      <w:bookmarkStart w:id="402" w:name="_Toc6410"/>
      <w:bookmarkStart w:id="403" w:name="_Toc32525"/>
      <w:bookmarkStart w:id="404" w:name="_Toc13574"/>
      <w:bookmarkStart w:id="405" w:name="_Toc7582"/>
      <w:bookmarkStart w:id="406" w:name="_Toc22323"/>
      <w:bookmarkStart w:id="407" w:name="_Toc362935521"/>
      <w:bookmarkStart w:id="408" w:name="_Toc32060"/>
      <w:bookmarkStart w:id="409" w:name="_Toc432149013"/>
      <w:bookmarkStart w:id="410" w:name="_Toc479184134"/>
      <w:bookmarkStart w:id="411" w:name="_Toc28283"/>
      <w:r>
        <w:rPr>
          <w:rStyle w:val="41"/>
          <w:rFonts w:hint="eastAsia"/>
          <w:b/>
          <w:bCs/>
          <w:highlight w:val="none"/>
          <w:lang w:eastAsia="zh-CN"/>
        </w:rPr>
        <w:t>十、</w:t>
      </w:r>
      <w:bookmarkEnd w:id="402"/>
      <w:bookmarkEnd w:id="403"/>
      <w:r>
        <w:rPr>
          <w:rStyle w:val="41"/>
          <w:rFonts w:hint="eastAsia"/>
          <w:b/>
          <w:bCs/>
          <w:highlight w:val="none"/>
          <w:lang w:val="en-US" w:eastAsia="zh-CN"/>
        </w:rPr>
        <w:t>关于资格条件的有关承诺及声明</w:t>
      </w:r>
      <w:bookmarkEnd w:id="404"/>
      <w:bookmarkEnd w:id="405"/>
    </w:p>
    <w:p>
      <w:pPr>
        <w:keepNext w:val="0"/>
        <w:keepLines w:val="0"/>
        <w:widowControl/>
        <w:suppressLineNumbers w:val="0"/>
        <w:spacing w:line="600" w:lineRule="auto"/>
        <w:jc w:val="center"/>
        <w:rPr>
          <w:highlight w:val="none"/>
        </w:rPr>
      </w:pPr>
      <w:r>
        <w:rPr>
          <w:rFonts w:hint="eastAsia" w:ascii="宋体" w:hAnsi="宋体" w:eastAsia="宋体" w:cs="宋体"/>
          <w:b/>
          <w:color w:val="000000"/>
          <w:kern w:val="0"/>
          <w:sz w:val="24"/>
          <w:szCs w:val="24"/>
          <w:highlight w:val="none"/>
          <w:lang w:val="en-US" w:eastAsia="zh-CN" w:bidi="ar"/>
        </w:rPr>
        <w:t>（磋商供应商应根据本单位实际情况进行承诺和声明）</w:t>
      </w:r>
    </w:p>
    <w:p>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p>
    <w:p>
      <w:pPr>
        <w:keepNext w:val="0"/>
        <w:keepLines w:val="0"/>
        <w:widowControl/>
        <w:suppressLineNumbers w:val="0"/>
        <w:spacing w:line="360" w:lineRule="auto"/>
        <w:jc w:val="left"/>
        <w:rPr>
          <w:sz w:val="21"/>
          <w:szCs w:val="21"/>
          <w:highlight w:val="none"/>
        </w:rPr>
      </w:pPr>
      <w:r>
        <w:rPr>
          <w:rFonts w:hint="eastAsia" w:ascii="宋体" w:hAnsi="宋体" w:eastAsia="宋体" w:cs="宋体"/>
          <w:color w:val="000000"/>
          <w:kern w:val="0"/>
          <w:sz w:val="21"/>
          <w:szCs w:val="21"/>
          <w:highlight w:val="none"/>
          <w:u w:val="single"/>
          <w:lang w:val="en-US" w:eastAsia="zh-CN" w:bidi="ar"/>
        </w:rPr>
        <w:t>（采购人或采购代理机构）</w:t>
      </w:r>
      <w:r>
        <w:rPr>
          <w:rFonts w:hint="eastAsia" w:ascii="宋体" w:hAnsi="宋体" w:eastAsia="宋体" w:cs="宋体"/>
          <w:color w:val="000000"/>
          <w:kern w:val="0"/>
          <w:sz w:val="21"/>
          <w:szCs w:val="21"/>
          <w:highlight w:val="none"/>
          <w:lang w:val="en-US" w:eastAsia="zh-CN" w:bidi="ar"/>
        </w:rPr>
        <w:t xml:space="preserve">： </w:t>
      </w:r>
    </w:p>
    <w:p>
      <w:pPr>
        <w:keepNext w:val="0"/>
        <w:keepLines w:val="0"/>
        <w:widowControl/>
        <w:suppressLineNumbers w:val="0"/>
        <w:spacing w:line="360" w:lineRule="auto"/>
        <w:ind w:firstLine="420" w:firstLineChars="20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一、我方在此郑重承诺，我方满足《中华人民共和国政府采购法》第二十二条的以下规定且无纳税、社保等方面失信记录： </w:t>
      </w:r>
    </w:p>
    <w:p>
      <w:pPr>
        <w:keepNext w:val="0"/>
        <w:keepLines w:val="0"/>
        <w:widowControl/>
        <w:suppressLineNumbers w:val="0"/>
        <w:spacing w:line="360" w:lineRule="auto"/>
        <w:ind w:left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1、具有独立承担民事责任的能力；</w:t>
      </w:r>
    </w:p>
    <w:p>
      <w:pPr>
        <w:keepNext w:val="0"/>
        <w:keepLines w:val="0"/>
        <w:widowControl/>
        <w:suppressLineNumbers w:val="0"/>
        <w:spacing w:line="360" w:lineRule="auto"/>
        <w:ind w:leftChars="20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2、具有良好的商业信誉和健全的财务会计制度； </w:t>
      </w:r>
    </w:p>
    <w:p>
      <w:pPr>
        <w:keepNext w:val="0"/>
        <w:keepLines w:val="0"/>
        <w:widowControl/>
        <w:suppressLineNumbers w:val="0"/>
        <w:spacing w:line="360" w:lineRule="auto"/>
        <w:ind w:leftChars="20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3、具有履行合同所必需的设备和专业技术能力； </w:t>
      </w:r>
    </w:p>
    <w:p>
      <w:pPr>
        <w:keepNext w:val="0"/>
        <w:keepLines w:val="0"/>
        <w:widowControl/>
        <w:suppressLineNumbers w:val="0"/>
        <w:spacing w:line="360" w:lineRule="auto"/>
        <w:ind w:leftChars="20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4、有依法缴纳税收和社会保障资金的良好记录； </w:t>
      </w:r>
    </w:p>
    <w:p>
      <w:pPr>
        <w:keepNext w:val="0"/>
        <w:keepLines w:val="0"/>
        <w:widowControl/>
        <w:suppressLineNumbers w:val="0"/>
        <w:spacing w:line="360" w:lineRule="auto"/>
        <w:ind w:leftChars="20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5、参加政府采购活动前三年内，在经营活动中没有重大违法记录； </w:t>
      </w:r>
    </w:p>
    <w:p>
      <w:pPr>
        <w:keepNext w:val="0"/>
        <w:keepLines w:val="0"/>
        <w:widowControl/>
        <w:suppressLineNumbers w:val="0"/>
        <w:spacing w:line="360" w:lineRule="auto"/>
        <w:ind w:leftChars="20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6、法律、行政法规规定的其他条件。  </w:t>
      </w:r>
    </w:p>
    <w:p>
      <w:pPr>
        <w:keepNext w:val="0"/>
        <w:keepLines w:val="0"/>
        <w:widowControl/>
        <w:suppressLineNumbers w:val="0"/>
        <w:spacing w:line="360" w:lineRule="auto"/>
        <w:ind w:firstLine="420" w:firstLineChars="20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我方保证上述承诺或声明内容的客观、真实、准确，并愿意承担我方因提供虚假承诺或声明谋骗取中标、成交所引起的一切法律后果。 </w:t>
      </w:r>
    </w:p>
    <w:p>
      <w:pPr>
        <w:keepNext w:val="0"/>
        <w:keepLines w:val="0"/>
        <w:widowControl/>
        <w:suppressLineNumbers w:val="0"/>
        <w:spacing w:line="360" w:lineRule="auto"/>
        <w:ind w:firstLine="420" w:firstLineChars="20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特此声明！ </w:t>
      </w:r>
    </w:p>
    <w:p>
      <w:pPr>
        <w:tabs>
          <w:tab w:val="left" w:pos="540"/>
        </w:tabs>
        <w:autoSpaceDE w:val="0"/>
        <w:autoSpaceDN w:val="0"/>
        <w:adjustRightInd w:val="0"/>
        <w:spacing w:line="360" w:lineRule="auto"/>
        <w:jc w:val="center"/>
        <w:outlineLvl w:val="9"/>
        <w:rPr>
          <w:rFonts w:hint="default" w:asciiTheme="minorEastAsia" w:hAnsiTheme="minorEastAsia" w:eastAsiaTheme="minorEastAsia" w:cstheme="minorEastAsia"/>
          <w:b/>
          <w:bCs/>
          <w:sz w:val="21"/>
          <w:szCs w:val="21"/>
          <w:highlight w:val="none"/>
          <w:lang w:val="en-US" w:eastAsia="zh-CN"/>
        </w:rPr>
      </w:pPr>
    </w:p>
    <w:p>
      <w:pPr>
        <w:rPr>
          <w:rFonts w:hint="eastAsia" w:ascii="宋体" w:hAnsi="宋体" w:eastAsia="宋体" w:cs="宋体"/>
          <w:color w:val="333F50" w:themeColor="text2" w:themeShade="BF"/>
          <w:kern w:val="0"/>
          <w:sz w:val="21"/>
          <w:szCs w:val="21"/>
          <w:highlight w:val="none"/>
        </w:rPr>
      </w:pPr>
    </w:p>
    <w:p>
      <w:pPr>
        <w:spacing w:line="720" w:lineRule="auto"/>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供应商（盖章）：</w:t>
      </w:r>
    </w:p>
    <w:p>
      <w:pPr>
        <w:spacing w:line="720" w:lineRule="auto"/>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法定代表人或委托代理人（签字或盖章）：</w:t>
      </w:r>
    </w:p>
    <w:p>
      <w:pPr>
        <w:pStyle w:val="8"/>
        <w:spacing w:line="720" w:lineRule="auto"/>
        <w:ind w:left="0" w:leftChars="0" w:firstLine="0" w:firstLineChars="0"/>
        <w:rPr>
          <w:rFonts w:hint="eastAsia"/>
          <w:highlight w:val="none"/>
          <w:lang w:eastAsia="zh-CN"/>
        </w:rPr>
      </w:pPr>
      <w:r>
        <w:rPr>
          <w:rFonts w:hint="eastAsia" w:ascii="宋体" w:hAnsi="宋体" w:cs="宋体"/>
          <w:color w:val="auto"/>
          <w:kern w:val="0"/>
          <w:sz w:val="21"/>
          <w:szCs w:val="21"/>
          <w:highlight w:val="none"/>
          <w:lang w:val="en-US" w:eastAsia="zh-CN"/>
        </w:rPr>
        <w:t>时间：     年    月    日</w:t>
      </w:r>
    </w:p>
    <w:p>
      <w:pPr>
        <w:spacing w:line="720" w:lineRule="auto"/>
        <w:rPr>
          <w:rFonts w:hint="eastAsia" w:ascii="宋体" w:hAnsi="宋体" w:eastAsia="宋体" w:cs="宋体"/>
          <w:color w:val="333333"/>
          <w:kern w:val="0"/>
          <w:sz w:val="24"/>
          <w:highlight w:val="none"/>
        </w:rPr>
      </w:pPr>
      <w:r>
        <w:rPr>
          <w:rFonts w:hint="eastAsia" w:ascii="宋体" w:hAnsi="宋体" w:eastAsia="宋体" w:cs="宋体"/>
          <w:color w:val="333333"/>
          <w:kern w:val="0"/>
          <w:sz w:val="24"/>
          <w:highlight w:val="none"/>
        </w:rPr>
        <w:br w:type="page"/>
      </w:r>
    </w:p>
    <w:p>
      <w:pPr>
        <w:rPr>
          <w:rFonts w:hint="eastAsia" w:asciiTheme="minorEastAsia" w:hAnsiTheme="minorEastAsia" w:eastAsiaTheme="minorEastAsia" w:cstheme="minorEastAsia"/>
          <w:b/>
          <w:kern w:val="0"/>
          <w:szCs w:val="21"/>
          <w:highlight w:val="none"/>
        </w:rPr>
      </w:pPr>
    </w:p>
    <w:p>
      <w:pPr>
        <w:pStyle w:val="3"/>
        <w:bidi w:val="0"/>
        <w:jc w:val="center"/>
        <w:rPr>
          <w:rFonts w:hint="eastAsia"/>
          <w:b/>
          <w:bCs/>
          <w:highlight w:val="none"/>
          <w:lang w:eastAsia="zh-CN"/>
        </w:rPr>
      </w:pPr>
      <w:bookmarkStart w:id="412" w:name="_Toc12163"/>
      <w:bookmarkStart w:id="413" w:name="_Toc26549"/>
      <w:bookmarkStart w:id="414" w:name="_Toc5536"/>
      <w:r>
        <w:rPr>
          <w:rFonts w:hint="eastAsia"/>
          <w:b/>
          <w:bCs/>
          <w:highlight w:val="none"/>
          <w:lang w:eastAsia="zh-CN"/>
        </w:rPr>
        <w:t>十一、类似业绩一览表</w:t>
      </w:r>
      <w:bookmarkEnd w:id="406"/>
      <w:bookmarkEnd w:id="407"/>
      <w:bookmarkEnd w:id="408"/>
      <w:bookmarkEnd w:id="409"/>
      <w:bookmarkEnd w:id="410"/>
      <w:bookmarkEnd w:id="411"/>
      <w:bookmarkEnd w:id="412"/>
      <w:bookmarkEnd w:id="413"/>
      <w:bookmarkEnd w:id="414"/>
      <w:r>
        <w:rPr>
          <w:rStyle w:val="41"/>
          <w:rFonts w:hint="eastAsia"/>
          <w:b/>
          <w:bCs/>
          <w:highlight w:val="none"/>
          <w:lang w:val="en-US" w:eastAsia="zh-CN"/>
        </w:rPr>
        <w:t>（参考格式）</w:t>
      </w:r>
    </w:p>
    <w:p>
      <w:pPr>
        <w:rPr>
          <w:highlight w:val="none"/>
        </w:rPr>
      </w:pPr>
    </w:p>
    <w:p>
      <w:pPr>
        <w:adjustRightInd w:val="0"/>
        <w:snapToGrid w:val="0"/>
        <w:spacing w:line="360" w:lineRule="auto"/>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项目名称：                         </w:t>
      </w:r>
    </w:p>
    <w:p>
      <w:pPr>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szCs w:val="21"/>
          <w:highlight w:val="none"/>
        </w:rPr>
        <w:t>项目编号：</w:t>
      </w:r>
    </w:p>
    <w:tbl>
      <w:tblPr>
        <w:tblStyle w:val="18"/>
        <w:tblW w:w="7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422"/>
        <w:gridCol w:w="824"/>
        <w:gridCol w:w="1237"/>
        <w:gridCol w:w="1228"/>
        <w:gridCol w:w="1005"/>
        <w:gridCol w:w="541"/>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687" w:type="dxa"/>
            <w:vAlign w:val="center"/>
          </w:tcPr>
          <w:p>
            <w:pPr>
              <w:adjustRightInd w:val="0"/>
              <w:snapToGrid w:val="0"/>
              <w:spacing w:beforeLines="10" w:afterLines="10"/>
              <w:ind w:left="21" w:leftChars="10" w:right="21" w:rightChars="10"/>
              <w:jc w:val="center"/>
              <w:rPr>
                <w:rFonts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序号</w:t>
            </w:r>
          </w:p>
        </w:tc>
        <w:tc>
          <w:tcPr>
            <w:tcW w:w="1422" w:type="dxa"/>
            <w:vAlign w:val="center"/>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项目名称</w:t>
            </w:r>
          </w:p>
        </w:tc>
        <w:tc>
          <w:tcPr>
            <w:tcW w:w="824" w:type="dxa"/>
            <w:vAlign w:val="center"/>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业主单位</w:t>
            </w:r>
          </w:p>
        </w:tc>
        <w:tc>
          <w:tcPr>
            <w:tcW w:w="1237" w:type="dxa"/>
            <w:vAlign w:val="center"/>
          </w:tcPr>
          <w:p>
            <w:pPr>
              <w:adjustRightInd w:val="0"/>
              <w:snapToGrid w:val="0"/>
              <w:spacing w:beforeLines="10" w:afterLines="10"/>
              <w:ind w:left="21" w:leftChars="10" w:right="21" w:rightChars="10"/>
              <w:jc w:val="center"/>
              <w:rPr>
                <w:rFonts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合同签订</w:t>
            </w:r>
          </w:p>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pacing w:val="-6"/>
                <w:szCs w:val="21"/>
                <w:highlight w:val="none"/>
              </w:rPr>
              <w:t>时间</w:t>
            </w:r>
          </w:p>
        </w:tc>
        <w:tc>
          <w:tcPr>
            <w:tcW w:w="1228" w:type="dxa"/>
            <w:vAlign w:val="center"/>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合同金额</w:t>
            </w:r>
          </w:p>
        </w:tc>
        <w:tc>
          <w:tcPr>
            <w:tcW w:w="1005" w:type="dxa"/>
            <w:vAlign w:val="center"/>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项目负责人</w:t>
            </w:r>
          </w:p>
        </w:tc>
        <w:tc>
          <w:tcPr>
            <w:tcW w:w="541" w:type="dxa"/>
            <w:vAlign w:val="center"/>
          </w:tcPr>
          <w:p>
            <w:pPr>
              <w:adjustRightInd w:val="0"/>
              <w:snapToGrid w:val="0"/>
              <w:spacing w:beforeLines="10" w:afterLines="10"/>
              <w:ind w:left="21" w:leftChars="10" w:right="21" w:rightChars="1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w:t>
            </w:r>
          </w:p>
        </w:tc>
        <w:tc>
          <w:tcPr>
            <w:tcW w:w="584" w:type="dxa"/>
            <w:vAlign w:val="center"/>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87" w:type="dxa"/>
            <w:vAlign w:val="center"/>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422"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824"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237"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228"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005"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541"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584"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87" w:type="dxa"/>
            <w:vAlign w:val="center"/>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422"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824"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237"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228"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005"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541"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584"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87" w:type="dxa"/>
            <w:vAlign w:val="center"/>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422"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824"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237"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228"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005"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541"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584"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87" w:type="dxa"/>
            <w:vAlign w:val="center"/>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422"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824"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237"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228"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005"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541"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584"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87" w:type="dxa"/>
            <w:vAlign w:val="center"/>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422"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824"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237"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228"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005"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541"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584"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87" w:type="dxa"/>
            <w:vAlign w:val="center"/>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422"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824"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237"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228"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005"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541"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584"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87" w:type="dxa"/>
            <w:vAlign w:val="center"/>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422"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824"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237"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228"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005"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541"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584"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87" w:type="dxa"/>
            <w:vAlign w:val="center"/>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w:t>
            </w:r>
          </w:p>
        </w:tc>
        <w:tc>
          <w:tcPr>
            <w:tcW w:w="1422"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824"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237"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228"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1005"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541"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c>
          <w:tcPr>
            <w:tcW w:w="584" w:type="dxa"/>
          </w:tcPr>
          <w:p>
            <w:pPr>
              <w:adjustRightInd w:val="0"/>
              <w:snapToGrid w:val="0"/>
              <w:spacing w:beforeLines="10" w:afterLines="10"/>
              <w:ind w:left="21" w:leftChars="10" w:right="21" w:rightChars="10"/>
              <w:jc w:val="center"/>
              <w:rPr>
                <w:rFonts w:asciiTheme="minorEastAsia" w:hAnsiTheme="minorEastAsia" w:eastAsiaTheme="minorEastAsia" w:cstheme="minorEastAsia"/>
                <w:szCs w:val="21"/>
                <w:highlight w:val="none"/>
              </w:rPr>
            </w:pPr>
          </w:p>
        </w:tc>
      </w:tr>
    </w:tbl>
    <w:p>
      <w:pPr>
        <w:spacing w:line="360" w:lineRule="auto"/>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说明：</w:t>
      </w:r>
    </w:p>
    <w:p>
      <w:pPr>
        <w:spacing w:line="360" w:lineRule="auto"/>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1.附磋商供应商承担类似项目的情况填入本表中，提供业绩合同等评分标准要求的相关证明材料。 无证明材料的内容评审时将不予考虑。</w:t>
      </w:r>
    </w:p>
    <w:p>
      <w:pPr>
        <w:spacing w:line="360" w:lineRule="auto"/>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2.公开竞标成交的类似业绩，还应提供成交/中标公告网页链接。</w:t>
      </w:r>
    </w:p>
    <w:p>
      <w:pPr>
        <w:spacing w:line="720" w:lineRule="auto"/>
        <w:ind w:left="4819" w:hanging="4200" w:hangingChars="2000"/>
        <w:rPr>
          <w:rFonts w:hint="eastAsia" w:ascii="宋体" w:hAnsi="宋体" w:cs="宋体"/>
          <w:color w:val="auto"/>
          <w:kern w:val="0"/>
          <w:sz w:val="21"/>
          <w:szCs w:val="21"/>
          <w:highlight w:val="none"/>
          <w:lang w:val="en-US" w:eastAsia="zh-CN"/>
        </w:rPr>
      </w:pPr>
      <w:bookmarkStart w:id="415" w:name="_Toc460258118"/>
      <w:bookmarkStart w:id="416" w:name="_Toc454806053"/>
    </w:p>
    <w:p>
      <w:pPr>
        <w:spacing w:line="720" w:lineRule="auto"/>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供应商（盖章）：</w:t>
      </w:r>
    </w:p>
    <w:p>
      <w:pPr>
        <w:spacing w:line="720" w:lineRule="auto"/>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法定代表人或委托代理人（签字或盖章）：</w:t>
      </w:r>
    </w:p>
    <w:p>
      <w:pPr>
        <w:pStyle w:val="8"/>
        <w:spacing w:line="720" w:lineRule="auto"/>
        <w:ind w:left="0" w:leftChars="0" w:firstLine="0" w:firstLineChars="0"/>
        <w:rPr>
          <w:rFonts w:asciiTheme="minorEastAsia" w:hAnsiTheme="minorEastAsia" w:eastAsiaTheme="minorEastAsia" w:cstheme="minorEastAsia"/>
          <w:color w:val="auto"/>
          <w:szCs w:val="21"/>
          <w:highlight w:val="none"/>
        </w:rPr>
      </w:pPr>
      <w:r>
        <w:rPr>
          <w:rFonts w:hint="eastAsia" w:ascii="宋体" w:hAnsi="宋体" w:cs="宋体"/>
          <w:color w:val="auto"/>
          <w:kern w:val="0"/>
          <w:sz w:val="21"/>
          <w:szCs w:val="21"/>
          <w:highlight w:val="none"/>
          <w:lang w:val="en-US" w:eastAsia="zh-CN"/>
        </w:rPr>
        <w:t>时间：     年    月    日</w:t>
      </w:r>
    </w:p>
    <w:p>
      <w:pPr>
        <w:tabs>
          <w:tab w:val="left" w:pos="540"/>
        </w:tabs>
        <w:autoSpaceDE w:val="0"/>
        <w:autoSpaceDN w:val="0"/>
        <w:adjustRightInd w:val="0"/>
        <w:spacing w:line="360" w:lineRule="auto"/>
        <w:jc w:val="center"/>
        <w:outlineLvl w:val="0"/>
        <w:rPr>
          <w:rFonts w:hint="eastAsia" w:asciiTheme="minorEastAsia" w:hAnsiTheme="minorEastAsia" w:eastAsiaTheme="minorEastAsia" w:cstheme="minorEastAsia"/>
          <w:b/>
          <w:bCs/>
          <w:sz w:val="24"/>
          <w:highlight w:val="none"/>
          <w:lang w:eastAsia="zh-CN"/>
        </w:rPr>
      </w:pPr>
      <w:r>
        <w:rPr>
          <w:rFonts w:hint="eastAsia" w:asciiTheme="minorEastAsia" w:hAnsiTheme="minorEastAsia" w:eastAsiaTheme="minorEastAsia" w:cstheme="minorEastAsia"/>
          <w:b/>
          <w:bCs/>
          <w:sz w:val="24"/>
          <w:highlight w:val="none"/>
        </w:rPr>
        <w:br w:type="page"/>
      </w:r>
      <w:bookmarkStart w:id="417" w:name="_Toc479184135"/>
      <w:bookmarkStart w:id="418" w:name="_Toc2487"/>
      <w:bookmarkStart w:id="419" w:name="_Toc30455"/>
      <w:bookmarkStart w:id="420" w:name="_Toc4834"/>
      <w:bookmarkStart w:id="421" w:name="_Toc27230"/>
      <w:bookmarkStart w:id="422" w:name="_Toc21804"/>
      <w:bookmarkStart w:id="423" w:name="_Toc12473"/>
      <w:bookmarkStart w:id="424" w:name="_Toc30410"/>
      <w:r>
        <w:rPr>
          <w:rStyle w:val="41"/>
          <w:rFonts w:hint="eastAsia"/>
          <w:b/>
          <w:bCs/>
          <w:highlight w:val="none"/>
          <w:lang w:eastAsia="zh-CN"/>
        </w:rPr>
        <w:t>十</w:t>
      </w:r>
      <w:r>
        <w:rPr>
          <w:rStyle w:val="41"/>
          <w:rFonts w:hint="eastAsia"/>
          <w:b/>
          <w:bCs/>
          <w:highlight w:val="none"/>
          <w:lang w:val="en-US" w:eastAsia="zh-CN"/>
        </w:rPr>
        <w:t>二</w:t>
      </w:r>
      <w:r>
        <w:rPr>
          <w:rStyle w:val="41"/>
          <w:rFonts w:hint="eastAsia"/>
          <w:b/>
          <w:bCs/>
          <w:highlight w:val="none"/>
          <w:lang w:eastAsia="zh-CN"/>
        </w:rPr>
        <w:t>、</w:t>
      </w:r>
      <w:bookmarkEnd w:id="415"/>
      <w:bookmarkEnd w:id="416"/>
      <w:bookmarkEnd w:id="417"/>
      <w:bookmarkEnd w:id="418"/>
      <w:bookmarkEnd w:id="419"/>
      <w:bookmarkEnd w:id="420"/>
      <w:r>
        <w:rPr>
          <w:rStyle w:val="41"/>
          <w:rFonts w:hint="eastAsia"/>
          <w:b/>
          <w:bCs/>
          <w:highlight w:val="none"/>
          <w:lang w:val="en-US" w:eastAsia="zh-CN"/>
        </w:rPr>
        <w:t>项目</w:t>
      </w:r>
      <w:bookmarkEnd w:id="421"/>
      <w:bookmarkEnd w:id="422"/>
      <w:bookmarkEnd w:id="423"/>
      <w:bookmarkEnd w:id="424"/>
      <w:r>
        <w:rPr>
          <w:rStyle w:val="41"/>
          <w:rFonts w:hint="eastAsia"/>
          <w:b/>
          <w:bCs/>
          <w:highlight w:val="none"/>
          <w:lang w:val="en-US" w:eastAsia="zh-CN"/>
        </w:rPr>
        <w:t>人员配备表（参考格式）</w:t>
      </w:r>
    </w:p>
    <w:p>
      <w:pPr>
        <w:adjustRightInd w:val="0"/>
        <w:snapToGrid w:val="0"/>
        <w:spacing w:line="360" w:lineRule="auto"/>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项目名称：                         </w:t>
      </w:r>
    </w:p>
    <w:p>
      <w:pPr>
        <w:adjustRightInd w:val="0"/>
        <w:snapToGrid w:val="0"/>
        <w:spacing w:line="360" w:lineRule="auto"/>
        <w:ind w:left="-181" w:leftChars="-86" w:firstLine="180" w:firstLineChars="86"/>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项目编号：</w:t>
      </w:r>
    </w:p>
    <w:tbl>
      <w:tblPr>
        <w:tblStyle w:val="18"/>
        <w:tblW w:w="8097"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4"/>
        <w:gridCol w:w="1554"/>
        <w:gridCol w:w="1063"/>
        <w:gridCol w:w="1048"/>
        <w:gridCol w:w="1048"/>
        <w:gridCol w:w="1063"/>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trPr>
        <w:tc>
          <w:tcPr>
            <w:tcW w:w="1144" w:type="dxa"/>
            <w:vMerge w:val="restart"/>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w:t>
            </w:r>
          </w:p>
        </w:tc>
        <w:tc>
          <w:tcPr>
            <w:tcW w:w="1554" w:type="dxa"/>
            <w:vMerge w:val="restart"/>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063" w:type="dxa"/>
            <w:vMerge w:val="restart"/>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职称</w:t>
            </w:r>
          </w:p>
        </w:tc>
        <w:tc>
          <w:tcPr>
            <w:tcW w:w="4336" w:type="dxa"/>
            <w:gridSpan w:val="4"/>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执业或职业资格证明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trPr>
        <w:tc>
          <w:tcPr>
            <w:tcW w:w="1144" w:type="dxa"/>
            <w:vMerge w:val="continue"/>
            <w:vAlign w:val="top"/>
          </w:tcPr>
          <w:p>
            <w:pPr>
              <w:rPr>
                <w:rFonts w:hint="eastAsia" w:ascii="宋体" w:hAnsi="宋体" w:eastAsia="宋体" w:cs="宋体"/>
                <w:color w:val="auto"/>
                <w:sz w:val="24"/>
                <w:szCs w:val="24"/>
                <w:highlight w:val="none"/>
              </w:rPr>
            </w:pPr>
          </w:p>
        </w:tc>
        <w:tc>
          <w:tcPr>
            <w:tcW w:w="1554" w:type="dxa"/>
            <w:vMerge w:val="continue"/>
            <w:vAlign w:val="top"/>
          </w:tcPr>
          <w:p>
            <w:pPr>
              <w:rPr>
                <w:rFonts w:hint="eastAsia" w:ascii="宋体" w:hAnsi="宋体" w:eastAsia="宋体" w:cs="宋体"/>
                <w:color w:val="auto"/>
                <w:sz w:val="24"/>
                <w:szCs w:val="24"/>
                <w:highlight w:val="none"/>
              </w:rPr>
            </w:pPr>
          </w:p>
        </w:tc>
        <w:tc>
          <w:tcPr>
            <w:tcW w:w="1063" w:type="dxa"/>
            <w:vMerge w:val="continue"/>
            <w:vAlign w:val="top"/>
          </w:tcPr>
          <w:p>
            <w:pPr>
              <w:rPr>
                <w:rFonts w:hint="eastAsia" w:ascii="宋体" w:hAnsi="宋体" w:eastAsia="宋体" w:cs="宋体"/>
                <w:color w:val="auto"/>
                <w:sz w:val="24"/>
                <w:szCs w:val="24"/>
                <w:highlight w:val="none"/>
              </w:rPr>
            </w:pPr>
          </w:p>
        </w:tc>
        <w:tc>
          <w:tcPr>
            <w:tcW w:w="1048" w:type="dxa"/>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证书名称</w:t>
            </w:r>
          </w:p>
        </w:tc>
        <w:tc>
          <w:tcPr>
            <w:tcW w:w="1048" w:type="dxa"/>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级别</w:t>
            </w:r>
          </w:p>
        </w:tc>
        <w:tc>
          <w:tcPr>
            <w:tcW w:w="1063" w:type="dxa"/>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证号</w:t>
            </w:r>
          </w:p>
        </w:tc>
        <w:tc>
          <w:tcPr>
            <w:tcW w:w="1177" w:type="dxa"/>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1144" w:type="dxa"/>
            <w:vAlign w:val="top"/>
          </w:tcPr>
          <w:p>
            <w:pPr>
              <w:rPr>
                <w:rFonts w:hint="eastAsia" w:ascii="宋体" w:hAnsi="宋体" w:eastAsia="宋体" w:cs="宋体"/>
                <w:color w:val="auto"/>
                <w:sz w:val="24"/>
                <w:szCs w:val="24"/>
                <w:highlight w:val="none"/>
              </w:rPr>
            </w:pPr>
          </w:p>
        </w:tc>
        <w:tc>
          <w:tcPr>
            <w:tcW w:w="1554" w:type="dxa"/>
            <w:vAlign w:val="top"/>
          </w:tcPr>
          <w:p>
            <w:pPr>
              <w:rPr>
                <w:rFonts w:hint="eastAsia" w:ascii="宋体" w:hAnsi="宋体" w:eastAsia="宋体" w:cs="宋体"/>
                <w:color w:val="auto"/>
                <w:sz w:val="24"/>
                <w:szCs w:val="24"/>
                <w:highlight w:val="none"/>
              </w:rPr>
            </w:pPr>
          </w:p>
        </w:tc>
        <w:tc>
          <w:tcPr>
            <w:tcW w:w="1063" w:type="dxa"/>
            <w:vAlign w:val="top"/>
          </w:tcPr>
          <w:p>
            <w:pPr>
              <w:rPr>
                <w:rFonts w:hint="eastAsia" w:ascii="宋体" w:hAnsi="宋体" w:eastAsia="宋体" w:cs="宋体"/>
                <w:color w:val="auto"/>
                <w:sz w:val="24"/>
                <w:szCs w:val="24"/>
                <w:highlight w:val="none"/>
              </w:rPr>
            </w:pPr>
          </w:p>
        </w:tc>
        <w:tc>
          <w:tcPr>
            <w:tcW w:w="1048" w:type="dxa"/>
            <w:vAlign w:val="top"/>
          </w:tcPr>
          <w:p>
            <w:pPr>
              <w:rPr>
                <w:rFonts w:hint="eastAsia" w:ascii="宋体" w:hAnsi="宋体" w:eastAsia="宋体" w:cs="宋体"/>
                <w:color w:val="auto"/>
                <w:sz w:val="24"/>
                <w:szCs w:val="24"/>
                <w:highlight w:val="none"/>
              </w:rPr>
            </w:pPr>
          </w:p>
        </w:tc>
        <w:tc>
          <w:tcPr>
            <w:tcW w:w="1048" w:type="dxa"/>
            <w:vAlign w:val="top"/>
          </w:tcPr>
          <w:p>
            <w:pPr>
              <w:rPr>
                <w:rFonts w:hint="eastAsia" w:ascii="宋体" w:hAnsi="宋体" w:eastAsia="宋体" w:cs="宋体"/>
                <w:color w:val="auto"/>
                <w:sz w:val="24"/>
                <w:szCs w:val="24"/>
                <w:highlight w:val="none"/>
              </w:rPr>
            </w:pPr>
          </w:p>
        </w:tc>
        <w:tc>
          <w:tcPr>
            <w:tcW w:w="1063" w:type="dxa"/>
            <w:vAlign w:val="top"/>
          </w:tcPr>
          <w:p>
            <w:pPr>
              <w:rPr>
                <w:rFonts w:hint="eastAsia" w:ascii="宋体" w:hAnsi="宋体" w:eastAsia="宋体" w:cs="宋体"/>
                <w:color w:val="auto"/>
                <w:sz w:val="24"/>
                <w:szCs w:val="24"/>
                <w:highlight w:val="none"/>
              </w:rPr>
            </w:pPr>
          </w:p>
        </w:tc>
        <w:tc>
          <w:tcPr>
            <w:tcW w:w="1177" w:type="dxa"/>
            <w:vAlign w:val="top"/>
          </w:tcPr>
          <w:p>
            <w:pP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1144" w:type="dxa"/>
            <w:vAlign w:val="top"/>
          </w:tcPr>
          <w:p>
            <w:pPr>
              <w:rPr>
                <w:rFonts w:hint="eastAsia" w:ascii="宋体" w:hAnsi="宋体" w:eastAsia="宋体" w:cs="宋体"/>
                <w:color w:val="auto"/>
                <w:sz w:val="24"/>
                <w:szCs w:val="24"/>
                <w:highlight w:val="none"/>
              </w:rPr>
            </w:pPr>
          </w:p>
        </w:tc>
        <w:tc>
          <w:tcPr>
            <w:tcW w:w="1554" w:type="dxa"/>
            <w:vAlign w:val="top"/>
          </w:tcPr>
          <w:p>
            <w:pPr>
              <w:rPr>
                <w:rFonts w:hint="eastAsia" w:ascii="宋体" w:hAnsi="宋体" w:eastAsia="宋体" w:cs="宋体"/>
                <w:color w:val="auto"/>
                <w:sz w:val="24"/>
                <w:szCs w:val="24"/>
                <w:highlight w:val="none"/>
              </w:rPr>
            </w:pPr>
          </w:p>
        </w:tc>
        <w:tc>
          <w:tcPr>
            <w:tcW w:w="1063" w:type="dxa"/>
            <w:vAlign w:val="top"/>
          </w:tcPr>
          <w:p>
            <w:pPr>
              <w:rPr>
                <w:rFonts w:hint="eastAsia" w:ascii="宋体" w:hAnsi="宋体" w:eastAsia="宋体" w:cs="宋体"/>
                <w:color w:val="auto"/>
                <w:sz w:val="24"/>
                <w:szCs w:val="24"/>
                <w:highlight w:val="none"/>
              </w:rPr>
            </w:pPr>
          </w:p>
        </w:tc>
        <w:tc>
          <w:tcPr>
            <w:tcW w:w="1048" w:type="dxa"/>
            <w:vAlign w:val="top"/>
          </w:tcPr>
          <w:p>
            <w:pPr>
              <w:rPr>
                <w:rFonts w:hint="eastAsia" w:ascii="宋体" w:hAnsi="宋体" w:eastAsia="宋体" w:cs="宋体"/>
                <w:color w:val="auto"/>
                <w:sz w:val="24"/>
                <w:szCs w:val="24"/>
                <w:highlight w:val="none"/>
              </w:rPr>
            </w:pPr>
          </w:p>
        </w:tc>
        <w:tc>
          <w:tcPr>
            <w:tcW w:w="1048" w:type="dxa"/>
            <w:vAlign w:val="top"/>
          </w:tcPr>
          <w:p>
            <w:pPr>
              <w:rPr>
                <w:rFonts w:hint="eastAsia" w:ascii="宋体" w:hAnsi="宋体" w:eastAsia="宋体" w:cs="宋体"/>
                <w:color w:val="auto"/>
                <w:sz w:val="24"/>
                <w:szCs w:val="24"/>
                <w:highlight w:val="none"/>
              </w:rPr>
            </w:pPr>
          </w:p>
        </w:tc>
        <w:tc>
          <w:tcPr>
            <w:tcW w:w="1063" w:type="dxa"/>
            <w:vAlign w:val="top"/>
          </w:tcPr>
          <w:p>
            <w:pPr>
              <w:rPr>
                <w:rFonts w:hint="eastAsia" w:ascii="宋体" w:hAnsi="宋体" w:eastAsia="宋体" w:cs="宋体"/>
                <w:color w:val="auto"/>
                <w:sz w:val="24"/>
                <w:szCs w:val="24"/>
                <w:highlight w:val="none"/>
              </w:rPr>
            </w:pPr>
          </w:p>
        </w:tc>
        <w:tc>
          <w:tcPr>
            <w:tcW w:w="1177" w:type="dxa"/>
            <w:vAlign w:val="top"/>
          </w:tcPr>
          <w:p>
            <w:pP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1144" w:type="dxa"/>
            <w:vAlign w:val="top"/>
          </w:tcPr>
          <w:p>
            <w:pPr>
              <w:rPr>
                <w:rFonts w:hint="eastAsia" w:ascii="宋体" w:hAnsi="宋体" w:eastAsia="宋体" w:cs="宋体"/>
                <w:color w:val="auto"/>
                <w:sz w:val="24"/>
                <w:szCs w:val="24"/>
                <w:highlight w:val="none"/>
              </w:rPr>
            </w:pPr>
          </w:p>
        </w:tc>
        <w:tc>
          <w:tcPr>
            <w:tcW w:w="1554" w:type="dxa"/>
            <w:vAlign w:val="top"/>
          </w:tcPr>
          <w:p>
            <w:pPr>
              <w:rPr>
                <w:rFonts w:hint="eastAsia" w:ascii="宋体" w:hAnsi="宋体" w:eastAsia="宋体" w:cs="宋体"/>
                <w:color w:val="auto"/>
                <w:sz w:val="24"/>
                <w:szCs w:val="24"/>
                <w:highlight w:val="none"/>
              </w:rPr>
            </w:pPr>
          </w:p>
        </w:tc>
        <w:tc>
          <w:tcPr>
            <w:tcW w:w="1063" w:type="dxa"/>
            <w:vAlign w:val="top"/>
          </w:tcPr>
          <w:p>
            <w:pPr>
              <w:rPr>
                <w:rFonts w:hint="eastAsia" w:ascii="宋体" w:hAnsi="宋体" w:eastAsia="宋体" w:cs="宋体"/>
                <w:color w:val="auto"/>
                <w:sz w:val="24"/>
                <w:szCs w:val="24"/>
                <w:highlight w:val="none"/>
              </w:rPr>
            </w:pPr>
          </w:p>
        </w:tc>
        <w:tc>
          <w:tcPr>
            <w:tcW w:w="1048" w:type="dxa"/>
            <w:vAlign w:val="top"/>
          </w:tcPr>
          <w:p>
            <w:pPr>
              <w:rPr>
                <w:rFonts w:hint="eastAsia" w:ascii="宋体" w:hAnsi="宋体" w:eastAsia="宋体" w:cs="宋体"/>
                <w:color w:val="auto"/>
                <w:sz w:val="24"/>
                <w:szCs w:val="24"/>
                <w:highlight w:val="none"/>
              </w:rPr>
            </w:pPr>
          </w:p>
        </w:tc>
        <w:tc>
          <w:tcPr>
            <w:tcW w:w="1048" w:type="dxa"/>
            <w:vAlign w:val="top"/>
          </w:tcPr>
          <w:p>
            <w:pPr>
              <w:rPr>
                <w:rFonts w:hint="eastAsia" w:ascii="宋体" w:hAnsi="宋体" w:eastAsia="宋体" w:cs="宋体"/>
                <w:color w:val="auto"/>
                <w:sz w:val="24"/>
                <w:szCs w:val="24"/>
                <w:highlight w:val="none"/>
              </w:rPr>
            </w:pPr>
          </w:p>
        </w:tc>
        <w:tc>
          <w:tcPr>
            <w:tcW w:w="1063" w:type="dxa"/>
            <w:vAlign w:val="top"/>
          </w:tcPr>
          <w:p>
            <w:pPr>
              <w:rPr>
                <w:rFonts w:hint="eastAsia" w:ascii="宋体" w:hAnsi="宋体" w:eastAsia="宋体" w:cs="宋体"/>
                <w:color w:val="auto"/>
                <w:sz w:val="24"/>
                <w:szCs w:val="24"/>
                <w:highlight w:val="none"/>
              </w:rPr>
            </w:pPr>
          </w:p>
        </w:tc>
        <w:tc>
          <w:tcPr>
            <w:tcW w:w="1177" w:type="dxa"/>
            <w:vAlign w:val="top"/>
          </w:tcPr>
          <w:p>
            <w:pP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1144" w:type="dxa"/>
            <w:vAlign w:val="top"/>
          </w:tcPr>
          <w:p>
            <w:pPr>
              <w:rPr>
                <w:rFonts w:hint="eastAsia" w:ascii="宋体" w:hAnsi="宋体" w:eastAsia="宋体" w:cs="宋体"/>
                <w:color w:val="auto"/>
                <w:sz w:val="24"/>
                <w:szCs w:val="24"/>
                <w:highlight w:val="none"/>
              </w:rPr>
            </w:pPr>
          </w:p>
        </w:tc>
        <w:tc>
          <w:tcPr>
            <w:tcW w:w="1554" w:type="dxa"/>
            <w:vAlign w:val="top"/>
          </w:tcPr>
          <w:p>
            <w:pPr>
              <w:rPr>
                <w:rFonts w:hint="eastAsia" w:ascii="宋体" w:hAnsi="宋体" w:eastAsia="宋体" w:cs="宋体"/>
                <w:color w:val="auto"/>
                <w:sz w:val="24"/>
                <w:szCs w:val="24"/>
                <w:highlight w:val="none"/>
              </w:rPr>
            </w:pPr>
          </w:p>
        </w:tc>
        <w:tc>
          <w:tcPr>
            <w:tcW w:w="1063" w:type="dxa"/>
            <w:vAlign w:val="top"/>
          </w:tcPr>
          <w:p>
            <w:pPr>
              <w:rPr>
                <w:rFonts w:hint="eastAsia" w:ascii="宋体" w:hAnsi="宋体" w:eastAsia="宋体" w:cs="宋体"/>
                <w:color w:val="auto"/>
                <w:sz w:val="24"/>
                <w:szCs w:val="24"/>
                <w:highlight w:val="none"/>
              </w:rPr>
            </w:pPr>
          </w:p>
        </w:tc>
        <w:tc>
          <w:tcPr>
            <w:tcW w:w="1048" w:type="dxa"/>
            <w:vAlign w:val="top"/>
          </w:tcPr>
          <w:p>
            <w:pPr>
              <w:rPr>
                <w:rFonts w:hint="eastAsia" w:ascii="宋体" w:hAnsi="宋体" w:eastAsia="宋体" w:cs="宋体"/>
                <w:color w:val="auto"/>
                <w:sz w:val="24"/>
                <w:szCs w:val="24"/>
                <w:highlight w:val="none"/>
              </w:rPr>
            </w:pPr>
          </w:p>
        </w:tc>
        <w:tc>
          <w:tcPr>
            <w:tcW w:w="1048" w:type="dxa"/>
            <w:vAlign w:val="top"/>
          </w:tcPr>
          <w:p>
            <w:pPr>
              <w:rPr>
                <w:rFonts w:hint="eastAsia" w:ascii="宋体" w:hAnsi="宋体" w:eastAsia="宋体" w:cs="宋体"/>
                <w:color w:val="auto"/>
                <w:sz w:val="24"/>
                <w:szCs w:val="24"/>
                <w:highlight w:val="none"/>
              </w:rPr>
            </w:pPr>
          </w:p>
        </w:tc>
        <w:tc>
          <w:tcPr>
            <w:tcW w:w="1063" w:type="dxa"/>
            <w:vAlign w:val="top"/>
          </w:tcPr>
          <w:p>
            <w:pPr>
              <w:rPr>
                <w:rFonts w:hint="eastAsia" w:ascii="宋体" w:hAnsi="宋体" w:eastAsia="宋体" w:cs="宋体"/>
                <w:color w:val="auto"/>
                <w:sz w:val="24"/>
                <w:szCs w:val="24"/>
                <w:highlight w:val="none"/>
              </w:rPr>
            </w:pPr>
          </w:p>
        </w:tc>
        <w:tc>
          <w:tcPr>
            <w:tcW w:w="1177" w:type="dxa"/>
            <w:vAlign w:val="top"/>
          </w:tcPr>
          <w:p>
            <w:pP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1144" w:type="dxa"/>
            <w:vAlign w:val="top"/>
          </w:tcPr>
          <w:p>
            <w:pPr>
              <w:rPr>
                <w:rFonts w:hint="eastAsia" w:ascii="宋体" w:hAnsi="宋体" w:eastAsia="宋体" w:cs="宋体"/>
                <w:color w:val="auto"/>
                <w:sz w:val="24"/>
                <w:szCs w:val="24"/>
                <w:highlight w:val="none"/>
              </w:rPr>
            </w:pPr>
          </w:p>
        </w:tc>
        <w:tc>
          <w:tcPr>
            <w:tcW w:w="1554" w:type="dxa"/>
            <w:vAlign w:val="top"/>
          </w:tcPr>
          <w:p>
            <w:pPr>
              <w:rPr>
                <w:rFonts w:hint="eastAsia" w:ascii="宋体" w:hAnsi="宋体" w:eastAsia="宋体" w:cs="宋体"/>
                <w:color w:val="auto"/>
                <w:sz w:val="24"/>
                <w:szCs w:val="24"/>
                <w:highlight w:val="none"/>
              </w:rPr>
            </w:pPr>
          </w:p>
        </w:tc>
        <w:tc>
          <w:tcPr>
            <w:tcW w:w="1063" w:type="dxa"/>
            <w:vAlign w:val="top"/>
          </w:tcPr>
          <w:p>
            <w:pPr>
              <w:rPr>
                <w:rFonts w:hint="eastAsia" w:ascii="宋体" w:hAnsi="宋体" w:eastAsia="宋体" w:cs="宋体"/>
                <w:color w:val="auto"/>
                <w:sz w:val="24"/>
                <w:szCs w:val="24"/>
                <w:highlight w:val="none"/>
              </w:rPr>
            </w:pPr>
          </w:p>
        </w:tc>
        <w:tc>
          <w:tcPr>
            <w:tcW w:w="1048" w:type="dxa"/>
            <w:vAlign w:val="top"/>
          </w:tcPr>
          <w:p>
            <w:pPr>
              <w:rPr>
                <w:rFonts w:hint="eastAsia" w:ascii="宋体" w:hAnsi="宋体" w:eastAsia="宋体" w:cs="宋体"/>
                <w:color w:val="auto"/>
                <w:sz w:val="24"/>
                <w:szCs w:val="24"/>
                <w:highlight w:val="none"/>
              </w:rPr>
            </w:pPr>
          </w:p>
        </w:tc>
        <w:tc>
          <w:tcPr>
            <w:tcW w:w="1048" w:type="dxa"/>
            <w:vAlign w:val="top"/>
          </w:tcPr>
          <w:p>
            <w:pPr>
              <w:rPr>
                <w:rFonts w:hint="eastAsia" w:ascii="宋体" w:hAnsi="宋体" w:eastAsia="宋体" w:cs="宋体"/>
                <w:color w:val="auto"/>
                <w:sz w:val="24"/>
                <w:szCs w:val="24"/>
                <w:highlight w:val="none"/>
              </w:rPr>
            </w:pPr>
          </w:p>
        </w:tc>
        <w:tc>
          <w:tcPr>
            <w:tcW w:w="1063" w:type="dxa"/>
            <w:vAlign w:val="top"/>
          </w:tcPr>
          <w:p>
            <w:pPr>
              <w:rPr>
                <w:rFonts w:hint="eastAsia" w:ascii="宋体" w:hAnsi="宋体" w:eastAsia="宋体" w:cs="宋体"/>
                <w:color w:val="auto"/>
                <w:sz w:val="24"/>
                <w:szCs w:val="24"/>
                <w:highlight w:val="none"/>
              </w:rPr>
            </w:pPr>
          </w:p>
        </w:tc>
        <w:tc>
          <w:tcPr>
            <w:tcW w:w="1177" w:type="dxa"/>
            <w:vAlign w:val="top"/>
          </w:tcPr>
          <w:p>
            <w:pP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144" w:type="dxa"/>
            <w:vAlign w:val="top"/>
          </w:tcPr>
          <w:p>
            <w:pPr>
              <w:rPr>
                <w:rFonts w:hint="eastAsia" w:ascii="宋体" w:hAnsi="宋体" w:eastAsia="宋体" w:cs="宋体"/>
                <w:color w:val="auto"/>
                <w:sz w:val="24"/>
                <w:szCs w:val="24"/>
                <w:highlight w:val="none"/>
              </w:rPr>
            </w:pPr>
          </w:p>
        </w:tc>
        <w:tc>
          <w:tcPr>
            <w:tcW w:w="1554" w:type="dxa"/>
            <w:vAlign w:val="top"/>
          </w:tcPr>
          <w:p>
            <w:pPr>
              <w:rPr>
                <w:rFonts w:hint="eastAsia" w:ascii="宋体" w:hAnsi="宋体" w:eastAsia="宋体" w:cs="宋体"/>
                <w:color w:val="auto"/>
                <w:sz w:val="24"/>
                <w:szCs w:val="24"/>
                <w:highlight w:val="none"/>
              </w:rPr>
            </w:pPr>
          </w:p>
        </w:tc>
        <w:tc>
          <w:tcPr>
            <w:tcW w:w="1063" w:type="dxa"/>
            <w:vAlign w:val="top"/>
          </w:tcPr>
          <w:p>
            <w:pPr>
              <w:rPr>
                <w:rFonts w:hint="eastAsia" w:ascii="宋体" w:hAnsi="宋体" w:eastAsia="宋体" w:cs="宋体"/>
                <w:color w:val="auto"/>
                <w:sz w:val="24"/>
                <w:szCs w:val="24"/>
                <w:highlight w:val="none"/>
              </w:rPr>
            </w:pPr>
          </w:p>
        </w:tc>
        <w:tc>
          <w:tcPr>
            <w:tcW w:w="1048" w:type="dxa"/>
            <w:vAlign w:val="top"/>
          </w:tcPr>
          <w:p>
            <w:pPr>
              <w:rPr>
                <w:rFonts w:hint="eastAsia" w:ascii="宋体" w:hAnsi="宋体" w:eastAsia="宋体" w:cs="宋体"/>
                <w:color w:val="auto"/>
                <w:sz w:val="24"/>
                <w:szCs w:val="24"/>
                <w:highlight w:val="none"/>
              </w:rPr>
            </w:pPr>
          </w:p>
        </w:tc>
        <w:tc>
          <w:tcPr>
            <w:tcW w:w="1048" w:type="dxa"/>
            <w:vAlign w:val="top"/>
          </w:tcPr>
          <w:p>
            <w:pPr>
              <w:rPr>
                <w:rFonts w:hint="eastAsia" w:ascii="宋体" w:hAnsi="宋体" w:eastAsia="宋体" w:cs="宋体"/>
                <w:color w:val="auto"/>
                <w:sz w:val="24"/>
                <w:szCs w:val="24"/>
                <w:highlight w:val="none"/>
              </w:rPr>
            </w:pPr>
          </w:p>
        </w:tc>
        <w:tc>
          <w:tcPr>
            <w:tcW w:w="1063" w:type="dxa"/>
            <w:vAlign w:val="top"/>
          </w:tcPr>
          <w:p>
            <w:pPr>
              <w:rPr>
                <w:rFonts w:hint="eastAsia" w:ascii="宋体" w:hAnsi="宋体" w:eastAsia="宋体" w:cs="宋体"/>
                <w:color w:val="auto"/>
                <w:sz w:val="24"/>
                <w:szCs w:val="24"/>
                <w:highlight w:val="none"/>
              </w:rPr>
            </w:pPr>
          </w:p>
        </w:tc>
        <w:tc>
          <w:tcPr>
            <w:tcW w:w="1177" w:type="dxa"/>
            <w:vAlign w:val="top"/>
          </w:tcPr>
          <w:p>
            <w:pP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1144" w:type="dxa"/>
            <w:vAlign w:val="top"/>
          </w:tcPr>
          <w:p>
            <w:pPr>
              <w:rPr>
                <w:rFonts w:hint="eastAsia" w:ascii="宋体" w:hAnsi="宋体" w:eastAsia="宋体" w:cs="宋体"/>
                <w:color w:val="auto"/>
                <w:sz w:val="24"/>
                <w:szCs w:val="24"/>
                <w:highlight w:val="none"/>
              </w:rPr>
            </w:pPr>
          </w:p>
        </w:tc>
        <w:tc>
          <w:tcPr>
            <w:tcW w:w="1554" w:type="dxa"/>
            <w:vAlign w:val="top"/>
          </w:tcPr>
          <w:p>
            <w:pPr>
              <w:rPr>
                <w:rFonts w:hint="eastAsia" w:ascii="宋体" w:hAnsi="宋体" w:eastAsia="宋体" w:cs="宋体"/>
                <w:color w:val="auto"/>
                <w:sz w:val="24"/>
                <w:szCs w:val="24"/>
                <w:highlight w:val="none"/>
              </w:rPr>
            </w:pPr>
          </w:p>
        </w:tc>
        <w:tc>
          <w:tcPr>
            <w:tcW w:w="1063" w:type="dxa"/>
            <w:vAlign w:val="top"/>
          </w:tcPr>
          <w:p>
            <w:pPr>
              <w:rPr>
                <w:rFonts w:hint="eastAsia" w:ascii="宋体" w:hAnsi="宋体" w:eastAsia="宋体" w:cs="宋体"/>
                <w:color w:val="auto"/>
                <w:sz w:val="24"/>
                <w:szCs w:val="24"/>
                <w:highlight w:val="none"/>
              </w:rPr>
            </w:pPr>
          </w:p>
        </w:tc>
        <w:tc>
          <w:tcPr>
            <w:tcW w:w="1048" w:type="dxa"/>
            <w:vAlign w:val="top"/>
          </w:tcPr>
          <w:p>
            <w:pPr>
              <w:rPr>
                <w:rFonts w:hint="eastAsia" w:ascii="宋体" w:hAnsi="宋体" w:eastAsia="宋体" w:cs="宋体"/>
                <w:color w:val="auto"/>
                <w:sz w:val="24"/>
                <w:szCs w:val="24"/>
                <w:highlight w:val="none"/>
              </w:rPr>
            </w:pPr>
          </w:p>
        </w:tc>
        <w:tc>
          <w:tcPr>
            <w:tcW w:w="1048" w:type="dxa"/>
            <w:vAlign w:val="top"/>
          </w:tcPr>
          <w:p>
            <w:pPr>
              <w:rPr>
                <w:rFonts w:hint="eastAsia" w:ascii="宋体" w:hAnsi="宋体" w:eastAsia="宋体" w:cs="宋体"/>
                <w:color w:val="auto"/>
                <w:sz w:val="24"/>
                <w:szCs w:val="24"/>
                <w:highlight w:val="none"/>
              </w:rPr>
            </w:pPr>
          </w:p>
        </w:tc>
        <w:tc>
          <w:tcPr>
            <w:tcW w:w="1063" w:type="dxa"/>
            <w:vAlign w:val="top"/>
          </w:tcPr>
          <w:p>
            <w:pPr>
              <w:rPr>
                <w:rFonts w:hint="eastAsia" w:ascii="宋体" w:hAnsi="宋体" w:eastAsia="宋体" w:cs="宋体"/>
                <w:color w:val="auto"/>
                <w:sz w:val="24"/>
                <w:szCs w:val="24"/>
                <w:highlight w:val="none"/>
              </w:rPr>
            </w:pPr>
          </w:p>
        </w:tc>
        <w:tc>
          <w:tcPr>
            <w:tcW w:w="1177" w:type="dxa"/>
            <w:vAlign w:val="top"/>
          </w:tcPr>
          <w:p>
            <w:pP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1144" w:type="dxa"/>
            <w:vAlign w:val="top"/>
          </w:tcPr>
          <w:p>
            <w:pPr>
              <w:rPr>
                <w:rFonts w:hint="eastAsia" w:ascii="宋体" w:hAnsi="宋体" w:eastAsia="宋体" w:cs="宋体"/>
                <w:color w:val="auto"/>
                <w:sz w:val="24"/>
                <w:szCs w:val="24"/>
                <w:highlight w:val="none"/>
              </w:rPr>
            </w:pPr>
          </w:p>
        </w:tc>
        <w:tc>
          <w:tcPr>
            <w:tcW w:w="1554" w:type="dxa"/>
            <w:vAlign w:val="top"/>
          </w:tcPr>
          <w:p>
            <w:pPr>
              <w:rPr>
                <w:rFonts w:hint="eastAsia" w:ascii="宋体" w:hAnsi="宋体" w:eastAsia="宋体" w:cs="宋体"/>
                <w:color w:val="auto"/>
                <w:sz w:val="24"/>
                <w:szCs w:val="24"/>
                <w:highlight w:val="none"/>
              </w:rPr>
            </w:pPr>
          </w:p>
        </w:tc>
        <w:tc>
          <w:tcPr>
            <w:tcW w:w="1063" w:type="dxa"/>
            <w:vAlign w:val="top"/>
          </w:tcPr>
          <w:p>
            <w:pPr>
              <w:rPr>
                <w:rFonts w:hint="eastAsia" w:ascii="宋体" w:hAnsi="宋体" w:eastAsia="宋体" w:cs="宋体"/>
                <w:color w:val="auto"/>
                <w:sz w:val="24"/>
                <w:szCs w:val="24"/>
                <w:highlight w:val="none"/>
              </w:rPr>
            </w:pPr>
          </w:p>
        </w:tc>
        <w:tc>
          <w:tcPr>
            <w:tcW w:w="1048" w:type="dxa"/>
            <w:vAlign w:val="top"/>
          </w:tcPr>
          <w:p>
            <w:pPr>
              <w:rPr>
                <w:rFonts w:hint="eastAsia" w:ascii="宋体" w:hAnsi="宋体" w:eastAsia="宋体" w:cs="宋体"/>
                <w:color w:val="auto"/>
                <w:sz w:val="24"/>
                <w:szCs w:val="24"/>
                <w:highlight w:val="none"/>
              </w:rPr>
            </w:pPr>
          </w:p>
        </w:tc>
        <w:tc>
          <w:tcPr>
            <w:tcW w:w="1048" w:type="dxa"/>
            <w:vAlign w:val="top"/>
          </w:tcPr>
          <w:p>
            <w:pPr>
              <w:rPr>
                <w:rFonts w:hint="eastAsia" w:ascii="宋体" w:hAnsi="宋体" w:eastAsia="宋体" w:cs="宋体"/>
                <w:color w:val="auto"/>
                <w:sz w:val="24"/>
                <w:szCs w:val="24"/>
                <w:highlight w:val="none"/>
              </w:rPr>
            </w:pPr>
          </w:p>
        </w:tc>
        <w:tc>
          <w:tcPr>
            <w:tcW w:w="1063" w:type="dxa"/>
            <w:vAlign w:val="top"/>
          </w:tcPr>
          <w:p>
            <w:pPr>
              <w:rPr>
                <w:rFonts w:hint="eastAsia" w:ascii="宋体" w:hAnsi="宋体" w:eastAsia="宋体" w:cs="宋体"/>
                <w:color w:val="auto"/>
                <w:sz w:val="24"/>
                <w:szCs w:val="24"/>
                <w:highlight w:val="none"/>
              </w:rPr>
            </w:pPr>
          </w:p>
        </w:tc>
        <w:tc>
          <w:tcPr>
            <w:tcW w:w="1177" w:type="dxa"/>
            <w:vAlign w:val="top"/>
          </w:tcPr>
          <w:p>
            <w:pPr>
              <w:rPr>
                <w:rFonts w:hint="eastAsia" w:ascii="宋体" w:hAnsi="宋体" w:eastAsia="宋体" w:cs="宋体"/>
                <w:color w:val="auto"/>
                <w:sz w:val="24"/>
                <w:szCs w:val="24"/>
                <w:highlight w:val="none"/>
              </w:rPr>
            </w:pPr>
          </w:p>
        </w:tc>
      </w:tr>
    </w:tbl>
    <w:p>
      <w:pPr>
        <w:spacing w:line="360" w:lineRule="auto"/>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说明：附项目管理机构配备人员</w:t>
      </w:r>
      <w:r>
        <w:rPr>
          <w:rFonts w:ascii="宋体" w:hAnsi="宋体"/>
          <w:highlight w:val="none"/>
        </w:rPr>
        <w:t>相关人员</w:t>
      </w:r>
      <w:r>
        <w:rPr>
          <w:rFonts w:hint="eastAsia" w:asciiTheme="minorEastAsia" w:hAnsiTheme="minorEastAsia" w:eastAsiaTheme="minorEastAsia" w:cstheme="minorEastAsia"/>
          <w:szCs w:val="21"/>
          <w:highlight w:val="none"/>
        </w:rPr>
        <w:t>评分标准要求的其他相关证明材料。无证明材料的内容评审时将不予考虑。</w:t>
      </w:r>
    </w:p>
    <w:p>
      <w:pPr>
        <w:adjustRightInd w:val="0"/>
        <w:snapToGrid w:val="0"/>
        <w:spacing w:line="360" w:lineRule="auto"/>
        <w:ind w:left="-88" w:leftChars="-42"/>
        <w:jc w:val="both"/>
        <w:rPr>
          <w:rFonts w:hint="eastAsia" w:asciiTheme="minorEastAsia" w:hAnsiTheme="minorEastAsia" w:eastAsiaTheme="minorEastAsia" w:cstheme="minorEastAsia"/>
          <w:kern w:val="0"/>
          <w:szCs w:val="21"/>
          <w:highlight w:val="none"/>
        </w:rPr>
      </w:pPr>
    </w:p>
    <w:p>
      <w:pPr>
        <w:spacing w:line="720" w:lineRule="auto"/>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供应商（盖章）：</w:t>
      </w:r>
    </w:p>
    <w:p>
      <w:pPr>
        <w:spacing w:line="720" w:lineRule="auto"/>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法定代表人或委托代理人（签字或盖章）：</w:t>
      </w:r>
    </w:p>
    <w:p>
      <w:pPr>
        <w:pStyle w:val="8"/>
        <w:spacing w:line="720" w:lineRule="auto"/>
        <w:ind w:left="0" w:leftChars="0" w:firstLine="0" w:firstLineChars="0"/>
        <w:rPr>
          <w:rFonts w:hint="eastAsia"/>
          <w:highlight w:val="none"/>
          <w:lang w:eastAsia="zh-CN"/>
        </w:rPr>
      </w:pPr>
      <w:r>
        <w:rPr>
          <w:rFonts w:hint="eastAsia" w:ascii="宋体" w:hAnsi="宋体" w:cs="宋体"/>
          <w:color w:val="auto"/>
          <w:kern w:val="0"/>
          <w:sz w:val="21"/>
          <w:szCs w:val="21"/>
          <w:highlight w:val="none"/>
          <w:lang w:val="en-US" w:eastAsia="zh-CN"/>
        </w:rPr>
        <w:t>时间：     年    月    日</w:t>
      </w:r>
    </w:p>
    <w:p>
      <w:pPr>
        <w:pStyle w:val="3"/>
        <w:numPr>
          <w:ilvl w:val="0"/>
          <w:numId w:val="33"/>
        </w:numPr>
        <w:bidi w:val="0"/>
        <w:jc w:val="center"/>
        <w:rPr>
          <w:rFonts w:hint="eastAsia"/>
          <w:b/>
          <w:bCs/>
          <w:highlight w:val="none"/>
          <w:lang w:eastAsia="zh-CN"/>
        </w:rPr>
      </w:pPr>
      <w:bookmarkStart w:id="425" w:name="_Toc58665148"/>
      <w:bookmarkStart w:id="426" w:name="_Toc78098360"/>
      <w:bookmarkStart w:id="427" w:name="_Toc114916911"/>
      <w:bookmarkStart w:id="428" w:name="_Toc114375881"/>
      <w:bookmarkStart w:id="429" w:name="_Toc114377015"/>
      <w:bookmarkStart w:id="430" w:name="_Toc114887918"/>
      <w:bookmarkStart w:id="431" w:name="_Toc114916972"/>
      <w:bookmarkStart w:id="432" w:name="_Toc114371691"/>
      <w:bookmarkStart w:id="433" w:name="_Toc112752920"/>
      <w:bookmarkStart w:id="434" w:name="_Toc114371540"/>
      <w:bookmarkStart w:id="435" w:name="_Toc8189"/>
      <w:bookmarkStart w:id="436" w:name="_Toc8098"/>
      <w:bookmarkStart w:id="437" w:name="_Toc2101"/>
      <w:bookmarkStart w:id="438" w:name="_Toc422466739"/>
      <w:bookmarkStart w:id="439" w:name="_Toc355802499"/>
      <w:bookmarkStart w:id="440" w:name="_Toc356836516"/>
      <w:bookmarkStart w:id="441" w:name="_Toc22465"/>
      <w:bookmarkStart w:id="442" w:name="_Toc479184140"/>
      <w:bookmarkStart w:id="443" w:name="_Toc12119"/>
      <w:bookmarkStart w:id="444" w:name="_Toc432149016"/>
      <w:r>
        <w:rPr>
          <w:rFonts w:hint="eastAsia"/>
          <w:b/>
          <w:bCs/>
          <w:highlight w:val="none"/>
          <w:lang w:eastAsia="zh-CN"/>
        </w:rPr>
        <w:t>技术部分文件</w:t>
      </w:r>
    </w:p>
    <w:p>
      <w:pPr>
        <w:widowControl w:val="0"/>
        <w:numPr>
          <w:ilvl w:val="0"/>
          <w:numId w:val="0"/>
        </w:numPr>
        <w:jc w:val="both"/>
        <w:rPr>
          <w:rFonts w:hint="eastAsia"/>
          <w:highlight w:val="none"/>
          <w:lang w:eastAsia="zh-CN"/>
        </w:rPr>
      </w:pPr>
    </w:p>
    <w:p>
      <w:pPr>
        <w:pStyle w:val="7"/>
        <w:rPr>
          <w:rFonts w:hint="eastAsia"/>
          <w:highlight w:val="none"/>
          <w:lang w:eastAsia="zh-CN"/>
        </w:rPr>
      </w:pPr>
    </w:p>
    <w:p>
      <w:pPr>
        <w:pStyle w:val="8"/>
        <w:ind w:left="0" w:leftChars="0" w:firstLine="0" w:firstLineChars="0"/>
        <w:jc w:val="center"/>
        <w:rPr>
          <w:rFonts w:hint="eastAsia"/>
          <w:highlight w:val="none"/>
          <w:lang w:eastAsia="zh-CN"/>
        </w:rPr>
        <w:sectPr>
          <w:pgSz w:w="11906" w:h="16838"/>
          <w:pgMar w:top="1440" w:right="1800" w:bottom="1440" w:left="1800" w:header="851" w:footer="992" w:gutter="0"/>
          <w:pgNumType w:fmt="decimal"/>
          <w:cols w:space="425" w:num="1"/>
          <w:docGrid w:type="lines" w:linePitch="312" w:charSpace="0"/>
        </w:sectPr>
      </w:pPr>
      <w:r>
        <w:rPr>
          <w:rFonts w:hint="eastAsia"/>
          <w:highlight w:val="none"/>
          <w:lang w:eastAsia="zh-CN"/>
        </w:rPr>
        <w:t>（格式自拟）</w:t>
      </w:r>
    </w:p>
    <w:bookmarkEnd w:id="425"/>
    <w:bookmarkEnd w:id="426"/>
    <w:bookmarkEnd w:id="427"/>
    <w:bookmarkEnd w:id="428"/>
    <w:bookmarkEnd w:id="429"/>
    <w:bookmarkEnd w:id="430"/>
    <w:bookmarkEnd w:id="431"/>
    <w:bookmarkEnd w:id="432"/>
    <w:bookmarkEnd w:id="433"/>
    <w:bookmarkEnd w:id="434"/>
    <w:p>
      <w:pPr>
        <w:rPr>
          <w:rFonts w:hint="eastAsia" w:asciiTheme="minorEastAsia" w:hAnsiTheme="minorEastAsia" w:eastAsiaTheme="minorEastAsia" w:cstheme="minorEastAsia"/>
          <w:b/>
          <w:bCs/>
          <w:sz w:val="24"/>
          <w:highlight w:val="none"/>
          <w:lang w:eastAsia="zh-CN"/>
        </w:rPr>
      </w:pPr>
    </w:p>
    <w:p>
      <w:pPr>
        <w:pStyle w:val="3"/>
        <w:bidi w:val="0"/>
        <w:jc w:val="center"/>
        <w:rPr>
          <w:rFonts w:hint="eastAsia"/>
          <w:b/>
          <w:bCs/>
          <w:highlight w:val="none"/>
          <w:lang w:eastAsia="zh-CN"/>
        </w:rPr>
      </w:pPr>
      <w:bookmarkStart w:id="445" w:name="_Toc228"/>
      <w:bookmarkStart w:id="446" w:name="_Toc28172"/>
      <w:bookmarkStart w:id="447" w:name="_Toc20561"/>
      <w:r>
        <w:rPr>
          <w:rFonts w:hint="eastAsia"/>
          <w:b/>
          <w:bCs/>
          <w:highlight w:val="none"/>
          <w:lang w:eastAsia="zh-CN"/>
        </w:rPr>
        <w:t>十</w:t>
      </w:r>
      <w:r>
        <w:rPr>
          <w:rFonts w:hint="eastAsia"/>
          <w:b/>
          <w:bCs/>
          <w:highlight w:val="none"/>
          <w:lang w:val="en-US" w:eastAsia="zh-CN"/>
        </w:rPr>
        <w:t>四</w:t>
      </w:r>
      <w:r>
        <w:rPr>
          <w:rFonts w:hint="eastAsia"/>
          <w:b/>
          <w:bCs/>
          <w:highlight w:val="none"/>
          <w:lang w:eastAsia="zh-CN"/>
        </w:rPr>
        <w:t>、</w:t>
      </w:r>
      <w:bookmarkEnd w:id="435"/>
      <w:bookmarkEnd w:id="436"/>
      <w:bookmarkEnd w:id="437"/>
      <w:bookmarkEnd w:id="438"/>
      <w:bookmarkEnd w:id="439"/>
      <w:bookmarkEnd w:id="440"/>
      <w:bookmarkEnd w:id="441"/>
      <w:bookmarkEnd w:id="442"/>
      <w:bookmarkEnd w:id="443"/>
      <w:bookmarkEnd w:id="444"/>
      <w:bookmarkEnd w:id="445"/>
      <w:bookmarkEnd w:id="446"/>
      <w:r>
        <w:rPr>
          <w:rFonts w:hint="eastAsia"/>
          <w:b/>
          <w:bCs/>
          <w:highlight w:val="none"/>
          <w:lang w:eastAsia="zh-CN"/>
        </w:rPr>
        <w:t>中小企业声明函（工程、服务）</w:t>
      </w:r>
      <w:bookmarkEnd w:id="447"/>
    </w:p>
    <w:p>
      <w:pPr>
        <w:spacing w:line="360" w:lineRule="auto"/>
        <w:ind w:firstLine="444" w:firstLineChars="200"/>
        <w:rPr>
          <w:rFonts w:hint="eastAsia" w:asciiTheme="minorEastAsia" w:hAnsiTheme="minorEastAsia" w:eastAsiaTheme="minorEastAsia" w:cstheme="minorEastAsia"/>
          <w:spacing w:val="6"/>
          <w:szCs w:val="21"/>
          <w:highlight w:val="none"/>
        </w:rPr>
      </w:pPr>
    </w:p>
    <w:p>
      <w:pPr>
        <w:spacing w:line="360" w:lineRule="auto"/>
        <w:ind w:firstLine="444" w:firstLineChars="200"/>
        <w:rPr>
          <w:rFonts w:hint="eastAsia"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本公司（联合体）郑重声明，根据《政府采购促进中小企业发展管理办法》（财库﹝2020﹞46 号）的规定，本公司（联合体）参加</w:t>
      </w:r>
      <w:r>
        <w:rPr>
          <w:rFonts w:hint="eastAsia" w:asciiTheme="minorEastAsia" w:hAnsiTheme="minorEastAsia" w:eastAsiaTheme="minorEastAsia" w:cstheme="minorEastAsia"/>
          <w:spacing w:val="6"/>
          <w:szCs w:val="21"/>
          <w:highlight w:val="none"/>
          <w:u w:val="single"/>
        </w:rPr>
        <w:t xml:space="preserve"> （单位名称）</w:t>
      </w:r>
      <w:r>
        <w:rPr>
          <w:rFonts w:hint="eastAsia" w:asciiTheme="minorEastAsia" w:hAnsiTheme="minorEastAsia" w:eastAsiaTheme="minorEastAsia" w:cstheme="minorEastAsia"/>
          <w:spacing w:val="6"/>
          <w:szCs w:val="21"/>
          <w:highlight w:val="none"/>
        </w:rPr>
        <w:t xml:space="preserve"> 的 （项目名称） 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444" w:firstLineChars="200"/>
        <w:rPr>
          <w:rFonts w:hint="eastAsia"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 xml:space="preserve">1. </w:t>
      </w:r>
      <w:r>
        <w:rPr>
          <w:rFonts w:hint="eastAsia" w:asciiTheme="minorEastAsia" w:hAnsiTheme="minorEastAsia" w:eastAsiaTheme="minorEastAsia" w:cstheme="minorEastAsia"/>
          <w:spacing w:val="6"/>
          <w:szCs w:val="21"/>
          <w:highlight w:val="none"/>
          <w:u w:val="single"/>
        </w:rPr>
        <w:t xml:space="preserve">（标的名称） </w:t>
      </w:r>
      <w:r>
        <w:rPr>
          <w:rFonts w:hint="eastAsia" w:asciiTheme="minorEastAsia" w:hAnsiTheme="minorEastAsia" w:eastAsiaTheme="minorEastAsia" w:cstheme="minorEastAsia"/>
          <w:spacing w:val="6"/>
          <w:szCs w:val="21"/>
          <w:highlight w:val="none"/>
        </w:rPr>
        <w:t>，属于</w:t>
      </w:r>
      <w:r>
        <w:rPr>
          <w:rFonts w:hint="eastAsia" w:asciiTheme="minorEastAsia" w:hAnsiTheme="minorEastAsia" w:eastAsiaTheme="minorEastAsia" w:cstheme="minorEastAsia"/>
          <w:spacing w:val="6"/>
          <w:szCs w:val="21"/>
          <w:highlight w:val="none"/>
          <w:u w:val="single"/>
        </w:rPr>
        <w:t xml:space="preserve"> （采购文件中明确的所属行业） </w:t>
      </w:r>
      <w:r>
        <w:rPr>
          <w:rFonts w:hint="eastAsia" w:asciiTheme="minorEastAsia" w:hAnsiTheme="minorEastAsia" w:eastAsiaTheme="minorEastAsia" w:cstheme="minorEastAsia"/>
          <w:spacing w:val="6"/>
          <w:szCs w:val="21"/>
          <w:highlight w:val="none"/>
        </w:rPr>
        <w:t>；承建（承接）企业为</w:t>
      </w:r>
      <w:r>
        <w:rPr>
          <w:rFonts w:hint="eastAsia" w:asciiTheme="minorEastAsia" w:hAnsiTheme="minorEastAsia" w:eastAsiaTheme="minorEastAsia" w:cstheme="minorEastAsia"/>
          <w:spacing w:val="6"/>
          <w:szCs w:val="21"/>
          <w:highlight w:val="none"/>
          <w:u w:val="single"/>
        </w:rPr>
        <w:t xml:space="preserve"> （企业名称）</w:t>
      </w:r>
      <w:r>
        <w:rPr>
          <w:rFonts w:hint="eastAsia" w:asciiTheme="minorEastAsia" w:hAnsiTheme="minorEastAsia" w:eastAsiaTheme="minorEastAsia" w:cstheme="minorEastAsia"/>
          <w:spacing w:val="6"/>
          <w:szCs w:val="21"/>
          <w:highlight w:val="none"/>
        </w:rPr>
        <w:t xml:space="preserve"> ，从业人员</w:t>
      </w:r>
      <w:r>
        <w:rPr>
          <w:rFonts w:hint="eastAsia" w:asciiTheme="minorEastAsia" w:hAnsiTheme="minorEastAsia" w:eastAsiaTheme="minorEastAsia" w:cstheme="minorEastAsia"/>
          <w:spacing w:val="6"/>
          <w:szCs w:val="21"/>
          <w:highlight w:val="none"/>
          <w:u w:val="single"/>
          <w:lang w:val="en-US" w:eastAsia="zh-CN"/>
        </w:rPr>
        <w:t xml:space="preserve">    </w:t>
      </w:r>
      <w:r>
        <w:rPr>
          <w:rFonts w:hint="eastAsia" w:asciiTheme="minorEastAsia" w:hAnsiTheme="minorEastAsia" w:eastAsiaTheme="minorEastAsia" w:cstheme="minorEastAsia"/>
          <w:spacing w:val="6"/>
          <w:szCs w:val="21"/>
          <w:highlight w:val="none"/>
        </w:rPr>
        <w:t xml:space="preserve"> 人，营业收入为</w:t>
      </w:r>
      <w:r>
        <w:rPr>
          <w:rFonts w:hint="eastAsia" w:asciiTheme="minorEastAsia" w:hAnsiTheme="minorEastAsia" w:eastAsiaTheme="minorEastAsia" w:cstheme="minorEastAsia"/>
          <w:spacing w:val="6"/>
          <w:szCs w:val="21"/>
          <w:highlight w:val="none"/>
          <w:u w:val="single"/>
          <w:lang w:val="en-US" w:eastAsia="zh-CN"/>
        </w:rPr>
        <w:t xml:space="preserve">    </w:t>
      </w:r>
      <w:r>
        <w:rPr>
          <w:rFonts w:hint="eastAsia" w:asciiTheme="minorEastAsia" w:hAnsiTheme="minorEastAsia" w:eastAsiaTheme="minorEastAsia" w:cstheme="minorEastAsia"/>
          <w:spacing w:val="6"/>
          <w:szCs w:val="21"/>
          <w:highlight w:val="none"/>
        </w:rPr>
        <w:t xml:space="preserve"> 万元，资产总额为</w:t>
      </w:r>
      <w:r>
        <w:rPr>
          <w:rFonts w:hint="eastAsia" w:asciiTheme="minorEastAsia" w:hAnsiTheme="minorEastAsia" w:eastAsiaTheme="minorEastAsia" w:cstheme="minorEastAsia"/>
          <w:spacing w:val="6"/>
          <w:szCs w:val="21"/>
          <w:highlight w:val="none"/>
          <w:u w:val="single"/>
          <w:lang w:val="en-US" w:eastAsia="zh-CN"/>
        </w:rPr>
        <w:t xml:space="preserve">   </w:t>
      </w:r>
      <w:r>
        <w:rPr>
          <w:rFonts w:hint="eastAsia" w:asciiTheme="minorEastAsia" w:hAnsiTheme="minorEastAsia" w:eastAsiaTheme="minorEastAsia" w:cstheme="minorEastAsia"/>
          <w:spacing w:val="6"/>
          <w:szCs w:val="21"/>
          <w:highlight w:val="none"/>
        </w:rPr>
        <w:t xml:space="preserve"> 万元，属于</w:t>
      </w:r>
      <w:r>
        <w:rPr>
          <w:rFonts w:hint="eastAsia" w:asciiTheme="minorEastAsia" w:hAnsiTheme="minorEastAsia" w:eastAsiaTheme="minorEastAsia" w:cstheme="minorEastAsia"/>
          <w:spacing w:val="6"/>
          <w:szCs w:val="21"/>
          <w:highlight w:val="none"/>
          <w:u w:val="single"/>
          <w:lang w:val="en-US" w:eastAsia="zh-CN"/>
        </w:rPr>
        <w:t xml:space="preserve">    </w:t>
      </w:r>
      <w:r>
        <w:rPr>
          <w:rFonts w:hint="eastAsia" w:asciiTheme="minorEastAsia" w:hAnsiTheme="minorEastAsia" w:eastAsiaTheme="minorEastAsia" w:cstheme="minorEastAsia"/>
          <w:spacing w:val="6"/>
          <w:szCs w:val="21"/>
          <w:highlight w:val="none"/>
        </w:rPr>
        <w:t>（中型企业、小型企业、微型企业） ；</w:t>
      </w:r>
    </w:p>
    <w:p>
      <w:pPr>
        <w:spacing w:line="360" w:lineRule="auto"/>
        <w:ind w:firstLine="444" w:firstLineChars="200"/>
        <w:rPr>
          <w:rFonts w:hint="eastAsia"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 xml:space="preserve">2. </w:t>
      </w:r>
      <w:r>
        <w:rPr>
          <w:rFonts w:hint="eastAsia" w:asciiTheme="minorEastAsia" w:hAnsiTheme="minorEastAsia" w:eastAsiaTheme="minorEastAsia" w:cstheme="minorEastAsia"/>
          <w:spacing w:val="6"/>
          <w:szCs w:val="21"/>
          <w:highlight w:val="none"/>
          <w:u w:val="single"/>
        </w:rPr>
        <w:t xml:space="preserve">（标的名称） </w:t>
      </w:r>
      <w:r>
        <w:rPr>
          <w:rFonts w:hint="eastAsia" w:asciiTheme="minorEastAsia" w:hAnsiTheme="minorEastAsia" w:eastAsiaTheme="minorEastAsia" w:cstheme="minorEastAsia"/>
          <w:spacing w:val="6"/>
          <w:szCs w:val="21"/>
          <w:highlight w:val="none"/>
        </w:rPr>
        <w:t>，属于</w:t>
      </w:r>
      <w:r>
        <w:rPr>
          <w:rFonts w:hint="eastAsia" w:asciiTheme="minorEastAsia" w:hAnsiTheme="minorEastAsia" w:eastAsiaTheme="minorEastAsia" w:cstheme="minorEastAsia"/>
          <w:spacing w:val="6"/>
          <w:szCs w:val="21"/>
          <w:highlight w:val="none"/>
          <w:u w:val="single"/>
        </w:rPr>
        <w:t xml:space="preserve"> （采购文件中明确的所属行业）</w:t>
      </w:r>
      <w:r>
        <w:rPr>
          <w:rFonts w:hint="eastAsia" w:asciiTheme="minorEastAsia" w:hAnsiTheme="minorEastAsia" w:eastAsiaTheme="minorEastAsia" w:cstheme="minorEastAsia"/>
          <w:spacing w:val="6"/>
          <w:szCs w:val="21"/>
          <w:highlight w:val="none"/>
        </w:rPr>
        <w:t xml:space="preserve"> ；承建（承接）企业为 </w:t>
      </w:r>
      <w:r>
        <w:rPr>
          <w:rFonts w:hint="eastAsia" w:asciiTheme="minorEastAsia" w:hAnsiTheme="minorEastAsia" w:eastAsiaTheme="minorEastAsia" w:cstheme="minorEastAsia"/>
          <w:spacing w:val="6"/>
          <w:szCs w:val="21"/>
          <w:highlight w:val="none"/>
          <w:u w:val="single"/>
        </w:rPr>
        <w:t>（企业名称）</w:t>
      </w:r>
      <w:r>
        <w:rPr>
          <w:rFonts w:hint="eastAsia" w:asciiTheme="minorEastAsia" w:hAnsiTheme="minorEastAsia" w:eastAsiaTheme="minorEastAsia" w:cstheme="minorEastAsia"/>
          <w:spacing w:val="6"/>
          <w:szCs w:val="21"/>
          <w:highlight w:val="none"/>
        </w:rPr>
        <w:t xml:space="preserve"> ，从业人员 </w:t>
      </w:r>
      <w:r>
        <w:rPr>
          <w:rFonts w:hint="eastAsia" w:asciiTheme="minorEastAsia" w:hAnsiTheme="minorEastAsia" w:eastAsiaTheme="minorEastAsia" w:cstheme="minorEastAsia"/>
          <w:spacing w:val="6"/>
          <w:szCs w:val="21"/>
          <w:highlight w:val="none"/>
          <w:u w:val="single"/>
          <w:lang w:val="en-US" w:eastAsia="zh-CN"/>
        </w:rPr>
        <w:t xml:space="preserve">   </w:t>
      </w:r>
      <w:r>
        <w:rPr>
          <w:rFonts w:hint="eastAsia" w:asciiTheme="minorEastAsia" w:hAnsiTheme="minorEastAsia" w:eastAsiaTheme="minorEastAsia" w:cstheme="minorEastAsia"/>
          <w:spacing w:val="6"/>
          <w:szCs w:val="21"/>
          <w:highlight w:val="none"/>
        </w:rPr>
        <w:t xml:space="preserve">人，营业收入为 </w:t>
      </w:r>
      <w:r>
        <w:rPr>
          <w:rFonts w:hint="eastAsia" w:asciiTheme="minorEastAsia" w:hAnsiTheme="minorEastAsia" w:eastAsiaTheme="minorEastAsia" w:cstheme="minorEastAsia"/>
          <w:spacing w:val="6"/>
          <w:szCs w:val="21"/>
          <w:highlight w:val="none"/>
          <w:u w:val="single"/>
          <w:lang w:val="en-US" w:eastAsia="zh-CN"/>
        </w:rPr>
        <w:t xml:space="preserve">    </w:t>
      </w:r>
      <w:r>
        <w:rPr>
          <w:rFonts w:hint="eastAsia" w:asciiTheme="minorEastAsia" w:hAnsiTheme="minorEastAsia" w:eastAsiaTheme="minorEastAsia" w:cstheme="minorEastAsia"/>
          <w:spacing w:val="6"/>
          <w:szCs w:val="21"/>
          <w:highlight w:val="none"/>
        </w:rPr>
        <w:t>万元，资产总额为 万元，属于</w:t>
      </w:r>
      <w:r>
        <w:rPr>
          <w:rFonts w:hint="eastAsia" w:asciiTheme="minorEastAsia" w:hAnsiTheme="minorEastAsia" w:eastAsiaTheme="minorEastAsia" w:cstheme="minorEastAsia"/>
          <w:spacing w:val="6"/>
          <w:szCs w:val="21"/>
          <w:highlight w:val="none"/>
          <w:u w:val="single"/>
          <w:lang w:val="en-US" w:eastAsia="zh-CN"/>
        </w:rPr>
        <w:t xml:space="preserve">      </w:t>
      </w:r>
      <w:r>
        <w:rPr>
          <w:rFonts w:hint="eastAsia" w:asciiTheme="minorEastAsia" w:hAnsiTheme="minorEastAsia" w:eastAsiaTheme="minorEastAsia" w:cstheme="minorEastAsia"/>
          <w:spacing w:val="6"/>
          <w:szCs w:val="21"/>
          <w:highlight w:val="none"/>
        </w:rPr>
        <w:t xml:space="preserve"> （中型企业、小型企业、微型企业） ；</w:t>
      </w:r>
    </w:p>
    <w:p>
      <w:pPr>
        <w:spacing w:line="360" w:lineRule="auto"/>
        <w:ind w:firstLine="444" w:firstLineChars="200"/>
        <w:rPr>
          <w:rFonts w:hint="eastAsia"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w:t>
      </w:r>
    </w:p>
    <w:p>
      <w:pPr>
        <w:spacing w:line="360" w:lineRule="auto"/>
        <w:ind w:firstLine="444" w:firstLineChars="200"/>
        <w:rPr>
          <w:rFonts w:hint="eastAsia"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以上企业，不属于大企业的分支机构，不存在控股股东为大企业的情形，也不存在与大企业的负责人为同一人的情形。</w:t>
      </w:r>
    </w:p>
    <w:p>
      <w:pPr>
        <w:spacing w:line="360" w:lineRule="auto"/>
        <w:ind w:firstLine="444" w:firstLineChars="200"/>
        <w:rPr>
          <w:rFonts w:hint="eastAsia"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本企业对上述声明内容的真实性负责。如有虚假，将依法承担相应责任。</w:t>
      </w:r>
    </w:p>
    <w:p>
      <w:pPr>
        <w:spacing w:line="360" w:lineRule="auto"/>
        <w:ind w:firstLine="444" w:firstLineChars="200"/>
        <w:rPr>
          <w:rFonts w:hint="eastAsia" w:asciiTheme="minorEastAsia" w:hAnsiTheme="minorEastAsia" w:eastAsiaTheme="minorEastAsia" w:cstheme="minorEastAsia"/>
          <w:spacing w:val="6"/>
          <w:szCs w:val="21"/>
          <w:highlight w:val="none"/>
        </w:rPr>
      </w:pPr>
    </w:p>
    <w:p>
      <w:pPr>
        <w:spacing w:line="360" w:lineRule="auto"/>
        <w:ind w:firstLine="444" w:firstLineChars="200"/>
        <w:rPr>
          <w:rFonts w:hint="eastAsia" w:asciiTheme="minorEastAsia" w:hAnsiTheme="minorEastAsia" w:eastAsiaTheme="minorEastAsia" w:cstheme="minorEastAsia"/>
          <w:spacing w:val="6"/>
          <w:szCs w:val="21"/>
          <w:highlight w:val="none"/>
        </w:rPr>
      </w:pPr>
    </w:p>
    <w:p>
      <w:pPr>
        <w:spacing w:line="360" w:lineRule="auto"/>
        <w:ind w:firstLine="444" w:firstLineChars="200"/>
        <w:rPr>
          <w:rFonts w:hint="eastAsia" w:asciiTheme="minorEastAsia" w:hAnsiTheme="minorEastAsia" w:eastAsiaTheme="minorEastAsia" w:cstheme="minorEastAsia"/>
          <w:spacing w:val="6"/>
          <w:szCs w:val="21"/>
          <w:highlight w:val="none"/>
        </w:rPr>
      </w:pPr>
    </w:p>
    <w:p>
      <w:pPr>
        <w:spacing w:line="360" w:lineRule="auto"/>
        <w:ind w:firstLine="444" w:firstLineChars="200"/>
        <w:rPr>
          <w:rFonts w:hint="eastAsia"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企业名称（盖章）：</w:t>
      </w:r>
    </w:p>
    <w:p>
      <w:pPr>
        <w:spacing w:line="360" w:lineRule="auto"/>
        <w:ind w:firstLine="444" w:firstLineChars="200"/>
        <w:rPr>
          <w:rFonts w:hint="eastAsia" w:asciiTheme="minorEastAsia" w:hAnsiTheme="minorEastAsia" w:eastAsiaTheme="minorEastAsia" w:cstheme="minorEastAsia"/>
          <w:spacing w:val="6"/>
          <w:szCs w:val="21"/>
          <w:highlight w:val="none"/>
        </w:rPr>
      </w:pPr>
    </w:p>
    <w:p>
      <w:pPr>
        <w:spacing w:line="360" w:lineRule="auto"/>
        <w:ind w:firstLine="444" w:firstLineChars="200"/>
        <w:rPr>
          <w:rFonts w:hint="eastAsia" w:asciiTheme="minorEastAsia" w:hAnsiTheme="minorEastAsia" w:eastAsiaTheme="minorEastAsia" w:cstheme="minorEastAsia"/>
          <w:szCs w:val="21"/>
          <w:highlight w:val="none"/>
          <w:u w:val="single"/>
          <w:lang w:eastAsia="zh-CN"/>
        </w:rPr>
      </w:pPr>
      <w:r>
        <w:rPr>
          <w:rFonts w:hint="eastAsia" w:asciiTheme="minorEastAsia" w:hAnsiTheme="minorEastAsia" w:eastAsiaTheme="minorEastAsia" w:cstheme="minorEastAsia"/>
          <w:spacing w:val="6"/>
          <w:szCs w:val="21"/>
          <w:highlight w:val="none"/>
        </w:rPr>
        <w:t>日 期</w:t>
      </w:r>
      <w:r>
        <w:rPr>
          <w:rFonts w:hint="eastAsia" w:asciiTheme="minorEastAsia" w:hAnsiTheme="minorEastAsia" w:eastAsiaTheme="minorEastAsia" w:cstheme="minorEastAsia"/>
          <w:spacing w:val="6"/>
          <w:szCs w:val="21"/>
          <w:highlight w:val="none"/>
          <w:lang w:eastAsia="zh-CN"/>
        </w:rPr>
        <w:t>：</w:t>
      </w:r>
    </w:p>
    <w:p>
      <w:pPr>
        <w:spacing w:line="360" w:lineRule="auto"/>
        <w:rPr>
          <w:rFonts w:asciiTheme="minorEastAsia" w:hAnsiTheme="minorEastAsia" w:eastAsiaTheme="minorEastAsia" w:cstheme="minorEastAsia"/>
          <w:spacing w:val="6"/>
          <w:szCs w:val="21"/>
          <w:highlight w:val="none"/>
        </w:rPr>
      </w:pPr>
    </w:p>
    <w:p>
      <w:pPr>
        <w:spacing w:line="360" w:lineRule="auto"/>
        <w:ind w:firstLine="444" w:firstLineChars="200"/>
        <w:rPr>
          <w:rFonts w:asciiTheme="minorEastAsia" w:hAnsiTheme="minorEastAsia" w:eastAsiaTheme="minorEastAsia" w:cstheme="minorEastAsia"/>
          <w:spacing w:val="6"/>
          <w:szCs w:val="21"/>
          <w:highlight w:val="none"/>
        </w:rPr>
      </w:pPr>
    </w:p>
    <w:p>
      <w:pPr>
        <w:autoSpaceDE w:val="0"/>
        <w:autoSpaceDN w:val="0"/>
        <w:adjustRightInd w:val="0"/>
        <w:jc w:val="right"/>
        <w:rPr>
          <w:rFonts w:asciiTheme="minorEastAsia" w:hAnsiTheme="minorEastAsia" w:eastAsiaTheme="minorEastAsia" w:cstheme="minorEastAsia"/>
          <w:szCs w:val="21"/>
          <w:highlight w:val="none"/>
        </w:rPr>
      </w:pPr>
    </w:p>
    <w:bookmarkEnd w:id="309"/>
    <w:bookmarkEnd w:id="310"/>
    <w:bookmarkEnd w:id="311"/>
    <w:bookmarkEnd w:id="312"/>
    <w:p>
      <w:pPr>
        <w:widowControl/>
        <w:spacing w:line="360" w:lineRule="auto"/>
        <w:jc w:val="left"/>
        <w:rPr>
          <w:rFonts w:hint="eastAsia" w:ascii="宋体" w:hAnsi="宋体" w:cs="仿宋_GB2312"/>
          <w:b/>
          <w:kern w:val="0"/>
          <w:sz w:val="24"/>
          <w:highlight w:val="none"/>
          <w:lang w:bidi="ar"/>
        </w:rPr>
      </w:pPr>
      <w:r>
        <w:rPr>
          <w:rFonts w:hint="eastAsia" w:ascii="宋体" w:hAnsi="宋体" w:cs="宋体"/>
          <w:szCs w:val="21"/>
          <w:highlight w:val="none"/>
        </w:rPr>
        <w:t>注：从业人员、营业收入、资产总额填报上一年度数据，无上一年度数据的新成立企业可不填报。</w:t>
      </w:r>
    </w:p>
    <w:p>
      <w:pPr>
        <w:adjustRightInd w:val="0"/>
        <w:snapToGrid w:val="0"/>
        <w:jc w:val="center"/>
        <w:outlineLvl w:val="0"/>
        <w:rPr>
          <w:rFonts w:hint="eastAsia" w:asciiTheme="minorEastAsia" w:hAnsiTheme="minorEastAsia" w:eastAsiaTheme="minorEastAsia" w:cstheme="minorEastAsia"/>
          <w:b/>
          <w:bCs/>
          <w:sz w:val="24"/>
          <w:highlight w:val="none"/>
          <w:lang w:eastAsia="zh-CN"/>
        </w:rPr>
      </w:pPr>
      <w:r>
        <w:rPr>
          <w:rFonts w:hint="eastAsia" w:asciiTheme="minorEastAsia" w:hAnsiTheme="minorEastAsia" w:eastAsiaTheme="minorEastAsia" w:cstheme="minorEastAsia"/>
          <w:spacing w:val="6"/>
          <w:szCs w:val="21"/>
          <w:highlight w:val="none"/>
        </w:rPr>
        <w:br w:type="page"/>
      </w:r>
      <w:bookmarkStart w:id="448" w:name="_Toc30259"/>
      <w:bookmarkStart w:id="449" w:name="_Toc10909"/>
      <w:bookmarkStart w:id="450" w:name="_Toc13719"/>
      <w:bookmarkStart w:id="451" w:name="_Toc24940"/>
      <w:bookmarkStart w:id="452" w:name="_Toc20602"/>
      <w:bookmarkStart w:id="453" w:name="_Toc476839034"/>
      <w:bookmarkStart w:id="454" w:name="_Toc479184141"/>
      <w:bookmarkStart w:id="455" w:name="_Toc30406"/>
      <w:bookmarkStart w:id="456" w:name="_Toc7229"/>
      <w:bookmarkStart w:id="457" w:name="_Toc4320"/>
      <w:r>
        <w:rPr>
          <w:rStyle w:val="41"/>
          <w:rFonts w:hint="eastAsia"/>
          <w:b/>
          <w:bCs/>
          <w:highlight w:val="none"/>
          <w:lang w:eastAsia="zh-CN"/>
        </w:rPr>
        <w:t>十</w:t>
      </w:r>
      <w:r>
        <w:rPr>
          <w:rStyle w:val="41"/>
          <w:rFonts w:hint="eastAsia"/>
          <w:b/>
          <w:bCs/>
          <w:highlight w:val="none"/>
          <w:lang w:val="en-US" w:eastAsia="zh-CN"/>
        </w:rPr>
        <w:t>五</w:t>
      </w:r>
      <w:r>
        <w:rPr>
          <w:rStyle w:val="41"/>
          <w:rFonts w:hint="eastAsia"/>
          <w:b/>
          <w:bCs/>
          <w:highlight w:val="none"/>
          <w:lang w:eastAsia="zh-CN"/>
        </w:rPr>
        <w:t>、</w:t>
      </w:r>
      <w:r>
        <w:rPr>
          <w:rStyle w:val="41"/>
          <w:rFonts w:hint="eastAsia"/>
          <w:b/>
          <w:bCs/>
          <w:highlight w:val="none"/>
          <w:lang w:val="zh-CN" w:eastAsia="zh-CN"/>
        </w:rPr>
        <w:t>监狱企业证明文</w:t>
      </w:r>
      <w:r>
        <w:rPr>
          <w:rStyle w:val="41"/>
          <w:rFonts w:hint="eastAsia"/>
          <w:b/>
          <w:bCs/>
          <w:highlight w:val="none"/>
          <w:lang w:eastAsia="zh-CN"/>
        </w:rPr>
        <w:t>件</w:t>
      </w:r>
      <w:r>
        <w:rPr>
          <w:rStyle w:val="41"/>
          <w:rFonts w:hint="eastAsia"/>
          <w:b/>
          <w:bCs/>
          <w:highlight w:val="none"/>
          <w:lang w:val="zh-CN" w:eastAsia="zh-CN"/>
        </w:rPr>
        <w:t>（若</w:t>
      </w:r>
      <w:r>
        <w:rPr>
          <w:rStyle w:val="41"/>
          <w:rFonts w:hint="eastAsia"/>
          <w:b/>
          <w:bCs/>
          <w:highlight w:val="none"/>
          <w:lang w:eastAsia="zh-CN"/>
        </w:rPr>
        <w:t>符合</w:t>
      </w:r>
      <w:r>
        <w:rPr>
          <w:rStyle w:val="41"/>
          <w:rFonts w:hint="eastAsia"/>
          <w:b/>
          <w:bCs/>
          <w:highlight w:val="none"/>
          <w:lang w:val="zh-CN" w:eastAsia="zh-CN"/>
        </w:rPr>
        <w:t>）</w:t>
      </w:r>
      <w:bookmarkEnd w:id="448"/>
      <w:bookmarkEnd w:id="449"/>
      <w:bookmarkEnd w:id="450"/>
      <w:bookmarkEnd w:id="451"/>
      <w:bookmarkEnd w:id="452"/>
    </w:p>
    <w:p>
      <w:pPr>
        <w:adjustRightInd w:val="0"/>
        <w:snapToGrid w:val="0"/>
        <w:jc w:val="center"/>
        <w:rPr>
          <w:rFonts w:asciiTheme="minorEastAsia" w:hAnsiTheme="minorEastAsia" w:eastAsiaTheme="minorEastAsia" w:cstheme="minorEastAsia"/>
          <w:spacing w:val="6"/>
          <w:szCs w:val="21"/>
          <w:highlight w:val="none"/>
        </w:rPr>
      </w:pPr>
    </w:p>
    <w:p>
      <w:pPr>
        <w:spacing w:line="360" w:lineRule="auto"/>
        <w:rPr>
          <w:rFonts w:hint="eastAsia" w:asciiTheme="minorEastAsia" w:hAnsiTheme="minorEastAsia" w:eastAsiaTheme="minorEastAsia" w:cstheme="minorEastAsia"/>
          <w:spacing w:val="6"/>
          <w:szCs w:val="21"/>
          <w:highlight w:val="none"/>
          <w:lang w:eastAsia="zh-CN"/>
        </w:rPr>
      </w:pPr>
    </w:p>
    <w:p>
      <w:pPr>
        <w:pStyle w:val="7"/>
        <w:rPr>
          <w:rFonts w:hint="eastAsia"/>
          <w:highlight w:val="none"/>
          <w:lang w:eastAsia="zh-CN"/>
        </w:rPr>
      </w:pPr>
    </w:p>
    <w:p>
      <w:pPr>
        <w:spacing w:line="360" w:lineRule="auto"/>
        <w:rPr>
          <w:rFonts w:hint="eastAsia" w:asciiTheme="minorEastAsia" w:hAnsiTheme="minorEastAsia" w:eastAsiaTheme="minorEastAsia" w:cstheme="minorEastAsia"/>
          <w:spacing w:val="6"/>
          <w:szCs w:val="21"/>
          <w:highlight w:val="none"/>
          <w:lang w:eastAsia="zh-CN"/>
        </w:rPr>
      </w:pPr>
      <w:r>
        <w:rPr>
          <w:rFonts w:hint="eastAsia" w:asciiTheme="minorEastAsia" w:hAnsiTheme="minorEastAsia" w:eastAsiaTheme="minorEastAsia" w:cstheme="minorEastAsia"/>
          <w:spacing w:val="6"/>
          <w:szCs w:val="21"/>
          <w:highlight w:val="none"/>
        </w:rPr>
        <w:t>供应商如是监狱企业，提供相关证明文件。</w:t>
      </w:r>
    </w:p>
    <w:p>
      <w:pPr>
        <w:pStyle w:val="7"/>
        <w:rPr>
          <w:rFonts w:hint="eastAsia"/>
          <w:highlight w:val="none"/>
          <w:lang w:eastAsia="zh-CN"/>
        </w:rPr>
      </w:pPr>
    </w:p>
    <w:p>
      <w:pPr>
        <w:spacing w:line="720" w:lineRule="auto"/>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供应商（盖章）：</w:t>
      </w:r>
    </w:p>
    <w:p>
      <w:pPr>
        <w:spacing w:line="720" w:lineRule="auto"/>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法定代表人或委托代理人（签字或盖章）：</w:t>
      </w:r>
    </w:p>
    <w:p>
      <w:pPr>
        <w:pStyle w:val="8"/>
        <w:spacing w:line="720" w:lineRule="auto"/>
        <w:ind w:left="0" w:leftChars="0" w:firstLine="0" w:firstLineChars="0"/>
        <w:rPr>
          <w:rFonts w:hint="eastAsia"/>
          <w:highlight w:val="none"/>
          <w:lang w:eastAsia="zh-CN"/>
        </w:rPr>
      </w:pPr>
      <w:r>
        <w:rPr>
          <w:rFonts w:hint="eastAsia" w:ascii="宋体" w:hAnsi="宋体" w:cs="宋体"/>
          <w:color w:val="auto"/>
          <w:kern w:val="0"/>
          <w:sz w:val="21"/>
          <w:szCs w:val="21"/>
          <w:highlight w:val="none"/>
          <w:lang w:val="en-US" w:eastAsia="zh-CN"/>
        </w:rPr>
        <w:t>时间：     年    月    日</w:t>
      </w:r>
    </w:p>
    <w:p>
      <w:pPr>
        <w:adjustRightInd w:val="0"/>
        <w:snapToGrid w:val="0"/>
        <w:rPr>
          <w:rFonts w:asciiTheme="minorEastAsia" w:hAnsiTheme="minorEastAsia" w:eastAsiaTheme="minorEastAsia" w:cstheme="minorEastAsia"/>
          <w:spacing w:val="6"/>
          <w:szCs w:val="21"/>
          <w:highlight w:val="none"/>
        </w:rPr>
      </w:pPr>
    </w:p>
    <w:p>
      <w:pPr>
        <w:adjustRightInd w:val="0"/>
        <w:snapToGrid w:val="0"/>
        <w:rPr>
          <w:rFonts w:asciiTheme="minorEastAsia" w:hAnsiTheme="minorEastAsia" w:eastAsiaTheme="minorEastAsia" w:cstheme="minorEastAsia"/>
          <w:spacing w:val="6"/>
          <w:szCs w:val="21"/>
          <w:highlight w:val="none"/>
        </w:rPr>
      </w:pPr>
    </w:p>
    <w:p>
      <w:pPr>
        <w:rPr>
          <w:rFonts w:hint="eastAsia" w:eastAsia="宋体"/>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adjustRightInd w:val="0"/>
        <w:snapToGrid w:val="0"/>
        <w:jc w:val="both"/>
        <w:outlineLvl w:val="1"/>
        <w:rPr>
          <w:rStyle w:val="41"/>
          <w:rFonts w:hint="eastAsia" w:eastAsia="宋体"/>
          <w:b/>
          <w:bCs/>
          <w:highlight w:val="none"/>
          <w:lang w:eastAsia="zh-CN"/>
        </w:rPr>
      </w:pPr>
      <w:bookmarkStart w:id="458" w:name="_Toc31851"/>
      <w:bookmarkStart w:id="459" w:name="_Toc597"/>
    </w:p>
    <w:p>
      <w:pPr>
        <w:pStyle w:val="7"/>
        <w:rPr>
          <w:rFonts w:hint="eastAsia"/>
          <w:highlight w:val="none"/>
          <w:lang w:eastAsia="zh-CN"/>
        </w:rPr>
      </w:pPr>
    </w:p>
    <w:p>
      <w:pPr>
        <w:adjustRightInd w:val="0"/>
        <w:snapToGrid w:val="0"/>
        <w:jc w:val="center"/>
        <w:outlineLvl w:val="1"/>
        <w:rPr>
          <w:rFonts w:hint="eastAsia" w:asciiTheme="minorEastAsia" w:hAnsiTheme="minorEastAsia" w:eastAsiaTheme="minorEastAsia" w:cstheme="minorEastAsia"/>
          <w:b/>
          <w:bCs/>
          <w:sz w:val="24"/>
          <w:highlight w:val="none"/>
          <w:lang w:val="zh-CN" w:eastAsia="zh-CN"/>
        </w:rPr>
      </w:pPr>
      <w:r>
        <w:rPr>
          <w:rStyle w:val="41"/>
          <w:rFonts w:hint="eastAsia"/>
          <w:b/>
          <w:bCs/>
          <w:highlight w:val="none"/>
          <w:lang w:eastAsia="zh-CN"/>
        </w:rPr>
        <w:t>十</w:t>
      </w:r>
      <w:r>
        <w:rPr>
          <w:rStyle w:val="41"/>
          <w:rFonts w:hint="eastAsia"/>
          <w:b/>
          <w:bCs/>
          <w:highlight w:val="none"/>
          <w:lang w:val="en-US" w:eastAsia="zh-CN"/>
        </w:rPr>
        <w:t>六</w:t>
      </w:r>
      <w:r>
        <w:rPr>
          <w:rStyle w:val="41"/>
          <w:rFonts w:hint="eastAsia"/>
          <w:b/>
          <w:bCs/>
          <w:highlight w:val="none"/>
          <w:lang w:eastAsia="zh-CN"/>
        </w:rPr>
        <w:t>、</w:t>
      </w:r>
      <w:r>
        <w:rPr>
          <w:rStyle w:val="41"/>
          <w:rFonts w:hint="eastAsia"/>
          <w:b/>
          <w:bCs/>
          <w:highlight w:val="none"/>
          <w:lang w:val="zh-CN" w:eastAsia="zh-CN"/>
        </w:rPr>
        <w:t>残疾人福利性单位声明函（若</w:t>
      </w:r>
      <w:r>
        <w:rPr>
          <w:rStyle w:val="41"/>
          <w:rFonts w:hint="eastAsia"/>
          <w:b/>
          <w:bCs/>
          <w:highlight w:val="none"/>
          <w:lang w:eastAsia="zh-CN"/>
        </w:rPr>
        <w:t>符合</w:t>
      </w:r>
      <w:r>
        <w:rPr>
          <w:rStyle w:val="41"/>
          <w:rFonts w:hint="eastAsia"/>
          <w:b/>
          <w:bCs/>
          <w:highlight w:val="none"/>
          <w:lang w:val="zh-CN" w:eastAsia="zh-CN"/>
        </w:rPr>
        <w:t>）</w:t>
      </w:r>
      <w:bookmarkEnd w:id="458"/>
      <w:bookmarkEnd w:id="459"/>
    </w:p>
    <w:p>
      <w:pPr>
        <w:pStyle w:val="11"/>
        <w:spacing w:line="360" w:lineRule="auto"/>
        <w:ind w:firstLine="415" w:firstLineChars="198"/>
        <w:jc w:val="left"/>
        <w:rPr>
          <w:rFonts w:asciiTheme="minorEastAsia" w:hAnsiTheme="minorEastAsia" w:eastAsiaTheme="minorEastAsia" w:cstheme="minorEastAsia"/>
          <w:color w:val="auto"/>
          <w:sz w:val="21"/>
          <w:highlight w:val="none"/>
        </w:rPr>
      </w:pPr>
      <w:r>
        <w:rPr>
          <w:rFonts w:hint="eastAsia" w:asciiTheme="minorEastAsia" w:hAnsiTheme="minorEastAsia" w:eastAsiaTheme="minorEastAsia" w:cstheme="minorEastAsia"/>
          <w:color w:val="auto"/>
          <w:sz w:val="21"/>
          <w:highlight w:val="none"/>
        </w:rPr>
        <w:t>本单位郑重声明，根据《财政部民政部中国残疾人联合会关于促进残疾人就业政府采购政策的通知》（财库〔2017〕141号）的规定，本单位为符合条件的残疾人福利性单位（详见“残疾人福利性单位应当满足的条件”）。</w:t>
      </w:r>
    </w:p>
    <w:p>
      <w:pPr>
        <w:pStyle w:val="11"/>
        <w:spacing w:line="360" w:lineRule="auto"/>
        <w:ind w:firstLine="415" w:firstLineChars="198"/>
        <w:jc w:val="left"/>
        <w:rPr>
          <w:rFonts w:asciiTheme="minorEastAsia" w:hAnsiTheme="minorEastAsia" w:eastAsiaTheme="minorEastAsia" w:cstheme="minorEastAsia"/>
          <w:color w:val="auto"/>
          <w:sz w:val="21"/>
          <w:highlight w:val="none"/>
        </w:rPr>
      </w:pPr>
      <w:r>
        <w:rPr>
          <w:rFonts w:hint="eastAsia" w:asciiTheme="minorEastAsia" w:hAnsiTheme="minorEastAsia" w:eastAsiaTheme="minorEastAsia" w:cstheme="minorEastAsia"/>
          <w:color w:val="auto"/>
          <w:sz w:val="21"/>
          <w:highlight w:val="none"/>
        </w:rPr>
        <w:t>本单位授权</w:t>
      </w:r>
      <w:r>
        <w:rPr>
          <w:rFonts w:hint="eastAsia" w:asciiTheme="minorEastAsia" w:hAnsiTheme="minorEastAsia" w:eastAsiaTheme="minorEastAsia" w:cstheme="minorEastAsia"/>
          <w:color w:val="auto"/>
          <w:sz w:val="21"/>
          <w:highlight w:val="none"/>
          <w:u w:val="single"/>
        </w:rPr>
        <w:t xml:space="preserve">（供应商） </w:t>
      </w:r>
      <w:r>
        <w:rPr>
          <w:rFonts w:hint="eastAsia" w:asciiTheme="minorEastAsia" w:hAnsiTheme="minorEastAsia" w:eastAsiaTheme="minorEastAsia" w:cstheme="minorEastAsia"/>
          <w:color w:val="auto"/>
          <w:sz w:val="21"/>
          <w:highlight w:val="none"/>
        </w:rPr>
        <w:t>参加</w:t>
      </w:r>
      <w:r>
        <w:rPr>
          <w:rFonts w:hint="eastAsia" w:asciiTheme="minorEastAsia" w:hAnsiTheme="minorEastAsia" w:eastAsiaTheme="minorEastAsia" w:cstheme="minorEastAsia"/>
          <w:color w:val="auto"/>
          <w:sz w:val="21"/>
          <w:highlight w:val="none"/>
          <w:u w:val="single"/>
        </w:rPr>
        <w:t>（采购人）</w:t>
      </w:r>
      <w:r>
        <w:rPr>
          <w:rFonts w:hint="eastAsia" w:asciiTheme="minorEastAsia" w:hAnsiTheme="minorEastAsia" w:eastAsiaTheme="minorEastAsia" w:cstheme="minorEastAsia"/>
          <w:color w:val="auto"/>
          <w:sz w:val="21"/>
          <w:highlight w:val="none"/>
        </w:rPr>
        <w:t>的</w:t>
      </w:r>
      <w:r>
        <w:rPr>
          <w:rFonts w:hint="eastAsia" w:asciiTheme="minorEastAsia" w:hAnsiTheme="minorEastAsia" w:eastAsiaTheme="minorEastAsia" w:cstheme="minorEastAsia"/>
          <w:color w:val="auto"/>
          <w:sz w:val="21"/>
          <w:highlight w:val="none"/>
          <w:u w:val="single"/>
        </w:rPr>
        <w:t>    </w:t>
      </w:r>
      <w:r>
        <w:rPr>
          <w:rFonts w:hint="eastAsia" w:asciiTheme="minorEastAsia" w:hAnsiTheme="minorEastAsia" w:eastAsiaTheme="minorEastAsia" w:cstheme="minorEastAsia"/>
          <w:color w:val="auto"/>
          <w:sz w:val="21"/>
          <w:highlight w:val="none"/>
        </w:rPr>
        <w:t>项目（项目编号：_____）采购活动提供本单位制造的货物（由本单位承担工程/提供服务）。或者提供其他残疾人福利性单位制造的货物（不包括使用非残疾人福利性单位注册商标的货物）。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szCs w:val="21"/>
          <w:highlight w:val="none"/>
        </w:rPr>
        <w:t>本单位对上述声明的真实性负责。如有虚假，将依法承担相应责任。</w:t>
      </w:r>
    </w:p>
    <w:p>
      <w:pPr>
        <w:pStyle w:val="11"/>
        <w:spacing w:line="360" w:lineRule="auto"/>
        <w:jc w:val="left"/>
        <w:rPr>
          <w:rFonts w:asciiTheme="minorEastAsia" w:hAnsiTheme="minorEastAsia" w:eastAsiaTheme="minorEastAsia" w:cstheme="minorEastAsia"/>
          <w:color w:val="auto"/>
          <w:sz w:val="21"/>
          <w:highlight w:val="none"/>
        </w:rPr>
      </w:pPr>
      <w:r>
        <w:rPr>
          <w:rFonts w:hint="eastAsia" w:asciiTheme="minorEastAsia" w:hAnsiTheme="minorEastAsia" w:eastAsiaTheme="minorEastAsia" w:cstheme="minorEastAsia"/>
          <w:bCs/>
          <w:color w:val="auto"/>
          <w:sz w:val="21"/>
          <w:highlight w:val="none"/>
        </w:rPr>
        <w:t>说明：</w:t>
      </w:r>
      <w:r>
        <w:rPr>
          <w:rFonts w:hint="eastAsia" w:asciiTheme="minorEastAsia" w:hAnsiTheme="minorEastAsia" w:eastAsiaTheme="minorEastAsia" w:cstheme="minorEastAsia"/>
          <w:color w:val="auto"/>
          <w:sz w:val="21"/>
          <w:highlight w:val="none"/>
        </w:rPr>
        <w:t>1、供应商所投货物为自己制造的，也应按本声明函格式填写。</w:t>
      </w:r>
    </w:p>
    <w:p>
      <w:pPr>
        <w:pStyle w:val="11"/>
        <w:spacing w:line="360" w:lineRule="auto"/>
        <w:ind w:left="1033" w:leftChars="342" w:hanging="315" w:hangingChars="150"/>
        <w:jc w:val="left"/>
        <w:rPr>
          <w:rFonts w:asciiTheme="minorEastAsia" w:hAnsiTheme="minorEastAsia" w:eastAsiaTheme="minorEastAsia" w:cstheme="minorEastAsia"/>
          <w:color w:val="auto"/>
          <w:sz w:val="21"/>
          <w:highlight w:val="none"/>
        </w:rPr>
      </w:pPr>
      <w:r>
        <w:rPr>
          <w:rFonts w:hint="eastAsia" w:asciiTheme="minorEastAsia" w:hAnsiTheme="minorEastAsia" w:eastAsiaTheme="minorEastAsia" w:cstheme="minorEastAsia"/>
          <w:color w:val="auto"/>
          <w:sz w:val="21"/>
          <w:highlight w:val="none"/>
        </w:rPr>
        <w:t>2、组成联合体的大中型企业和其他自然人、法人或者其他组织，与残疾人福利性单位之间不得存在投资关系。</w:t>
      </w:r>
    </w:p>
    <w:p>
      <w:pPr>
        <w:pStyle w:val="11"/>
        <w:spacing w:line="360" w:lineRule="auto"/>
        <w:ind w:left="1033" w:leftChars="342" w:hanging="315" w:hangingChars="15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color w:val="auto"/>
          <w:sz w:val="21"/>
          <w:highlight w:val="none"/>
        </w:rPr>
        <w:t>3、如以联合体方式参与本项目响应的供应商，则应由联合体双方签字盖章。</w:t>
      </w:r>
    </w:p>
    <w:p>
      <w:pPr>
        <w:spacing w:before="100" w:beforeAutospacing="1" w:after="100" w:afterAutospacing="1"/>
        <w:jc w:val="left"/>
        <w:rPr>
          <w:rFonts w:asciiTheme="minorEastAsia" w:hAnsiTheme="minorEastAsia" w:eastAsiaTheme="minorEastAsia" w:cstheme="minorEastAsia"/>
          <w:szCs w:val="21"/>
          <w:highlight w:val="none"/>
          <w:lang w:val="zh-CN"/>
        </w:rPr>
      </w:pPr>
      <w:r>
        <w:rPr>
          <w:rFonts w:hint="eastAsia" w:asciiTheme="minorEastAsia" w:hAnsiTheme="minorEastAsia" w:eastAsiaTheme="minorEastAsia" w:cstheme="minorEastAsia"/>
          <w:szCs w:val="21"/>
          <w:highlight w:val="none"/>
          <w:lang w:val="zh-CN"/>
        </w:rPr>
        <w:t>制造商（</w:t>
      </w:r>
      <w:r>
        <w:rPr>
          <w:rFonts w:hint="eastAsia" w:asciiTheme="minorEastAsia" w:hAnsiTheme="minorEastAsia" w:eastAsiaTheme="minorEastAsia" w:cstheme="minorEastAsia"/>
          <w:szCs w:val="21"/>
          <w:highlight w:val="none"/>
        </w:rPr>
        <w:t>盖章</w:t>
      </w:r>
      <w:r>
        <w:rPr>
          <w:rFonts w:hint="eastAsia" w:asciiTheme="minorEastAsia" w:hAnsiTheme="minorEastAsia" w:eastAsiaTheme="minorEastAsia" w:cstheme="minorEastAsia"/>
          <w:szCs w:val="21"/>
          <w:highlight w:val="none"/>
          <w:lang w:val="zh-CN"/>
        </w:rPr>
        <w:t>）：</w:t>
      </w:r>
    </w:p>
    <w:p>
      <w:pPr>
        <w:spacing w:before="100" w:beforeAutospacing="1" w:after="100" w:afterAutospacing="1"/>
        <w:jc w:val="left"/>
        <w:rPr>
          <w:rFonts w:asciiTheme="minorEastAsia" w:hAnsiTheme="minorEastAsia" w:eastAsiaTheme="minorEastAsia" w:cstheme="minorEastAsia"/>
          <w:szCs w:val="21"/>
          <w:highlight w:val="none"/>
          <w:lang w:val="zh-CN"/>
        </w:rPr>
      </w:pPr>
      <w:r>
        <w:rPr>
          <w:rFonts w:hint="eastAsia" w:asciiTheme="minorEastAsia" w:hAnsiTheme="minorEastAsia" w:eastAsiaTheme="minorEastAsia" w:cstheme="minorEastAsia"/>
          <w:szCs w:val="21"/>
          <w:highlight w:val="none"/>
          <w:lang w:val="zh-CN"/>
        </w:rPr>
        <w:t>制造商法定代表人（签字）：</w:t>
      </w:r>
    </w:p>
    <w:p>
      <w:pPr>
        <w:spacing w:before="100" w:beforeAutospacing="1" w:after="100" w:afterAutospacing="1"/>
        <w:jc w:val="left"/>
        <w:rPr>
          <w:rFonts w:asciiTheme="minorEastAsia" w:hAnsiTheme="minorEastAsia" w:eastAsiaTheme="minorEastAsia" w:cstheme="minorEastAsia"/>
          <w:szCs w:val="21"/>
          <w:highlight w:val="none"/>
          <w:lang w:val="zh-CN"/>
        </w:rPr>
      </w:pPr>
      <w:r>
        <w:rPr>
          <w:rFonts w:hint="eastAsia" w:asciiTheme="minorEastAsia" w:hAnsiTheme="minorEastAsia" w:eastAsiaTheme="minorEastAsia" w:cstheme="minorEastAsia"/>
          <w:szCs w:val="21"/>
          <w:highlight w:val="none"/>
          <w:lang w:val="zh-CN"/>
        </w:rPr>
        <w:t>磋商供应商法定代表人（签字）：</w:t>
      </w:r>
    </w:p>
    <w:p>
      <w:pPr>
        <w:spacing w:before="100" w:beforeAutospacing="1" w:after="100" w:afterAutospacing="1"/>
        <w:jc w:val="left"/>
        <w:rPr>
          <w:rFonts w:asciiTheme="minorEastAsia" w:hAnsiTheme="minorEastAsia" w:eastAsiaTheme="minorEastAsia" w:cstheme="minorEastAsia"/>
          <w:szCs w:val="21"/>
          <w:highlight w:val="none"/>
          <w:lang w:val="zh-CN"/>
        </w:rPr>
      </w:pPr>
      <w:r>
        <w:rPr>
          <w:rFonts w:hint="eastAsia" w:asciiTheme="minorEastAsia" w:hAnsiTheme="minorEastAsia" w:eastAsiaTheme="minorEastAsia" w:cstheme="minorEastAsia"/>
          <w:szCs w:val="21"/>
          <w:highlight w:val="none"/>
          <w:lang w:val="zh-CN"/>
        </w:rPr>
        <w:t xml:space="preserve">磋商供应商授权代表（签字）：                        </w:t>
      </w:r>
    </w:p>
    <w:p>
      <w:pPr>
        <w:spacing w:before="100" w:beforeAutospacing="1" w:after="100" w:afterAutospacing="1"/>
        <w:jc w:val="left"/>
        <w:rPr>
          <w:rFonts w:asciiTheme="minorEastAsia" w:hAnsiTheme="minorEastAsia" w:eastAsiaTheme="minorEastAsia" w:cstheme="minorEastAsia"/>
          <w:szCs w:val="21"/>
          <w:highlight w:val="none"/>
          <w:lang w:val="zh-CN"/>
        </w:rPr>
      </w:pPr>
      <w:r>
        <w:rPr>
          <w:rFonts w:hint="eastAsia" w:asciiTheme="minorEastAsia" w:hAnsiTheme="minorEastAsia" w:eastAsiaTheme="minorEastAsia" w:cstheme="minorEastAsia"/>
          <w:szCs w:val="21"/>
          <w:highlight w:val="none"/>
          <w:lang w:val="zh-CN"/>
        </w:rPr>
        <w:t>磋商供应商名称（</w:t>
      </w:r>
      <w:r>
        <w:rPr>
          <w:rFonts w:hint="eastAsia" w:asciiTheme="minorEastAsia" w:hAnsiTheme="minorEastAsia" w:eastAsiaTheme="minorEastAsia" w:cstheme="minorEastAsia"/>
          <w:szCs w:val="21"/>
          <w:highlight w:val="none"/>
        </w:rPr>
        <w:t>盖章</w:t>
      </w:r>
      <w:r>
        <w:rPr>
          <w:rFonts w:hint="eastAsia" w:asciiTheme="minorEastAsia" w:hAnsiTheme="minorEastAsia" w:eastAsiaTheme="minorEastAsia" w:cstheme="minorEastAsia"/>
          <w:szCs w:val="21"/>
          <w:highlight w:val="none"/>
          <w:lang w:val="zh-CN"/>
        </w:rPr>
        <w:t xml:space="preserve">）：                                     </w:t>
      </w:r>
    </w:p>
    <w:p>
      <w:pPr>
        <w:spacing w:before="100" w:beforeAutospacing="1" w:after="100" w:afterAutospacing="1"/>
        <w:rPr>
          <w:rFonts w:hint="eastAsia" w:asciiTheme="minorEastAsia" w:hAnsiTheme="minorEastAsia" w:eastAsiaTheme="minorEastAsia" w:cstheme="minorEastAsia"/>
          <w:szCs w:val="21"/>
          <w:highlight w:val="none"/>
          <w:lang w:val="zh-CN"/>
        </w:rPr>
      </w:pPr>
      <w:r>
        <w:rPr>
          <w:rFonts w:hint="eastAsia" w:asciiTheme="minorEastAsia" w:hAnsiTheme="minorEastAsia" w:eastAsiaTheme="minorEastAsia" w:cstheme="minorEastAsia"/>
          <w:szCs w:val="21"/>
          <w:highlight w:val="none"/>
          <w:lang w:val="zh-CN"/>
        </w:rPr>
        <w:t>时                 间：           年          月          日</w:t>
      </w:r>
    </w:p>
    <w:p>
      <w:pPr>
        <w:spacing w:before="100" w:beforeAutospacing="1" w:after="100" w:afterAutospacing="1"/>
        <w:rPr>
          <w:rFonts w:asciiTheme="minorEastAsia" w:hAnsiTheme="minorEastAsia" w:eastAsiaTheme="minorEastAsia" w:cstheme="minorEastAsia"/>
          <w:szCs w:val="21"/>
          <w:highlight w:val="none"/>
          <w:lang w:val="zh-CN"/>
        </w:rPr>
      </w:pPr>
      <w:r>
        <w:rPr>
          <w:rFonts w:hint="eastAsia" w:asciiTheme="minorEastAsia" w:hAnsiTheme="minorEastAsia" w:eastAsiaTheme="minorEastAsia" w:cstheme="minorEastAsia"/>
          <w:szCs w:val="21"/>
          <w:highlight w:val="none"/>
          <w:lang w:val="zh-CN"/>
        </w:rPr>
        <w:t>备注：享受政府采购支持政策的残疾人福利性单位应当同时满足以下条件：</w:t>
      </w:r>
    </w:p>
    <w:p>
      <w:pPr>
        <w:numPr>
          <w:ilvl w:val="0"/>
          <w:numId w:val="34"/>
        </w:numPr>
        <w:spacing w:before="100" w:beforeAutospacing="1" w:after="100" w:afterAutospacing="1"/>
        <w:rPr>
          <w:rFonts w:asciiTheme="minorEastAsia" w:hAnsiTheme="minorEastAsia" w:eastAsiaTheme="minorEastAsia" w:cstheme="minorEastAsia"/>
          <w:szCs w:val="21"/>
          <w:highlight w:val="none"/>
          <w:lang w:val="zh-CN"/>
        </w:rPr>
      </w:pPr>
      <w:r>
        <w:rPr>
          <w:rFonts w:hint="eastAsia" w:asciiTheme="minorEastAsia" w:hAnsiTheme="minorEastAsia" w:eastAsiaTheme="minorEastAsia" w:cstheme="minorEastAsia"/>
          <w:szCs w:val="21"/>
          <w:highlight w:val="none"/>
          <w:lang w:val="zh-CN"/>
        </w:rPr>
        <w:t>安置的残疾人占本单位在职职工人数的比例不低于 25%（含 25%），并且安置的残疾人人数不少于 10 人（含 10 人）；</w:t>
      </w:r>
    </w:p>
    <w:p>
      <w:pPr>
        <w:numPr>
          <w:ilvl w:val="0"/>
          <w:numId w:val="34"/>
        </w:numPr>
        <w:spacing w:before="100" w:beforeAutospacing="1" w:after="100" w:afterAutospacing="1"/>
        <w:rPr>
          <w:rFonts w:asciiTheme="minorEastAsia" w:hAnsiTheme="minorEastAsia" w:eastAsiaTheme="minorEastAsia" w:cstheme="minorEastAsia"/>
          <w:szCs w:val="21"/>
          <w:highlight w:val="none"/>
          <w:lang w:val="zh-CN"/>
        </w:rPr>
      </w:pPr>
      <w:r>
        <w:rPr>
          <w:rFonts w:hint="eastAsia" w:asciiTheme="minorEastAsia" w:hAnsiTheme="minorEastAsia" w:eastAsiaTheme="minorEastAsia" w:cstheme="minorEastAsia"/>
          <w:szCs w:val="21"/>
          <w:highlight w:val="none"/>
          <w:lang w:val="zh-CN"/>
        </w:rPr>
        <w:t>依法与安置的每位残疾人签订了一年以上（含一年）的劳动合同或服务协议；</w:t>
      </w:r>
    </w:p>
    <w:p>
      <w:pPr>
        <w:numPr>
          <w:ilvl w:val="0"/>
          <w:numId w:val="34"/>
        </w:numPr>
        <w:spacing w:before="100" w:beforeAutospacing="1" w:after="100" w:afterAutospacing="1"/>
        <w:rPr>
          <w:rFonts w:asciiTheme="minorEastAsia" w:hAnsiTheme="minorEastAsia" w:eastAsiaTheme="minorEastAsia" w:cstheme="minorEastAsia"/>
          <w:szCs w:val="21"/>
          <w:highlight w:val="none"/>
          <w:lang w:val="zh-CN"/>
        </w:rPr>
      </w:pPr>
      <w:r>
        <w:rPr>
          <w:rFonts w:hint="eastAsia" w:asciiTheme="minorEastAsia" w:hAnsiTheme="minorEastAsia" w:eastAsiaTheme="minorEastAsia" w:cstheme="minorEastAsia"/>
          <w:szCs w:val="21"/>
          <w:highlight w:val="none"/>
          <w:lang w:val="zh-CN"/>
        </w:rPr>
        <w:t>为安置的每位残疾人按月足额缴纳了基本养老保险、基本医疗保险、失业保险、工伤保险和生育保险等社会保险费；</w:t>
      </w:r>
    </w:p>
    <w:p>
      <w:pPr>
        <w:numPr>
          <w:ilvl w:val="0"/>
          <w:numId w:val="34"/>
        </w:numPr>
        <w:spacing w:before="100" w:beforeAutospacing="1" w:after="100" w:afterAutospacing="1"/>
        <w:rPr>
          <w:rFonts w:asciiTheme="minorEastAsia" w:hAnsiTheme="minorEastAsia" w:eastAsiaTheme="minorEastAsia" w:cstheme="minorEastAsia"/>
          <w:szCs w:val="21"/>
          <w:highlight w:val="none"/>
          <w:lang w:val="zh-CN"/>
        </w:rPr>
      </w:pPr>
      <w:r>
        <w:rPr>
          <w:rFonts w:hint="eastAsia" w:asciiTheme="minorEastAsia" w:hAnsiTheme="minorEastAsia" w:eastAsiaTheme="minorEastAsia" w:cstheme="minorEastAsia"/>
          <w:szCs w:val="21"/>
          <w:highlight w:val="none"/>
          <w:lang w:val="zh-CN"/>
        </w:rPr>
        <w:t>通过银行等金融机构向安置的每位残疾人，按月支付了不低于单位所在区县适用的经省级人民政府批准的月最低工资标准的工资；</w:t>
      </w:r>
    </w:p>
    <w:p>
      <w:pPr>
        <w:numPr>
          <w:ilvl w:val="0"/>
          <w:numId w:val="34"/>
        </w:numPr>
        <w:spacing w:before="100" w:beforeAutospacing="1" w:after="100" w:afterAutospacing="1"/>
        <w:rPr>
          <w:rFonts w:asciiTheme="minorEastAsia" w:hAnsiTheme="minorEastAsia" w:eastAsiaTheme="minorEastAsia" w:cstheme="minorEastAsia"/>
          <w:szCs w:val="21"/>
          <w:highlight w:val="none"/>
          <w:lang w:val="zh-CN"/>
        </w:rPr>
      </w:pPr>
      <w:r>
        <w:rPr>
          <w:rFonts w:hint="eastAsia" w:asciiTheme="minorEastAsia" w:hAnsiTheme="minorEastAsia" w:eastAsiaTheme="minorEastAsia" w:cstheme="minorEastAsia"/>
          <w:szCs w:val="21"/>
          <w:highlight w:val="none"/>
          <w:lang w:val="zh-CN"/>
        </w:rPr>
        <w:t>提供本单位制造的货物、承担的工程或者服务（以下简称产品），或者提供其他残疾人福利性单位制造的货物（不包括使用非残疾人福利性单位注册商标的货物）。前款所称残疾人是指法定劳动年龄内，持有《中华人民共和国残疾人证》或者《中华人民共和国残疾军人证（1 至 8 级）》的自然人，包括具有劳动条件和劳动意愿的精神残疾人。在职职工人数是指与残疾人福利性单位建立劳动关系并依法签订劳动合同或者服务协议的雇员人数。</w:t>
      </w:r>
    </w:p>
    <w:p>
      <w:pPr>
        <w:pStyle w:val="3"/>
        <w:bidi w:val="0"/>
        <w:jc w:val="center"/>
        <w:rPr>
          <w:rFonts w:hint="eastAsia"/>
          <w:b/>
          <w:bCs/>
          <w:highlight w:val="none"/>
          <w:lang w:eastAsia="zh-CN"/>
        </w:rPr>
      </w:pPr>
      <w:bookmarkStart w:id="460" w:name="_Toc11052"/>
      <w:bookmarkStart w:id="461" w:name="_Toc4358"/>
      <w:r>
        <w:rPr>
          <w:rFonts w:hint="eastAsia"/>
          <w:b/>
          <w:bCs/>
          <w:highlight w:val="none"/>
          <w:lang w:eastAsia="zh-CN"/>
        </w:rPr>
        <w:t>十</w:t>
      </w:r>
      <w:r>
        <w:rPr>
          <w:rFonts w:hint="eastAsia"/>
          <w:b/>
          <w:bCs/>
          <w:highlight w:val="none"/>
          <w:lang w:val="en-US" w:eastAsia="zh-CN"/>
        </w:rPr>
        <w:t>七</w:t>
      </w:r>
      <w:r>
        <w:rPr>
          <w:rFonts w:hint="eastAsia"/>
          <w:b/>
          <w:bCs/>
          <w:highlight w:val="none"/>
          <w:lang w:eastAsia="zh-CN"/>
        </w:rPr>
        <w:t>、节能环保产品证明材料（若符合）</w:t>
      </w:r>
      <w:bookmarkEnd w:id="460"/>
      <w:bookmarkEnd w:id="461"/>
    </w:p>
    <w:p>
      <w:pPr>
        <w:adjustRightInd w:val="0"/>
        <w:snapToGrid w:val="0"/>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项目名称：                         </w:t>
      </w:r>
    </w:p>
    <w:p>
      <w:pPr>
        <w:spacing w:before="100" w:beforeAutospacing="1" w:after="100" w:afterAutospacing="1"/>
        <w:jc w:val="left"/>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项目编号：</w:t>
      </w:r>
    </w:p>
    <w:p>
      <w:pPr>
        <w:spacing w:before="100" w:beforeAutospacing="1" w:after="100" w:afterAutospacing="1"/>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（1）节能产品：</w:t>
      </w:r>
    </w:p>
    <w:tbl>
      <w:tblPr>
        <w:tblStyle w:val="18"/>
        <w:tblW w:w="92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1109"/>
        <w:gridCol w:w="1370"/>
        <w:gridCol w:w="639"/>
        <w:gridCol w:w="639"/>
        <w:gridCol w:w="639"/>
        <w:gridCol w:w="1383"/>
        <w:gridCol w:w="1304"/>
        <w:gridCol w:w="1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03"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序号</w:t>
            </w:r>
          </w:p>
        </w:tc>
        <w:tc>
          <w:tcPr>
            <w:tcW w:w="110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设备名称</w:t>
            </w:r>
          </w:p>
        </w:tc>
        <w:tc>
          <w:tcPr>
            <w:tcW w:w="1370"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制造商名称</w:t>
            </w:r>
          </w:p>
        </w:tc>
        <w:tc>
          <w:tcPr>
            <w:tcW w:w="63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品牌</w:t>
            </w:r>
          </w:p>
        </w:tc>
        <w:tc>
          <w:tcPr>
            <w:tcW w:w="63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型号</w:t>
            </w:r>
          </w:p>
        </w:tc>
        <w:tc>
          <w:tcPr>
            <w:tcW w:w="63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数量</w:t>
            </w:r>
          </w:p>
        </w:tc>
        <w:tc>
          <w:tcPr>
            <w:tcW w:w="1383"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单价（万元）</w:t>
            </w:r>
          </w:p>
        </w:tc>
        <w:tc>
          <w:tcPr>
            <w:tcW w:w="1304"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总价（万元）</w:t>
            </w:r>
          </w:p>
        </w:tc>
        <w:tc>
          <w:tcPr>
            <w:tcW w:w="134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属强制采购或优先采购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03"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10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70"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63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63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63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83"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04"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4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03"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10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70"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63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63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63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83"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04"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4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03"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10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70"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63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63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63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83"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04"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4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803"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w:t>
            </w:r>
          </w:p>
        </w:tc>
        <w:tc>
          <w:tcPr>
            <w:tcW w:w="110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70"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63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63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63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83"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04"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4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r>
    </w:tbl>
    <w:p>
      <w:pPr>
        <w:bidi w:val="0"/>
        <w:rPr>
          <w:highlight w:val="none"/>
        </w:rPr>
      </w:pPr>
      <w:bookmarkStart w:id="462" w:name="_Toc15147"/>
      <w:bookmarkStart w:id="463" w:name="_Toc29963"/>
      <w:r>
        <w:rPr>
          <w:rFonts w:hint="eastAsia"/>
          <w:highlight w:val="none"/>
        </w:rPr>
        <w:t>（2）环保产品：</w:t>
      </w:r>
      <w:bookmarkEnd w:id="462"/>
      <w:bookmarkEnd w:id="463"/>
    </w:p>
    <w:tbl>
      <w:tblPr>
        <w:tblStyle w:val="18"/>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1306"/>
        <w:gridCol w:w="1613"/>
        <w:gridCol w:w="849"/>
        <w:gridCol w:w="849"/>
        <w:gridCol w:w="849"/>
        <w:gridCol w:w="1487"/>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46"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序号</w:t>
            </w:r>
          </w:p>
        </w:tc>
        <w:tc>
          <w:tcPr>
            <w:tcW w:w="1306"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设备名称</w:t>
            </w:r>
          </w:p>
        </w:tc>
        <w:tc>
          <w:tcPr>
            <w:tcW w:w="1613"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制造商名称</w:t>
            </w:r>
          </w:p>
        </w:tc>
        <w:tc>
          <w:tcPr>
            <w:tcW w:w="84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品牌</w:t>
            </w:r>
          </w:p>
        </w:tc>
        <w:tc>
          <w:tcPr>
            <w:tcW w:w="84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型号</w:t>
            </w:r>
          </w:p>
        </w:tc>
        <w:tc>
          <w:tcPr>
            <w:tcW w:w="84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数量</w:t>
            </w:r>
          </w:p>
        </w:tc>
        <w:tc>
          <w:tcPr>
            <w:tcW w:w="1487"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单价（万元）</w:t>
            </w:r>
          </w:p>
        </w:tc>
        <w:tc>
          <w:tcPr>
            <w:tcW w:w="138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总价（万元）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46"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06"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613"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84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84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84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487"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8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46"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06"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613"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84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84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84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487"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8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46"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06"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613"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84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84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84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487"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8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46"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w:t>
            </w:r>
          </w:p>
        </w:tc>
        <w:tc>
          <w:tcPr>
            <w:tcW w:w="1306"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613"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84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84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84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487"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c>
          <w:tcPr>
            <w:tcW w:w="1389" w:type="dxa"/>
            <w:vAlign w:val="center"/>
          </w:tcPr>
          <w:p>
            <w:pPr>
              <w:adjustRightInd w:val="0"/>
              <w:snapToGrid w:val="0"/>
              <w:spacing w:line="360" w:lineRule="auto"/>
              <w:jc w:val="center"/>
              <w:rPr>
                <w:rFonts w:asciiTheme="minorEastAsia" w:hAnsiTheme="minorEastAsia" w:eastAsiaTheme="minorEastAsia" w:cstheme="minorEastAsia"/>
                <w:szCs w:val="21"/>
                <w:highlight w:val="none"/>
              </w:rPr>
            </w:pPr>
          </w:p>
        </w:tc>
      </w:tr>
    </w:tbl>
    <w:p>
      <w:pPr>
        <w:spacing w:before="100" w:beforeAutospacing="1" w:after="100" w:afterAutospacing="1" w:line="360" w:lineRule="auto"/>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注：供应商所提供产品如为节能环保产品，则应按本磋商文件第四章“政策支持”提供相关证明材料，并将节能、环保产品分别列入上表中，未填写本表或未提供有效认证证书的不给予价格扣除。</w:t>
      </w:r>
    </w:p>
    <w:p>
      <w:pPr>
        <w:pStyle w:val="7"/>
        <w:rPr>
          <w:rFonts w:hint="eastAsia"/>
          <w:highlight w:val="none"/>
          <w:lang w:eastAsia="zh-CN"/>
        </w:rPr>
      </w:pPr>
    </w:p>
    <w:p>
      <w:pPr>
        <w:pStyle w:val="7"/>
        <w:rPr>
          <w:rFonts w:hint="eastAsia"/>
          <w:highlight w:val="none"/>
          <w:lang w:eastAsia="zh-CN"/>
        </w:rPr>
      </w:pPr>
    </w:p>
    <w:p>
      <w:pPr>
        <w:spacing w:line="720" w:lineRule="auto"/>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供应商（盖章）：</w:t>
      </w:r>
    </w:p>
    <w:p>
      <w:pPr>
        <w:spacing w:line="720" w:lineRule="auto"/>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法定代表人或委托代理人（签字或盖章）：</w:t>
      </w:r>
    </w:p>
    <w:p>
      <w:pPr>
        <w:pStyle w:val="8"/>
        <w:spacing w:line="720" w:lineRule="auto"/>
        <w:ind w:left="0" w:leftChars="0" w:firstLine="0" w:firstLineChars="0"/>
        <w:rPr>
          <w:rFonts w:asciiTheme="minorEastAsia" w:hAnsiTheme="minorEastAsia" w:eastAsiaTheme="minorEastAsia" w:cstheme="minorEastAsia"/>
          <w:szCs w:val="21"/>
          <w:highlight w:val="none"/>
        </w:rPr>
      </w:pPr>
      <w:r>
        <w:rPr>
          <w:rFonts w:hint="eastAsia" w:ascii="宋体" w:hAnsi="宋体" w:cs="宋体"/>
          <w:color w:val="auto"/>
          <w:kern w:val="0"/>
          <w:sz w:val="21"/>
          <w:szCs w:val="21"/>
          <w:highlight w:val="none"/>
          <w:lang w:val="en-US" w:eastAsia="zh-CN"/>
        </w:rPr>
        <w:t>时间：     年    月    日</w:t>
      </w:r>
    </w:p>
    <w:p>
      <w:pPr>
        <w:pStyle w:val="3"/>
        <w:bidi w:val="0"/>
        <w:jc w:val="center"/>
        <w:outlineLvl w:val="9"/>
        <w:rPr>
          <w:rFonts w:hint="eastAsia"/>
          <w:b/>
          <w:bCs/>
          <w:highlight w:val="none"/>
          <w:lang w:val="en-US" w:eastAsia="zh-CN"/>
        </w:rPr>
      </w:pPr>
      <w:bookmarkStart w:id="464" w:name="_Toc7268"/>
    </w:p>
    <w:p>
      <w:pPr>
        <w:pStyle w:val="3"/>
        <w:bidi w:val="0"/>
        <w:jc w:val="center"/>
        <w:outlineLvl w:val="9"/>
        <w:rPr>
          <w:rFonts w:hint="eastAsia"/>
          <w:b/>
          <w:bCs/>
          <w:highlight w:val="none"/>
          <w:lang w:val="en-US" w:eastAsia="zh-CN"/>
        </w:rPr>
      </w:pPr>
    </w:p>
    <w:p>
      <w:pPr>
        <w:pStyle w:val="3"/>
        <w:bidi w:val="0"/>
        <w:jc w:val="center"/>
        <w:rPr>
          <w:rFonts w:hint="eastAsia"/>
          <w:b/>
          <w:bCs/>
          <w:highlight w:val="none"/>
          <w:lang w:eastAsia="zh-CN"/>
        </w:rPr>
      </w:pPr>
      <w:bookmarkStart w:id="465" w:name="_Toc28896"/>
      <w:r>
        <w:rPr>
          <w:rFonts w:hint="eastAsia"/>
          <w:b/>
          <w:bCs/>
          <w:highlight w:val="none"/>
          <w:lang w:val="en-US" w:eastAsia="zh-CN"/>
        </w:rPr>
        <w:t>十八</w:t>
      </w:r>
      <w:r>
        <w:rPr>
          <w:rFonts w:hint="eastAsia"/>
          <w:b/>
          <w:bCs/>
          <w:highlight w:val="none"/>
          <w:lang w:eastAsia="zh-CN"/>
        </w:rPr>
        <w:t>、无重大违法记录声明</w:t>
      </w:r>
      <w:bookmarkEnd w:id="453"/>
      <w:bookmarkEnd w:id="454"/>
      <w:bookmarkEnd w:id="455"/>
      <w:bookmarkEnd w:id="456"/>
      <w:bookmarkEnd w:id="457"/>
      <w:bookmarkEnd w:id="464"/>
      <w:bookmarkEnd w:id="465"/>
    </w:p>
    <w:p>
      <w:pPr>
        <w:spacing w:line="480" w:lineRule="auto"/>
        <w:jc w:val="center"/>
        <w:outlineLvl w:val="0"/>
        <w:rPr>
          <w:rFonts w:asciiTheme="minorEastAsia" w:hAnsiTheme="minorEastAsia" w:eastAsiaTheme="minorEastAsia" w:cstheme="minorEastAsia"/>
          <w:b/>
          <w:bCs/>
          <w:kern w:val="0"/>
          <w:sz w:val="24"/>
          <w:highlight w:val="none"/>
        </w:rPr>
      </w:pPr>
      <w:bookmarkStart w:id="466" w:name="_Toc903"/>
      <w:bookmarkStart w:id="467" w:name="_Toc21206"/>
      <w:bookmarkStart w:id="468" w:name="_Toc13901"/>
      <w:bookmarkStart w:id="469" w:name="_Toc24941"/>
      <w:bookmarkStart w:id="470" w:name="_Toc31997"/>
      <w:r>
        <w:rPr>
          <w:rFonts w:hint="eastAsia" w:asciiTheme="minorEastAsia" w:hAnsiTheme="minorEastAsia" w:eastAsiaTheme="minorEastAsia" w:cstheme="minorEastAsia"/>
          <w:b/>
          <w:bCs/>
          <w:kern w:val="0"/>
          <w:sz w:val="24"/>
          <w:highlight w:val="none"/>
        </w:rPr>
        <w:t>（磋商供应商应在此基础上，根据本单位实际情况进行声明）</w:t>
      </w:r>
      <w:bookmarkEnd w:id="466"/>
      <w:bookmarkEnd w:id="467"/>
      <w:bookmarkEnd w:id="468"/>
      <w:bookmarkEnd w:id="469"/>
      <w:bookmarkEnd w:id="470"/>
    </w:p>
    <w:p>
      <w:pPr>
        <w:spacing w:line="480" w:lineRule="auto"/>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采购人和采购代理机构：</w:t>
      </w:r>
    </w:p>
    <w:p>
      <w:pPr>
        <w:spacing w:line="48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我方在此声明，我方在参加本</w:t>
      </w:r>
      <w:r>
        <w:rPr>
          <w:rFonts w:hint="eastAsia" w:asciiTheme="minorEastAsia" w:hAnsiTheme="minorEastAsia" w:eastAsiaTheme="minorEastAsia" w:cstheme="minorEastAsia"/>
          <w:kern w:val="0"/>
          <w:szCs w:val="21"/>
          <w:highlight w:val="none"/>
          <w:shd w:val="clear" w:color="auto" w:fill="FFFFFF"/>
        </w:rPr>
        <w:t>次政府采购活动前三年内，在经营活动中没有以下重大违法记录：</w:t>
      </w:r>
    </w:p>
    <w:p>
      <w:pPr>
        <w:spacing w:line="480" w:lineRule="auto"/>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shd w:val="clear" w:color="auto" w:fill="FFFFFF"/>
        </w:rPr>
        <w:t>1.我方因违法经营被追究过刑事责任；</w:t>
      </w:r>
    </w:p>
    <w:p>
      <w:pPr>
        <w:spacing w:line="480" w:lineRule="auto"/>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shd w:val="clear" w:color="auto" w:fill="FFFFFF"/>
        </w:rPr>
        <w:t>2.我方因违法经营被责令停产停业、吊销许可证或者执照；</w:t>
      </w:r>
    </w:p>
    <w:p>
      <w:pPr>
        <w:spacing w:line="480" w:lineRule="auto"/>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shd w:val="clear" w:color="auto" w:fill="FFFFFF"/>
        </w:rPr>
        <w:t>3.我方因违法经营被处以较大数额罚款等行政处罚。</w:t>
      </w:r>
    </w:p>
    <w:p>
      <w:pPr>
        <w:spacing w:line="48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shd w:val="clear" w:color="auto" w:fill="FFFFFF"/>
        </w:rPr>
        <w:t>随本声明附上我方参加本次政府采购活动前3年内发生的诉讼及仲裁情况表以及相关的法律证明文件供贵方核验。我方保证上述信息的完整、客观、真实、准确，并愿意承担我方因提供虚假材料谋骗取中标、成交所引起的一切法律后果。</w:t>
      </w:r>
    </w:p>
    <w:p>
      <w:pPr>
        <w:spacing w:line="480" w:lineRule="auto"/>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shd w:val="clear" w:color="auto" w:fill="FFFFFF"/>
        </w:rPr>
        <w:t>特此声明！</w:t>
      </w:r>
    </w:p>
    <w:p>
      <w:pPr>
        <w:spacing w:line="480" w:lineRule="auto"/>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shd w:val="clear" w:color="auto" w:fill="FFFFFF"/>
        </w:rPr>
        <w:t> </w:t>
      </w:r>
    </w:p>
    <w:p>
      <w:pPr>
        <w:rPr>
          <w:rFonts w:asciiTheme="minorEastAsia" w:hAnsiTheme="minorEastAsia" w:eastAsiaTheme="minorEastAsia" w:cstheme="minorEastAsia"/>
          <w:spacing w:val="6"/>
          <w:szCs w:val="21"/>
          <w:highlight w:val="none"/>
        </w:rPr>
      </w:pPr>
    </w:p>
    <w:p>
      <w:pPr>
        <w:spacing w:line="720" w:lineRule="auto"/>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供应商（盖章）：</w:t>
      </w:r>
    </w:p>
    <w:p>
      <w:pPr>
        <w:spacing w:line="720" w:lineRule="auto"/>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法定代表人或委托代理人（签字或盖章）：</w:t>
      </w:r>
    </w:p>
    <w:p>
      <w:pPr>
        <w:pStyle w:val="8"/>
        <w:spacing w:line="720" w:lineRule="auto"/>
        <w:ind w:left="0" w:leftChars="0" w:firstLine="0" w:firstLineChars="0"/>
        <w:rPr>
          <w:rFonts w:hint="eastAsia"/>
          <w:highlight w:val="none"/>
          <w:lang w:eastAsia="zh-CN"/>
        </w:rPr>
      </w:pPr>
      <w:r>
        <w:rPr>
          <w:rFonts w:hint="eastAsia" w:ascii="宋体" w:hAnsi="宋体" w:cs="宋体"/>
          <w:color w:val="auto"/>
          <w:kern w:val="0"/>
          <w:sz w:val="21"/>
          <w:szCs w:val="21"/>
          <w:highlight w:val="none"/>
          <w:lang w:val="en-US" w:eastAsia="zh-CN"/>
        </w:rPr>
        <w:t>时间：     年    月    日</w:t>
      </w:r>
    </w:p>
    <w:p>
      <w:pPr>
        <w:pStyle w:val="7"/>
        <w:rPr>
          <w:highlight w:val="none"/>
        </w:rPr>
      </w:pPr>
    </w:p>
    <w:p>
      <w:pPr>
        <w:numPr>
          <w:ilvl w:val="0"/>
          <w:numId w:val="35"/>
        </w:numPr>
        <w:jc w:val="center"/>
        <w:outlineLvl w:val="1"/>
        <w:rPr>
          <w:rStyle w:val="41"/>
          <w:rFonts w:hint="eastAsia"/>
          <w:b/>
          <w:bCs/>
          <w:highlight w:val="none"/>
          <w:lang w:eastAsia="zh-CN"/>
        </w:rPr>
      </w:pPr>
      <w:r>
        <w:rPr>
          <w:rFonts w:hint="eastAsia" w:asciiTheme="minorEastAsia" w:hAnsiTheme="minorEastAsia" w:eastAsiaTheme="minorEastAsia" w:cstheme="minorEastAsia"/>
          <w:spacing w:val="6"/>
          <w:szCs w:val="21"/>
          <w:highlight w:val="none"/>
        </w:rPr>
        <w:br w:type="page"/>
      </w:r>
      <w:bookmarkStart w:id="471" w:name="_Toc6707"/>
      <w:bookmarkStart w:id="472" w:name="_Toc21347"/>
      <w:r>
        <w:rPr>
          <w:rStyle w:val="41"/>
          <w:rFonts w:hint="eastAsia"/>
          <w:b/>
          <w:bCs/>
          <w:highlight w:val="none"/>
          <w:lang w:eastAsia="zh-CN"/>
        </w:rPr>
        <w:t>参加本次政府采购活动前3年内发生诉讼及仲裁情况表</w:t>
      </w:r>
      <w:bookmarkEnd w:id="471"/>
      <w:bookmarkEnd w:id="472"/>
    </w:p>
    <w:p>
      <w:pPr>
        <w:pStyle w:val="7"/>
        <w:numPr>
          <w:ilvl w:val="0"/>
          <w:numId w:val="0"/>
        </w:numPr>
        <w:rPr>
          <w:rFonts w:hint="eastAsia"/>
          <w:highlight w:val="none"/>
          <w:lang w:eastAsia="zh-CN"/>
        </w:rPr>
      </w:pPr>
    </w:p>
    <w:tbl>
      <w:tblPr>
        <w:tblStyle w:val="18"/>
        <w:tblW w:w="9071" w:type="dxa"/>
        <w:jc w:val="center"/>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0" w:type="dxa"/>
          <w:bottom w:w="0" w:type="dxa"/>
          <w:right w:w="0" w:type="dxa"/>
        </w:tblCellMar>
      </w:tblPr>
      <w:tblGrid>
        <w:gridCol w:w="998"/>
        <w:gridCol w:w="999"/>
        <w:gridCol w:w="1314"/>
        <w:gridCol w:w="3731"/>
        <w:gridCol w:w="2029"/>
      </w:tblGrid>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0" w:type="dxa"/>
            <w:bottom w:w="0" w:type="dxa"/>
            <w:right w:w="0" w:type="dxa"/>
          </w:tblCellMar>
        </w:tblPrEx>
        <w:trPr>
          <w:trHeight w:val="510" w:hRule="atLeast"/>
          <w:jc w:val="center"/>
        </w:trPr>
        <w:tc>
          <w:tcPr>
            <w:tcW w:w="998" w:type="dxa"/>
            <w:tcBorders>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类别</w:t>
            </w:r>
          </w:p>
        </w:tc>
        <w:tc>
          <w:tcPr>
            <w:tcW w:w="999" w:type="dxa"/>
            <w:tcBorders>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序号</w:t>
            </w:r>
          </w:p>
        </w:tc>
        <w:tc>
          <w:tcPr>
            <w:tcW w:w="1314" w:type="dxa"/>
            <w:tcBorders>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发生时间</w:t>
            </w:r>
          </w:p>
        </w:tc>
        <w:tc>
          <w:tcPr>
            <w:tcW w:w="3731" w:type="dxa"/>
            <w:tcBorders>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情况简介</w:t>
            </w:r>
          </w:p>
        </w:tc>
        <w:tc>
          <w:tcPr>
            <w:tcW w:w="2029" w:type="dxa"/>
            <w:tcBorders>
              <w:left w:val="single" w:color="auto" w:sz="8" w:space="0"/>
              <w:bottom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证明材料索引</w:t>
            </w: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0" w:type="dxa"/>
            <w:bottom w:w="0" w:type="dxa"/>
            <w:right w:w="0" w:type="dxa"/>
          </w:tblCellMar>
        </w:tblPrEx>
        <w:trPr>
          <w:cantSplit/>
          <w:trHeight w:val="510" w:hRule="atLeast"/>
          <w:jc w:val="center"/>
        </w:trPr>
        <w:tc>
          <w:tcPr>
            <w:tcW w:w="998" w:type="dxa"/>
            <w:vMerge w:val="restart"/>
            <w:tcBorders>
              <w:top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诉</w:t>
            </w:r>
          </w:p>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讼</w:t>
            </w:r>
          </w:p>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情</w:t>
            </w:r>
          </w:p>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况</w:t>
            </w:r>
          </w:p>
        </w:tc>
        <w:tc>
          <w:tcPr>
            <w:tcW w:w="999"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131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373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2029" w:type="dxa"/>
            <w:tcBorders>
              <w:top w:val="single" w:color="auto" w:sz="8" w:space="0"/>
              <w:left w:val="single" w:color="auto" w:sz="8" w:space="0"/>
              <w:bottom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0" w:type="dxa"/>
            <w:bottom w:w="0" w:type="dxa"/>
            <w:right w:w="0" w:type="dxa"/>
          </w:tblCellMar>
        </w:tblPrEx>
        <w:trPr>
          <w:cantSplit/>
          <w:trHeight w:val="510" w:hRule="atLeast"/>
          <w:jc w:val="center"/>
        </w:trPr>
        <w:tc>
          <w:tcPr>
            <w:tcW w:w="998" w:type="dxa"/>
            <w:vMerge w:val="continue"/>
            <w:tcBorders>
              <w:top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999"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131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373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2029" w:type="dxa"/>
            <w:tcBorders>
              <w:top w:val="single" w:color="auto" w:sz="8" w:space="0"/>
              <w:left w:val="single" w:color="auto" w:sz="8" w:space="0"/>
              <w:bottom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0" w:type="dxa"/>
            <w:bottom w:w="0" w:type="dxa"/>
            <w:right w:w="0" w:type="dxa"/>
          </w:tblCellMar>
        </w:tblPrEx>
        <w:trPr>
          <w:cantSplit/>
          <w:trHeight w:val="510" w:hRule="atLeast"/>
          <w:jc w:val="center"/>
        </w:trPr>
        <w:tc>
          <w:tcPr>
            <w:tcW w:w="998" w:type="dxa"/>
            <w:vMerge w:val="continue"/>
            <w:tcBorders>
              <w:top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999"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131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373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2029" w:type="dxa"/>
            <w:tcBorders>
              <w:top w:val="single" w:color="auto" w:sz="8" w:space="0"/>
              <w:left w:val="single" w:color="auto" w:sz="8" w:space="0"/>
              <w:bottom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0" w:type="dxa"/>
            <w:bottom w:w="0" w:type="dxa"/>
            <w:right w:w="0" w:type="dxa"/>
          </w:tblCellMar>
        </w:tblPrEx>
        <w:trPr>
          <w:cantSplit/>
          <w:trHeight w:val="510" w:hRule="atLeast"/>
          <w:jc w:val="center"/>
        </w:trPr>
        <w:tc>
          <w:tcPr>
            <w:tcW w:w="998" w:type="dxa"/>
            <w:vMerge w:val="continue"/>
            <w:tcBorders>
              <w:top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999"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131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373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2029" w:type="dxa"/>
            <w:tcBorders>
              <w:top w:val="single" w:color="auto" w:sz="8" w:space="0"/>
              <w:left w:val="single" w:color="auto" w:sz="8" w:space="0"/>
              <w:bottom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0" w:type="dxa"/>
            <w:bottom w:w="0" w:type="dxa"/>
            <w:right w:w="0" w:type="dxa"/>
          </w:tblCellMar>
        </w:tblPrEx>
        <w:trPr>
          <w:cantSplit/>
          <w:trHeight w:val="510" w:hRule="atLeast"/>
          <w:jc w:val="center"/>
        </w:trPr>
        <w:tc>
          <w:tcPr>
            <w:tcW w:w="998" w:type="dxa"/>
            <w:vMerge w:val="continue"/>
            <w:tcBorders>
              <w:top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999"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131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373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2029" w:type="dxa"/>
            <w:tcBorders>
              <w:top w:val="single" w:color="auto" w:sz="8" w:space="0"/>
              <w:left w:val="single" w:color="auto" w:sz="8" w:space="0"/>
              <w:bottom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0" w:type="dxa"/>
            <w:bottom w:w="0" w:type="dxa"/>
            <w:right w:w="0" w:type="dxa"/>
          </w:tblCellMar>
        </w:tblPrEx>
        <w:trPr>
          <w:cantSplit/>
          <w:trHeight w:val="510" w:hRule="atLeast"/>
          <w:jc w:val="center"/>
        </w:trPr>
        <w:tc>
          <w:tcPr>
            <w:tcW w:w="998" w:type="dxa"/>
            <w:vMerge w:val="continue"/>
            <w:tcBorders>
              <w:top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999"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131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373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2029" w:type="dxa"/>
            <w:tcBorders>
              <w:top w:val="single" w:color="auto" w:sz="8" w:space="0"/>
              <w:left w:val="single" w:color="auto" w:sz="8" w:space="0"/>
              <w:bottom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0" w:type="dxa"/>
            <w:bottom w:w="0" w:type="dxa"/>
            <w:right w:w="0" w:type="dxa"/>
          </w:tblCellMar>
        </w:tblPrEx>
        <w:trPr>
          <w:cantSplit/>
          <w:trHeight w:val="510" w:hRule="atLeast"/>
          <w:jc w:val="center"/>
        </w:trPr>
        <w:tc>
          <w:tcPr>
            <w:tcW w:w="998" w:type="dxa"/>
            <w:vMerge w:val="continue"/>
            <w:tcBorders>
              <w:top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999"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131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373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2029" w:type="dxa"/>
            <w:tcBorders>
              <w:top w:val="single" w:color="auto" w:sz="8" w:space="0"/>
              <w:left w:val="single" w:color="auto" w:sz="8" w:space="0"/>
              <w:bottom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0" w:type="dxa"/>
            <w:bottom w:w="0" w:type="dxa"/>
            <w:right w:w="0" w:type="dxa"/>
          </w:tblCellMar>
        </w:tblPrEx>
        <w:trPr>
          <w:cantSplit/>
          <w:trHeight w:val="510" w:hRule="atLeast"/>
          <w:jc w:val="center"/>
        </w:trPr>
        <w:tc>
          <w:tcPr>
            <w:tcW w:w="998" w:type="dxa"/>
            <w:vMerge w:val="restart"/>
            <w:tcBorders>
              <w:top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仲</w:t>
            </w:r>
          </w:p>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裁</w:t>
            </w:r>
          </w:p>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情</w:t>
            </w:r>
          </w:p>
          <w:p>
            <w:pPr>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况</w:t>
            </w:r>
          </w:p>
        </w:tc>
        <w:tc>
          <w:tcPr>
            <w:tcW w:w="999"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131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373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2029" w:type="dxa"/>
            <w:tcBorders>
              <w:top w:val="single" w:color="auto" w:sz="8" w:space="0"/>
              <w:left w:val="single" w:color="auto" w:sz="8" w:space="0"/>
              <w:bottom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0" w:type="dxa"/>
            <w:bottom w:w="0" w:type="dxa"/>
            <w:right w:w="0" w:type="dxa"/>
          </w:tblCellMar>
        </w:tblPrEx>
        <w:trPr>
          <w:cantSplit/>
          <w:trHeight w:val="510" w:hRule="atLeast"/>
          <w:jc w:val="center"/>
        </w:trPr>
        <w:tc>
          <w:tcPr>
            <w:tcW w:w="998" w:type="dxa"/>
            <w:vMerge w:val="continue"/>
            <w:tcBorders>
              <w:top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999"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131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373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2029" w:type="dxa"/>
            <w:tcBorders>
              <w:top w:val="single" w:color="auto" w:sz="8" w:space="0"/>
              <w:left w:val="single" w:color="auto" w:sz="8" w:space="0"/>
              <w:bottom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0" w:type="dxa"/>
            <w:bottom w:w="0" w:type="dxa"/>
            <w:right w:w="0" w:type="dxa"/>
          </w:tblCellMar>
        </w:tblPrEx>
        <w:trPr>
          <w:cantSplit/>
          <w:trHeight w:val="510" w:hRule="atLeast"/>
          <w:jc w:val="center"/>
        </w:trPr>
        <w:tc>
          <w:tcPr>
            <w:tcW w:w="998" w:type="dxa"/>
            <w:vMerge w:val="continue"/>
            <w:tcBorders>
              <w:top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999"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131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373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2029" w:type="dxa"/>
            <w:tcBorders>
              <w:top w:val="single" w:color="auto" w:sz="8" w:space="0"/>
              <w:left w:val="single" w:color="auto" w:sz="8" w:space="0"/>
              <w:bottom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0" w:type="dxa"/>
            <w:bottom w:w="0" w:type="dxa"/>
            <w:right w:w="0" w:type="dxa"/>
          </w:tblCellMar>
        </w:tblPrEx>
        <w:trPr>
          <w:cantSplit/>
          <w:trHeight w:val="510" w:hRule="atLeast"/>
          <w:jc w:val="center"/>
        </w:trPr>
        <w:tc>
          <w:tcPr>
            <w:tcW w:w="998" w:type="dxa"/>
            <w:vMerge w:val="continue"/>
            <w:tcBorders>
              <w:top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999"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131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373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2029" w:type="dxa"/>
            <w:tcBorders>
              <w:top w:val="single" w:color="auto" w:sz="8" w:space="0"/>
              <w:left w:val="single" w:color="auto" w:sz="8" w:space="0"/>
              <w:bottom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0" w:type="dxa"/>
            <w:bottom w:w="0" w:type="dxa"/>
            <w:right w:w="0" w:type="dxa"/>
          </w:tblCellMar>
        </w:tblPrEx>
        <w:trPr>
          <w:cantSplit/>
          <w:trHeight w:val="510" w:hRule="atLeast"/>
          <w:jc w:val="center"/>
        </w:trPr>
        <w:tc>
          <w:tcPr>
            <w:tcW w:w="998" w:type="dxa"/>
            <w:vMerge w:val="continue"/>
            <w:tcBorders>
              <w:top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999"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131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373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2029" w:type="dxa"/>
            <w:tcBorders>
              <w:top w:val="single" w:color="auto" w:sz="8" w:space="0"/>
              <w:left w:val="single" w:color="auto" w:sz="8" w:space="0"/>
              <w:bottom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0" w:type="dxa"/>
            <w:bottom w:w="0" w:type="dxa"/>
            <w:right w:w="0" w:type="dxa"/>
          </w:tblCellMar>
        </w:tblPrEx>
        <w:trPr>
          <w:cantSplit/>
          <w:trHeight w:val="510" w:hRule="atLeast"/>
          <w:jc w:val="center"/>
        </w:trPr>
        <w:tc>
          <w:tcPr>
            <w:tcW w:w="998" w:type="dxa"/>
            <w:vMerge w:val="continue"/>
            <w:tcBorders>
              <w:top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999"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131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373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2029" w:type="dxa"/>
            <w:tcBorders>
              <w:top w:val="single" w:color="auto" w:sz="8" w:space="0"/>
              <w:left w:val="single" w:color="auto" w:sz="8" w:space="0"/>
              <w:bottom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0" w:type="dxa"/>
            <w:bottom w:w="0" w:type="dxa"/>
            <w:right w:w="0" w:type="dxa"/>
          </w:tblCellMar>
        </w:tblPrEx>
        <w:trPr>
          <w:cantSplit/>
          <w:trHeight w:val="510" w:hRule="atLeast"/>
          <w:jc w:val="center"/>
        </w:trPr>
        <w:tc>
          <w:tcPr>
            <w:tcW w:w="998" w:type="dxa"/>
            <w:vMerge w:val="continue"/>
            <w:tcBorders>
              <w:top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999" w:type="dxa"/>
            <w:tcBorders>
              <w:top w:val="single" w:color="auto" w:sz="8" w:space="0"/>
              <w:left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1314" w:type="dxa"/>
            <w:tcBorders>
              <w:top w:val="single" w:color="auto" w:sz="8" w:space="0"/>
              <w:left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3731" w:type="dxa"/>
            <w:tcBorders>
              <w:top w:val="single" w:color="auto" w:sz="8" w:space="0"/>
              <w:left w:val="single" w:color="auto" w:sz="8" w:space="0"/>
              <w:righ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c>
          <w:tcPr>
            <w:tcW w:w="2029" w:type="dxa"/>
            <w:tcBorders>
              <w:top w:val="single" w:color="auto" w:sz="8" w:space="0"/>
              <w:left w:val="single" w:color="auto" w:sz="8" w:space="0"/>
            </w:tcBorders>
            <w:tcMar>
              <w:left w:w="108" w:type="dxa"/>
              <w:right w:w="108" w:type="dxa"/>
            </w:tcMar>
            <w:vAlign w:val="center"/>
          </w:tcPr>
          <w:p>
            <w:pPr>
              <w:jc w:val="center"/>
              <w:rPr>
                <w:rFonts w:asciiTheme="minorEastAsia" w:hAnsiTheme="minorEastAsia" w:eastAsiaTheme="minorEastAsia" w:cstheme="minorEastAsia"/>
                <w:szCs w:val="21"/>
                <w:highlight w:val="none"/>
              </w:rPr>
            </w:pPr>
          </w:p>
        </w:tc>
      </w:tr>
    </w:tbl>
    <w:p>
      <w:pPr>
        <w:rPr>
          <w:rFonts w:asciiTheme="minorEastAsia" w:hAnsiTheme="minorEastAsia" w:eastAsiaTheme="minorEastAsia" w:cstheme="minorEastAsia"/>
          <w:kern w:val="0"/>
          <w:szCs w:val="21"/>
          <w:highlight w:val="none"/>
          <w:shd w:val="clear" w:color="auto" w:fill="FFFFFF"/>
        </w:rPr>
      </w:pPr>
      <w:r>
        <w:rPr>
          <w:rFonts w:hint="eastAsia" w:asciiTheme="minorEastAsia" w:hAnsiTheme="minorEastAsia" w:eastAsiaTheme="minorEastAsia" w:cstheme="minorEastAsia"/>
          <w:kern w:val="0"/>
          <w:szCs w:val="21"/>
          <w:highlight w:val="none"/>
          <w:shd w:val="clear" w:color="auto" w:fill="FFFFFF"/>
        </w:rPr>
        <w:t> </w:t>
      </w:r>
    </w:p>
    <w:p>
      <w:pPr>
        <w:ind w:firstLine="420" w:firstLineChars="200"/>
        <w:rPr>
          <w:rFonts w:hint="eastAsia" w:asciiTheme="minorEastAsia" w:hAnsiTheme="minorEastAsia" w:eastAsiaTheme="minorEastAsia" w:cstheme="minorEastAsia"/>
          <w:kern w:val="0"/>
          <w:szCs w:val="21"/>
          <w:highlight w:val="none"/>
          <w:shd w:val="clear" w:color="auto" w:fill="FFFFFF"/>
          <w:lang w:eastAsia="zh-CN"/>
        </w:rPr>
      </w:pPr>
      <w:r>
        <w:rPr>
          <w:rFonts w:hint="eastAsia" w:asciiTheme="minorEastAsia" w:hAnsiTheme="minorEastAsia" w:eastAsiaTheme="minorEastAsia" w:cstheme="minorEastAsia"/>
          <w:kern w:val="0"/>
          <w:szCs w:val="21"/>
          <w:highlight w:val="none"/>
          <w:shd w:val="clear" w:color="auto" w:fill="FFFFFF"/>
        </w:rPr>
        <w:t>注：发生的诉讼和仲裁情况仅限于供应商败诉的，且与经营活动有关的案件，不包括调解结案的案件。与经营活动有关，但尚未裁决或终审判决的案件请单独另附《情况说明》（说明内容：案件当事人、基本案情）。</w:t>
      </w: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pStyle w:val="7"/>
        <w:rPr>
          <w:rFonts w:hint="eastAsia"/>
          <w:highlight w:val="none"/>
          <w:lang w:eastAsia="zh-CN"/>
        </w:rPr>
      </w:pPr>
    </w:p>
    <w:p>
      <w:pPr>
        <w:jc w:val="center"/>
        <w:outlineLvl w:val="9"/>
        <w:rPr>
          <w:rFonts w:hint="eastAsia" w:asciiTheme="minorEastAsia" w:hAnsiTheme="minorEastAsia" w:eastAsiaTheme="minorEastAsia" w:cstheme="minorEastAsia"/>
          <w:kern w:val="0"/>
          <w:szCs w:val="21"/>
          <w:highlight w:val="none"/>
          <w:shd w:val="clear" w:color="auto" w:fill="FFFFFF"/>
          <w:lang w:eastAsia="zh-CN"/>
        </w:rPr>
      </w:pPr>
      <w:bookmarkStart w:id="473" w:name="_Toc11854"/>
    </w:p>
    <w:p>
      <w:pPr>
        <w:pStyle w:val="7"/>
        <w:rPr>
          <w:rFonts w:hint="eastAsia"/>
          <w:highlight w:val="none"/>
          <w:lang w:eastAsia="zh-CN"/>
        </w:rPr>
      </w:pPr>
    </w:p>
    <w:p>
      <w:pPr>
        <w:rPr>
          <w:rFonts w:hint="eastAsia" w:asciiTheme="minorEastAsia" w:hAnsiTheme="minorEastAsia" w:eastAsiaTheme="minorEastAsia" w:cstheme="minorEastAsia"/>
          <w:kern w:val="0"/>
          <w:szCs w:val="21"/>
          <w:highlight w:val="none"/>
          <w:shd w:val="clear" w:color="auto" w:fill="FFFFFF"/>
        </w:rPr>
      </w:pPr>
      <w:r>
        <w:rPr>
          <w:rFonts w:hint="eastAsia" w:asciiTheme="minorEastAsia" w:hAnsiTheme="minorEastAsia" w:eastAsiaTheme="minorEastAsia" w:cstheme="minorEastAsia"/>
          <w:kern w:val="0"/>
          <w:szCs w:val="21"/>
          <w:highlight w:val="none"/>
          <w:shd w:val="clear" w:color="auto" w:fill="FFFFFF"/>
        </w:rPr>
        <w:br w:type="page"/>
      </w:r>
    </w:p>
    <w:p>
      <w:pPr>
        <w:pStyle w:val="3"/>
        <w:bidi w:val="0"/>
        <w:jc w:val="center"/>
        <w:rPr>
          <w:rFonts w:hint="eastAsia"/>
          <w:b/>
          <w:bCs/>
          <w:highlight w:val="none"/>
          <w:lang w:eastAsia="zh-CN"/>
        </w:rPr>
      </w:pPr>
      <w:bookmarkStart w:id="474" w:name="_Toc12554"/>
      <w:r>
        <w:rPr>
          <w:rFonts w:hint="eastAsia"/>
          <w:b/>
          <w:bCs/>
          <w:highlight w:val="none"/>
          <w:lang w:eastAsia="zh-CN"/>
        </w:rPr>
        <w:t>二十、磋商供应商认为应该提交的其它文件</w:t>
      </w:r>
      <w:bookmarkEnd w:id="474"/>
    </w:p>
    <w:p>
      <w:pPr>
        <w:pStyle w:val="3"/>
        <w:bidi w:val="0"/>
        <w:jc w:val="center"/>
        <w:outlineLvl w:val="9"/>
        <w:rPr>
          <w:rFonts w:hint="eastAsia"/>
          <w:b/>
          <w:bCs/>
          <w:highlight w:val="none"/>
          <w:lang w:eastAsia="zh-CN"/>
        </w:rPr>
      </w:pPr>
    </w:p>
    <w:p>
      <w:pPr>
        <w:bidi w:val="0"/>
        <w:jc w:val="center"/>
        <w:rPr>
          <w:rFonts w:hint="eastAsia"/>
          <w:highlight w:val="none"/>
          <w:lang w:eastAsia="zh-CN"/>
        </w:rPr>
      </w:pPr>
      <w:r>
        <w:rPr>
          <w:rFonts w:hint="eastAsia"/>
          <w:highlight w:val="none"/>
          <w:lang w:eastAsia="zh-CN"/>
        </w:rPr>
        <w:t>（格式自拟）</w:t>
      </w:r>
      <w:bookmarkEnd w:id="473"/>
    </w:p>
    <w:p>
      <w:pPr>
        <w:tabs>
          <w:tab w:val="left" w:pos="540"/>
        </w:tabs>
        <w:autoSpaceDE w:val="0"/>
        <w:autoSpaceDN w:val="0"/>
        <w:adjustRightInd w:val="0"/>
        <w:spacing w:line="360" w:lineRule="auto"/>
        <w:jc w:val="center"/>
        <w:outlineLvl w:val="9"/>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7"/>
        <w:rPr>
          <w:rFonts w:hint="eastAsia" w:asciiTheme="minorEastAsia" w:hAnsiTheme="minorEastAsia" w:eastAsiaTheme="minorEastAsia" w:cstheme="minorEastAsia"/>
          <w:b/>
          <w:bCs/>
          <w:sz w:val="24"/>
          <w:highlight w:val="none"/>
          <w:lang w:eastAsia="zh-CN"/>
        </w:rPr>
      </w:pPr>
    </w:p>
    <w:p>
      <w:pPr>
        <w:pStyle w:val="3"/>
        <w:numPr>
          <w:ilvl w:val="1"/>
          <w:numId w:val="0"/>
        </w:numPr>
        <w:bidi w:val="0"/>
        <w:ind w:left="0" w:leftChars="0"/>
        <w:jc w:val="both"/>
        <w:rPr>
          <w:rFonts w:hint="eastAsia"/>
          <w:w w:val="100"/>
          <w:highlight w:val="none"/>
        </w:rPr>
      </w:pPr>
      <w:bookmarkStart w:id="475" w:name="_Toc16978"/>
      <w:bookmarkStart w:id="476" w:name="_Toc19685"/>
      <w:r>
        <w:rPr>
          <w:rFonts w:hint="eastAsia"/>
          <w:b/>
          <w:bCs/>
          <w:w w:val="100"/>
          <w:highlight w:val="none"/>
          <w:lang w:val="en-US" w:eastAsia="zh-CN"/>
        </w:rPr>
        <w:t>附件1：</w:t>
      </w:r>
      <w:bookmarkEnd w:id="475"/>
      <w:r>
        <w:rPr>
          <w:rFonts w:hint="eastAsia"/>
          <w:b/>
          <w:bCs/>
          <w:w w:val="100"/>
          <w:highlight w:val="none"/>
          <w:lang w:val="en-US" w:eastAsia="zh-CN"/>
        </w:rPr>
        <w:t>中小企业划型标准规定</w:t>
      </w:r>
      <w:bookmarkEnd w:id="476"/>
      <w:r>
        <w:rPr>
          <w:rFonts w:hint="eastAsia"/>
          <w:w w:val="100"/>
          <w:highlight w:val="none"/>
          <w:lang w:val="en-US" w:eastAsia="zh-CN"/>
        </w:rPr>
        <w:t xml:space="preserve"> </w:t>
      </w:r>
    </w:p>
    <w:tbl>
      <w:tblPr>
        <w:tblStyle w:val="18"/>
        <w:tblW w:w="10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675"/>
        <w:gridCol w:w="813"/>
        <w:gridCol w:w="1440"/>
        <w:gridCol w:w="1440"/>
        <w:gridCol w:w="1440"/>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exact"/>
          <w:jc w:val="center"/>
        </w:trPr>
        <w:tc>
          <w:tcPr>
            <w:tcW w:w="1816" w:type="dxa"/>
            <w:noWrap w:val="0"/>
            <w:vAlign w:val="center"/>
          </w:tcPr>
          <w:p>
            <w:pPr>
              <w:widowControl/>
              <w:jc w:val="center"/>
              <w:outlineLvl w:val="9"/>
              <w:rPr>
                <w:rFonts w:hint="eastAsia" w:eastAsia="宋体" w:cs="宋体"/>
                <w:b/>
                <w:bCs/>
                <w:color w:val="000000"/>
                <w:kern w:val="0"/>
                <w:szCs w:val="21"/>
                <w:highlight w:val="none"/>
              </w:rPr>
            </w:pPr>
            <w:r>
              <w:rPr>
                <w:rFonts w:hint="eastAsia" w:eastAsia="宋体" w:cs="宋体"/>
                <w:b/>
                <w:bCs/>
                <w:color w:val="000000"/>
                <w:kern w:val="0"/>
                <w:szCs w:val="21"/>
                <w:highlight w:val="none"/>
              </w:rPr>
              <w:t>行业名称</w:t>
            </w:r>
          </w:p>
        </w:tc>
        <w:tc>
          <w:tcPr>
            <w:tcW w:w="1675" w:type="dxa"/>
            <w:noWrap w:val="0"/>
            <w:vAlign w:val="center"/>
          </w:tcPr>
          <w:p>
            <w:pPr>
              <w:widowControl/>
              <w:jc w:val="center"/>
              <w:outlineLvl w:val="9"/>
              <w:rPr>
                <w:rFonts w:hint="eastAsia" w:eastAsia="宋体" w:cs="宋体"/>
                <w:b/>
                <w:bCs/>
                <w:color w:val="000000"/>
                <w:kern w:val="0"/>
                <w:szCs w:val="21"/>
                <w:highlight w:val="none"/>
              </w:rPr>
            </w:pPr>
            <w:r>
              <w:rPr>
                <w:rFonts w:hint="eastAsia" w:eastAsia="宋体" w:cs="宋体"/>
                <w:b/>
                <w:bCs/>
                <w:color w:val="000000"/>
                <w:kern w:val="0"/>
                <w:szCs w:val="21"/>
                <w:highlight w:val="none"/>
              </w:rPr>
              <w:t>指标名称</w:t>
            </w:r>
          </w:p>
        </w:tc>
        <w:tc>
          <w:tcPr>
            <w:tcW w:w="813" w:type="dxa"/>
            <w:noWrap w:val="0"/>
            <w:vAlign w:val="center"/>
          </w:tcPr>
          <w:p>
            <w:pPr>
              <w:widowControl/>
              <w:jc w:val="center"/>
              <w:outlineLvl w:val="9"/>
              <w:rPr>
                <w:rFonts w:hint="eastAsia" w:eastAsia="宋体" w:cs="宋体"/>
                <w:b/>
                <w:bCs/>
                <w:color w:val="000000"/>
                <w:kern w:val="0"/>
                <w:szCs w:val="21"/>
                <w:highlight w:val="none"/>
                <w:lang w:eastAsia="zh-CN"/>
              </w:rPr>
            </w:pPr>
            <w:r>
              <w:rPr>
                <w:rFonts w:hint="eastAsia" w:eastAsia="宋体" w:cs="宋体"/>
                <w:b/>
                <w:bCs/>
                <w:color w:val="000000"/>
                <w:kern w:val="0"/>
                <w:szCs w:val="21"/>
                <w:highlight w:val="none"/>
              </w:rPr>
              <w:t>计量</w:t>
            </w:r>
          </w:p>
          <w:p>
            <w:pPr>
              <w:widowControl/>
              <w:jc w:val="center"/>
              <w:outlineLvl w:val="9"/>
              <w:rPr>
                <w:rFonts w:hint="eastAsia" w:eastAsia="宋体" w:cs="宋体"/>
                <w:b/>
                <w:bCs/>
                <w:color w:val="000000"/>
                <w:kern w:val="0"/>
                <w:szCs w:val="21"/>
                <w:highlight w:val="none"/>
              </w:rPr>
            </w:pPr>
            <w:r>
              <w:rPr>
                <w:rFonts w:hint="eastAsia" w:eastAsia="宋体" w:cs="宋体"/>
                <w:b/>
                <w:bCs/>
                <w:color w:val="000000"/>
                <w:kern w:val="0"/>
                <w:szCs w:val="21"/>
                <w:highlight w:val="none"/>
              </w:rPr>
              <w:t>单位</w:t>
            </w:r>
          </w:p>
        </w:tc>
        <w:tc>
          <w:tcPr>
            <w:tcW w:w="1440" w:type="dxa"/>
            <w:noWrap w:val="0"/>
            <w:vAlign w:val="center"/>
          </w:tcPr>
          <w:p>
            <w:pPr>
              <w:widowControl/>
              <w:jc w:val="center"/>
              <w:outlineLvl w:val="9"/>
              <w:rPr>
                <w:rFonts w:hint="eastAsia" w:eastAsia="宋体" w:cs="宋体"/>
                <w:b/>
                <w:bCs/>
                <w:color w:val="000000"/>
                <w:kern w:val="0"/>
                <w:szCs w:val="21"/>
                <w:highlight w:val="none"/>
              </w:rPr>
            </w:pPr>
            <w:r>
              <w:rPr>
                <w:rFonts w:hint="eastAsia" w:eastAsia="宋体" w:cs="宋体"/>
                <w:b/>
                <w:bCs/>
                <w:color w:val="000000"/>
                <w:kern w:val="0"/>
                <w:szCs w:val="21"/>
                <w:highlight w:val="none"/>
              </w:rPr>
              <w:t>大型</w:t>
            </w:r>
          </w:p>
        </w:tc>
        <w:tc>
          <w:tcPr>
            <w:tcW w:w="1440" w:type="dxa"/>
            <w:noWrap w:val="0"/>
            <w:vAlign w:val="center"/>
          </w:tcPr>
          <w:p>
            <w:pPr>
              <w:widowControl/>
              <w:jc w:val="center"/>
              <w:outlineLvl w:val="9"/>
              <w:rPr>
                <w:rFonts w:hint="eastAsia" w:eastAsia="宋体" w:cs="宋体"/>
                <w:b/>
                <w:bCs/>
                <w:color w:val="000000"/>
                <w:kern w:val="0"/>
                <w:szCs w:val="21"/>
                <w:highlight w:val="none"/>
              </w:rPr>
            </w:pPr>
            <w:r>
              <w:rPr>
                <w:rFonts w:hint="eastAsia" w:eastAsia="宋体" w:cs="宋体"/>
                <w:b/>
                <w:bCs/>
                <w:color w:val="000000"/>
                <w:kern w:val="0"/>
                <w:szCs w:val="21"/>
                <w:highlight w:val="none"/>
              </w:rPr>
              <w:t>中型</w:t>
            </w:r>
          </w:p>
        </w:tc>
        <w:tc>
          <w:tcPr>
            <w:tcW w:w="1440" w:type="dxa"/>
            <w:noWrap w:val="0"/>
            <w:vAlign w:val="center"/>
          </w:tcPr>
          <w:p>
            <w:pPr>
              <w:widowControl/>
              <w:jc w:val="center"/>
              <w:outlineLvl w:val="9"/>
              <w:rPr>
                <w:rFonts w:hint="eastAsia" w:eastAsia="宋体" w:cs="宋体"/>
                <w:b/>
                <w:bCs/>
                <w:color w:val="000000"/>
                <w:kern w:val="0"/>
                <w:szCs w:val="21"/>
                <w:highlight w:val="none"/>
              </w:rPr>
            </w:pPr>
            <w:r>
              <w:rPr>
                <w:rFonts w:hint="eastAsia" w:eastAsia="宋体" w:cs="宋体"/>
                <w:b/>
                <w:bCs/>
                <w:color w:val="000000"/>
                <w:kern w:val="0"/>
                <w:szCs w:val="21"/>
                <w:highlight w:val="none"/>
              </w:rPr>
              <w:t>小型</w:t>
            </w:r>
          </w:p>
        </w:tc>
        <w:tc>
          <w:tcPr>
            <w:tcW w:w="1443" w:type="dxa"/>
            <w:noWrap w:val="0"/>
            <w:vAlign w:val="center"/>
          </w:tcPr>
          <w:p>
            <w:pPr>
              <w:widowControl/>
              <w:jc w:val="center"/>
              <w:outlineLvl w:val="9"/>
              <w:rPr>
                <w:rFonts w:hint="eastAsia" w:eastAsia="宋体" w:cs="宋体"/>
                <w:b/>
                <w:bCs/>
                <w:color w:val="000000"/>
                <w:kern w:val="0"/>
                <w:szCs w:val="21"/>
                <w:highlight w:val="none"/>
              </w:rPr>
            </w:pPr>
            <w:r>
              <w:rPr>
                <w:rFonts w:hint="eastAsia" w:eastAsia="宋体" w:cs="宋体"/>
                <w:b/>
                <w:bCs/>
                <w:color w:val="000000"/>
                <w:kern w:val="0"/>
                <w:szCs w:val="21"/>
                <w:highlight w:val="none"/>
              </w:rPr>
              <w:t>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noWrap w:val="0"/>
            <w:vAlign w:val="center"/>
          </w:tcPr>
          <w:p>
            <w:pPr>
              <w:widowControl/>
              <w:jc w:val="left"/>
              <w:outlineLvl w:val="9"/>
              <w:rPr>
                <w:rFonts w:hint="eastAsia" w:eastAsia="宋体" w:cs="宋体"/>
                <w:color w:val="000000"/>
                <w:kern w:val="0"/>
                <w:szCs w:val="21"/>
                <w:highlight w:val="none"/>
              </w:rPr>
            </w:pPr>
            <w:r>
              <w:rPr>
                <w:rFonts w:hint="eastAsia" w:eastAsia="宋体" w:cs="宋体"/>
                <w:color w:val="000000"/>
                <w:kern w:val="0"/>
                <w:szCs w:val="21"/>
                <w:highlight w:val="none"/>
              </w:rPr>
              <w:t>农、林、牧、渔业</w:t>
            </w: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营业收入(Y)</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万元</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Y≥20000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500≤Y＜20000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50≤Y＜500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vMerge w:val="restart"/>
            <w:noWrap w:val="0"/>
            <w:vAlign w:val="center"/>
          </w:tcPr>
          <w:p>
            <w:pPr>
              <w:widowControl/>
              <w:jc w:val="left"/>
              <w:outlineLvl w:val="9"/>
              <w:rPr>
                <w:rFonts w:hint="eastAsia" w:eastAsia="宋体" w:cs="宋体"/>
                <w:color w:val="000000"/>
                <w:kern w:val="0"/>
                <w:szCs w:val="21"/>
                <w:highlight w:val="none"/>
              </w:rPr>
            </w:pPr>
            <w:r>
              <w:rPr>
                <w:rFonts w:hint="eastAsia" w:eastAsia="宋体" w:cs="宋体"/>
                <w:color w:val="000000"/>
                <w:kern w:val="0"/>
                <w:szCs w:val="21"/>
                <w:highlight w:val="none"/>
              </w:rPr>
              <w:t>工业 *</w:t>
            </w: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从业人员(X)</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人</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X≥1000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300≤X＜1000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20≤X＜300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vMerge w:val="continue"/>
            <w:noWrap w:val="0"/>
            <w:vAlign w:val="center"/>
          </w:tcPr>
          <w:p>
            <w:pPr>
              <w:widowControl/>
              <w:jc w:val="left"/>
              <w:outlineLvl w:val="9"/>
              <w:rPr>
                <w:rFonts w:hint="eastAsia" w:eastAsia="宋体" w:cs="宋体"/>
                <w:color w:val="000000"/>
                <w:kern w:val="0"/>
                <w:szCs w:val="21"/>
                <w:highlight w:val="none"/>
              </w:rPr>
            </w:pP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营业收入(Y)</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万元</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Y≥40000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2000≤Y＜40000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300≤Y＜2000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vMerge w:val="restart"/>
            <w:noWrap w:val="0"/>
            <w:vAlign w:val="center"/>
          </w:tcPr>
          <w:p>
            <w:pPr>
              <w:widowControl/>
              <w:jc w:val="left"/>
              <w:outlineLvl w:val="9"/>
              <w:rPr>
                <w:rFonts w:hint="eastAsia" w:eastAsia="宋体" w:cs="宋体"/>
                <w:color w:val="000000"/>
                <w:kern w:val="0"/>
                <w:szCs w:val="21"/>
                <w:highlight w:val="none"/>
              </w:rPr>
            </w:pPr>
            <w:r>
              <w:rPr>
                <w:rFonts w:hint="eastAsia" w:eastAsia="宋体" w:cs="宋体"/>
                <w:color w:val="000000"/>
                <w:kern w:val="0"/>
                <w:szCs w:val="21"/>
                <w:highlight w:val="none"/>
              </w:rPr>
              <w:t>建筑业</w:t>
            </w: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营业收入(Y)</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万元</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Y≥80000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6000≤Y＜80000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300≤Y＜6000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vMerge w:val="continue"/>
            <w:noWrap w:val="0"/>
            <w:vAlign w:val="center"/>
          </w:tcPr>
          <w:p>
            <w:pPr>
              <w:widowControl/>
              <w:jc w:val="left"/>
              <w:outlineLvl w:val="9"/>
              <w:rPr>
                <w:rFonts w:hint="eastAsia" w:eastAsia="宋体" w:cs="宋体"/>
                <w:color w:val="000000"/>
                <w:kern w:val="0"/>
                <w:szCs w:val="21"/>
                <w:highlight w:val="none"/>
              </w:rPr>
            </w:pP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资产总额(Z)</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万元</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Z≥80000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5000≤Z＜80000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300≤Z＜5000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Z＜300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vMerge w:val="restart"/>
            <w:noWrap w:val="0"/>
            <w:vAlign w:val="center"/>
          </w:tcPr>
          <w:p>
            <w:pPr>
              <w:widowControl/>
              <w:jc w:val="left"/>
              <w:outlineLvl w:val="9"/>
              <w:rPr>
                <w:rFonts w:hint="eastAsia" w:eastAsia="宋体" w:cs="宋体"/>
                <w:color w:val="000000"/>
                <w:kern w:val="0"/>
                <w:szCs w:val="21"/>
                <w:highlight w:val="none"/>
              </w:rPr>
            </w:pPr>
            <w:r>
              <w:rPr>
                <w:rFonts w:hint="eastAsia" w:eastAsia="宋体" w:cs="宋体"/>
                <w:color w:val="000000"/>
                <w:kern w:val="0"/>
                <w:szCs w:val="21"/>
                <w:highlight w:val="none"/>
              </w:rPr>
              <w:t>批发业</w:t>
            </w: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从业人员(X)</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人</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X≥200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20≤X＜200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5≤X＜20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vMerge w:val="continue"/>
            <w:noWrap w:val="0"/>
            <w:vAlign w:val="center"/>
          </w:tcPr>
          <w:p>
            <w:pPr>
              <w:widowControl/>
              <w:jc w:val="left"/>
              <w:outlineLvl w:val="9"/>
              <w:rPr>
                <w:rFonts w:hint="eastAsia" w:eastAsia="宋体" w:cs="宋体"/>
                <w:color w:val="000000"/>
                <w:kern w:val="0"/>
                <w:szCs w:val="21"/>
                <w:highlight w:val="none"/>
              </w:rPr>
            </w:pP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营业收入(Y)</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万元</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Y≥40000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5000≤Y＜40000</w:t>
            </w:r>
          </w:p>
        </w:tc>
        <w:tc>
          <w:tcPr>
            <w:tcW w:w="1440" w:type="dxa"/>
            <w:noWrap w:val="0"/>
            <w:vAlign w:val="center"/>
          </w:tcPr>
          <w:p>
            <w:pPr>
              <w:widowControl/>
              <w:ind w:left="-1" w:leftChars="-1" w:hanging="1"/>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1000≤Y＜5000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vMerge w:val="restart"/>
            <w:noWrap w:val="0"/>
            <w:vAlign w:val="center"/>
          </w:tcPr>
          <w:p>
            <w:pPr>
              <w:widowControl/>
              <w:jc w:val="left"/>
              <w:outlineLvl w:val="9"/>
              <w:rPr>
                <w:rFonts w:hint="eastAsia" w:eastAsia="宋体" w:cs="宋体"/>
                <w:color w:val="000000"/>
                <w:kern w:val="0"/>
                <w:szCs w:val="21"/>
                <w:highlight w:val="none"/>
              </w:rPr>
            </w:pPr>
            <w:r>
              <w:rPr>
                <w:rFonts w:hint="eastAsia" w:eastAsia="宋体" w:cs="宋体"/>
                <w:color w:val="000000"/>
                <w:kern w:val="0"/>
                <w:szCs w:val="21"/>
                <w:highlight w:val="none"/>
              </w:rPr>
              <w:t>零售业</w:t>
            </w: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从业人员(X)</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人</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X≥300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50≤X＜300</w:t>
            </w:r>
          </w:p>
        </w:tc>
        <w:tc>
          <w:tcPr>
            <w:tcW w:w="1440" w:type="dxa"/>
            <w:noWrap w:val="0"/>
            <w:vAlign w:val="center"/>
          </w:tcPr>
          <w:p>
            <w:pPr>
              <w:widowControl/>
              <w:ind w:left="-1" w:leftChars="-1" w:hanging="1"/>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10≤X＜50 </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vMerge w:val="continue"/>
            <w:noWrap w:val="0"/>
            <w:vAlign w:val="center"/>
          </w:tcPr>
          <w:p>
            <w:pPr>
              <w:widowControl/>
              <w:jc w:val="left"/>
              <w:outlineLvl w:val="9"/>
              <w:rPr>
                <w:rFonts w:hint="eastAsia" w:eastAsia="宋体" w:cs="宋体"/>
                <w:color w:val="000000"/>
                <w:kern w:val="0"/>
                <w:szCs w:val="21"/>
                <w:highlight w:val="none"/>
              </w:rPr>
            </w:pP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营业收入(Y)</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万元</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Y≥20000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500≤Y＜20000</w:t>
            </w:r>
          </w:p>
        </w:tc>
        <w:tc>
          <w:tcPr>
            <w:tcW w:w="1440" w:type="dxa"/>
            <w:noWrap w:val="0"/>
            <w:vAlign w:val="center"/>
          </w:tcPr>
          <w:p>
            <w:pPr>
              <w:widowControl/>
              <w:ind w:left="-1" w:leftChars="-1" w:hanging="1"/>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100≤Y＜500 </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vMerge w:val="restart"/>
            <w:noWrap w:val="0"/>
            <w:vAlign w:val="center"/>
          </w:tcPr>
          <w:p>
            <w:pPr>
              <w:widowControl/>
              <w:jc w:val="left"/>
              <w:outlineLvl w:val="9"/>
              <w:rPr>
                <w:rFonts w:hint="eastAsia" w:eastAsia="宋体" w:cs="宋体"/>
                <w:color w:val="000000"/>
                <w:kern w:val="0"/>
                <w:szCs w:val="21"/>
                <w:highlight w:val="none"/>
              </w:rPr>
            </w:pPr>
            <w:r>
              <w:rPr>
                <w:rFonts w:hint="eastAsia" w:eastAsia="宋体" w:cs="宋体"/>
                <w:color w:val="000000"/>
                <w:kern w:val="0"/>
                <w:szCs w:val="21"/>
                <w:highlight w:val="none"/>
              </w:rPr>
              <w:t>交通运输业 *</w:t>
            </w: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从业人员(X)</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人</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X≥1000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300≤X＜1000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20≤X＜300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vMerge w:val="continue"/>
            <w:noWrap w:val="0"/>
            <w:vAlign w:val="center"/>
          </w:tcPr>
          <w:p>
            <w:pPr>
              <w:widowControl/>
              <w:jc w:val="left"/>
              <w:outlineLvl w:val="9"/>
              <w:rPr>
                <w:rFonts w:hint="eastAsia" w:eastAsia="宋体" w:cs="宋体"/>
                <w:color w:val="000000"/>
                <w:kern w:val="0"/>
                <w:szCs w:val="21"/>
                <w:highlight w:val="none"/>
              </w:rPr>
            </w:pP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营业收入(Y)</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万元</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Y≥30000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3000≤Y＜30000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200≤Y＜3000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vMerge w:val="restart"/>
            <w:noWrap w:val="0"/>
            <w:vAlign w:val="center"/>
          </w:tcPr>
          <w:p>
            <w:pPr>
              <w:widowControl/>
              <w:jc w:val="left"/>
              <w:outlineLvl w:val="9"/>
              <w:rPr>
                <w:rFonts w:hint="eastAsia" w:eastAsia="宋体" w:cs="宋体"/>
                <w:color w:val="000000"/>
                <w:kern w:val="0"/>
                <w:szCs w:val="21"/>
                <w:highlight w:val="none"/>
              </w:rPr>
            </w:pPr>
            <w:r>
              <w:rPr>
                <w:rFonts w:hint="eastAsia" w:eastAsia="宋体" w:cs="宋体"/>
                <w:color w:val="000000"/>
                <w:kern w:val="0"/>
                <w:szCs w:val="21"/>
                <w:highlight w:val="none"/>
              </w:rPr>
              <w:t>仓储业*</w:t>
            </w: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从业人员(X)</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人</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X≥200</w:t>
            </w:r>
          </w:p>
        </w:tc>
        <w:tc>
          <w:tcPr>
            <w:tcW w:w="1440" w:type="dxa"/>
            <w:noWrap w:val="0"/>
            <w:vAlign w:val="center"/>
          </w:tcPr>
          <w:p>
            <w:pPr>
              <w:widowControl/>
              <w:ind w:left="19" w:leftChars="-51" w:hanging="126" w:hangingChars="60"/>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100≤X＜200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20≤X＜100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vMerge w:val="continue"/>
            <w:noWrap w:val="0"/>
            <w:vAlign w:val="center"/>
          </w:tcPr>
          <w:p>
            <w:pPr>
              <w:widowControl/>
              <w:jc w:val="left"/>
              <w:outlineLvl w:val="9"/>
              <w:rPr>
                <w:rFonts w:hint="eastAsia" w:eastAsia="宋体" w:cs="宋体"/>
                <w:color w:val="000000"/>
                <w:kern w:val="0"/>
                <w:szCs w:val="21"/>
                <w:highlight w:val="none"/>
              </w:rPr>
            </w:pP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营业收入(Y)</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万元</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Y≥30000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1000≤Y＜30000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100≤Y＜1000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vMerge w:val="restart"/>
            <w:noWrap w:val="0"/>
            <w:vAlign w:val="center"/>
          </w:tcPr>
          <w:p>
            <w:pPr>
              <w:widowControl/>
              <w:jc w:val="left"/>
              <w:outlineLvl w:val="9"/>
              <w:rPr>
                <w:rFonts w:hint="eastAsia" w:eastAsia="宋体" w:cs="宋体"/>
                <w:color w:val="000000"/>
                <w:kern w:val="0"/>
                <w:szCs w:val="21"/>
                <w:highlight w:val="none"/>
              </w:rPr>
            </w:pPr>
            <w:r>
              <w:rPr>
                <w:rFonts w:hint="eastAsia" w:eastAsia="宋体" w:cs="宋体"/>
                <w:color w:val="000000"/>
                <w:kern w:val="0"/>
                <w:szCs w:val="21"/>
                <w:highlight w:val="none"/>
              </w:rPr>
              <w:t>邮政业</w:t>
            </w: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从业人员(X)</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人</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X≥1000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300≤X＜1000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20≤X＜300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vMerge w:val="continue"/>
            <w:noWrap w:val="0"/>
            <w:vAlign w:val="center"/>
          </w:tcPr>
          <w:p>
            <w:pPr>
              <w:widowControl/>
              <w:jc w:val="left"/>
              <w:outlineLvl w:val="9"/>
              <w:rPr>
                <w:rFonts w:hint="eastAsia" w:eastAsia="宋体" w:cs="宋体"/>
                <w:color w:val="000000"/>
                <w:kern w:val="0"/>
                <w:szCs w:val="21"/>
                <w:highlight w:val="none"/>
              </w:rPr>
            </w:pP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营业收入(Y)</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万元</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Y≥30000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2000≤Y＜30000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100≤Y＜2000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vMerge w:val="restart"/>
            <w:noWrap w:val="0"/>
            <w:vAlign w:val="center"/>
          </w:tcPr>
          <w:p>
            <w:pPr>
              <w:widowControl/>
              <w:jc w:val="left"/>
              <w:outlineLvl w:val="9"/>
              <w:rPr>
                <w:rFonts w:hint="eastAsia" w:eastAsia="宋体" w:cs="宋体"/>
                <w:color w:val="000000"/>
                <w:kern w:val="0"/>
                <w:szCs w:val="21"/>
                <w:highlight w:val="none"/>
              </w:rPr>
            </w:pPr>
            <w:r>
              <w:rPr>
                <w:rFonts w:hint="eastAsia" w:eastAsia="宋体" w:cs="宋体"/>
                <w:color w:val="000000"/>
                <w:kern w:val="0"/>
                <w:szCs w:val="21"/>
                <w:highlight w:val="none"/>
              </w:rPr>
              <w:t>住宿业</w:t>
            </w: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从业人员(X)</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人</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X≥300</w:t>
            </w:r>
          </w:p>
        </w:tc>
        <w:tc>
          <w:tcPr>
            <w:tcW w:w="1440" w:type="dxa"/>
            <w:noWrap w:val="0"/>
            <w:vAlign w:val="center"/>
          </w:tcPr>
          <w:p>
            <w:pPr>
              <w:widowControl/>
              <w:ind w:left="19" w:leftChars="-51" w:hanging="126" w:hangingChars="60"/>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100≤X＜300 </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10≤X＜100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vMerge w:val="continue"/>
            <w:noWrap w:val="0"/>
            <w:vAlign w:val="center"/>
          </w:tcPr>
          <w:p>
            <w:pPr>
              <w:widowControl/>
              <w:jc w:val="left"/>
              <w:outlineLvl w:val="9"/>
              <w:rPr>
                <w:rFonts w:hint="eastAsia" w:eastAsia="宋体" w:cs="宋体"/>
                <w:color w:val="000000"/>
                <w:kern w:val="0"/>
                <w:szCs w:val="21"/>
                <w:highlight w:val="none"/>
              </w:rPr>
            </w:pP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营业收入(Y)</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万元</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Y≥10000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2000≤Y＜10000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100≤Y＜2000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vMerge w:val="restart"/>
            <w:noWrap w:val="0"/>
            <w:vAlign w:val="center"/>
          </w:tcPr>
          <w:p>
            <w:pPr>
              <w:widowControl/>
              <w:jc w:val="left"/>
              <w:outlineLvl w:val="9"/>
              <w:rPr>
                <w:rFonts w:hint="eastAsia" w:eastAsia="宋体" w:cs="宋体"/>
                <w:color w:val="000000"/>
                <w:kern w:val="0"/>
                <w:szCs w:val="21"/>
                <w:highlight w:val="none"/>
              </w:rPr>
            </w:pPr>
            <w:r>
              <w:rPr>
                <w:rFonts w:hint="eastAsia" w:eastAsia="宋体" w:cs="宋体"/>
                <w:color w:val="000000"/>
                <w:kern w:val="0"/>
                <w:szCs w:val="21"/>
                <w:highlight w:val="none"/>
              </w:rPr>
              <w:t>餐饮业</w:t>
            </w: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从业人员(X)</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人</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X≥300</w:t>
            </w:r>
          </w:p>
        </w:tc>
        <w:tc>
          <w:tcPr>
            <w:tcW w:w="1440" w:type="dxa"/>
            <w:noWrap w:val="0"/>
            <w:vAlign w:val="center"/>
          </w:tcPr>
          <w:p>
            <w:pPr>
              <w:widowControl/>
              <w:ind w:left="19" w:leftChars="-51" w:hanging="126" w:hangingChars="60"/>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100≤X＜300 </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10≤X＜100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vMerge w:val="continue"/>
            <w:noWrap w:val="0"/>
            <w:vAlign w:val="center"/>
          </w:tcPr>
          <w:p>
            <w:pPr>
              <w:widowControl/>
              <w:jc w:val="left"/>
              <w:outlineLvl w:val="9"/>
              <w:rPr>
                <w:rFonts w:hint="eastAsia" w:eastAsia="宋体" w:cs="宋体"/>
                <w:color w:val="000000"/>
                <w:kern w:val="0"/>
                <w:szCs w:val="21"/>
                <w:highlight w:val="none"/>
              </w:rPr>
            </w:pP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营业收入(Y)</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万元</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Y≥10000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2000≤Y＜10000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100≤Y＜2000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vMerge w:val="restart"/>
            <w:noWrap w:val="0"/>
            <w:vAlign w:val="center"/>
          </w:tcPr>
          <w:p>
            <w:pPr>
              <w:widowControl/>
              <w:jc w:val="left"/>
              <w:outlineLvl w:val="9"/>
              <w:rPr>
                <w:rFonts w:hint="eastAsia" w:eastAsia="宋体" w:cs="宋体"/>
                <w:color w:val="000000"/>
                <w:kern w:val="0"/>
                <w:szCs w:val="21"/>
                <w:highlight w:val="none"/>
              </w:rPr>
            </w:pPr>
            <w:r>
              <w:rPr>
                <w:rFonts w:hint="eastAsia" w:eastAsia="宋体" w:cs="宋体"/>
                <w:color w:val="000000"/>
                <w:kern w:val="0"/>
                <w:szCs w:val="21"/>
                <w:highlight w:val="none"/>
              </w:rPr>
              <w:t>信息传输业 *</w:t>
            </w: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从业人员(X)</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人</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X≥2000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100≤X＜2000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10≤X＜100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vMerge w:val="continue"/>
            <w:noWrap w:val="0"/>
            <w:vAlign w:val="center"/>
          </w:tcPr>
          <w:p>
            <w:pPr>
              <w:widowControl/>
              <w:jc w:val="left"/>
              <w:outlineLvl w:val="9"/>
              <w:rPr>
                <w:rFonts w:hint="eastAsia" w:eastAsia="宋体" w:cs="宋体"/>
                <w:color w:val="000000"/>
                <w:kern w:val="0"/>
                <w:szCs w:val="21"/>
                <w:highlight w:val="none"/>
              </w:rPr>
            </w:pP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营业收入(Y)</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万元</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Y≥100000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1000≤Y＜100000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100≤Y＜1000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16" w:type="dxa"/>
            <w:vMerge w:val="restart"/>
            <w:noWrap w:val="0"/>
            <w:vAlign w:val="center"/>
          </w:tcPr>
          <w:p>
            <w:pPr>
              <w:widowControl/>
              <w:jc w:val="left"/>
              <w:outlineLvl w:val="9"/>
              <w:rPr>
                <w:rFonts w:hint="eastAsia" w:eastAsia="宋体" w:cs="宋体"/>
                <w:color w:val="000000"/>
                <w:spacing w:val="-12"/>
                <w:kern w:val="0"/>
                <w:szCs w:val="21"/>
                <w:highlight w:val="none"/>
              </w:rPr>
            </w:pPr>
            <w:r>
              <w:rPr>
                <w:rFonts w:hint="eastAsia" w:eastAsia="宋体" w:cs="宋体"/>
                <w:color w:val="000000"/>
                <w:spacing w:val="-12"/>
                <w:kern w:val="0"/>
                <w:szCs w:val="21"/>
                <w:highlight w:val="none"/>
              </w:rPr>
              <w:t>软件和信息技术服</w:t>
            </w:r>
            <w:r>
              <w:rPr>
                <w:rFonts w:hint="eastAsia" w:eastAsia="宋体" w:cs="宋体"/>
                <w:color w:val="000000"/>
                <w:kern w:val="0"/>
                <w:szCs w:val="21"/>
                <w:highlight w:val="none"/>
              </w:rPr>
              <w:t>务业</w:t>
            </w: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从业人员(X)</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人</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X≥300</w:t>
            </w:r>
          </w:p>
        </w:tc>
        <w:tc>
          <w:tcPr>
            <w:tcW w:w="1440" w:type="dxa"/>
            <w:noWrap w:val="0"/>
            <w:vAlign w:val="center"/>
          </w:tcPr>
          <w:p>
            <w:pPr>
              <w:widowControl/>
              <w:ind w:left="19" w:leftChars="-51" w:hanging="126" w:hangingChars="60"/>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100≤X＜300 </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10≤X＜100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16" w:type="dxa"/>
            <w:vMerge w:val="continue"/>
            <w:noWrap w:val="0"/>
            <w:vAlign w:val="center"/>
          </w:tcPr>
          <w:p>
            <w:pPr>
              <w:widowControl/>
              <w:jc w:val="left"/>
              <w:outlineLvl w:val="9"/>
              <w:rPr>
                <w:rFonts w:hint="eastAsia" w:eastAsia="宋体" w:cs="宋体"/>
                <w:color w:val="000000"/>
                <w:spacing w:val="-12"/>
                <w:kern w:val="0"/>
                <w:szCs w:val="21"/>
                <w:highlight w:val="none"/>
              </w:rPr>
            </w:pP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营业收入(Y)</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万元</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Y≥10000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1000≤Y＜10000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50≤Y＜1000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16" w:type="dxa"/>
            <w:vMerge w:val="restart"/>
            <w:noWrap w:val="0"/>
            <w:vAlign w:val="center"/>
          </w:tcPr>
          <w:p>
            <w:pPr>
              <w:widowControl/>
              <w:jc w:val="left"/>
              <w:outlineLvl w:val="9"/>
              <w:rPr>
                <w:rFonts w:hint="eastAsia" w:eastAsia="宋体" w:cs="宋体"/>
                <w:color w:val="000000"/>
                <w:kern w:val="0"/>
                <w:szCs w:val="21"/>
                <w:highlight w:val="none"/>
              </w:rPr>
            </w:pPr>
            <w:r>
              <w:rPr>
                <w:rFonts w:hint="eastAsia" w:eastAsia="宋体" w:cs="宋体"/>
                <w:color w:val="000000"/>
                <w:kern w:val="0"/>
                <w:szCs w:val="21"/>
                <w:highlight w:val="none"/>
              </w:rPr>
              <w:t>房地产开发经营</w:t>
            </w: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营业收入(Y)</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万元</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Y≥200000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1000≤Y＜200000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100≤Y＜1000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16" w:type="dxa"/>
            <w:vMerge w:val="continue"/>
            <w:noWrap w:val="0"/>
            <w:vAlign w:val="center"/>
          </w:tcPr>
          <w:p>
            <w:pPr>
              <w:widowControl/>
              <w:jc w:val="left"/>
              <w:outlineLvl w:val="9"/>
              <w:rPr>
                <w:rFonts w:hint="eastAsia" w:eastAsia="宋体" w:cs="宋体"/>
                <w:color w:val="000000"/>
                <w:kern w:val="0"/>
                <w:szCs w:val="21"/>
                <w:highlight w:val="none"/>
              </w:rPr>
            </w:pP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资产总额(Z)</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万元</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Z≥10000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5000≤Z＜10000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2000≤Z＜5000   </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Z＜2000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16" w:type="dxa"/>
            <w:vMerge w:val="restart"/>
            <w:noWrap w:val="0"/>
            <w:vAlign w:val="center"/>
          </w:tcPr>
          <w:p>
            <w:pPr>
              <w:widowControl/>
              <w:jc w:val="left"/>
              <w:outlineLvl w:val="9"/>
              <w:rPr>
                <w:rFonts w:hint="eastAsia" w:eastAsia="宋体" w:cs="宋体"/>
                <w:color w:val="000000"/>
                <w:kern w:val="0"/>
                <w:szCs w:val="21"/>
                <w:highlight w:val="none"/>
              </w:rPr>
            </w:pPr>
            <w:r>
              <w:rPr>
                <w:rFonts w:hint="eastAsia" w:eastAsia="宋体" w:cs="宋体"/>
                <w:color w:val="000000"/>
                <w:kern w:val="0"/>
                <w:szCs w:val="21"/>
                <w:highlight w:val="none"/>
              </w:rPr>
              <w:t>物业管理</w:t>
            </w: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从业人员(X)</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人</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X≥1000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300≤X＜1000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100≤X＜300 </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16" w:type="dxa"/>
            <w:vMerge w:val="continue"/>
            <w:noWrap w:val="0"/>
            <w:vAlign w:val="center"/>
          </w:tcPr>
          <w:p>
            <w:pPr>
              <w:widowControl/>
              <w:jc w:val="left"/>
              <w:outlineLvl w:val="9"/>
              <w:rPr>
                <w:rFonts w:hint="eastAsia" w:eastAsia="宋体" w:cs="宋体"/>
                <w:color w:val="000000"/>
                <w:kern w:val="0"/>
                <w:szCs w:val="21"/>
                <w:highlight w:val="none"/>
              </w:rPr>
            </w:pP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营业收入(Y)</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万元</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Y≥5000</w:t>
            </w:r>
          </w:p>
        </w:tc>
        <w:tc>
          <w:tcPr>
            <w:tcW w:w="1440" w:type="dxa"/>
            <w:noWrap w:val="0"/>
            <w:vAlign w:val="center"/>
          </w:tcPr>
          <w:p>
            <w:pPr>
              <w:widowControl/>
              <w:ind w:left="19" w:leftChars="-51" w:hanging="126" w:hangingChars="60"/>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1000≤Y＜5000 </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500≤Y＜1000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Y＜500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16" w:type="dxa"/>
            <w:vMerge w:val="restart"/>
            <w:noWrap w:val="0"/>
            <w:vAlign w:val="center"/>
          </w:tcPr>
          <w:p>
            <w:pPr>
              <w:widowControl/>
              <w:jc w:val="left"/>
              <w:outlineLvl w:val="9"/>
              <w:rPr>
                <w:rFonts w:hint="eastAsia" w:eastAsia="宋体" w:cs="宋体"/>
                <w:color w:val="000000"/>
                <w:kern w:val="0"/>
                <w:szCs w:val="21"/>
                <w:highlight w:val="none"/>
              </w:rPr>
            </w:pPr>
            <w:r>
              <w:rPr>
                <w:rFonts w:hint="eastAsia" w:eastAsia="宋体" w:cs="宋体"/>
                <w:color w:val="000000"/>
                <w:kern w:val="0"/>
                <w:szCs w:val="21"/>
                <w:highlight w:val="none"/>
              </w:rPr>
              <w:t>租赁和商务服务业</w:t>
            </w: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从业人员(X)</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人</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X≥300</w:t>
            </w:r>
          </w:p>
        </w:tc>
        <w:tc>
          <w:tcPr>
            <w:tcW w:w="1440" w:type="dxa"/>
            <w:noWrap w:val="0"/>
            <w:vAlign w:val="center"/>
          </w:tcPr>
          <w:p>
            <w:pPr>
              <w:widowControl/>
              <w:ind w:left="19" w:leftChars="-51" w:hanging="126" w:hangingChars="60"/>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100≤X＜300 </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10≤X＜100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16" w:type="dxa"/>
            <w:vMerge w:val="continue"/>
            <w:noWrap w:val="0"/>
            <w:vAlign w:val="center"/>
          </w:tcPr>
          <w:p>
            <w:pPr>
              <w:widowControl/>
              <w:jc w:val="left"/>
              <w:outlineLvl w:val="9"/>
              <w:rPr>
                <w:rFonts w:hint="eastAsia" w:eastAsia="宋体" w:cs="宋体"/>
                <w:color w:val="000000"/>
                <w:kern w:val="0"/>
                <w:szCs w:val="21"/>
                <w:highlight w:val="none"/>
              </w:rPr>
            </w:pP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资产总额(Z)</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万元</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Z≥120000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8000≤Z＜120000</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100≤Z＜8000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Z＜100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16" w:type="dxa"/>
            <w:noWrap w:val="0"/>
            <w:vAlign w:val="center"/>
          </w:tcPr>
          <w:p>
            <w:pPr>
              <w:widowControl/>
              <w:jc w:val="left"/>
              <w:outlineLvl w:val="9"/>
              <w:rPr>
                <w:rFonts w:hint="eastAsia" w:eastAsia="宋体" w:cs="宋体"/>
                <w:color w:val="000000"/>
                <w:kern w:val="0"/>
                <w:szCs w:val="21"/>
                <w:highlight w:val="none"/>
              </w:rPr>
            </w:pPr>
            <w:r>
              <w:rPr>
                <w:rFonts w:hint="eastAsia" w:eastAsia="宋体" w:cs="宋体"/>
                <w:color w:val="000000"/>
                <w:kern w:val="0"/>
                <w:szCs w:val="21"/>
                <w:highlight w:val="none"/>
              </w:rPr>
              <w:t>其他未列明行业 *</w:t>
            </w:r>
          </w:p>
        </w:tc>
        <w:tc>
          <w:tcPr>
            <w:tcW w:w="1675"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从业人员(X)</w:t>
            </w:r>
          </w:p>
        </w:tc>
        <w:tc>
          <w:tcPr>
            <w:tcW w:w="81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人</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X≥300</w:t>
            </w:r>
          </w:p>
        </w:tc>
        <w:tc>
          <w:tcPr>
            <w:tcW w:w="1440" w:type="dxa"/>
            <w:noWrap w:val="0"/>
            <w:vAlign w:val="center"/>
          </w:tcPr>
          <w:p>
            <w:pPr>
              <w:widowControl/>
              <w:ind w:left="19" w:leftChars="-51" w:hanging="126" w:hangingChars="60"/>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100≤X＜300 </w:t>
            </w:r>
          </w:p>
        </w:tc>
        <w:tc>
          <w:tcPr>
            <w:tcW w:w="1440"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 xml:space="preserve"> 10≤X＜100</w:t>
            </w:r>
          </w:p>
        </w:tc>
        <w:tc>
          <w:tcPr>
            <w:tcW w:w="1443" w:type="dxa"/>
            <w:noWrap w:val="0"/>
            <w:vAlign w:val="center"/>
          </w:tcPr>
          <w:p>
            <w:pPr>
              <w:widowControl/>
              <w:jc w:val="center"/>
              <w:outlineLvl w:val="9"/>
              <w:rPr>
                <w:rFonts w:hint="eastAsia" w:eastAsia="宋体" w:cs="宋体"/>
                <w:color w:val="000000"/>
                <w:kern w:val="0"/>
                <w:szCs w:val="21"/>
                <w:highlight w:val="none"/>
              </w:rPr>
            </w:pPr>
            <w:r>
              <w:rPr>
                <w:rFonts w:hint="eastAsia" w:eastAsia="宋体" w:cs="宋体"/>
                <w:color w:val="000000"/>
                <w:kern w:val="0"/>
                <w:szCs w:val="21"/>
                <w:highlight w:val="none"/>
              </w:rPr>
              <w:t>X＜10</w:t>
            </w:r>
          </w:p>
        </w:tc>
      </w:tr>
    </w:tbl>
    <w:p>
      <w:pPr>
        <w:pStyle w:val="7"/>
        <w:spacing w:line="360" w:lineRule="auto"/>
        <w:rPr>
          <w:rFonts w:hint="eastAsia" w:ascii="宋体" w:hAnsi="宋体" w:eastAsia="宋体" w:cs="宋体"/>
          <w:b/>
          <w:bCs/>
          <w:sz w:val="21"/>
          <w:szCs w:val="21"/>
          <w:highlight w:val="none"/>
          <w:lang w:eastAsia="zh-CN"/>
        </w:rPr>
      </w:pPr>
    </w:p>
    <w:p>
      <w:pPr>
        <w:pStyle w:val="8"/>
        <w:rPr>
          <w:rFonts w:hint="eastAsia" w:ascii="宋体" w:hAnsi="宋体" w:eastAsia="宋体" w:cs="宋体"/>
          <w:b/>
          <w:bCs/>
          <w:sz w:val="21"/>
          <w:szCs w:val="21"/>
          <w:highlight w:val="none"/>
          <w:lang w:eastAsia="zh-CN"/>
        </w:rPr>
      </w:pPr>
    </w:p>
    <w:p>
      <w:pPr>
        <w:rPr>
          <w:rFonts w:hint="default" w:ascii="宋体" w:hAnsi="宋体" w:eastAsia="宋体" w:cs="宋体"/>
          <w:b/>
          <w:bCs/>
          <w:sz w:val="21"/>
          <w:szCs w:val="21"/>
          <w:highlight w:val="none"/>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360"/>
      <w:jc w:val="right"/>
      <w:rPr>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596558"/>
    <w:multiLevelType w:val="singleLevel"/>
    <w:tmpl w:val="AF596558"/>
    <w:lvl w:ilvl="0" w:tentative="0">
      <w:start w:val="7"/>
      <w:numFmt w:val="chineseCounting"/>
      <w:suff w:val="nothing"/>
      <w:lvlText w:val="%1、"/>
      <w:lvlJc w:val="left"/>
      <w:rPr>
        <w:rFonts w:hint="eastAsia"/>
      </w:rPr>
    </w:lvl>
  </w:abstractNum>
  <w:abstractNum w:abstractNumId="1">
    <w:nsid w:val="AFF70C46"/>
    <w:multiLevelType w:val="singleLevel"/>
    <w:tmpl w:val="AFF70C46"/>
    <w:lvl w:ilvl="0" w:tentative="0">
      <w:start w:val="1"/>
      <w:numFmt w:val="decimal"/>
      <w:suff w:val="space"/>
      <w:lvlText w:val="%1."/>
      <w:lvlJc w:val="left"/>
    </w:lvl>
  </w:abstractNum>
  <w:abstractNum w:abstractNumId="2">
    <w:nsid w:val="CC226A5C"/>
    <w:multiLevelType w:val="singleLevel"/>
    <w:tmpl w:val="CC226A5C"/>
    <w:lvl w:ilvl="0" w:tentative="0">
      <w:start w:val="1"/>
      <w:numFmt w:val="chineseCounting"/>
      <w:suff w:val="nothing"/>
      <w:lvlText w:val="%1、"/>
      <w:lvlJc w:val="left"/>
      <w:rPr>
        <w:rFonts w:hint="eastAsia"/>
      </w:rPr>
    </w:lvl>
  </w:abstractNum>
  <w:abstractNum w:abstractNumId="3">
    <w:nsid w:val="F2DA7E5F"/>
    <w:multiLevelType w:val="singleLevel"/>
    <w:tmpl w:val="F2DA7E5F"/>
    <w:lvl w:ilvl="0" w:tentative="0">
      <w:start w:val="19"/>
      <w:numFmt w:val="chineseCounting"/>
      <w:suff w:val="nothing"/>
      <w:lvlText w:val="%1、"/>
      <w:lvlJc w:val="left"/>
      <w:rPr>
        <w:rFonts w:hint="eastAsia"/>
      </w:rPr>
    </w:lvl>
  </w:abstractNum>
  <w:abstractNum w:abstractNumId="4">
    <w:nsid w:val="0000000C"/>
    <w:multiLevelType w:val="multilevel"/>
    <w:tmpl w:val="0000000C"/>
    <w:lvl w:ilvl="0" w:tentative="0">
      <w:start w:val="1"/>
      <w:numFmt w:val="japaneseCounting"/>
      <w:lvlText w:val="第%1章"/>
      <w:lvlJc w:val="left"/>
      <w:pPr>
        <w:tabs>
          <w:tab w:val="left" w:pos="1605"/>
        </w:tabs>
        <w:ind w:left="1605" w:hanging="960"/>
      </w:pPr>
      <w:rPr>
        <w:rFonts w:hint="eastAsia"/>
      </w:rPr>
    </w:lvl>
    <w:lvl w:ilvl="1" w:tentative="0">
      <w:start w:val="1"/>
      <w:numFmt w:val="japaneseCounting"/>
      <w:lvlText w:val="%2、"/>
      <w:lvlJc w:val="left"/>
      <w:pPr>
        <w:tabs>
          <w:tab w:val="left" w:pos="1365"/>
        </w:tabs>
        <w:ind w:left="1365" w:hanging="525"/>
      </w:pPr>
      <w:rPr>
        <w:rFonts w:hint="default"/>
      </w:r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420"/>
        </w:tabs>
        <w:ind w:left="420"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5">
    <w:nsid w:val="00F67C5B"/>
    <w:multiLevelType w:val="multilevel"/>
    <w:tmpl w:val="00F67C5B"/>
    <w:lvl w:ilvl="0" w:tentative="0">
      <w:start w:val="8"/>
      <w:numFmt w:val="decimal"/>
      <w:lvlText w:val="%1"/>
      <w:lvlJc w:val="left"/>
      <w:pPr>
        <w:tabs>
          <w:tab w:val="left" w:pos="360"/>
        </w:tabs>
        <w:ind w:left="360" w:hanging="360"/>
      </w:pPr>
      <w:rPr>
        <w:rFonts w:hint="default"/>
        <w:b/>
      </w:rPr>
    </w:lvl>
    <w:lvl w:ilvl="1" w:tentative="0">
      <w:start w:val="1"/>
      <w:numFmt w:val="decimal"/>
      <w:lvlText w:val="%1.%2"/>
      <w:lvlJc w:val="left"/>
      <w:pPr>
        <w:tabs>
          <w:tab w:val="left" w:pos="360"/>
        </w:tabs>
        <w:ind w:left="360" w:hanging="360"/>
      </w:pPr>
      <w:rPr>
        <w:rFonts w:hint="default"/>
        <w:b w:val="0"/>
      </w:rPr>
    </w:lvl>
    <w:lvl w:ilvl="2" w:tentative="0">
      <w:start w:val="1"/>
      <w:numFmt w:val="decimal"/>
      <w:lvlText w:val="%1.%2.%3"/>
      <w:lvlJc w:val="left"/>
      <w:pPr>
        <w:tabs>
          <w:tab w:val="left" w:pos="720"/>
        </w:tabs>
        <w:ind w:left="720" w:hanging="720"/>
      </w:pPr>
      <w:rPr>
        <w:rFonts w:hint="default"/>
        <w:b/>
      </w:rPr>
    </w:lvl>
    <w:lvl w:ilvl="3" w:tentative="0">
      <w:start w:val="1"/>
      <w:numFmt w:val="decimal"/>
      <w:lvlText w:val="%1.%2.%3.%4"/>
      <w:lvlJc w:val="left"/>
      <w:pPr>
        <w:tabs>
          <w:tab w:val="left" w:pos="1080"/>
        </w:tabs>
        <w:ind w:left="1080" w:hanging="1080"/>
      </w:pPr>
      <w:rPr>
        <w:rFonts w:hint="default"/>
        <w:b/>
      </w:rPr>
    </w:lvl>
    <w:lvl w:ilvl="4" w:tentative="0">
      <w:start w:val="1"/>
      <w:numFmt w:val="decimal"/>
      <w:lvlText w:val="%1.%2.%3.%4.%5"/>
      <w:lvlJc w:val="left"/>
      <w:pPr>
        <w:tabs>
          <w:tab w:val="left" w:pos="1080"/>
        </w:tabs>
        <w:ind w:left="1080" w:hanging="1080"/>
      </w:pPr>
      <w:rPr>
        <w:rFonts w:hint="default"/>
        <w:b/>
      </w:rPr>
    </w:lvl>
    <w:lvl w:ilvl="5" w:tentative="0">
      <w:start w:val="1"/>
      <w:numFmt w:val="decimal"/>
      <w:lvlText w:val="%1.%2.%3.%4.%5.%6"/>
      <w:lvlJc w:val="left"/>
      <w:pPr>
        <w:tabs>
          <w:tab w:val="left" w:pos="1440"/>
        </w:tabs>
        <w:ind w:left="1440" w:hanging="1440"/>
      </w:pPr>
      <w:rPr>
        <w:rFonts w:hint="default"/>
        <w:b/>
      </w:rPr>
    </w:lvl>
    <w:lvl w:ilvl="6" w:tentative="0">
      <w:start w:val="1"/>
      <w:numFmt w:val="decimal"/>
      <w:lvlText w:val="%1.%2.%3.%4.%5.%6.%7"/>
      <w:lvlJc w:val="left"/>
      <w:pPr>
        <w:tabs>
          <w:tab w:val="left" w:pos="1440"/>
        </w:tabs>
        <w:ind w:left="1440" w:hanging="1440"/>
      </w:pPr>
      <w:rPr>
        <w:rFonts w:hint="default"/>
        <w:b/>
      </w:rPr>
    </w:lvl>
    <w:lvl w:ilvl="7" w:tentative="0">
      <w:start w:val="1"/>
      <w:numFmt w:val="decimal"/>
      <w:lvlText w:val="%1.%2.%3.%4.%5.%6.%7.%8"/>
      <w:lvlJc w:val="left"/>
      <w:pPr>
        <w:tabs>
          <w:tab w:val="left" w:pos="1800"/>
        </w:tabs>
        <w:ind w:left="1800" w:hanging="1800"/>
      </w:pPr>
      <w:rPr>
        <w:rFonts w:hint="default"/>
        <w:b/>
      </w:rPr>
    </w:lvl>
    <w:lvl w:ilvl="8" w:tentative="0">
      <w:start w:val="1"/>
      <w:numFmt w:val="decimal"/>
      <w:lvlText w:val="%1.%2.%3.%4.%5.%6.%7.%8.%9"/>
      <w:lvlJc w:val="left"/>
      <w:pPr>
        <w:tabs>
          <w:tab w:val="left" w:pos="1800"/>
        </w:tabs>
        <w:ind w:left="1800" w:hanging="1800"/>
      </w:pPr>
      <w:rPr>
        <w:rFonts w:hint="default"/>
        <w:b/>
      </w:rPr>
    </w:lvl>
  </w:abstractNum>
  <w:abstractNum w:abstractNumId="6">
    <w:nsid w:val="044F5BAD"/>
    <w:multiLevelType w:val="singleLevel"/>
    <w:tmpl w:val="044F5BAD"/>
    <w:lvl w:ilvl="0" w:tentative="0">
      <w:start w:val="1"/>
      <w:numFmt w:val="decimal"/>
      <w:suff w:val="nothing"/>
      <w:lvlText w:val="（%1）"/>
      <w:lvlJc w:val="left"/>
    </w:lvl>
  </w:abstractNum>
  <w:abstractNum w:abstractNumId="7">
    <w:nsid w:val="06F92C31"/>
    <w:multiLevelType w:val="multilevel"/>
    <w:tmpl w:val="06F92C31"/>
    <w:lvl w:ilvl="0" w:tentative="0">
      <w:start w:val="10"/>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8">
    <w:nsid w:val="11726340"/>
    <w:multiLevelType w:val="multilevel"/>
    <w:tmpl w:val="11726340"/>
    <w:lvl w:ilvl="0" w:tentative="0">
      <w:start w:val="15"/>
      <w:numFmt w:val="decimal"/>
      <w:lvlText w:val="%1"/>
      <w:lvlJc w:val="left"/>
      <w:pPr>
        <w:tabs>
          <w:tab w:val="left" w:pos="465"/>
        </w:tabs>
        <w:ind w:left="465" w:hanging="465"/>
      </w:pPr>
      <w:rPr>
        <w:rFonts w:hint="default"/>
      </w:rPr>
    </w:lvl>
    <w:lvl w:ilvl="1" w:tentative="0">
      <w:start w:val="1"/>
      <w:numFmt w:val="decimal"/>
      <w:lvlText w:val="%1.%2"/>
      <w:lvlJc w:val="left"/>
      <w:pPr>
        <w:tabs>
          <w:tab w:val="left" w:pos="465"/>
        </w:tabs>
        <w:ind w:left="465" w:hanging="465"/>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800"/>
        </w:tabs>
        <w:ind w:left="1800" w:hanging="180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2160"/>
        </w:tabs>
        <w:ind w:left="2160" w:hanging="2160"/>
      </w:pPr>
      <w:rPr>
        <w:rFonts w:hint="default"/>
      </w:rPr>
    </w:lvl>
  </w:abstractNum>
  <w:abstractNum w:abstractNumId="9">
    <w:nsid w:val="159114E6"/>
    <w:multiLevelType w:val="multilevel"/>
    <w:tmpl w:val="159114E6"/>
    <w:lvl w:ilvl="0" w:tentative="0">
      <w:start w:val="14"/>
      <w:numFmt w:val="decimal"/>
      <w:lvlText w:val="%1"/>
      <w:lvlJc w:val="left"/>
      <w:pPr>
        <w:tabs>
          <w:tab w:val="left" w:pos="465"/>
        </w:tabs>
        <w:ind w:left="465" w:hanging="465"/>
      </w:pPr>
      <w:rPr>
        <w:rFonts w:hint="default"/>
      </w:rPr>
    </w:lvl>
    <w:lvl w:ilvl="1" w:tentative="0">
      <w:start w:val="1"/>
      <w:numFmt w:val="decimal"/>
      <w:lvlText w:val="%1.%2"/>
      <w:lvlJc w:val="left"/>
      <w:pPr>
        <w:tabs>
          <w:tab w:val="left" w:pos="465"/>
        </w:tabs>
        <w:ind w:left="465" w:hanging="465"/>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800"/>
        </w:tabs>
        <w:ind w:left="1800" w:hanging="180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2160"/>
        </w:tabs>
        <w:ind w:left="2160" w:hanging="2160"/>
      </w:pPr>
      <w:rPr>
        <w:rFonts w:hint="default"/>
      </w:rPr>
    </w:lvl>
  </w:abstractNum>
  <w:abstractNum w:abstractNumId="10">
    <w:nsid w:val="1C8005C7"/>
    <w:multiLevelType w:val="multilevel"/>
    <w:tmpl w:val="1C8005C7"/>
    <w:lvl w:ilvl="0" w:tentative="0">
      <w:start w:val="1"/>
      <w:numFmt w:val="decimal"/>
      <w:lvlText w:val="%1、"/>
      <w:lvlJc w:val="left"/>
      <w:pPr>
        <w:tabs>
          <w:tab w:val="left" w:pos="540"/>
        </w:tabs>
        <w:ind w:left="540" w:hanging="360"/>
      </w:pPr>
      <w:rPr>
        <w:rFonts w:hint="default"/>
        <w:b/>
      </w:rPr>
    </w:lvl>
    <w:lvl w:ilvl="1" w:tentative="0">
      <w:start w:val="1"/>
      <w:numFmt w:val="decimal"/>
      <w:lvlText w:val="（%2）"/>
      <w:lvlJc w:val="left"/>
      <w:pPr>
        <w:tabs>
          <w:tab w:val="left" w:pos="1094"/>
        </w:tabs>
        <w:ind w:left="1094" w:hanging="674"/>
      </w:pPr>
      <w:rPr>
        <w:rFonts w:hint="default"/>
      </w:rPr>
    </w:lvl>
    <w:lvl w:ilvl="2" w:tentative="0">
      <w:start w:val="1"/>
      <w:numFmt w:val="lowerLetter"/>
      <w:lvlText w:val="%3）"/>
      <w:lvlJc w:val="left"/>
      <w:pPr>
        <w:tabs>
          <w:tab w:val="left" w:pos="1620"/>
        </w:tabs>
        <w:ind w:left="1620" w:hanging="360"/>
      </w:pPr>
      <w:rPr>
        <w:rFonts w:hint="default"/>
        <w:b w:val="0"/>
      </w:rPr>
    </w:lvl>
    <w:lvl w:ilvl="3" w:tentative="0">
      <w:start w:val="1"/>
      <w:numFmt w:val="decimal"/>
      <w:lvlText w:val="%4）"/>
      <w:lvlJc w:val="left"/>
      <w:pPr>
        <w:tabs>
          <w:tab w:val="left" w:pos="2040"/>
        </w:tabs>
        <w:ind w:left="2040" w:hanging="360"/>
      </w:pPr>
      <w:rPr>
        <w:rFonts w:hint="default"/>
      </w:rPr>
    </w:lvl>
    <w:lvl w:ilvl="4" w:tentative="0">
      <w:start w:val="1"/>
      <w:numFmt w:val="decimal"/>
      <w:lvlText w:val="%5."/>
      <w:lvlJc w:val="left"/>
      <w:pPr>
        <w:tabs>
          <w:tab w:val="left" w:pos="2460"/>
        </w:tabs>
        <w:ind w:left="2460" w:hanging="360"/>
      </w:pPr>
      <w:rPr>
        <w:rFonts w:hint="default"/>
        <w:b/>
        <w:sz w:val="24"/>
        <w:szCs w:val="24"/>
      </w:r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1">
    <w:nsid w:val="1E84619A"/>
    <w:multiLevelType w:val="singleLevel"/>
    <w:tmpl w:val="1E84619A"/>
    <w:lvl w:ilvl="0" w:tentative="0">
      <w:start w:val="1"/>
      <w:numFmt w:val="decimal"/>
      <w:suff w:val="nothing"/>
      <w:lvlText w:val="%1、"/>
      <w:lvlJc w:val="left"/>
    </w:lvl>
  </w:abstractNum>
  <w:abstractNum w:abstractNumId="12">
    <w:nsid w:val="22D913E6"/>
    <w:multiLevelType w:val="multilevel"/>
    <w:tmpl w:val="22D913E6"/>
    <w:lvl w:ilvl="0" w:tentative="0">
      <w:start w:val="1"/>
      <w:numFmt w:val="japaneseCounting"/>
      <w:lvlText w:val="第%1章"/>
      <w:lvlJc w:val="left"/>
      <w:pPr>
        <w:tabs>
          <w:tab w:val="left" w:pos="3615"/>
        </w:tabs>
        <w:ind w:left="3615" w:hanging="1455"/>
      </w:pPr>
      <w:rPr>
        <w:rFonts w:hint="default"/>
        <w:b/>
      </w:rPr>
    </w:lvl>
    <w:lvl w:ilvl="1" w:tentative="0">
      <w:start w:val="1"/>
      <w:numFmt w:val="decimal"/>
      <w:lvlText w:val="%2、"/>
      <w:lvlJc w:val="left"/>
      <w:pPr>
        <w:tabs>
          <w:tab w:val="left" w:pos="360"/>
        </w:tabs>
        <w:ind w:left="360" w:hanging="360"/>
      </w:pPr>
      <w:rPr>
        <w:rFonts w:hint="default"/>
      </w:rPr>
    </w:lvl>
    <w:lvl w:ilvl="2" w:tentative="0">
      <w:start w:val="1"/>
      <w:numFmt w:val="lowerRoman"/>
      <w:lvlText w:val="%3."/>
      <w:lvlJc w:val="right"/>
      <w:pPr>
        <w:tabs>
          <w:tab w:val="left" w:pos="3420"/>
        </w:tabs>
        <w:ind w:left="3420" w:hanging="420"/>
      </w:pPr>
    </w:lvl>
    <w:lvl w:ilvl="3" w:tentative="0">
      <w:start w:val="1"/>
      <w:numFmt w:val="japaneseCounting"/>
      <w:lvlText w:val="%4、"/>
      <w:lvlJc w:val="left"/>
      <w:pPr>
        <w:tabs>
          <w:tab w:val="left" w:pos="3840"/>
        </w:tabs>
        <w:ind w:left="3840" w:hanging="420"/>
      </w:pPr>
      <w:rPr>
        <w:rFonts w:hint="default"/>
      </w:rPr>
    </w:lvl>
    <w:lvl w:ilvl="4" w:tentative="0">
      <w:start w:val="1"/>
      <w:numFmt w:val="japaneseCounting"/>
      <w:lvlText w:val="（%5）"/>
      <w:lvlJc w:val="left"/>
      <w:pPr>
        <w:tabs>
          <w:tab w:val="left" w:pos="4560"/>
        </w:tabs>
        <w:ind w:left="4560" w:hanging="720"/>
      </w:pPr>
      <w:rPr>
        <w:rFonts w:hint="default"/>
      </w:rPr>
    </w:lvl>
    <w:lvl w:ilvl="5" w:tentative="0">
      <w:start w:val="1"/>
      <w:numFmt w:val="decimal"/>
      <w:lvlText w:val="%6）"/>
      <w:lvlJc w:val="left"/>
      <w:pPr>
        <w:tabs>
          <w:tab w:val="left" w:pos="4605"/>
        </w:tabs>
        <w:ind w:left="4605" w:hanging="345"/>
      </w:pPr>
      <w:rPr>
        <w:rFonts w:hint="default"/>
      </w:rPr>
    </w:lvl>
    <w:lvl w:ilvl="6" w:tentative="0">
      <w:start w:val="1"/>
      <w:numFmt w:val="decimal"/>
      <w:lvlText w:val="%7．"/>
      <w:lvlJc w:val="left"/>
      <w:pPr>
        <w:tabs>
          <w:tab w:val="left" w:pos="5040"/>
        </w:tabs>
        <w:ind w:left="5040" w:hanging="360"/>
      </w:pPr>
      <w:rPr>
        <w:rFonts w:hint="default"/>
      </w:rPr>
    </w:lvl>
    <w:lvl w:ilvl="7" w:tentative="0">
      <w:start w:val="1"/>
      <w:numFmt w:val="decimal"/>
      <w:lvlText w:val="%8."/>
      <w:lvlJc w:val="left"/>
      <w:pPr>
        <w:tabs>
          <w:tab w:val="left" w:pos="5460"/>
        </w:tabs>
        <w:ind w:left="5460" w:hanging="360"/>
      </w:pPr>
      <w:rPr>
        <w:rFonts w:hint="default"/>
      </w:rPr>
    </w:lvl>
    <w:lvl w:ilvl="8" w:tentative="0">
      <w:start w:val="1"/>
      <w:numFmt w:val="lowerRoman"/>
      <w:lvlText w:val="%9."/>
      <w:lvlJc w:val="right"/>
      <w:pPr>
        <w:tabs>
          <w:tab w:val="left" w:pos="5940"/>
        </w:tabs>
        <w:ind w:left="5940" w:hanging="420"/>
      </w:pPr>
    </w:lvl>
  </w:abstractNum>
  <w:abstractNum w:abstractNumId="13">
    <w:nsid w:val="2C7A7351"/>
    <w:multiLevelType w:val="multilevel"/>
    <w:tmpl w:val="2C7A7351"/>
    <w:lvl w:ilvl="0" w:tentative="0">
      <w:start w:val="21"/>
      <w:numFmt w:val="decimal"/>
      <w:lvlText w:val="%1"/>
      <w:lvlJc w:val="left"/>
      <w:pPr>
        <w:tabs>
          <w:tab w:val="left" w:pos="480"/>
        </w:tabs>
        <w:ind w:left="480" w:hanging="480"/>
      </w:pPr>
      <w:rPr>
        <w:rFonts w:hint="default"/>
      </w:rPr>
    </w:lvl>
    <w:lvl w:ilvl="1" w:tentative="0">
      <w:start w:val="1"/>
      <w:numFmt w:val="decimal"/>
      <w:lvlText w:val="%1.%2"/>
      <w:lvlJc w:val="left"/>
      <w:pPr>
        <w:tabs>
          <w:tab w:val="left" w:pos="480"/>
        </w:tabs>
        <w:ind w:left="480" w:hanging="480"/>
      </w:pPr>
      <w:rPr>
        <w:rFonts w:hint="default"/>
        <w:b w:val="0"/>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800"/>
        </w:tabs>
        <w:ind w:left="1800" w:hanging="180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2160"/>
        </w:tabs>
        <w:ind w:left="2160" w:hanging="2160"/>
      </w:pPr>
      <w:rPr>
        <w:rFonts w:hint="default"/>
      </w:rPr>
    </w:lvl>
  </w:abstractNum>
  <w:abstractNum w:abstractNumId="14">
    <w:nsid w:val="2F576453"/>
    <w:multiLevelType w:val="multilevel"/>
    <w:tmpl w:val="2F576453"/>
    <w:lvl w:ilvl="0" w:tentative="0">
      <w:start w:val="12"/>
      <w:numFmt w:val="decimal"/>
      <w:lvlText w:val="%1"/>
      <w:lvlJc w:val="left"/>
      <w:pPr>
        <w:tabs>
          <w:tab w:val="left" w:pos="465"/>
        </w:tabs>
        <w:ind w:left="465" w:hanging="465"/>
      </w:pPr>
      <w:rPr>
        <w:rFonts w:hint="default"/>
      </w:rPr>
    </w:lvl>
    <w:lvl w:ilvl="1" w:tentative="0">
      <w:start w:val="1"/>
      <w:numFmt w:val="decimal"/>
      <w:lvlText w:val="%1.%2"/>
      <w:lvlJc w:val="left"/>
      <w:pPr>
        <w:tabs>
          <w:tab w:val="left" w:pos="465"/>
        </w:tabs>
        <w:ind w:left="465" w:hanging="465"/>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800"/>
        </w:tabs>
        <w:ind w:left="1800" w:hanging="180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2160"/>
        </w:tabs>
        <w:ind w:left="2160" w:hanging="2160"/>
      </w:pPr>
      <w:rPr>
        <w:rFonts w:hint="default"/>
      </w:rPr>
    </w:lvl>
  </w:abstractNum>
  <w:abstractNum w:abstractNumId="15">
    <w:nsid w:val="44274878"/>
    <w:multiLevelType w:val="multilevel"/>
    <w:tmpl w:val="44274878"/>
    <w:lvl w:ilvl="0" w:tentative="0">
      <w:start w:val="27"/>
      <w:numFmt w:val="decimal"/>
      <w:lvlText w:val="%1"/>
      <w:lvlJc w:val="left"/>
      <w:pPr>
        <w:ind w:left="360" w:hanging="360"/>
      </w:pPr>
      <w:rPr>
        <w:rFonts w:hint="default"/>
      </w:rPr>
    </w:lvl>
    <w:lvl w:ilvl="1" w:tentative="0">
      <w:start w:val="1"/>
      <w:numFmt w:val="decimal"/>
      <w:isLgl/>
      <w:lvlText w:val="%1.%2"/>
      <w:lvlJc w:val="left"/>
      <w:pPr>
        <w:ind w:left="510" w:hanging="510"/>
      </w:pPr>
      <w:rPr>
        <w:rFonts w:hint="default"/>
      </w:rPr>
    </w:lvl>
    <w:lvl w:ilvl="2" w:tentative="0">
      <w:start w:val="1"/>
      <w:numFmt w:val="decimal"/>
      <w:isLgl/>
      <w:lvlText w:val="%1.%2.%3"/>
      <w:lvlJc w:val="left"/>
      <w:pPr>
        <w:ind w:left="510" w:hanging="510"/>
      </w:pPr>
      <w:rPr>
        <w:rFonts w:hint="default"/>
      </w:rPr>
    </w:lvl>
    <w:lvl w:ilvl="3" w:tentative="0">
      <w:start w:val="1"/>
      <w:numFmt w:val="decimal"/>
      <w:isLgl/>
      <w:lvlText w:val="%1.%2.%3.%4"/>
      <w:lvlJc w:val="left"/>
      <w:pPr>
        <w:ind w:left="510" w:hanging="510"/>
      </w:pPr>
      <w:rPr>
        <w:rFonts w:hint="default"/>
      </w:rPr>
    </w:lvl>
    <w:lvl w:ilvl="4" w:tentative="0">
      <w:start w:val="1"/>
      <w:numFmt w:val="decimal"/>
      <w:isLgl/>
      <w:lvlText w:val="%1.%2.%3.%4.%5"/>
      <w:lvlJc w:val="left"/>
      <w:pPr>
        <w:ind w:left="510" w:hanging="510"/>
      </w:pPr>
      <w:rPr>
        <w:rFonts w:hint="default"/>
      </w:rPr>
    </w:lvl>
    <w:lvl w:ilvl="5" w:tentative="0">
      <w:start w:val="1"/>
      <w:numFmt w:val="decimal"/>
      <w:isLgl/>
      <w:lvlText w:val="%1.%2.%3.%4.%5.%6"/>
      <w:lvlJc w:val="left"/>
      <w:pPr>
        <w:ind w:left="510" w:hanging="510"/>
      </w:pPr>
      <w:rPr>
        <w:rFonts w:hint="default"/>
      </w:rPr>
    </w:lvl>
    <w:lvl w:ilvl="6" w:tentative="0">
      <w:start w:val="1"/>
      <w:numFmt w:val="decimal"/>
      <w:isLgl/>
      <w:lvlText w:val="%1.%2.%3.%4.%5.%6.%7"/>
      <w:lvlJc w:val="left"/>
      <w:pPr>
        <w:ind w:left="510" w:hanging="510"/>
      </w:pPr>
      <w:rPr>
        <w:rFonts w:hint="default"/>
      </w:rPr>
    </w:lvl>
    <w:lvl w:ilvl="7" w:tentative="0">
      <w:start w:val="1"/>
      <w:numFmt w:val="decimal"/>
      <w:isLgl/>
      <w:lvlText w:val="%1.%2.%3.%4.%5.%6.%7.%8"/>
      <w:lvlJc w:val="left"/>
      <w:pPr>
        <w:ind w:left="510" w:hanging="510"/>
      </w:pPr>
      <w:rPr>
        <w:rFonts w:hint="default"/>
      </w:rPr>
    </w:lvl>
    <w:lvl w:ilvl="8" w:tentative="0">
      <w:start w:val="1"/>
      <w:numFmt w:val="decimal"/>
      <w:isLgl/>
      <w:lvlText w:val="%1.%2.%3.%4.%5.%6.%7.%8.%9"/>
      <w:lvlJc w:val="left"/>
      <w:pPr>
        <w:ind w:left="510" w:hanging="510"/>
      </w:pPr>
      <w:rPr>
        <w:rFonts w:hint="default"/>
      </w:rPr>
    </w:lvl>
  </w:abstractNum>
  <w:abstractNum w:abstractNumId="16">
    <w:nsid w:val="44EA395A"/>
    <w:multiLevelType w:val="singleLevel"/>
    <w:tmpl w:val="44EA395A"/>
    <w:lvl w:ilvl="0" w:tentative="0">
      <w:start w:val="13"/>
      <w:numFmt w:val="chineseCounting"/>
      <w:suff w:val="nothing"/>
      <w:lvlText w:val="%1、"/>
      <w:lvlJc w:val="left"/>
      <w:rPr>
        <w:rFonts w:hint="eastAsia"/>
      </w:rPr>
    </w:lvl>
  </w:abstractNum>
  <w:abstractNum w:abstractNumId="17">
    <w:nsid w:val="46450AAB"/>
    <w:multiLevelType w:val="multilevel"/>
    <w:tmpl w:val="46450AAB"/>
    <w:lvl w:ilvl="0" w:tentative="0">
      <w:start w:val="11"/>
      <w:numFmt w:val="decimal"/>
      <w:lvlText w:val="%1"/>
      <w:lvlJc w:val="left"/>
      <w:pPr>
        <w:tabs>
          <w:tab w:val="left" w:pos="465"/>
        </w:tabs>
        <w:ind w:left="465" w:hanging="465"/>
      </w:pPr>
      <w:rPr>
        <w:rFonts w:hint="default"/>
      </w:rPr>
    </w:lvl>
    <w:lvl w:ilvl="1" w:tentative="0">
      <w:start w:val="1"/>
      <w:numFmt w:val="decimal"/>
      <w:lvlText w:val="%1.%2"/>
      <w:lvlJc w:val="left"/>
      <w:pPr>
        <w:tabs>
          <w:tab w:val="left" w:pos="465"/>
        </w:tabs>
        <w:ind w:left="465" w:hanging="465"/>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800"/>
        </w:tabs>
        <w:ind w:left="1800" w:hanging="180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2160"/>
        </w:tabs>
        <w:ind w:left="2160" w:hanging="2160"/>
      </w:pPr>
      <w:rPr>
        <w:rFonts w:hint="default"/>
      </w:rPr>
    </w:lvl>
  </w:abstractNum>
  <w:abstractNum w:abstractNumId="18">
    <w:nsid w:val="46C95EB7"/>
    <w:multiLevelType w:val="multilevel"/>
    <w:tmpl w:val="46C95EB7"/>
    <w:lvl w:ilvl="0" w:tentative="0">
      <w:start w:val="1"/>
      <w:numFmt w:val="decimal"/>
      <w:lvlText w:val="%1、"/>
      <w:lvlJc w:val="left"/>
      <w:pPr>
        <w:tabs>
          <w:tab w:val="left" w:pos="1305"/>
        </w:tabs>
        <w:ind w:left="1305" w:hanging="360"/>
      </w:pPr>
      <w:rPr>
        <w:rFonts w:hint="default"/>
      </w:rPr>
    </w:lvl>
    <w:lvl w:ilvl="1" w:tentative="0">
      <w:start w:val="1"/>
      <w:numFmt w:val="japaneseCounting"/>
      <w:lvlText w:val="%2、"/>
      <w:lvlJc w:val="left"/>
      <w:pPr>
        <w:tabs>
          <w:tab w:val="left" w:pos="1305"/>
        </w:tabs>
        <w:ind w:left="1305" w:hanging="465"/>
      </w:pPr>
      <w:rPr>
        <w:rFonts w:hint="default" w:cs="黑体"/>
      </w:rPr>
    </w:lvl>
    <w:lvl w:ilvl="2" w:tentative="0">
      <w:start w:val="1"/>
      <w:numFmt w:val="decimal"/>
      <w:lvlText w:val="%3)"/>
      <w:lvlJc w:val="left"/>
      <w:pPr>
        <w:tabs>
          <w:tab w:val="left" w:pos="1500"/>
        </w:tabs>
        <w:ind w:left="1500" w:hanging="240"/>
      </w:pPr>
      <w:rPr>
        <w:rFonts w:hint="default"/>
      </w:rPr>
    </w:lvl>
    <w:lvl w:ilvl="3" w:tentative="0">
      <w:start w:val="1"/>
      <w:numFmt w:val="decimal"/>
      <w:lvlText w:val="%4）"/>
      <w:lvlJc w:val="left"/>
      <w:pPr>
        <w:tabs>
          <w:tab w:val="left" w:pos="2040"/>
        </w:tabs>
        <w:ind w:left="2040" w:hanging="360"/>
      </w:pPr>
      <w:rPr>
        <w:rFonts w:hint="default"/>
      </w:rPr>
    </w:lvl>
    <w:lvl w:ilvl="4" w:tentative="0">
      <w:start w:val="4"/>
      <w:numFmt w:val="decimal"/>
      <w:lvlText w:val="%5．"/>
      <w:lvlJc w:val="left"/>
      <w:pPr>
        <w:tabs>
          <w:tab w:val="left" w:pos="2460"/>
        </w:tabs>
        <w:ind w:left="2460" w:hanging="360"/>
      </w:pPr>
      <w:rPr>
        <w:rFonts w:hint="default"/>
      </w:r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9">
    <w:nsid w:val="48D858E8"/>
    <w:multiLevelType w:val="multilevel"/>
    <w:tmpl w:val="48D858E8"/>
    <w:lvl w:ilvl="0" w:tentative="0">
      <w:start w:val="4"/>
      <w:numFmt w:val="decimal"/>
      <w:lvlText w:val="%1"/>
      <w:lvlJc w:val="left"/>
      <w:pPr>
        <w:tabs>
          <w:tab w:val="left" w:pos="360"/>
        </w:tabs>
        <w:ind w:left="360" w:hanging="360"/>
      </w:pPr>
      <w:rPr>
        <w:rFonts w:hint="default" w:cs="Times New Roman"/>
      </w:rPr>
    </w:lvl>
    <w:lvl w:ilvl="1" w:tentative="0">
      <w:start w:val="1"/>
      <w:numFmt w:val="decimal"/>
      <w:lvlText w:val="%1.%2"/>
      <w:lvlJc w:val="left"/>
      <w:pPr>
        <w:tabs>
          <w:tab w:val="left" w:pos="360"/>
        </w:tabs>
        <w:ind w:left="360" w:hanging="360"/>
      </w:pPr>
      <w:rPr>
        <w:rFonts w:hint="default" w:cs="Times New Roman"/>
      </w:rPr>
    </w:lvl>
    <w:lvl w:ilvl="2" w:tentative="0">
      <w:start w:val="1"/>
      <w:numFmt w:val="decimal"/>
      <w:lvlText w:val="%1.%2.%3"/>
      <w:lvlJc w:val="left"/>
      <w:pPr>
        <w:tabs>
          <w:tab w:val="left" w:pos="720"/>
        </w:tabs>
        <w:ind w:left="720" w:hanging="720"/>
      </w:pPr>
      <w:rPr>
        <w:rFonts w:hint="default" w:cs="Times New Roman"/>
      </w:rPr>
    </w:lvl>
    <w:lvl w:ilvl="3" w:tentative="0">
      <w:start w:val="1"/>
      <w:numFmt w:val="decimal"/>
      <w:lvlText w:val="%1.%2.%3.%4"/>
      <w:lvlJc w:val="left"/>
      <w:pPr>
        <w:tabs>
          <w:tab w:val="left" w:pos="1080"/>
        </w:tabs>
        <w:ind w:left="1080" w:hanging="1080"/>
      </w:pPr>
      <w:rPr>
        <w:rFonts w:hint="default" w:cs="Times New Roman"/>
      </w:rPr>
    </w:lvl>
    <w:lvl w:ilvl="4" w:tentative="0">
      <w:start w:val="1"/>
      <w:numFmt w:val="decimal"/>
      <w:lvlText w:val="%1.%2.%3.%4.%5"/>
      <w:lvlJc w:val="left"/>
      <w:pPr>
        <w:tabs>
          <w:tab w:val="left" w:pos="1080"/>
        </w:tabs>
        <w:ind w:left="1080" w:hanging="1080"/>
      </w:pPr>
      <w:rPr>
        <w:rFonts w:hint="default" w:cs="Times New Roman"/>
      </w:rPr>
    </w:lvl>
    <w:lvl w:ilvl="5" w:tentative="0">
      <w:start w:val="1"/>
      <w:numFmt w:val="decimal"/>
      <w:lvlText w:val="%1.%2.%3.%4.%5.%6"/>
      <w:lvlJc w:val="left"/>
      <w:pPr>
        <w:tabs>
          <w:tab w:val="left" w:pos="1440"/>
        </w:tabs>
        <w:ind w:left="1440" w:hanging="144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800"/>
        </w:tabs>
        <w:ind w:left="1800" w:hanging="180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20">
    <w:nsid w:val="54D12799"/>
    <w:multiLevelType w:val="multilevel"/>
    <w:tmpl w:val="54D12799"/>
    <w:lvl w:ilvl="0" w:tentative="0">
      <w:start w:val="5"/>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1">
    <w:nsid w:val="552E1C8E"/>
    <w:multiLevelType w:val="singleLevel"/>
    <w:tmpl w:val="552E1C8E"/>
    <w:lvl w:ilvl="0" w:tentative="0">
      <w:start w:val="1"/>
      <w:numFmt w:val="decimal"/>
      <w:suff w:val="nothing"/>
      <w:lvlText w:val="%1．"/>
      <w:lvlJc w:val="left"/>
      <w:pPr>
        <w:ind w:left="0" w:firstLine="400"/>
      </w:pPr>
      <w:rPr>
        <w:rFonts w:hint="default"/>
      </w:rPr>
    </w:lvl>
  </w:abstractNum>
  <w:abstractNum w:abstractNumId="22">
    <w:nsid w:val="5E076C81"/>
    <w:multiLevelType w:val="multilevel"/>
    <w:tmpl w:val="5E076C81"/>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3">
    <w:nsid w:val="5E4E0511"/>
    <w:multiLevelType w:val="singleLevel"/>
    <w:tmpl w:val="5E4E0511"/>
    <w:lvl w:ilvl="0" w:tentative="0">
      <w:start w:val="1"/>
      <w:numFmt w:val="decimal"/>
      <w:suff w:val="nothing"/>
      <w:lvlText w:val="（%1）"/>
      <w:lvlJc w:val="left"/>
    </w:lvl>
  </w:abstractNum>
  <w:abstractNum w:abstractNumId="24">
    <w:nsid w:val="5F4F21DF"/>
    <w:multiLevelType w:val="multilevel"/>
    <w:tmpl w:val="5F4F21DF"/>
    <w:lvl w:ilvl="0" w:tentative="0">
      <w:start w:val="1"/>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5">
    <w:nsid w:val="6065484F"/>
    <w:multiLevelType w:val="multilevel"/>
    <w:tmpl w:val="6065484F"/>
    <w:lvl w:ilvl="0" w:tentative="0">
      <w:start w:val="7"/>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800"/>
        </w:tabs>
        <w:ind w:left="1800" w:hanging="180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2160"/>
        </w:tabs>
        <w:ind w:left="2160" w:hanging="2160"/>
      </w:pPr>
      <w:rPr>
        <w:rFonts w:hint="default"/>
      </w:rPr>
    </w:lvl>
  </w:abstractNum>
  <w:abstractNum w:abstractNumId="26">
    <w:nsid w:val="615413D2"/>
    <w:multiLevelType w:val="multilevel"/>
    <w:tmpl w:val="615413D2"/>
    <w:lvl w:ilvl="0" w:tentative="0">
      <w:start w:val="1"/>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7">
    <w:nsid w:val="68C50813"/>
    <w:multiLevelType w:val="multilevel"/>
    <w:tmpl w:val="68C50813"/>
    <w:lvl w:ilvl="0" w:tentative="0">
      <w:start w:val="9"/>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800"/>
        </w:tabs>
        <w:ind w:left="1800" w:hanging="180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2160"/>
        </w:tabs>
        <w:ind w:left="2160" w:hanging="2160"/>
      </w:pPr>
      <w:rPr>
        <w:rFonts w:hint="default"/>
      </w:rPr>
    </w:lvl>
  </w:abstractNum>
  <w:abstractNum w:abstractNumId="28">
    <w:nsid w:val="6F113A89"/>
    <w:multiLevelType w:val="multilevel"/>
    <w:tmpl w:val="6F113A89"/>
    <w:lvl w:ilvl="0" w:tentative="0">
      <w:start w:val="16"/>
      <w:numFmt w:val="decimal"/>
      <w:lvlText w:val="%1"/>
      <w:lvlJc w:val="left"/>
      <w:pPr>
        <w:tabs>
          <w:tab w:val="left" w:pos="600"/>
        </w:tabs>
        <w:ind w:left="600" w:hanging="600"/>
      </w:pPr>
      <w:rPr>
        <w:rFonts w:hint="default"/>
      </w:rPr>
    </w:lvl>
    <w:lvl w:ilvl="1" w:tentative="0">
      <w:start w:val="1"/>
      <w:numFmt w:val="decimal"/>
      <w:lvlText w:val="%1.%2"/>
      <w:lvlJc w:val="left"/>
      <w:pPr>
        <w:tabs>
          <w:tab w:val="left" w:pos="600"/>
        </w:tabs>
        <w:ind w:left="600" w:hanging="600"/>
      </w:pPr>
      <w:rPr>
        <w:rFonts w:hint="default"/>
      </w:rPr>
    </w:lvl>
    <w:lvl w:ilvl="2" w:tentative="0">
      <w:start w:val="1"/>
      <w:numFmt w:val="decimal"/>
      <w:lvlText w:val="%1.%2.%3"/>
      <w:lvlJc w:val="left"/>
      <w:pPr>
        <w:tabs>
          <w:tab w:val="left" w:pos="600"/>
        </w:tabs>
        <w:ind w:left="600" w:hanging="600"/>
      </w:pPr>
      <w:rPr>
        <w:rFonts w:hint="default"/>
      </w:rPr>
    </w:lvl>
    <w:lvl w:ilvl="3" w:tentative="0">
      <w:start w:val="1"/>
      <w:numFmt w:val="decimal"/>
      <w:lvlText w:val="%1.%2.%3.%4"/>
      <w:lvlJc w:val="left"/>
      <w:pPr>
        <w:tabs>
          <w:tab w:val="left" w:pos="600"/>
        </w:tabs>
        <w:ind w:left="600" w:hanging="600"/>
      </w:pPr>
      <w:rPr>
        <w:rFonts w:hint="default"/>
      </w:rPr>
    </w:lvl>
    <w:lvl w:ilvl="4" w:tentative="0">
      <w:start w:val="1"/>
      <w:numFmt w:val="decimal"/>
      <w:lvlText w:val="%1.%2.%3.%4.%5"/>
      <w:lvlJc w:val="left"/>
      <w:pPr>
        <w:tabs>
          <w:tab w:val="left" w:pos="600"/>
        </w:tabs>
        <w:ind w:left="600" w:hanging="600"/>
      </w:pPr>
      <w:rPr>
        <w:rFonts w:hint="default"/>
      </w:rPr>
    </w:lvl>
    <w:lvl w:ilvl="5" w:tentative="0">
      <w:start w:val="1"/>
      <w:numFmt w:val="decimal"/>
      <w:lvlText w:val="%1.%2.%3.%4.%5.%6"/>
      <w:lvlJc w:val="left"/>
      <w:pPr>
        <w:tabs>
          <w:tab w:val="left" w:pos="600"/>
        </w:tabs>
        <w:ind w:left="600" w:hanging="600"/>
      </w:pPr>
      <w:rPr>
        <w:rFonts w:hint="default"/>
      </w:rPr>
    </w:lvl>
    <w:lvl w:ilvl="6" w:tentative="0">
      <w:start w:val="1"/>
      <w:numFmt w:val="decimal"/>
      <w:lvlText w:val="%1.%2.%3.%4.%5.%6.%7"/>
      <w:lvlJc w:val="left"/>
      <w:pPr>
        <w:tabs>
          <w:tab w:val="left" w:pos="600"/>
        </w:tabs>
        <w:ind w:left="600" w:hanging="600"/>
      </w:pPr>
      <w:rPr>
        <w:rFonts w:hint="default"/>
      </w:rPr>
    </w:lvl>
    <w:lvl w:ilvl="7" w:tentative="0">
      <w:start w:val="1"/>
      <w:numFmt w:val="decimal"/>
      <w:lvlText w:val="%1.%2.%3.%4.%5.%6.%7.%8"/>
      <w:lvlJc w:val="left"/>
      <w:pPr>
        <w:tabs>
          <w:tab w:val="left" w:pos="600"/>
        </w:tabs>
        <w:ind w:left="600" w:hanging="600"/>
      </w:pPr>
      <w:rPr>
        <w:rFonts w:hint="default"/>
      </w:rPr>
    </w:lvl>
    <w:lvl w:ilvl="8" w:tentative="0">
      <w:start w:val="1"/>
      <w:numFmt w:val="decimal"/>
      <w:lvlText w:val="%1.%2.%3.%4.%5.%6.%7.%8.%9"/>
      <w:lvlJc w:val="left"/>
      <w:pPr>
        <w:tabs>
          <w:tab w:val="left" w:pos="600"/>
        </w:tabs>
        <w:ind w:left="600" w:hanging="600"/>
      </w:pPr>
      <w:rPr>
        <w:rFonts w:hint="default"/>
      </w:rPr>
    </w:lvl>
  </w:abstractNum>
  <w:abstractNum w:abstractNumId="29">
    <w:nsid w:val="715F29F2"/>
    <w:multiLevelType w:val="multilevel"/>
    <w:tmpl w:val="715F29F2"/>
    <w:lvl w:ilvl="0" w:tentative="0">
      <w:start w:val="13"/>
      <w:numFmt w:val="decimal"/>
      <w:lvlText w:val="%1"/>
      <w:lvlJc w:val="left"/>
      <w:pPr>
        <w:tabs>
          <w:tab w:val="left" w:pos="465"/>
        </w:tabs>
        <w:ind w:left="465" w:hanging="465"/>
      </w:pPr>
      <w:rPr>
        <w:rFonts w:hint="default"/>
      </w:rPr>
    </w:lvl>
    <w:lvl w:ilvl="1" w:tentative="0">
      <w:start w:val="1"/>
      <w:numFmt w:val="decimal"/>
      <w:lvlText w:val="%1.%2"/>
      <w:lvlJc w:val="left"/>
      <w:pPr>
        <w:tabs>
          <w:tab w:val="left" w:pos="465"/>
        </w:tabs>
        <w:ind w:left="465" w:hanging="465"/>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800"/>
        </w:tabs>
        <w:ind w:left="1800" w:hanging="180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2160"/>
        </w:tabs>
        <w:ind w:left="2160" w:hanging="2160"/>
      </w:pPr>
      <w:rPr>
        <w:rFonts w:hint="default"/>
      </w:rPr>
    </w:lvl>
  </w:abstractNum>
  <w:abstractNum w:abstractNumId="30">
    <w:nsid w:val="76195D75"/>
    <w:multiLevelType w:val="multilevel"/>
    <w:tmpl w:val="76195D75"/>
    <w:lvl w:ilvl="0" w:tentative="0">
      <w:start w:val="28"/>
      <w:numFmt w:val="decimal"/>
      <w:lvlText w:val="%1、"/>
      <w:lvlJc w:val="left"/>
      <w:pPr>
        <w:ind w:left="465" w:hanging="4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762D7317"/>
    <w:multiLevelType w:val="multilevel"/>
    <w:tmpl w:val="762D7317"/>
    <w:lvl w:ilvl="0" w:tentative="0">
      <w:start w:val="22"/>
      <w:numFmt w:val="decimal"/>
      <w:lvlText w:val="%1"/>
      <w:lvlJc w:val="left"/>
      <w:pPr>
        <w:tabs>
          <w:tab w:val="left" w:pos="480"/>
        </w:tabs>
        <w:ind w:left="480" w:hanging="480"/>
      </w:pPr>
      <w:rPr>
        <w:rFonts w:hint="default"/>
      </w:rPr>
    </w:lvl>
    <w:lvl w:ilvl="1" w:tentative="0">
      <w:start w:val="1"/>
      <w:numFmt w:val="decimal"/>
      <w:lvlText w:val="%1.%2"/>
      <w:lvlJc w:val="left"/>
      <w:pPr>
        <w:tabs>
          <w:tab w:val="left" w:pos="840"/>
        </w:tabs>
        <w:ind w:left="840" w:hanging="480"/>
      </w:pPr>
      <w:rPr>
        <w:rFonts w:hint="default"/>
        <w:b w:val="0"/>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800"/>
        </w:tabs>
        <w:ind w:left="1800" w:hanging="180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2160"/>
        </w:tabs>
        <w:ind w:left="2160" w:hanging="2160"/>
      </w:pPr>
      <w:rPr>
        <w:rFonts w:hint="default"/>
      </w:rPr>
    </w:lvl>
  </w:abstractNum>
  <w:abstractNum w:abstractNumId="32">
    <w:nsid w:val="7D1440D7"/>
    <w:multiLevelType w:val="multilevel"/>
    <w:tmpl w:val="7D1440D7"/>
    <w:lvl w:ilvl="0" w:tentative="0">
      <w:start w:val="1"/>
      <w:numFmt w:val="decimal"/>
      <w:lvlText w:val="%1）"/>
      <w:lvlJc w:val="left"/>
      <w:pPr>
        <w:tabs>
          <w:tab w:val="left" w:pos="2040"/>
        </w:tabs>
        <w:ind w:left="2040" w:hanging="360"/>
      </w:pPr>
      <w:rPr>
        <w:rFonts w:hint="default"/>
      </w:rPr>
    </w:lvl>
    <w:lvl w:ilvl="1" w:tentative="0">
      <w:start w:val="3"/>
      <w:numFmt w:val="japaneseCounting"/>
      <w:lvlText w:val="%2、"/>
      <w:lvlJc w:val="left"/>
      <w:pPr>
        <w:tabs>
          <w:tab w:val="left" w:pos="840"/>
        </w:tabs>
        <w:ind w:left="840" w:hanging="420"/>
      </w:pPr>
      <w:rPr>
        <w:rFonts w:hint="default"/>
      </w:rPr>
    </w:lvl>
    <w:lvl w:ilvl="2" w:tentative="0">
      <w:start w:val="1"/>
      <w:numFmt w:val="decimal"/>
      <w:lvlText w:val="%3."/>
      <w:lvlJc w:val="left"/>
      <w:pPr>
        <w:tabs>
          <w:tab w:val="left" w:pos="1200"/>
        </w:tabs>
        <w:ind w:left="1200" w:hanging="360"/>
      </w:pPr>
      <w:rPr>
        <w:rFonts w:hint="eastAsia" w:ascii="宋体" w:hAnsi="宋体" w:eastAsia="宋体" w:cs="Times New Roman"/>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rPr>
        <w:b w:val="0"/>
        <w:sz w:val="21"/>
        <w:szCs w:val="21"/>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3">
    <w:nsid w:val="7F03740D"/>
    <w:multiLevelType w:val="multilevel"/>
    <w:tmpl w:val="7F03740D"/>
    <w:lvl w:ilvl="0" w:tentative="0">
      <w:start w:val="2"/>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4">
    <w:nsid w:val="7FC50114"/>
    <w:multiLevelType w:val="multilevel"/>
    <w:tmpl w:val="7FC50114"/>
    <w:lvl w:ilvl="0" w:tentative="0">
      <w:start w:val="3"/>
      <w:numFmt w:val="decimal"/>
      <w:lvlText w:val="%1"/>
      <w:lvlJc w:val="left"/>
      <w:pPr>
        <w:tabs>
          <w:tab w:val="left" w:pos="360"/>
        </w:tabs>
        <w:ind w:left="360" w:hanging="360"/>
      </w:pPr>
      <w:rPr>
        <w:rFonts w:hint="default" w:cs="宋体"/>
      </w:rPr>
    </w:lvl>
    <w:lvl w:ilvl="1" w:tentative="0">
      <w:start w:val="1"/>
      <w:numFmt w:val="decimal"/>
      <w:lvlText w:val="%1.%2"/>
      <w:lvlJc w:val="left"/>
      <w:pPr>
        <w:tabs>
          <w:tab w:val="left" w:pos="360"/>
        </w:tabs>
        <w:ind w:left="360" w:hanging="360"/>
      </w:pPr>
      <w:rPr>
        <w:rFonts w:hint="default" w:cs="宋体"/>
      </w:rPr>
    </w:lvl>
    <w:lvl w:ilvl="2" w:tentative="0">
      <w:start w:val="1"/>
      <w:numFmt w:val="decimal"/>
      <w:lvlText w:val="%1.%2.%3"/>
      <w:lvlJc w:val="left"/>
      <w:pPr>
        <w:tabs>
          <w:tab w:val="left" w:pos="720"/>
        </w:tabs>
        <w:ind w:left="720" w:hanging="720"/>
      </w:pPr>
      <w:rPr>
        <w:rFonts w:hint="default" w:cs="宋体"/>
      </w:rPr>
    </w:lvl>
    <w:lvl w:ilvl="3" w:tentative="0">
      <w:start w:val="1"/>
      <w:numFmt w:val="decimal"/>
      <w:lvlText w:val="%1.%2.%3.%4"/>
      <w:lvlJc w:val="left"/>
      <w:pPr>
        <w:tabs>
          <w:tab w:val="left" w:pos="1080"/>
        </w:tabs>
        <w:ind w:left="1080" w:hanging="1080"/>
      </w:pPr>
      <w:rPr>
        <w:rFonts w:hint="default" w:cs="宋体"/>
      </w:rPr>
    </w:lvl>
    <w:lvl w:ilvl="4" w:tentative="0">
      <w:start w:val="1"/>
      <w:numFmt w:val="decimal"/>
      <w:lvlText w:val="%1.%2.%3.%4.%5"/>
      <w:lvlJc w:val="left"/>
      <w:pPr>
        <w:tabs>
          <w:tab w:val="left" w:pos="1080"/>
        </w:tabs>
        <w:ind w:left="1080" w:hanging="1080"/>
      </w:pPr>
      <w:rPr>
        <w:rFonts w:hint="default" w:cs="宋体"/>
      </w:rPr>
    </w:lvl>
    <w:lvl w:ilvl="5" w:tentative="0">
      <w:start w:val="1"/>
      <w:numFmt w:val="decimal"/>
      <w:lvlText w:val="%1.%2.%3.%4.%5.%6"/>
      <w:lvlJc w:val="left"/>
      <w:pPr>
        <w:tabs>
          <w:tab w:val="left" w:pos="1440"/>
        </w:tabs>
        <w:ind w:left="1440" w:hanging="1440"/>
      </w:pPr>
      <w:rPr>
        <w:rFonts w:hint="default" w:cs="宋体"/>
      </w:rPr>
    </w:lvl>
    <w:lvl w:ilvl="6" w:tentative="0">
      <w:start w:val="1"/>
      <w:numFmt w:val="decimal"/>
      <w:lvlText w:val="%1.%2.%3.%4.%5.%6.%7"/>
      <w:lvlJc w:val="left"/>
      <w:pPr>
        <w:tabs>
          <w:tab w:val="left" w:pos="1440"/>
        </w:tabs>
        <w:ind w:left="1440" w:hanging="1440"/>
      </w:pPr>
      <w:rPr>
        <w:rFonts w:hint="default" w:cs="宋体"/>
      </w:rPr>
    </w:lvl>
    <w:lvl w:ilvl="7" w:tentative="0">
      <w:start w:val="1"/>
      <w:numFmt w:val="decimal"/>
      <w:lvlText w:val="%1.%2.%3.%4.%5.%6.%7.%8"/>
      <w:lvlJc w:val="left"/>
      <w:pPr>
        <w:tabs>
          <w:tab w:val="left" w:pos="1800"/>
        </w:tabs>
        <w:ind w:left="1800" w:hanging="1800"/>
      </w:pPr>
      <w:rPr>
        <w:rFonts w:hint="default" w:cs="宋体"/>
      </w:rPr>
    </w:lvl>
    <w:lvl w:ilvl="8" w:tentative="0">
      <w:start w:val="1"/>
      <w:numFmt w:val="decimal"/>
      <w:lvlText w:val="%1.%2.%3.%4.%5.%6.%7.%8.%9"/>
      <w:lvlJc w:val="left"/>
      <w:pPr>
        <w:tabs>
          <w:tab w:val="left" w:pos="1800"/>
        </w:tabs>
        <w:ind w:left="1800" w:hanging="1800"/>
      </w:pPr>
      <w:rPr>
        <w:rFonts w:hint="default" w:cs="宋体"/>
      </w:rPr>
    </w:lvl>
  </w:abstractNum>
  <w:num w:numId="1">
    <w:abstractNumId w:val="0"/>
  </w:num>
  <w:num w:numId="2">
    <w:abstractNumId w:val="1"/>
  </w:num>
  <w:num w:numId="3">
    <w:abstractNumId w:val="23"/>
  </w:num>
  <w:num w:numId="4">
    <w:abstractNumId w:val="11"/>
  </w:num>
  <w:num w:numId="5">
    <w:abstractNumId w:val="10"/>
  </w:num>
  <w:num w:numId="6">
    <w:abstractNumId w:val="24"/>
  </w:num>
  <w:num w:numId="7">
    <w:abstractNumId w:val="33"/>
  </w:num>
  <w:num w:numId="8">
    <w:abstractNumId w:val="34"/>
  </w:num>
  <w:num w:numId="9">
    <w:abstractNumId w:val="19"/>
  </w:num>
  <w:num w:numId="10">
    <w:abstractNumId w:val="20"/>
  </w:num>
  <w:num w:numId="11">
    <w:abstractNumId w:val="22"/>
  </w:num>
  <w:num w:numId="12">
    <w:abstractNumId w:val="25"/>
  </w:num>
  <w:num w:numId="13">
    <w:abstractNumId w:val="5"/>
  </w:num>
  <w:num w:numId="14">
    <w:abstractNumId w:val="27"/>
  </w:num>
  <w:num w:numId="15">
    <w:abstractNumId w:val="7"/>
  </w:num>
  <w:num w:numId="16">
    <w:abstractNumId w:val="17"/>
  </w:num>
  <w:num w:numId="17">
    <w:abstractNumId w:val="14"/>
  </w:num>
  <w:num w:numId="18">
    <w:abstractNumId w:val="29"/>
  </w:num>
  <w:num w:numId="19">
    <w:abstractNumId w:val="9"/>
  </w:num>
  <w:num w:numId="20">
    <w:abstractNumId w:val="18"/>
  </w:num>
  <w:num w:numId="21">
    <w:abstractNumId w:val="8"/>
  </w:num>
  <w:num w:numId="22">
    <w:abstractNumId w:val="28"/>
  </w:num>
  <w:num w:numId="23">
    <w:abstractNumId w:val="32"/>
  </w:num>
  <w:num w:numId="24">
    <w:abstractNumId w:val="13"/>
  </w:num>
  <w:num w:numId="25">
    <w:abstractNumId w:val="31"/>
  </w:num>
  <w:num w:numId="26">
    <w:abstractNumId w:val="15"/>
  </w:num>
  <w:num w:numId="27">
    <w:abstractNumId w:val="30"/>
  </w:num>
  <w:num w:numId="28">
    <w:abstractNumId w:val="26"/>
  </w:num>
  <w:num w:numId="29">
    <w:abstractNumId w:val="2"/>
  </w:num>
  <w:num w:numId="30">
    <w:abstractNumId w:val="12"/>
  </w:num>
  <w:num w:numId="31">
    <w:abstractNumId w:val="21"/>
  </w:num>
  <w:num w:numId="32">
    <w:abstractNumId w:val="4"/>
  </w:num>
  <w:num w:numId="33">
    <w:abstractNumId w:val="16"/>
  </w:num>
  <w:num w:numId="34">
    <w:abstractNumId w:val="6"/>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1YTljN2E2ZWExY2QzNzJkMDBhMjY3NDcxYjY0Y2MifQ=="/>
  </w:docVars>
  <w:rsids>
    <w:rsidRoot w:val="00172A27"/>
    <w:rsid w:val="01034DFC"/>
    <w:rsid w:val="012D16E9"/>
    <w:rsid w:val="01B63365"/>
    <w:rsid w:val="01F21F43"/>
    <w:rsid w:val="03C63D0F"/>
    <w:rsid w:val="0591620F"/>
    <w:rsid w:val="05A21F83"/>
    <w:rsid w:val="05B94C46"/>
    <w:rsid w:val="07C22561"/>
    <w:rsid w:val="07FC6658"/>
    <w:rsid w:val="0AF278E8"/>
    <w:rsid w:val="0B236300"/>
    <w:rsid w:val="0BBE106E"/>
    <w:rsid w:val="0C071129"/>
    <w:rsid w:val="0D891326"/>
    <w:rsid w:val="0E59558C"/>
    <w:rsid w:val="0FCB0F21"/>
    <w:rsid w:val="10F41A95"/>
    <w:rsid w:val="11D54D2E"/>
    <w:rsid w:val="11E61DAE"/>
    <w:rsid w:val="1339201A"/>
    <w:rsid w:val="1457133B"/>
    <w:rsid w:val="14590281"/>
    <w:rsid w:val="14F8664B"/>
    <w:rsid w:val="170D7685"/>
    <w:rsid w:val="17415B29"/>
    <w:rsid w:val="1A69693B"/>
    <w:rsid w:val="1B1D720E"/>
    <w:rsid w:val="1B2B1BEA"/>
    <w:rsid w:val="1BE80185"/>
    <w:rsid w:val="1C865096"/>
    <w:rsid w:val="1CDE7EAB"/>
    <w:rsid w:val="1D512643"/>
    <w:rsid w:val="1E7B6FA3"/>
    <w:rsid w:val="1F511F69"/>
    <w:rsid w:val="1FB173DA"/>
    <w:rsid w:val="2115048C"/>
    <w:rsid w:val="225A09FB"/>
    <w:rsid w:val="23045AA0"/>
    <w:rsid w:val="23942491"/>
    <w:rsid w:val="242638CE"/>
    <w:rsid w:val="25264EFD"/>
    <w:rsid w:val="25750C30"/>
    <w:rsid w:val="25F42851"/>
    <w:rsid w:val="27672C4D"/>
    <w:rsid w:val="276C540C"/>
    <w:rsid w:val="289D0A37"/>
    <w:rsid w:val="296A432F"/>
    <w:rsid w:val="297E6F44"/>
    <w:rsid w:val="29F866E7"/>
    <w:rsid w:val="2B15587F"/>
    <w:rsid w:val="2BAC38A0"/>
    <w:rsid w:val="2DB71A1A"/>
    <w:rsid w:val="2DBA66BF"/>
    <w:rsid w:val="2EA36159"/>
    <w:rsid w:val="2EC42B99"/>
    <w:rsid w:val="2F97637F"/>
    <w:rsid w:val="2FC77CFE"/>
    <w:rsid w:val="300028C8"/>
    <w:rsid w:val="30C64762"/>
    <w:rsid w:val="318178A1"/>
    <w:rsid w:val="31AD0696"/>
    <w:rsid w:val="32280E62"/>
    <w:rsid w:val="326E247F"/>
    <w:rsid w:val="35401303"/>
    <w:rsid w:val="35FD0BE5"/>
    <w:rsid w:val="3778577A"/>
    <w:rsid w:val="381E725C"/>
    <w:rsid w:val="38541CE7"/>
    <w:rsid w:val="38966F56"/>
    <w:rsid w:val="38D27875"/>
    <w:rsid w:val="397A1D57"/>
    <w:rsid w:val="3A356BA3"/>
    <w:rsid w:val="3DE42ED4"/>
    <w:rsid w:val="3E703E8D"/>
    <w:rsid w:val="3EB646F7"/>
    <w:rsid w:val="3EE64734"/>
    <w:rsid w:val="3F2875E0"/>
    <w:rsid w:val="41371181"/>
    <w:rsid w:val="41720A6B"/>
    <w:rsid w:val="418452FE"/>
    <w:rsid w:val="41936D39"/>
    <w:rsid w:val="41F66512"/>
    <w:rsid w:val="43C606D9"/>
    <w:rsid w:val="444950CF"/>
    <w:rsid w:val="447738F7"/>
    <w:rsid w:val="460A2306"/>
    <w:rsid w:val="47A52DE8"/>
    <w:rsid w:val="47B17319"/>
    <w:rsid w:val="47CB0A61"/>
    <w:rsid w:val="48B07174"/>
    <w:rsid w:val="48CE23E3"/>
    <w:rsid w:val="49580061"/>
    <w:rsid w:val="4B07303A"/>
    <w:rsid w:val="4B3F66A2"/>
    <w:rsid w:val="4C3E2831"/>
    <w:rsid w:val="4C716A38"/>
    <w:rsid w:val="4CBD4974"/>
    <w:rsid w:val="4FC63813"/>
    <w:rsid w:val="510A5D21"/>
    <w:rsid w:val="516B1D62"/>
    <w:rsid w:val="51C96795"/>
    <w:rsid w:val="51F937A5"/>
    <w:rsid w:val="521116FF"/>
    <w:rsid w:val="522E4479"/>
    <w:rsid w:val="527B7E9C"/>
    <w:rsid w:val="556A1380"/>
    <w:rsid w:val="55E5080B"/>
    <w:rsid w:val="55F35D2D"/>
    <w:rsid w:val="56431BC2"/>
    <w:rsid w:val="56D02798"/>
    <w:rsid w:val="56FC52AF"/>
    <w:rsid w:val="57B9071D"/>
    <w:rsid w:val="57D04F5B"/>
    <w:rsid w:val="5828737D"/>
    <w:rsid w:val="59C94297"/>
    <w:rsid w:val="5B2558BD"/>
    <w:rsid w:val="5D327344"/>
    <w:rsid w:val="5D6A00AD"/>
    <w:rsid w:val="5DFB1E91"/>
    <w:rsid w:val="5F0509B8"/>
    <w:rsid w:val="5FC53021"/>
    <w:rsid w:val="619631FB"/>
    <w:rsid w:val="61A76CFC"/>
    <w:rsid w:val="62C80717"/>
    <w:rsid w:val="636E68A4"/>
    <w:rsid w:val="64203459"/>
    <w:rsid w:val="64267C26"/>
    <w:rsid w:val="652812A2"/>
    <w:rsid w:val="654735DB"/>
    <w:rsid w:val="661828DD"/>
    <w:rsid w:val="66533778"/>
    <w:rsid w:val="6684006A"/>
    <w:rsid w:val="66954336"/>
    <w:rsid w:val="670048BF"/>
    <w:rsid w:val="67150885"/>
    <w:rsid w:val="672A5F86"/>
    <w:rsid w:val="674860A5"/>
    <w:rsid w:val="679E1106"/>
    <w:rsid w:val="6893126F"/>
    <w:rsid w:val="69320B23"/>
    <w:rsid w:val="69A90C6B"/>
    <w:rsid w:val="69B4273F"/>
    <w:rsid w:val="6B7376BF"/>
    <w:rsid w:val="6BCB3868"/>
    <w:rsid w:val="6DCC3AB7"/>
    <w:rsid w:val="6ED27891"/>
    <w:rsid w:val="6EFC7748"/>
    <w:rsid w:val="6FAB483F"/>
    <w:rsid w:val="701F5853"/>
    <w:rsid w:val="71050E22"/>
    <w:rsid w:val="711512A2"/>
    <w:rsid w:val="719A4560"/>
    <w:rsid w:val="72213A5A"/>
    <w:rsid w:val="72E778C4"/>
    <w:rsid w:val="73474E7E"/>
    <w:rsid w:val="7365785B"/>
    <w:rsid w:val="75286944"/>
    <w:rsid w:val="75F363A1"/>
    <w:rsid w:val="78294C2D"/>
    <w:rsid w:val="78372C7C"/>
    <w:rsid w:val="79167E9C"/>
    <w:rsid w:val="7B5720C2"/>
    <w:rsid w:val="7B6760C9"/>
    <w:rsid w:val="7B9A7558"/>
    <w:rsid w:val="7D573F71"/>
    <w:rsid w:val="7D843849"/>
    <w:rsid w:val="7DE54337"/>
    <w:rsid w:val="7E901D1D"/>
    <w:rsid w:val="7ED222BE"/>
    <w:rsid w:val="7F311FC7"/>
    <w:rsid w:val="7F933F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link w:val="5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1"/>
    <w:autoRedefine/>
    <w:qFormat/>
    <w:uiPriority w:val="99"/>
    <w:pPr>
      <w:ind w:left="563"/>
      <w:jc w:val="left"/>
      <w:outlineLvl w:val="1"/>
    </w:pPr>
    <w:rPr>
      <w:rFonts w:ascii="Cambria" w:hAnsi="Cambria" w:eastAsia="宋体"/>
      <w:kern w:val="0"/>
      <w:sz w:val="24"/>
      <w:szCs w:val="20"/>
    </w:rPr>
  </w:style>
  <w:style w:type="paragraph" w:styleId="4">
    <w:name w:val="heading 3"/>
    <w:basedOn w:val="1"/>
    <w:next w:val="1"/>
    <w:autoRedefine/>
    <w:unhideWhenUsed/>
    <w:qFormat/>
    <w:uiPriority w:val="0"/>
    <w:pPr>
      <w:keepNext/>
      <w:keepLines/>
      <w:spacing w:before="260" w:after="260" w:line="360" w:lineRule="auto"/>
      <w:jc w:val="center"/>
      <w:outlineLvl w:val="2"/>
    </w:pPr>
    <w:rPr>
      <w:b/>
      <w:sz w:val="32"/>
      <w:szCs w:val="20"/>
    </w:rPr>
  </w:style>
  <w:style w:type="paragraph" w:styleId="5">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pPr>
    <w:rPr>
      <w:szCs w:val="20"/>
    </w:rPr>
  </w:style>
  <w:style w:type="paragraph" w:styleId="7">
    <w:name w:val="Body Text"/>
    <w:basedOn w:val="1"/>
    <w:next w:val="8"/>
    <w:autoRedefine/>
    <w:qFormat/>
    <w:uiPriority w:val="1"/>
    <w:rPr>
      <w:sz w:val="24"/>
      <w:szCs w:val="24"/>
    </w:rPr>
  </w:style>
  <w:style w:type="paragraph" w:styleId="8">
    <w:name w:val="Date"/>
    <w:basedOn w:val="1"/>
    <w:next w:val="1"/>
    <w:autoRedefine/>
    <w:qFormat/>
    <w:uiPriority w:val="0"/>
    <w:pPr>
      <w:ind w:left="100" w:leftChars="2500"/>
    </w:pPr>
  </w:style>
  <w:style w:type="paragraph" w:styleId="9">
    <w:name w:val="Body Text Indent"/>
    <w:basedOn w:val="1"/>
    <w:next w:val="1"/>
    <w:autoRedefine/>
    <w:qFormat/>
    <w:uiPriority w:val="0"/>
    <w:pPr>
      <w:ind w:left="560"/>
    </w:pPr>
    <w:rPr>
      <w:rFonts w:asciiTheme="minorHAnsi" w:hAnsiTheme="minorHAnsi" w:eastAsiaTheme="minorEastAsia" w:cstheme="minorBidi"/>
      <w:sz w:val="28"/>
    </w:rPr>
  </w:style>
  <w:style w:type="paragraph" w:styleId="10">
    <w:name w:val="toc 3"/>
    <w:basedOn w:val="1"/>
    <w:next w:val="1"/>
    <w:autoRedefine/>
    <w:qFormat/>
    <w:uiPriority w:val="0"/>
    <w:pPr>
      <w:ind w:left="840" w:leftChars="400"/>
    </w:pPr>
  </w:style>
  <w:style w:type="paragraph" w:styleId="11">
    <w:name w:val="Plain Text"/>
    <w:basedOn w:val="1"/>
    <w:link w:val="39"/>
    <w:autoRedefine/>
    <w:qFormat/>
    <w:uiPriority w:val="99"/>
    <w:rPr>
      <w:rFonts w:ascii="宋体" w:hAnsi="Courier New"/>
      <w:kern w:val="0"/>
      <w:szCs w:val="20"/>
    </w:rPr>
  </w:style>
  <w:style w:type="paragraph" w:styleId="12">
    <w:name w:val="footer"/>
    <w:basedOn w:val="1"/>
    <w:autoRedefine/>
    <w:qFormat/>
    <w:uiPriority w:val="99"/>
    <w:pPr>
      <w:tabs>
        <w:tab w:val="center" w:pos="4153"/>
        <w:tab w:val="right" w:pos="8306"/>
      </w:tabs>
      <w:snapToGrid w:val="0"/>
      <w:jc w:val="left"/>
    </w:pPr>
    <w:rPr>
      <w:rFonts w:ascii="Times New Roman" w:hAnsi="Times New Roman"/>
      <w:kern w:val="0"/>
      <w:sz w:val="18"/>
      <w:szCs w:val="20"/>
    </w:rPr>
  </w:style>
  <w:style w:type="paragraph" w:styleId="13">
    <w:name w:val="header"/>
    <w:basedOn w:val="1"/>
    <w:autoRedefine/>
    <w:qFormat/>
    <w:uiPriority w:val="99"/>
    <w:pPr>
      <w:tabs>
        <w:tab w:val="center" w:pos="4153"/>
        <w:tab w:val="right" w:pos="8306"/>
      </w:tabs>
      <w:snapToGrid w:val="0"/>
      <w:jc w:val="center"/>
    </w:pPr>
    <w:rPr>
      <w:rFonts w:ascii="Times New Roman" w:hAnsi="Times New Roman"/>
      <w:kern w:val="0"/>
      <w:sz w:val="18"/>
      <w:szCs w:val="20"/>
    </w:rPr>
  </w:style>
  <w:style w:type="paragraph" w:styleId="14">
    <w:name w:val="toc 1"/>
    <w:basedOn w:val="1"/>
    <w:next w:val="1"/>
    <w:autoRedefine/>
    <w:qFormat/>
    <w:uiPriority w:val="39"/>
  </w:style>
  <w:style w:type="paragraph" w:styleId="15">
    <w:name w:val="Body Text Indent 3"/>
    <w:basedOn w:val="1"/>
    <w:autoRedefine/>
    <w:qFormat/>
    <w:uiPriority w:val="0"/>
    <w:pPr>
      <w:ind w:left="359" w:leftChars="171" w:firstLine="554" w:firstLineChars="198"/>
    </w:pPr>
    <w:rPr>
      <w:sz w:val="28"/>
      <w:szCs w:val="20"/>
    </w:rPr>
  </w:style>
  <w:style w:type="paragraph" w:styleId="16">
    <w:name w:val="toc 2"/>
    <w:basedOn w:val="1"/>
    <w:next w:val="1"/>
    <w:autoRedefine/>
    <w:qFormat/>
    <w:uiPriority w:val="0"/>
    <w:pPr>
      <w:ind w:left="420" w:leftChars="200"/>
    </w:pPr>
  </w:style>
  <w:style w:type="paragraph" w:styleId="17">
    <w:name w:val="Normal (Web)"/>
    <w:basedOn w:val="1"/>
    <w:autoRedefine/>
    <w:qFormat/>
    <w:uiPriority w:val="99"/>
    <w:pPr>
      <w:widowControl/>
      <w:spacing w:before="100" w:beforeAutospacing="1" w:after="100" w:afterAutospacing="1"/>
      <w:jc w:val="left"/>
    </w:pPr>
    <w:rPr>
      <w:rFonts w:hint="eastAsia" w:ascii="宋体" w:hAnsi="宋体"/>
      <w:kern w:val="0"/>
      <w:sz w:val="24"/>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autoRedefine/>
    <w:qFormat/>
    <w:uiPriority w:val="0"/>
    <w:rPr>
      <w:color w:val="2D64B3"/>
      <w:u w:val="none"/>
    </w:rPr>
  </w:style>
  <w:style w:type="character" w:styleId="22">
    <w:name w:val="Emphasis"/>
    <w:basedOn w:val="20"/>
    <w:autoRedefine/>
    <w:qFormat/>
    <w:uiPriority w:val="0"/>
    <w:rPr>
      <w:color w:val="CC0000"/>
    </w:rPr>
  </w:style>
  <w:style w:type="character" w:styleId="23">
    <w:name w:val="HTML Definition"/>
    <w:basedOn w:val="20"/>
    <w:autoRedefine/>
    <w:qFormat/>
    <w:uiPriority w:val="0"/>
  </w:style>
  <w:style w:type="character" w:styleId="24">
    <w:name w:val="HTML Variable"/>
    <w:basedOn w:val="20"/>
    <w:autoRedefine/>
    <w:qFormat/>
    <w:uiPriority w:val="0"/>
  </w:style>
  <w:style w:type="character" w:styleId="25">
    <w:name w:val="Hyperlink"/>
    <w:basedOn w:val="20"/>
    <w:autoRedefine/>
    <w:qFormat/>
    <w:uiPriority w:val="0"/>
    <w:rPr>
      <w:color w:val="2D64B3"/>
      <w:u w:val="none"/>
    </w:rPr>
  </w:style>
  <w:style w:type="character" w:styleId="26">
    <w:name w:val="HTML Code"/>
    <w:basedOn w:val="20"/>
    <w:autoRedefine/>
    <w:qFormat/>
    <w:uiPriority w:val="0"/>
    <w:rPr>
      <w:rFonts w:hint="default" w:ascii="Arial" w:hAnsi="Arial" w:cs="Arial"/>
      <w:sz w:val="20"/>
    </w:rPr>
  </w:style>
  <w:style w:type="character" w:styleId="27">
    <w:name w:val="HTML Cite"/>
    <w:basedOn w:val="20"/>
    <w:autoRedefine/>
    <w:qFormat/>
    <w:uiPriority w:val="0"/>
    <w:rPr>
      <w:color w:val="008000"/>
    </w:rPr>
  </w:style>
  <w:style w:type="character" w:styleId="28">
    <w:name w:val="HTML Keyboard"/>
    <w:basedOn w:val="20"/>
    <w:autoRedefine/>
    <w:qFormat/>
    <w:uiPriority w:val="0"/>
    <w:rPr>
      <w:rFonts w:hint="default" w:ascii="Arial" w:hAnsi="Arial" w:cs="Arial"/>
      <w:sz w:val="20"/>
    </w:rPr>
  </w:style>
  <w:style w:type="character" w:styleId="29">
    <w:name w:val="HTML Sample"/>
    <w:basedOn w:val="20"/>
    <w:autoRedefine/>
    <w:qFormat/>
    <w:uiPriority w:val="0"/>
    <w:rPr>
      <w:rFonts w:hint="eastAsia" w:ascii="Arial" w:hAnsi="Arial" w:cs="Arial"/>
    </w:rPr>
  </w:style>
  <w:style w:type="paragraph" w:customStyle="1" w:styleId="30">
    <w:name w:val="Default"/>
    <w:next w:val="9"/>
    <w:autoRedefine/>
    <w:unhideWhenUsed/>
    <w:qFormat/>
    <w:uiPriority w:val="99"/>
    <w:pPr>
      <w:widowControl w:val="0"/>
      <w:autoSpaceDE w:val="0"/>
      <w:autoSpaceDN w:val="0"/>
      <w:adjustRightInd w:val="0"/>
      <w:spacing w:beforeLines="0" w:afterLines="0"/>
    </w:pPr>
    <w:rPr>
      <w:rFonts w:hint="default" w:ascii="仿宋" w:hAnsi="仿宋" w:eastAsia="仿宋" w:cs="Times New Roman"/>
      <w:color w:val="000000"/>
      <w:sz w:val="24"/>
      <w:szCs w:val="24"/>
    </w:rPr>
  </w:style>
  <w:style w:type="paragraph" w:customStyle="1" w:styleId="31">
    <w:name w:val="正文 首行缩进:  2 字符"/>
    <w:basedOn w:val="1"/>
    <w:autoRedefine/>
    <w:unhideWhenUsed/>
    <w:qFormat/>
    <w:uiPriority w:val="0"/>
    <w:pPr>
      <w:widowControl/>
      <w:autoSpaceDE/>
      <w:autoSpaceDN/>
      <w:adjustRightInd/>
      <w:ind w:firstLine="579" w:firstLineChars="200"/>
    </w:pPr>
    <w:rPr>
      <w:rFonts w:hint="eastAsia"/>
      <w:sz w:val="28"/>
    </w:rPr>
  </w:style>
  <w:style w:type="paragraph" w:customStyle="1" w:styleId="32">
    <w:name w:val="段"/>
    <w:next w:val="1"/>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3">
    <w:name w:val="p0"/>
    <w:basedOn w:val="1"/>
    <w:autoRedefine/>
    <w:qFormat/>
    <w:uiPriority w:val="99"/>
    <w:pPr>
      <w:widowControl/>
    </w:pPr>
  </w:style>
  <w:style w:type="character" w:customStyle="1" w:styleId="34">
    <w:name w:val="c-icon28"/>
    <w:basedOn w:val="20"/>
    <w:autoRedefine/>
    <w:qFormat/>
    <w:uiPriority w:val="0"/>
  </w:style>
  <w:style w:type="character" w:customStyle="1" w:styleId="35">
    <w:name w:val="hover23"/>
    <w:basedOn w:val="20"/>
    <w:autoRedefine/>
    <w:qFormat/>
    <w:uiPriority w:val="0"/>
  </w:style>
  <w:style w:type="character" w:customStyle="1" w:styleId="36">
    <w:name w:val="hover24"/>
    <w:basedOn w:val="20"/>
    <w:autoRedefine/>
    <w:qFormat/>
    <w:uiPriority w:val="0"/>
    <w:rPr>
      <w:color w:val="315EFB"/>
    </w:rPr>
  </w:style>
  <w:style w:type="paragraph" w:customStyle="1" w:styleId="37">
    <w:name w:val="Table Paragraph"/>
    <w:basedOn w:val="1"/>
    <w:autoRedefine/>
    <w:unhideWhenUsed/>
    <w:qFormat/>
    <w:uiPriority w:val="1"/>
    <w:rPr>
      <w:rFonts w:hint="eastAsia"/>
      <w:sz w:val="24"/>
    </w:rPr>
  </w:style>
  <w:style w:type="paragraph" w:customStyle="1" w:styleId="38">
    <w:name w:val="正文_0_0"/>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纯文本 Char"/>
    <w:link w:val="11"/>
    <w:autoRedefine/>
    <w:qFormat/>
    <w:uiPriority w:val="0"/>
    <w:rPr>
      <w:rFonts w:ascii="宋体" w:hAnsi="Courier New"/>
      <w:kern w:val="0"/>
      <w:szCs w:val="20"/>
    </w:rPr>
  </w:style>
  <w:style w:type="paragraph" w:customStyle="1" w:styleId="40">
    <w:name w:val="WPSOffice手动目录 1"/>
    <w:qFormat/>
    <w:uiPriority w:val="0"/>
    <w:pPr>
      <w:ind w:leftChars="0"/>
    </w:pPr>
    <w:rPr>
      <w:rFonts w:ascii="Calibri" w:hAnsi="Calibri" w:eastAsia="宋体" w:cs="Times New Roman"/>
      <w:sz w:val="20"/>
      <w:szCs w:val="20"/>
    </w:rPr>
  </w:style>
  <w:style w:type="character" w:customStyle="1" w:styleId="41">
    <w:name w:val="标题 2 Char"/>
    <w:link w:val="3"/>
    <w:autoRedefine/>
    <w:qFormat/>
    <w:uiPriority w:val="99"/>
    <w:rPr>
      <w:rFonts w:ascii="Cambria" w:hAnsi="Cambria" w:eastAsia="宋体"/>
      <w:kern w:val="0"/>
      <w:sz w:val="24"/>
      <w:szCs w:val="20"/>
    </w:rPr>
  </w:style>
  <w:style w:type="paragraph" w:customStyle="1" w:styleId="42">
    <w:name w:val="WPSOffice手动目录 2"/>
    <w:autoRedefine/>
    <w:qFormat/>
    <w:uiPriority w:val="0"/>
    <w:pPr>
      <w:ind w:leftChars="200"/>
    </w:pPr>
    <w:rPr>
      <w:rFonts w:ascii="Times New Roman" w:hAnsi="Times New Roman" w:eastAsia="宋体" w:cs="Times New Roman"/>
      <w:sz w:val="20"/>
      <w:szCs w:val="20"/>
    </w:rPr>
  </w:style>
  <w:style w:type="paragraph" w:customStyle="1" w:styleId="43">
    <w:name w:val="Normal_2"/>
    <w:autoRedefine/>
    <w:qFormat/>
    <w:uiPriority w:val="0"/>
    <w:rPr>
      <w:rFonts w:ascii="Times New Roman" w:hAnsi="Times New Roman" w:eastAsia="Times New Roman" w:cs="Times New Roman"/>
      <w:sz w:val="24"/>
      <w:szCs w:val="24"/>
      <w:lang w:bidi="ar-SA"/>
    </w:rPr>
  </w:style>
  <w:style w:type="character" w:customStyle="1" w:styleId="44">
    <w:name w:val="cfdate"/>
    <w:basedOn w:val="20"/>
    <w:autoRedefine/>
    <w:qFormat/>
    <w:uiPriority w:val="0"/>
    <w:rPr>
      <w:color w:val="333333"/>
      <w:sz w:val="18"/>
      <w:szCs w:val="18"/>
    </w:rPr>
  </w:style>
  <w:style w:type="character" w:customStyle="1" w:styleId="45">
    <w:name w:val="qxdate"/>
    <w:basedOn w:val="20"/>
    <w:qFormat/>
    <w:uiPriority w:val="0"/>
    <w:rPr>
      <w:color w:val="333333"/>
      <w:sz w:val="18"/>
      <w:szCs w:val="18"/>
    </w:rPr>
  </w:style>
  <w:style w:type="character" w:customStyle="1" w:styleId="46">
    <w:name w:val="next"/>
    <w:basedOn w:val="20"/>
    <w:qFormat/>
    <w:uiPriority w:val="0"/>
    <w:rPr>
      <w:rFonts w:ascii="微软雅黑" w:hAnsi="微软雅黑" w:eastAsia="微软雅黑" w:cs="微软雅黑"/>
      <w:sz w:val="21"/>
      <w:szCs w:val="21"/>
    </w:rPr>
  </w:style>
  <w:style w:type="character" w:customStyle="1" w:styleId="47">
    <w:name w:val="next1"/>
    <w:basedOn w:val="20"/>
    <w:autoRedefine/>
    <w:qFormat/>
    <w:uiPriority w:val="0"/>
    <w:rPr>
      <w:color w:val="888888"/>
    </w:rPr>
  </w:style>
  <w:style w:type="character" w:customStyle="1" w:styleId="48">
    <w:name w:val="redfilefwwh"/>
    <w:basedOn w:val="20"/>
    <w:autoRedefine/>
    <w:qFormat/>
    <w:uiPriority w:val="0"/>
    <w:rPr>
      <w:color w:val="BA2636"/>
      <w:sz w:val="18"/>
      <w:szCs w:val="18"/>
    </w:rPr>
  </w:style>
  <w:style w:type="character" w:customStyle="1" w:styleId="49">
    <w:name w:val="prev"/>
    <w:basedOn w:val="20"/>
    <w:autoRedefine/>
    <w:qFormat/>
    <w:uiPriority w:val="0"/>
    <w:rPr>
      <w:rFonts w:hint="eastAsia" w:ascii="微软雅黑" w:hAnsi="微软雅黑" w:eastAsia="微软雅黑" w:cs="微软雅黑"/>
      <w:sz w:val="21"/>
      <w:szCs w:val="21"/>
    </w:rPr>
  </w:style>
  <w:style w:type="character" w:customStyle="1" w:styleId="50">
    <w:name w:val="prev1"/>
    <w:basedOn w:val="20"/>
    <w:qFormat/>
    <w:uiPriority w:val="0"/>
    <w:rPr>
      <w:color w:val="888888"/>
    </w:rPr>
  </w:style>
  <w:style w:type="character" w:customStyle="1" w:styleId="51">
    <w:name w:val="redfilenumber"/>
    <w:basedOn w:val="20"/>
    <w:autoRedefine/>
    <w:qFormat/>
    <w:uiPriority w:val="0"/>
    <w:rPr>
      <w:color w:val="BA2636"/>
      <w:sz w:val="18"/>
      <w:szCs w:val="18"/>
    </w:rPr>
  </w:style>
  <w:style w:type="character" w:customStyle="1" w:styleId="52">
    <w:name w:val="displayarti"/>
    <w:basedOn w:val="20"/>
    <w:autoRedefine/>
    <w:qFormat/>
    <w:uiPriority w:val="0"/>
    <w:rPr>
      <w:color w:val="FFFFFF"/>
      <w:shd w:val="clear" w:fill="A00000"/>
    </w:rPr>
  </w:style>
  <w:style w:type="character" w:customStyle="1" w:styleId="53">
    <w:name w:val="gjfg"/>
    <w:basedOn w:val="20"/>
    <w:autoRedefine/>
    <w:qFormat/>
    <w:uiPriority w:val="0"/>
  </w:style>
  <w:style w:type="character" w:customStyle="1" w:styleId="54">
    <w:name w:val="font41"/>
    <w:basedOn w:val="20"/>
    <w:autoRedefine/>
    <w:qFormat/>
    <w:uiPriority w:val="0"/>
    <w:rPr>
      <w:rFonts w:hint="eastAsia" w:ascii="宋体" w:hAnsi="宋体" w:eastAsia="宋体" w:cs="宋体"/>
      <w:color w:val="000000"/>
      <w:sz w:val="24"/>
      <w:szCs w:val="24"/>
      <w:u w:val="none"/>
    </w:rPr>
  </w:style>
  <w:style w:type="character" w:customStyle="1" w:styleId="55">
    <w:name w:val="font11"/>
    <w:basedOn w:val="20"/>
    <w:autoRedefine/>
    <w:qFormat/>
    <w:uiPriority w:val="0"/>
    <w:rPr>
      <w:rFonts w:hint="eastAsia" w:ascii="宋体" w:hAnsi="宋体" w:eastAsia="宋体" w:cs="宋体"/>
      <w:b/>
      <w:bCs/>
      <w:color w:val="000000"/>
      <w:sz w:val="24"/>
      <w:szCs w:val="24"/>
      <w:u w:val="none"/>
    </w:rPr>
  </w:style>
  <w:style w:type="character" w:customStyle="1" w:styleId="56">
    <w:name w:val="font21"/>
    <w:basedOn w:val="20"/>
    <w:autoRedefine/>
    <w:qFormat/>
    <w:uiPriority w:val="0"/>
    <w:rPr>
      <w:rFonts w:hint="eastAsia" w:ascii="宋体" w:hAnsi="宋体" w:eastAsia="宋体" w:cs="宋体"/>
      <w:color w:val="000000"/>
      <w:sz w:val="24"/>
      <w:szCs w:val="24"/>
      <w:u w:val="none"/>
    </w:rPr>
  </w:style>
  <w:style w:type="table" w:customStyle="1" w:styleId="57">
    <w:name w:val="Table Normal"/>
    <w:autoRedefine/>
    <w:semiHidden/>
    <w:unhideWhenUsed/>
    <w:qFormat/>
    <w:uiPriority w:val="0"/>
    <w:tblPr>
      <w:tblCellMar>
        <w:top w:w="0" w:type="dxa"/>
        <w:left w:w="0" w:type="dxa"/>
        <w:bottom w:w="0" w:type="dxa"/>
        <w:right w:w="0" w:type="dxa"/>
      </w:tblCellMar>
    </w:tblPr>
  </w:style>
  <w:style w:type="paragraph" w:customStyle="1" w:styleId="58">
    <w:name w:val="Table Text"/>
    <w:basedOn w:val="1"/>
    <w:autoRedefine/>
    <w:semiHidden/>
    <w:qFormat/>
    <w:uiPriority w:val="0"/>
    <w:rPr>
      <w:rFonts w:ascii="仿宋" w:hAnsi="仿宋" w:eastAsia="仿宋" w:cs="仿宋"/>
      <w:sz w:val="31"/>
      <w:szCs w:val="31"/>
      <w:lang w:val="en-US" w:eastAsia="en-US" w:bidi="ar-SA"/>
    </w:rPr>
  </w:style>
  <w:style w:type="character" w:customStyle="1" w:styleId="59">
    <w:name w:val="标题 1 Char"/>
    <w:link w:val="2"/>
    <w:qFormat/>
    <w:uiPriority w:val="0"/>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30617</Words>
  <Characters>32168</Characters>
  <Lines>0</Lines>
  <Paragraphs>0</Paragraphs>
  <TotalTime>53</TotalTime>
  <ScaleCrop>false</ScaleCrop>
  <LinksUpToDate>false</LinksUpToDate>
  <CharactersWithSpaces>33794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2020-07-29T10:49:00Z</dcterms:created>
  <dc:creator>Administrator</dc:creator>
  <cp:lastModifiedBy>admin</cp:lastModifiedBy>
  <cp:lastPrinted>2021-07-22T01:20:00Z</cp:lastPrinted>
  <dcterms:modified xsi:type="dcterms:W3CDTF">2024-03-15T02:25:03Z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5DB3E219B400445EA12C0BF794FAB080_13</vt:lpwstr>
  </property>
</Properties>
</file>