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仿宋_GBK" w:asciiTheme="minorEastAsia" w:hAnsiTheme="minorEastAsia" w:eastAsiaTheme="minorEastAsia"/>
          <w:b/>
          <w:bCs/>
          <w:color w:val="000000"/>
          <w:sz w:val="64"/>
          <w:szCs w:val="64"/>
        </w:rPr>
      </w:pPr>
    </w:p>
    <w:p>
      <w:pPr>
        <w:jc w:val="center"/>
        <w:rPr>
          <w:rFonts w:cs="方正仿宋_GBK" w:asciiTheme="minorEastAsia" w:hAnsiTheme="minorEastAsia" w:eastAsiaTheme="minorEastAsia"/>
          <w:b/>
          <w:bCs/>
          <w:color w:val="000000"/>
          <w:sz w:val="64"/>
          <w:szCs w:val="64"/>
        </w:rPr>
      </w:pPr>
    </w:p>
    <w:p>
      <w:pPr>
        <w:jc w:val="center"/>
        <w:rPr>
          <w:rFonts w:cs="方正仿宋_GBK" w:asciiTheme="minorEastAsia" w:hAnsiTheme="minorEastAsia" w:eastAsiaTheme="minorEastAsia"/>
          <w:b/>
          <w:bCs/>
          <w:color w:val="000000"/>
          <w:sz w:val="64"/>
          <w:szCs w:val="64"/>
        </w:rPr>
      </w:pPr>
    </w:p>
    <w:p>
      <w:pPr>
        <w:jc w:val="center"/>
        <w:rPr>
          <w:rFonts w:cs="方正仿宋_GBK" w:asciiTheme="minorEastAsia" w:hAnsiTheme="minorEastAsia" w:eastAsiaTheme="minorEastAsia"/>
          <w:b/>
          <w:bCs/>
          <w:color w:val="000000"/>
          <w:sz w:val="64"/>
          <w:szCs w:val="64"/>
        </w:rPr>
      </w:pPr>
      <w:r>
        <w:rPr>
          <w:rFonts w:hint="eastAsia" w:cs="方正仿宋_GBK" w:asciiTheme="minorEastAsia" w:hAnsiTheme="minorEastAsia" w:eastAsiaTheme="minorEastAsia"/>
          <w:b/>
          <w:bCs/>
          <w:color w:val="000000"/>
          <w:sz w:val="64"/>
          <w:szCs w:val="64"/>
        </w:rPr>
        <w:t>重庆市政府采购云平台</w:t>
      </w:r>
    </w:p>
    <w:p>
      <w:pPr>
        <w:jc w:val="center"/>
        <w:rPr>
          <w:rFonts w:cs="方正仿宋_GBK" w:asciiTheme="minorEastAsia" w:hAnsiTheme="minorEastAsia" w:eastAsiaTheme="minorEastAsia"/>
          <w:color w:val="000000"/>
          <w:sz w:val="64"/>
          <w:szCs w:val="64"/>
        </w:rPr>
      </w:pPr>
      <w:r>
        <w:rPr>
          <w:rFonts w:hint="eastAsia" w:cs="方正仿宋_GBK" w:asciiTheme="minorEastAsia" w:hAnsiTheme="minorEastAsia" w:eastAsiaTheme="minorEastAsia"/>
          <w:b/>
          <w:bCs/>
          <w:color w:val="000000"/>
          <w:sz w:val="64"/>
          <w:szCs w:val="64"/>
        </w:rPr>
        <w:t>网上竞采采购文件</w:t>
      </w:r>
    </w:p>
    <w:p>
      <w:pPr>
        <w:jc w:val="center"/>
        <w:rPr>
          <w:rFonts w:cs="方正仿宋_GBK" w:asciiTheme="minorEastAsia" w:hAnsiTheme="minorEastAsia" w:eastAsiaTheme="minorEastAsia"/>
          <w:b/>
          <w:bCs/>
          <w:color w:val="000000"/>
          <w:sz w:val="48"/>
          <w:szCs w:val="48"/>
        </w:rPr>
      </w:pPr>
      <w:r>
        <w:rPr>
          <w:rFonts w:hint="eastAsia" w:cs="方正仿宋_GBK" w:asciiTheme="minorEastAsia" w:hAnsiTheme="minorEastAsia" w:eastAsiaTheme="minorEastAsia"/>
          <w:b/>
          <w:bCs/>
          <w:color w:val="000000"/>
          <w:sz w:val="48"/>
          <w:szCs w:val="48"/>
        </w:rPr>
        <w:t>（</w:t>
      </w:r>
      <w:r>
        <w:rPr>
          <w:rFonts w:cs="方正仿宋_GBK" w:asciiTheme="minorEastAsia" w:hAnsiTheme="minorEastAsia" w:eastAsiaTheme="minorEastAsia"/>
          <w:b/>
          <w:bCs/>
          <w:color w:val="000000"/>
          <w:sz w:val="48"/>
          <w:szCs w:val="48"/>
        </w:rPr>
        <w:t>最低价</w:t>
      </w:r>
      <w:r>
        <w:rPr>
          <w:rFonts w:hint="eastAsia" w:cs="方正仿宋_GBK" w:asciiTheme="minorEastAsia" w:hAnsiTheme="minorEastAsia" w:eastAsiaTheme="minorEastAsia"/>
          <w:b/>
          <w:bCs/>
          <w:color w:val="000000"/>
          <w:sz w:val="48"/>
          <w:szCs w:val="48"/>
        </w:rPr>
        <w:t>中标）</w:t>
      </w:r>
    </w:p>
    <w:p>
      <w:pPr>
        <w:spacing w:line="660" w:lineRule="exact"/>
        <w:ind w:firstLine="643"/>
        <w:rPr>
          <w:rFonts w:ascii="方正仿宋_GBK" w:hAnsi="方正仿宋_GBK" w:cs="方正仿宋_GBK"/>
          <w:b/>
          <w:color w:val="000000"/>
          <w:szCs w:val="40"/>
        </w:rPr>
      </w:pPr>
    </w:p>
    <w:p>
      <w:pPr>
        <w:jc w:val="center"/>
        <w:rPr>
          <w:rFonts w:ascii="方正仿宋_GBK" w:hAnsi="方正仿宋_GBK" w:cs="方正仿宋_GBK"/>
          <w:color w:val="000000"/>
          <w:spacing w:val="80"/>
          <w:szCs w:val="32"/>
        </w:rPr>
      </w:pPr>
    </w:p>
    <w:p>
      <w:pPr>
        <w:pStyle w:val="25"/>
        <w:ind w:left="0" w:leftChars="0" w:firstLine="0" w:firstLineChars="0"/>
        <w:rPr>
          <w:rFonts w:cs="方正仿宋_GBK" w:asciiTheme="minorEastAsia" w:hAnsiTheme="minorEastAsia" w:eastAsiaTheme="minorEastAsia"/>
          <w:color w:val="000000"/>
          <w:kern w:val="0"/>
          <w:sz w:val="32"/>
          <w:szCs w:val="32"/>
        </w:rPr>
      </w:pPr>
    </w:p>
    <w:p>
      <w:pPr>
        <w:pStyle w:val="25"/>
        <w:ind w:left="640" w:firstLine="640"/>
        <w:rPr>
          <w:rFonts w:cs="方正仿宋_GBK" w:asciiTheme="minorEastAsia" w:hAnsiTheme="minorEastAsia" w:eastAsiaTheme="minorEastAsia"/>
          <w:color w:val="000000"/>
          <w:kern w:val="0"/>
          <w:sz w:val="32"/>
          <w:szCs w:val="32"/>
        </w:rPr>
      </w:pPr>
    </w:p>
    <w:p>
      <w:pPr>
        <w:spacing w:line="360" w:lineRule="auto"/>
        <w:ind w:left="2880" w:leftChars="300" w:hanging="1920" w:hangingChars="600"/>
        <w:rPr>
          <w:rFonts w:cs="方正仿宋_GBK" w:asciiTheme="minorEastAsia" w:hAnsiTheme="minorEastAsia" w:eastAsiaTheme="minorEastAsia"/>
          <w:color w:val="000000"/>
          <w:kern w:val="0"/>
          <w:szCs w:val="32"/>
        </w:rPr>
      </w:pPr>
      <w:r>
        <w:rPr>
          <w:rFonts w:hint="eastAsia" w:cs="方正仿宋_GBK" w:asciiTheme="minorEastAsia" w:hAnsiTheme="minorEastAsia" w:eastAsiaTheme="minorEastAsia"/>
          <w:color w:val="000000"/>
          <w:kern w:val="0"/>
          <w:szCs w:val="32"/>
        </w:rPr>
        <w:t>项 目 名 称 ：大渡口区建胜镇病媒生物防制采购</w:t>
      </w:r>
    </w:p>
    <w:p>
      <w:pPr>
        <w:spacing w:line="360" w:lineRule="auto"/>
        <w:ind w:left="2880" w:leftChars="300" w:hanging="1920" w:hangingChars="600"/>
        <w:rPr>
          <w:rFonts w:cs="方正仿宋_GBK" w:asciiTheme="minorEastAsia" w:hAnsiTheme="minorEastAsia" w:eastAsiaTheme="minorEastAsia"/>
          <w:color w:val="000000"/>
          <w:kern w:val="0"/>
          <w:szCs w:val="32"/>
        </w:rPr>
      </w:pPr>
      <w:r>
        <w:rPr>
          <w:rFonts w:hint="eastAsia" w:cs="方正仿宋_GBK" w:asciiTheme="minorEastAsia" w:hAnsiTheme="minorEastAsia" w:eastAsiaTheme="minorEastAsia"/>
          <w:color w:val="000000"/>
          <w:kern w:val="0"/>
          <w:szCs w:val="32"/>
        </w:rPr>
        <w:t>采   购   人：重庆市大渡口区建胜镇人民政府</w:t>
      </w:r>
    </w:p>
    <w:p>
      <w:pPr>
        <w:pStyle w:val="25"/>
        <w:ind w:left="640" w:firstLine="640"/>
        <w:rPr>
          <w:rFonts w:cs="方正仿宋_GBK" w:asciiTheme="minorEastAsia" w:hAnsiTheme="minorEastAsia" w:eastAsiaTheme="minorEastAsia"/>
          <w:color w:val="000000"/>
          <w:kern w:val="0"/>
          <w:sz w:val="32"/>
          <w:szCs w:val="32"/>
        </w:rPr>
      </w:pPr>
    </w:p>
    <w:p>
      <w:pPr>
        <w:pStyle w:val="25"/>
        <w:ind w:left="640" w:firstLine="640"/>
        <w:rPr>
          <w:rFonts w:cs="方正仿宋_GBK" w:asciiTheme="minorEastAsia" w:hAnsiTheme="minorEastAsia" w:eastAsiaTheme="minorEastAsia"/>
          <w:color w:val="000000"/>
          <w:kern w:val="0"/>
          <w:sz w:val="32"/>
          <w:szCs w:val="32"/>
        </w:rPr>
      </w:pPr>
    </w:p>
    <w:p>
      <w:pPr>
        <w:pStyle w:val="25"/>
        <w:ind w:left="640" w:firstLine="640"/>
        <w:rPr>
          <w:rFonts w:cs="方正仿宋_GBK" w:asciiTheme="minorEastAsia" w:hAnsiTheme="minorEastAsia" w:eastAsiaTheme="minorEastAsia"/>
          <w:color w:val="000000"/>
          <w:kern w:val="0"/>
          <w:sz w:val="32"/>
          <w:szCs w:val="32"/>
        </w:rPr>
      </w:pPr>
    </w:p>
    <w:p>
      <w:pPr>
        <w:pStyle w:val="25"/>
        <w:ind w:left="640" w:firstLine="640"/>
        <w:rPr>
          <w:rFonts w:cs="方正仿宋_GBK" w:asciiTheme="minorEastAsia" w:hAnsiTheme="minorEastAsia" w:eastAsiaTheme="minorEastAsia"/>
          <w:color w:val="000000"/>
          <w:kern w:val="0"/>
          <w:sz w:val="32"/>
          <w:szCs w:val="32"/>
        </w:rPr>
      </w:pPr>
    </w:p>
    <w:p>
      <w:pPr>
        <w:pStyle w:val="25"/>
        <w:ind w:left="640" w:firstLine="640"/>
        <w:rPr>
          <w:rFonts w:cs="方正仿宋_GBK" w:asciiTheme="minorEastAsia" w:hAnsiTheme="minorEastAsia" w:eastAsiaTheme="minorEastAsia"/>
          <w:color w:val="000000"/>
          <w:kern w:val="0"/>
          <w:sz w:val="32"/>
          <w:szCs w:val="32"/>
        </w:rPr>
      </w:pPr>
    </w:p>
    <w:p>
      <w:pPr>
        <w:pStyle w:val="25"/>
        <w:ind w:left="640" w:firstLine="640"/>
        <w:rPr>
          <w:rFonts w:cs="方正仿宋_GBK" w:asciiTheme="minorEastAsia" w:hAnsiTheme="minorEastAsia" w:eastAsiaTheme="minorEastAsia"/>
          <w:color w:val="000000"/>
          <w:kern w:val="0"/>
          <w:sz w:val="32"/>
          <w:szCs w:val="32"/>
        </w:rPr>
      </w:pPr>
    </w:p>
    <w:p>
      <w:pPr>
        <w:jc w:val="center"/>
        <w:outlineLvl w:val="0"/>
        <w:rPr>
          <w:rFonts w:cs="方正仿宋_GBK" w:asciiTheme="minorEastAsia" w:hAnsiTheme="minorEastAsia" w:eastAsiaTheme="minorEastAsia"/>
          <w:color w:val="000000"/>
          <w:kern w:val="0"/>
          <w:szCs w:val="32"/>
        </w:rPr>
      </w:pPr>
      <w:bookmarkStart w:id="0" w:name="_Toc30747"/>
      <w:bookmarkStart w:id="1" w:name="_Toc30854"/>
      <w:bookmarkStart w:id="2" w:name="_Toc3119"/>
      <w:bookmarkStart w:id="3" w:name="_Toc29203"/>
      <w:bookmarkStart w:id="4" w:name="_Toc22803"/>
      <w:bookmarkStart w:id="5" w:name="_Toc1007"/>
      <w:bookmarkStart w:id="6" w:name="_Toc3861"/>
      <w:bookmarkStart w:id="7" w:name="_Toc11340"/>
      <w:bookmarkStart w:id="8" w:name="_Toc1263"/>
      <w:bookmarkStart w:id="9" w:name="_Toc14325"/>
      <w:r>
        <w:rPr>
          <w:rFonts w:hint="eastAsia" w:cs="方正仿宋_GBK" w:asciiTheme="minorEastAsia" w:hAnsiTheme="minorEastAsia" w:eastAsiaTheme="minorEastAsia"/>
          <w:color w:val="000000"/>
          <w:kern w:val="0"/>
          <w:szCs w:val="32"/>
        </w:rPr>
        <w:t>二〇二四年二月</w:t>
      </w:r>
      <w:bookmarkEnd w:id="0"/>
      <w:bookmarkEnd w:id="1"/>
      <w:bookmarkEnd w:id="2"/>
      <w:bookmarkEnd w:id="3"/>
      <w:bookmarkEnd w:id="4"/>
      <w:bookmarkEnd w:id="5"/>
      <w:bookmarkEnd w:id="6"/>
      <w:bookmarkEnd w:id="7"/>
      <w:bookmarkEnd w:id="8"/>
      <w:bookmarkEnd w:id="9"/>
    </w:p>
    <w:p>
      <w:pPr>
        <w:ind w:firstLine="640"/>
      </w:pPr>
    </w:p>
    <w:p>
      <w:pPr>
        <w:rPr>
          <w:rFonts w:ascii="方正小标宋_GBK" w:hAnsi="方正小标宋_GBK" w:eastAsia="方正小标宋_GBK"/>
          <w:sz w:val="44"/>
          <w:szCs w:val="44"/>
        </w:rPr>
      </w:pPr>
    </w:p>
    <w:p>
      <w:pPr>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大渡口区建胜镇病媒生物防制采购询比文件</w:t>
      </w:r>
    </w:p>
    <w:p>
      <w:pPr>
        <w:ind w:firstLine="640"/>
        <w:rPr>
          <w:rFonts w:ascii="方正黑体简体" w:hAnsi="方正黑体_GBK" w:eastAsia="方正黑体简体"/>
        </w:rPr>
      </w:pPr>
      <w:r>
        <w:rPr>
          <w:rFonts w:hint="eastAsia" w:ascii="方正黑体简体" w:hAnsi="方正黑体_GBK" w:eastAsia="方正黑体简体"/>
        </w:rPr>
        <w:t>一、采购项目</w:t>
      </w:r>
    </w:p>
    <w:tbl>
      <w:tblPr>
        <w:tblStyle w:val="14"/>
        <w:tblW w:w="8810" w:type="dxa"/>
        <w:tblInd w:w="88" w:type="dxa"/>
        <w:tblLayout w:type="autofit"/>
        <w:tblCellMar>
          <w:top w:w="0" w:type="dxa"/>
          <w:left w:w="10" w:type="dxa"/>
          <w:bottom w:w="0" w:type="dxa"/>
          <w:right w:w="10" w:type="dxa"/>
        </w:tblCellMar>
      </w:tblPr>
      <w:tblGrid>
        <w:gridCol w:w="3848"/>
        <w:gridCol w:w="1828"/>
        <w:gridCol w:w="1903"/>
        <w:gridCol w:w="1231"/>
      </w:tblGrid>
      <w:tr>
        <w:tblPrEx>
          <w:tblCellMar>
            <w:top w:w="0" w:type="dxa"/>
            <w:left w:w="10" w:type="dxa"/>
            <w:bottom w:w="0" w:type="dxa"/>
            <w:right w:w="10" w:type="dxa"/>
          </w:tblCellMar>
        </w:tblPrEx>
        <w:trPr>
          <w:trHeight w:val="489" w:hRule="atLeast"/>
        </w:trPr>
        <w:tc>
          <w:tcPr>
            <w:tcW w:w="3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3"/>
                <w:left w:val="none" w:color="000000" w:sz="0" w:space="3"/>
                <w:bottom w:val="none" w:color="000000" w:sz="0" w:space="3"/>
                <w:right w:val="none" w:color="000000" w:sz="0" w:space="3"/>
              </w:pBdr>
              <w:spacing w:line="240" w:lineRule="auto"/>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项目名称</w:t>
            </w:r>
          </w:p>
        </w:tc>
        <w:tc>
          <w:tcPr>
            <w:tcW w:w="18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3"/>
                <w:left w:val="none" w:color="000000" w:sz="0" w:space="3"/>
                <w:bottom w:val="none" w:color="000000" w:sz="0" w:space="3"/>
                <w:right w:val="none" w:color="000000" w:sz="0" w:space="3"/>
              </w:pBdr>
              <w:spacing w:line="240" w:lineRule="auto"/>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采购预算（元）</w:t>
            </w:r>
          </w:p>
        </w:tc>
        <w:tc>
          <w:tcPr>
            <w:tcW w:w="1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3"/>
                <w:left w:val="none" w:color="000000" w:sz="0" w:space="3"/>
                <w:bottom w:val="none" w:color="000000" w:sz="0" w:space="3"/>
                <w:right w:val="none" w:color="000000" w:sz="0" w:space="3"/>
              </w:pBdr>
              <w:spacing w:line="240" w:lineRule="auto"/>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资金来源</w:t>
            </w:r>
          </w:p>
        </w:tc>
        <w:tc>
          <w:tcPr>
            <w:tcW w:w="12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3"/>
                <w:left w:val="none" w:color="000000" w:sz="0" w:space="3"/>
                <w:bottom w:val="none" w:color="000000" w:sz="0" w:space="3"/>
                <w:right w:val="none" w:color="000000" w:sz="0" w:space="3"/>
              </w:pBdr>
              <w:spacing w:line="240" w:lineRule="auto"/>
              <w:jc w:val="center"/>
              <w:rPr>
                <w:rFonts w:ascii="方正黑体简体" w:hAnsi="宋体" w:eastAsia="方正黑体简体" w:cs="宋体"/>
                <w:b/>
                <w:bCs/>
                <w:sz w:val="24"/>
                <w:szCs w:val="24"/>
              </w:rPr>
            </w:pPr>
            <w:r>
              <w:rPr>
                <w:rFonts w:hint="eastAsia" w:ascii="方正黑体简体" w:hAnsi="宋体" w:eastAsia="方正黑体简体" w:cs="宋体"/>
                <w:b/>
                <w:bCs/>
                <w:sz w:val="24"/>
                <w:szCs w:val="24"/>
              </w:rPr>
              <w:t>备注</w:t>
            </w:r>
          </w:p>
        </w:tc>
      </w:tr>
      <w:tr>
        <w:tblPrEx>
          <w:tblCellMar>
            <w:top w:w="0" w:type="dxa"/>
            <w:left w:w="10" w:type="dxa"/>
            <w:bottom w:w="0" w:type="dxa"/>
            <w:right w:w="10" w:type="dxa"/>
          </w:tblCellMar>
        </w:tblPrEx>
        <w:trPr>
          <w:trHeight w:val="669" w:hRule="atLeast"/>
        </w:trPr>
        <w:tc>
          <w:tcPr>
            <w:tcW w:w="3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3"/>
                <w:left w:val="none" w:color="000000" w:sz="0" w:space="3"/>
                <w:bottom w:val="none" w:color="000000" w:sz="0" w:space="3"/>
                <w:right w:val="none" w:color="000000" w:sz="0" w:space="3"/>
              </w:pBdr>
              <w:spacing w:line="240" w:lineRule="auto"/>
              <w:jc w:val="center"/>
              <w:rPr>
                <w:rFonts w:ascii="方正仿宋_GBK" w:hAnsi="宋体" w:cs="宋体"/>
                <w:bCs/>
                <w:sz w:val="24"/>
                <w:szCs w:val="24"/>
              </w:rPr>
            </w:pPr>
            <w:bookmarkStart w:id="10" w:name="_Hlk344477914"/>
            <w:bookmarkEnd w:id="10"/>
            <w:r>
              <w:rPr>
                <w:rFonts w:hint="eastAsia" w:ascii="方正仿宋_GBK" w:hAnsi="宋体" w:cs="宋体"/>
                <w:bCs/>
                <w:sz w:val="24"/>
                <w:szCs w:val="24"/>
              </w:rPr>
              <w:t>大渡口区建胜镇病媒生物防制采购</w:t>
            </w:r>
          </w:p>
        </w:tc>
        <w:tc>
          <w:tcPr>
            <w:tcW w:w="18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3"/>
                <w:left w:val="none" w:color="000000" w:sz="0" w:space="3"/>
                <w:bottom w:val="none" w:color="000000" w:sz="0" w:space="3"/>
                <w:right w:val="none" w:color="000000" w:sz="0" w:space="3"/>
              </w:pBdr>
              <w:spacing w:line="240" w:lineRule="auto"/>
              <w:jc w:val="center"/>
              <w:rPr>
                <w:rFonts w:ascii="方正仿宋_GBK" w:hAnsi="宋体" w:cs="宋体"/>
                <w:bCs/>
                <w:sz w:val="28"/>
                <w:szCs w:val="28"/>
              </w:rPr>
            </w:pPr>
            <w:r>
              <w:rPr>
                <w:rFonts w:hint="eastAsia" w:ascii="方正仿宋_GBK" w:hAnsi="宋体" w:cs="宋体"/>
                <w:bCs/>
                <w:sz w:val="28"/>
                <w:szCs w:val="28"/>
              </w:rPr>
              <w:t>499</w:t>
            </w:r>
            <w:r>
              <w:rPr>
                <w:rFonts w:ascii="方正仿宋_GBK" w:hAnsi="宋体" w:cs="宋体"/>
                <w:bCs/>
                <w:sz w:val="28"/>
                <w:szCs w:val="28"/>
              </w:rPr>
              <w:t>50</w:t>
            </w:r>
          </w:p>
        </w:tc>
        <w:tc>
          <w:tcPr>
            <w:tcW w:w="1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3"/>
                <w:left w:val="none" w:color="000000" w:sz="0" w:space="3"/>
                <w:bottom w:val="none" w:color="000000" w:sz="0" w:space="3"/>
                <w:right w:val="none" w:color="000000" w:sz="0" w:space="3"/>
              </w:pBdr>
              <w:spacing w:line="240" w:lineRule="auto"/>
              <w:jc w:val="center"/>
              <w:rPr>
                <w:rFonts w:ascii="方正仿宋_GBK" w:hAnsi="宋体" w:cs="宋体"/>
                <w:bCs/>
                <w:sz w:val="24"/>
                <w:szCs w:val="24"/>
              </w:rPr>
            </w:pPr>
            <w:r>
              <w:rPr>
                <w:rFonts w:hint="eastAsia" w:ascii="方正仿宋_GBK" w:hAnsi="宋体" w:cs="宋体"/>
                <w:bCs/>
                <w:sz w:val="24"/>
                <w:szCs w:val="24"/>
              </w:rPr>
              <w:t>财政资金</w:t>
            </w:r>
          </w:p>
        </w:tc>
        <w:tc>
          <w:tcPr>
            <w:tcW w:w="12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3"/>
                <w:left w:val="none" w:color="000000" w:sz="0" w:space="3"/>
                <w:bottom w:val="none" w:color="000000" w:sz="0" w:space="3"/>
                <w:right w:val="none" w:color="000000" w:sz="0" w:space="3"/>
              </w:pBdr>
              <w:spacing w:line="240" w:lineRule="auto"/>
              <w:rPr>
                <w:rFonts w:ascii="宋体" w:hAnsi="宋体" w:eastAsia="宋体" w:cs="宋体"/>
                <w:sz w:val="24"/>
                <w:szCs w:val="24"/>
              </w:rPr>
            </w:pPr>
          </w:p>
        </w:tc>
      </w:tr>
    </w:tbl>
    <w:p>
      <w:pPr>
        <w:numPr>
          <w:ilvl w:val="0"/>
          <w:numId w:val="1"/>
        </w:numPr>
        <w:ind w:firstLine="640"/>
        <w:rPr>
          <w:rFonts w:ascii="方正黑体简体" w:hAnsi="方正黑体_GBK" w:eastAsia="方正黑体简体"/>
        </w:rPr>
      </w:pPr>
      <w:r>
        <w:rPr>
          <w:rFonts w:hint="eastAsia" w:ascii="方正黑体简体" w:hAnsi="方正黑体_GBK" w:eastAsia="方正黑体简体"/>
        </w:rPr>
        <w:t>供应商资格条件</w:t>
      </w:r>
    </w:p>
    <w:p>
      <w:pPr>
        <w:ind w:firstLine="640"/>
      </w:pPr>
      <w:r>
        <w:rPr>
          <w:rFonts w:hint="eastAsia"/>
        </w:rPr>
        <w:t>重庆市政府采购云平台·服务超市或货物超市成功注册的供应商。</w:t>
      </w:r>
      <w:r>
        <w:t>合格投标人应首先</w:t>
      </w:r>
      <w:r>
        <w:rPr>
          <w:rFonts w:hint="eastAsia"/>
        </w:rPr>
        <w:t>符合《中华人民共和国政府采购法》</w:t>
      </w:r>
      <w:r>
        <w:t>第二十二条规定的基本</w:t>
      </w:r>
      <w:r>
        <w:rPr>
          <w:rFonts w:hint="eastAsia"/>
        </w:rPr>
        <w:t>资格</w:t>
      </w:r>
      <w:r>
        <w:t>条件。</w:t>
      </w:r>
    </w:p>
    <w:p>
      <w:pPr>
        <w:ind w:firstLine="640"/>
      </w:pPr>
      <w:r>
        <w:t>（一）基本资格条件</w:t>
      </w:r>
    </w:p>
    <w:p>
      <w:pPr>
        <w:ind w:firstLine="640"/>
      </w:pPr>
      <w:r>
        <w:t>1.具有独立承担民事责任的能力；</w:t>
      </w:r>
    </w:p>
    <w:p>
      <w:pPr>
        <w:ind w:firstLine="640"/>
      </w:pPr>
      <w:r>
        <w:t>2.具有良好的商业信誉和健全的财务会计制度；</w:t>
      </w:r>
    </w:p>
    <w:p>
      <w:pPr>
        <w:ind w:firstLine="640"/>
      </w:pPr>
      <w:r>
        <w:t>3.具有履行合同所必需的设备和专业技术能力；</w:t>
      </w:r>
    </w:p>
    <w:p>
      <w:pPr>
        <w:ind w:firstLine="640"/>
      </w:pPr>
      <w:r>
        <w:t>4.有依法缴纳税收和社会保障资金的良好记录；</w:t>
      </w:r>
    </w:p>
    <w:p>
      <w:pPr>
        <w:ind w:firstLine="640"/>
      </w:pPr>
      <w:r>
        <w:t>5.参加政府采购活动前三年内，在经营活动中没有重大违法记录；</w:t>
      </w:r>
    </w:p>
    <w:p>
      <w:pPr>
        <w:ind w:firstLine="640"/>
      </w:pPr>
      <w:r>
        <w:t>6.法律、行政法规规定的其他条件。</w:t>
      </w:r>
    </w:p>
    <w:p>
      <w:pPr>
        <w:ind w:firstLine="640"/>
      </w:pPr>
      <w:r>
        <w:t>（二）</w:t>
      </w:r>
      <w:r>
        <w:rPr>
          <w:rFonts w:hint="eastAsia"/>
        </w:rPr>
        <w:t>特定资格条件</w:t>
      </w:r>
    </w:p>
    <w:p>
      <w:pPr>
        <w:ind w:firstLine="640"/>
      </w:pPr>
      <w:r>
        <w:t>1.</w:t>
      </w:r>
      <w:r>
        <w:rPr>
          <w:rFonts w:hint="eastAsia"/>
        </w:rPr>
        <w:t>具有中国卫生有害生物防制协会颁发的《有害生物防制服务机构资质证书A级》</w:t>
      </w:r>
      <w:r>
        <w:t>；</w:t>
      </w:r>
    </w:p>
    <w:p>
      <w:pPr>
        <w:ind w:firstLine="640"/>
      </w:pPr>
      <w:r>
        <w:t>2.</w:t>
      </w:r>
      <w:r>
        <w:rPr>
          <w:rFonts w:hint="eastAsia"/>
        </w:rPr>
        <w:t>具有重庆市有害生物防制协会颁发的《有害生物防制服务机构资质证书A级》；</w:t>
      </w:r>
    </w:p>
    <w:p>
      <w:pPr>
        <w:ind w:firstLine="640"/>
        <w:rPr>
          <w:rFonts w:ascii="方正黑体简体" w:hAnsi="方正黑体_GBK" w:eastAsia="方正黑体简体"/>
        </w:rPr>
      </w:pPr>
      <w:r>
        <w:rPr>
          <w:rFonts w:hint="eastAsia" w:ascii="方正黑体简体" w:hAnsi="方正黑体_GBK" w:eastAsia="方正黑体简体"/>
        </w:rPr>
        <w:t>三、评选方法和报价要求</w:t>
      </w:r>
    </w:p>
    <w:p>
      <w:pPr>
        <w:ind w:firstLine="640"/>
      </w:pPr>
      <w:r>
        <w:t>最低价评审法。在符合本次采购要求、质量和服务的报价供应商中，选择报价最低的成为成交供应商。</w:t>
      </w:r>
    </w:p>
    <w:p>
      <w:pPr>
        <w:ind w:firstLine="640"/>
      </w:pPr>
      <w:r>
        <w:t>供应商在不超出经营范围且符合资质的情况下，对项目进行报价。本次报价须为人民币报价且为包干价，包含：</w:t>
      </w:r>
      <w:r>
        <w:rPr>
          <w:rFonts w:hint="eastAsia"/>
        </w:rPr>
        <w:t>药品、器材、人员工资、设备设施使用、交通运输、安全文明施工、警示标志、税费等</w:t>
      </w:r>
      <w:r>
        <w:t>所有费用。因供应商自身原因造成漏报、少报皆由其自行承担责任，采购人不再补偿。</w:t>
      </w:r>
    </w:p>
    <w:p>
      <w:pPr>
        <w:ind w:firstLine="640"/>
      </w:pPr>
      <w:r>
        <w:t>若大写与小写金额不一致，以大写金额为准；总价金额与按单价汇总金额不一致的，以单价金额计算结果为准，但合计金额不得超过报价总价。</w:t>
      </w:r>
    </w:p>
    <w:p>
      <w:pPr>
        <w:ind w:firstLine="640"/>
        <w:rPr>
          <w:rFonts w:ascii="方正黑体简体" w:hAnsi="方正黑体_GBK" w:eastAsia="方正黑体简体"/>
        </w:rPr>
      </w:pPr>
      <w:r>
        <w:rPr>
          <w:rFonts w:hint="eastAsia" w:ascii="方正黑体简体" w:hAnsi="方正黑体_GBK" w:eastAsia="方正黑体简体"/>
        </w:rPr>
        <w:t>四、无效报价情形</w:t>
      </w:r>
    </w:p>
    <w:p>
      <w:pPr>
        <w:ind w:firstLine="640"/>
      </w:pPr>
      <w:r>
        <w:t>（一）资格审查不合格的；</w:t>
      </w:r>
    </w:p>
    <w:p>
      <w:pPr>
        <w:ind w:firstLine="640"/>
      </w:pPr>
      <w:r>
        <w:t>（二）供应商超出营业范围询价的；</w:t>
      </w:r>
    </w:p>
    <w:p>
      <w:pPr>
        <w:ind w:firstLine="640"/>
      </w:pPr>
      <w:r>
        <w:t>（三）没有按照需求文件要求由询价供应商法定代表人或授权代表签字并加盖公章的；</w:t>
      </w:r>
    </w:p>
    <w:p>
      <w:pPr>
        <w:ind w:firstLine="640"/>
      </w:pPr>
      <w:r>
        <w:t>（四）报价超过采购预算的；</w:t>
      </w:r>
    </w:p>
    <w:p>
      <w:pPr>
        <w:ind w:firstLine="640"/>
      </w:pPr>
      <w:r>
        <w:t>（五）</w:t>
      </w:r>
      <w:r>
        <w:rPr>
          <w:rFonts w:hint="eastAsia"/>
        </w:rPr>
        <w:t>为采购项目提供整体设计、规范编制或者项目管理、监理、检测等服务的供应商，再参加该采购项目的其他采购活动的；</w:t>
      </w:r>
    </w:p>
    <w:p>
      <w:pPr>
        <w:ind w:firstLine="640"/>
      </w:pPr>
      <w:r>
        <w:t>（六）询价文件出现多个投报方案或报价的；</w:t>
      </w:r>
    </w:p>
    <w:p>
      <w:pPr>
        <w:ind w:firstLine="640"/>
      </w:pPr>
      <w:r>
        <w:t>（七）单位负责人为同一人或者存在直接控股、管理关系的不同供应商，不得参加同一合同项下的政府采购活动，上述供应商的询价均无效；</w:t>
      </w:r>
    </w:p>
    <w:p>
      <w:pPr>
        <w:ind w:firstLine="640"/>
      </w:pPr>
      <w:r>
        <w:t>（</w:t>
      </w:r>
      <w:r>
        <w:rPr>
          <w:rFonts w:hint="eastAsia"/>
        </w:rPr>
        <w:t>八</w:t>
      </w:r>
      <w:r>
        <w:t>）</w:t>
      </w:r>
      <w:r>
        <w:rPr>
          <w:rFonts w:hint="eastAsia"/>
        </w:rPr>
        <w:t>投标人的交货期（或为：实施时间）、质量保证期及投标有效期不满足招标文件要求的；</w:t>
      </w:r>
    </w:p>
    <w:p>
      <w:pPr>
        <w:ind w:firstLine="640"/>
      </w:pPr>
      <w:r>
        <w:t>（</w:t>
      </w:r>
      <w:r>
        <w:rPr>
          <w:rFonts w:hint="eastAsia"/>
        </w:rPr>
        <w:t>九</w:t>
      </w:r>
      <w:r>
        <w:t>）供应商响应文件内容有与国家现行法律法规相违背的内容，或附有采购人无法接受的条件。</w:t>
      </w:r>
    </w:p>
    <w:p>
      <w:pPr>
        <w:ind w:firstLine="640"/>
      </w:pPr>
      <w:r>
        <w:t>（十）供应商被列入失信被执行人、重大税收违法案件当事人名单、政府采购严重违法失信行为记录名单及其他不符合《中华人民共和国政府采购法》规定条件的。</w:t>
      </w:r>
    </w:p>
    <w:p>
      <w:pPr>
        <w:ind w:firstLine="640"/>
        <w:rPr>
          <w:rFonts w:ascii="方正黑体简体" w:hAnsi="方正黑体_GBK" w:eastAsia="方正黑体简体"/>
        </w:rPr>
      </w:pPr>
      <w:r>
        <w:rPr>
          <w:rFonts w:hint="eastAsia" w:ascii="方正黑体简体" w:hAnsi="方正黑体_GBK" w:eastAsia="方正黑体简体"/>
        </w:rPr>
        <w:t>五、废标条款</w:t>
      </w:r>
    </w:p>
    <w:p>
      <w:pPr>
        <w:ind w:firstLine="640"/>
      </w:pPr>
      <w:r>
        <w:t>有下列情形之一的，重新组织采购或取消本次采购：</w:t>
      </w:r>
    </w:p>
    <w:p>
      <w:pPr>
        <w:ind w:firstLine="640"/>
      </w:pPr>
      <w:r>
        <w:t>（</w:t>
      </w:r>
      <w:r>
        <w:rPr>
          <w:rFonts w:hint="eastAsia"/>
        </w:rPr>
        <w:t>一</w:t>
      </w:r>
      <w:r>
        <w:t>）出现影响采购公正的违法、违规行为的；</w:t>
      </w:r>
    </w:p>
    <w:p>
      <w:pPr>
        <w:ind w:firstLine="640"/>
      </w:pPr>
      <w:r>
        <w:t>（</w:t>
      </w:r>
      <w:r>
        <w:rPr>
          <w:rFonts w:hint="eastAsia"/>
        </w:rPr>
        <w:t>二</w:t>
      </w:r>
      <w:r>
        <w:t>）投标人的报价都超过了采购预算，采购人不能支付的；</w:t>
      </w:r>
    </w:p>
    <w:p>
      <w:pPr>
        <w:ind w:firstLine="640"/>
      </w:pPr>
      <w:r>
        <w:t>（</w:t>
      </w:r>
      <w:r>
        <w:rPr>
          <w:rFonts w:hint="eastAsia"/>
        </w:rPr>
        <w:t>三</w:t>
      </w:r>
      <w:r>
        <w:t>）因重大变故，采购任务取消的。</w:t>
      </w:r>
    </w:p>
    <w:p>
      <w:pPr>
        <w:ind w:firstLine="640"/>
        <w:rPr>
          <w:rFonts w:ascii="方正黑体简体" w:hAnsi="方正黑体_GBK" w:eastAsia="方正黑体简体"/>
        </w:rPr>
      </w:pPr>
      <w:r>
        <w:rPr>
          <w:rFonts w:hint="eastAsia" w:ascii="方正黑体简体" w:hAnsi="方正黑体_GBK" w:eastAsia="方正黑体简体"/>
        </w:rPr>
        <w:t>六、响应文件编制要求</w:t>
      </w:r>
    </w:p>
    <w:p>
      <w:pPr>
        <w:ind w:firstLine="640"/>
      </w:pPr>
      <w:r>
        <w:t>（一）供应商应当按照需求文件的要求编制响应文件</w:t>
      </w:r>
      <w:r>
        <w:rPr>
          <w:rFonts w:hint="eastAsia"/>
        </w:rPr>
        <w:t>（参考附件1）</w:t>
      </w:r>
      <w:r>
        <w:t>，并对需求文件提出的要求和条件作出实质性响应，响应文件应编制完整的页码、目录。投标人提供的所有资料必须真实、准确，若投标人有弄虚作假、串通报价和欺骗行为，一经查实，由此而产生的经济损失、经济责任和一切后果由投标人承担，并按政府采购法的有关规定进行严肃处理。</w:t>
      </w:r>
    </w:p>
    <w:p>
      <w:pPr>
        <w:ind w:firstLine="640"/>
      </w:pPr>
      <w:r>
        <w:t>（二）响应文件由经济</w:t>
      </w:r>
      <w:r>
        <w:rPr>
          <w:rFonts w:hint="eastAsia"/>
        </w:rPr>
        <w:t>文件</w:t>
      </w:r>
      <w:r>
        <w:t>、</w:t>
      </w:r>
      <w:r>
        <w:rPr>
          <w:rFonts w:hint="eastAsia"/>
        </w:rPr>
        <w:t>资格文件、商务文件、</w:t>
      </w:r>
      <w:r>
        <w:t>技术</w:t>
      </w:r>
      <w:r>
        <w:rPr>
          <w:rFonts w:hint="eastAsia"/>
        </w:rPr>
        <w:t>文件</w:t>
      </w:r>
      <w:r>
        <w:t>和供应商所作的一切有效补充、修改和承诺等其他资料组成。</w:t>
      </w:r>
    </w:p>
    <w:p>
      <w:pPr>
        <w:ind w:firstLine="640"/>
      </w:pPr>
      <w:r>
        <w:t>1.经济</w:t>
      </w:r>
      <w:r>
        <w:rPr>
          <w:rFonts w:hint="eastAsia"/>
        </w:rPr>
        <w:t>文件</w:t>
      </w:r>
      <w:r>
        <w:t>需包含报价函和明细报价表。</w:t>
      </w:r>
    </w:p>
    <w:p>
      <w:pPr>
        <w:ind w:firstLine="640"/>
      </w:pPr>
      <w:r>
        <w:t>2.资格条件需包含营业执照复印件、特定资格条件资料、法定代表人身份证明书、法定代表人授权委托书、书面声明、税务登记证复印件等。</w:t>
      </w:r>
    </w:p>
    <w:p>
      <w:pPr>
        <w:ind w:firstLine="640"/>
      </w:pPr>
      <w:r>
        <w:t>3.技术部分需包含技术响应偏离表（应对技术参数中的所有条款进行逐一应答）、技术方案中要求的其他资料（产品证书、检测报告等）和质量保证及售后服务等资料。</w:t>
      </w:r>
    </w:p>
    <w:p>
      <w:pPr>
        <w:ind w:firstLine="640"/>
        <w:rPr>
          <w:rFonts w:ascii="方正黑体简体" w:hAnsi="方正黑体_GBK" w:eastAsia="方正黑体简体"/>
        </w:rPr>
      </w:pPr>
      <w:r>
        <w:rPr>
          <w:rFonts w:hint="eastAsia" w:ascii="方正黑体简体" w:hAnsi="方正黑体_GBK" w:eastAsia="方正黑体简体"/>
        </w:rPr>
        <w:t>七、服务需求明细及技术要求</w:t>
      </w:r>
    </w:p>
    <w:p>
      <w:pPr>
        <w:ind w:firstLine="640"/>
      </w:pPr>
      <w:r>
        <w:t>（一）</w:t>
      </w:r>
      <w:r>
        <w:rPr>
          <w:rFonts w:hint="eastAsia"/>
        </w:rPr>
        <w:t>项目基本概况介绍</w:t>
      </w:r>
    </w:p>
    <w:p>
      <w:pPr>
        <w:ind w:firstLine="640"/>
      </w:pPr>
      <w:r>
        <w:rPr>
          <w:rFonts w:hint="eastAsia"/>
        </w:rPr>
        <w:t>防制期限从202</w:t>
      </w:r>
      <w:r>
        <w:t>4</w:t>
      </w:r>
      <w:r>
        <w:rPr>
          <w:rFonts w:hint="eastAsia"/>
        </w:rPr>
        <w:t>年</w:t>
      </w:r>
      <w:r>
        <w:t>3</w:t>
      </w:r>
      <w:r>
        <w:rPr>
          <w:rFonts w:hint="eastAsia"/>
        </w:rPr>
        <w:t>月</w:t>
      </w:r>
      <w:r>
        <w:t>1</w:t>
      </w:r>
      <w:r>
        <w:rPr>
          <w:rFonts w:hint="eastAsia"/>
        </w:rPr>
        <w:t>日-</w:t>
      </w:r>
      <w:r>
        <w:rPr>
          <w:rFonts w:hint="eastAsia"/>
          <w:lang w:val="en-US" w:eastAsia="zh-CN"/>
        </w:rPr>
        <w:t>12</w:t>
      </w:r>
      <w:r>
        <w:rPr>
          <w:rFonts w:hint="eastAsia"/>
        </w:rPr>
        <w:t>月</w:t>
      </w:r>
      <w:r>
        <w:t>31</w:t>
      </w:r>
      <w:r>
        <w:rPr>
          <w:rFonts w:hint="eastAsia"/>
        </w:rPr>
        <w:t>日，</w:t>
      </w:r>
      <w:r>
        <w:rPr>
          <w:rFonts w:hint="eastAsia"/>
          <w:lang w:val="en-US" w:eastAsia="zh-CN"/>
        </w:rPr>
        <w:t>共计消杀8次</w:t>
      </w:r>
      <w:r>
        <w:rPr>
          <w:rFonts w:hint="eastAsia"/>
        </w:rPr>
        <w:t>。防制期间</w:t>
      </w:r>
      <w:r>
        <w:t>按照《病媒生物预防控制管理规定》、《国家卫生城市标准（20</w:t>
      </w:r>
      <w:r>
        <w:rPr>
          <w:rFonts w:hint="eastAsia"/>
        </w:rPr>
        <w:t>21</w:t>
      </w:r>
      <w:r>
        <w:t>版）》，通过持续有效控制，</w:t>
      </w:r>
      <w:r>
        <w:rPr>
          <w:rFonts w:hint="eastAsia"/>
        </w:rPr>
        <w:t>辖区内</w:t>
      </w:r>
      <w:r>
        <w:t>鼠、蚊、蝇、蟑螂密度达到国家病媒生物密度控制水平标准C级要求。</w:t>
      </w:r>
    </w:p>
    <w:p>
      <w:pPr>
        <w:numPr>
          <w:ilvl w:val="0"/>
          <w:numId w:val="2"/>
        </w:numPr>
        <w:ind w:firstLine="640"/>
      </w:pPr>
      <w:bookmarkStart w:id="11" w:name="_Toc66809143"/>
      <w:r>
        <w:rPr>
          <w:rFonts w:hint="eastAsia"/>
        </w:rPr>
        <w:t>防治标准</w:t>
      </w:r>
      <w:bookmarkEnd w:id="11"/>
    </w:p>
    <w:p>
      <w:pPr>
        <w:ind w:firstLine="640"/>
      </w:pPr>
      <w:r>
        <w:rPr>
          <w:rFonts w:hint="eastAsia"/>
        </w:rPr>
        <w:t>坚持综合防治、群防结合，加强环境防制，环境治理，全面杀灭，完善相关设施，扎实做好的灭鼠、灭蚊、灭蝇、灭蟑工作，确保建成区鼠、蚊、蝇、蟑螂密度达到国家病媒生物密度控制水平标准C级要求。</w:t>
      </w:r>
    </w:p>
    <w:p>
      <w:pPr>
        <w:numPr>
          <w:ilvl w:val="0"/>
          <w:numId w:val="2"/>
        </w:numPr>
        <w:ind w:firstLine="640"/>
      </w:pPr>
      <w:r>
        <w:t>招标项目技术需求</w:t>
      </w:r>
    </w:p>
    <w:p>
      <w:pPr>
        <w:ind w:firstLine="640"/>
      </w:pPr>
      <w:r>
        <w:t>1.</w:t>
      </w:r>
      <w:r>
        <w:rPr>
          <w:rFonts w:hint="eastAsia"/>
        </w:rPr>
        <w:t>服务范围</w:t>
      </w:r>
    </w:p>
    <w:p>
      <w:pPr>
        <w:ind w:firstLine="640"/>
      </w:pPr>
      <w:r>
        <w:rPr>
          <w:rFonts w:hint="eastAsia"/>
        </w:rPr>
        <w:t>本次采购的范围为，</w:t>
      </w:r>
      <w:r>
        <w:rPr>
          <w:rFonts w:hint="eastAsia"/>
          <w:b w:val="0"/>
          <w:bCs w:val="0"/>
        </w:rPr>
        <w:t>建胜镇</w:t>
      </w:r>
      <w:r>
        <w:rPr>
          <w:rFonts w:hint="eastAsia"/>
          <w:b w:val="0"/>
          <w:bCs w:val="0"/>
          <w:lang w:val="en-US" w:eastAsia="zh-CN"/>
        </w:rPr>
        <w:t>行政</w:t>
      </w:r>
      <w:r>
        <w:rPr>
          <w:rFonts w:hint="eastAsia"/>
          <w:b w:val="0"/>
          <w:bCs w:val="0"/>
        </w:rPr>
        <w:t>辖区范围内</w:t>
      </w:r>
      <w:r>
        <w:rPr>
          <w:rFonts w:hint="eastAsia"/>
          <w:b w:val="0"/>
          <w:bCs w:val="0"/>
          <w:lang w:eastAsia="zh-CN"/>
        </w:rPr>
        <w:t>的</w:t>
      </w:r>
      <w:r>
        <w:rPr>
          <w:rFonts w:hint="eastAsia"/>
          <w:b w:val="0"/>
          <w:bCs w:val="0"/>
          <w:lang w:val="en-US" w:eastAsia="zh-CN"/>
        </w:rPr>
        <w:t>民胜村、群胜村、四民村、四胜村、伏牛溪社区、建路社区</w:t>
      </w:r>
      <w:r>
        <w:rPr>
          <w:rFonts w:hint="eastAsia"/>
          <w:b w:val="0"/>
          <w:bCs w:val="0"/>
        </w:rPr>
        <w:t>的公共外环境</w:t>
      </w:r>
      <w:r>
        <w:rPr>
          <w:rFonts w:hint="eastAsia"/>
          <w:b w:val="0"/>
          <w:bCs w:val="0"/>
          <w:lang w:eastAsia="zh-CN"/>
        </w:rPr>
        <w:t>；</w:t>
      </w:r>
      <w:r>
        <w:rPr>
          <w:rFonts w:hint="eastAsia"/>
          <w:b w:val="0"/>
          <w:bCs w:val="0"/>
        </w:rPr>
        <w:t>居民小区（社区内院坝、居民楼周边、小区周边、社区公</w:t>
      </w:r>
      <w:r>
        <w:rPr>
          <w:rFonts w:hint="eastAsia"/>
        </w:rPr>
        <w:t>共绿地）、生活垃圾桶坑、背街小巷、城乡结合部、城中村、破产企业、露天农贸市场、建筑拆迁工地、边坡、河道岸坡、景观水体、沟、渠、井、下水道</w:t>
      </w:r>
      <w:r>
        <w:rPr>
          <w:rFonts w:hint="eastAsia"/>
          <w:lang w:eastAsia="zh-CN"/>
        </w:rPr>
        <w:t>、</w:t>
      </w:r>
      <w:r>
        <w:rPr>
          <w:rFonts w:hint="eastAsia"/>
          <w:lang w:val="en-US" w:eastAsia="zh-CN"/>
        </w:rPr>
        <w:t>建胜镇镇政府机关大楼及其周边</w:t>
      </w:r>
      <w:r>
        <w:rPr>
          <w:rFonts w:hint="eastAsia"/>
        </w:rPr>
        <w:t>等场所，组织开展病媒生物防制活动。</w:t>
      </w:r>
    </w:p>
    <w:p>
      <w:pPr>
        <w:ind w:firstLine="640"/>
      </w:pPr>
      <w:r>
        <w:t>2.</w:t>
      </w:r>
      <w:r>
        <w:rPr>
          <w:rFonts w:hint="eastAsia"/>
        </w:rPr>
        <w:t>服务内容</w:t>
      </w:r>
    </w:p>
    <w:p>
      <w:pPr>
        <w:ind w:firstLine="640"/>
      </w:pPr>
      <w:r>
        <w:t>（1）</w:t>
      </w:r>
      <w:r>
        <w:rPr>
          <w:rFonts w:hint="eastAsia"/>
        </w:rPr>
        <w:t>蚊、蝇、蟑螂、老鼠的灭杀及孳生控制技术服务；</w:t>
      </w:r>
    </w:p>
    <w:p>
      <w:pPr>
        <w:ind w:firstLine="640"/>
      </w:pPr>
      <w:r>
        <w:t>（</w:t>
      </w:r>
      <w:r>
        <w:rPr>
          <w:rFonts w:hint="eastAsia"/>
        </w:rPr>
        <w:t>2</w:t>
      </w:r>
      <w:r>
        <w:t>）</w:t>
      </w:r>
      <w:r>
        <w:rPr>
          <w:rFonts w:hint="eastAsia"/>
        </w:rPr>
        <w:t>社区内突发公共卫生事件的环境消毒杀虫技术服务；</w:t>
      </w:r>
    </w:p>
    <w:p>
      <w:pPr>
        <w:snapToGrid w:val="0"/>
        <w:ind w:firstLine="640" w:firstLineChars="200"/>
      </w:pPr>
      <w:r>
        <w:t>（</w:t>
      </w:r>
      <w:r>
        <w:rPr>
          <w:rFonts w:hint="eastAsia"/>
        </w:rPr>
        <w:t>3</w:t>
      </w:r>
      <w:r>
        <w:t>）</w:t>
      </w:r>
      <w:r>
        <w:rPr>
          <w:rFonts w:hint="eastAsia"/>
        </w:rPr>
        <w:t>按规范在服务区域设置毒铒站；</w:t>
      </w:r>
    </w:p>
    <w:p>
      <w:pPr>
        <w:snapToGrid w:val="0"/>
        <w:ind w:firstLine="640" w:firstLineChars="200"/>
        <w:rPr>
          <w:rFonts w:ascii="宋体" w:hAnsi="宋体" w:cs="宋体"/>
          <w:kern w:val="0"/>
          <w:sz w:val="28"/>
          <w:szCs w:val="28"/>
        </w:rPr>
      </w:pPr>
      <w:r>
        <w:t>（</w:t>
      </w:r>
      <w:r>
        <w:rPr>
          <w:rFonts w:hint="eastAsia"/>
        </w:rPr>
        <w:t>4</w:t>
      </w:r>
      <w:r>
        <w:t>）</w:t>
      </w:r>
      <w:r>
        <w:rPr>
          <w:rFonts w:hint="eastAsia"/>
        </w:rPr>
        <w:t>开展病媒生物防制设施调查及配合开展健康教育；</w:t>
      </w:r>
    </w:p>
    <w:p>
      <w:pPr>
        <w:snapToGrid w:val="0"/>
        <w:ind w:firstLine="640" w:firstLineChars="200"/>
      </w:pPr>
      <w:r>
        <w:t>（</w:t>
      </w:r>
      <w:r>
        <w:rPr>
          <w:rFonts w:hint="eastAsia"/>
        </w:rPr>
        <w:t>5</w:t>
      </w:r>
      <w:r>
        <w:t>）</w:t>
      </w:r>
      <w:r>
        <w:rPr>
          <w:rFonts w:hint="eastAsia"/>
        </w:rPr>
        <w:t>公共外环境的灭蟑、灭鼠填缝堵洞处理，在合同期间负责无偿补鼠洞、填缝处理和维护毒饵盒等；</w:t>
      </w:r>
    </w:p>
    <w:p>
      <w:pPr>
        <w:snapToGrid w:val="0"/>
        <w:ind w:firstLine="640" w:firstLineChars="200"/>
      </w:pPr>
      <w:r>
        <w:t>（</w:t>
      </w:r>
      <w:r>
        <w:rPr>
          <w:rFonts w:hint="eastAsia"/>
        </w:rPr>
        <w:t>6</w:t>
      </w:r>
      <w:r>
        <w:t>）</w:t>
      </w:r>
      <w:r>
        <w:rPr>
          <w:rFonts w:hint="eastAsia"/>
        </w:rPr>
        <w:t>按创建国家卫生区工作规范，建立健全病媒生物防制服务技术档案，包括实施方案、本底情况调查报告、工作进度安排、监测记录、派工记录、街镇认同签字单等，上述所有档案资料整理后交采购人一份。</w:t>
      </w:r>
    </w:p>
    <w:p>
      <w:pPr>
        <w:ind w:firstLine="640"/>
      </w:pPr>
      <w:r>
        <w:rPr>
          <w:rFonts w:hint="eastAsia"/>
        </w:rPr>
        <w:t>3</w:t>
      </w:r>
      <w:r>
        <w:t>.</w:t>
      </w:r>
      <w:r>
        <w:rPr>
          <w:rFonts w:hint="eastAsia"/>
        </w:rPr>
        <w:t>防治要求</w:t>
      </w:r>
    </w:p>
    <w:p>
      <w:pPr>
        <w:ind w:firstLine="640"/>
      </w:pPr>
      <w:r>
        <w:t>（1）灭鼠药的投放原则：做到点多、面广、量足、到位、环保、安全可靠；</w:t>
      </w:r>
    </w:p>
    <w:p>
      <w:pPr>
        <w:ind w:firstLine="640"/>
      </w:pPr>
      <w:r>
        <w:t>（</w:t>
      </w:r>
      <w:r>
        <w:rPr>
          <w:rFonts w:hint="eastAsia"/>
        </w:rPr>
        <w:t>2</w:t>
      </w:r>
      <w:r>
        <w:t>）内环境灭鼠的原则：尽量使用物理方式灭鼠、避免因化学灭鼠带来的各种后续问题；</w:t>
      </w:r>
    </w:p>
    <w:p>
      <w:pPr>
        <w:ind w:firstLine="640"/>
      </w:pPr>
      <w:r>
        <w:t>（</w:t>
      </w:r>
      <w:r>
        <w:rPr>
          <w:rFonts w:hint="eastAsia"/>
        </w:rPr>
        <w:t>3</w:t>
      </w:r>
      <w:r>
        <w:t>）鼠药投放要求：</w:t>
      </w:r>
    </w:p>
    <w:p>
      <w:pPr>
        <w:ind w:firstLine="640"/>
      </w:pPr>
      <w:r>
        <w:t>①社区空旷地、花园、公共绿地、建筑物、小区周边、拆迁地周边等沿建筑物或围墙内侧</w:t>
      </w:r>
      <w:r>
        <w:rPr>
          <w:rFonts w:hint="eastAsia"/>
        </w:rPr>
        <w:t>每5米投毒饵一处药</w:t>
      </w:r>
      <w:r>
        <w:rPr>
          <w:rFonts w:hint="eastAsia"/>
          <w:lang w:val="en-US" w:eastAsia="zh-CN"/>
        </w:rPr>
        <w:t>3</w:t>
      </w:r>
      <w:r>
        <w:rPr>
          <w:rFonts w:hint="eastAsia"/>
        </w:rPr>
        <w:t>0克（沿楼房墙根投放到一楼住户阳台下面，设有标志）</w:t>
      </w:r>
    </w:p>
    <w:p>
      <w:pPr>
        <w:ind w:firstLine="640"/>
      </w:pPr>
      <w:r>
        <w:t>②投放于常有老鼠出没的场所，如鼠洞附近、生活垃圾堆（坑）、排水沟周边、下水道窖井口等，</w:t>
      </w:r>
      <w:r>
        <w:rPr>
          <w:rFonts w:hint="eastAsia"/>
        </w:rPr>
        <w:t>每5米投毒饵一处药</w:t>
      </w:r>
      <w:r>
        <w:rPr>
          <w:rFonts w:hint="eastAsia"/>
          <w:lang w:val="en-US" w:eastAsia="zh-CN"/>
        </w:rPr>
        <w:t>5</w:t>
      </w:r>
      <w:r>
        <w:rPr>
          <w:rFonts w:hint="eastAsia"/>
        </w:rPr>
        <w:t>0克（沿楼房墙根投放到一楼住户阳台下面，设有标志）</w:t>
      </w:r>
      <w:r>
        <w:t>；</w:t>
      </w:r>
    </w:p>
    <w:p>
      <w:pPr>
        <w:ind w:firstLine="640"/>
      </w:pPr>
      <w:r>
        <w:t xml:space="preserve">③沿河绿化带、边坡或空旷区域，按棋盘式投放，每个毒饵站投放鼠药30克。鼠药投放要全范围覆盖，每次先查后投，消失多少补充多少，全部消失加倍补充。 </w:t>
      </w:r>
    </w:p>
    <w:p>
      <w:pPr>
        <w:ind w:firstLine="640"/>
      </w:pPr>
      <w:r>
        <w:t>（</w:t>
      </w:r>
      <w:r>
        <w:rPr>
          <w:rFonts w:hint="eastAsia"/>
        </w:rPr>
        <w:t>4</w:t>
      </w:r>
      <w:r>
        <w:t>）鼠洞填补及鼠药、死鼠清理要求：在防制期间负责填补承包范围内所有鼠洞。鼠药一轮投放完毕，要进行全范围拉网式检查，公共场所的鼠药要即时清扫；清理的死鼠要进行统一填埋或焚烧处理；</w:t>
      </w:r>
    </w:p>
    <w:p>
      <w:pPr>
        <w:ind w:firstLine="640"/>
      </w:pPr>
      <w:r>
        <w:t>（</w:t>
      </w:r>
      <w:r>
        <w:rPr>
          <w:rFonts w:hint="eastAsia"/>
        </w:rPr>
        <w:t>5</w:t>
      </w:r>
      <w:r>
        <w:t>）灭蚊、蝇、蟑螂用药严格按照国家规定的用药标准和剂量配制使用，按病媒生物的分布特点、季节消长、主要孳生地的情况做到全范围覆盖和科学合理施药。服务频率每月至少1次。</w:t>
      </w:r>
    </w:p>
    <w:p>
      <w:pPr>
        <w:ind w:firstLine="640"/>
      </w:pPr>
      <w:r>
        <w:rPr>
          <w:rFonts w:hint="eastAsia"/>
        </w:rPr>
        <w:t>4</w:t>
      </w:r>
      <w:r>
        <w:t>.</w:t>
      </w:r>
      <w:r>
        <w:rPr>
          <w:rFonts w:hint="eastAsia"/>
        </w:rPr>
        <w:t>防治标准（病媒生物密度控制水平达到C级标准要求）</w:t>
      </w:r>
    </w:p>
    <w:p>
      <w:pPr>
        <w:ind w:firstLine="640"/>
      </w:pPr>
      <w:r>
        <w:rPr>
          <w:rFonts w:hint="eastAsia"/>
        </w:rPr>
        <w:t>（1）灭鼠</w:t>
      </w:r>
    </w:p>
    <w:p>
      <w:pPr>
        <w:ind w:firstLine="640"/>
      </w:pPr>
      <w:r>
        <w:rPr>
          <w:rFonts w:hint="eastAsia"/>
        </w:rPr>
        <w:t>①室内鼠密度控制水平：鼠迹阳性率小于或等于5%。</w:t>
      </w:r>
    </w:p>
    <w:p>
      <w:pPr>
        <w:ind w:firstLine="640"/>
      </w:pPr>
      <w:r>
        <w:rPr>
          <w:rFonts w:hint="eastAsia"/>
        </w:rPr>
        <w:t>②外环境鼠密度控制水平：路径指数小于或等于5</w:t>
      </w:r>
    </w:p>
    <w:p>
      <w:pPr>
        <w:ind w:firstLine="640"/>
      </w:pPr>
      <w:r>
        <w:rPr>
          <w:rFonts w:hint="eastAsia"/>
        </w:rPr>
        <w:t>（2）灭蝇</w:t>
      </w:r>
    </w:p>
    <w:p>
      <w:pPr>
        <w:ind w:firstLine="640"/>
      </w:pPr>
      <w:r>
        <w:rPr>
          <w:rFonts w:hint="eastAsia"/>
        </w:rPr>
        <w:t>①室内成蝇密度控制水平：有蝇房间阳性率小于或等于9%，阳性间蝇密度小于等于3只/间。</w:t>
      </w:r>
    </w:p>
    <w:p>
      <w:pPr>
        <w:ind w:firstLine="640"/>
      </w:pPr>
      <w:r>
        <w:rPr>
          <w:rFonts w:hint="eastAsia"/>
        </w:rPr>
        <w:t>②室外蝇类孳生地密度控制水平：阳性率小于或等于5%。</w:t>
      </w:r>
    </w:p>
    <w:p>
      <w:pPr>
        <w:ind w:firstLine="640"/>
      </w:pPr>
      <w:r>
        <w:rPr>
          <w:rFonts w:hint="eastAsia"/>
        </w:rPr>
        <w:t>（3）灭蚊</w:t>
      </w:r>
    </w:p>
    <w:p>
      <w:pPr>
        <w:ind w:firstLine="640"/>
      </w:pPr>
      <w:r>
        <w:rPr>
          <w:rFonts w:hint="eastAsia"/>
        </w:rPr>
        <w:t>①小型积水蚊虫密度控制水平路径指数小于或等于0.8。</w:t>
      </w:r>
    </w:p>
    <w:p>
      <w:pPr>
        <w:ind w:firstLine="640"/>
      </w:pPr>
      <w:r>
        <w:rPr>
          <w:rFonts w:hint="eastAsia"/>
        </w:rPr>
        <w:t>②大中型水体蚊虫密度控制水平采样勺指数小于或等于5%，平均每阳性勺少于8只蚊虫幼虫和蛹。</w:t>
      </w:r>
    </w:p>
    <w:p>
      <w:pPr>
        <w:ind w:firstLine="640"/>
      </w:pPr>
      <w:r>
        <w:rPr>
          <w:rFonts w:hint="eastAsia"/>
        </w:rPr>
        <w:t>③外环境蚊虫密度控制水平停落指数小于或等于1.5。</w:t>
      </w:r>
    </w:p>
    <w:p>
      <w:pPr>
        <w:ind w:firstLine="640"/>
      </w:pPr>
      <w:r>
        <w:rPr>
          <w:rFonts w:hint="eastAsia"/>
        </w:rPr>
        <w:t>（4）蜚蠊密度控制水平C级</w:t>
      </w:r>
    </w:p>
    <w:p>
      <w:pPr>
        <w:ind w:firstLine="640"/>
      </w:pPr>
      <w:r>
        <w:rPr>
          <w:rFonts w:hint="eastAsia"/>
        </w:rPr>
        <w:t>①成若虫侵害率：蜚蠊成若虫侵害率小于或等于5%，平均每阳性间（处）成若虫数小蠊小于或等于10只，大蠊小于或等于5只。</w:t>
      </w:r>
    </w:p>
    <w:p>
      <w:pPr>
        <w:ind w:firstLine="640"/>
      </w:pPr>
      <w:r>
        <w:rPr>
          <w:rFonts w:hint="eastAsia"/>
        </w:rPr>
        <w:t>②卵鞘查获率：蜚蠊卵鞘查获率小于或等于3%，平均阳性间（处）卵鞘数小于或等于8只。</w:t>
      </w:r>
    </w:p>
    <w:p>
      <w:pPr>
        <w:ind w:firstLine="640"/>
      </w:pPr>
      <w:r>
        <w:rPr>
          <w:rFonts w:hint="eastAsia"/>
        </w:rPr>
        <w:t>③蟑迹查获率：蟑迹查获率小于或等于7%。</w:t>
      </w:r>
    </w:p>
    <w:p>
      <w:pPr>
        <w:numPr>
          <w:ilvl w:val="0"/>
          <w:numId w:val="3"/>
        </w:numPr>
        <w:ind w:firstLine="640"/>
      </w:pPr>
      <w:r>
        <w:rPr>
          <w:rFonts w:hint="eastAsia"/>
        </w:rPr>
        <w:t>防蝇防鼠设施合格率大于或等于95%。</w:t>
      </w:r>
    </w:p>
    <w:p>
      <w:pPr>
        <w:ind w:firstLine="640"/>
      </w:pPr>
      <w:r>
        <w:rPr>
          <w:rFonts w:hint="eastAsia"/>
        </w:rPr>
        <w:t>5</w:t>
      </w:r>
      <w:r>
        <w:t>.</w:t>
      </w:r>
      <w:r>
        <w:rPr>
          <w:rFonts w:hint="eastAsia"/>
        </w:rPr>
        <w:t>防治效果</w:t>
      </w:r>
    </w:p>
    <w:p>
      <w:pPr>
        <w:ind w:firstLine="640"/>
      </w:pPr>
      <w:r>
        <w:rPr>
          <w:rFonts w:hint="eastAsia"/>
        </w:rPr>
        <w:t>（1）</w:t>
      </w:r>
      <w:r>
        <w:t>采购人定期或不定期对四害灭杀情况进行检查。</w:t>
      </w:r>
    </w:p>
    <w:p>
      <w:pPr>
        <w:ind w:firstLine="640"/>
        <w:rPr>
          <w:b w:val="0"/>
          <w:bCs w:val="0"/>
        </w:rPr>
      </w:pPr>
      <w:r>
        <w:rPr>
          <w:rFonts w:hint="eastAsia"/>
        </w:rPr>
        <w:t>（2）</w:t>
      </w:r>
      <w:r>
        <w:t>每月进行四害密度监测，监测结果每月上报采购人，作为</w:t>
      </w:r>
      <w:r>
        <w:rPr>
          <w:b w:val="0"/>
          <w:bCs w:val="0"/>
        </w:rPr>
        <w:t>中标方杀灭效果考核的指标。</w:t>
      </w:r>
    </w:p>
    <w:p>
      <w:pPr>
        <w:ind w:firstLine="640"/>
        <w:rPr>
          <w:b w:val="0"/>
          <w:bCs w:val="0"/>
        </w:rPr>
      </w:pPr>
      <w:r>
        <w:rPr>
          <w:rFonts w:hint="eastAsia"/>
          <w:b w:val="0"/>
          <w:bCs w:val="0"/>
        </w:rPr>
        <w:t>（3）</w:t>
      </w:r>
      <w:r>
        <w:rPr>
          <w:b w:val="0"/>
          <w:bCs w:val="0"/>
        </w:rPr>
        <w:t>镇</w:t>
      </w:r>
      <w:r>
        <w:rPr>
          <w:rFonts w:hint="eastAsia"/>
          <w:b w:val="0"/>
          <w:bCs w:val="0"/>
          <w:lang w:val="en-US" w:eastAsia="zh-CN"/>
        </w:rPr>
        <w:t>政府</w:t>
      </w:r>
      <w:r>
        <w:rPr>
          <w:b w:val="0"/>
          <w:bCs w:val="0"/>
        </w:rPr>
        <w:t>、社区居</w:t>
      </w:r>
      <w:r>
        <w:rPr>
          <w:rFonts w:hint="eastAsia"/>
          <w:b w:val="0"/>
          <w:bCs w:val="0"/>
          <w:lang w:eastAsia="zh-CN"/>
        </w:rPr>
        <w:t>（</w:t>
      </w:r>
      <w:r>
        <w:rPr>
          <w:rFonts w:hint="eastAsia"/>
          <w:b w:val="0"/>
          <w:bCs w:val="0"/>
          <w:lang w:val="en-US" w:eastAsia="zh-CN"/>
        </w:rPr>
        <w:t>村</w:t>
      </w:r>
      <w:r>
        <w:rPr>
          <w:rFonts w:hint="eastAsia"/>
          <w:b w:val="0"/>
          <w:bCs w:val="0"/>
          <w:lang w:eastAsia="zh-CN"/>
        </w:rPr>
        <w:t>）</w:t>
      </w:r>
      <w:r>
        <w:rPr>
          <w:b w:val="0"/>
          <w:bCs w:val="0"/>
        </w:rPr>
        <w:t>委会进行日常监督，对中标方人员出勤情况、药品使用和消杀区域等进行日常监督考核，中标方每次出勤及杀灭效果必需由镇</w:t>
      </w:r>
      <w:r>
        <w:rPr>
          <w:rFonts w:hint="eastAsia"/>
          <w:b w:val="0"/>
          <w:bCs w:val="0"/>
          <w:lang w:val="en-US" w:eastAsia="zh-CN"/>
        </w:rPr>
        <w:t>政府或</w:t>
      </w:r>
      <w:r>
        <w:rPr>
          <w:b w:val="0"/>
          <w:bCs w:val="0"/>
        </w:rPr>
        <w:t>社区居</w:t>
      </w:r>
      <w:r>
        <w:rPr>
          <w:rFonts w:hint="eastAsia"/>
          <w:b w:val="0"/>
          <w:bCs w:val="0"/>
          <w:lang w:eastAsia="zh-CN"/>
        </w:rPr>
        <w:t>（</w:t>
      </w:r>
      <w:r>
        <w:rPr>
          <w:rFonts w:hint="eastAsia"/>
          <w:b w:val="0"/>
          <w:bCs w:val="0"/>
          <w:lang w:val="en-US" w:eastAsia="zh-CN"/>
        </w:rPr>
        <w:t>村</w:t>
      </w:r>
      <w:r>
        <w:rPr>
          <w:rFonts w:hint="eastAsia"/>
          <w:b w:val="0"/>
          <w:bCs w:val="0"/>
          <w:lang w:eastAsia="zh-CN"/>
        </w:rPr>
        <w:t>）</w:t>
      </w:r>
      <w:r>
        <w:rPr>
          <w:b w:val="0"/>
          <w:bCs w:val="0"/>
        </w:rPr>
        <w:t>委会签字、盖章后报采购人，作为中标方任务完成情况的考核指标。</w:t>
      </w:r>
    </w:p>
    <w:p>
      <w:pPr>
        <w:ind w:firstLine="640"/>
      </w:pPr>
      <w:r>
        <w:t>（</w:t>
      </w:r>
      <w:r>
        <w:rPr>
          <w:rFonts w:hint="eastAsia"/>
        </w:rPr>
        <w:t>4</w:t>
      </w:r>
      <w:r>
        <w:t>）病媒生物防制工作，建成区鼠、蚊、蝇、蟑螂密度达到并保持国家病媒生物密度控制水平标准C级要求。并顺利通过国家卫生区有关病媒生物指标的专家评定、检查验收。</w:t>
      </w:r>
    </w:p>
    <w:p>
      <w:pPr>
        <w:ind w:firstLine="640"/>
      </w:pPr>
      <w:r>
        <w:t>（</w:t>
      </w:r>
      <w:r>
        <w:rPr>
          <w:rFonts w:hint="eastAsia"/>
        </w:rPr>
        <w:t>5</w:t>
      </w:r>
      <w:r>
        <w:t>）投标人工作人员在实施服务时应统一着装、佩证上岗、明确任务、文明作业。</w:t>
      </w:r>
    </w:p>
    <w:p>
      <w:pPr>
        <w:ind w:firstLine="640"/>
      </w:pPr>
      <w:r>
        <w:rPr>
          <w:rFonts w:hint="eastAsia"/>
        </w:rPr>
        <w:t>6</w:t>
      </w:r>
      <w:r>
        <w:t>.</w:t>
      </w:r>
      <w:r>
        <w:rPr>
          <w:rFonts w:hint="eastAsia"/>
        </w:rPr>
        <w:t>消杀药品主要技术参数及要求</w:t>
      </w:r>
    </w:p>
    <w:p>
      <w:pPr>
        <w:ind w:firstLine="640"/>
      </w:pPr>
      <w:r>
        <w:rPr>
          <w:rFonts w:hint="eastAsia"/>
        </w:rPr>
        <w:t>要求：以下产品为本项目要求使用的主选药品，投标人所选用的药品必须满足所列药品的主要技术参数，包括有效成分、含量和剂型。杜绝使用来源不明无“三证”或质量不稳定的卫生杀虫剂，确保灭效和人等各项安全、符合环保的有关要求。投标人必须提供以上主选药品厂商的有效“三证“(即，农药登记证、农药生产许可证书、技术监督部门备案的企业标准)复印件和厂家出具盖章的药物质量保证书，未提供或提供不全的其投标无效。</w:t>
      </w:r>
    </w:p>
    <w:tbl>
      <w:tblPr>
        <w:tblStyle w:val="14"/>
        <w:tblW w:w="9213"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8"/>
        <w:gridCol w:w="1943"/>
        <w:gridCol w:w="5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378" w:type="dxa"/>
            <w:vAlign w:val="center"/>
          </w:tcPr>
          <w:p>
            <w:pPr>
              <w:jc w:val="center"/>
              <w:rPr>
                <w:rFonts w:ascii="宋体" w:hAnsi="宋体" w:cs="宋体"/>
                <w:kern w:val="0"/>
                <w:sz w:val="28"/>
                <w:szCs w:val="28"/>
              </w:rPr>
            </w:pPr>
            <w:r>
              <w:rPr>
                <w:rFonts w:hint="eastAsia" w:ascii="宋体" w:hAnsi="宋体" w:cs="宋体"/>
                <w:kern w:val="0"/>
                <w:sz w:val="28"/>
                <w:szCs w:val="28"/>
              </w:rPr>
              <w:t>防治对象</w:t>
            </w:r>
          </w:p>
        </w:tc>
        <w:tc>
          <w:tcPr>
            <w:tcW w:w="1943" w:type="dxa"/>
            <w:tcBorders>
              <w:right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药品名称</w:t>
            </w:r>
          </w:p>
        </w:tc>
        <w:tc>
          <w:tcPr>
            <w:tcW w:w="5892" w:type="dxa"/>
            <w:tcBorders>
              <w:left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1378" w:type="dxa"/>
            <w:vAlign w:val="center"/>
          </w:tcPr>
          <w:p>
            <w:pPr>
              <w:jc w:val="center"/>
              <w:rPr>
                <w:rFonts w:ascii="宋体" w:hAnsi="宋体" w:cs="宋体"/>
                <w:kern w:val="0"/>
                <w:sz w:val="28"/>
                <w:szCs w:val="28"/>
              </w:rPr>
            </w:pPr>
            <w:r>
              <w:rPr>
                <w:rFonts w:hint="eastAsia" w:ascii="宋体" w:hAnsi="宋体" w:cs="宋体"/>
                <w:kern w:val="0"/>
                <w:sz w:val="28"/>
                <w:szCs w:val="28"/>
              </w:rPr>
              <w:t>老鼠</w:t>
            </w:r>
          </w:p>
        </w:tc>
        <w:tc>
          <w:tcPr>
            <w:tcW w:w="1943" w:type="dxa"/>
            <w:tcBorders>
              <w:right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溴敌隆毒饵</w:t>
            </w:r>
          </w:p>
        </w:tc>
        <w:tc>
          <w:tcPr>
            <w:tcW w:w="5892" w:type="dxa"/>
            <w:tcBorders>
              <w:left w:val="single" w:color="auto" w:sz="4" w:space="0"/>
            </w:tcBorders>
            <w:vAlign w:val="center"/>
          </w:tcPr>
          <w:p>
            <w:pPr>
              <w:widowControl/>
              <w:numPr>
                <w:ilvl w:val="0"/>
                <w:numId w:val="4"/>
              </w:numPr>
              <w:spacing w:line="240" w:lineRule="auto"/>
              <w:rPr>
                <w:rFonts w:ascii="宋体" w:hAnsi="宋体" w:cs="宋体"/>
                <w:kern w:val="0"/>
                <w:sz w:val="28"/>
                <w:szCs w:val="28"/>
              </w:rPr>
            </w:pPr>
            <w:r>
              <w:rPr>
                <w:rFonts w:hint="eastAsia" w:ascii="宋体" w:hAnsi="宋体" w:cs="宋体"/>
                <w:kern w:val="0"/>
                <w:sz w:val="28"/>
                <w:szCs w:val="28"/>
              </w:rPr>
              <w:t>有效成分：0.005%溴敌隆。</w:t>
            </w:r>
          </w:p>
          <w:p>
            <w:pPr>
              <w:widowControl/>
              <w:spacing w:line="240" w:lineRule="auto"/>
              <w:rPr>
                <w:rFonts w:ascii="宋体" w:hAnsi="宋体" w:cs="宋体"/>
                <w:kern w:val="0"/>
                <w:sz w:val="28"/>
                <w:szCs w:val="28"/>
              </w:rPr>
            </w:pPr>
            <w:r>
              <w:rPr>
                <w:rFonts w:hint="eastAsia" w:ascii="宋体" w:hAnsi="宋体" w:cs="宋体"/>
                <w:kern w:val="0"/>
                <w:sz w:val="28"/>
                <w:szCs w:val="28"/>
              </w:rPr>
              <w:t>2、剂型：饵剂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1378" w:type="dxa"/>
            <w:vAlign w:val="center"/>
          </w:tcPr>
          <w:p>
            <w:pPr>
              <w:jc w:val="center"/>
              <w:rPr>
                <w:rFonts w:ascii="宋体" w:hAnsi="宋体" w:cs="宋体"/>
                <w:kern w:val="0"/>
                <w:sz w:val="28"/>
                <w:szCs w:val="28"/>
              </w:rPr>
            </w:pPr>
            <w:r>
              <w:rPr>
                <w:rFonts w:hint="eastAsia" w:ascii="宋体" w:hAnsi="宋体" w:cs="宋体"/>
                <w:kern w:val="0"/>
                <w:sz w:val="28"/>
                <w:szCs w:val="28"/>
              </w:rPr>
              <w:t>蟑螂</w:t>
            </w:r>
          </w:p>
        </w:tc>
        <w:tc>
          <w:tcPr>
            <w:tcW w:w="1943" w:type="dxa"/>
            <w:tcBorders>
              <w:right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顺式氯氰菊酯</w:t>
            </w:r>
          </w:p>
        </w:tc>
        <w:tc>
          <w:tcPr>
            <w:tcW w:w="5892" w:type="dxa"/>
            <w:tcBorders>
              <w:left w:val="single" w:color="auto" w:sz="4" w:space="0"/>
            </w:tcBorders>
            <w:vAlign w:val="center"/>
          </w:tcPr>
          <w:p>
            <w:pPr>
              <w:spacing w:line="240" w:lineRule="auto"/>
              <w:rPr>
                <w:rFonts w:ascii="宋体" w:hAnsi="宋体" w:cs="宋体"/>
                <w:kern w:val="0"/>
                <w:sz w:val="28"/>
                <w:szCs w:val="28"/>
              </w:rPr>
            </w:pPr>
            <w:r>
              <w:rPr>
                <w:rFonts w:hint="eastAsia" w:ascii="宋体" w:hAnsi="宋体" w:cs="宋体"/>
                <w:kern w:val="0"/>
                <w:sz w:val="28"/>
                <w:szCs w:val="28"/>
              </w:rPr>
              <w:t>1、有效成分：≧8%顺式氯氰菊酯</w:t>
            </w:r>
          </w:p>
          <w:p>
            <w:pPr>
              <w:spacing w:line="240" w:lineRule="auto"/>
              <w:rPr>
                <w:rFonts w:ascii="宋体" w:hAnsi="宋体" w:cs="宋体"/>
                <w:kern w:val="0"/>
                <w:sz w:val="28"/>
                <w:szCs w:val="28"/>
              </w:rPr>
            </w:pPr>
            <w:r>
              <w:rPr>
                <w:rFonts w:hint="eastAsia" w:ascii="宋体" w:hAnsi="宋体" w:cs="宋体"/>
                <w:kern w:val="0"/>
                <w:sz w:val="28"/>
                <w:szCs w:val="28"/>
              </w:rPr>
              <w:t>2、剂型：可湿性粉剂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378" w:type="dxa"/>
            <w:vAlign w:val="center"/>
          </w:tcPr>
          <w:p>
            <w:pPr>
              <w:jc w:val="center"/>
              <w:rPr>
                <w:rFonts w:ascii="宋体" w:hAnsi="宋体" w:cs="宋体"/>
                <w:kern w:val="0"/>
                <w:sz w:val="28"/>
                <w:szCs w:val="28"/>
              </w:rPr>
            </w:pPr>
            <w:r>
              <w:rPr>
                <w:rFonts w:hint="eastAsia" w:ascii="宋体" w:hAnsi="宋体" w:cs="宋体"/>
                <w:kern w:val="0"/>
                <w:sz w:val="28"/>
                <w:szCs w:val="28"/>
              </w:rPr>
              <w:t>蚊蝇</w:t>
            </w:r>
          </w:p>
        </w:tc>
        <w:tc>
          <w:tcPr>
            <w:tcW w:w="1943" w:type="dxa"/>
            <w:tcBorders>
              <w:right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氯菊·烯丙菊</w:t>
            </w:r>
          </w:p>
        </w:tc>
        <w:tc>
          <w:tcPr>
            <w:tcW w:w="5892" w:type="dxa"/>
            <w:tcBorders>
              <w:left w:val="single" w:color="auto" w:sz="4" w:space="0"/>
            </w:tcBorders>
            <w:vAlign w:val="center"/>
          </w:tcPr>
          <w:p>
            <w:pPr>
              <w:spacing w:line="240" w:lineRule="auto"/>
              <w:rPr>
                <w:rFonts w:ascii="宋体" w:hAnsi="宋体" w:cs="宋体"/>
                <w:kern w:val="0"/>
                <w:sz w:val="28"/>
                <w:szCs w:val="28"/>
              </w:rPr>
            </w:pPr>
            <w:r>
              <w:rPr>
                <w:rFonts w:hint="eastAsia" w:ascii="宋体" w:hAnsi="宋体" w:cs="宋体"/>
                <w:kern w:val="0"/>
                <w:sz w:val="28"/>
                <w:szCs w:val="28"/>
              </w:rPr>
              <w:t>1、有效成分：≧15%氯菊酯·S-生物烯丙菊脂</w:t>
            </w:r>
          </w:p>
          <w:p>
            <w:pPr>
              <w:spacing w:line="240" w:lineRule="auto"/>
              <w:rPr>
                <w:rFonts w:ascii="宋体" w:hAnsi="宋体" w:cs="宋体"/>
                <w:kern w:val="0"/>
                <w:sz w:val="28"/>
                <w:szCs w:val="28"/>
              </w:rPr>
            </w:pPr>
            <w:r>
              <w:rPr>
                <w:rFonts w:hint="eastAsia" w:ascii="宋体" w:hAnsi="宋体" w:cs="宋体"/>
                <w:kern w:val="0"/>
                <w:sz w:val="28"/>
                <w:szCs w:val="28"/>
              </w:rPr>
              <w:t>2、剂型：水乳剂或乳油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1378" w:type="dxa"/>
            <w:vAlign w:val="center"/>
          </w:tcPr>
          <w:p>
            <w:pPr>
              <w:jc w:val="center"/>
              <w:rPr>
                <w:rFonts w:ascii="宋体" w:hAnsi="宋体" w:cs="宋体"/>
                <w:kern w:val="0"/>
                <w:sz w:val="28"/>
                <w:szCs w:val="28"/>
              </w:rPr>
            </w:pPr>
            <w:r>
              <w:rPr>
                <w:rFonts w:hint="eastAsia" w:ascii="宋体" w:hAnsi="宋体" w:cs="宋体"/>
                <w:kern w:val="0"/>
                <w:sz w:val="28"/>
                <w:szCs w:val="28"/>
              </w:rPr>
              <w:t>蚊蝇</w:t>
            </w:r>
          </w:p>
        </w:tc>
        <w:tc>
          <w:tcPr>
            <w:tcW w:w="1943" w:type="dxa"/>
            <w:tcBorders>
              <w:right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氯菊·四氟醚</w:t>
            </w:r>
          </w:p>
        </w:tc>
        <w:tc>
          <w:tcPr>
            <w:tcW w:w="5892" w:type="dxa"/>
            <w:tcBorders>
              <w:left w:val="single" w:color="auto" w:sz="4" w:space="0"/>
            </w:tcBorders>
            <w:vAlign w:val="center"/>
          </w:tcPr>
          <w:p>
            <w:pPr>
              <w:spacing w:line="240" w:lineRule="auto"/>
              <w:rPr>
                <w:rFonts w:ascii="宋体" w:hAnsi="宋体" w:cs="宋体"/>
                <w:kern w:val="0"/>
                <w:sz w:val="28"/>
                <w:szCs w:val="28"/>
              </w:rPr>
            </w:pPr>
            <w:r>
              <w:rPr>
                <w:rFonts w:hint="eastAsia" w:ascii="宋体" w:hAnsi="宋体" w:cs="宋体"/>
                <w:kern w:val="0"/>
                <w:sz w:val="28"/>
                <w:szCs w:val="28"/>
              </w:rPr>
              <w:t>1、有效成分：≧3%四氟醚菊酯</w:t>
            </w:r>
          </w:p>
          <w:p>
            <w:pPr>
              <w:spacing w:line="240" w:lineRule="auto"/>
              <w:rPr>
                <w:rFonts w:ascii="宋体" w:hAnsi="宋体" w:cs="宋体"/>
                <w:kern w:val="0"/>
                <w:sz w:val="28"/>
                <w:szCs w:val="28"/>
              </w:rPr>
            </w:pPr>
            <w:r>
              <w:rPr>
                <w:rFonts w:hint="eastAsia" w:ascii="宋体" w:hAnsi="宋体" w:cs="宋体"/>
                <w:kern w:val="0"/>
                <w:sz w:val="28"/>
                <w:szCs w:val="28"/>
              </w:rPr>
              <w:t>2、剂型：水乳剂或乳油</w:t>
            </w:r>
          </w:p>
        </w:tc>
      </w:tr>
    </w:tbl>
    <w:p>
      <w:pPr>
        <w:ind w:firstLine="640"/>
        <w:rPr>
          <w:rFonts w:ascii="方正黑体简体" w:hAnsi="方正黑体_GBK" w:eastAsia="方正黑体简体"/>
        </w:rPr>
      </w:pPr>
      <w:r>
        <w:rPr>
          <w:rFonts w:hint="eastAsia" w:ascii="方正黑体简体" w:hAnsi="方正黑体_GBK" w:eastAsia="方正黑体简体"/>
        </w:rPr>
        <w:t>八、交货时间、交货地点及质量保证</w:t>
      </w:r>
    </w:p>
    <w:p>
      <w:pPr>
        <w:ind w:firstLine="640"/>
      </w:pPr>
      <w:r>
        <w:t>（一）交货时间：成交供应商在采购合同签定后，</w:t>
      </w:r>
      <w:r>
        <w:rPr>
          <w:rFonts w:hint="eastAsia"/>
          <w:u w:val="single"/>
        </w:rPr>
        <w:t>7个工作日</w:t>
      </w:r>
      <w:r>
        <w:rPr>
          <w:rFonts w:hint="eastAsia"/>
        </w:rPr>
        <w:t>内进场服务</w:t>
      </w:r>
      <w:r>
        <w:t>、调试工作。</w:t>
      </w:r>
    </w:p>
    <w:p>
      <w:pPr>
        <w:ind w:firstLine="640"/>
      </w:pPr>
      <w:r>
        <w:t>（二）交货地点：</w:t>
      </w:r>
      <w:r>
        <w:rPr>
          <w:rFonts w:hint="eastAsia"/>
        </w:rPr>
        <w:t>采购人指定地点</w:t>
      </w:r>
    </w:p>
    <w:p>
      <w:pPr>
        <w:ind w:firstLine="640"/>
      </w:pPr>
      <w:r>
        <w:t>（三）售后服务内容</w:t>
      </w:r>
    </w:p>
    <w:p>
      <w:pPr>
        <w:widowControl/>
        <w:snapToGrid w:val="0"/>
        <w:spacing w:line="540" w:lineRule="exact"/>
        <w:ind w:firstLine="640" w:firstLineChars="200"/>
        <w:rPr>
          <w:rFonts w:ascii="仿宋_GB2312" w:hAnsi="仿宋_GB2312" w:eastAsia="仿宋_GB2312" w:cs="仿宋_GB2312"/>
        </w:rPr>
      </w:pPr>
      <w:r>
        <w:rPr>
          <w:rFonts w:eastAsia="仿宋_GB2312"/>
        </w:rPr>
        <w:t>1.</w:t>
      </w:r>
      <w:r>
        <w:rPr>
          <w:rFonts w:hint="eastAsia" w:ascii="仿宋_GB2312" w:hAnsi="仿宋_GB2312" w:eastAsia="仿宋_GB2312" w:cs="仿宋_GB2312"/>
        </w:rPr>
        <w:t>供应商所供应服务质量必须符合国家相关法律法规和国家、行业的相关要求。</w:t>
      </w:r>
    </w:p>
    <w:p>
      <w:pPr>
        <w:widowControl/>
        <w:snapToGrid w:val="0"/>
        <w:spacing w:line="540" w:lineRule="exact"/>
        <w:ind w:firstLine="640" w:firstLineChars="200"/>
        <w:rPr>
          <w:rFonts w:eastAsia="仿宋_GB2312"/>
        </w:rPr>
      </w:pPr>
      <w:r>
        <w:rPr>
          <w:rFonts w:hint="eastAsia" w:eastAsia="仿宋_GB2312"/>
        </w:rPr>
        <w:t>2.成交供应商服务期内，</w:t>
      </w:r>
      <w:r>
        <w:rPr>
          <w:rFonts w:hint="eastAsia" w:ascii="仿宋_GB2312" w:hAnsi="仿宋_GB2312" w:eastAsia="仿宋_GB2312" w:cs="仿宋_GB2312"/>
        </w:rPr>
        <w:t>本项目所有服务内容不得外包、转让或以其他形式变更招标服务主体；出现重大经营、变更事</w:t>
      </w:r>
    </w:p>
    <w:p>
      <w:pPr>
        <w:widowControl/>
        <w:snapToGrid w:val="0"/>
        <w:spacing w:line="540" w:lineRule="exact"/>
        <w:rPr>
          <w:rFonts w:ascii="仿宋_GB2312" w:hAnsi="仿宋_GB2312" w:eastAsia="仿宋_GB2312" w:cs="仿宋_GB2312"/>
        </w:rPr>
      </w:pPr>
      <w:r>
        <w:rPr>
          <w:rFonts w:hint="eastAsia" w:ascii="仿宋_GB2312" w:hAnsi="仿宋_GB2312" w:eastAsia="仿宋_GB2312" w:cs="仿宋_GB2312"/>
        </w:rPr>
        <w:t>件应提前30日告知采购方；</w:t>
      </w:r>
    </w:p>
    <w:p>
      <w:pPr>
        <w:widowControl/>
        <w:snapToGrid w:val="0"/>
        <w:spacing w:line="540" w:lineRule="exact"/>
        <w:ind w:firstLine="640" w:firstLineChars="200"/>
        <w:rPr>
          <w:rFonts w:ascii="仿宋_GB2312" w:hAnsi="仿宋_GB2312" w:eastAsia="仿宋_GB2312" w:cs="仿宋_GB2312"/>
        </w:rPr>
      </w:pPr>
      <w:r>
        <w:rPr>
          <w:rFonts w:hint="eastAsia" w:eastAsia="仿宋_GB2312"/>
        </w:rPr>
        <w:t>3.</w:t>
      </w:r>
      <w:r>
        <w:rPr>
          <w:rFonts w:hint="eastAsia" w:ascii="仿宋_GB2312" w:hAnsi="仿宋_GB2312" w:eastAsia="仿宋_GB2312" w:cs="仿宋_GB2312"/>
        </w:rPr>
        <w:t>服务期内，因成交供应商经营管理不善引起的安全责任事故及履约服务中的经济责任由成交供应商承担；</w:t>
      </w:r>
    </w:p>
    <w:p>
      <w:pPr>
        <w:widowControl/>
        <w:snapToGrid w:val="0"/>
        <w:spacing w:line="540" w:lineRule="exact"/>
        <w:ind w:firstLine="640" w:firstLineChars="200"/>
        <w:rPr>
          <w:rFonts w:ascii="仿宋_GB2312" w:hAnsi="仿宋_GB2312" w:eastAsia="仿宋_GB2312" w:cs="仿宋_GB2312"/>
        </w:rPr>
      </w:pPr>
      <w:r>
        <w:rPr>
          <w:rFonts w:hint="eastAsia" w:eastAsia="仿宋_GB2312"/>
        </w:rPr>
        <w:t>4.</w:t>
      </w:r>
      <w:r>
        <w:rPr>
          <w:rFonts w:hint="eastAsia" w:ascii="仿宋_GB2312" w:hAnsi="仿宋_GB2312" w:eastAsia="仿宋_GB2312" w:cs="仿宋_GB2312"/>
        </w:rPr>
        <w:t>成交供应商服务期内不得擅自（变相）降低（响应承诺）标准、服务质量；</w:t>
      </w:r>
    </w:p>
    <w:p>
      <w:pPr>
        <w:widowControl/>
        <w:snapToGrid w:val="0"/>
        <w:spacing w:line="540" w:lineRule="exact"/>
        <w:ind w:firstLine="640" w:firstLineChars="200"/>
        <w:rPr>
          <w:rFonts w:ascii="仿宋_GB2312" w:hAnsi="仿宋_GB2312" w:eastAsia="仿宋_GB2312" w:cs="仿宋_GB2312"/>
        </w:rPr>
      </w:pPr>
      <w:r>
        <w:rPr>
          <w:rFonts w:hint="eastAsia" w:eastAsia="仿宋_GB2312"/>
        </w:rPr>
        <w:t>5.</w:t>
      </w:r>
      <w:r>
        <w:rPr>
          <w:rFonts w:hint="eastAsia" w:ascii="仿宋_GB2312" w:hAnsi="仿宋_GB2312" w:eastAsia="仿宋_GB2312" w:cs="仿宋_GB2312"/>
        </w:rPr>
        <w:t>成交供应商服务期内必须严格执行国家政策法规；</w:t>
      </w:r>
    </w:p>
    <w:p>
      <w:pPr>
        <w:widowControl/>
        <w:snapToGrid w:val="0"/>
        <w:spacing w:line="540" w:lineRule="exact"/>
        <w:ind w:firstLine="640" w:firstLineChars="200"/>
      </w:pPr>
      <w:r>
        <w:rPr>
          <w:rFonts w:hint="eastAsia" w:eastAsia="仿宋_GB2312"/>
        </w:rPr>
        <w:t>6.</w:t>
      </w:r>
      <w:r>
        <w:rPr>
          <w:rFonts w:hint="eastAsia" w:ascii="仿宋_GB2312" w:hAnsi="仿宋_GB2312" w:eastAsia="仿宋_GB2312" w:cs="仿宋_GB2312"/>
        </w:rPr>
        <w:t>服务期内成交供应商如出现管理质量问题或受合理投诉，采购方有权视情况对其违规行为进行要求整改、解除合同方式的处罚。</w:t>
      </w:r>
    </w:p>
    <w:p>
      <w:pPr>
        <w:ind w:firstLine="640"/>
        <w:rPr>
          <w:rFonts w:ascii="方正黑体简体" w:hAnsi="方正黑体_GBK" w:eastAsia="方正黑体简体"/>
        </w:rPr>
      </w:pPr>
      <w:r>
        <w:rPr>
          <w:rFonts w:hint="eastAsia" w:ascii="方正黑体简体" w:hAnsi="方正黑体_GBK" w:eastAsia="方正黑体简体"/>
        </w:rPr>
        <w:t>九、付款方式</w:t>
      </w:r>
    </w:p>
    <w:p>
      <w:pPr>
        <w:ind w:firstLine="640"/>
        <w:rPr>
          <w:b w:val="0"/>
          <w:bCs w:val="0"/>
        </w:rPr>
      </w:pPr>
      <w:r>
        <w:rPr>
          <w:rFonts w:hint="eastAsia"/>
        </w:rPr>
        <w:t>合同签订后，向采购人申请项目启动资金，采购人 15个工作日内向中标人支付合同总金额的30%作为项目启</w:t>
      </w:r>
      <w:r>
        <w:rPr>
          <w:rFonts w:hint="eastAsia"/>
          <w:b w:val="0"/>
          <w:bCs w:val="0"/>
        </w:rPr>
        <w:t>动资金；</w:t>
      </w:r>
      <w:r>
        <w:rPr>
          <w:rFonts w:hint="eastAsia"/>
          <w:b w:val="0"/>
          <w:bCs w:val="0"/>
          <w:lang w:val="en-US" w:eastAsia="zh-CN"/>
        </w:rPr>
        <w:t>同时</w:t>
      </w:r>
      <w:r>
        <w:rPr>
          <w:rFonts w:hint="eastAsia"/>
          <w:b w:val="0"/>
          <w:bCs w:val="0"/>
        </w:rPr>
        <w:t>中标人</w:t>
      </w:r>
      <w:r>
        <w:rPr>
          <w:rFonts w:hint="eastAsia"/>
          <w:b w:val="0"/>
          <w:bCs w:val="0"/>
          <w:lang w:val="en-US" w:eastAsia="zh-CN"/>
        </w:rPr>
        <w:t>应</w:t>
      </w:r>
      <w:r>
        <w:rPr>
          <w:rFonts w:hint="eastAsia"/>
          <w:b w:val="0"/>
          <w:bCs w:val="0"/>
        </w:rPr>
        <w:t>提供与预付款同等额度的担保函。如</w:t>
      </w:r>
      <w:r>
        <w:rPr>
          <w:rFonts w:hint="eastAsia"/>
          <w:b w:val="0"/>
          <w:bCs w:val="0"/>
          <w:lang w:val="en-US" w:eastAsia="zh-CN"/>
        </w:rPr>
        <w:t>中标人</w:t>
      </w:r>
      <w:r>
        <w:rPr>
          <w:rFonts w:hint="eastAsia"/>
          <w:b w:val="0"/>
          <w:bCs w:val="0"/>
        </w:rPr>
        <w:t>收到预付款后不履行相关义务，可通过担保函收回已支付的预付款。</w:t>
      </w:r>
    </w:p>
    <w:p>
      <w:pPr>
        <w:ind w:firstLine="640"/>
        <w:rPr>
          <w:b w:val="0"/>
          <w:bCs w:val="0"/>
        </w:rPr>
      </w:pPr>
      <w:r>
        <w:rPr>
          <w:rFonts w:hint="eastAsia"/>
          <w:b w:val="0"/>
          <w:bCs w:val="0"/>
        </w:rPr>
        <w:t>情况1：通过国卫复审后，支付合同总金额的50%；合同结束后15个工作日内支付合同总金额的20% 。</w:t>
      </w:r>
    </w:p>
    <w:p>
      <w:pPr>
        <w:ind w:firstLine="640"/>
        <w:rPr>
          <w:b w:val="0"/>
          <w:bCs w:val="0"/>
        </w:rPr>
      </w:pPr>
      <w:r>
        <w:rPr>
          <w:rFonts w:hint="eastAsia"/>
          <w:b w:val="0"/>
          <w:bCs w:val="0"/>
        </w:rPr>
        <w:t>情况2：如在服务期结束后，本辖区并未被国卫复审抽查，合同结束后15个工作日内支付合同总金额的70% 。</w:t>
      </w:r>
    </w:p>
    <w:p>
      <w:pPr>
        <w:ind w:firstLine="640"/>
        <w:rPr>
          <w:rFonts w:hint="eastAsia" w:ascii="仿宋_GB2312" w:hAnsi="仿宋_GB2312" w:eastAsia="仿宋_GB2312" w:cs="仿宋_GB2312"/>
          <w:b w:val="0"/>
          <w:bCs w:val="0"/>
          <w:lang w:eastAsia="zh-CN"/>
        </w:rPr>
      </w:pPr>
      <w:r>
        <w:rPr>
          <w:rFonts w:hint="eastAsia"/>
          <w:b w:val="0"/>
          <w:bCs w:val="0"/>
        </w:rPr>
        <w:t>情况3：如在国卫复审期间，按照、《国家卫生城市标准（2021版）》标准，验收不合格的，</w:t>
      </w:r>
      <w:r>
        <w:rPr>
          <w:rFonts w:hint="eastAsia" w:ascii="仿宋_GB2312" w:hAnsi="仿宋_GB2312" w:eastAsia="仿宋_GB2312" w:cs="仿宋_GB2312"/>
          <w:b w:val="0"/>
          <w:bCs w:val="0"/>
        </w:rPr>
        <w:t xml:space="preserve">扣除合同总金额的20% </w:t>
      </w:r>
      <w:r>
        <w:rPr>
          <w:rFonts w:hint="eastAsia" w:ascii="仿宋_GB2312" w:hAnsi="仿宋_GB2312" w:eastAsia="仿宋_GB2312" w:cs="仿宋_GB2312"/>
          <w:b w:val="0"/>
          <w:bCs w:val="0"/>
          <w:lang w:eastAsia="zh-CN"/>
        </w:rPr>
        <w:t>。</w:t>
      </w:r>
    </w:p>
    <w:p>
      <w:pPr>
        <w:ind w:firstLine="640"/>
        <w:rPr>
          <w:rFonts w:ascii="方正黑体简体" w:hAnsi="方正黑体_GBK" w:eastAsia="方正黑体简体"/>
        </w:rPr>
      </w:pPr>
      <w:r>
        <w:rPr>
          <w:rFonts w:hint="eastAsia" w:ascii="方正黑体简体" w:hAnsi="方正黑体_GBK" w:eastAsia="方正黑体简体"/>
        </w:rPr>
        <w:t>十、知识产权</w:t>
      </w:r>
    </w:p>
    <w:p>
      <w:pPr>
        <w:ind w:firstLine="640"/>
      </w:pPr>
      <w:r>
        <w:t>采购人在中华人民共和国境内使用供应商提供的货物及服务时免受第三方提出的侵犯其专利权或其它知识产权的起诉。如果第三方提出侵权指控，成交供应商应承担由此而引起的一切法律责任和费用。</w:t>
      </w:r>
    </w:p>
    <w:p>
      <w:pPr>
        <w:ind w:firstLine="640"/>
        <w:rPr>
          <w:rFonts w:ascii="方正黑体简体" w:hAnsi="方正黑体_GBK" w:eastAsia="方正黑体简体"/>
        </w:rPr>
      </w:pPr>
      <w:r>
        <w:rPr>
          <w:rFonts w:hint="eastAsia" w:ascii="方正黑体简体" w:hAnsi="方正黑体_GBK" w:eastAsia="方正黑体简体"/>
        </w:rPr>
        <w:t>十一、签订合同</w:t>
      </w:r>
    </w:p>
    <w:p>
      <w:pPr>
        <w:ind w:firstLine="640"/>
      </w:pPr>
      <w:r>
        <w:t>成交供应商应在成交结果公示后5日内与采购人签订合同。成交供应商逾期或拒绝或不按成交状态签订合同的，按政府采购法的有关规定进行严肃处理。</w:t>
      </w:r>
    </w:p>
    <w:p>
      <w:pPr>
        <w:ind w:firstLine="640"/>
        <w:rPr>
          <w:rFonts w:ascii="方正黑体简体" w:hAnsi="方正黑体_GBK" w:eastAsia="方正黑体简体"/>
        </w:rPr>
      </w:pPr>
      <w:r>
        <w:rPr>
          <w:rFonts w:hint="eastAsia" w:ascii="方正黑体简体" w:hAnsi="方正黑体_GBK" w:eastAsia="方正黑体简体"/>
        </w:rPr>
        <w:t>十二、联系方式</w:t>
      </w:r>
    </w:p>
    <w:p>
      <w:pPr>
        <w:ind w:firstLine="640"/>
      </w:pPr>
      <w:r>
        <w:t>采购人：重庆市大渡口区</w:t>
      </w:r>
      <w:r>
        <w:rPr>
          <w:rFonts w:hint="eastAsia"/>
        </w:rPr>
        <w:t>建胜镇人民政府</w:t>
      </w:r>
    </w:p>
    <w:p>
      <w:pPr>
        <w:ind w:firstLine="640"/>
      </w:pPr>
      <w:r>
        <w:t>联系人：</w:t>
      </w:r>
      <w:r>
        <w:rPr>
          <w:rFonts w:hint="eastAsia"/>
        </w:rPr>
        <w:t>廖媛莉</w:t>
      </w:r>
    </w:p>
    <w:p>
      <w:pPr>
        <w:ind w:firstLine="640"/>
      </w:pPr>
      <w:r>
        <w:t>电  话：</w:t>
      </w:r>
      <w:r>
        <w:rPr>
          <w:rFonts w:hint="eastAsia"/>
        </w:rPr>
        <w:t>68152515</w:t>
      </w:r>
    </w:p>
    <w:p>
      <w:pPr>
        <w:ind w:firstLine="640"/>
      </w:pPr>
      <w:r>
        <w:t>地  址：大渡口区</w:t>
      </w:r>
      <w:r>
        <w:rPr>
          <w:rFonts w:hint="eastAsia"/>
        </w:rPr>
        <w:t>建胜镇</w:t>
      </w:r>
    </w:p>
    <w:p>
      <w:pPr>
        <w:ind w:firstLine="640"/>
        <w:rPr>
          <w:rFonts w:ascii="方正黑体简体" w:hAnsi="方正黑体_GBK" w:eastAsia="方正黑体简体"/>
        </w:rPr>
      </w:pPr>
      <w:r>
        <w:rPr>
          <w:rFonts w:hint="eastAsia" w:ascii="方正黑体简体" w:hAnsi="方正黑体_GBK" w:eastAsia="方正黑体简体"/>
        </w:rPr>
        <w:t>十三、其它</w:t>
      </w:r>
    </w:p>
    <w:p>
      <w:pPr>
        <w:ind w:firstLine="640"/>
      </w:pPr>
      <w:r>
        <w:t>1.凡有意参加</w:t>
      </w:r>
      <w:r>
        <w:rPr>
          <w:rFonts w:hint="eastAsia"/>
        </w:rPr>
        <w:t>网上竞采</w:t>
      </w:r>
      <w:r>
        <w:t>的供应商，请于公告发布之日起至报名截止时间之前，在重庆市政府采购云平台下载查看本项目需求文件以及变更公告等询比前公布的所有项目资料，无论供应商下载查看与否，均视为已知晓所有</w:t>
      </w:r>
      <w:r>
        <w:rPr>
          <w:rFonts w:hint="eastAsia"/>
        </w:rPr>
        <w:t>网上竞采</w:t>
      </w:r>
      <w:r>
        <w:t>实质性要求内容。</w:t>
      </w:r>
    </w:p>
    <w:p>
      <w:pPr>
        <w:ind w:firstLine="640"/>
      </w:pPr>
      <w:r>
        <w:t>2.供应商须在平台上报名并按要求上传响应文件，未按要求提供的为无效供应商。</w:t>
      </w:r>
    </w:p>
    <w:p>
      <w:pPr>
        <w:ind w:firstLine="640"/>
      </w:pPr>
      <w:r>
        <w:t>3.无论</w:t>
      </w:r>
      <w:r>
        <w:rPr>
          <w:rFonts w:hint="eastAsia"/>
        </w:rPr>
        <w:t>网上竞采</w:t>
      </w:r>
      <w:r>
        <w:t>结果如何，供应商参与本项目的所有费用均由自行承担。</w:t>
      </w:r>
    </w:p>
    <w:p>
      <w:pPr>
        <w:ind w:firstLine="640"/>
      </w:pPr>
      <w:r>
        <w:t>4.供应商如对需求文件以及变更公告等有疑问，必须以书面形式在提交响应文件截止时间1个工作日前向采购人要求澄清，采购人可视具体情况做出处理或答复。如供应商未提出疑问，视为完全理解并同意本需求文件以及变更公告。一经进入比选程序，即视为供应商已详细阅读全部文件资料，完全理解需求文件以及变更公告所有条款内容并同意放弃对这方面有不明白及误解的权利。</w:t>
      </w:r>
    </w:p>
    <w:p>
      <w:pPr>
        <w:ind w:firstLine="640"/>
      </w:pPr>
      <w:r>
        <w:t>5.供应商所投</w:t>
      </w:r>
      <w:r>
        <w:rPr>
          <w:rFonts w:hint="eastAsia"/>
        </w:rPr>
        <w:t>药物</w:t>
      </w:r>
      <w:r>
        <w:t>规格、型号等性能指标符合国家及本需求文件提出的相关技术、质量、环保、安全等标准。如达不到相关标准，采购人有权向成交供应商提出解除合同。</w:t>
      </w:r>
    </w:p>
    <w:p>
      <w:pPr>
        <w:ind w:firstLine="640"/>
      </w:pPr>
      <w:r>
        <w:t>6.其他未尽事宜由供需双方在采购合同中详细约定。</w:t>
      </w:r>
    </w:p>
    <w:p>
      <w:pPr>
        <w:ind w:firstLine="640"/>
      </w:pPr>
    </w:p>
    <w:p>
      <w:pPr>
        <w:ind w:firstLine="640"/>
      </w:pPr>
      <w:r>
        <w:t>附件：1.响应文件格式目录</w:t>
      </w:r>
    </w:p>
    <w:p>
      <w:pPr>
        <w:ind w:left="840" w:firstLine="739" w:firstLineChars="231"/>
      </w:pPr>
      <w:r>
        <w:t>2.</w:t>
      </w:r>
      <w:r>
        <w:rPr>
          <w:rFonts w:hint="eastAsia"/>
        </w:rPr>
        <w:t>合同主要条款和格式合同（样本）</w:t>
      </w:r>
      <w:r>
        <w:br w:type="page"/>
      </w:r>
    </w:p>
    <w:p>
      <w:r>
        <w:t>附件1</w:t>
      </w:r>
    </w:p>
    <w:p>
      <w:pPr>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响应文件格式目录</w:t>
      </w:r>
    </w:p>
    <w:p>
      <w:pPr>
        <w:ind w:firstLine="640"/>
        <w:rPr>
          <w:b/>
          <w:bCs/>
        </w:rPr>
      </w:pPr>
      <w:r>
        <w:rPr>
          <w:rFonts w:hint="eastAsia"/>
          <w:b/>
          <w:bCs/>
        </w:rPr>
        <w:t>一、经济文件</w:t>
      </w:r>
    </w:p>
    <w:p>
      <w:pPr>
        <w:ind w:firstLine="640"/>
      </w:pPr>
      <w:r>
        <w:rPr>
          <w:rFonts w:hint="eastAsia"/>
        </w:rPr>
        <w:t>（一）报价函</w:t>
      </w:r>
    </w:p>
    <w:p>
      <w:pPr>
        <w:ind w:firstLine="640"/>
      </w:pPr>
      <w:r>
        <w:rPr>
          <w:rFonts w:hint="eastAsia"/>
        </w:rPr>
        <w:t>（二）明细报价表</w:t>
      </w:r>
    </w:p>
    <w:p>
      <w:pPr>
        <w:ind w:firstLine="640"/>
        <w:rPr>
          <w:b/>
          <w:bCs/>
        </w:rPr>
      </w:pPr>
      <w:r>
        <w:rPr>
          <w:rFonts w:hint="eastAsia"/>
          <w:b/>
          <w:bCs/>
        </w:rPr>
        <w:t>二、资格文件</w:t>
      </w:r>
    </w:p>
    <w:p>
      <w:pPr>
        <w:ind w:firstLine="640"/>
      </w:pPr>
      <w:r>
        <w:rPr>
          <w:rFonts w:hint="eastAsia"/>
        </w:rPr>
        <w:t>（一）营业执照（副本）或事业单位法人证书（副本）复印件</w:t>
      </w:r>
    </w:p>
    <w:p>
      <w:pPr>
        <w:ind w:firstLine="640"/>
      </w:pPr>
      <w:r>
        <w:rPr>
          <w:rFonts w:hint="eastAsia"/>
        </w:rPr>
        <w:t>（二）</w:t>
      </w:r>
      <w:r>
        <w:t>税务登记证复印件</w:t>
      </w:r>
    </w:p>
    <w:p>
      <w:pPr>
        <w:ind w:firstLine="640"/>
      </w:pPr>
      <w:r>
        <w:rPr>
          <w:rFonts w:hint="eastAsia"/>
        </w:rPr>
        <w:t>（三）法定代表人身份证明书（格式）</w:t>
      </w:r>
    </w:p>
    <w:p>
      <w:pPr>
        <w:ind w:firstLine="640"/>
      </w:pPr>
      <w:r>
        <w:rPr>
          <w:rFonts w:hint="eastAsia"/>
        </w:rPr>
        <w:t>（四）法定代表人授权委托书（格式）</w:t>
      </w:r>
    </w:p>
    <w:p>
      <w:pPr>
        <w:ind w:firstLine="640"/>
      </w:pPr>
      <w:r>
        <w:rPr>
          <w:rFonts w:hint="eastAsia"/>
        </w:rPr>
        <w:t>（五）书面声明（格式）</w:t>
      </w:r>
    </w:p>
    <w:p>
      <w:pPr>
        <w:ind w:firstLine="640"/>
      </w:pPr>
      <w:r>
        <w:rPr>
          <w:rFonts w:hint="eastAsia"/>
        </w:rPr>
        <w:t>（六）特定资格条件证书或证明文件</w:t>
      </w:r>
    </w:p>
    <w:p>
      <w:pPr>
        <w:ind w:firstLine="640"/>
      </w:pPr>
      <w:r>
        <w:rPr>
          <w:rFonts w:hint="eastAsia"/>
        </w:rPr>
        <w:t>（七）社会保险缴纳证明材料复印件</w:t>
      </w:r>
    </w:p>
    <w:p>
      <w:pPr>
        <w:ind w:firstLine="640"/>
      </w:pPr>
      <w:r>
        <w:rPr>
          <w:rFonts w:hint="eastAsia"/>
        </w:rPr>
        <w:t>供应商需具备中国卫生有害生物防制协会、重庆有害生物防制协会颁发的有效的有害生物防制服务能力A级资质。</w:t>
      </w:r>
    </w:p>
    <w:p>
      <w:pPr>
        <w:ind w:firstLine="640"/>
      </w:pPr>
      <w:r>
        <w:rPr>
          <w:rFonts w:hint="eastAsia"/>
        </w:rPr>
        <w:t>说明：投标人按“三证合一”登记制度办理营业执照的，组织机构代码证和税务登记证以投标人所提供的法人营业执照（副本）复印件为准。</w:t>
      </w:r>
    </w:p>
    <w:p>
      <w:pPr>
        <w:ind w:firstLine="640"/>
        <w:rPr>
          <w:b/>
          <w:bCs/>
        </w:rPr>
      </w:pPr>
      <w:r>
        <w:rPr>
          <w:rFonts w:hint="eastAsia"/>
          <w:b/>
          <w:bCs/>
        </w:rPr>
        <w:t>三、商务文件</w:t>
      </w:r>
    </w:p>
    <w:p>
      <w:pPr>
        <w:ind w:firstLine="640"/>
      </w:pPr>
      <w:r>
        <w:rPr>
          <w:rFonts w:hint="eastAsia"/>
        </w:rPr>
        <w:t>（一）投标函（格式）</w:t>
      </w:r>
    </w:p>
    <w:p>
      <w:pPr>
        <w:ind w:firstLine="640"/>
      </w:pPr>
      <w:r>
        <w:rPr>
          <w:rFonts w:hint="eastAsia"/>
        </w:rPr>
        <w:t>（二）售后服务承诺</w:t>
      </w:r>
    </w:p>
    <w:p>
      <w:pPr>
        <w:ind w:firstLine="640"/>
        <w:rPr>
          <w:b/>
          <w:bCs/>
        </w:rPr>
      </w:pPr>
      <w:r>
        <w:rPr>
          <w:rFonts w:hint="eastAsia"/>
          <w:b/>
          <w:bCs/>
        </w:rPr>
        <w:t>四、技术文件</w:t>
      </w:r>
    </w:p>
    <w:p>
      <w:pPr>
        <w:ind w:firstLine="640"/>
      </w:pPr>
      <w:r>
        <w:rPr>
          <w:rFonts w:hint="eastAsia"/>
        </w:rPr>
        <w:t>（一）技术响应偏离表</w:t>
      </w:r>
    </w:p>
    <w:p>
      <w:pPr>
        <w:ind w:firstLine="640"/>
        <w:rPr>
          <w:b/>
          <w:bCs/>
        </w:rPr>
      </w:pPr>
      <w:r>
        <w:rPr>
          <w:rFonts w:hint="eastAsia"/>
          <w:b/>
          <w:bCs/>
        </w:rPr>
        <w:t>五、其他资料</w:t>
      </w:r>
    </w:p>
    <w:p>
      <w:pPr>
        <w:ind w:firstLine="640"/>
      </w:pPr>
      <w:r>
        <w:rPr>
          <w:rFonts w:hint="eastAsia"/>
        </w:rPr>
        <w:t>（一）其他与项目有关的资料（自附）</w:t>
      </w:r>
    </w:p>
    <w:p>
      <w:r>
        <w:rPr>
          <w:rFonts w:hint="eastAsia"/>
        </w:rPr>
        <w:br w:type="page"/>
      </w:r>
    </w:p>
    <w:p>
      <w:pPr>
        <w:rPr>
          <w:rFonts w:ascii="方正黑体_GBK" w:hAnsi="方正黑体_GBK" w:eastAsia="方正黑体_GBK"/>
        </w:rPr>
      </w:pPr>
      <w:r>
        <w:rPr>
          <w:rFonts w:hint="eastAsia" w:ascii="方正黑体_GBK" w:hAnsi="方正黑体_GBK" w:eastAsia="方正黑体_GBK"/>
        </w:rPr>
        <w:t>一、经济文件</w:t>
      </w:r>
    </w:p>
    <w:p>
      <w:pPr>
        <w:ind w:firstLine="641"/>
      </w:pPr>
      <w:r>
        <w:t>（一）报价函</w:t>
      </w:r>
    </w:p>
    <w:p>
      <w:pPr>
        <w:tabs>
          <w:tab w:val="left" w:pos="6300"/>
        </w:tabs>
        <w:snapToGrid w:val="0"/>
        <w:spacing w:line="312" w:lineRule="auto"/>
        <w:jc w:val="center"/>
        <w:rPr>
          <w:rFonts w:ascii="宋体" w:hAnsi="宋体" w:cs="宋体"/>
          <w:b/>
          <w:sz w:val="30"/>
          <w:szCs w:val="30"/>
        </w:rPr>
      </w:pPr>
      <w:r>
        <w:rPr>
          <w:rFonts w:hint="eastAsia" w:ascii="宋体" w:hAnsi="宋体" w:cs="宋体"/>
          <w:b/>
          <w:sz w:val="30"/>
          <w:szCs w:val="30"/>
        </w:rPr>
        <w:t>竞采采购报价函</w:t>
      </w:r>
    </w:p>
    <w:p>
      <w:pPr>
        <w:tabs>
          <w:tab w:val="left" w:pos="6300"/>
        </w:tabs>
        <w:snapToGrid w:val="0"/>
        <w:spacing w:line="312" w:lineRule="auto"/>
        <w:rPr>
          <w:rFonts w:ascii="宋体" w:hAnsi="宋体" w:cs="宋体"/>
          <w:sz w:val="30"/>
          <w:szCs w:val="30"/>
          <w:u w:val="single"/>
        </w:rPr>
      </w:pPr>
      <w:r>
        <w:rPr>
          <w:rFonts w:hint="eastAsia"/>
          <w:sz w:val="30"/>
          <w:szCs w:val="30"/>
          <w:u w:val="single"/>
        </w:rPr>
        <w:t>重庆市大渡口区建胜镇人民政府</w:t>
      </w:r>
      <w:r>
        <w:rPr>
          <w:rFonts w:hint="eastAsia" w:ascii="宋体" w:hAnsi="宋体" w:cs="宋体"/>
          <w:sz w:val="30"/>
          <w:szCs w:val="30"/>
          <w:u w:val="single"/>
        </w:rPr>
        <w:t>：</w:t>
      </w:r>
    </w:p>
    <w:p>
      <w:pPr>
        <w:tabs>
          <w:tab w:val="left" w:pos="6300"/>
        </w:tabs>
        <w:snapToGrid w:val="0"/>
        <w:spacing w:line="312" w:lineRule="auto"/>
        <w:ind w:firstLine="600" w:firstLineChars="200"/>
        <w:rPr>
          <w:rFonts w:ascii="宋体" w:hAnsi="宋体" w:cs="宋体"/>
          <w:sz w:val="30"/>
          <w:szCs w:val="30"/>
        </w:rPr>
      </w:pPr>
      <w:r>
        <w:rPr>
          <w:rFonts w:hint="eastAsia" w:ascii="宋体" w:hAnsi="宋体" w:cs="宋体"/>
          <w:sz w:val="30"/>
          <w:szCs w:val="30"/>
        </w:rPr>
        <w:t>我方收到</w:t>
      </w:r>
      <w:r>
        <w:rPr>
          <w:rFonts w:hint="eastAsia" w:ascii="宋体" w:hAnsi="宋体" w:cs="宋体"/>
          <w:sz w:val="30"/>
          <w:szCs w:val="30"/>
          <w:u w:val="single"/>
        </w:rPr>
        <w:t xml:space="preserve">                 </w:t>
      </w:r>
      <w:r>
        <w:rPr>
          <w:rFonts w:hint="eastAsia" w:ascii="宋体" w:hAnsi="宋体" w:cs="宋体"/>
          <w:sz w:val="30"/>
          <w:szCs w:val="30"/>
        </w:rPr>
        <w:t>（项目名称）的竞采采购文件，经详细研究，决定参加该项目的竞采采购。</w:t>
      </w:r>
    </w:p>
    <w:p>
      <w:pPr>
        <w:tabs>
          <w:tab w:val="left" w:pos="6300"/>
        </w:tabs>
        <w:snapToGrid w:val="0"/>
        <w:spacing w:line="312" w:lineRule="auto"/>
        <w:ind w:firstLine="600" w:firstLineChars="200"/>
        <w:rPr>
          <w:rFonts w:ascii="宋体" w:hAnsi="宋体" w:cs="宋体"/>
          <w:sz w:val="30"/>
          <w:szCs w:val="30"/>
        </w:rPr>
      </w:pPr>
      <w:r>
        <w:rPr>
          <w:rFonts w:hint="eastAsia"/>
          <w:sz w:val="30"/>
          <w:szCs w:val="30"/>
        </w:rPr>
        <w:t>1</w:t>
      </w:r>
      <w:r>
        <w:rPr>
          <w:sz w:val="30"/>
          <w:szCs w:val="30"/>
        </w:rPr>
        <w:t>.</w:t>
      </w:r>
      <w:r>
        <w:rPr>
          <w:rFonts w:hint="eastAsia" w:ascii="宋体" w:hAnsi="宋体" w:cs="宋体"/>
          <w:sz w:val="30"/>
          <w:szCs w:val="30"/>
        </w:rPr>
        <w:t>愿意按照竞采文件中的一切要求，提供本项目的交货及服务要求，报价为人民币大写：</w:t>
      </w:r>
      <w:r>
        <w:rPr>
          <w:rFonts w:hint="eastAsia"/>
          <w:sz w:val="30"/>
          <w:szCs w:val="30"/>
          <w:u w:val="single"/>
        </w:rPr>
        <w:t xml:space="preserve">              </w:t>
      </w:r>
      <w:r>
        <w:rPr>
          <w:rFonts w:hint="eastAsia" w:ascii="宋体" w:hAnsi="宋体" w:cs="宋体"/>
          <w:sz w:val="30"/>
          <w:szCs w:val="30"/>
          <w:u w:val="single"/>
        </w:rPr>
        <w:t xml:space="preserve">  </w:t>
      </w:r>
      <w:r>
        <w:rPr>
          <w:rFonts w:hint="eastAsia" w:ascii="宋体" w:hAnsi="宋体" w:cs="宋体"/>
          <w:sz w:val="30"/>
          <w:szCs w:val="30"/>
        </w:rPr>
        <w:t>整；人民币小写：</w:t>
      </w:r>
      <w:r>
        <w:rPr>
          <w:rFonts w:hint="eastAsia" w:ascii="宋体" w:hAnsi="宋体" w:cs="宋体"/>
          <w:sz w:val="30"/>
          <w:szCs w:val="30"/>
          <w:u w:val="single"/>
        </w:rPr>
        <w:t xml:space="preserve">             </w:t>
      </w:r>
      <w:r>
        <w:rPr>
          <w:rFonts w:hint="eastAsia" w:ascii="宋体" w:hAnsi="宋体" w:cs="宋体"/>
          <w:sz w:val="30"/>
          <w:szCs w:val="30"/>
        </w:rPr>
        <w:t>元。</w:t>
      </w:r>
    </w:p>
    <w:p>
      <w:pPr>
        <w:tabs>
          <w:tab w:val="left" w:pos="6300"/>
        </w:tabs>
        <w:snapToGrid w:val="0"/>
        <w:spacing w:line="312" w:lineRule="auto"/>
        <w:ind w:firstLine="600" w:firstLineChars="200"/>
        <w:rPr>
          <w:rFonts w:ascii="宋体" w:hAnsi="宋体" w:cs="宋体"/>
          <w:sz w:val="30"/>
          <w:szCs w:val="30"/>
        </w:rPr>
      </w:pPr>
      <w:r>
        <w:rPr>
          <w:rFonts w:hint="eastAsia"/>
          <w:sz w:val="30"/>
          <w:szCs w:val="30"/>
        </w:rPr>
        <w:t>2</w:t>
      </w:r>
      <w:r>
        <w:rPr>
          <w:sz w:val="30"/>
          <w:szCs w:val="30"/>
        </w:rPr>
        <w:t>.</w:t>
      </w:r>
      <w:r>
        <w:rPr>
          <w:rFonts w:hint="eastAsia" w:ascii="宋体" w:hAnsi="宋体" w:cs="宋体"/>
          <w:sz w:val="30"/>
          <w:szCs w:val="30"/>
        </w:rPr>
        <w:t>我方现提交的响应文件为：线上提交响应文件</w:t>
      </w:r>
      <w:r>
        <w:rPr>
          <w:rFonts w:hint="eastAsia"/>
          <w:sz w:val="30"/>
          <w:szCs w:val="30"/>
        </w:rPr>
        <w:t>PDF</w:t>
      </w:r>
      <w:r>
        <w:rPr>
          <w:rFonts w:hint="eastAsia" w:ascii="宋体" w:hAnsi="宋体" w:cs="宋体"/>
          <w:sz w:val="30"/>
          <w:szCs w:val="30"/>
        </w:rPr>
        <w:t>格式电子文档一份。</w:t>
      </w:r>
    </w:p>
    <w:p>
      <w:pPr>
        <w:tabs>
          <w:tab w:val="left" w:pos="6300"/>
        </w:tabs>
        <w:snapToGrid w:val="0"/>
        <w:spacing w:line="312" w:lineRule="auto"/>
        <w:ind w:firstLine="600" w:firstLineChars="200"/>
        <w:rPr>
          <w:rFonts w:ascii="宋体" w:hAnsi="宋体" w:cs="宋体"/>
          <w:sz w:val="30"/>
          <w:szCs w:val="30"/>
        </w:rPr>
      </w:pPr>
      <w:r>
        <w:rPr>
          <w:rFonts w:hint="eastAsia"/>
          <w:sz w:val="30"/>
          <w:szCs w:val="30"/>
        </w:rPr>
        <w:t>3</w:t>
      </w:r>
      <w:r>
        <w:rPr>
          <w:sz w:val="30"/>
          <w:szCs w:val="30"/>
        </w:rPr>
        <w:t>.</w:t>
      </w:r>
      <w:r>
        <w:rPr>
          <w:rFonts w:hint="eastAsia" w:ascii="宋体" w:hAnsi="宋体" w:cs="宋体"/>
          <w:sz w:val="30"/>
          <w:szCs w:val="30"/>
        </w:rPr>
        <w:t>我方承诺：本次竞采的有效期为</w:t>
      </w:r>
      <w:r>
        <w:rPr>
          <w:rFonts w:hint="eastAsia"/>
          <w:sz w:val="30"/>
          <w:szCs w:val="30"/>
        </w:rPr>
        <w:t>90</w:t>
      </w:r>
      <w:r>
        <w:rPr>
          <w:rFonts w:hint="eastAsia" w:ascii="宋体" w:hAnsi="宋体" w:cs="宋体"/>
          <w:sz w:val="30"/>
          <w:szCs w:val="30"/>
        </w:rPr>
        <w:t>天。</w:t>
      </w:r>
    </w:p>
    <w:p>
      <w:pPr>
        <w:tabs>
          <w:tab w:val="left" w:pos="6300"/>
        </w:tabs>
        <w:snapToGrid w:val="0"/>
        <w:spacing w:line="312" w:lineRule="auto"/>
        <w:ind w:firstLine="600" w:firstLineChars="200"/>
        <w:rPr>
          <w:rFonts w:ascii="宋体" w:hAnsi="宋体" w:cs="宋体"/>
          <w:sz w:val="30"/>
          <w:szCs w:val="30"/>
        </w:rPr>
      </w:pPr>
      <w:r>
        <w:rPr>
          <w:sz w:val="30"/>
          <w:szCs w:val="30"/>
        </w:rPr>
        <w:t>4.</w:t>
      </w:r>
      <w:r>
        <w:rPr>
          <w:rFonts w:hint="eastAsia" w:ascii="宋体" w:hAnsi="宋体" w:cs="宋体"/>
          <w:sz w:val="30"/>
          <w:szCs w:val="30"/>
        </w:rPr>
        <w:t>我方完全理解和接受贵方竞采文件的一切规定和要求及评审办法。</w:t>
      </w:r>
    </w:p>
    <w:p>
      <w:pPr>
        <w:tabs>
          <w:tab w:val="left" w:pos="6300"/>
        </w:tabs>
        <w:snapToGrid w:val="0"/>
        <w:spacing w:line="312" w:lineRule="auto"/>
        <w:ind w:firstLine="600" w:firstLineChars="200"/>
        <w:rPr>
          <w:rFonts w:ascii="宋体" w:hAnsi="宋体" w:cs="宋体"/>
          <w:sz w:val="30"/>
          <w:szCs w:val="30"/>
        </w:rPr>
      </w:pPr>
      <w:r>
        <w:rPr>
          <w:rFonts w:hint="eastAsia"/>
          <w:sz w:val="30"/>
          <w:szCs w:val="30"/>
        </w:rPr>
        <w:t>5</w:t>
      </w:r>
      <w:r>
        <w:rPr>
          <w:sz w:val="30"/>
          <w:szCs w:val="30"/>
        </w:rPr>
        <w:t>.</w:t>
      </w:r>
      <w:r>
        <w:rPr>
          <w:rFonts w:hint="eastAsia" w:ascii="宋体" w:hAnsi="宋体" w:cs="宋体"/>
          <w:sz w:val="30"/>
          <w:szCs w:val="30"/>
        </w:rPr>
        <w:t>在整个竞采过程中，我方若有违规行为，接受按照《中华人民共和国政府采购法》和《网上竞采采购文件》之规定给予惩罚。</w:t>
      </w:r>
    </w:p>
    <w:p>
      <w:pPr>
        <w:tabs>
          <w:tab w:val="left" w:pos="6300"/>
        </w:tabs>
        <w:snapToGrid w:val="0"/>
        <w:spacing w:line="312" w:lineRule="auto"/>
        <w:ind w:firstLine="600" w:firstLineChars="200"/>
        <w:rPr>
          <w:rFonts w:ascii="宋体" w:hAnsi="宋体" w:cs="宋体"/>
          <w:sz w:val="30"/>
          <w:szCs w:val="30"/>
        </w:rPr>
      </w:pPr>
      <w:r>
        <w:rPr>
          <w:rFonts w:hint="eastAsia"/>
          <w:sz w:val="30"/>
          <w:szCs w:val="30"/>
        </w:rPr>
        <w:t>6</w:t>
      </w:r>
      <w:r>
        <w:rPr>
          <w:sz w:val="30"/>
          <w:szCs w:val="30"/>
        </w:rPr>
        <w:t>.</w:t>
      </w:r>
      <w:r>
        <w:rPr>
          <w:rFonts w:hint="eastAsia" w:ascii="宋体" w:hAnsi="宋体" w:cs="宋体"/>
          <w:sz w:val="30"/>
          <w:szCs w:val="30"/>
        </w:rPr>
        <w:t>我方若成为成交供应商，将按照最终竞采结果签订合同，并且严格履行合同义务。本承诺函将成为合同不可分割的一部分，与合同具有同等的法律效力。</w:t>
      </w:r>
    </w:p>
    <w:p>
      <w:pPr>
        <w:tabs>
          <w:tab w:val="left" w:pos="6300"/>
        </w:tabs>
        <w:snapToGrid w:val="0"/>
        <w:spacing w:line="312" w:lineRule="auto"/>
        <w:ind w:firstLine="600" w:firstLineChars="200"/>
        <w:rPr>
          <w:rFonts w:ascii="宋体" w:hAnsi="宋体" w:cs="宋体"/>
          <w:sz w:val="30"/>
          <w:szCs w:val="30"/>
        </w:rPr>
      </w:pPr>
      <w:r>
        <w:rPr>
          <w:rFonts w:hint="eastAsia"/>
          <w:sz w:val="30"/>
          <w:szCs w:val="30"/>
        </w:rPr>
        <w:t>7</w:t>
      </w:r>
      <w:r>
        <w:rPr>
          <w:sz w:val="30"/>
          <w:szCs w:val="30"/>
        </w:rPr>
        <w:t>.</w:t>
      </w:r>
      <w:r>
        <w:rPr>
          <w:rFonts w:hint="eastAsia" w:ascii="宋体" w:hAnsi="宋体" w:cs="宋体"/>
          <w:sz w:val="30"/>
          <w:szCs w:val="30"/>
        </w:rPr>
        <w:t>我方未为采购项目提供整体设计、规范编制或者项目管理、监理、检测等服务。</w:t>
      </w:r>
    </w:p>
    <w:p>
      <w:pPr>
        <w:tabs>
          <w:tab w:val="left" w:pos="6300"/>
        </w:tabs>
        <w:snapToGrid w:val="0"/>
        <w:spacing w:line="312" w:lineRule="auto"/>
        <w:ind w:firstLine="570"/>
        <w:rPr>
          <w:rFonts w:ascii="宋体" w:hAnsi="宋体" w:cs="宋体"/>
          <w:sz w:val="30"/>
          <w:szCs w:val="30"/>
        </w:rPr>
      </w:pPr>
      <w:r>
        <w:rPr>
          <w:rFonts w:hint="eastAsia" w:ascii="宋体" w:hAnsi="宋体" w:cs="宋体"/>
          <w:sz w:val="30"/>
          <w:szCs w:val="30"/>
        </w:rPr>
        <w:t>供应商（公章）：</w:t>
      </w:r>
    </w:p>
    <w:p>
      <w:pPr>
        <w:tabs>
          <w:tab w:val="left" w:pos="6300"/>
        </w:tabs>
        <w:snapToGrid w:val="0"/>
        <w:spacing w:line="312" w:lineRule="auto"/>
        <w:ind w:firstLine="570"/>
        <w:rPr>
          <w:rFonts w:ascii="宋体" w:hAnsi="宋体" w:cs="宋体"/>
          <w:sz w:val="30"/>
          <w:szCs w:val="30"/>
        </w:rPr>
      </w:pPr>
      <w:r>
        <w:rPr>
          <w:rFonts w:hint="eastAsia" w:ascii="宋体" w:hAnsi="宋体" w:cs="宋体"/>
          <w:sz w:val="30"/>
          <w:szCs w:val="30"/>
        </w:rPr>
        <w:t xml:space="preserve">地址：   </w:t>
      </w:r>
    </w:p>
    <w:p>
      <w:pPr>
        <w:tabs>
          <w:tab w:val="left" w:pos="6300"/>
        </w:tabs>
        <w:snapToGrid w:val="0"/>
        <w:spacing w:line="312" w:lineRule="auto"/>
        <w:ind w:firstLine="570"/>
        <w:rPr>
          <w:rFonts w:ascii="宋体" w:hAnsi="宋体" w:cs="宋体"/>
          <w:sz w:val="30"/>
          <w:szCs w:val="30"/>
        </w:rPr>
      </w:pPr>
      <w:r>
        <w:rPr>
          <w:rFonts w:hint="eastAsia" w:ascii="宋体" w:hAnsi="宋体" w:cs="宋体"/>
          <w:sz w:val="30"/>
          <w:szCs w:val="30"/>
        </w:rPr>
        <w:t>电话：                                   传真：</w:t>
      </w:r>
    </w:p>
    <w:p>
      <w:pPr>
        <w:tabs>
          <w:tab w:val="left" w:pos="6300"/>
        </w:tabs>
        <w:snapToGrid w:val="0"/>
        <w:spacing w:line="312" w:lineRule="auto"/>
        <w:ind w:firstLine="570"/>
        <w:rPr>
          <w:rFonts w:ascii="宋体" w:hAnsi="宋体" w:cs="宋体"/>
          <w:sz w:val="30"/>
          <w:szCs w:val="30"/>
        </w:rPr>
      </w:pPr>
      <w:r>
        <w:rPr>
          <w:rFonts w:hint="eastAsia" w:ascii="宋体" w:hAnsi="宋体" w:cs="宋体"/>
          <w:sz w:val="30"/>
          <w:szCs w:val="30"/>
        </w:rPr>
        <w:t>网址：                                   邮编：</w:t>
      </w:r>
    </w:p>
    <w:p>
      <w:pPr>
        <w:tabs>
          <w:tab w:val="left" w:pos="6300"/>
        </w:tabs>
        <w:snapToGrid w:val="0"/>
        <w:spacing w:line="312" w:lineRule="auto"/>
        <w:ind w:firstLine="570"/>
        <w:rPr>
          <w:rFonts w:ascii="宋体" w:hAnsi="宋体" w:cs="宋体"/>
          <w:sz w:val="30"/>
          <w:szCs w:val="30"/>
        </w:rPr>
      </w:pPr>
      <w:r>
        <w:rPr>
          <w:rFonts w:hint="eastAsia" w:ascii="宋体" w:hAnsi="宋体" w:cs="宋体"/>
          <w:sz w:val="30"/>
          <w:szCs w:val="30"/>
        </w:rPr>
        <w:t xml:space="preserve">联系人：  </w:t>
      </w:r>
    </w:p>
    <w:p/>
    <w:p>
      <w:pPr>
        <w:ind w:firstLine="641"/>
      </w:pPr>
      <w:r>
        <w:rPr>
          <w:rFonts w:hint="eastAsia"/>
        </w:rPr>
        <w:t>（二）明细报价表</w:t>
      </w:r>
    </w:p>
    <w:p>
      <w:pPr>
        <w:jc w:val="center"/>
      </w:pPr>
      <w:r>
        <w:rPr>
          <w:rFonts w:hint="eastAsia"/>
        </w:rPr>
        <w:t>明细报价表</w:t>
      </w:r>
    </w:p>
    <w:tbl>
      <w:tblPr>
        <w:tblStyle w:val="14"/>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r>
              <w:rPr>
                <w:rFonts w:hint="eastAsia"/>
              </w:rPr>
              <w:t>序号</w:t>
            </w:r>
          </w:p>
        </w:tc>
        <w:tc>
          <w:tcPr>
            <w:tcW w:w="1695" w:type="dxa"/>
            <w:vAlign w:val="center"/>
          </w:tcPr>
          <w:p>
            <w:pPr>
              <w:jc w:val="center"/>
            </w:pPr>
            <w:r>
              <w:rPr>
                <w:rFonts w:hint="eastAsia"/>
              </w:rPr>
              <w:t>名称</w:t>
            </w:r>
          </w:p>
        </w:tc>
        <w:tc>
          <w:tcPr>
            <w:tcW w:w="3404" w:type="dxa"/>
            <w:vAlign w:val="center"/>
          </w:tcPr>
          <w:p>
            <w:pPr>
              <w:jc w:val="center"/>
            </w:pPr>
            <w:r>
              <w:rPr>
                <w:rFonts w:hint="eastAsia"/>
              </w:rPr>
              <w:t>相关信息</w:t>
            </w:r>
          </w:p>
        </w:tc>
        <w:tc>
          <w:tcPr>
            <w:tcW w:w="1344" w:type="dxa"/>
            <w:vAlign w:val="center"/>
          </w:tcPr>
          <w:p>
            <w:pPr>
              <w:jc w:val="center"/>
            </w:pPr>
            <w:r>
              <w:rPr>
                <w:rFonts w:hint="eastAsia"/>
              </w:rPr>
              <w:t>数量</w:t>
            </w:r>
          </w:p>
        </w:tc>
        <w:tc>
          <w:tcPr>
            <w:tcW w:w="1344" w:type="dxa"/>
            <w:vAlign w:val="center"/>
          </w:tcPr>
          <w:p>
            <w:pPr>
              <w:jc w:val="center"/>
            </w:pPr>
            <w:r>
              <w:rPr>
                <w:rFonts w:hint="eastAsia"/>
              </w:rPr>
              <w:t>单价</w:t>
            </w:r>
          </w:p>
        </w:tc>
        <w:tc>
          <w:tcPr>
            <w:tcW w:w="1344" w:type="dxa"/>
            <w:vAlign w:val="center"/>
          </w:tcPr>
          <w:p>
            <w:pPr>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22" w:type="dxa"/>
            <w:vAlign w:val="center"/>
          </w:tcPr>
          <w:p/>
        </w:tc>
        <w:tc>
          <w:tcPr>
            <w:tcW w:w="1695" w:type="dxa"/>
            <w:vAlign w:val="center"/>
          </w:tcPr>
          <w:p>
            <w:pPr>
              <w:ind w:firstLine="640"/>
            </w:pPr>
          </w:p>
        </w:tc>
        <w:tc>
          <w:tcPr>
            <w:tcW w:w="3404" w:type="dxa"/>
          </w:tcPr>
          <w:p>
            <w:pPr>
              <w:ind w:firstLine="640"/>
            </w:pPr>
          </w:p>
        </w:tc>
        <w:tc>
          <w:tcPr>
            <w:tcW w:w="1344" w:type="dxa"/>
            <w:vAlign w:val="center"/>
          </w:tcPr>
          <w:p>
            <w:pPr>
              <w:ind w:firstLine="640"/>
            </w:pPr>
          </w:p>
        </w:tc>
        <w:tc>
          <w:tcPr>
            <w:tcW w:w="1344" w:type="dxa"/>
          </w:tcPr>
          <w:p>
            <w:pPr>
              <w:ind w:firstLine="640"/>
            </w:pPr>
          </w:p>
        </w:tc>
        <w:tc>
          <w:tcPr>
            <w:tcW w:w="1344"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22" w:type="dxa"/>
            <w:vAlign w:val="center"/>
          </w:tcPr>
          <w:p>
            <w:pPr>
              <w:ind w:firstLine="640"/>
            </w:pPr>
          </w:p>
        </w:tc>
        <w:tc>
          <w:tcPr>
            <w:tcW w:w="1695" w:type="dxa"/>
            <w:vAlign w:val="center"/>
          </w:tcPr>
          <w:p>
            <w:pPr>
              <w:ind w:firstLine="640"/>
            </w:pPr>
          </w:p>
        </w:tc>
        <w:tc>
          <w:tcPr>
            <w:tcW w:w="3404" w:type="dxa"/>
          </w:tcPr>
          <w:p>
            <w:pPr>
              <w:ind w:firstLine="640"/>
            </w:pPr>
          </w:p>
        </w:tc>
        <w:tc>
          <w:tcPr>
            <w:tcW w:w="1344" w:type="dxa"/>
            <w:vAlign w:val="center"/>
          </w:tcPr>
          <w:p>
            <w:pPr>
              <w:ind w:firstLine="640"/>
            </w:pPr>
          </w:p>
        </w:tc>
        <w:tc>
          <w:tcPr>
            <w:tcW w:w="1344" w:type="dxa"/>
          </w:tcPr>
          <w:p>
            <w:pPr>
              <w:ind w:firstLine="640"/>
            </w:pPr>
          </w:p>
        </w:tc>
        <w:tc>
          <w:tcPr>
            <w:tcW w:w="1344"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22" w:type="dxa"/>
            <w:vAlign w:val="center"/>
          </w:tcPr>
          <w:p>
            <w:pPr>
              <w:ind w:firstLine="640"/>
            </w:pPr>
          </w:p>
        </w:tc>
        <w:tc>
          <w:tcPr>
            <w:tcW w:w="1695" w:type="dxa"/>
            <w:vAlign w:val="center"/>
          </w:tcPr>
          <w:p>
            <w:pPr>
              <w:ind w:firstLine="640"/>
              <w:jc w:val="center"/>
            </w:pPr>
          </w:p>
        </w:tc>
        <w:tc>
          <w:tcPr>
            <w:tcW w:w="3404" w:type="dxa"/>
          </w:tcPr>
          <w:p>
            <w:pPr>
              <w:ind w:firstLine="640"/>
            </w:pPr>
          </w:p>
        </w:tc>
        <w:tc>
          <w:tcPr>
            <w:tcW w:w="1344" w:type="dxa"/>
            <w:vAlign w:val="center"/>
          </w:tcPr>
          <w:p>
            <w:pPr>
              <w:ind w:firstLine="640"/>
            </w:pPr>
          </w:p>
        </w:tc>
        <w:tc>
          <w:tcPr>
            <w:tcW w:w="1344" w:type="dxa"/>
          </w:tcPr>
          <w:p>
            <w:pPr>
              <w:ind w:firstLine="640"/>
            </w:pPr>
          </w:p>
        </w:tc>
        <w:tc>
          <w:tcPr>
            <w:tcW w:w="1344"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22" w:type="dxa"/>
            <w:vAlign w:val="center"/>
          </w:tcPr>
          <w:p>
            <w:pPr>
              <w:ind w:firstLine="640"/>
            </w:pPr>
          </w:p>
        </w:tc>
        <w:tc>
          <w:tcPr>
            <w:tcW w:w="1695" w:type="dxa"/>
            <w:vAlign w:val="center"/>
          </w:tcPr>
          <w:p>
            <w:pPr>
              <w:ind w:firstLine="640"/>
              <w:jc w:val="center"/>
            </w:pPr>
          </w:p>
        </w:tc>
        <w:tc>
          <w:tcPr>
            <w:tcW w:w="3404" w:type="dxa"/>
          </w:tcPr>
          <w:p>
            <w:pPr>
              <w:ind w:firstLine="640"/>
            </w:pPr>
          </w:p>
        </w:tc>
        <w:tc>
          <w:tcPr>
            <w:tcW w:w="1344" w:type="dxa"/>
            <w:vAlign w:val="center"/>
          </w:tcPr>
          <w:p>
            <w:pPr>
              <w:ind w:firstLine="640"/>
            </w:pPr>
          </w:p>
        </w:tc>
        <w:tc>
          <w:tcPr>
            <w:tcW w:w="1344" w:type="dxa"/>
          </w:tcPr>
          <w:p>
            <w:pPr>
              <w:ind w:firstLine="640"/>
            </w:pPr>
          </w:p>
        </w:tc>
        <w:tc>
          <w:tcPr>
            <w:tcW w:w="1344"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22" w:type="dxa"/>
            <w:vAlign w:val="center"/>
          </w:tcPr>
          <w:p>
            <w:pPr>
              <w:ind w:firstLine="640"/>
            </w:pPr>
          </w:p>
        </w:tc>
        <w:tc>
          <w:tcPr>
            <w:tcW w:w="1695" w:type="dxa"/>
            <w:vAlign w:val="center"/>
          </w:tcPr>
          <w:p>
            <w:pPr>
              <w:jc w:val="center"/>
            </w:pPr>
            <w:r>
              <w:rPr>
                <w:rFonts w:hint="eastAsia"/>
              </w:rPr>
              <w:t>人工费</w:t>
            </w:r>
          </w:p>
        </w:tc>
        <w:tc>
          <w:tcPr>
            <w:tcW w:w="3404" w:type="dxa"/>
          </w:tcPr>
          <w:p>
            <w:pPr>
              <w:ind w:firstLine="640"/>
            </w:pPr>
          </w:p>
        </w:tc>
        <w:tc>
          <w:tcPr>
            <w:tcW w:w="1344" w:type="dxa"/>
            <w:vAlign w:val="center"/>
          </w:tcPr>
          <w:p>
            <w:pPr>
              <w:ind w:firstLine="640"/>
            </w:pPr>
            <w:r>
              <w:rPr>
                <w:rFonts w:hint="eastAsia"/>
              </w:rPr>
              <w:t>/</w:t>
            </w:r>
          </w:p>
        </w:tc>
        <w:tc>
          <w:tcPr>
            <w:tcW w:w="1344" w:type="dxa"/>
          </w:tcPr>
          <w:p>
            <w:pPr>
              <w:ind w:firstLine="640"/>
            </w:pPr>
          </w:p>
        </w:tc>
        <w:tc>
          <w:tcPr>
            <w:tcW w:w="1344"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22" w:type="dxa"/>
            <w:vAlign w:val="center"/>
          </w:tcPr>
          <w:p>
            <w:pPr>
              <w:ind w:firstLine="640"/>
            </w:pPr>
          </w:p>
        </w:tc>
        <w:tc>
          <w:tcPr>
            <w:tcW w:w="1695" w:type="dxa"/>
            <w:vAlign w:val="center"/>
          </w:tcPr>
          <w:p>
            <w:pPr>
              <w:jc w:val="center"/>
            </w:pPr>
            <w:r>
              <w:rPr>
                <w:rFonts w:hint="eastAsia"/>
              </w:rPr>
              <w:t>各种税费</w:t>
            </w:r>
          </w:p>
        </w:tc>
        <w:tc>
          <w:tcPr>
            <w:tcW w:w="3404" w:type="dxa"/>
          </w:tcPr>
          <w:p>
            <w:pPr>
              <w:ind w:firstLine="640"/>
            </w:pPr>
          </w:p>
        </w:tc>
        <w:tc>
          <w:tcPr>
            <w:tcW w:w="1344" w:type="dxa"/>
            <w:vAlign w:val="center"/>
          </w:tcPr>
          <w:p>
            <w:pPr>
              <w:ind w:firstLine="640"/>
            </w:pPr>
            <w:r>
              <w:rPr>
                <w:rFonts w:hint="eastAsia"/>
              </w:rPr>
              <w:t>/</w:t>
            </w:r>
          </w:p>
        </w:tc>
        <w:tc>
          <w:tcPr>
            <w:tcW w:w="1344" w:type="dxa"/>
          </w:tcPr>
          <w:p>
            <w:pPr>
              <w:ind w:firstLine="640"/>
            </w:pPr>
          </w:p>
        </w:tc>
        <w:tc>
          <w:tcPr>
            <w:tcW w:w="1344"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22" w:type="dxa"/>
            <w:vAlign w:val="center"/>
          </w:tcPr>
          <w:p>
            <w:pPr>
              <w:ind w:firstLine="640"/>
            </w:pPr>
          </w:p>
        </w:tc>
        <w:tc>
          <w:tcPr>
            <w:tcW w:w="1695" w:type="dxa"/>
            <w:vAlign w:val="center"/>
          </w:tcPr>
          <w:p>
            <w:pPr>
              <w:jc w:val="center"/>
            </w:pPr>
            <w:r>
              <w:rPr>
                <w:rFonts w:hint="eastAsia"/>
              </w:rPr>
              <w:t>其他费用</w:t>
            </w:r>
          </w:p>
        </w:tc>
        <w:tc>
          <w:tcPr>
            <w:tcW w:w="3404" w:type="dxa"/>
          </w:tcPr>
          <w:p>
            <w:pPr>
              <w:ind w:firstLine="640"/>
            </w:pPr>
          </w:p>
        </w:tc>
        <w:tc>
          <w:tcPr>
            <w:tcW w:w="1344" w:type="dxa"/>
            <w:vAlign w:val="center"/>
          </w:tcPr>
          <w:p>
            <w:pPr>
              <w:ind w:firstLine="640"/>
            </w:pPr>
            <w:r>
              <w:rPr>
                <w:rFonts w:hint="eastAsia"/>
              </w:rPr>
              <w:t>/</w:t>
            </w:r>
          </w:p>
        </w:tc>
        <w:tc>
          <w:tcPr>
            <w:tcW w:w="1344" w:type="dxa"/>
          </w:tcPr>
          <w:p>
            <w:pPr>
              <w:ind w:firstLine="640"/>
            </w:pPr>
          </w:p>
        </w:tc>
        <w:tc>
          <w:tcPr>
            <w:tcW w:w="1344"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22" w:type="dxa"/>
            <w:vAlign w:val="center"/>
          </w:tcPr>
          <w:p>
            <w:pPr>
              <w:ind w:firstLine="640"/>
            </w:pPr>
          </w:p>
        </w:tc>
        <w:tc>
          <w:tcPr>
            <w:tcW w:w="1695" w:type="dxa"/>
            <w:vAlign w:val="center"/>
          </w:tcPr>
          <w:p>
            <w:pPr>
              <w:jc w:val="center"/>
            </w:pPr>
            <w:r>
              <w:rPr>
                <w:rFonts w:hint="eastAsia"/>
              </w:rPr>
              <w:t>……</w:t>
            </w:r>
          </w:p>
        </w:tc>
        <w:tc>
          <w:tcPr>
            <w:tcW w:w="3404" w:type="dxa"/>
          </w:tcPr>
          <w:p>
            <w:pPr>
              <w:ind w:firstLine="640"/>
            </w:pPr>
          </w:p>
        </w:tc>
        <w:tc>
          <w:tcPr>
            <w:tcW w:w="1344" w:type="dxa"/>
            <w:vAlign w:val="center"/>
          </w:tcPr>
          <w:p>
            <w:pPr>
              <w:ind w:firstLine="640"/>
            </w:pPr>
            <w:r>
              <w:rPr>
                <w:rFonts w:hint="eastAsia"/>
              </w:rPr>
              <w:t>/</w:t>
            </w:r>
          </w:p>
        </w:tc>
        <w:tc>
          <w:tcPr>
            <w:tcW w:w="1344" w:type="dxa"/>
          </w:tcPr>
          <w:p>
            <w:pPr>
              <w:ind w:firstLine="640"/>
            </w:pPr>
          </w:p>
        </w:tc>
        <w:tc>
          <w:tcPr>
            <w:tcW w:w="1344" w:type="dxa"/>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22" w:type="dxa"/>
            <w:vAlign w:val="center"/>
          </w:tcPr>
          <w:p>
            <w:pPr>
              <w:ind w:firstLine="640"/>
            </w:pPr>
          </w:p>
        </w:tc>
        <w:tc>
          <w:tcPr>
            <w:tcW w:w="1695" w:type="dxa"/>
            <w:vAlign w:val="center"/>
          </w:tcPr>
          <w:p>
            <w:pPr>
              <w:jc w:val="center"/>
            </w:pPr>
            <w:r>
              <w:rPr>
                <w:rFonts w:hint="eastAsia"/>
              </w:rPr>
              <w:t>总计</w:t>
            </w:r>
          </w:p>
        </w:tc>
        <w:tc>
          <w:tcPr>
            <w:tcW w:w="7436" w:type="dxa"/>
            <w:gridSpan w:val="4"/>
          </w:tcPr>
          <w:p>
            <w:pPr>
              <w:ind w:firstLine="640"/>
            </w:pPr>
          </w:p>
        </w:tc>
      </w:tr>
    </w:tbl>
    <w:p/>
    <w:p>
      <w:r>
        <w:rPr>
          <w:rFonts w:hint="eastAsia"/>
        </w:rPr>
        <w:t>注：本表可根据项目实际情况调整，并逐页盖章。</w:t>
      </w:r>
    </w:p>
    <w:p>
      <w:pPr>
        <w:ind w:firstLine="640"/>
      </w:pPr>
    </w:p>
    <w:p>
      <w:pPr>
        <w:ind w:firstLine="640"/>
      </w:pPr>
      <w:r>
        <w:rPr>
          <w:rFonts w:hint="eastAsia"/>
        </w:rPr>
        <w:t xml:space="preserve">         </w:t>
      </w:r>
    </w:p>
    <w:p>
      <w:pPr>
        <w:ind w:firstLine="640"/>
      </w:pPr>
    </w:p>
    <w:p>
      <w:pPr>
        <w:ind w:firstLine="640"/>
      </w:pPr>
      <w:r>
        <w:rPr>
          <w:rFonts w:hint="eastAsia"/>
        </w:rPr>
        <w:t xml:space="preserve">                                                   投标人名称（公章）：</w:t>
      </w:r>
    </w:p>
    <w:p>
      <w:pPr>
        <w:ind w:left="5040" w:firstLine="420"/>
      </w:pPr>
      <w:r>
        <w:rPr>
          <w:rFonts w:hint="eastAsia"/>
        </w:rPr>
        <w:t>年     月    日</w:t>
      </w:r>
    </w:p>
    <w:p>
      <w:pPr>
        <w:ind w:firstLine="640"/>
      </w:pPr>
      <w:r>
        <w:rPr>
          <w:rFonts w:hint="eastAsia"/>
        </w:rPr>
        <w:br w:type="page"/>
      </w:r>
    </w:p>
    <w:p>
      <w:r>
        <w:rPr>
          <w:rFonts w:hint="eastAsia" w:ascii="方正黑体_GBK" w:hAnsi="方正黑体_GBK" w:eastAsia="方正黑体_GBK"/>
        </w:rPr>
        <w:t>二、资格文件</w:t>
      </w:r>
    </w:p>
    <w:p>
      <w:pPr>
        <w:ind w:firstLine="641"/>
      </w:pPr>
      <w:r>
        <w:rPr>
          <w:rFonts w:hint="eastAsia"/>
        </w:rPr>
        <w:t>（一）营业执照复印件</w:t>
      </w:r>
    </w:p>
    <w:p>
      <w:pPr>
        <w:rPr>
          <w:rFonts w:ascii="方正黑体_GBK" w:hAnsi="方正黑体_GBK" w:eastAsia="方正黑体_GBK"/>
        </w:rPr>
      </w:pPr>
      <w:r>
        <w:rPr>
          <w:rFonts w:hint="eastAsia" w:ascii="方正黑体_GBK" w:hAnsi="方正黑体_GBK" w:eastAsia="方正黑体_GBK"/>
        </w:rPr>
        <w:br w:type="page"/>
      </w:r>
    </w:p>
    <w:p>
      <w:pPr>
        <w:ind w:firstLine="641"/>
      </w:pPr>
      <w:r>
        <w:rPr>
          <w:rFonts w:hint="eastAsia"/>
        </w:rPr>
        <w:t>（二）税务登记证复印件</w:t>
      </w:r>
      <w:r>
        <w:br w:type="page"/>
      </w:r>
    </w:p>
    <w:p>
      <w:pPr>
        <w:ind w:firstLine="640"/>
      </w:pPr>
      <w:r>
        <w:rPr>
          <w:rFonts w:hint="eastAsia"/>
        </w:rPr>
        <w:t>（三）法定代表人身份证明书（格式）</w:t>
      </w:r>
    </w:p>
    <w:p>
      <w:pPr>
        <w:ind w:firstLine="640"/>
      </w:pPr>
    </w:p>
    <w:p>
      <w:pPr>
        <w:ind w:firstLine="640"/>
        <w:rPr>
          <w:strike/>
        </w:rPr>
      </w:pPr>
      <w:r>
        <w:rPr>
          <w:rFonts w:hint="eastAsia"/>
        </w:rPr>
        <w:t>招标项目名称：</w:t>
      </w:r>
      <w:r>
        <w:rPr>
          <w:rFonts w:hint="eastAsia"/>
          <w:strike/>
        </w:rPr>
        <w:t xml:space="preserve">                                                           </w:t>
      </w:r>
    </w:p>
    <w:p>
      <w:pPr>
        <w:ind w:firstLine="640"/>
      </w:pPr>
      <w:r>
        <w:rPr>
          <w:rFonts w:hint="eastAsia"/>
        </w:rPr>
        <w:t>致：</w:t>
      </w:r>
      <w:r>
        <w:rPr>
          <w:rFonts w:hint="eastAsia"/>
          <w:u w:val="single"/>
        </w:rPr>
        <w:t xml:space="preserve">                     </w:t>
      </w:r>
      <w:r>
        <w:rPr>
          <w:rFonts w:hint="eastAsia"/>
        </w:rPr>
        <w:t>（采购人名称）：</w:t>
      </w:r>
    </w:p>
    <w:p>
      <w:pPr>
        <w:ind w:firstLine="640"/>
      </w:pPr>
      <w:r>
        <w:rPr>
          <w:rFonts w:hint="eastAsia"/>
          <w:u w:val="single"/>
        </w:rPr>
        <w:t xml:space="preserve">                 </w:t>
      </w:r>
      <w:r>
        <w:rPr>
          <w:rFonts w:hint="eastAsia"/>
        </w:rPr>
        <w:t>（法定代表人姓名）在</w:t>
      </w:r>
      <w:r>
        <w:rPr>
          <w:rFonts w:hint="eastAsia"/>
          <w:u w:val="single"/>
        </w:rPr>
        <w:t xml:space="preserve">                     </w:t>
      </w:r>
      <w:r>
        <w:rPr>
          <w:rFonts w:hint="eastAsia"/>
        </w:rPr>
        <w:t xml:space="preserve">（投标人名称）任 </w:t>
      </w:r>
      <w:r>
        <w:rPr>
          <w:rFonts w:hint="eastAsia"/>
          <w:u w:val="single"/>
        </w:rPr>
        <w:t xml:space="preserve">                     </w:t>
      </w:r>
      <w:r>
        <w:rPr>
          <w:rFonts w:hint="eastAsia"/>
        </w:rPr>
        <w:t>（职务名称）职务，是（投标人名称）              的法定代表人。</w:t>
      </w:r>
    </w:p>
    <w:p>
      <w:pPr>
        <w:ind w:firstLine="640"/>
      </w:pPr>
    </w:p>
    <w:p>
      <w:pPr>
        <w:ind w:firstLine="640"/>
      </w:pPr>
      <w:r>
        <w:rPr>
          <w:rFonts w:hint="eastAsia"/>
        </w:rPr>
        <w:t>特此证明。</w:t>
      </w:r>
    </w:p>
    <w:p>
      <w:pPr>
        <w:ind w:firstLine="640"/>
      </w:pPr>
    </w:p>
    <w:p>
      <w:pPr>
        <w:ind w:firstLine="640"/>
      </w:pPr>
    </w:p>
    <w:p>
      <w:pPr>
        <w:ind w:firstLine="640"/>
      </w:pPr>
    </w:p>
    <w:p>
      <w:pPr>
        <w:ind w:firstLine="640"/>
        <w:jc w:val="right"/>
      </w:pPr>
      <w:r>
        <w:rPr>
          <w:rFonts w:hint="eastAsia"/>
        </w:rPr>
        <w:t xml:space="preserve">                                          （投标人公章）</w:t>
      </w:r>
    </w:p>
    <w:p>
      <w:pPr>
        <w:ind w:firstLine="640"/>
      </w:pPr>
    </w:p>
    <w:p>
      <w:pPr>
        <w:ind w:firstLine="640"/>
        <w:jc w:val="right"/>
      </w:pPr>
      <w:r>
        <w:rPr>
          <w:rFonts w:hint="eastAsia"/>
        </w:rPr>
        <w:t xml:space="preserve">                                          年   月   日</w:t>
      </w:r>
    </w:p>
    <w:p>
      <w:pPr>
        <w:ind w:firstLine="640"/>
      </w:pPr>
    </w:p>
    <w:p>
      <w:pPr>
        <w:ind w:firstLine="640"/>
      </w:pPr>
      <w:r>
        <w:rPr>
          <w:rFonts w:hint="eastAsia"/>
        </w:rPr>
        <w:t>（附：法定代表人身份证正反面复印件）</w:t>
      </w:r>
    </w:p>
    <w:p>
      <w:pPr>
        <w:ind w:firstLine="640"/>
      </w:pPr>
    </w:p>
    <w:p>
      <w:pPr>
        <w:ind w:firstLine="640"/>
      </w:pPr>
    </w:p>
    <w:p>
      <w:pPr>
        <w:ind w:firstLine="640"/>
      </w:pPr>
    </w:p>
    <w:p>
      <w:pPr>
        <w:ind w:firstLine="640"/>
      </w:pPr>
    </w:p>
    <w:p>
      <w:pPr>
        <w:ind w:firstLine="640"/>
      </w:pPr>
      <w:r>
        <w:rPr>
          <w:rFonts w:hint="eastAsia"/>
        </w:rPr>
        <w:br w:type="column"/>
      </w:r>
      <w:r>
        <w:rPr>
          <w:rFonts w:hint="eastAsia"/>
        </w:rPr>
        <w:t>（四）法定代表人授权委托书（格式）</w:t>
      </w:r>
    </w:p>
    <w:p>
      <w:pPr>
        <w:ind w:firstLine="640"/>
      </w:pPr>
      <w:r>
        <w:rPr>
          <w:rFonts w:hint="eastAsia"/>
        </w:rPr>
        <w:t xml:space="preserve">    </w:t>
      </w:r>
    </w:p>
    <w:p>
      <w:pPr>
        <w:ind w:firstLine="640"/>
        <w:rPr>
          <w:strike/>
          <w:u w:val="single"/>
        </w:rPr>
      </w:pPr>
      <w:r>
        <w:rPr>
          <w:rFonts w:hint="eastAsia"/>
        </w:rPr>
        <w:t>招标项目名称：</w:t>
      </w:r>
      <w:r>
        <w:rPr>
          <w:rFonts w:hint="eastAsia"/>
          <w:strike/>
          <w:u w:val="single"/>
        </w:rPr>
        <w:t xml:space="preserve">                                                </w:t>
      </w:r>
    </w:p>
    <w:p>
      <w:pPr>
        <w:ind w:firstLine="640"/>
      </w:pPr>
    </w:p>
    <w:p>
      <w:pPr>
        <w:ind w:firstLine="640"/>
      </w:pPr>
      <w:r>
        <w:rPr>
          <w:rFonts w:hint="eastAsia"/>
        </w:rPr>
        <w:t>致：</w:t>
      </w:r>
      <w:r>
        <w:rPr>
          <w:rFonts w:hint="eastAsia"/>
          <w:u w:val="single"/>
        </w:rPr>
        <w:t xml:space="preserve">                     </w:t>
      </w:r>
      <w:r>
        <w:rPr>
          <w:rFonts w:hint="eastAsia"/>
        </w:rPr>
        <w:t>（采购人名称）：</w:t>
      </w:r>
    </w:p>
    <w:p>
      <w:pPr>
        <w:ind w:firstLine="640"/>
      </w:pPr>
      <w:r>
        <w:rPr>
          <w:rFonts w:hint="eastAsia"/>
          <w:u w:val="single"/>
        </w:rPr>
        <w:t xml:space="preserve">            </w:t>
      </w:r>
      <w:r>
        <w:rPr>
          <w:rFonts w:hint="eastAsia"/>
        </w:rPr>
        <w:t xml:space="preserve">（投标人法定代表人名称）是 </w:t>
      </w:r>
      <w:r>
        <w:rPr>
          <w:rFonts w:hint="eastAsia"/>
          <w:u w:val="single"/>
        </w:rPr>
        <w:t xml:space="preserve">                   </w:t>
      </w:r>
      <w:r>
        <w:rPr>
          <w:rFonts w:hint="eastAsia"/>
        </w:rPr>
        <w:t>（投标人名称）的法定代表人，特授权</w:t>
      </w:r>
      <w:r>
        <w:rPr>
          <w:rFonts w:hint="eastAsia"/>
          <w:u w:val="single"/>
        </w:rPr>
        <w:t xml:space="preserve">          </w:t>
      </w:r>
      <w:r>
        <w:rPr>
          <w:rFonts w:hint="eastAsia"/>
        </w:rPr>
        <w:t>（被授权人姓名及身份证代码）代表我单位全权办理上述项目的投标、谈判、签约等具体工作，并签署全部有关文件、协议及合同。</w:t>
      </w:r>
    </w:p>
    <w:p>
      <w:pPr>
        <w:ind w:firstLine="640"/>
      </w:pPr>
      <w:r>
        <w:rPr>
          <w:rFonts w:hint="eastAsia"/>
        </w:rPr>
        <w:t>我单位对被授权人的签字负全部责任。</w:t>
      </w:r>
    </w:p>
    <w:p>
      <w:pPr>
        <w:ind w:firstLine="640"/>
      </w:pPr>
      <w:r>
        <w:rPr>
          <w:rFonts w:hint="eastAsia"/>
        </w:rPr>
        <w:t>在撤消授权的书面通知以前，本授权书一直有效。被授权人在授权书有效期内签署的所有文件不因授权的撤消而失效。</w:t>
      </w:r>
    </w:p>
    <w:p>
      <w:pPr>
        <w:ind w:firstLine="640"/>
      </w:pPr>
    </w:p>
    <w:p>
      <w:pPr>
        <w:ind w:firstLine="640"/>
      </w:pPr>
    </w:p>
    <w:p>
      <w:pPr>
        <w:jc w:val="left"/>
      </w:pPr>
      <w:r>
        <w:rPr>
          <w:rFonts w:hint="eastAsia"/>
        </w:rPr>
        <w:t xml:space="preserve">被授权人：                               </w:t>
      </w:r>
      <w:r>
        <w:rPr>
          <w:rFonts w:hint="eastAsia"/>
        </w:rPr>
        <w:tab/>
      </w:r>
      <w:r>
        <w:rPr>
          <w:rFonts w:hint="eastAsia"/>
        </w:rPr>
        <w:tab/>
      </w:r>
      <w:r>
        <w:rPr>
          <w:rFonts w:hint="eastAsia"/>
        </w:rPr>
        <w:tab/>
      </w:r>
      <w:r>
        <w:rPr>
          <w:rFonts w:hint="eastAsia"/>
        </w:rPr>
        <w:tab/>
      </w:r>
      <w:r>
        <w:rPr>
          <w:rFonts w:hint="eastAsia"/>
        </w:rPr>
        <w:t>投标人法定代表人：</w:t>
      </w:r>
    </w:p>
    <w:p>
      <w:pPr>
        <w:jc w:val="left"/>
      </w:pPr>
      <w:r>
        <w:rPr>
          <w:rFonts w:hint="eastAsia"/>
        </w:rPr>
        <w:t xml:space="preserve">（签字或盖章）                                </w:t>
      </w:r>
      <w:r>
        <w:rPr>
          <w:rFonts w:hint="eastAsia"/>
        </w:rPr>
        <w:tab/>
      </w:r>
      <w:r>
        <w:rPr>
          <w:rFonts w:hint="eastAsia"/>
        </w:rPr>
        <w:tab/>
      </w:r>
      <w:r>
        <w:rPr>
          <w:rFonts w:hint="eastAsia"/>
        </w:rPr>
        <w:t>（签字或盖章）</w:t>
      </w:r>
    </w:p>
    <w:p/>
    <w:p>
      <w:pPr>
        <w:ind w:firstLine="640"/>
      </w:pPr>
      <w:r>
        <w:rPr>
          <w:rFonts w:hint="eastAsia"/>
        </w:rPr>
        <w:t>（附：被授权人身份证正反面复印件）</w:t>
      </w:r>
    </w:p>
    <w:p>
      <w:pPr>
        <w:ind w:firstLine="640"/>
      </w:pPr>
      <w:r>
        <w:rPr>
          <w:rFonts w:hint="eastAsia"/>
        </w:rPr>
        <w:t xml:space="preserve">                                          </w:t>
      </w:r>
    </w:p>
    <w:p>
      <w:pPr>
        <w:ind w:firstLine="640"/>
        <w:jc w:val="right"/>
      </w:pPr>
      <w:r>
        <w:rPr>
          <w:rFonts w:hint="eastAsia"/>
        </w:rPr>
        <w:t>（投标人公章）</w:t>
      </w:r>
    </w:p>
    <w:p>
      <w:pPr>
        <w:ind w:firstLine="640"/>
        <w:jc w:val="right"/>
      </w:pPr>
      <w:r>
        <w:rPr>
          <w:rFonts w:hint="eastAsia"/>
        </w:rPr>
        <w:t>年   月   日</w:t>
      </w:r>
    </w:p>
    <w:p>
      <w:pPr>
        <w:ind w:firstLine="640"/>
      </w:pPr>
      <w:r>
        <w:rPr>
          <w:rFonts w:hint="eastAsia"/>
        </w:rPr>
        <w:br w:type="column"/>
      </w:r>
      <w:r>
        <w:rPr>
          <w:rFonts w:hint="eastAsia"/>
        </w:rPr>
        <w:t>（五）书面声明</w:t>
      </w:r>
    </w:p>
    <w:p>
      <w:pPr>
        <w:ind w:firstLine="640"/>
      </w:pPr>
    </w:p>
    <w:p>
      <w:pPr>
        <w:ind w:firstLine="640"/>
        <w:rPr>
          <w:strike/>
          <w:u w:val="single"/>
        </w:rPr>
      </w:pPr>
      <w:r>
        <w:rPr>
          <w:rFonts w:hint="eastAsia"/>
        </w:rPr>
        <w:t>招标项目名称：</w:t>
      </w:r>
      <w:r>
        <w:rPr>
          <w:rFonts w:hint="eastAsia"/>
          <w:strike/>
          <w:u w:val="single"/>
        </w:rPr>
        <w:t xml:space="preserve">                                                </w:t>
      </w:r>
    </w:p>
    <w:p>
      <w:pPr>
        <w:ind w:firstLine="640"/>
      </w:pPr>
    </w:p>
    <w:p>
      <w:pPr>
        <w:ind w:firstLine="640"/>
      </w:pPr>
      <w:r>
        <w:rPr>
          <w:rFonts w:hint="eastAsia"/>
        </w:rPr>
        <w:t>致：</w:t>
      </w:r>
      <w:r>
        <w:rPr>
          <w:rFonts w:hint="eastAsia"/>
          <w:u w:val="single"/>
        </w:rPr>
        <w:t xml:space="preserve">                   </w:t>
      </w:r>
      <w:r>
        <w:rPr>
          <w:rFonts w:hint="eastAsia"/>
        </w:rPr>
        <w:t>（采购人名称）：</w:t>
      </w:r>
    </w:p>
    <w:p>
      <w:pPr>
        <w:ind w:firstLine="640"/>
      </w:pPr>
      <w:r>
        <w:rPr>
          <w:rFonts w:hint="eastAsia"/>
          <w:u w:val="single"/>
        </w:rPr>
        <w:t xml:space="preserve">                      </w:t>
      </w:r>
      <w:r>
        <w:rPr>
          <w:rFonts w:hint="eastAsia"/>
        </w:rPr>
        <w:t>（投标人名称）郑重声明，</w:t>
      </w:r>
      <w:r>
        <w:t>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失信被执行人”、“重大税收违法案件当事人名单”中，也未列入中国政府采购网（www.ccgp.gov.cn）“政府采购严重违法失信行为记录名单”中，符合《政府采购法》规定的供应商资格条件，随时接受采购人的检查验证。我方对以上声明负全部法律责任。</w:t>
      </w:r>
    </w:p>
    <w:p>
      <w:pPr>
        <w:ind w:firstLine="640"/>
      </w:pPr>
      <w:r>
        <w:t>特此声明。</w:t>
      </w:r>
    </w:p>
    <w:p>
      <w:pPr>
        <w:ind w:firstLine="640"/>
      </w:pPr>
    </w:p>
    <w:p>
      <w:pPr>
        <w:ind w:firstLine="640"/>
      </w:pPr>
    </w:p>
    <w:p>
      <w:pPr>
        <w:ind w:firstLine="640"/>
      </w:pPr>
    </w:p>
    <w:p>
      <w:pPr>
        <w:ind w:firstLine="640"/>
      </w:pPr>
    </w:p>
    <w:p>
      <w:pPr>
        <w:ind w:firstLine="640"/>
        <w:jc w:val="right"/>
      </w:pPr>
      <w:r>
        <w:rPr>
          <w:rFonts w:hint="eastAsia"/>
        </w:rPr>
        <w:t>（投标人公章）</w:t>
      </w:r>
    </w:p>
    <w:p>
      <w:pPr>
        <w:ind w:firstLine="640"/>
        <w:jc w:val="right"/>
      </w:pPr>
      <w:r>
        <w:rPr>
          <w:rFonts w:hint="eastAsia"/>
        </w:rPr>
        <w:t>年   月   日</w:t>
      </w:r>
    </w:p>
    <w:p>
      <w:r>
        <w:rPr>
          <w:rFonts w:hint="eastAsia"/>
        </w:rPr>
        <w:br w:type="page"/>
      </w:r>
    </w:p>
    <w:p>
      <w:pPr>
        <w:pStyle w:val="2"/>
        <w:ind w:left="0" w:leftChars="0" w:firstLine="640"/>
        <w:jc w:val="left"/>
        <w:rPr>
          <w:sz w:val="32"/>
        </w:rPr>
      </w:pPr>
      <w:r>
        <w:rPr>
          <w:rFonts w:hint="eastAsia"/>
          <w:sz w:val="32"/>
        </w:rPr>
        <w:t>（六）特定资格条件资料</w:t>
      </w:r>
    </w:p>
    <w:p>
      <w:pPr>
        <w:ind w:firstLine="640"/>
      </w:pPr>
    </w:p>
    <w:p>
      <w:pPr>
        <w:ind w:firstLine="640"/>
      </w:pPr>
    </w:p>
    <w:p>
      <w:pPr>
        <w:ind w:firstLine="640"/>
      </w:pPr>
    </w:p>
    <w:p>
      <w:pPr>
        <w:ind w:firstLine="640"/>
      </w:pPr>
    </w:p>
    <w:p>
      <w:pPr>
        <w:ind w:firstLine="640"/>
      </w:pPr>
    </w:p>
    <w:p>
      <w:pPr>
        <w:ind w:firstLine="640"/>
      </w:pPr>
    </w:p>
    <w:p>
      <w:pPr>
        <w:ind w:firstLine="640"/>
      </w:pPr>
    </w:p>
    <w:p>
      <w:pPr>
        <w:rPr>
          <w:rFonts w:ascii="方正黑体_GBK" w:hAnsi="方正黑体_GBK" w:eastAsia="方正黑体_GBK"/>
        </w:rPr>
      </w:pPr>
      <w:r>
        <w:rPr>
          <w:rFonts w:hint="eastAsia" w:ascii="方正黑体_GBK" w:hAnsi="方正黑体_GBK" w:eastAsia="方正黑体_GBK"/>
        </w:rPr>
        <w:br w:type="page"/>
      </w:r>
    </w:p>
    <w:p>
      <w:pPr>
        <w:ind w:firstLine="640"/>
      </w:pPr>
      <w:r>
        <w:rPr>
          <w:rFonts w:hint="eastAsia"/>
        </w:rPr>
        <w:t>（七）社会保险缴纳证明材料复印件</w:t>
      </w:r>
    </w:p>
    <w:p>
      <w:r>
        <w:rPr>
          <w:rFonts w:hint="eastAsia"/>
        </w:rPr>
        <w:br w:type="page"/>
      </w:r>
    </w:p>
    <w:p>
      <w:pPr>
        <w:rPr>
          <w:rFonts w:eastAsia="方正黑体_GBK"/>
        </w:rPr>
      </w:pPr>
      <w:r>
        <w:rPr>
          <w:rFonts w:hint="eastAsia" w:ascii="方正黑体_GBK" w:hAnsi="方正黑体_GBK" w:eastAsia="方正黑体_GBK"/>
        </w:rPr>
        <w:t>三、商务文件</w:t>
      </w:r>
    </w:p>
    <w:p>
      <w:pPr>
        <w:ind w:firstLine="640"/>
      </w:pPr>
      <w:r>
        <w:rPr>
          <w:rFonts w:hint="eastAsia"/>
        </w:rPr>
        <w:t>（一）投标函（格式）</w:t>
      </w:r>
    </w:p>
    <w:p>
      <w:pPr>
        <w:ind w:firstLine="640"/>
      </w:pPr>
    </w:p>
    <w:p>
      <w:pPr>
        <w:ind w:firstLine="640"/>
        <w:rPr>
          <w:strike/>
        </w:rPr>
      </w:pPr>
      <w:r>
        <w:rPr>
          <w:rFonts w:hint="eastAsia"/>
        </w:rPr>
        <w:t>招标项目名称：</w:t>
      </w:r>
      <w:r>
        <w:rPr>
          <w:rFonts w:hint="eastAsia"/>
          <w:strike/>
        </w:rPr>
        <w:t xml:space="preserve">                                             </w:t>
      </w:r>
    </w:p>
    <w:p>
      <w:pPr>
        <w:ind w:firstLine="640"/>
      </w:pPr>
    </w:p>
    <w:p>
      <w:pPr>
        <w:ind w:firstLine="640"/>
      </w:pPr>
      <w:r>
        <w:rPr>
          <w:rFonts w:hint="eastAsia"/>
        </w:rPr>
        <w:t>致：</w:t>
      </w:r>
      <w:r>
        <w:rPr>
          <w:rFonts w:hint="eastAsia"/>
          <w:u w:val="single"/>
        </w:rPr>
        <w:t xml:space="preserve">                    </w:t>
      </w:r>
      <w:r>
        <w:rPr>
          <w:rFonts w:hint="eastAsia"/>
        </w:rPr>
        <w:t>（采购人名称）：</w:t>
      </w:r>
    </w:p>
    <w:p>
      <w:pPr>
        <w:ind w:firstLine="640"/>
      </w:pPr>
      <w:r>
        <w:rPr>
          <w:rFonts w:hint="eastAsia"/>
          <w:u w:val="single"/>
        </w:rPr>
        <w:t xml:space="preserve">                        </w:t>
      </w:r>
      <w:r>
        <w:rPr>
          <w:rFonts w:hint="eastAsia"/>
        </w:rPr>
        <w:t>（投标人名称）系中华人民共和国合法企业，注册地址：</w:t>
      </w:r>
      <w:r>
        <w:rPr>
          <w:rFonts w:hint="eastAsia"/>
          <w:u w:val="single"/>
        </w:rPr>
        <w:t xml:space="preserve">                               </w:t>
      </w:r>
      <w:r>
        <w:rPr>
          <w:rFonts w:hint="eastAsia"/>
        </w:rPr>
        <w:t>。我方就参加本次投标有关事项郑重声明如下：</w:t>
      </w:r>
    </w:p>
    <w:p>
      <w:pPr>
        <w:ind w:firstLine="640"/>
      </w:pPr>
      <w:r>
        <w:rPr>
          <w:rFonts w:hint="eastAsia"/>
        </w:rPr>
        <w:t>一、我方完全理解并接受该项目招标文件所有要求。</w:t>
      </w:r>
    </w:p>
    <w:p>
      <w:pPr>
        <w:ind w:firstLine="640"/>
      </w:pPr>
      <w:r>
        <w:rPr>
          <w:rFonts w:hint="eastAsia"/>
        </w:rPr>
        <w:t>二、我方提交的所有投标文件、资料都是准确和真实的，如有虚假或隐瞒，我方愿意承担一切法律责任。</w:t>
      </w:r>
    </w:p>
    <w:p>
      <w:pPr>
        <w:ind w:firstLine="640"/>
      </w:pPr>
      <w:r>
        <w:rPr>
          <w:rFonts w:hint="eastAsia"/>
        </w:rPr>
        <w:t>三、我方承诺按照招标文件要求，提供招标项目的技术服务。</w:t>
      </w:r>
    </w:p>
    <w:p>
      <w:pPr>
        <w:ind w:firstLine="640"/>
      </w:pPr>
      <w:r>
        <w:rPr>
          <w:rFonts w:hint="eastAsia"/>
        </w:rPr>
        <w:t>四、我方按招标文件要求提交的投标文件为：投标文件正本1份，副本  份。</w:t>
      </w:r>
    </w:p>
    <w:p>
      <w:pPr>
        <w:ind w:firstLine="640"/>
      </w:pPr>
      <w:r>
        <w:rPr>
          <w:rFonts w:hint="eastAsia"/>
        </w:rPr>
        <w:t>五、我方承诺：本次投标的投标有效期为90天。</w:t>
      </w:r>
    </w:p>
    <w:p>
      <w:pPr>
        <w:ind w:firstLine="640"/>
      </w:pPr>
      <w:r>
        <w:rPr>
          <w:rFonts w:hint="eastAsia"/>
        </w:rPr>
        <w:t>六、我方投标报价为闭口价。即在投标有效期和合同有效期内，该报价固定不变。</w:t>
      </w:r>
    </w:p>
    <w:p>
      <w:pPr>
        <w:ind w:firstLine="640"/>
      </w:pPr>
      <w:r>
        <w:rPr>
          <w:rFonts w:hint="eastAsia"/>
        </w:rPr>
        <w:t>七、如果我方中标，我方将履行招标文件中规定的各项要求以及我方投标文件的各项承诺，按《政府采购法》、《合同法》及合同约定条款承担我方责任。</w:t>
      </w:r>
    </w:p>
    <w:p>
      <w:pPr>
        <w:ind w:firstLine="640"/>
      </w:pPr>
      <w:r>
        <w:rPr>
          <w:rFonts w:hint="eastAsia"/>
        </w:rPr>
        <w:t>八、我方未为采购项目提供整体设计、规范编制或者项目管理、监理、检测等服务。</w:t>
      </w:r>
    </w:p>
    <w:p>
      <w:pPr>
        <w:ind w:firstLine="640"/>
      </w:pPr>
      <w:r>
        <w:rPr>
          <w:rFonts w:hint="eastAsia"/>
        </w:rPr>
        <w:t>九、我方理解，最低报价不是中标的唯一条件。</w:t>
      </w:r>
    </w:p>
    <w:p>
      <w:pPr>
        <w:ind w:firstLine="640"/>
      </w:pPr>
      <w:r>
        <w:rPr>
          <w:rFonts w:hint="eastAsia"/>
        </w:rPr>
        <w:t>十、我方同意按有关规定及招标文件要求，缴纳足额投标保证金。</w:t>
      </w:r>
    </w:p>
    <w:p>
      <w:pPr>
        <w:ind w:firstLine="640"/>
      </w:pPr>
      <w:r>
        <w:rPr>
          <w:rFonts w:hint="eastAsia"/>
        </w:rPr>
        <w:t>十一、若我方中标，愿意按有关规定及招标文件要求缴纳招标代理服务费和交易服务费。</w:t>
      </w:r>
    </w:p>
    <w:p>
      <w:pPr>
        <w:ind w:firstLine="640"/>
      </w:pPr>
    </w:p>
    <w:p>
      <w:pPr>
        <w:ind w:firstLine="640"/>
        <w:jc w:val="right"/>
      </w:pPr>
      <w:r>
        <w:rPr>
          <w:rFonts w:hint="eastAsia"/>
        </w:rPr>
        <w:t>（投标人公章）</w:t>
      </w:r>
    </w:p>
    <w:p>
      <w:pPr>
        <w:ind w:firstLine="640"/>
        <w:jc w:val="right"/>
      </w:pPr>
      <w:r>
        <w:rPr>
          <w:rFonts w:hint="eastAsia"/>
        </w:rPr>
        <w:t>年    月   日</w:t>
      </w:r>
    </w:p>
    <w:p>
      <w:r>
        <w:rPr>
          <w:rFonts w:hint="eastAsia"/>
        </w:rPr>
        <w:br w:type="page"/>
      </w:r>
    </w:p>
    <w:p>
      <w:pPr>
        <w:ind w:firstLine="640"/>
      </w:pPr>
      <w:r>
        <w:rPr>
          <w:rFonts w:hint="eastAsia"/>
        </w:rPr>
        <w:t>（二）售后服务承诺</w:t>
      </w:r>
    </w:p>
    <w:p>
      <w:r>
        <w:rPr>
          <w:rFonts w:hint="eastAsia"/>
        </w:rPr>
        <w:br w:type="page"/>
      </w:r>
    </w:p>
    <w:p>
      <w:pPr>
        <w:rPr>
          <w:rFonts w:ascii="方正黑体_GBK" w:hAnsi="方正黑体_GBK" w:eastAsia="方正黑体_GBK"/>
        </w:rPr>
      </w:pPr>
      <w:r>
        <w:rPr>
          <w:rFonts w:hint="eastAsia" w:ascii="方正黑体_GBK" w:hAnsi="方正黑体_GBK" w:eastAsia="方正黑体_GBK"/>
        </w:rPr>
        <w:t>四、技术文件</w:t>
      </w:r>
    </w:p>
    <w:p>
      <w:r>
        <w:t>（一）技术响应偏离表</w:t>
      </w:r>
    </w:p>
    <w:p>
      <w:pPr>
        <w:rPr>
          <w:u w:val="single"/>
        </w:rPr>
      </w:pPr>
      <w:r>
        <w:t>比选项目名称：</w:t>
      </w:r>
    </w:p>
    <w:p>
      <w:pPr>
        <w:rPr>
          <w:u w:val="single"/>
        </w:rPr>
      </w:pPr>
    </w:p>
    <w:tbl>
      <w:tblPr>
        <w:tblStyle w:val="14"/>
        <w:tblW w:w="9508" w:type="dxa"/>
        <w:tblInd w:w="-128" w:type="dxa"/>
        <w:tblLayout w:type="fixed"/>
        <w:tblCellMar>
          <w:top w:w="0" w:type="dxa"/>
          <w:left w:w="10" w:type="dxa"/>
          <w:bottom w:w="0" w:type="dxa"/>
          <w:right w:w="10" w:type="dxa"/>
        </w:tblCellMar>
      </w:tblPr>
      <w:tblGrid>
        <w:gridCol w:w="817"/>
        <w:gridCol w:w="1398"/>
        <w:gridCol w:w="2512"/>
        <w:gridCol w:w="2550"/>
        <w:gridCol w:w="1425"/>
        <w:gridCol w:w="806"/>
      </w:tblGrid>
      <w:tr>
        <w:tblPrEx>
          <w:tblCellMar>
            <w:top w:w="0" w:type="dxa"/>
            <w:left w:w="10" w:type="dxa"/>
            <w:bottom w:w="0" w:type="dxa"/>
            <w:right w:w="10" w:type="dxa"/>
          </w:tblCellMar>
        </w:tblPrEx>
        <w:trPr>
          <w:trHeight w:val="567"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r>
              <w:rPr>
                <w:sz w:val="28"/>
                <w:szCs w:val="28"/>
              </w:rPr>
              <w:t>序号</w:t>
            </w:r>
          </w:p>
        </w:tc>
        <w:tc>
          <w:tcPr>
            <w:tcW w:w="13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pacing w:line="340" w:lineRule="exact"/>
              <w:jc w:val="center"/>
              <w:outlineLvl w:val="0"/>
              <w:rPr>
                <w:sz w:val="28"/>
                <w:szCs w:val="28"/>
              </w:rPr>
            </w:pPr>
            <w:r>
              <w:rPr>
                <w:rFonts w:hint="eastAsia"/>
                <w:sz w:val="28"/>
                <w:szCs w:val="28"/>
              </w:rPr>
              <w:t>产品</w:t>
            </w:r>
            <w:r>
              <w:rPr>
                <w:sz w:val="28"/>
                <w:szCs w:val="28"/>
              </w:rPr>
              <w:t>名称</w:t>
            </w:r>
          </w:p>
        </w:tc>
        <w:tc>
          <w:tcPr>
            <w:tcW w:w="2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pacing w:line="340" w:lineRule="exact"/>
              <w:jc w:val="center"/>
              <w:outlineLvl w:val="0"/>
              <w:rPr>
                <w:sz w:val="28"/>
                <w:szCs w:val="28"/>
              </w:rPr>
            </w:pPr>
            <w:r>
              <w:rPr>
                <w:sz w:val="28"/>
                <w:szCs w:val="28"/>
              </w:rPr>
              <w:t>需求</w:t>
            </w:r>
            <w:r>
              <w:rPr>
                <w:rFonts w:hint="eastAsia"/>
                <w:sz w:val="28"/>
                <w:szCs w:val="28"/>
              </w:rPr>
              <w:t>产品</w:t>
            </w:r>
            <w:r>
              <w:rPr>
                <w:sz w:val="28"/>
                <w:szCs w:val="28"/>
              </w:rPr>
              <w:t>技术参数</w:t>
            </w:r>
          </w:p>
        </w:tc>
        <w:tc>
          <w:tcPr>
            <w:tcW w:w="2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pacing w:line="340" w:lineRule="exact"/>
              <w:jc w:val="center"/>
              <w:outlineLvl w:val="0"/>
              <w:rPr>
                <w:sz w:val="28"/>
                <w:szCs w:val="28"/>
              </w:rPr>
            </w:pPr>
            <w:r>
              <w:rPr>
                <w:sz w:val="28"/>
                <w:szCs w:val="28"/>
              </w:rPr>
              <w:t>投标</w:t>
            </w:r>
            <w:r>
              <w:rPr>
                <w:rFonts w:hint="eastAsia"/>
                <w:sz w:val="28"/>
                <w:szCs w:val="28"/>
              </w:rPr>
              <w:t>产品</w:t>
            </w:r>
            <w:r>
              <w:rPr>
                <w:sz w:val="28"/>
                <w:szCs w:val="28"/>
              </w:rPr>
              <w:t>技术参数</w:t>
            </w: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pacing w:line="340" w:lineRule="exact"/>
              <w:jc w:val="center"/>
              <w:outlineLvl w:val="0"/>
              <w:rPr>
                <w:sz w:val="28"/>
                <w:szCs w:val="28"/>
              </w:rPr>
            </w:pPr>
            <w:r>
              <w:rPr>
                <w:sz w:val="28"/>
                <w:szCs w:val="28"/>
              </w:rPr>
              <w:t>差异说明</w:t>
            </w:r>
          </w:p>
        </w:tc>
        <w:tc>
          <w:tcPr>
            <w:tcW w:w="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6300"/>
              </w:tabs>
              <w:spacing w:line="340" w:lineRule="exact"/>
              <w:jc w:val="center"/>
              <w:outlineLvl w:val="0"/>
              <w:rPr>
                <w:sz w:val="28"/>
                <w:szCs w:val="28"/>
              </w:rPr>
            </w:pPr>
            <w:r>
              <w:rPr>
                <w:sz w:val="28"/>
                <w:szCs w:val="28"/>
              </w:rPr>
              <w:t>备注</w:t>
            </w:r>
          </w:p>
        </w:tc>
      </w:tr>
      <w:tr>
        <w:tblPrEx>
          <w:tblCellMar>
            <w:top w:w="0" w:type="dxa"/>
            <w:left w:w="10" w:type="dxa"/>
            <w:bottom w:w="0" w:type="dxa"/>
            <w:right w:w="10" w:type="dxa"/>
          </w:tblCellMar>
        </w:tblPrEx>
        <w:trPr>
          <w:trHeight w:val="567"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13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2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2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r>
      <w:tr>
        <w:tblPrEx>
          <w:tblCellMar>
            <w:top w:w="0" w:type="dxa"/>
            <w:left w:w="10" w:type="dxa"/>
            <w:bottom w:w="0" w:type="dxa"/>
            <w:right w:w="10" w:type="dxa"/>
          </w:tblCellMar>
        </w:tblPrEx>
        <w:trPr>
          <w:trHeight w:val="567"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13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2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2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r>
      <w:tr>
        <w:tblPrEx>
          <w:tblCellMar>
            <w:top w:w="0" w:type="dxa"/>
            <w:left w:w="10" w:type="dxa"/>
            <w:bottom w:w="0" w:type="dxa"/>
            <w:right w:w="10" w:type="dxa"/>
          </w:tblCellMar>
        </w:tblPrEx>
        <w:trPr>
          <w:trHeight w:val="567"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13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2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2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r>
      <w:tr>
        <w:tblPrEx>
          <w:tblCellMar>
            <w:top w:w="0" w:type="dxa"/>
            <w:left w:w="10" w:type="dxa"/>
            <w:bottom w:w="0" w:type="dxa"/>
            <w:right w:w="10" w:type="dxa"/>
          </w:tblCellMar>
        </w:tblPrEx>
        <w:trPr>
          <w:trHeight w:val="567"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13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2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25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c>
          <w:tcPr>
            <w:tcW w:w="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sz w:val="28"/>
                <w:szCs w:val="28"/>
              </w:rPr>
            </w:pPr>
          </w:p>
        </w:tc>
      </w:tr>
    </w:tbl>
    <w:p>
      <w:r>
        <w:t>供应商：                     法定代表人授权代表：</w:t>
      </w:r>
    </w:p>
    <w:p>
      <w:r>
        <w:t>（公章）                          （签字或盖章）</w:t>
      </w:r>
    </w:p>
    <w:p>
      <w:r>
        <w:t xml:space="preserve">                                  年   月   日</w:t>
      </w:r>
    </w:p>
    <w:p>
      <w:pPr>
        <w:spacing w:line="400" w:lineRule="exact"/>
        <w:rPr>
          <w:sz w:val="28"/>
          <w:szCs w:val="28"/>
        </w:rPr>
      </w:pPr>
      <w:r>
        <w:rPr>
          <w:sz w:val="28"/>
          <w:szCs w:val="28"/>
        </w:rPr>
        <w:t>注：</w:t>
      </w:r>
    </w:p>
    <w:p>
      <w:pPr>
        <w:spacing w:line="400" w:lineRule="exact"/>
        <w:ind w:firstLine="560"/>
        <w:rPr>
          <w:sz w:val="28"/>
          <w:szCs w:val="28"/>
        </w:rPr>
      </w:pPr>
      <w:r>
        <w:rPr>
          <w:sz w:val="28"/>
          <w:szCs w:val="28"/>
        </w:rPr>
        <w:t>1.</w:t>
      </w:r>
      <w:r>
        <w:t>应</w:t>
      </w:r>
      <w:r>
        <w:rPr>
          <w:sz w:val="28"/>
          <w:szCs w:val="28"/>
        </w:rPr>
        <w:t>对本项目技术参数中所列技术要求进行逐一比较和响应。</w:t>
      </w:r>
    </w:p>
    <w:p>
      <w:pPr>
        <w:spacing w:line="400" w:lineRule="exact"/>
        <w:ind w:firstLine="560"/>
        <w:rPr>
          <w:sz w:val="28"/>
          <w:szCs w:val="28"/>
        </w:rPr>
      </w:pPr>
      <w:r>
        <w:rPr>
          <w:sz w:val="28"/>
          <w:szCs w:val="28"/>
        </w:rPr>
        <w:t>2.根据响应情况在“差异说明”项填写正偏离（技术参数优于需求文件要求）或负偏离（技术参数低于需求文件要求）及原因，完全符合的填写“无差异”。</w:t>
      </w:r>
    </w:p>
    <w:p>
      <w:pPr>
        <w:spacing w:line="400" w:lineRule="exact"/>
        <w:ind w:firstLine="560"/>
        <w:rPr>
          <w:sz w:val="28"/>
          <w:szCs w:val="28"/>
        </w:rPr>
      </w:pPr>
      <w:r>
        <w:rPr>
          <w:sz w:val="28"/>
          <w:szCs w:val="28"/>
        </w:rPr>
        <w:t>3.该表可扩展。</w:t>
      </w:r>
    </w:p>
    <w:p>
      <w:pPr>
        <w:spacing w:line="400" w:lineRule="exact"/>
        <w:ind w:firstLine="560"/>
        <w:rPr>
          <w:sz w:val="28"/>
          <w:szCs w:val="28"/>
        </w:rPr>
      </w:pPr>
      <w:r>
        <w:rPr>
          <w:sz w:val="28"/>
          <w:szCs w:val="28"/>
        </w:rPr>
        <w:t>4.可附相关支撑材料。</w:t>
      </w:r>
    </w:p>
    <w:p>
      <w:pPr>
        <w:rPr>
          <w:sz w:val="28"/>
          <w:szCs w:val="28"/>
        </w:rPr>
      </w:pPr>
      <w:r>
        <w:rPr>
          <w:sz w:val="28"/>
          <w:szCs w:val="28"/>
        </w:rPr>
        <w:br w:type="page"/>
      </w:r>
    </w:p>
    <w:p>
      <w:pPr>
        <w:rPr>
          <w:rFonts w:ascii="方正黑体_GBK" w:hAnsi="方正黑体_GBK" w:eastAsia="方正黑体_GBK"/>
        </w:rPr>
      </w:pPr>
      <w:r>
        <w:rPr>
          <w:rFonts w:hint="eastAsia" w:ascii="方正黑体_GBK" w:hAnsi="方正黑体_GBK" w:eastAsia="方正黑体_GBK"/>
        </w:rPr>
        <w:t>五、其他资料（如果有）</w:t>
      </w:r>
    </w:p>
    <w:p>
      <w:pPr>
        <w:pStyle w:val="2"/>
        <w:ind w:left="640" w:firstLine="560"/>
        <w:rPr>
          <w:sz w:val="28"/>
          <w:szCs w:val="28"/>
        </w:rPr>
      </w:pPr>
    </w:p>
    <w:p>
      <w:pPr>
        <w:pStyle w:val="2"/>
        <w:ind w:left="0" w:leftChars="0" w:firstLine="0" w:firstLineChars="0"/>
      </w:pPr>
    </w:p>
    <w:p>
      <w:r>
        <w:rPr>
          <w:rFonts w:hint="eastAsia"/>
        </w:rPr>
        <w:br w:type="page"/>
      </w:r>
    </w:p>
    <w:p>
      <w:pPr>
        <w:rPr>
          <w:rFonts w:hAnsi="宋体"/>
          <w:b/>
          <w:bCs/>
          <w:sz w:val="48"/>
          <w:szCs w:val="48"/>
        </w:rPr>
      </w:pPr>
      <w:bookmarkStart w:id="12" w:name="_Toc441065691"/>
      <w:bookmarkStart w:id="13" w:name="_Toc285722712"/>
      <w:bookmarkStart w:id="14" w:name="_Toc277084870"/>
      <w:r>
        <w:t>附件</w:t>
      </w:r>
      <w:r>
        <w:rPr>
          <w:rFonts w:hint="eastAsia"/>
        </w:rPr>
        <w:t>2</w:t>
      </w:r>
    </w:p>
    <w:p>
      <w:pPr>
        <w:pStyle w:val="4"/>
        <w:spacing w:line="600" w:lineRule="exact"/>
        <w:ind w:firstLine="964" w:firstLineChars="200"/>
        <w:rPr>
          <w:rFonts w:hAnsi="宋体"/>
          <w:b/>
          <w:bCs/>
          <w:sz w:val="48"/>
          <w:szCs w:val="48"/>
        </w:rPr>
      </w:pPr>
      <w:r>
        <w:rPr>
          <w:rFonts w:hint="eastAsia" w:hAnsi="宋体"/>
          <w:b/>
          <w:bCs/>
          <w:sz w:val="48"/>
          <w:szCs w:val="48"/>
        </w:rPr>
        <w:t>合同主要条款和格式合同（样本）</w:t>
      </w:r>
    </w:p>
    <w:p>
      <w:pPr>
        <w:pStyle w:val="4"/>
        <w:spacing w:line="600" w:lineRule="exact"/>
        <w:rPr>
          <w:rFonts w:ascii="Times New Roman" w:eastAsia="方正仿宋_GBK"/>
          <w:b/>
          <w:bCs/>
          <w:kern w:val="1"/>
          <w:sz w:val="32"/>
          <w:szCs w:val="22"/>
        </w:rPr>
      </w:pPr>
      <w:r>
        <w:rPr>
          <w:rFonts w:hint="eastAsia" w:ascii="Times New Roman" w:eastAsia="方正仿宋_GBK"/>
          <w:b/>
          <w:bCs/>
          <w:kern w:val="1"/>
          <w:sz w:val="32"/>
          <w:szCs w:val="22"/>
        </w:rPr>
        <w:t>一、合同主要条款</w:t>
      </w:r>
      <w:bookmarkEnd w:id="12"/>
      <w:bookmarkEnd w:id="13"/>
      <w:bookmarkEnd w:id="14"/>
    </w:p>
    <w:p>
      <w:pPr>
        <w:ind w:firstLine="640"/>
      </w:pPr>
      <w:r>
        <w:rPr>
          <w:rFonts w:hint="eastAsia"/>
        </w:rPr>
        <w:t>1、定义</w:t>
      </w:r>
    </w:p>
    <w:p>
      <w:pPr>
        <w:ind w:firstLine="640"/>
      </w:pPr>
      <w:r>
        <w:rPr>
          <w:rFonts w:hint="eastAsia"/>
        </w:rPr>
        <w:t>（1）甲方（需方）即采购人，是指通过招标采购，接受合同货物及服务的各级国家机关、事业单位和团体组织。</w:t>
      </w:r>
    </w:p>
    <w:p>
      <w:pPr>
        <w:ind w:firstLine="640"/>
      </w:pPr>
      <w:r>
        <w:rPr>
          <w:rFonts w:hint="eastAsia"/>
        </w:rPr>
        <w:t>（2）乙方（供方）即中标人，是指中标后提供合同货物和服务的自然人、法人及其他组织。</w:t>
      </w:r>
    </w:p>
    <w:p>
      <w:pPr>
        <w:ind w:firstLine="640"/>
      </w:pPr>
      <w:r>
        <w:rPr>
          <w:rFonts w:hint="eastAsia"/>
        </w:rPr>
        <w:t>（3）合同是指由甲乙双方按照招标文件和投标文件的实质性内容，通过协商一致达成的书面协议。</w:t>
      </w:r>
    </w:p>
    <w:p>
      <w:pPr>
        <w:ind w:firstLine="640"/>
      </w:pPr>
      <w:r>
        <w:rPr>
          <w:rFonts w:hint="eastAsia"/>
        </w:rPr>
        <w:t>（4）合同价格指以中标价格为依据，在供方全面履行合同义务后，需方（或财政部门）应支付给供方的金额。</w:t>
      </w:r>
    </w:p>
    <w:p>
      <w:pPr>
        <w:ind w:firstLine="640"/>
      </w:pPr>
      <w:r>
        <w:rPr>
          <w:rFonts w:hint="eastAsia"/>
        </w:rPr>
        <w:t>（5）技术资料是指合同货物及其相关的设计、制造、监造、检验、验收等文件（包括图纸、各种文字说明、标准）。</w:t>
      </w:r>
    </w:p>
    <w:p>
      <w:pPr>
        <w:ind w:firstLine="640"/>
      </w:pPr>
      <w:r>
        <w:rPr>
          <w:rFonts w:hint="eastAsia"/>
        </w:rPr>
        <w:t>2、货物内容</w:t>
      </w:r>
    </w:p>
    <w:p>
      <w:pPr>
        <w:ind w:firstLine="640"/>
      </w:pPr>
      <w:r>
        <w:rPr>
          <w:rFonts w:hint="eastAsia"/>
        </w:rPr>
        <w:t>合同包括以下内容：货物名称、型号规格、技术参数、数量（单位）等内容。</w:t>
      </w:r>
    </w:p>
    <w:p>
      <w:pPr>
        <w:ind w:firstLine="640"/>
      </w:pPr>
      <w:r>
        <w:rPr>
          <w:rFonts w:hint="eastAsia"/>
        </w:rPr>
        <w:t>3、合同价格</w:t>
      </w:r>
    </w:p>
    <w:p>
      <w:pPr>
        <w:ind w:firstLine="640"/>
      </w:pPr>
      <w:r>
        <w:rPr>
          <w:rFonts w:hint="eastAsia"/>
        </w:rPr>
        <w:t>（1）合同价格即合同总价。</w:t>
      </w:r>
    </w:p>
    <w:p>
      <w:pPr>
        <w:ind w:firstLine="640"/>
      </w:pPr>
      <w:r>
        <w:rPr>
          <w:rFonts w:hint="eastAsia"/>
        </w:rPr>
        <w:t>（2）合同价格包括合同货物、技术资料、合同货物的税费、运杂费、保险费、包装费、装卸费及与货物有关的供方应纳的税费，所有税费由乙方负担。</w:t>
      </w:r>
    </w:p>
    <w:p>
      <w:pPr>
        <w:ind w:firstLine="640"/>
      </w:pPr>
      <w:r>
        <w:rPr>
          <w:rFonts w:hint="eastAsia"/>
        </w:rPr>
        <w:t>（3）合同货物单价为不变价。</w:t>
      </w:r>
    </w:p>
    <w:p>
      <w:pPr>
        <w:ind w:firstLine="640"/>
      </w:pPr>
      <w:r>
        <w:rPr>
          <w:rFonts w:hint="eastAsia"/>
        </w:rPr>
        <w:t>4、转包或分包</w:t>
      </w:r>
    </w:p>
    <w:p>
      <w:pPr>
        <w:ind w:firstLine="640"/>
      </w:pPr>
      <w:r>
        <w:rPr>
          <w:rFonts w:hint="eastAsia"/>
        </w:rPr>
        <w:t>（1）本合同范围的货物，应由乙方直接供应，不得转让他人供应；</w:t>
      </w:r>
    </w:p>
    <w:p>
      <w:pPr>
        <w:ind w:firstLine="640"/>
      </w:pPr>
      <w:r>
        <w:rPr>
          <w:rFonts w:hint="eastAsia"/>
        </w:rPr>
        <w:t>（2）非经甲方书面同意，乙方不得将本合同范围的货物全部或部分分包给他人供应；</w:t>
      </w:r>
    </w:p>
    <w:p>
      <w:pPr>
        <w:ind w:firstLine="640"/>
      </w:pPr>
      <w:r>
        <w:rPr>
          <w:rFonts w:hint="eastAsia"/>
        </w:rPr>
        <w:t>（3）如有转让和未经甲方同意的分包行为，甲方有权解除合同，没收履约保证金并追究乙方的违约责任。</w:t>
      </w:r>
    </w:p>
    <w:p>
      <w:pPr>
        <w:ind w:firstLine="640"/>
      </w:pPr>
      <w:r>
        <w:rPr>
          <w:rFonts w:hint="eastAsia"/>
        </w:rPr>
        <w:t>5、质量保证及售后服务</w:t>
      </w:r>
    </w:p>
    <w:p>
      <w:pPr>
        <w:ind w:firstLine="640"/>
      </w:pPr>
      <w:r>
        <w:rPr>
          <w:rFonts w:hint="eastAsia"/>
        </w:rPr>
        <w:t>5.1乙方应按招标文件规定的货物性能、技术要求、质量标准向甲方提供未经使用的全新产品。</w:t>
      </w:r>
    </w:p>
    <w:p>
      <w:pPr>
        <w:ind w:firstLine="640"/>
      </w:pPr>
      <w:r>
        <w:rPr>
          <w:rFonts w:hint="eastAsia"/>
        </w:rPr>
        <w:t>5.2乙方提供的货物在质保期内因货物本身的质量问题发生故障，乙方应负责免费更换。对达不到技术要求者，根据实际情况，经双方协商，可按以下办法处理：</w:t>
      </w:r>
    </w:p>
    <w:p>
      <w:pPr>
        <w:ind w:firstLine="640"/>
      </w:pPr>
      <w:r>
        <w:rPr>
          <w:rFonts w:hint="eastAsia"/>
        </w:rPr>
        <w:t>5.2.1更换：由乙方承担所发生的全部费用。</w:t>
      </w:r>
    </w:p>
    <w:p>
      <w:pPr>
        <w:ind w:firstLine="640"/>
      </w:pPr>
      <w:r>
        <w:rPr>
          <w:rFonts w:hint="eastAsia"/>
        </w:rPr>
        <w:t>5.2.2贬值处理：由甲乙双方合议定价。</w:t>
      </w:r>
    </w:p>
    <w:p>
      <w:pPr>
        <w:ind w:firstLine="640"/>
      </w:pPr>
      <w:r>
        <w:rPr>
          <w:rFonts w:hint="eastAsia"/>
        </w:rPr>
        <w:t>5.2.3退货处理：乙方应退还甲方支付的合同款，同时应承担该货物的直接费用（运输、保险、检验、货款利息及银行手续费等）。</w:t>
      </w:r>
    </w:p>
    <w:p>
      <w:pPr>
        <w:ind w:firstLine="640"/>
      </w:pPr>
      <w:r>
        <w:rPr>
          <w:rFonts w:hint="eastAsia"/>
        </w:rPr>
        <w:t>5.3如在使用过程中发生质量问题，乙方应按本项目“第三篇 项目商务要求”中售后服务的要求处理。</w:t>
      </w:r>
    </w:p>
    <w:p>
      <w:pPr>
        <w:ind w:firstLine="640"/>
      </w:pPr>
      <w:r>
        <w:rPr>
          <w:rFonts w:hint="eastAsia"/>
        </w:rPr>
        <w:t>5.4在质保期内，乙方应对货物出现的质量及安全问题负责处理解决并承担一切费用。</w:t>
      </w:r>
    </w:p>
    <w:p>
      <w:pPr>
        <w:ind w:firstLine="640"/>
      </w:pPr>
      <w:r>
        <w:rPr>
          <w:rFonts w:hint="eastAsia"/>
        </w:rPr>
        <w:t>6、付款</w:t>
      </w:r>
    </w:p>
    <w:p>
      <w:pPr>
        <w:ind w:firstLine="640"/>
      </w:pPr>
      <w:r>
        <w:rPr>
          <w:rFonts w:hint="eastAsia"/>
        </w:rPr>
        <w:t>6.1本合同使用货币币制如未作特别说明均为人民币。</w:t>
      </w:r>
    </w:p>
    <w:p>
      <w:pPr>
        <w:ind w:firstLine="640"/>
      </w:pPr>
      <w:r>
        <w:rPr>
          <w:rFonts w:hint="eastAsia"/>
        </w:rPr>
        <w:t>6.2付款方式：银行转账、现金支票。</w:t>
      </w:r>
    </w:p>
    <w:p>
      <w:pPr>
        <w:ind w:firstLine="640"/>
      </w:pPr>
      <w:r>
        <w:rPr>
          <w:rFonts w:hint="eastAsia"/>
        </w:rPr>
        <w:t>6.3付款方法：同本项目“九、付款方式”中关于付款方式的约定。</w:t>
      </w:r>
    </w:p>
    <w:p>
      <w:pPr>
        <w:ind w:firstLine="640"/>
      </w:pPr>
      <w:r>
        <w:rPr>
          <w:rFonts w:hint="eastAsia"/>
        </w:rPr>
        <w:t>7、检查验收</w:t>
      </w:r>
    </w:p>
    <w:p>
      <w:pPr>
        <w:ind w:firstLine="640"/>
      </w:pPr>
      <w:r>
        <w:rPr>
          <w:rFonts w:hint="eastAsia"/>
        </w:rPr>
        <w:t>（1）供方应随货物提供合格证和质量证明文件，如是国外进口的货物还须提供入关证明。</w:t>
      </w:r>
    </w:p>
    <w:p>
      <w:pPr>
        <w:ind w:firstLine="640"/>
      </w:pPr>
      <w:r>
        <w:rPr>
          <w:rFonts w:hint="eastAsia"/>
        </w:rPr>
        <w:t>（2）货物验收</w:t>
      </w:r>
    </w:p>
    <w:p>
      <w:pPr>
        <w:ind w:firstLine="640"/>
      </w:pPr>
      <w:r>
        <w:rPr>
          <w:rFonts w:hint="eastAsia"/>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ind w:firstLine="640"/>
      </w:pPr>
      <w:r>
        <w:rPr>
          <w:rFonts w:hint="eastAsia"/>
        </w:rPr>
        <w:t>（3）货物验收报告应由需方、供方经办人签字，并加盖双方公章，以此作为支付凭据。</w:t>
      </w:r>
    </w:p>
    <w:p>
      <w:pPr>
        <w:ind w:firstLine="640"/>
      </w:pPr>
      <w:r>
        <w:rPr>
          <w:rFonts w:hint="eastAsia"/>
        </w:rPr>
        <w:t>8、索赔</w:t>
      </w:r>
    </w:p>
    <w:p>
      <w:pPr>
        <w:ind w:firstLine="640"/>
      </w:pPr>
      <w:r>
        <w:rPr>
          <w:rFonts w:hint="eastAsia"/>
        </w:rPr>
        <w:t>供方对货物与合同要求不符负有责任，并且需方已于规定交货内和质量保证期内提出索赔，供方应按需方同意的下述一种或多种方法解决索赔事宜。</w:t>
      </w:r>
    </w:p>
    <w:p>
      <w:pPr>
        <w:ind w:firstLine="640"/>
      </w:pPr>
      <w:r>
        <w:rPr>
          <w:rFonts w:hint="eastAsia"/>
        </w:rPr>
        <w:t>（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ind w:firstLine="640"/>
      </w:pPr>
      <w:r>
        <w:rPr>
          <w:rFonts w:hint="eastAsia"/>
        </w:rPr>
        <w:t>（2）根据货物的疵劣和受损程度以及需方遭受损失的金额，经双方同意降低货物价格。</w:t>
      </w:r>
    </w:p>
    <w:p>
      <w:pPr>
        <w:ind w:firstLine="640"/>
      </w:pPr>
      <w:r>
        <w:rPr>
          <w:rFonts w:hint="eastAsia"/>
        </w:rPr>
        <w:t>9、知识产权</w:t>
      </w:r>
    </w:p>
    <w:p>
      <w:pPr>
        <w:ind w:firstLine="640"/>
      </w:pPr>
      <w:r>
        <w:rPr>
          <w:rFonts w:hint="eastAsia"/>
        </w:rPr>
        <w:t>甲方在中华人民共和国境内使用乙方提供的货物及服务时免受第三方提出的侵犯其专利权或其它知识产权的起诉。如果第三方提出侵权指控，乙方应承担由此而引起的一切法律责任和费用。</w:t>
      </w:r>
    </w:p>
    <w:p>
      <w:pPr>
        <w:ind w:firstLine="640"/>
      </w:pPr>
      <w:r>
        <w:rPr>
          <w:rFonts w:hint="eastAsia"/>
        </w:rPr>
        <w:t>10、合同争议的解决</w:t>
      </w:r>
    </w:p>
    <w:p>
      <w:pPr>
        <w:ind w:firstLine="640"/>
      </w:pPr>
      <w:r>
        <w:rPr>
          <w:rFonts w:hint="eastAsia"/>
        </w:rPr>
        <w:t>（1）当事人友好协商达成一致</w:t>
      </w:r>
    </w:p>
    <w:p>
      <w:pPr>
        <w:ind w:firstLine="640"/>
      </w:pPr>
      <w:r>
        <w:rPr>
          <w:rFonts w:hint="eastAsia"/>
        </w:rPr>
        <w:t>（2）在60天内当事人协商不能达成协议的，可提请采购人当地仲裁机构仲裁。</w:t>
      </w:r>
    </w:p>
    <w:p>
      <w:pPr>
        <w:ind w:firstLine="640"/>
      </w:pPr>
      <w:r>
        <w:rPr>
          <w:rFonts w:hint="eastAsia"/>
        </w:rPr>
        <w:t>11、违约责任</w:t>
      </w:r>
    </w:p>
    <w:p>
      <w:pPr>
        <w:ind w:firstLine="640"/>
      </w:pPr>
      <w:r>
        <w:rPr>
          <w:rFonts w:hint="eastAsia"/>
        </w:rPr>
        <w:t>按《中华人民共和国合同法》、《中华人民共和国政府采购法》有关条款，或由供需双方约定。</w:t>
      </w:r>
    </w:p>
    <w:p>
      <w:pPr>
        <w:ind w:firstLine="640"/>
      </w:pPr>
      <w:r>
        <w:rPr>
          <w:rFonts w:hint="eastAsia"/>
        </w:rPr>
        <w:t>12、合同生效及其它</w:t>
      </w:r>
    </w:p>
    <w:p>
      <w:pPr>
        <w:ind w:firstLine="640"/>
      </w:pPr>
      <w:r>
        <w:rPr>
          <w:rFonts w:hint="eastAsia"/>
        </w:rPr>
        <w:t>（1）合同生效及其效力应符合《中华人民共和国合同法》有关规定。</w:t>
      </w:r>
    </w:p>
    <w:p>
      <w:pPr>
        <w:ind w:firstLine="640"/>
      </w:pPr>
      <w:r>
        <w:rPr>
          <w:rFonts w:hint="eastAsia"/>
        </w:rPr>
        <w:t>（2）合同应经当事人法定代表人或委托代理人签字，加盖双方合同专用章或公章。</w:t>
      </w:r>
    </w:p>
    <w:p>
      <w:pPr>
        <w:ind w:firstLine="640"/>
      </w:pPr>
      <w:r>
        <w:rPr>
          <w:rFonts w:hint="eastAsia"/>
        </w:rPr>
        <w:t>（3）合同所包括附件，是合同不可分割的一部分，具有同等法法律效力。</w:t>
      </w:r>
    </w:p>
    <w:p>
      <w:pPr>
        <w:ind w:firstLine="640"/>
      </w:pPr>
      <w:r>
        <w:rPr>
          <w:rFonts w:hint="eastAsia"/>
        </w:rPr>
        <w:t>（4）合同需提供担保的，按《中华人民共和国担保法》规定执行。</w:t>
      </w:r>
    </w:p>
    <w:p>
      <w:pPr>
        <w:ind w:firstLine="640"/>
      </w:pPr>
      <w:r>
        <w:rPr>
          <w:rFonts w:hint="eastAsia"/>
        </w:rPr>
        <w:t>（5）本合同条件未尽事宜依照《中华人民共和国合同法》，由供需双方共同协商确定。</w:t>
      </w:r>
    </w:p>
    <w:p>
      <w:r>
        <w:rPr>
          <w:rFonts w:hint="eastAsia"/>
        </w:rPr>
        <w:br w:type="page"/>
      </w:r>
    </w:p>
    <w:p>
      <w:pPr>
        <w:pStyle w:val="4"/>
        <w:spacing w:line="600" w:lineRule="exact"/>
        <w:rPr>
          <w:rFonts w:ascii="Times New Roman" w:eastAsia="方正仿宋_GBK"/>
          <w:b/>
          <w:bCs/>
          <w:kern w:val="1"/>
          <w:sz w:val="32"/>
          <w:szCs w:val="22"/>
        </w:rPr>
      </w:pPr>
      <w:bookmarkStart w:id="15" w:name="_Toc441065692"/>
      <w:bookmarkStart w:id="16" w:name="_Toc285722713"/>
      <w:bookmarkStart w:id="17" w:name="_Toc277084871"/>
      <w:r>
        <w:rPr>
          <w:rFonts w:hint="eastAsia" w:ascii="Times New Roman" w:eastAsia="方正仿宋_GBK"/>
          <w:b/>
          <w:bCs/>
          <w:kern w:val="1"/>
          <w:sz w:val="32"/>
          <w:szCs w:val="22"/>
        </w:rPr>
        <w:t>二、采购合同（格式）</w:t>
      </w:r>
      <w:bookmarkEnd w:id="15"/>
      <w:bookmarkEnd w:id="16"/>
      <w:bookmarkEnd w:id="17"/>
    </w:p>
    <w:p>
      <w:pPr>
        <w:pBdr>
          <w:top w:val="none" w:color="auto" w:sz="0" w:space="0"/>
          <w:left w:val="none" w:color="auto" w:sz="0" w:space="0"/>
          <w:bottom w:val="none" w:color="auto" w:sz="0" w:space="0"/>
          <w:right w:val="none" w:color="auto" w:sz="0" w:space="0"/>
          <w:between w:val="none" w:color="auto" w:sz="0" w:space="0"/>
        </w:pBdr>
        <w:spacing w:line="500" w:lineRule="exact"/>
        <w:jc w:val="center"/>
        <w:rPr>
          <w:rFonts w:ascii="宋体" w:hAnsi="宋体" w:eastAsia="宋体"/>
          <w:b/>
          <w:kern w:val="2"/>
          <w:sz w:val="28"/>
          <w:szCs w:val="28"/>
        </w:rPr>
      </w:pPr>
    </w:p>
    <w:p>
      <w:pPr>
        <w:spacing w:line="500" w:lineRule="exact"/>
        <w:jc w:val="center"/>
        <w:rPr>
          <w:rFonts w:ascii="仿宋" w:hAnsi="仿宋" w:eastAsia="仿宋" w:cs="仿宋"/>
          <w:b/>
          <w:color w:val="000000"/>
          <w:sz w:val="44"/>
          <w:szCs w:val="44"/>
        </w:rPr>
      </w:pPr>
      <w:r>
        <w:rPr>
          <w:rFonts w:hint="eastAsia" w:ascii="仿宋" w:hAnsi="仿宋" w:eastAsia="仿宋" w:cs="仿宋"/>
          <w:b/>
          <w:color w:val="000000"/>
          <w:sz w:val="44"/>
          <w:szCs w:val="44"/>
        </w:rPr>
        <w:t>建胜镇病媒生物防制采购合同</w:t>
      </w:r>
    </w:p>
    <w:p>
      <w:pPr>
        <w:pStyle w:val="13"/>
        <w:ind w:firstLine="0"/>
        <w:jc w:val="center"/>
        <w:rPr>
          <w:rFonts w:ascii="方正仿宋_GBK" w:eastAsia="方正仿宋_GBK"/>
          <w:color w:val="FF0000"/>
          <w:sz w:val="28"/>
          <w:szCs w:val="28"/>
          <w:highlight w:val="yellow"/>
          <w:u w:val="single"/>
        </w:rPr>
      </w:pPr>
    </w:p>
    <w:p>
      <w:r>
        <w:rPr>
          <w:rFonts w:hint="eastAsia"/>
        </w:rPr>
        <w:t>甲方（需方）：_________________      计价单位：___________</w:t>
      </w:r>
    </w:p>
    <w:p>
      <w:r>
        <w:rPr>
          <w:rFonts w:hint="eastAsia"/>
        </w:rPr>
        <w:t>乙方（供方）：_________________      计量单位：___________</w:t>
      </w:r>
    </w:p>
    <w:p>
      <w:pPr>
        <w:ind w:firstLine="640"/>
      </w:pPr>
      <w:r>
        <w:rPr>
          <w:rFonts w:hint="eastAsia"/>
        </w:rPr>
        <w:t>经双方协商一致，达成以下合同条款：</w:t>
      </w:r>
    </w:p>
    <w:tbl>
      <w:tblPr>
        <w:tblStyle w:val="14"/>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213"/>
        <w:gridCol w:w="1537"/>
        <w:gridCol w:w="863"/>
        <w:gridCol w:w="1575"/>
        <w:gridCol w:w="900"/>
        <w:gridCol w:w="91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76" w:type="dxa"/>
            <w:vMerge w:val="restart"/>
            <w:vAlign w:val="center"/>
          </w:tcPr>
          <w:p>
            <w:pPr>
              <w:jc w:val="center"/>
            </w:pPr>
            <w:r>
              <w:rPr>
                <w:rFonts w:hint="eastAsia"/>
              </w:rPr>
              <w:t>服务名称</w:t>
            </w:r>
          </w:p>
        </w:tc>
        <w:tc>
          <w:tcPr>
            <w:tcW w:w="2213" w:type="dxa"/>
            <w:vMerge w:val="restart"/>
            <w:vAlign w:val="center"/>
          </w:tcPr>
          <w:p>
            <w:pPr>
              <w:jc w:val="center"/>
            </w:pPr>
            <w:r>
              <w:rPr>
                <w:rFonts w:hint="eastAsia"/>
              </w:rPr>
              <w:t>服务具体内容</w:t>
            </w:r>
          </w:p>
        </w:tc>
        <w:tc>
          <w:tcPr>
            <w:tcW w:w="4875" w:type="dxa"/>
            <w:gridSpan w:val="4"/>
            <w:vAlign w:val="center"/>
          </w:tcPr>
          <w:p>
            <w:pPr>
              <w:ind w:firstLine="640"/>
              <w:jc w:val="center"/>
            </w:pPr>
            <w:r>
              <w:rPr>
                <w:rFonts w:hint="eastAsia"/>
              </w:rPr>
              <w:t>所使用的物品</w:t>
            </w:r>
          </w:p>
        </w:tc>
        <w:tc>
          <w:tcPr>
            <w:tcW w:w="918" w:type="dxa"/>
            <w:vMerge w:val="restart"/>
            <w:vAlign w:val="center"/>
          </w:tcPr>
          <w:p>
            <w:pPr>
              <w:jc w:val="center"/>
            </w:pPr>
            <w:r>
              <w:rPr>
                <w:rFonts w:hint="eastAsia"/>
              </w:rPr>
              <w:t>交货时间</w:t>
            </w:r>
          </w:p>
        </w:tc>
        <w:tc>
          <w:tcPr>
            <w:tcW w:w="878" w:type="dxa"/>
            <w:vMerge w:val="restart"/>
            <w:vAlign w:val="center"/>
          </w:tcPr>
          <w:p>
            <w:pPr>
              <w:jc w:val="center"/>
            </w:pPr>
            <w:r>
              <w:rPr>
                <w:rFonts w:hint="eastAsia"/>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76" w:type="dxa"/>
            <w:vMerge w:val="continue"/>
            <w:vAlign w:val="center"/>
          </w:tcPr>
          <w:p>
            <w:pPr>
              <w:ind w:firstLine="640"/>
            </w:pPr>
          </w:p>
        </w:tc>
        <w:tc>
          <w:tcPr>
            <w:tcW w:w="2213" w:type="dxa"/>
            <w:vMerge w:val="continue"/>
            <w:vAlign w:val="center"/>
          </w:tcPr>
          <w:p>
            <w:pPr>
              <w:ind w:firstLine="640"/>
            </w:pPr>
          </w:p>
        </w:tc>
        <w:tc>
          <w:tcPr>
            <w:tcW w:w="1537" w:type="dxa"/>
            <w:vAlign w:val="center"/>
          </w:tcPr>
          <w:p>
            <w:pPr>
              <w:jc w:val="center"/>
            </w:pPr>
            <w:r>
              <w:rPr>
                <w:rFonts w:hint="eastAsia"/>
              </w:rPr>
              <w:t>规格型号</w:t>
            </w:r>
          </w:p>
        </w:tc>
        <w:tc>
          <w:tcPr>
            <w:tcW w:w="863" w:type="dxa"/>
            <w:vAlign w:val="center"/>
          </w:tcPr>
          <w:p>
            <w:r>
              <w:rPr>
                <w:rFonts w:hint="eastAsia"/>
              </w:rPr>
              <w:t>数量</w:t>
            </w:r>
          </w:p>
        </w:tc>
        <w:tc>
          <w:tcPr>
            <w:tcW w:w="1575" w:type="dxa"/>
            <w:vAlign w:val="center"/>
          </w:tcPr>
          <w:p>
            <w:r>
              <w:rPr>
                <w:rFonts w:hint="eastAsia"/>
              </w:rPr>
              <w:t>综合单价</w:t>
            </w:r>
          </w:p>
        </w:tc>
        <w:tc>
          <w:tcPr>
            <w:tcW w:w="900" w:type="dxa"/>
            <w:vAlign w:val="center"/>
          </w:tcPr>
          <w:p>
            <w:r>
              <w:rPr>
                <w:rFonts w:hint="eastAsia"/>
              </w:rPr>
              <w:t>总价</w:t>
            </w:r>
          </w:p>
        </w:tc>
        <w:tc>
          <w:tcPr>
            <w:tcW w:w="918" w:type="dxa"/>
            <w:vMerge w:val="continue"/>
            <w:vAlign w:val="center"/>
          </w:tcPr>
          <w:p>
            <w:pPr>
              <w:ind w:firstLine="640"/>
            </w:pPr>
          </w:p>
        </w:tc>
        <w:tc>
          <w:tcPr>
            <w:tcW w:w="878" w:type="dxa"/>
            <w:vMerge w:val="continue"/>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ind w:firstLine="640"/>
            </w:pPr>
          </w:p>
        </w:tc>
        <w:tc>
          <w:tcPr>
            <w:tcW w:w="2213" w:type="dxa"/>
            <w:vAlign w:val="center"/>
          </w:tcPr>
          <w:p>
            <w:pPr>
              <w:ind w:firstLine="640"/>
            </w:pPr>
          </w:p>
        </w:tc>
        <w:tc>
          <w:tcPr>
            <w:tcW w:w="1537" w:type="dxa"/>
            <w:vAlign w:val="center"/>
          </w:tcPr>
          <w:p>
            <w:pPr>
              <w:ind w:firstLine="640"/>
            </w:pPr>
          </w:p>
        </w:tc>
        <w:tc>
          <w:tcPr>
            <w:tcW w:w="863" w:type="dxa"/>
            <w:vAlign w:val="center"/>
          </w:tcPr>
          <w:p>
            <w:pPr>
              <w:ind w:firstLine="640"/>
            </w:pPr>
          </w:p>
        </w:tc>
        <w:tc>
          <w:tcPr>
            <w:tcW w:w="1575" w:type="dxa"/>
            <w:vAlign w:val="center"/>
          </w:tcPr>
          <w:p>
            <w:pPr>
              <w:ind w:firstLine="640"/>
            </w:pPr>
          </w:p>
        </w:tc>
        <w:tc>
          <w:tcPr>
            <w:tcW w:w="900" w:type="dxa"/>
            <w:vAlign w:val="center"/>
          </w:tcPr>
          <w:p>
            <w:pPr>
              <w:ind w:firstLine="640"/>
            </w:pPr>
          </w:p>
        </w:tc>
        <w:tc>
          <w:tcPr>
            <w:tcW w:w="918" w:type="dxa"/>
            <w:vAlign w:val="center"/>
          </w:tcPr>
          <w:p>
            <w:pPr>
              <w:ind w:firstLine="640"/>
            </w:pPr>
          </w:p>
        </w:tc>
        <w:tc>
          <w:tcPr>
            <w:tcW w:w="878" w:type="dxa"/>
            <w:vAlign w:val="center"/>
          </w:tcPr>
          <w:p>
            <w:pPr>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60" w:type="dxa"/>
            <w:gridSpan w:val="8"/>
            <w:vAlign w:val="center"/>
          </w:tcPr>
          <w:p>
            <w:pPr>
              <w:ind w:firstLine="640"/>
            </w:pPr>
            <w:r>
              <w:rPr>
                <w:rFonts w:hint="eastAsia"/>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60" w:type="dxa"/>
            <w:gridSpan w:val="8"/>
            <w:vAlign w:val="center"/>
          </w:tcPr>
          <w:p>
            <w:pPr>
              <w:ind w:firstLine="640"/>
            </w:pPr>
            <w:r>
              <w:rPr>
                <w:rFonts w:hint="eastAsia"/>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60" w:type="dxa"/>
            <w:gridSpan w:val="8"/>
            <w:vAlign w:val="center"/>
          </w:tcPr>
          <w:p>
            <w:pPr>
              <w:ind w:firstLine="640"/>
            </w:pPr>
            <w:r>
              <w:rPr>
                <w:rFonts w:hint="eastAsia"/>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0" w:hRule="atLeast"/>
        </w:trPr>
        <w:tc>
          <w:tcPr>
            <w:tcW w:w="9760" w:type="dxa"/>
            <w:gridSpan w:val="8"/>
          </w:tcPr>
          <w:p>
            <w:r>
              <w:rPr>
                <w:rFonts w:hint="eastAsia"/>
              </w:rPr>
              <w:t>一、服务要求和质量保证：乙方提供的服务必须是完全符合国家有关标准、地方有关标准、行业有关标准，符合甲方采购文件要求。</w:t>
            </w:r>
          </w:p>
          <w:p>
            <w:r>
              <w:rPr>
                <w:rFonts w:hint="eastAsia"/>
              </w:rPr>
              <w:t>1.质保期限：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（1）防制期限从202</w:t>
            </w:r>
            <w:r>
              <w:t>4</w:t>
            </w:r>
            <w:r>
              <w:rPr>
                <w:rFonts w:hint="eastAsia"/>
              </w:rPr>
              <w:t>年</w:t>
            </w:r>
            <w:r>
              <w:t>3</w:t>
            </w:r>
            <w:r>
              <w:rPr>
                <w:rFonts w:hint="eastAsia"/>
              </w:rPr>
              <w:t>月</w:t>
            </w:r>
            <w:r>
              <w:t>1</w:t>
            </w:r>
            <w:r>
              <w:rPr>
                <w:rFonts w:hint="eastAsia"/>
              </w:rPr>
              <w:t>日-</w:t>
            </w:r>
            <w:r>
              <w:rPr>
                <w:rFonts w:hint="eastAsia"/>
                <w:lang w:val="en-US" w:eastAsia="zh-CN"/>
              </w:rPr>
              <w:t>12</w:t>
            </w:r>
            <w:r>
              <w:rPr>
                <w:rFonts w:hint="eastAsia"/>
              </w:rPr>
              <w:t>月</w:t>
            </w:r>
            <w:r>
              <w:t>31</w:t>
            </w:r>
            <w:r>
              <w:rPr>
                <w:rFonts w:hint="eastAsia"/>
              </w:rPr>
              <w:t>日，</w:t>
            </w:r>
            <w:r>
              <w:rPr>
                <w:rFonts w:hint="eastAsia"/>
                <w:lang w:val="en-US" w:eastAsia="zh-CN"/>
              </w:rPr>
              <w:t>共计消杀8次</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（2）措施：服务期内服务不符合要求的，由乙方提供售后服务，并承担全部费用。售后服务具体要求如下：</w:t>
            </w:r>
          </w:p>
          <w:p>
            <w:pPr>
              <w:ind w:firstLine="640"/>
            </w:pPr>
            <w:r>
              <w:rPr>
                <w:rFonts w:hint="eastAsia"/>
              </w:rPr>
              <w:t>a.供应商所供应服务质量必须符合国家相关法律法规和国家、行业的相关要求。</w:t>
            </w:r>
          </w:p>
          <w:p>
            <w:pPr>
              <w:ind w:firstLine="640"/>
            </w:pPr>
            <w:r>
              <w:rPr>
                <w:rFonts w:hint="eastAsia"/>
              </w:rPr>
              <w:t>b.成交供应商服务期内，本项目所有服务内容不得外包、转让或以其他形式变更招标服务主体；出现重大经营、变更事件应提前30日告知采购方。</w:t>
            </w:r>
          </w:p>
          <w:p>
            <w:pPr>
              <w:ind w:firstLine="640"/>
            </w:pPr>
            <w:r>
              <w:rPr>
                <w:rFonts w:hint="eastAsia"/>
              </w:rPr>
              <w:t>c.服务期内，因成交供应商经营管理不善引起的安全责任事故及履约服务中的经济责任由成交供应商承担；</w:t>
            </w:r>
          </w:p>
          <w:p>
            <w:pPr>
              <w:ind w:firstLine="640"/>
            </w:pPr>
            <w:r>
              <w:rPr>
                <w:rFonts w:hint="eastAsia"/>
              </w:rPr>
              <w:t>d.成交供应商服务期内不得擅自（变相）降低（响应承诺）标准、服务质量；</w:t>
            </w:r>
          </w:p>
          <w:p>
            <w:pPr>
              <w:ind w:firstLine="640"/>
            </w:pPr>
            <w:r>
              <w:rPr>
                <w:rFonts w:hint="eastAsia"/>
              </w:rPr>
              <w:t>e.成交供应商服务期内必须严格执行国家政策法规；</w:t>
            </w:r>
          </w:p>
          <w:p>
            <w:pPr>
              <w:ind w:firstLine="640"/>
            </w:pPr>
            <w:r>
              <w:rPr>
                <w:rFonts w:hint="eastAsia"/>
              </w:rPr>
              <w:t>f.服务期内成交供应商如出现管理质量问题或受合理投诉，采购方有权视情况对其违规行为进行要求整改、解除合同方式的处罚。</w:t>
            </w:r>
          </w:p>
          <w:p>
            <w:pPr>
              <w:ind w:firstLine="640"/>
            </w:pPr>
            <w:r>
              <w:rPr>
                <w:rFonts w:hint="eastAsia"/>
              </w:rPr>
              <w:t>其他：</w:t>
            </w:r>
          </w:p>
          <w:p>
            <w:pPr>
              <w:ind w:firstLine="640"/>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trPr>
        <w:tc>
          <w:tcPr>
            <w:tcW w:w="9760" w:type="dxa"/>
            <w:gridSpan w:val="8"/>
          </w:tcPr>
          <w:p>
            <w:r>
              <w:rPr>
                <w:rFonts w:hint="eastAsia"/>
              </w:rPr>
              <w:t>二、服务范围：</w:t>
            </w:r>
          </w:p>
          <w:p>
            <w:pPr>
              <w:ind w:firstLine="640"/>
              <w:rPr>
                <w:rFonts w:ascii="仿宋" w:hAnsi="仿宋" w:eastAsia="仿宋"/>
                <w:sz w:val="24"/>
                <w:szCs w:val="21"/>
              </w:rPr>
            </w:pPr>
            <w:r>
              <w:rPr>
                <w:rFonts w:hint="eastAsia"/>
              </w:rPr>
              <w:t>本次采购的范围为，</w:t>
            </w:r>
            <w:r>
              <w:rPr>
                <w:rFonts w:hint="eastAsia"/>
                <w:b w:val="0"/>
                <w:bCs w:val="0"/>
              </w:rPr>
              <w:t>建胜镇</w:t>
            </w:r>
            <w:r>
              <w:rPr>
                <w:rFonts w:hint="eastAsia"/>
                <w:b w:val="0"/>
                <w:bCs w:val="0"/>
                <w:lang w:val="en-US" w:eastAsia="zh-CN"/>
              </w:rPr>
              <w:t>行政</w:t>
            </w:r>
            <w:r>
              <w:rPr>
                <w:rFonts w:hint="eastAsia"/>
                <w:b w:val="0"/>
                <w:bCs w:val="0"/>
              </w:rPr>
              <w:t>辖区范围内</w:t>
            </w:r>
            <w:r>
              <w:rPr>
                <w:rFonts w:hint="eastAsia"/>
                <w:b w:val="0"/>
                <w:bCs w:val="0"/>
                <w:lang w:eastAsia="zh-CN"/>
              </w:rPr>
              <w:t>的</w:t>
            </w:r>
            <w:r>
              <w:rPr>
                <w:rFonts w:hint="eastAsia"/>
                <w:b w:val="0"/>
                <w:bCs w:val="0"/>
                <w:lang w:val="en-US" w:eastAsia="zh-CN"/>
              </w:rPr>
              <w:t>民胜村、群胜村、四民村、四胜村、伏牛溪社区、建路社区</w:t>
            </w:r>
            <w:r>
              <w:rPr>
                <w:rFonts w:hint="eastAsia"/>
                <w:b w:val="0"/>
                <w:bCs w:val="0"/>
              </w:rPr>
              <w:t>的公共外环境</w:t>
            </w:r>
            <w:r>
              <w:rPr>
                <w:rFonts w:hint="eastAsia"/>
                <w:b w:val="0"/>
                <w:bCs w:val="0"/>
                <w:lang w:eastAsia="zh-CN"/>
              </w:rPr>
              <w:t>；</w:t>
            </w:r>
            <w:r>
              <w:rPr>
                <w:rFonts w:hint="eastAsia"/>
                <w:b w:val="0"/>
                <w:bCs w:val="0"/>
              </w:rPr>
              <w:t>居民小区（社区内院坝、居民楼周边、小区周边、社区公</w:t>
            </w:r>
            <w:r>
              <w:rPr>
                <w:rFonts w:hint="eastAsia"/>
              </w:rPr>
              <w:t>共绿地）、生活垃圾桶坑、背街小巷、城乡结合部、城中村、破产企业、露天农贸市场、建筑拆迁工地、边坡、河道岸坡、景观水体、沟、渠、井、下水道</w:t>
            </w:r>
            <w:r>
              <w:rPr>
                <w:rFonts w:hint="eastAsia"/>
                <w:lang w:eastAsia="zh-CN"/>
              </w:rPr>
              <w:t>、</w:t>
            </w:r>
            <w:r>
              <w:rPr>
                <w:rFonts w:hint="eastAsia"/>
                <w:lang w:val="en-US" w:eastAsia="zh-CN"/>
              </w:rPr>
              <w:t>建胜镇镇政府机关大楼及其周边</w:t>
            </w:r>
            <w:r>
              <w:rPr>
                <w:rFonts w:hint="eastAsia"/>
              </w:rPr>
              <w:t>等场所，组织开展病媒生物防制活动。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760" w:type="dxa"/>
            <w:gridSpan w:val="8"/>
          </w:tcPr>
          <w:p>
            <w:r>
              <w:rPr>
                <w:rFonts w:hint="eastAsia"/>
              </w:rPr>
              <w:t>三、权利瑕疵担保</w:t>
            </w:r>
          </w:p>
          <w:p>
            <w:pPr>
              <w:ind w:firstLine="640"/>
            </w:pPr>
            <w:r>
              <w:rPr>
                <w:rFonts w:hint="eastAsia"/>
              </w:rPr>
              <w:t>（1）乙方保证对其交付的服务及成果享有合法的权利。</w:t>
            </w:r>
          </w:p>
          <w:p>
            <w:pPr>
              <w:ind w:firstLine="640"/>
            </w:pPr>
            <w:r>
              <w:rPr>
                <w:rFonts w:hint="eastAsia"/>
              </w:rPr>
              <w:t>（2）乙方保证在服务上不存在任何未曾向甲方透露的担保物权，如抵押权、质押权、留置权等。</w:t>
            </w:r>
          </w:p>
          <w:p>
            <w:pPr>
              <w:ind w:firstLine="640"/>
            </w:pPr>
            <w:r>
              <w:rPr>
                <w:rFonts w:hint="eastAsia"/>
              </w:rPr>
              <w:t>（3）乙方保证其所交付的服务没有侵犯任何第三人的知识产权和商业秘密等权利。</w:t>
            </w:r>
          </w:p>
          <w:p>
            <w:pPr>
              <w:ind w:firstLine="640"/>
            </w:pPr>
            <w:r>
              <w:rPr>
                <w:rFonts w:hint="eastAsia"/>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760" w:type="dxa"/>
            <w:gridSpan w:val="8"/>
          </w:tcPr>
          <w:p>
            <w:r>
              <w:rPr>
                <w:rFonts w:hint="eastAsia"/>
              </w:rPr>
              <w:t>四、验收标准、方法：</w:t>
            </w:r>
          </w:p>
          <w:p>
            <w:pPr>
              <w:ind w:firstLine="640"/>
            </w:pPr>
            <w:r>
              <w:rPr>
                <w:rFonts w:hint="eastAsia"/>
              </w:rPr>
              <w:t>（1）供方应随货物提供合格证和质量证明文件，如是国外进口的货物还须提供入关证明。</w:t>
            </w:r>
          </w:p>
          <w:p>
            <w:pPr>
              <w:ind w:firstLine="640"/>
            </w:pPr>
            <w:r>
              <w:rPr>
                <w:rFonts w:hint="eastAsia"/>
              </w:rPr>
              <w:t>（2）货物验收</w:t>
            </w:r>
          </w:p>
          <w:p>
            <w:pPr>
              <w:ind w:firstLine="640"/>
            </w:pPr>
            <w:r>
              <w:rPr>
                <w:rFonts w:hint="eastAsia"/>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ind w:firstLine="640"/>
            </w:pPr>
            <w:r>
              <w:rPr>
                <w:rFonts w:hint="eastAsia"/>
              </w:rPr>
              <w:t>（3）货物验收报告应由需方、供方经办人签字，并加盖双方公章，以此作为支付凭据。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9760" w:type="dxa"/>
            <w:gridSpan w:val="8"/>
          </w:tcPr>
          <w:p>
            <w:pPr>
              <w:pStyle w:val="26"/>
              <w:spacing w:line="240" w:lineRule="atLeast"/>
              <w:ind w:firstLine="0" w:firstLineChars="0"/>
              <w:rPr>
                <w:rFonts w:ascii="Times New Roman" w:hAnsi="Times New Roman" w:cs="Times New Roman"/>
                <w:szCs w:val="22"/>
              </w:rPr>
            </w:pPr>
            <w:r>
              <w:rPr>
                <w:rFonts w:hint="eastAsia" w:ascii="Times New Roman" w:hAnsi="Times New Roman" w:cs="Times New Roman"/>
                <w:szCs w:val="22"/>
              </w:rPr>
              <w:t>五、付款方式：</w:t>
            </w:r>
          </w:p>
          <w:p>
            <w:pPr>
              <w:ind w:firstLine="640"/>
              <w:rPr>
                <w:rFonts w:hint="eastAsia"/>
              </w:rPr>
            </w:pPr>
            <w:r>
              <w:rPr>
                <w:rFonts w:hint="eastAsia"/>
              </w:rPr>
              <w:t>合同签订后，向采购人申请项目启动资金，采购人 15个工作日内向中标人支付合同总金额的30%作为项目启动资金；同时中标人应提供与预付款同等额度的担保函。如中标人收到预付款后不履行相关义务，可通过担保函收回已支付的预付款。</w:t>
            </w:r>
          </w:p>
          <w:p>
            <w:pPr>
              <w:ind w:firstLine="640"/>
              <w:rPr>
                <w:rFonts w:hint="eastAsia"/>
              </w:rPr>
            </w:pPr>
            <w:r>
              <w:rPr>
                <w:rFonts w:hint="eastAsia"/>
              </w:rPr>
              <w:t>情况1：通过国卫复审后，支付合同总金额的50%；合同结束后15个工作日内支付合同总金额的20% 。</w:t>
            </w:r>
          </w:p>
          <w:p>
            <w:pPr>
              <w:ind w:firstLine="640"/>
              <w:rPr>
                <w:rFonts w:hint="eastAsia"/>
              </w:rPr>
            </w:pPr>
            <w:r>
              <w:rPr>
                <w:rFonts w:hint="eastAsia"/>
              </w:rPr>
              <w:t>情况2：如在服务期结束后，本辖区并未被国卫复审抽查，合同结束后15个工作日内支付合同总金额的70% 。</w:t>
            </w:r>
          </w:p>
          <w:p>
            <w:pPr>
              <w:ind w:firstLine="640"/>
            </w:pPr>
            <w:r>
              <w:rPr>
                <w:rFonts w:hint="eastAsia"/>
              </w:rPr>
              <w:t xml:space="preserve">情况3：如在国卫复审期间，按照、《国家卫生城市标准（2021版）》标准，验收不合格的，扣除合同总金额的20%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9760" w:type="dxa"/>
            <w:gridSpan w:val="8"/>
          </w:tcPr>
          <w:p>
            <w:r>
              <w:rPr>
                <w:rFonts w:hint="eastAsia"/>
              </w:rPr>
              <w:t>六、知识产权归属：</w:t>
            </w:r>
          </w:p>
          <w:p>
            <w:pPr>
              <w:ind w:firstLine="640"/>
            </w:pPr>
            <w:r>
              <w:t>采购人在中华人民共和国境内使用供应商提供的货物及服务时免受第三方提出的侵犯其专利权或其它知识产权的起诉。如果第三方提出侵权指控，成交供应商应承担由此而引起的一切法律责任和费用。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0" w:type="dxa"/>
            <w:gridSpan w:val="8"/>
          </w:tcPr>
          <w:p>
            <w:pPr>
              <w:numPr>
                <w:ilvl w:val="0"/>
                <w:numId w:val="5"/>
              </w:numPr>
            </w:pPr>
            <w:r>
              <w:rPr>
                <w:rFonts w:hint="eastAsia"/>
              </w:rPr>
              <w:t>采购承诺：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pPr>
            <w:r>
              <w:rPr>
                <w:rFonts w:hint="eastAsia"/>
              </w:rPr>
              <w:t>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760" w:type="dxa"/>
            <w:gridSpan w:val="8"/>
          </w:tcPr>
          <w:p>
            <w:r>
              <w:rPr>
                <w:rFonts w:hint="eastAsia"/>
              </w:rPr>
              <w:t>八、违约责任：</w:t>
            </w:r>
          </w:p>
          <w:p>
            <w:pPr>
              <w:ind w:firstLine="640"/>
            </w:pPr>
            <w:r>
              <w:rPr>
                <w:rFonts w:hint="eastAsia"/>
              </w:rPr>
              <w:t>按《中华人民共和国合同法》、《中华人民共和国政府采购法》有关条款，或由供需双方约定。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trPr>
        <w:tc>
          <w:tcPr>
            <w:tcW w:w="9760" w:type="dxa"/>
            <w:gridSpan w:val="8"/>
          </w:tcPr>
          <w:p>
            <w:pPr>
              <w:ind w:firstLine="640"/>
            </w:pPr>
            <w:r>
              <w:rPr>
                <w:rFonts w:hint="eastAsia"/>
              </w:rPr>
              <w:t>九、其他约定事项：</w:t>
            </w:r>
          </w:p>
          <w:p>
            <w:pPr>
              <w:ind w:firstLine="640"/>
            </w:pPr>
            <w:r>
              <w:rPr>
                <w:rFonts w:hint="eastAsia"/>
              </w:rPr>
              <w:t>1.采购文件及其补遗文件、响应文件和承诺、及合同附件是本合同不可分割的部分。</w:t>
            </w:r>
          </w:p>
          <w:p>
            <w:pPr>
              <w:ind w:firstLine="640"/>
            </w:pPr>
            <w:r>
              <w:rPr>
                <w:rFonts w:hint="eastAsia"/>
              </w:rPr>
              <w:t>2.本合同如发生争议由双方协商解决，协商不成向甲方所在地人民法院提请诉讼。</w:t>
            </w:r>
          </w:p>
          <w:p>
            <w:pPr>
              <w:ind w:firstLine="640"/>
            </w:pPr>
            <w:r>
              <w:rPr>
                <w:rFonts w:hint="eastAsia"/>
              </w:rPr>
              <w:t>3.本合同一式_   份， 甲方_  _份，乙方   份，具备同等法律效力。</w:t>
            </w:r>
          </w:p>
          <w:p>
            <w:pPr>
              <w:ind w:firstLine="640"/>
            </w:pPr>
            <w:r>
              <w:rPr>
                <w:rFonts w:hint="eastAsia"/>
              </w:rPr>
              <w:t>4.合同尾页为双方的送达地址，双方据此送达即产生送达的效力。</w:t>
            </w:r>
          </w:p>
          <w:p>
            <w:pPr>
              <w:ind w:firstLine="640"/>
            </w:pPr>
            <w:r>
              <w:rPr>
                <w:rFonts w:hint="eastAsia"/>
              </w:rPr>
              <w:t>5.其他：             。</w:t>
            </w:r>
          </w:p>
          <w:p>
            <w:pPr>
              <w:ind w:firstLine="640"/>
            </w:pPr>
            <w:r>
              <w:rPr>
                <w:rFonts w:hint="eastAsia"/>
              </w:rPr>
              <w:t xml:space="preserve"> (以下无正文，为签署栏) </w:t>
            </w:r>
          </w:p>
          <w:p>
            <w:pPr>
              <w:pStyle w:val="2"/>
              <w:ind w:left="640" w:firstLine="880"/>
            </w:pPr>
          </w:p>
          <w:p>
            <w:pPr>
              <w:pStyle w:val="2"/>
              <w:ind w:left="640" w:firstLine="880"/>
            </w:pPr>
          </w:p>
          <w:p>
            <w:pPr>
              <w:pStyle w:val="2"/>
              <w:ind w:left="640" w:firstLine="880"/>
            </w:pPr>
          </w:p>
          <w:p>
            <w:pPr>
              <w:pStyle w:val="2"/>
              <w:ind w:left="640" w:firstLine="880"/>
            </w:pPr>
          </w:p>
          <w:p>
            <w:pPr>
              <w:pStyle w:val="2"/>
              <w:ind w:left="640" w:firstLine="880"/>
            </w:pPr>
          </w:p>
          <w:p>
            <w:pPr>
              <w:pStyle w:val="2"/>
              <w:ind w:left="640" w:firstLine="880"/>
            </w:pPr>
          </w:p>
          <w:p>
            <w:pPr>
              <w:pStyle w:val="2"/>
              <w:ind w:left="640" w:firstLine="880"/>
            </w:pPr>
          </w:p>
          <w:p>
            <w:pPr>
              <w:pStyle w:val="2"/>
              <w:ind w:left="640" w:firstLine="880"/>
            </w:pP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2" w:hRule="atLeast"/>
        </w:trPr>
        <w:tc>
          <w:tcPr>
            <w:tcW w:w="4626" w:type="dxa"/>
            <w:gridSpan w:val="3"/>
          </w:tcPr>
          <w:p>
            <w:pPr>
              <w:ind w:firstLine="640"/>
            </w:pPr>
            <w:r>
              <w:rPr>
                <w:rFonts w:hint="eastAsia"/>
              </w:rPr>
              <w:t>甲方：</w:t>
            </w:r>
          </w:p>
          <w:p>
            <w:pPr>
              <w:ind w:firstLine="640"/>
            </w:pPr>
            <w:r>
              <w:rPr>
                <w:rFonts w:hint="eastAsia"/>
              </w:rPr>
              <w:t>送达地址：</w:t>
            </w:r>
          </w:p>
          <w:p>
            <w:pPr>
              <w:ind w:firstLine="640"/>
            </w:pPr>
            <w:r>
              <w:rPr>
                <w:rFonts w:hint="eastAsia"/>
              </w:rPr>
              <w:t>联系电话：</w:t>
            </w:r>
          </w:p>
          <w:p>
            <w:pPr>
              <w:ind w:firstLine="640"/>
            </w:pPr>
            <w:r>
              <w:rPr>
                <w:rFonts w:hint="eastAsia"/>
              </w:rPr>
              <w:t>法定代表人或授权代表：</w:t>
            </w:r>
          </w:p>
        </w:tc>
        <w:tc>
          <w:tcPr>
            <w:tcW w:w="5134" w:type="dxa"/>
            <w:gridSpan w:val="5"/>
          </w:tcPr>
          <w:p>
            <w:pPr>
              <w:ind w:firstLine="640"/>
            </w:pPr>
            <w:r>
              <w:rPr>
                <w:rFonts w:hint="eastAsia"/>
              </w:rPr>
              <w:t>乙方：</w:t>
            </w:r>
          </w:p>
          <w:p>
            <w:pPr>
              <w:ind w:firstLine="640"/>
            </w:pPr>
            <w:r>
              <w:rPr>
                <w:rFonts w:hint="eastAsia"/>
              </w:rPr>
              <w:t>送达地址：</w:t>
            </w:r>
          </w:p>
          <w:p>
            <w:pPr>
              <w:ind w:firstLine="640"/>
            </w:pPr>
            <w:r>
              <w:rPr>
                <w:rFonts w:hint="eastAsia"/>
              </w:rPr>
              <w:t>电话：</w:t>
            </w:r>
          </w:p>
          <w:p>
            <w:pPr>
              <w:ind w:firstLine="640"/>
            </w:pPr>
            <w:r>
              <w:rPr>
                <w:rFonts w:hint="eastAsia"/>
              </w:rPr>
              <w:t>传真：</w:t>
            </w:r>
          </w:p>
          <w:p>
            <w:pPr>
              <w:ind w:firstLine="640"/>
            </w:pPr>
            <w:r>
              <w:rPr>
                <w:rFonts w:hint="eastAsia"/>
              </w:rPr>
              <w:t>开户银行：</w:t>
            </w:r>
          </w:p>
          <w:p>
            <w:pPr>
              <w:ind w:firstLine="640"/>
            </w:pPr>
            <w:r>
              <w:rPr>
                <w:rFonts w:hint="eastAsia"/>
              </w:rPr>
              <w:t>账号：</w:t>
            </w:r>
          </w:p>
          <w:p>
            <w:pPr>
              <w:ind w:firstLine="640"/>
            </w:pPr>
            <w:r>
              <w:rPr>
                <w:rFonts w:hint="eastAsia"/>
              </w:rPr>
              <w:t>法定代表人或授权代表：</w:t>
            </w:r>
          </w:p>
          <w:p>
            <w:pPr>
              <w:ind w:firstLine="640"/>
            </w:pPr>
            <w:r>
              <w:rPr>
                <w:rFonts w:hint="eastAsia"/>
              </w:rPr>
              <w:t>（本栏请用计算机打印以便于准确付款，乙方的收款账号以本栏提供的为准，乙方应自行承担因其账号信息错误所造成的全部责任）</w:t>
            </w:r>
          </w:p>
          <w:p>
            <w:pPr>
              <w:ind w:firstLine="640"/>
            </w:pPr>
          </w:p>
        </w:tc>
      </w:tr>
    </w:tbl>
    <w:p>
      <w:pPr>
        <w:ind w:firstLine="640"/>
      </w:pPr>
      <w:r>
        <w:rPr>
          <w:rFonts w:hint="eastAsia"/>
        </w:rPr>
        <w:t>签约时间：     年   月   日       签</w:t>
      </w:r>
      <w:bookmarkStart w:id="18" w:name="_GoBack"/>
      <w:bookmarkEnd w:id="18"/>
      <w:r>
        <w:rPr>
          <w:rFonts w:hint="eastAsia"/>
        </w:rPr>
        <w:t>约地点：</w:t>
      </w:r>
    </w:p>
    <w:sectPr>
      <w:footerReference r:id="rId5" w:type="default"/>
      <w:endnotePr>
        <w:numFmt w:val="decimal"/>
      </w:endnotePr>
      <w:pgSz w:w="11906" w:h="16838"/>
      <w:pgMar w:top="1134" w:right="1191" w:bottom="1134" w:left="1304" w:header="964" w:footer="964"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简体">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77800" cy="381000"/>
              <wp:effectExtent l="0" t="0" r="0" b="0"/>
              <wp:wrapSquare wrapText="bothSides"/>
              <wp:docPr id="2" name="矩形1"/>
              <wp:cNvGraphicFramePr/>
              <a:graphic xmlns:a="http://schemas.openxmlformats.org/drawingml/2006/main">
                <a:graphicData uri="http://schemas.microsoft.com/office/word/2010/wordprocessingShape">
                  <wps:wsp>
                    <wps:cNvSpPr/>
                    <wps:spPr>
                      <a:xfrm>
                        <a:off x="0" y="0"/>
                        <a:ext cx="177800" cy="381000"/>
                      </a:xfrm>
                      <a:prstGeom prst="rect">
                        <a:avLst/>
                      </a:prstGeom>
                      <a:noFill/>
                      <a:ln>
                        <a:noFill/>
                      </a:ln>
                    </wps:spPr>
                    <wps:txbx>
                      <w:txbxContent>
                        <w:p>
                          <w:pPr>
                            <w:rPr>
                              <w:sz w:val="28"/>
                              <w:szCs w:val="28"/>
                            </w:rPr>
                          </w:pPr>
                          <w:r>
                            <w:rPr>
                              <w:sz w:val="28"/>
                              <w:szCs w:val="28"/>
                            </w:rPr>
                            <w:fldChar w:fldCharType="begin"/>
                          </w:r>
                          <w:r>
                            <w:rPr>
                              <w:sz w:val="28"/>
                              <w:szCs w:val="28"/>
                            </w:rPr>
                            <w:instrText xml:space="preserve"> PAGE \* Arabic </w:instrText>
                          </w:r>
                          <w:r>
                            <w:rPr>
                              <w:sz w:val="28"/>
                              <w:szCs w:val="28"/>
                            </w:rPr>
                            <w:fldChar w:fldCharType="separate"/>
                          </w:r>
                          <w:r>
                            <w:rPr>
                              <w:sz w:val="28"/>
                              <w:szCs w:val="28"/>
                            </w:rPr>
                            <w:t>26</w:t>
                          </w:r>
                          <w:r>
                            <w:rPr>
                              <w:sz w:val="28"/>
                              <w:szCs w:val="28"/>
                            </w:rPr>
                            <w:fldChar w:fldCharType="end"/>
                          </w:r>
                        </w:p>
                      </w:txbxContent>
                    </wps:txbx>
                    <wps:bodyPr lIns="0" tIns="0" rIns="0" bIns="0" upright="1">
                      <a:spAutoFit/>
                    </wps:bodyPr>
                  </wps:wsp>
                </a:graphicData>
              </a:graphic>
            </wp:anchor>
          </w:drawing>
        </mc:Choice>
        <mc:Fallback>
          <w:pict>
            <v:rect id="矩形1" o:spid="_x0000_s1026" o:spt="1" style="position:absolute;left:0pt;margin-top:0.05pt;height:30pt;width:14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WYH4dIAAAADAQAADwAAAAAAAAABACAAAAAiAAAAZHJzL2Rvd25yZXYueG1sUEsBAhQAFAAAAAgA&#10;h07iQNLp09S5AQAAfQMAAA4AAAAAAAAAAQAgAAAAIQEAAGRycy9lMm9Eb2MueG1sUEsFBgAAAAAG&#10;AAYAWQEAAEwFAAAAAA==&#10;">
              <v:fill on="f" focussize="0,0"/>
              <v:stroke on="f"/>
              <v:imagedata o:title=""/>
              <o:lock v:ext="edit" aspectratio="f"/>
              <v:textbox inset="0mm,0mm,0mm,0mm" style="mso-fit-shape-to-text:t;">
                <w:txbxContent>
                  <w:p>
                    <w:pPr>
                      <w:rPr>
                        <w:sz w:val="28"/>
                        <w:szCs w:val="28"/>
                      </w:rPr>
                    </w:pPr>
                    <w:r>
                      <w:rPr>
                        <w:sz w:val="28"/>
                        <w:szCs w:val="28"/>
                      </w:rPr>
                      <w:fldChar w:fldCharType="begin"/>
                    </w:r>
                    <w:r>
                      <w:rPr>
                        <w:sz w:val="28"/>
                        <w:szCs w:val="28"/>
                      </w:rPr>
                      <w:instrText xml:space="preserve"> PAGE \* Arabic </w:instrText>
                    </w:r>
                    <w:r>
                      <w:rPr>
                        <w:sz w:val="28"/>
                        <w:szCs w:val="28"/>
                      </w:rPr>
                      <w:fldChar w:fldCharType="separate"/>
                    </w:r>
                    <w:r>
                      <w:rPr>
                        <w:sz w:val="28"/>
                        <w:szCs w:val="28"/>
                      </w:rPr>
                      <w:t>26</w:t>
                    </w:r>
                    <w:r>
                      <w:rPr>
                        <w:sz w:val="28"/>
                        <w:szCs w:val="28"/>
                      </w:rP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A11BD"/>
    <w:multiLevelType w:val="singleLevel"/>
    <w:tmpl w:val="862A11BD"/>
    <w:lvl w:ilvl="0" w:tentative="0">
      <w:start w:val="1"/>
      <w:numFmt w:val="decimal"/>
      <w:suff w:val="nothing"/>
      <w:lvlText w:val="%1、"/>
      <w:lvlJc w:val="left"/>
    </w:lvl>
  </w:abstractNum>
  <w:abstractNum w:abstractNumId="1">
    <w:nsid w:val="98A73CAB"/>
    <w:multiLevelType w:val="singleLevel"/>
    <w:tmpl w:val="98A73CAB"/>
    <w:lvl w:ilvl="0" w:tentative="0">
      <w:start w:val="2"/>
      <w:numFmt w:val="chineseCounting"/>
      <w:suff w:val="nothing"/>
      <w:lvlText w:val="%1、"/>
      <w:lvlJc w:val="left"/>
      <w:rPr>
        <w:rFonts w:hint="eastAsia"/>
      </w:rPr>
    </w:lvl>
  </w:abstractNum>
  <w:abstractNum w:abstractNumId="2">
    <w:nsid w:val="E4AFFA3C"/>
    <w:multiLevelType w:val="singleLevel"/>
    <w:tmpl w:val="E4AFFA3C"/>
    <w:lvl w:ilvl="0" w:tentative="0">
      <w:start w:val="7"/>
      <w:numFmt w:val="chineseCounting"/>
      <w:suff w:val="nothing"/>
      <w:lvlText w:val="%1、"/>
      <w:lvlJc w:val="left"/>
      <w:rPr>
        <w:rFonts w:hint="eastAsia"/>
      </w:rPr>
    </w:lvl>
  </w:abstractNum>
  <w:abstractNum w:abstractNumId="3">
    <w:nsid w:val="E63498E1"/>
    <w:multiLevelType w:val="singleLevel"/>
    <w:tmpl w:val="E63498E1"/>
    <w:lvl w:ilvl="0" w:tentative="0">
      <w:start w:val="5"/>
      <w:numFmt w:val="decimal"/>
      <w:suff w:val="nothing"/>
      <w:lvlText w:val="（%1）"/>
      <w:lvlJc w:val="left"/>
    </w:lvl>
  </w:abstractNum>
  <w:abstractNum w:abstractNumId="4">
    <w:nsid w:val="0FD3B78C"/>
    <w:multiLevelType w:val="singleLevel"/>
    <w:tmpl w:val="0FD3B78C"/>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ocumentProtection w:enforcement="0"/>
  <w:defaultTabStop w:val="420"/>
  <w:drawingGridHorizontalSpacing w:val="160"/>
  <w:drawingGridVerticalSpacing w:val="435"/>
  <w:noPunctuationKerning w:val="1"/>
  <w:characterSpacingControl w:val="doNotCompress"/>
  <w:footnotePr>
    <w:footnote w:id="0"/>
    <w:footnote w:id="1"/>
  </w:footnotePr>
  <w:endnotePr>
    <w:numFmt w:val="decimal"/>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2QyYTBiMjgyZjU3ODY2MDZlNjFmMjA3MTQ3NGIifQ=="/>
    <w:docVar w:name="KSO_WPS_MARK_KEY" w:val="8b4b53b6-4fd9-43f5-a2d2-7e7bd4a55f13"/>
  </w:docVars>
  <w:rsids>
    <w:rsidRoot w:val="00172A27"/>
    <w:rsid w:val="00020A8E"/>
    <w:rsid w:val="00030DDC"/>
    <w:rsid w:val="00052FA9"/>
    <w:rsid w:val="000707FE"/>
    <w:rsid w:val="0007613A"/>
    <w:rsid w:val="00082979"/>
    <w:rsid w:val="000861F0"/>
    <w:rsid w:val="00097721"/>
    <w:rsid w:val="000A50C7"/>
    <w:rsid w:val="000A5CF3"/>
    <w:rsid w:val="000C063D"/>
    <w:rsid w:val="000C2546"/>
    <w:rsid w:val="000C7321"/>
    <w:rsid w:val="000D5D3D"/>
    <w:rsid w:val="001125CD"/>
    <w:rsid w:val="00117C02"/>
    <w:rsid w:val="00117D09"/>
    <w:rsid w:val="00132A7B"/>
    <w:rsid w:val="00147E47"/>
    <w:rsid w:val="00152006"/>
    <w:rsid w:val="00155143"/>
    <w:rsid w:val="0016009E"/>
    <w:rsid w:val="001627A8"/>
    <w:rsid w:val="00163918"/>
    <w:rsid w:val="00172A27"/>
    <w:rsid w:val="00177656"/>
    <w:rsid w:val="00192EDF"/>
    <w:rsid w:val="001A0EB3"/>
    <w:rsid w:val="001C4035"/>
    <w:rsid w:val="001C415C"/>
    <w:rsid w:val="001D46B1"/>
    <w:rsid w:val="002279C6"/>
    <w:rsid w:val="00243AF0"/>
    <w:rsid w:val="00252E36"/>
    <w:rsid w:val="002B23A6"/>
    <w:rsid w:val="002C71D2"/>
    <w:rsid w:val="002D4BBA"/>
    <w:rsid w:val="0030618C"/>
    <w:rsid w:val="0031215C"/>
    <w:rsid w:val="00346909"/>
    <w:rsid w:val="00392E02"/>
    <w:rsid w:val="003A2DCA"/>
    <w:rsid w:val="003B38EB"/>
    <w:rsid w:val="003C320E"/>
    <w:rsid w:val="00411014"/>
    <w:rsid w:val="004210AA"/>
    <w:rsid w:val="00437DCB"/>
    <w:rsid w:val="00457C21"/>
    <w:rsid w:val="004737CD"/>
    <w:rsid w:val="0047545C"/>
    <w:rsid w:val="00482C42"/>
    <w:rsid w:val="004920B7"/>
    <w:rsid w:val="004A116F"/>
    <w:rsid w:val="004B51F6"/>
    <w:rsid w:val="004B630F"/>
    <w:rsid w:val="005018B2"/>
    <w:rsid w:val="005023A4"/>
    <w:rsid w:val="005145F1"/>
    <w:rsid w:val="00531101"/>
    <w:rsid w:val="005340FF"/>
    <w:rsid w:val="005546D8"/>
    <w:rsid w:val="00554E85"/>
    <w:rsid w:val="005B09BD"/>
    <w:rsid w:val="005B77F5"/>
    <w:rsid w:val="005D2E94"/>
    <w:rsid w:val="005E5055"/>
    <w:rsid w:val="005F3E44"/>
    <w:rsid w:val="00604DD2"/>
    <w:rsid w:val="006109C2"/>
    <w:rsid w:val="00614C86"/>
    <w:rsid w:val="0062193E"/>
    <w:rsid w:val="00623A47"/>
    <w:rsid w:val="006321D2"/>
    <w:rsid w:val="00666615"/>
    <w:rsid w:val="00685DD7"/>
    <w:rsid w:val="006A4F4C"/>
    <w:rsid w:val="006E3461"/>
    <w:rsid w:val="006E77D2"/>
    <w:rsid w:val="006F5AEE"/>
    <w:rsid w:val="007210D4"/>
    <w:rsid w:val="00744120"/>
    <w:rsid w:val="00757509"/>
    <w:rsid w:val="00770A05"/>
    <w:rsid w:val="007A2C97"/>
    <w:rsid w:val="007D5675"/>
    <w:rsid w:val="007F010B"/>
    <w:rsid w:val="00810CC2"/>
    <w:rsid w:val="008209DC"/>
    <w:rsid w:val="008B4A99"/>
    <w:rsid w:val="008C09DC"/>
    <w:rsid w:val="008D6D06"/>
    <w:rsid w:val="009238DE"/>
    <w:rsid w:val="0092619D"/>
    <w:rsid w:val="00960939"/>
    <w:rsid w:val="00964157"/>
    <w:rsid w:val="00970A1B"/>
    <w:rsid w:val="009721FC"/>
    <w:rsid w:val="00981D74"/>
    <w:rsid w:val="009B6D3A"/>
    <w:rsid w:val="00A0346D"/>
    <w:rsid w:val="00A25AC8"/>
    <w:rsid w:val="00A3333E"/>
    <w:rsid w:val="00A36056"/>
    <w:rsid w:val="00A46C86"/>
    <w:rsid w:val="00A506A6"/>
    <w:rsid w:val="00A50D5F"/>
    <w:rsid w:val="00AF6042"/>
    <w:rsid w:val="00B41A91"/>
    <w:rsid w:val="00B67CE5"/>
    <w:rsid w:val="00BC56DE"/>
    <w:rsid w:val="00BE681C"/>
    <w:rsid w:val="00BF52FE"/>
    <w:rsid w:val="00BF632D"/>
    <w:rsid w:val="00C0142E"/>
    <w:rsid w:val="00C17583"/>
    <w:rsid w:val="00C348CF"/>
    <w:rsid w:val="00C55732"/>
    <w:rsid w:val="00C57827"/>
    <w:rsid w:val="00C62876"/>
    <w:rsid w:val="00C63853"/>
    <w:rsid w:val="00C74E55"/>
    <w:rsid w:val="00C75099"/>
    <w:rsid w:val="00CA37D9"/>
    <w:rsid w:val="00CB2E8F"/>
    <w:rsid w:val="00CB39C0"/>
    <w:rsid w:val="00CC0842"/>
    <w:rsid w:val="00CE372F"/>
    <w:rsid w:val="00CF3E53"/>
    <w:rsid w:val="00D10EAC"/>
    <w:rsid w:val="00D2513C"/>
    <w:rsid w:val="00D34D03"/>
    <w:rsid w:val="00D35BE5"/>
    <w:rsid w:val="00D72B85"/>
    <w:rsid w:val="00D72BAF"/>
    <w:rsid w:val="00D7447C"/>
    <w:rsid w:val="00D75CDD"/>
    <w:rsid w:val="00DA294D"/>
    <w:rsid w:val="00DC27B7"/>
    <w:rsid w:val="00DF7CDF"/>
    <w:rsid w:val="00E1335F"/>
    <w:rsid w:val="00E43AEA"/>
    <w:rsid w:val="00E449CA"/>
    <w:rsid w:val="00E54F50"/>
    <w:rsid w:val="00E60673"/>
    <w:rsid w:val="00E726D5"/>
    <w:rsid w:val="00EA0186"/>
    <w:rsid w:val="00EA3D34"/>
    <w:rsid w:val="00EA5586"/>
    <w:rsid w:val="00EB14E6"/>
    <w:rsid w:val="00EB4CCE"/>
    <w:rsid w:val="00EC2A30"/>
    <w:rsid w:val="00EC37BB"/>
    <w:rsid w:val="00EE70CC"/>
    <w:rsid w:val="00EF223E"/>
    <w:rsid w:val="00EF7308"/>
    <w:rsid w:val="00F05303"/>
    <w:rsid w:val="00F20F83"/>
    <w:rsid w:val="00F36C26"/>
    <w:rsid w:val="00F63C17"/>
    <w:rsid w:val="00F92FE3"/>
    <w:rsid w:val="18820A86"/>
    <w:rsid w:val="1BC21F3A"/>
    <w:rsid w:val="20D50D4D"/>
    <w:rsid w:val="30A9581C"/>
    <w:rsid w:val="310C324E"/>
    <w:rsid w:val="31F572CE"/>
    <w:rsid w:val="377108AF"/>
    <w:rsid w:val="408D7842"/>
    <w:rsid w:val="445F7908"/>
    <w:rsid w:val="4EE74D90"/>
    <w:rsid w:val="503572DF"/>
    <w:rsid w:val="50950C9A"/>
    <w:rsid w:val="5125535E"/>
    <w:rsid w:val="5AC073F4"/>
    <w:rsid w:val="5CDB5FEE"/>
    <w:rsid w:val="5EDB40EE"/>
    <w:rsid w:val="749323E1"/>
    <w:rsid w:val="77292187"/>
    <w:rsid w:val="7A140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line="600" w:lineRule="exact"/>
      <w:jc w:val="both"/>
    </w:pPr>
    <w:rPr>
      <w:rFonts w:ascii="Times New Roman" w:hAnsi="Times New Roman" w:eastAsia="方正仿宋_GBK" w:cs="Times New Roman"/>
      <w:kern w:val="1"/>
      <w:sz w:val="32"/>
      <w:szCs w:val="22"/>
      <w:lang w:val="en-US" w:eastAsia="zh-CN" w:bidi="ar-SA"/>
    </w:rPr>
  </w:style>
  <w:style w:type="paragraph" w:styleId="4">
    <w:name w:val="heading 2"/>
    <w:next w:val="1"/>
    <w:qFormat/>
    <w:uiPriority w:val="0"/>
    <w:pPr>
      <w:keepNext/>
      <w:keepLines/>
      <w:widowControl w:val="0"/>
      <w:adjustRightInd w:val="0"/>
      <w:snapToGrid w:val="0"/>
      <w:spacing w:line="360" w:lineRule="auto"/>
      <w:jc w:val="both"/>
      <w:outlineLvl w:val="1"/>
    </w:pPr>
    <w:rPr>
      <w:rFonts w:ascii="宋体"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qFormat/>
    <w:uiPriority w:val="0"/>
    <w:pPr>
      <w:spacing w:line="700" w:lineRule="exact"/>
      <w:ind w:left="960"/>
    </w:pPr>
    <w:rPr>
      <w:sz w:val="44"/>
    </w:rPr>
  </w:style>
  <w:style w:type="paragraph" w:styleId="5">
    <w:name w:val="Body Text"/>
    <w:basedOn w:val="1"/>
    <w:next w:val="6"/>
    <w:qFormat/>
    <w:uiPriority w:val="0"/>
    <w:rPr>
      <w:rFonts w:ascii="仿宋_GB2312" w:eastAsia="仿宋_GB2312"/>
    </w:rPr>
  </w:style>
  <w:style w:type="paragraph" w:customStyle="1" w:styleId="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Plain Text"/>
    <w:qFormat/>
    <w:uiPriority w:val="0"/>
    <w:pPr>
      <w:widowControl w:val="0"/>
      <w:adjustRightInd w:val="0"/>
      <w:snapToGrid w:val="0"/>
      <w:spacing w:line="360" w:lineRule="auto"/>
      <w:jc w:val="both"/>
    </w:pPr>
    <w:rPr>
      <w:rFonts w:ascii="宋体" w:hAnsi="Times New Roman" w:eastAsia="宋体" w:cs="Times New Roman"/>
      <w:kern w:val="2"/>
      <w:sz w:val="21"/>
      <w:szCs w:val="24"/>
      <w:lang w:val="en-US" w:eastAsia="zh-CN" w:bidi="ar-SA"/>
    </w:rPr>
  </w:style>
  <w:style w:type="paragraph" w:styleId="8">
    <w:name w:val="Date"/>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Balloon Text"/>
    <w:basedOn w:val="1"/>
    <w:qFormat/>
    <w:uiPriority w:val="0"/>
    <w:pPr>
      <w:pBdr>
        <w:top w:val="none" w:color="000000" w:sz="0" w:space="3"/>
        <w:left w:val="none" w:color="000000" w:sz="0" w:space="3"/>
        <w:bottom w:val="none" w:color="000000" w:sz="0" w:space="3"/>
        <w:right w:val="none" w:color="000000" w:sz="0" w:space="3"/>
      </w:pBdr>
    </w:pPr>
    <w:rPr>
      <w:sz w:val="18"/>
      <w:szCs w:val="18"/>
    </w:rPr>
  </w:style>
  <w:style w:type="paragraph" w:styleId="10">
    <w:name w:val="footer"/>
    <w:basedOn w:val="1"/>
    <w:link w:val="24"/>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next w:val="1"/>
    <w:qFormat/>
    <w:uiPriority w:val="0"/>
    <w:pPr>
      <w:widowControl w:val="0"/>
      <w:tabs>
        <w:tab w:val="left" w:pos="1260"/>
        <w:tab w:val="left" w:pos="1685"/>
        <w:tab w:val="right" w:leader="dot" w:pos="8400"/>
      </w:tabs>
      <w:spacing w:line="32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13">
    <w:name w:val="Body Text First Indent"/>
    <w:basedOn w:val="5"/>
    <w:qFormat/>
    <w:uiPriority w:val="0"/>
    <w:pPr>
      <w:spacing w:line="360" w:lineRule="auto"/>
      <w:ind w:firstLine="420"/>
    </w:pPr>
    <w:rPr>
      <w:rFonts w:ascii="宋体" w:hAnsi="宋体"/>
      <w:sz w:val="24"/>
    </w:rPr>
  </w:style>
  <w:style w:type="table" w:styleId="15">
    <w:name w:val="Table Grid"/>
    <w:basedOn w:val="14"/>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页眉1"/>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spacing w:line="240" w:lineRule="atLeast"/>
      <w:jc w:val="center"/>
    </w:pPr>
    <w:rPr>
      <w:rFonts w:ascii="Times New Roman" w:hAnsi="Times New Roman" w:eastAsia="方正仿宋_GBK" w:cs="Times New Roman"/>
      <w:kern w:val="1"/>
      <w:sz w:val="18"/>
      <w:szCs w:val="18"/>
      <w:lang w:val="en-US" w:eastAsia="zh-CN" w:bidi="ar-SA"/>
    </w:rPr>
  </w:style>
  <w:style w:type="paragraph" w:customStyle="1" w:styleId="18">
    <w:name w:val="页脚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spacing w:line="240" w:lineRule="atLeast"/>
    </w:pPr>
    <w:rPr>
      <w:rFonts w:ascii="Times New Roman" w:hAnsi="Times New Roman" w:eastAsia="方正仿宋_GBK" w:cs="Times New Roman"/>
      <w:kern w:val="1"/>
      <w:sz w:val="18"/>
      <w:szCs w:val="18"/>
      <w:lang w:val="en-US" w:eastAsia="zh-CN" w:bidi="ar-SA"/>
    </w:rPr>
  </w:style>
  <w:style w:type="character" w:customStyle="1" w:styleId="19">
    <w:name w:val="页眉 Char"/>
    <w:qFormat/>
    <w:uiPriority w:val="0"/>
    <w:rPr>
      <w:sz w:val="18"/>
      <w:szCs w:val="18"/>
    </w:rPr>
  </w:style>
  <w:style w:type="character" w:customStyle="1" w:styleId="20">
    <w:name w:val="页脚 Char"/>
    <w:qFormat/>
    <w:uiPriority w:val="0"/>
    <w:rPr>
      <w:sz w:val="18"/>
      <w:szCs w:val="18"/>
    </w:rPr>
  </w:style>
  <w:style w:type="character" w:customStyle="1" w:styleId="21">
    <w:name w:val="批注框文本 Char"/>
    <w:qFormat/>
    <w:uiPriority w:val="0"/>
    <w:rPr>
      <w:sz w:val="18"/>
      <w:szCs w:val="18"/>
    </w:rPr>
  </w:style>
  <w:style w:type="character" w:customStyle="1" w:styleId="22">
    <w:name w:val="页码1"/>
    <w:qFormat/>
    <w:uiPriority w:val="0"/>
  </w:style>
  <w:style w:type="character" w:customStyle="1" w:styleId="23">
    <w:name w:val="页眉 字符"/>
    <w:basedOn w:val="16"/>
    <w:link w:val="11"/>
    <w:qFormat/>
    <w:uiPriority w:val="99"/>
    <w:rPr>
      <w:sz w:val="18"/>
      <w:szCs w:val="18"/>
    </w:rPr>
  </w:style>
  <w:style w:type="character" w:customStyle="1" w:styleId="24">
    <w:name w:val="页脚 字符"/>
    <w:basedOn w:val="16"/>
    <w:link w:val="10"/>
    <w:qFormat/>
    <w:uiPriority w:val="99"/>
    <w:rPr>
      <w:sz w:val="18"/>
      <w:szCs w:val="18"/>
    </w:rPr>
  </w:style>
  <w:style w:type="paragraph" w:customStyle="1" w:styleId="25">
    <w:name w:val="BodyText1I2"/>
    <w:basedOn w:val="1"/>
    <w:qFormat/>
    <w:uiPriority w:val="0"/>
    <w:pPr>
      <w:widowControl/>
      <w:spacing w:after="120"/>
      <w:ind w:left="420" w:leftChars="200" w:firstLine="420" w:firstLineChars="200"/>
      <w:textAlignment w:val="baseline"/>
    </w:pPr>
    <w:rPr>
      <w:rFonts w:eastAsia="仿宋_GB2312"/>
      <w:sz w:val="44"/>
      <w:szCs w:val="24"/>
    </w:rPr>
  </w:style>
  <w:style w:type="paragraph" w:styleId="26">
    <w:name w:val="List Paragraph"/>
    <w:basedOn w:val="1"/>
    <w:qFormat/>
    <w:uiPriority w:val="34"/>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方正仿宋_GBK"/>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4563D-4DAE-4269-9353-1B413CACEA8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10661</Words>
  <Characters>10925</Characters>
  <Lines>89</Lines>
  <Paragraphs>25</Paragraphs>
  <TotalTime>2</TotalTime>
  <ScaleCrop>false</ScaleCrop>
  <LinksUpToDate>false</LinksUpToDate>
  <CharactersWithSpaces>11981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2023-02-14T02:34:00Z</dcterms:created>
  <dc:creator>ZZB-ZYW</dc:creator>
  <cp:lastModifiedBy>是小廖啊</cp:lastModifiedBy>
  <cp:lastPrinted>2024-02-21T08:11:00Z</cp:lastPrinted>
  <dcterms:modified xsi:type="dcterms:W3CDTF">2024-02-26T01:14:03Z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1E00D6B3B246484A97F70FB4F177D174</vt:lpwstr>
  </property>
</Properties>
</file>