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441900031-2024-00026</w:t>
      </w:r>
    </w:p>
    <w:p>
      <w:pPr>
        <w:jc w:val="center"/>
      </w:pPr>
      <w:r>
        <w:rPr>
          <w:b/>
          <w:sz w:val="24"/>
        </w:rPr>
        <w:t>采购项目编号：</w:t>
      </w:r>
      <w:r>
        <w:rPr>
          <w:b/>
          <w:sz w:val="24"/>
        </w:rPr>
        <w:t>441900031-2024-00026</w:t>
      </w:r>
    </w:p>
    <w:p>
      <w:pPr>
        <w:jc w:val="center"/>
      </w:pPr>
      <w:r>
        <w:rPr>
          <w:b/>
          <w:sz w:val="24"/>
        </w:rPr>
        <w:t>项目名称：</w:t>
      </w:r>
      <w:r>
        <w:rPr>
          <w:b/>
          <w:sz w:val="24"/>
        </w:rPr>
        <w:t>道滘镇中心区“四害”消杀项目</w:t>
      </w:r>
    </w:p>
    <w:p>
      <w:pPr>
        <w:jc w:val="center"/>
      </w:pPr>
      <w:r>
        <w:rPr>
          <w:b/>
          <w:sz w:val="24"/>
        </w:rPr>
        <w:t>采购人：</w:t>
      </w:r>
      <w:r>
        <w:rPr>
          <w:b/>
          <w:sz w:val="24"/>
        </w:rPr>
        <w:t>东莞市道滘镇卫生健康局</w:t>
      </w:r>
    </w:p>
    <w:p>
      <w:pPr>
        <w:jc w:val="center"/>
      </w:pPr>
      <w:r>
        <w:rPr>
          <w:b/>
          <w:sz w:val="24"/>
        </w:rPr>
        <w:t>采购代理机构：</w:t>
      </w:r>
      <w:r>
        <w:rPr>
          <w:b/>
          <w:sz w:val="24"/>
        </w:rPr>
        <w:t>广东德业招标代理有限公司</w:t>
      </w:r>
    </w:p>
    <w:p>
      <w:pPr>
        <w:ind w:firstLine="480"/>
      </w:pPr>
    </w:p>
    <w:p>
      <w:r>
        <w:rPr/>
        <w:t xml:space="preserve"> </w:t>
      </w:r>
    </w:p>
    <w:p/>
    <w:p>
      <w:pPr>
        <w:jc w:val="center"/>
      </w:pPr>
      <w:r>
        <w:rPr>
          <w:b/>
          <w:sz w:val="36"/>
        </w:rPr>
        <w:t>第一章投标邀请</w:t>
      </w:r>
    </w:p>
    <w:p>
      <w:pPr>
        <w:ind w:firstLine="480"/>
      </w:pPr>
      <w:r>
        <w:rPr/>
        <w:t>广东德业招标代理有限公司</w:t>
      </w:r>
      <w:r>
        <w:rPr/>
        <w:t>受</w:t>
      </w:r>
      <w:r>
        <w:rPr/>
        <w:t>东莞市道滘镇卫生健康局</w:t>
      </w:r>
      <w:r>
        <w:rPr/>
        <w:t>的委托，采用</w:t>
      </w:r>
      <w:r>
        <w:rPr/>
        <w:t>公开招标</w:t>
      </w:r>
      <w:r>
        <w:rPr/>
        <w:t>方式组织采购</w:t>
      </w:r>
      <w:r>
        <w:rPr/>
        <w:t>道滘镇中心区“四害”消杀项目</w:t>
      </w:r>
      <w:r>
        <w:rPr/>
        <w:t>。欢迎符合资格条件的国内供应商参加投标。</w:t>
      </w:r>
    </w:p>
    <w:p>
      <w:r>
        <w:rPr>
          <w:b/>
          <w:sz w:val="28"/>
        </w:rPr>
        <w:t>一.项目概述</w:t>
      </w:r>
    </w:p>
    <w:p>
      <w:r>
        <w:rPr>
          <w:b/>
          <w:sz w:val="24"/>
        </w:rPr>
        <w:t>1.名称与编号</w:t>
      </w:r>
    </w:p>
    <w:p>
      <w:pPr>
        <w:ind w:firstLine="480"/>
      </w:pPr>
      <w:r>
        <w:rPr/>
        <w:t>项目名称：</w:t>
      </w:r>
      <w:r>
        <w:rPr/>
        <w:t>道滘镇中心区“四害”消杀项目</w:t>
      </w:r>
    </w:p>
    <w:p>
      <w:pPr>
        <w:ind w:firstLine="480"/>
      </w:pPr>
      <w:r>
        <w:rPr/>
        <w:t>采购计划编号：</w:t>
      </w:r>
      <w:r>
        <w:rPr/>
        <w:t>441900031-2024-00026</w:t>
      </w:r>
    </w:p>
    <w:p>
      <w:pPr>
        <w:ind w:firstLine="480"/>
      </w:pPr>
      <w:r>
        <w:rPr/>
        <w:t>采购项目编号：</w:t>
      </w:r>
      <w:r>
        <w:rPr/>
        <w:t>441900031-2024-00026</w:t>
      </w:r>
    </w:p>
    <w:p>
      <w:pPr>
        <w:ind w:firstLine="480"/>
      </w:pPr>
      <w:r>
        <w:rPr/>
        <w:t>采购方式：</w:t>
      </w:r>
      <w:r>
        <w:rPr/>
        <w:t>公开招标</w:t>
      </w:r>
    </w:p>
    <w:p>
      <w:pPr>
        <w:ind w:firstLine="480"/>
      </w:pPr>
      <w:r>
        <w:rPr/>
        <w:t>预算金额：</w:t>
      </w:r>
      <w:r>
        <w:rPr/>
        <w:t>1,449,000.00</w:t>
      </w:r>
      <w:r>
        <w:rPr/>
        <w:t>元</w:t>
      </w:r>
    </w:p>
    <w:p>
      <w:r>
        <w:rPr>
          <w:b/>
          <w:sz w:val="24"/>
        </w:rPr>
        <w:t>2.项目内容及需求情况（采购项目技术规格、参数及要求）</w:t>
      </w:r>
    </w:p>
    <w:p>
      <w:pPr>
        <w:ind w:firstLine="480"/>
      </w:pPr>
    </w:p>
    <w:p/>
    <w:p>
      <w:r>
        <w:rPr/>
        <w:t>采购包1(道滘镇中心区“四害”消杀项目):</w:t>
      </w:r>
    </w:p>
    <w:p>
      <w:r>
        <w:rPr/>
        <w:t>采购包预算金额：1,449,000.00元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道滘镇中心区“四害”消杀项目</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合同履行期限：2024年4月1日至2027年3月31日，服务期限为36个月</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1）具有独立承担民事责任的能力：在中华人民共和国境内注册的法人或其他组织或自然人，投标（响应）时提交有效的营业执照（或事业法人登记证或身份证等相关证明）复印件。</w:t>
      </w:r>
    </w:p>
    <w:p/>
    <w:p>
      <w:r>
        <w:rPr/>
        <w:t>2）有依法缴纳税收和社会保障资金的良好记录：投标文件中提供《资格条件承诺函》（格式参照招标公告附件）。</w:t>
      </w:r>
    </w:p>
    <w:p/>
    <w:p>
      <w:r>
        <w:rPr/>
        <w:t>3）具有良好的商业信誉和健全的财务会计制度：投标文件中提供《资格条件承诺函》（格式参照招标公告附件）。</w:t>
      </w:r>
    </w:p>
    <w:p/>
    <w:p>
      <w:r>
        <w:rPr/>
        <w:t>4）履行合同所必需的设备和专业技术能力：投标文件中提供《资格条件承诺函》（格式参照招标公告附件）。</w:t>
      </w:r>
    </w:p>
    <w:p/>
    <w:p>
      <w:r>
        <w:rPr/>
        <w:t>5）参加采购活动前3年内，在经营活动中没有重大违法记录：投标文件中提供《资格条件承诺函》（格式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采购包1（道滘镇中心区“四害”消杀项目）：</w:t>
      </w:r>
      <w:r>
        <w:rPr/>
        <w:t>采购包整体专门面向中小企业采购。中小企业须符合本项目采购标的对应行业（其他未列明行业）的政策划分标准。注：1、供应商投标时应提供《中小企业声明函》。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采购包1（道滘镇中心区“四害”消杀项目）：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
      <w:r>
        <w:rPr/>
        <w:t>3)本项目不接受分公司投标（响应）。</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东莞市道滘镇卫生健康局</w:t>
      </w:r>
    </w:p>
    <w:p>
      <w:pPr>
        <w:ind w:firstLine="480"/>
      </w:pPr>
      <w:r>
        <w:rPr/>
        <w:t>地址：</w:t>
      </w:r>
      <w:r>
        <w:rPr/>
        <w:t>东莞市道滘镇花园大街1号</w:t>
      </w:r>
    </w:p>
    <w:p>
      <w:pPr>
        <w:ind w:firstLine="480"/>
      </w:pPr>
      <w:r>
        <w:rPr/>
        <w:t>联系方式：</w:t>
      </w:r>
      <w:r>
        <w:rPr/>
        <w:t>0769-81332401</w:t>
      </w:r>
    </w:p>
    <w:p>
      <w:r>
        <w:rPr>
          <w:b/>
          <w:sz w:val="24"/>
        </w:rPr>
        <w:t>2.采购代理机构信息</w:t>
      </w:r>
    </w:p>
    <w:p>
      <w:pPr>
        <w:ind w:firstLine="480"/>
      </w:pPr>
      <w:r>
        <w:rPr/>
        <w:t>名称：</w:t>
      </w:r>
      <w:r>
        <w:rPr/>
        <w:t>广东德业招标代理有限公司</w:t>
      </w:r>
    </w:p>
    <w:p>
      <w:pPr>
        <w:ind w:firstLine="480"/>
      </w:pPr>
      <w:r>
        <w:rPr/>
        <w:t>地址：</w:t>
      </w:r>
      <w:r>
        <w:rPr/>
        <w:t>东莞市南城街道宏图路39号7栋二楼201室</w:t>
      </w:r>
    </w:p>
    <w:p>
      <w:pPr>
        <w:ind w:firstLine="480"/>
      </w:pPr>
      <w:r>
        <w:rPr/>
        <w:t>联系方式：</w:t>
      </w:r>
      <w:r>
        <w:rPr/>
        <w:t>0769-21668363</w:t>
      </w:r>
    </w:p>
    <w:p>
      <w:r>
        <w:rPr>
          <w:b/>
          <w:sz w:val="24"/>
        </w:rPr>
        <w:t>3.项目联系方式</w:t>
      </w:r>
    </w:p>
    <w:p>
      <w:pPr>
        <w:ind w:firstLine="480"/>
      </w:pPr>
      <w:r>
        <w:rPr/>
        <w:t>项目联系人：</w:t>
      </w:r>
      <w:r>
        <w:rPr/>
        <w:t>林瑞茵</w:t>
      </w:r>
    </w:p>
    <w:p>
      <w:pPr>
        <w:ind w:firstLine="480"/>
      </w:pPr>
      <w:r>
        <w:rPr/>
        <w:t>电话：</w:t>
      </w:r>
      <w:r>
        <w:rPr/>
        <w:t>0769-21668363</w:t>
      </w:r>
    </w:p>
    <w:p>
      <w:r>
        <w:rPr>
          <w:b/>
          <w:sz w:val="24"/>
        </w:rPr>
        <w:t>4.技术支持联系方式</w:t>
      </w:r>
    </w:p>
    <w:p>
      <w:pPr>
        <w:ind w:firstLine="480"/>
      </w:pPr>
      <w:r>
        <w:rPr/>
        <w:t>云平台联系方式：020-88696588</w:t>
      </w:r>
    </w:p>
    <w:p>
      <w:r>
        <w:rPr/>
        <w:t>采购代理机构：</w:t>
      </w:r>
      <w:r>
        <w:rPr/>
        <w:t>广东德业招标代理有限公司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sz w:val="21"/>
        </w:rPr>
        <w:t>道滘镇中心区</w:t>
      </w:r>
      <w:r>
        <w:rPr>
          <w:sz w:val="21"/>
        </w:rPr>
        <w:t>“</w:t>
      </w:r>
      <w:r>
        <w:rPr>
          <w:sz w:val="21"/>
        </w:rPr>
        <w:t>四害</w:t>
      </w:r>
      <w:r>
        <w:rPr>
          <w:sz w:val="21"/>
        </w:rPr>
        <w:t>”</w:t>
      </w:r>
      <w:r>
        <w:rPr>
          <w:sz w:val="21"/>
        </w:rPr>
        <w:t>消杀项目</w:t>
      </w:r>
    </w:p>
    <w:p/>
    <w:p>
      <w:pPr>
        <w:ind w:firstLine="480"/>
      </w:pPr>
    </w:p>
    <w:p/>
    <w:p>
      <w:r>
        <w:rPr/>
        <w:t>采购包1（道滘镇中心区“四害”消杀项目）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2024年4月1日至2027年3月31日，服务期限为36个月。</w:t>
            </w:r>
          </w:p>
        </w:tc>
      </w:tr>
      <w:tr>
        <w:tc>
          <w:tcPr>
            <w:tcW w:type="dxa" w:w="4153"/>
          </w:tcPr>
          <w:p>
            <w:r>
              <w:rPr/>
              <w:t>标的提供的地点</w:t>
            </w:r>
          </w:p>
        </w:tc>
        <w:tc>
          <w:tcPr>
            <w:tcW w:type="dxa" w:w="4153"/>
          </w:tcPr>
          <w:p/>
          <w:p>
            <w:r>
              <w:rPr/>
              <w:t>采购人指定地点（如有变化另行确定）。</w:t>
            </w:r>
          </w:p>
        </w:tc>
      </w:tr>
      <w:tr>
        <w:tc>
          <w:tcPr>
            <w:tcW w:type="dxa" w:w="4153"/>
          </w:tcPr>
          <w:p>
            <w:r>
              <w:rPr/>
              <w:t>付款方式</w:t>
            </w:r>
          </w:p>
        </w:tc>
        <w:tc>
          <w:tcPr>
            <w:tcW w:type="dxa" w:w="4153"/>
          </w:tcPr>
          <w:p/>
          <w:p/>
          <w:p>
            <w:r>
              <w:rPr/>
              <w:t>1期：支付比例100%,合同款每季度支付一次，次季度后的第一个月，财政分局根据东莞市道滘镇卫生健康局对上季度“四害”消杀验收后的实际作业情况及评分表，支付上季度的合同款。不足一个季度的，按实际作业月数计算。</w:t>
            </w:r>
          </w:p>
        </w:tc>
      </w:tr>
      <w:tr>
        <w:tc>
          <w:tcPr>
            <w:tcW w:type="dxa" w:w="4153"/>
          </w:tcPr>
          <w:p>
            <w:r>
              <w:rPr/>
              <w:t>验收要求</w:t>
            </w:r>
          </w:p>
        </w:tc>
        <w:tc>
          <w:tcPr>
            <w:tcW w:type="dxa" w:w="4153"/>
          </w:tcPr>
          <w:p/>
          <w:p/>
          <w:p/>
          <w:p>
            <w:r>
              <w:rPr/>
              <w:t>1期：（1）采购人会同疾控中心以及镇红线范围内所属村（南城村、永庆村、厚德村、北永村、闸口村、大岭丫村）每个月对中标人承包范围内的“四害”消杀质量进行检查，每个季度选取平均分作为中标人当季度的绩效评分，分好(100分-90分)、中(89分-80分)、差(80分以下)三个档次。 （2） “四害”消杀检查打分属好的为达标；属中的，每季度扣10000元违约金；属差的，每季度扣20000元违约金：属差的累计三次经道滘镇人民政府同意，采购人可单方面终止合同； （3）检查扣分标准：按《道滘镇“四害”消杀考核评分表》执行。</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承包方式：1、中标人按合同价包工、包料、包机械设备、包质量、包安全。2、按国家规定应由中标人缴纳的各种费用（工人工资、社保、保险、工作津贴、水电费、税收、车辆各类规费等所有费用）已包含在中标价内，由中标人向有关部门交付。</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道滘镇中心区“四害”消杀项目</w:t>
            </w:r>
          </w:p>
        </w:tc>
        <w:tc>
          <w:tcPr>
            <w:tcW w:type="dxa" w:w="933"/>
          </w:tcPr>
          <w:p>
            <w:pPr>
              <w:jc w:val="left"/>
            </w:pPr>
            <w:r>
              <w:rPr/>
              <w:t>项</w:t>
            </w:r>
          </w:p>
        </w:tc>
        <w:tc>
          <w:tcPr>
            <w:tcW w:type="dxa" w:w="933"/>
          </w:tcPr>
          <w:p>
            <w:pPr>
              <w:jc w:val="right"/>
            </w:pPr>
            <w:r>
              <w:rPr/>
              <w:t>1.00</w:t>
            </w:r>
          </w:p>
        </w:tc>
        <w:tc>
          <w:tcPr>
            <w:tcW w:type="dxa" w:w="933"/>
          </w:tcPr>
          <w:p>
            <w:pPr>
              <w:jc w:val="right"/>
            </w:pPr>
            <w:r>
              <w:rPr/>
              <w:t>1,449,000.00</w:t>
            </w:r>
          </w:p>
        </w:tc>
        <w:tc>
          <w:tcPr>
            <w:tcW w:type="dxa" w:w="933"/>
          </w:tcPr>
          <w:p>
            <w:pPr>
              <w:jc w:val="right"/>
            </w:pPr>
            <w:r>
              <w:rPr/>
              <w:t>1,449,000.00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道滘镇中心区“四害”消杀项目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一、项目概况</w:t>
            </w:r>
          </w:p>
          <w:p>
            <w:pPr>
              <w:ind w:firstLine="420"/>
              <w:jc w:val="both"/>
            </w:pPr>
            <w:r>
              <w:rPr>
                <w:sz w:val="21"/>
              </w:rPr>
              <w:t>1</w:t>
            </w:r>
            <w:r>
              <w:rPr>
                <w:sz w:val="21"/>
              </w:rPr>
              <w:t>、道滘镇中心区“四害”消杀项目，面积约为3.5 平方公里。</w:t>
            </w:r>
          </w:p>
          <w:p>
            <w:pPr>
              <w:ind w:firstLine="420"/>
              <w:jc w:val="both"/>
            </w:pPr>
            <w:r>
              <w:rPr>
                <w:sz w:val="21"/>
              </w:rPr>
              <w:t>【具体范围以采购人提供的红线图（附件三）为准。】</w:t>
            </w:r>
          </w:p>
          <w:p>
            <w:pPr>
              <w:jc w:val="both"/>
            </w:pPr>
            <w:r>
              <w:rPr>
                <w:b/>
                <w:sz w:val="21"/>
              </w:rPr>
              <w:t>二、项目服务范围</w:t>
            </w:r>
          </w:p>
          <w:p>
            <w:pPr>
              <w:ind w:firstLine="420"/>
              <w:jc w:val="both"/>
            </w:pPr>
            <w:r>
              <w:rPr>
                <w:sz w:val="21"/>
              </w:rPr>
              <w:t>1</w:t>
            </w:r>
            <w:r>
              <w:rPr>
                <w:sz w:val="21"/>
              </w:rPr>
              <w:t>、日常作业范围：对镇中心建成区范围内（详见附件三）的外环境、路面、下水道、内街小巷、绿化带、镇政府大院、公办中小学及幼儿园、敬老院、广场、公园、街道、巷道、河岸周边、公厕、垃圾压缩站、垃圾转运站、农贸市场（含农副产品摆卖区）等开展“四害”消杀服务。</w:t>
            </w:r>
          </w:p>
          <w:p>
            <w:pPr>
              <w:ind w:firstLine="420"/>
              <w:jc w:val="both"/>
            </w:pPr>
            <w:r>
              <w:rPr>
                <w:sz w:val="21"/>
              </w:rPr>
              <w:t>2</w:t>
            </w:r>
            <w:r>
              <w:rPr>
                <w:sz w:val="21"/>
              </w:rPr>
              <w:t>、应急服务范围：除日常消杀服务外，如遇登革热、基孔肯亚热等病媒生物为媒介的疫情时，需无条件服从安排开展病媒生物防控指导及消杀工作。</w:t>
            </w:r>
          </w:p>
          <w:p>
            <w:pPr>
              <w:ind w:firstLine="420"/>
              <w:jc w:val="both"/>
            </w:pPr>
            <w:r>
              <w:rPr>
                <w:sz w:val="21"/>
              </w:rPr>
              <w:t>3</w:t>
            </w:r>
            <w:r>
              <w:rPr>
                <w:sz w:val="21"/>
              </w:rPr>
              <w:t>、中标人需确保消杀质量不低于国家卫生镇标准以及鼠、蚊、蝇、蟑螂密度必须控制在全国爱卫会规定的标准内。</w:t>
            </w:r>
          </w:p>
          <w:p>
            <w:pPr>
              <w:jc w:val="both"/>
            </w:pPr>
            <w:r>
              <w:rPr>
                <w:b/>
                <w:sz w:val="21"/>
              </w:rPr>
              <w:t>三、主要工作内容</w:t>
            </w:r>
            <w:r>
              <w:rPr>
                <w:sz w:val="21"/>
              </w:rPr>
              <w:t xml:space="preserve">  </w:t>
            </w:r>
          </w:p>
          <w:p>
            <w:pPr>
              <w:ind w:firstLine="420"/>
              <w:jc w:val="both"/>
            </w:pPr>
            <w:r>
              <w:rPr>
                <w:sz w:val="21"/>
              </w:rPr>
              <w:t>1</w:t>
            </w:r>
            <w:r>
              <w:rPr>
                <w:sz w:val="21"/>
              </w:rPr>
              <w:t>、承包范围内“四害”消杀工作，包括外环境、路面、下水道、内街小巷、绿化带、镇政府大院、公办中小学及幼儿园、敬老院、广场、公园、街道、巷道、河岸周边、公厕、垃圾压缩站、垃圾转运站、农贸市场（含农副产品摆卖区）等重点孳生地及其周边。需要在上述区域内结合四害的生活特性有针对性的开展消杀工作，控制四害密度达到不低于C级水平，确保除四害工作达到国家卫生镇、文明镇考核及东莞市政府工作年度考核标准。</w:t>
            </w:r>
          </w:p>
          <w:p>
            <w:pPr>
              <w:ind w:firstLine="420"/>
              <w:jc w:val="both"/>
            </w:pPr>
            <w:r>
              <w:rPr>
                <w:sz w:val="21"/>
              </w:rPr>
              <w:t>2</w:t>
            </w:r>
            <w:r>
              <w:rPr>
                <w:sz w:val="21"/>
              </w:rPr>
              <w:t>、承包范围内收集动物尸体工作（含老鼠、蟑螂等收集清理工作），并将尸体做无害化处理。</w:t>
            </w:r>
          </w:p>
          <w:p>
            <w:pPr>
              <w:ind w:firstLine="420"/>
              <w:jc w:val="both"/>
            </w:pPr>
            <w:r>
              <w:rPr>
                <w:sz w:val="21"/>
              </w:rPr>
              <w:t>3</w:t>
            </w:r>
            <w:r>
              <w:rPr>
                <w:sz w:val="21"/>
              </w:rPr>
              <w:t>、中标人应在项目所在地设立固定的办公场所，指派固定负责人，并在进场一个月内设置固定联系电话，建立24小时值班制度，应付突发事件的发生。</w:t>
            </w:r>
          </w:p>
          <w:p>
            <w:pPr>
              <w:ind w:firstLine="420"/>
              <w:jc w:val="both"/>
            </w:pPr>
            <w:r>
              <w:rPr>
                <w:sz w:val="21"/>
              </w:rPr>
              <w:t>4</w:t>
            </w:r>
            <w:r>
              <w:rPr>
                <w:sz w:val="21"/>
              </w:rPr>
              <w:t>、中标人必须具备证件齐全的推式喷雾器不少于4台，烟雾机不少于6台，肩背式喷雾机不少于4台、消杀专用车辆不少于1辆等工具并保证该批器械只用于本项目；配备“四害”消杀项目负责人1名，消杀工作人员不少于6名，项目负责人需取得“四害”消杀技能培训相关证件，能熟练完成国家卫生镇复审病媒生物防制工作资料；消杀工作人员应具有</w:t>
            </w:r>
            <w:r>
              <w:rPr>
                <w:sz w:val="21"/>
              </w:rPr>
              <w:t>有害生物防制类相关培训证书，能</w:t>
            </w:r>
            <w:r>
              <w:rPr>
                <w:sz w:val="21"/>
              </w:rPr>
              <w:t>根据采购人的要求佩戴工卡定位器开展日常作业工作。</w:t>
            </w:r>
          </w:p>
          <w:p>
            <w:pPr>
              <w:ind w:firstLine="420"/>
              <w:jc w:val="both"/>
            </w:pPr>
            <w:r>
              <w:rPr>
                <w:sz w:val="21"/>
              </w:rPr>
              <w:t>5</w:t>
            </w:r>
            <w:r>
              <w:rPr>
                <w:sz w:val="21"/>
              </w:rPr>
              <w:t>、药物要求：</w:t>
            </w:r>
          </w:p>
          <w:p>
            <w:pPr>
              <w:ind w:firstLine="420"/>
              <w:jc w:val="both"/>
            </w:pPr>
            <w:r>
              <w:rPr>
                <w:sz w:val="21"/>
              </w:rPr>
              <w:t>（1）用药标准：中标人必须注重科学合理用药，不能使用假药、国家禁用的药物。使用的药物必须符合《病媒生物控制药物器械安全使用准则》，确保病媒生物控制达到“安全、高效、环保”的要求，用于本服务项目的消杀药物投入不能少于消杀面积的正常用药。</w:t>
            </w:r>
          </w:p>
          <w:p>
            <w:pPr>
              <w:ind w:firstLine="422"/>
              <w:jc w:val="both"/>
            </w:pPr>
            <w:r>
              <w:rPr>
                <w:b/>
                <w:sz w:val="21"/>
              </w:rPr>
              <w:t>（2）★</w:t>
            </w:r>
            <w:r>
              <w:rPr>
                <w:b/>
                <w:sz w:val="21"/>
              </w:rPr>
              <w:t>投标人须承诺中标后根据拟投用药物清单提供药物的以下资料给采购人核查：1）农业主管部门颁发的农药登记证。2）农业主管部门颁发的登记证持有人或委托加工企业农药生产许可证（生产范围包括投标产品剂型）。3）质量技术监督部门或企业标准信息公共服务平台备案的企业标准封面。4）药品标签。5）药品第三方检测报告。6）药品化学品安全技术说明书或农药产品安全数据单（MSDS）。（投标时须提供承诺函加盖投标人公章，格式自拟）</w:t>
            </w:r>
          </w:p>
          <w:p>
            <w:pPr>
              <w:ind w:firstLine="422"/>
              <w:jc w:val="both"/>
            </w:pPr>
            <w:r>
              <w:rPr>
                <w:b/>
                <w:sz w:val="21"/>
              </w:rPr>
              <w:t>（3）★投标人拟投用药物必须满足本项目需求的用药要求，如使用的药物效果不达标，采购人有权要求投标人更换药物，由此产生额外增加的费用由投标人自行承担，采购人不承担该费用。（投标时须提供承诺函及拟投用药物清单，格式自拟）</w:t>
            </w:r>
          </w:p>
          <w:p>
            <w:pPr>
              <w:ind w:firstLine="420"/>
              <w:jc w:val="both"/>
            </w:pPr>
            <w:r>
              <w:rPr>
                <w:sz w:val="21"/>
              </w:rPr>
              <w:t>6</w:t>
            </w:r>
            <w:r>
              <w:rPr>
                <w:sz w:val="21"/>
              </w:rPr>
              <w:t>、中标人每个季度必须将灭鼠药、灭蚊四害药运至村、镇政府指定地点存放备案，并做好“入库登记”；每次作业前需跟辖区人员做好药物“出库登记”，由村监督首次配药，并每月10日前将所有用药《出入库登记表》、药物说明书等资料提交采购人作为备查依据。</w:t>
            </w:r>
          </w:p>
          <w:p>
            <w:pPr>
              <w:ind w:firstLine="420"/>
              <w:jc w:val="both"/>
            </w:pPr>
            <w:r>
              <w:rPr>
                <w:sz w:val="21"/>
              </w:rPr>
              <w:t>7</w:t>
            </w:r>
            <w:r>
              <w:rPr>
                <w:sz w:val="21"/>
              </w:rPr>
              <w:t>、中标人有完整的病媒生物预防控制操作规程，灭蚊、灭蝇、灭蟑螂、灭鼠需达到国家“四害”消杀标准，并根据作业范围制定完善的事故应急方案提交至各村及采购人备案。</w:t>
            </w:r>
          </w:p>
          <w:p>
            <w:pPr>
              <w:ind w:firstLine="420"/>
              <w:jc w:val="both"/>
            </w:pPr>
            <w:r>
              <w:rPr>
                <w:sz w:val="21"/>
              </w:rPr>
              <w:t>8</w:t>
            </w:r>
            <w:r>
              <w:rPr>
                <w:sz w:val="21"/>
              </w:rPr>
              <w:t>、中标人在承包期内的每季度在东、南、西、北、中五个方位开展“四害”密度监测以及孳生地调查，每季度第一个月20日前提供密度检测报告、孳生地调查报告，造册存档，移交属地村及采购人，以备检查。</w:t>
            </w:r>
            <w:r>
              <w:rPr>
                <w:sz w:val="21"/>
              </w:rPr>
              <w:t>（如因采购人原因或不可抗力因素导致第一个月无法提供的，相应报告顺延提交。）</w:t>
            </w:r>
          </w:p>
          <w:p>
            <w:pPr>
              <w:ind w:firstLine="420"/>
              <w:jc w:val="both"/>
            </w:pPr>
            <w:r>
              <w:rPr>
                <w:sz w:val="21"/>
              </w:rPr>
              <w:t>9</w:t>
            </w:r>
            <w:r>
              <w:rPr>
                <w:sz w:val="21"/>
              </w:rPr>
              <w:t>、中标人无条件配合采购人开展病媒生物防制宣传工作，协助对有关单位开展病媒生物防制培训及技术指导工作。</w:t>
            </w:r>
          </w:p>
          <w:p>
            <w:pPr>
              <w:ind w:firstLine="420"/>
              <w:jc w:val="both"/>
            </w:pPr>
            <w:r>
              <w:rPr>
                <w:sz w:val="21"/>
              </w:rPr>
              <w:t>10</w:t>
            </w:r>
            <w:r>
              <w:rPr>
                <w:sz w:val="21"/>
              </w:rPr>
              <w:t>、严格按照采购人、疾控中心、村的要求除“四害”，并配合采购人、疾控中心、村做好四害密度、布雷图指数检测等工作并提供相关的技术指导。如发生以病媒生物为媒介的传染病时，中标人无条件根据采购人要求开展病媒生物防制工作。</w:t>
            </w:r>
          </w:p>
          <w:p>
            <w:pPr>
              <w:ind w:firstLine="420"/>
              <w:jc w:val="both"/>
            </w:pPr>
            <w:r>
              <w:rPr>
                <w:sz w:val="21"/>
              </w:rPr>
              <w:t>11</w:t>
            </w:r>
            <w:r>
              <w:rPr>
                <w:sz w:val="21"/>
              </w:rPr>
              <w:t>、如遇突发公共卫生应急事件，中标人需无条件配合采购人对公共环境开展消杀工作。</w:t>
            </w:r>
          </w:p>
          <w:p>
            <w:pPr>
              <w:jc w:val="both"/>
            </w:pPr>
            <w:r>
              <w:rPr>
                <w:b/>
                <w:sz w:val="21"/>
              </w:rPr>
              <w:t>★四、质量标准</w:t>
            </w:r>
          </w:p>
          <w:p>
            <w:pPr>
              <w:ind w:firstLine="420"/>
              <w:jc w:val="both"/>
            </w:pPr>
            <w:r>
              <w:rPr>
                <w:sz w:val="21"/>
              </w:rPr>
              <w:t>1</w:t>
            </w:r>
            <w:r>
              <w:rPr>
                <w:sz w:val="21"/>
              </w:rPr>
              <w:t>、按全国爱卫会颁布的《全国灭鼠、灭蚊、灭蝇、灭蟑螂标准》（附件一），考核评分表见《道滘镇“四害”消杀考核评分表》（附件二）。</w:t>
            </w:r>
          </w:p>
          <w:p>
            <w:pPr>
              <w:jc w:val="both"/>
            </w:pPr>
            <w:r>
              <w:rPr>
                <w:b/>
                <w:sz w:val="21"/>
              </w:rPr>
              <w:t>五、工作要求</w:t>
            </w:r>
          </w:p>
          <w:p>
            <w:pPr>
              <w:ind w:firstLine="420"/>
              <w:jc w:val="both"/>
            </w:pPr>
            <w:r>
              <w:rPr>
                <w:sz w:val="21"/>
              </w:rPr>
              <w:t>l</w:t>
            </w:r>
            <w:r>
              <w:rPr>
                <w:sz w:val="21"/>
              </w:rPr>
              <w:t>、投标人须根据道滘镇的实际情况和采购人的要求编写《道滘镇“四害”消杀实施方案》。</w:t>
            </w:r>
          </w:p>
          <w:p>
            <w:pPr>
              <w:ind w:firstLine="420"/>
              <w:jc w:val="both"/>
            </w:pPr>
            <w:r>
              <w:rPr>
                <w:sz w:val="21"/>
              </w:rPr>
              <w:t>2</w:t>
            </w:r>
            <w:r>
              <w:rPr>
                <w:sz w:val="21"/>
              </w:rPr>
              <w:t>、投标人须列明“四害”消杀的模式，具备适合的“四害”消杀项目负责人、消杀工作人员等，并向采购人提供有关人员职责名单及资质证、上岗证复印件：中标人于进场一星期内将上述人员证书原件送采购人核验。</w:t>
            </w:r>
          </w:p>
          <w:p>
            <w:pPr>
              <w:ind w:firstLine="420"/>
              <w:jc w:val="both"/>
            </w:pPr>
            <w:r>
              <w:rPr>
                <w:sz w:val="21"/>
              </w:rPr>
              <w:t>3</w:t>
            </w:r>
            <w:r>
              <w:rPr>
                <w:sz w:val="21"/>
              </w:rPr>
              <w:t>、投标人应列明拟投入本项目的机械设备清单(注明名称、规格、数量)，所采用的设备必须满足国家有关技术操作规程的要求；中标人投入的机械设备在合同签订后20天内要经采购人验收认定。</w:t>
            </w:r>
          </w:p>
          <w:p>
            <w:pPr>
              <w:ind w:firstLine="420"/>
              <w:jc w:val="both"/>
            </w:pPr>
            <w:r>
              <w:rPr>
                <w:sz w:val="21"/>
              </w:rPr>
              <w:t>4</w:t>
            </w:r>
            <w:r>
              <w:rPr>
                <w:sz w:val="21"/>
              </w:rPr>
              <w:t>、采购人可对中标人的《道滘镇“四害”消杀实施方案》进行审核及提出修改意见。审查后的《道滘镇“四害”消杀实施方案》将作为合同附件，采购人将保留对《道滘镇“四害”消杀实施方案》的修改权。</w:t>
            </w:r>
          </w:p>
          <w:p>
            <w:pPr>
              <w:ind w:firstLine="420"/>
              <w:jc w:val="both"/>
            </w:pPr>
            <w:r>
              <w:rPr>
                <w:sz w:val="21"/>
              </w:rPr>
              <w:t>5</w:t>
            </w:r>
            <w:r>
              <w:rPr>
                <w:sz w:val="21"/>
              </w:rPr>
              <w:t>、考评：(1)采购人会同疾控中心以及镇红线范围内所属村（南城村、永庆村、厚德村、北永村、闸口村、大岭丫村）每个月对中标人承包范围内的“四害”消杀质量进行检查，每个季度选取平均分作为中标人当季度的绩效评分，分好(100分-90分)、中(89分-80分)、差(80分以下)三个档次。</w:t>
            </w:r>
          </w:p>
          <w:p>
            <w:pPr>
              <w:ind w:firstLine="420"/>
              <w:jc w:val="both"/>
            </w:pPr>
            <w:r>
              <w:rPr>
                <w:sz w:val="21"/>
              </w:rPr>
              <w:t>（2） “四害”消杀检查打分属好的(100分-90分)为达标；属中的(89分-80分)，每季度扣10000元违约金；属差的(80分以下)，每季度扣20000元违约金：属差的累计三次经道滘镇人民政府同意，采购人可单方面终止合同。</w:t>
            </w:r>
          </w:p>
          <w:p>
            <w:pPr>
              <w:ind w:firstLine="420"/>
              <w:jc w:val="both"/>
            </w:pPr>
            <w:r>
              <w:rPr>
                <w:sz w:val="21"/>
              </w:rPr>
              <w:t>(3)</w:t>
            </w:r>
            <w:r>
              <w:rPr>
                <w:sz w:val="21"/>
              </w:rPr>
              <w:t>检查扣分标准：按《道滘镇“四害”消杀考核评分表》执行。</w:t>
            </w:r>
          </w:p>
          <w:p>
            <w:pPr>
              <w:jc w:val="both"/>
            </w:pPr>
            <w:r>
              <w:rPr>
                <w:b/>
                <w:sz w:val="21"/>
              </w:rPr>
              <w:t>六、“四害”消杀作业方法</w:t>
            </w:r>
          </w:p>
          <w:p>
            <w:pPr>
              <w:ind w:firstLine="420"/>
              <w:jc w:val="both"/>
            </w:pPr>
            <w:r>
              <w:rPr>
                <w:sz w:val="21"/>
              </w:rPr>
              <w:t>1</w:t>
            </w:r>
            <w:r>
              <w:rPr>
                <w:sz w:val="21"/>
              </w:rPr>
              <w:t>、消杀频率：</w:t>
            </w:r>
          </w:p>
          <w:p>
            <w:pPr>
              <w:ind w:firstLine="420"/>
              <w:jc w:val="both"/>
            </w:pPr>
            <w:r>
              <w:rPr>
                <w:sz w:val="21"/>
              </w:rPr>
              <w:t>灭鼠：每季度大面积饱和投药灭鼠一次并提供鼠屋位置台账，每年5月、9月每月至少开展2次灭鼠行动，其余每月至少开展1次灭鼠行动，保障鼠药及时补足充分。向机关事业单位（特别是中小学、幼儿园）投药时必须通知该单位相关人员，并要求严格遵循单位意见用药，做好相关警示标识，采取有效措施防止人畜误食；在个别不适宜药物灭鼠的场所，必须采取有效的物理灭鼠。</w:t>
            </w:r>
          </w:p>
          <w:p>
            <w:pPr>
              <w:ind w:firstLine="420"/>
              <w:jc w:val="both"/>
            </w:pPr>
            <w:r>
              <w:rPr>
                <w:sz w:val="21"/>
              </w:rPr>
              <w:t>灭蚊：要求全年进行孳生地的检查处理，高峰期（3月-6月、9月-11月）每月不得少于4次灭蚊，其他每月不得少于3次（其中包含每月15日固定一次中心区统一消杀，如遇天气等特殊情况再行调整），每周对下水道按量投放缓释剂。确保每月红线范围内不得少于2次全覆盖的消杀。</w:t>
            </w:r>
          </w:p>
          <w:p>
            <w:pPr>
              <w:ind w:firstLine="420"/>
              <w:jc w:val="both"/>
            </w:pPr>
            <w:r>
              <w:rPr>
                <w:sz w:val="21"/>
              </w:rPr>
              <w:t>灭蝇：要求根据苍蝇繁殖规律，在繁殖高峰期按要求对孳生地每周检查1次，每月进行不少于1次“空间喷洒”和2次“滞留喷洒”，消杀频率可与灭蚊保持一致。</w:t>
            </w:r>
          </w:p>
          <w:p>
            <w:pPr>
              <w:ind w:firstLine="420"/>
              <w:jc w:val="both"/>
            </w:pPr>
            <w:r>
              <w:rPr>
                <w:sz w:val="21"/>
              </w:rPr>
              <w:t>灭蟑：要求对蟑螂栖息的下水道取用烟雾灭虫法消灭蟑螂，其他不能使用该办法的场所要求使用毒饵、喷雾或物理的办法消灭蟑螂，密封污水管道每季度第一个月开展一次热烟雾处理。</w:t>
            </w:r>
            <w:r>
              <w:rPr>
                <w:sz w:val="21"/>
              </w:rPr>
              <w:t>（如因采购人原因或不可抗力因素导致第一个月无法开展工作的，相应工作顺延开展。）</w:t>
            </w:r>
          </w:p>
          <w:p>
            <w:pPr>
              <w:ind w:firstLine="420"/>
              <w:jc w:val="both"/>
            </w:pPr>
            <w:r>
              <w:rPr>
                <w:sz w:val="21"/>
              </w:rPr>
              <w:t>如有创文、创卫等重大迎检工作及蚊媒传染病高峰期时，需按工作要求布置，随时加大消杀频率，保证顺利完成相关迎检工作。</w:t>
            </w:r>
          </w:p>
          <w:p>
            <w:pPr>
              <w:ind w:firstLine="420"/>
              <w:jc w:val="both"/>
            </w:pPr>
            <w:r>
              <w:rPr>
                <w:sz w:val="21"/>
              </w:rPr>
              <w:t>2</w:t>
            </w:r>
            <w:r>
              <w:rPr>
                <w:sz w:val="21"/>
              </w:rPr>
              <w:t>、“四害”消杀期间每月25日前提交本项目下月工作计划表予各村、采购人，并在消杀期间对接采购人工作人员做好《“四害”消杀登记记录表》，每季度第一个月10日前随同请款申请等资料一并提交采购人。</w:t>
            </w:r>
          </w:p>
          <w:p>
            <w:pPr>
              <w:ind w:firstLine="420"/>
              <w:jc w:val="both"/>
            </w:pPr>
            <w:r>
              <w:rPr>
                <w:sz w:val="21"/>
              </w:rPr>
              <w:t>3</w:t>
            </w:r>
            <w:r>
              <w:rPr>
                <w:sz w:val="21"/>
              </w:rPr>
              <w:t>、消杀质量标准：</w:t>
            </w:r>
          </w:p>
          <w:p>
            <w:pPr>
              <w:ind w:firstLine="420"/>
              <w:jc w:val="both"/>
            </w:pPr>
            <w:r>
              <w:rPr>
                <w:sz w:val="21"/>
              </w:rPr>
              <w:t>按全国爱卫会颁布的《全国灭鼠、灭蚊、灭蝇、灭蟑螂标准》（附件一），考核评分表见《道滘镇“四害”消杀考核评分表》（附件二）。</w:t>
            </w:r>
          </w:p>
          <w:p>
            <w:pPr>
              <w:ind w:firstLine="420"/>
              <w:jc w:val="both"/>
            </w:pPr>
            <w:r>
              <w:rPr>
                <w:sz w:val="21"/>
              </w:rPr>
              <w:t>4</w:t>
            </w:r>
            <w:r>
              <w:rPr>
                <w:sz w:val="21"/>
              </w:rPr>
              <w:t>、资料要求：</w:t>
            </w:r>
          </w:p>
          <w:p>
            <w:pPr>
              <w:ind w:firstLine="420"/>
              <w:jc w:val="both"/>
            </w:pPr>
            <w:r>
              <w:rPr>
                <w:sz w:val="21"/>
              </w:rPr>
              <w:t>自合同生效期起始日起计一周内，提交合同期内的除四害计划书。要求每月10日前提交上月作业人员消杀工作轨迹数据、“四害”消杀登记记录表、《出入库登记表》、药物说明书、用药记录登记等作业记录佐证材料；</w:t>
            </w:r>
          </w:p>
          <w:p>
            <w:pPr>
              <w:ind w:firstLine="420"/>
              <w:jc w:val="both"/>
            </w:pPr>
            <w:r>
              <w:rPr>
                <w:sz w:val="21"/>
              </w:rPr>
              <w:t>在承包期间内的每季度在东、南、西、北、中五个方位开展“四害”密度监测以及孳生地调查，每季度第一个月20日前提供密度检测报告、孳生地调查报告。</w:t>
            </w:r>
            <w:r>
              <w:rPr>
                <w:sz w:val="21"/>
              </w:rPr>
              <w:t>（如因采购人原因或不可抗力因素导致第一个月无法提供的，相应报告顺延提交）</w:t>
            </w:r>
          </w:p>
          <w:p>
            <w:pPr>
              <w:jc w:val="both"/>
            </w:pPr>
            <w:r>
              <w:rPr>
                <w:sz w:val="21"/>
              </w:rPr>
              <w:t>七、其他要求</w:t>
            </w:r>
          </w:p>
          <w:p>
            <w:pPr>
              <w:jc w:val="both"/>
            </w:pPr>
            <w:r>
              <w:rPr>
                <w:sz w:val="21"/>
              </w:rPr>
              <w:t>1</w:t>
            </w:r>
            <w:r>
              <w:rPr>
                <w:sz w:val="21"/>
              </w:rPr>
              <w:t>、投标人应根据本项目的要求制定详细的药物投入计划及安全保证措施，保证相关人员的安全。</w:t>
            </w:r>
          </w:p>
          <w:p>
            <w:pPr>
              <w:jc w:val="both"/>
            </w:pPr>
            <w:r>
              <w:rPr>
                <w:sz w:val="21"/>
              </w:rPr>
              <w:t>2</w:t>
            </w:r>
            <w:r>
              <w:rPr>
                <w:sz w:val="21"/>
              </w:rPr>
              <w:t>、在合同期内，投标人应定期组织人员的培训，包括但不限于其内容员工、服务范围内发村民、政府部门工作人员等。</w:t>
            </w:r>
          </w:p>
          <w:p>
            <w:pPr>
              <w:jc w:val="both"/>
            </w:pPr>
            <w:r>
              <w:rPr>
                <w:sz w:val="21"/>
              </w:rPr>
              <w:t>3</w:t>
            </w:r>
            <w:r>
              <w:rPr>
                <w:sz w:val="21"/>
              </w:rPr>
              <w:t>、投标人具有完善的员工录用和考核淘汰机制，确保投入本项目的人员技术水平满足项目需要。</w:t>
            </w:r>
          </w:p>
          <w:p>
            <w:pPr>
              <w:jc w:val="both"/>
            </w:pPr>
            <w:r>
              <w:rPr>
                <w:sz w:val="21"/>
              </w:rPr>
              <w:t>4</w:t>
            </w:r>
            <w:r>
              <w:rPr>
                <w:sz w:val="21"/>
              </w:rPr>
              <w:t>、</w:t>
            </w:r>
            <w:r>
              <w:rPr>
                <w:sz w:val="21"/>
              </w:rPr>
              <w:t>针对台风、暴雨等天气影响，重大节假日或活动，四害疫情等特殊情况制定对应的应急处理方案。</w:t>
            </w:r>
          </w:p>
          <w:p>
            <w:pPr>
              <w:jc w:val="both"/>
            </w:pPr>
            <w:r>
              <w:rPr>
                <w:sz w:val="21"/>
              </w:rPr>
              <w:t>5</w:t>
            </w:r>
            <w:r>
              <w:rPr>
                <w:sz w:val="21"/>
              </w:rPr>
              <w:t>、投标人具有规范的现场作业流程，为本项目制定质量目标，并提供可行的保证措施。</w:t>
            </w:r>
          </w:p>
          <w:p>
            <w:pPr>
              <w:jc w:val="both"/>
            </w:pPr>
            <w:r>
              <w:rPr>
                <w:b/>
                <w:sz w:val="21"/>
              </w:rPr>
              <w:t>附件一：《全国灭鼠、灭蚊、灭蝇、灭蟑螂标准》</w:t>
            </w:r>
          </w:p>
          <w:p>
            <w:pPr>
              <w:ind w:firstLine="420"/>
              <w:jc w:val="center"/>
            </w:pPr>
            <w:r>
              <w:rPr>
                <w:sz w:val="21"/>
              </w:rPr>
              <w:t>《全国灭鼠、灭蚊、灭蝇、灭蟑螂标准》</w:t>
            </w:r>
          </w:p>
          <w:p>
            <w:pPr>
              <w:ind w:firstLine="442"/>
              <w:jc w:val="left"/>
            </w:pPr>
            <w:r>
              <w:rPr>
                <w:sz w:val="21"/>
              </w:rPr>
              <w:t>一、除“四害”质量标准</w:t>
            </w:r>
          </w:p>
          <w:p>
            <w:pPr>
              <w:ind w:firstLine="440"/>
              <w:jc w:val="left"/>
            </w:pPr>
            <w:r>
              <w:rPr>
                <w:sz w:val="21"/>
              </w:rPr>
              <w:t>1</w:t>
            </w:r>
            <w:r>
              <w:rPr>
                <w:sz w:val="21"/>
              </w:rPr>
              <w:t>、灭蚊标准：居民区、单位室内外环境各种存水容器和积水中的幼蚊及蛹，阳性率低于3%；用500毫升收集勺采集城区内大中型水体中的蚊幼虫或蛹，阳性率低于1%，阳性勺内幼虫或蛹的平均数不超过3只；在特殊场所（15平方米以下的居民住宅房内、公共场所等）白天人诱蚊30分钟，平均诱获成蚊不超过1只/人次；晚上人诱蚊60分钟，平均诱获成蚊不超过2只/人次。蚊类根据国家标准GB/T27771-2011《病媒生物密度监测方法蚊虫》标准执行。</w:t>
            </w:r>
          </w:p>
          <w:p>
            <w:pPr>
              <w:ind w:firstLine="440"/>
              <w:jc w:val="left"/>
            </w:pPr>
            <w:r>
              <w:rPr>
                <w:sz w:val="21"/>
              </w:rPr>
              <w:t>2</w:t>
            </w:r>
            <w:r>
              <w:rPr>
                <w:sz w:val="21"/>
              </w:rPr>
              <w:t>、灭蝇标准：重点单位（如饮食、食品加工、销售业）有蝇房间不超过1%；加工、销售、存放直接入口食品的场所，不得有蝇；一般单位（如机关、学校、工厂）有蝇房间不超过3%，平均每阳性房间不超过3只；防蝇设施（查门窗等部位），合格率达95%以上；蝇粪孳生地（外环境、垃圾容器、垃圾存放地等），得到有效治理，幼虫和蛹的检出率不超过3%。蝇类根据国家标准GB/T27772-2011《病媒生物密度监测方法蝇类》标准执行。</w:t>
            </w:r>
          </w:p>
          <w:p>
            <w:pPr>
              <w:ind w:firstLine="440"/>
              <w:jc w:val="left"/>
            </w:pPr>
            <w:r>
              <w:rPr>
                <w:sz w:val="21"/>
              </w:rPr>
              <w:t>3</w:t>
            </w:r>
            <w:r>
              <w:rPr>
                <w:sz w:val="21"/>
              </w:rPr>
              <w:t>、灭鼠标准：粉迹法（每15平方米房间布放20×20厘米粉板两块）检测鼠足印阳性率低于2%；鼠迹（鼠洞、鼠粪、鼠路、鼠咬痕），有鼠迹房间不超过2%；2000米外环境鼠迹不超过5处；重点单位防鼠设施（仓库、厨房等的门窗、出水口等部位有防鼠设施），合格率95%。现场检查，无可见鼠迹。鼠类根据国家标准GB/T27770-2011《病媒生物密度监测方法鼠类》标准执行。</w:t>
            </w:r>
          </w:p>
          <w:p>
            <w:pPr>
              <w:ind w:firstLine="440"/>
              <w:jc w:val="left"/>
            </w:pPr>
            <w:r>
              <w:rPr>
                <w:sz w:val="21"/>
              </w:rPr>
              <w:t>4</w:t>
            </w:r>
            <w:r>
              <w:rPr>
                <w:sz w:val="21"/>
              </w:rPr>
              <w:t>、灭蟑螂标准：查室内蟑螂成虫或幼虫，阳性房间不超过3%；有活蟑螂卵鞘房间，阳性房间不超过5%；蟑螂孳生栖息场所的清理，查墙的孔洞、缝隙蟑迹：粪便、蜕皮、蟑尸、空卵鞘等，阳性房间不超过5%。蜚蠊根据国家标准GB/T27773-2011《病媒生物密度监测方法蜚蠊》标准执行。</w:t>
            </w:r>
          </w:p>
          <w:p>
            <w:pPr>
              <w:ind w:firstLine="440"/>
              <w:jc w:val="left"/>
            </w:pPr>
            <w:r>
              <w:rPr>
                <w:sz w:val="21"/>
              </w:rPr>
              <w:t>备注：若上述国家标准发生更新的，以最新标准为准。</w:t>
            </w:r>
          </w:p>
          <w:p>
            <w:pPr>
              <w:ind w:firstLine="440"/>
              <w:jc w:val="left"/>
            </w:pPr>
          </w:p>
          <w:p>
            <w:pPr>
              <w:jc w:val="both"/>
            </w:pPr>
            <w:r>
              <w:rPr>
                <w:b/>
                <w:sz w:val="21"/>
              </w:rPr>
              <w:t>附件二：道滘镇“四害”消杀考核评分表</w:t>
            </w:r>
          </w:p>
          <w:tbl>
            <w:tblPr>
              <w:tblInd w:type="dxa" w:w="165"/>
            </w:tblPr>
            <w:tblGrid>
              <w:gridCol w:w="570"/>
              <w:gridCol w:w="2071"/>
              <w:gridCol w:w="1873"/>
              <w:gridCol w:w="535"/>
              <w:gridCol w:w="546"/>
            </w:tblGrid>
            <w:tr>
              <w:tc>
                <w:tcPr>
                  <w:tcW w:type="dxa" w:w="570"/>
                  <w:tcBorders>
                    <w:top w:val="single" w:color="000000" w:sz="4"/>
                    <w:left w:val="single" w:color="000000" w:sz="4"/>
                    <w:bottom w:val="none" w:color="000000" w:sz="4"/>
                    <w:right w:val="single" w:color="000000" w:sz="4"/>
                  </w:tcBorders>
                </w:tcPr>
                <w:p>
                  <w:pPr>
                    <w:jc w:val="center"/>
                  </w:pPr>
                  <w:r>
                    <w:rPr>
                      <w:b/>
                      <w:sz w:val="21"/>
                    </w:rPr>
                    <w:t>评分单位</w:t>
                  </w:r>
                </w:p>
              </w:tc>
              <w:tc>
                <w:tcPr>
                  <w:tcW w:type="dxa" w:w="2071"/>
                  <w:tcBorders>
                    <w:top w:val="single" w:color="000000" w:sz="4"/>
                    <w:left w:val="none" w:color="000000" w:sz="4"/>
                    <w:bottom w:val="none" w:color="000000" w:sz="4"/>
                    <w:right w:val="none" w:color="000000" w:sz="4"/>
                  </w:tcBorders>
                </w:tcPr>
                <w:p>
                  <w:pPr>
                    <w:jc w:val="center"/>
                  </w:pPr>
                  <w:r>
                    <w:rPr>
                      <w:b/>
                      <w:sz w:val="21"/>
                    </w:rPr>
                    <w:t>考核检查方法及评价依据</w:t>
                  </w:r>
                </w:p>
              </w:tc>
              <w:tc>
                <w:tcPr>
                  <w:tcW w:type="dxa" w:w="1873"/>
                  <w:tcBorders>
                    <w:top w:val="single" w:color="000000" w:sz="4"/>
                    <w:left w:val="single" w:color="000000" w:sz="4"/>
                    <w:bottom w:val="none" w:color="000000" w:sz="4"/>
                    <w:right w:val="single" w:color="000000" w:sz="4"/>
                  </w:tcBorders>
                </w:tcPr>
                <w:p>
                  <w:pPr>
                    <w:jc w:val="center"/>
                  </w:pPr>
                  <w:r>
                    <w:rPr>
                      <w:b/>
                      <w:sz w:val="21"/>
                    </w:rPr>
                    <w:t>扣分方法</w:t>
                  </w:r>
                </w:p>
              </w:tc>
              <w:tc>
                <w:tcPr>
                  <w:tcW w:type="dxa" w:w="535"/>
                  <w:tcBorders>
                    <w:top w:val="single" w:color="000000" w:sz="4"/>
                    <w:left w:val="none" w:color="000000" w:sz="4"/>
                    <w:bottom w:val="none" w:color="000000" w:sz="4"/>
                    <w:right w:val="single" w:color="000000" w:sz="4"/>
                  </w:tcBorders>
                </w:tcPr>
                <w:p>
                  <w:pPr>
                    <w:jc w:val="center"/>
                  </w:pPr>
                  <w:r>
                    <w:rPr>
                      <w:b/>
                      <w:sz w:val="21"/>
                    </w:rPr>
                    <w:t>应得分</w:t>
                  </w:r>
                </w:p>
              </w:tc>
              <w:tc>
                <w:tcPr>
                  <w:tcW w:type="dxa" w:w="546"/>
                  <w:tcBorders>
                    <w:top w:val="single" w:color="000000" w:sz="4"/>
                    <w:left w:val="none" w:color="000000" w:sz="4"/>
                    <w:bottom w:val="none" w:color="000000" w:sz="4"/>
                    <w:right w:val="single" w:color="000000" w:sz="4"/>
                  </w:tcBorders>
                </w:tcPr>
                <w:p>
                  <w:pPr>
                    <w:jc w:val="center"/>
                  </w:pPr>
                  <w:r>
                    <w:rPr>
                      <w:b/>
                      <w:sz w:val="21"/>
                    </w:rPr>
                    <w:t>实得分</w:t>
                  </w:r>
                </w:p>
              </w:tc>
            </w:tr>
            <w:tr>
              <w:tc>
                <w:tcPr>
                  <w:tcW w:type="dxa" w:w="570"/>
                  <w:vMerge w:val="restart"/>
                  <w:tcBorders>
                    <w:top w:val="single" w:color="000000" w:sz="4"/>
                    <w:left w:val="single" w:color="000000" w:sz="4"/>
                    <w:bottom w:val="single" w:color="000000" w:sz="4"/>
                    <w:right w:val="single" w:color="000000" w:sz="4"/>
                  </w:tcBorders>
                </w:tcPr>
                <w:p>
                  <w:pPr>
                    <w:jc w:val="center"/>
                  </w:pPr>
                  <w:r>
                    <w:rPr>
                      <w:sz w:val="21"/>
                    </w:rPr>
                    <w:t>卫健局 （20分）</w:t>
                  </w:r>
                </w:p>
              </w:tc>
              <w:tc>
                <w:tcPr>
                  <w:tcW w:type="dxa" w:w="2071"/>
                  <w:tcBorders>
                    <w:top w:val="single" w:color="000000" w:sz="4"/>
                    <w:left w:val="none" w:color="000000" w:sz="4"/>
                    <w:bottom w:val="single" w:color="000000" w:sz="4"/>
                    <w:right w:val="single" w:color="000000" w:sz="4"/>
                  </w:tcBorders>
                </w:tcPr>
                <w:p>
                  <w:pPr>
                    <w:jc w:val="left"/>
                  </w:pPr>
                  <w:r>
                    <w:rPr>
                      <w:sz w:val="21"/>
                    </w:rPr>
                    <w:t>除四害设备符合项目工程量要求。</w:t>
                  </w:r>
                </w:p>
              </w:tc>
              <w:tc>
                <w:tcPr>
                  <w:tcW w:type="dxa" w:w="1873"/>
                  <w:tcBorders>
                    <w:top w:val="single" w:color="000000" w:sz="4"/>
                    <w:left w:val="none" w:color="000000" w:sz="4"/>
                    <w:bottom w:val="single" w:color="000000" w:sz="4"/>
                    <w:right w:val="single" w:color="000000" w:sz="4"/>
                  </w:tcBorders>
                </w:tcPr>
                <w:p>
                  <w:pPr>
                    <w:jc w:val="left"/>
                  </w:pPr>
                  <w:r>
                    <w:rPr>
                      <w:sz w:val="21"/>
                    </w:rPr>
                    <w:t>器械数量不足够，器械无维护记录，扣2分</w:t>
                  </w:r>
                </w:p>
              </w:tc>
              <w:tc>
                <w:tcPr>
                  <w:tcW w:type="dxa" w:w="535"/>
                  <w:tcBorders>
                    <w:top w:val="single" w:color="000000" w:sz="4"/>
                    <w:left w:val="none" w:color="000000" w:sz="4"/>
                    <w:bottom w:val="single" w:color="000000" w:sz="4"/>
                    <w:right w:val="single" w:color="000000" w:sz="4"/>
                  </w:tcBorders>
                </w:tcPr>
                <w:p>
                  <w:pPr>
                    <w:jc w:val="center"/>
                  </w:pPr>
                  <w:r>
                    <w:rPr>
                      <w:sz w:val="21"/>
                    </w:rPr>
                    <w:t>5</w:t>
                  </w:r>
                </w:p>
              </w:tc>
              <w:tc>
                <w:tcPr>
                  <w:tcW w:type="dxa" w:w="546"/>
                  <w:tcBorders>
                    <w:top w:val="single" w:color="000000" w:sz="4"/>
                    <w:left w:val="none" w:color="000000" w:sz="4"/>
                    <w:bottom w:val="single" w:color="000000" w:sz="4"/>
                    <w:right w:val="single" w:color="000000" w:sz="4"/>
                  </w:tcBorders>
                </w:tcPr>
                <w:p>
                  <w:pPr>
                    <w:jc w:val="left"/>
                  </w:pPr>
                </w:p>
              </w:tc>
            </w:tr>
            <w:tr>
              <w:tc>
                <w:tcPr>
                  <w:tcW w:type="dxa" w:w="570"/>
                  <w:vMerge/>
                  <w:tcBorders>
                    <w:top w:val="singl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“四害”消杀工作要确保使用的药物有质量合格证明，作业方式正确，不使用国家禁止使用的药物。</w:t>
                  </w:r>
                </w:p>
              </w:tc>
              <w:tc>
                <w:tcPr>
                  <w:tcW w:type="dxa" w:w="1873"/>
                  <w:tcBorders>
                    <w:top w:val="none" w:color="000000" w:sz="4"/>
                    <w:left w:val="none" w:color="000000" w:sz="4"/>
                    <w:bottom w:val="single" w:color="000000" w:sz="4"/>
                    <w:right w:val="single" w:color="000000" w:sz="4"/>
                  </w:tcBorders>
                </w:tcPr>
                <w:p>
                  <w:pPr>
                    <w:jc w:val="left"/>
                  </w:pPr>
                  <w:r>
                    <w:rPr>
                      <w:sz w:val="21"/>
                    </w:rPr>
                    <w:t>达不到要求的，每次扣5分</w:t>
                  </w:r>
                </w:p>
              </w:tc>
              <w:tc>
                <w:tcPr>
                  <w:tcW w:type="dxa" w:w="535"/>
                  <w:tcBorders>
                    <w:top w:val="none" w:color="000000" w:sz="4"/>
                    <w:left w:val="none" w:color="000000" w:sz="4"/>
                    <w:bottom w:val="single" w:color="000000" w:sz="4"/>
                    <w:right w:val="single" w:color="000000" w:sz="4"/>
                  </w:tcBorders>
                </w:tcPr>
                <w:p>
                  <w:pPr>
                    <w:jc w:val="center"/>
                  </w:pPr>
                  <w:r>
                    <w:rPr>
                      <w:sz w:val="21"/>
                    </w:rPr>
                    <w:t>5</w:t>
                  </w:r>
                </w:p>
              </w:tc>
              <w:tc>
                <w:tcPr>
                  <w:tcW w:type="dxa" w:w="546"/>
                  <w:tcBorders>
                    <w:top w:val="none" w:color="000000" w:sz="4"/>
                    <w:left w:val="none" w:color="000000" w:sz="4"/>
                    <w:bottom w:val="single" w:color="000000" w:sz="4"/>
                    <w:right w:val="single" w:color="000000" w:sz="4"/>
                  </w:tcBorders>
                </w:tcPr>
                <w:p>
                  <w:pPr>
                    <w:jc w:val="center"/>
                  </w:pPr>
                </w:p>
              </w:tc>
            </w:tr>
            <w:tr>
              <w:tc>
                <w:tcPr>
                  <w:tcW w:type="dxa" w:w="570"/>
                  <w:vMerge/>
                  <w:tcBorders>
                    <w:top w:val="singl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每月10日前提交上月作业人员消杀工作轨迹数据、</w:t>
                  </w:r>
                  <w:r>
                    <w:rPr>
                      <w:sz w:val="21"/>
                    </w:rPr>
                    <w:t>“四害”消杀登记记录表、《出入库登记表》、药物说明书、</w:t>
                  </w:r>
                  <w:r>
                    <w:rPr>
                      <w:sz w:val="21"/>
                    </w:rPr>
                    <w:t>用药记录登记等作业记录佐证材料。</w:t>
                  </w:r>
                </w:p>
              </w:tc>
              <w:tc>
                <w:tcPr>
                  <w:tcW w:type="dxa" w:w="1873"/>
                  <w:tcBorders>
                    <w:top w:val="none" w:color="000000" w:sz="4"/>
                    <w:left w:val="none" w:color="000000" w:sz="4"/>
                    <w:bottom w:val="single" w:color="000000" w:sz="4"/>
                    <w:right w:val="single" w:color="000000" w:sz="4"/>
                  </w:tcBorders>
                </w:tcPr>
                <w:p>
                  <w:pPr>
                    <w:jc w:val="left"/>
                  </w:pPr>
                  <w:r>
                    <w:rPr>
                      <w:sz w:val="21"/>
                    </w:rPr>
                    <w:t>未按时提交上月作业人员消杀工作轨迹数据、</w:t>
                  </w:r>
                  <w:r>
                    <w:rPr>
                      <w:sz w:val="21"/>
                    </w:rPr>
                    <w:t>“四害”消杀登记记录表、《出入库登记表》、药物说明书、</w:t>
                  </w:r>
                  <w:r>
                    <w:rPr>
                      <w:sz w:val="21"/>
                    </w:rPr>
                    <w:t>用药记录登记等作业记录佐证材料，每少一项扣5分</w:t>
                  </w:r>
                </w:p>
              </w:tc>
              <w:tc>
                <w:tcPr>
                  <w:tcW w:type="dxa" w:w="535"/>
                  <w:tcBorders>
                    <w:top w:val="none" w:color="000000" w:sz="4"/>
                    <w:left w:val="none" w:color="000000" w:sz="4"/>
                    <w:bottom w:val="single" w:color="000000" w:sz="4"/>
                    <w:right w:val="single" w:color="000000" w:sz="4"/>
                  </w:tcBorders>
                </w:tcPr>
                <w:p>
                  <w:pPr>
                    <w:jc w:val="center"/>
                  </w:pPr>
                  <w:r>
                    <w:rPr>
                      <w:sz w:val="21"/>
                    </w:rPr>
                    <w:t>5</w:t>
                  </w:r>
                </w:p>
              </w:tc>
              <w:tc>
                <w:tcPr>
                  <w:tcW w:type="dxa" w:w="546"/>
                  <w:tcBorders>
                    <w:top w:val="none" w:color="000000" w:sz="4"/>
                    <w:left w:val="none" w:color="000000" w:sz="4"/>
                    <w:bottom w:val="single" w:color="000000" w:sz="4"/>
                    <w:right w:val="single" w:color="000000" w:sz="4"/>
                  </w:tcBorders>
                </w:tcPr>
                <w:p>
                  <w:pPr>
                    <w:jc w:val="center"/>
                  </w:pPr>
                </w:p>
              </w:tc>
            </w:tr>
            <w:tr>
              <w:tc>
                <w:tcPr>
                  <w:tcW w:type="dxa" w:w="570"/>
                  <w:vMerge/>
                  <w:tcBorders>
                    <w:top w:val="singl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每季度第一个月20日前提供密度检测报告、孳生地调查报告。（如因采购人原因或不可抗力因素导致第一个月无法提供的，相应报告顺延提交）</w:t>
                  </w:r>
                </w:p>
              </w:tc>
              <w:tc>
                <w:tcPr>
                  <w:tcW w:type="dxa" w:w="1873"/>
                  <w:tcBorders>
                    <w:top w:val="none" w:color="000000" w:sz="4"/>
                    <w:left w:val="none" w:color="000000" w:sz="4"/>
                    <w:bottom w:val="single" w:color="000000" w:sz="4"/>
                    <w:right w:val="single" w:color="000000" w:sz="4"/>
                  </w:tcBorders>
                </w:tcPr>
                <w:p>
                  <w:pPr>
                    <w:jc w:val="left"/>
                  </w:pPr>
                  <w:r>
                    <w:rPr>
                      <w:sz w:val="21"/>
                    </w:rPr>
                    <w:t>当季度第一个月已按要求提供报告，当季度其余两个月默认合理缺项，得满分。当季度第一个月需要提供但未按时提供报告的扣5分，同时当季度其余两个月均不得分。</w:t>
                  </w:r>
                </w:p>
              </w:tc>
              <w:tc>
                <w:tcPr>
                  <w:tcW w:type="dxa" w:w="535"/>
                  <w:tcBorders>
                    <w:top w:val="none" w:color="000000" w:sz="4"/>
                    <w:left w:val="none" w:color="000000" w:sz="4"/>
                    <w:bottom w:val="single" w:color="000000" w:sz="4"/>
                    <w:right w:val="single" w:color="000000" w:sz="4"/>
                  </w:tcBorders>
                </w:tcPr>
                <w:p>
                  <w:pPr>
                    <w:jc w:val="center"/>
                  </w:pPr>
                  <w:r>
                    <w:rPr>
                      <w:sz w:val="21"/>
                    </w:rPr>
                    <w:t>5</w:t>
                  </w:r>
                </w:p>
              </w:tc>
              <w:tc>
                <w:tcPr>
                  <w:tcW w:type="dxa" w:w="546"/>
                  <w:tcBorders>
                    <w:top w:val="none" w:color="000000" w:sz="4"/>
                    <w:left w:val="none" w:color="000000" w:sz="4"/>
                    <w:bottom w:val="single" w:color="000000" w:sz="4"/>
                    <w:right w:val="single" w:color="000000" w:sz="4"/>
                  </w:tcBorders>
                </w:tcPr>
                <w:p>
                  <w:pPr>
                    <w:jc w:val="center"/>
                  </w:pPr>
                </w:p>
              </w:tc>
            </w:tr>
            <w:tr>
              <w:tc>
                <w:tcPr>
                  <w:tcW w:type="dxa" w:w="570"/>
                  <w:vMerge w:val="restart"/>
                  <w:tcBorders>
                    <w:top w:val="none" w:color="000000" w:sz="4"/>
                    <w:left w:val="single" w:color="000000" w:sz="4"/>
                    <w:bottom w:val="single" w:color="000000" w:sz="4"/>
                    <w:right w:val="single" w:color="000000" w:sz="4"/>
                  </w:tcBorders>
                </w:tcPr>
                <w:p>
                  <w:pPr>
                    <w:jc w:val="center"/>
                  </w:pPr>
                  <w:r>
                    <w:rPr>
                      <w:sz w:val="21"/>
                    </w:rPr>
                    <w:t>疾控中心（50分）</w:t>
                  </w:r>
                </w:p>
              </w:tc>
              <w:tc>
                <w:tcPr>
                  <w:tcW w:type="dxa" w:w="2071"/>
                  <w:tcBorders>
                    <w:top w:val="none" w:color="000000" w:sz="4"/>
                    <w:left w:val="none" w:color="000000" w:sz="4"/>
                    <w:bottom w:val="single" w:color="000000" w:sz="4"/>
                    <w:right w:val="single" w:color="000000" w:sz="4"/>
                  </w:tcBorders>
                </w:tcPr>
                <w:p>
                  <w:pPr>
                    <w:jc w:val="left"/>
                  </w:pPr>
                  <w:r>
                    <w:rPr>
                      <w:sz w:val="21"/>
                    </w:rPr>
                    <w:t>不使用国家禁用杀鼠剂。</w:t>
                  </w:r>
                </w:p>
              </w:tc>
              <w:tc>
                <w:tcPr>
                  <w:tcW w:type="dxa" w:w="1873"/>
                  <w:tcBorders>
                    <w:top w:val="none" w:color="000000" w:sz="4"/>
                    <w:left w:val="none" w:color="000000" w:sz="4"/>
                    <w:bottom w:val="single" w:color="000000" w:sz="4"/>
                    <w:right w:val="single" w:color="000000" w:sz="4"/>
                  </w:tcBorders>
                </w:tcPr>
                <w:p>
                  <w:pPr>
                    <w:jc w:val="left"/>
                  </w:pPr>
                  <w:r>
                    <w:rPr>
                      <w:sz w:val="21"/>
                    </w:rPr>
                    <w:t>发现使用国家禁用杀鼠剂扣5分</w:t>
                  </w:r>
                </w:p>
              </w:tc>
              <w:tc>
                <w:tcPr>
                  <w:tcW w:type="dxa" w:w="535"/>
                  <w:tcBorders>
                    <w:top w:val="none" w:color="000000" w:sz="4"/>
                    <w:left w:val="none" w:color="000000" w:sz="4"/>
                    <w:bottom w:val="single" w:color="000000" w:sz="4"/>
                    <w:right w:val="single" w:color="000000" w:sz="4"/>
                  </w:tcBorders>
                </w:tcPr>
                <w:p>
                  <w:pPr>
                    <w:jc w:val="center"/>
                  </w:pPr>
                  <w:r>
                    <w:rPr>
                      <w:sz w:val="21"/>
                    </w:rPr>
                    <w:t>5</w:t>
                  </w:r>
                </w:p>
              </w:tc>
              <w:tc>
                <w:tcPr>
                  <w:tcW w:type="dxa" w:w="546"/>
                  <w:tcBorders>
                    <w:top w:val="none" w:color="000000" w:sz="4"/>
                    <w:left w:val="none" w:color="000000" w:sz="4"/>
                    <w:bottom w:val="single" w:color="000000" w:sz="4"/>
                    <w:right w:val="single" w:color="000000" w:sz="4"/>
                  </w:tcBorders>
                </w:tcPr>
                <w:p>
                  <w:pPr>
                    <w:jc w:val="left"/>
                  </w:pPr>
                </w:p>
              </w:tc>
            </w:tr>
            <w:tr>
              <w:tc>
                <w:tcPr>
                  <w:tcW w:type="dxa" w:w="570"/>
                  <w:vMerge/>
                  <w:tcBorders>
                    <w:top w:val="non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污水沟(塘)、洼地等大中型水体，用500毫升勺检查，有蚊幼虫(蛹)阳性勺不超过3%,每阳性勺有幼虫或蛹不超过3只；</w:t>
                  </w:r>
                </w:p>
              </w:tc>
              <w:tc>
                <w:tcPr>
                  <w:tcW w:type="dxa" w:w="1873"/>
                  <w:tcBorders>
                    <w:top w:val="none" w:color="000000" w:sz="4"/>
                    <w:left w:val="none" w:color="000000" w:sz="4"/>
                    <w:bottom w:val="single" w:color="000000" w:sz="4"/>
                    <w:right w:val="single" w:color="000000" w:sz="4"/>
                  </w:tcBorders>
                </w:tcPr>
                <w:p>
                  <w:pPr>
                    <w:jc w:val="left"/>
                  </w:pPr>
                  <w:r>
                    <w:rPr>
                      <w:sz w:val="21"/>
                    </w:rPr>
                    <w:t>大、中型水体有蚊幼虫或蛹的阳性勺超过3%,每超过1%扣1分；每阳性勺有幼虫或蛹(含死虫)超过3只，每超1只扣0.2分。</w:t>
                  </w:r>
                </w:p>
              </w:tc>
              <w:tc>
                <w:tcPr>
                  <w:tcW w:type="dxa" w:w="535"/>
                  <w:tcBorders>
                    <w:top w:val="none" w:color="000000" w:sz="4"/>
                    <w:left w:val="none" w:color="000000" w:sz="4"/>
                    <w:bottom w:val="single" w:color="000000" w:sz="4"/>
                    <w:right w:val="single" w:color="000000" w:sz="4"/>
                  </w:tcBorders>
                </w:tcPr>
                <w:p>
                  <w:pPr>
                    <w:jc w:val="center"/>
                  </w:pPr>
                  <w:r>
                    <w:rPr>
                      <w:sz w:val="21"/>
                    </w:rPr>
                    <w:t>5</w:t>
                  </w:r>
                </w:p>
              </w:tc>
              <w:tc>
                <w:tcPr>
                  <w:tcW w:type="dxa" w:w="546"/>
                  <w:tcBorders>
                    <w:top w:val="none" w:color="000000" w:sz="4"/>
                    <w:left w:val="none" w:color="000000" w:sz="4"/>
                    <w:bottom w:val="single" w:color="000000" w:sz="4"/>
                    <w:right w:val="single" w:color="000000" w:sz="4"/>
                  </w:tcBorders>
                  <w:vAlign w:val="top"/>
                </w:tcPr>
                <w:p>
                  <w:pPr>
                    <w:jc w:val="left"/>
                  </w:pPr>
                </w:p>
              </w:tc>
            </w:tr>
            <w:tr>
              <w:tc>
                <w:tcPr>
                  <w:tcW w:type="dxa" w:w="570"/>
                  <w:vMerge/>
                  <w:tcBorders>
                    <w:top w:val="non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下水道、沉沙井及各类型小积水，有蚊幼虫或蛹孳生不超过3%；</w:t>
                  </w:r>
                </w:p>
              </w:tc>
              <w:tc>
                <w:tcPr>
                  <w:tcW w:type="dxa" w:w="1873"/>
                  <w:tcBorders>
                    <w:top w:val="none" w:color="000000" w:sz="4"/>
                    <w:left w:val="none" w:color="000000" w:sz="4"/>
                    <w:bottom w:val="single" w:color="000000" w:sz="4"/>
                    <w:right w:val="single" w:color="000000" w:sz="4"/>
                  </w:tcBorders>
                </w:tcPr>
                <w:p>
                  <w:pPr>
                    <w:jc w:val="left"/>
                  </w:pPr>
                  <w:r>
                    <w:rPr>
                      <w:sz w:val="21"/>
                    </w:rPr>
                    <w:t>检查室外下水道、沉沙井及各类型小积水，蚊幼虫(蛹)检出率超过3%,每超过1%扣1分</w:t>
                  </w:r>
                </w:p>
              </w:tc>
              <w:tc>
                <w:tcPr>
                  <w:tcW w:type="dxa" w:w="535"/>
                  <w:tcBorders>
                    <w:top w:val="none" w:color="000000" w:sz="4"/>
                    <w:left w:val="none" w:color="000000" w:sz="4"/>
                    <w:bottom w:val="single" w:color="000000" w:sz="4"/>
                    <w:right w:val="single" w:color="000000" w:sz="4"/>
                  </w:tcBorders>
                </w:tcPr>
                <w:p>
                  <w:pPr>
                    <w:jc w:val="center"/>
                  </w:pPr>
                  <w:r>
                    <w:rPr>
                      <w:sz w:val="21"/>
                    </w:rPr>
                    <w:t>5</w:t>
                  </w:r>
                </w:p>
              </w:tc>
              <w:tc>
                <w:tcPr>
                  <w:tcW w:type="dxa" w:w="546"/>
                  <w:tcBorders>
                    <w:top w:val="none" w:color="000000" w:sz="4"/>
                    <w:left w:val="none" w:color="000000" w:sz="4"/>
                    <w:bottom w:val="single" w:color="000000" w:sz="4"/>
                    <w:right w:val="single" w:color="000000" w:sz="4"/>
                  </w:tcBorders>
                  <w:vAlign w:val="top"/>
                </w:tcPr>
                <w:p>
                  <w:pPr>
                    <w:jc w:val="left"/>
                  </w:pPr>
                </w:p>
              </w:tc>
            </w:tr>
            <w:tr>
              <w:tc>
                <w:tcPr>
                  <w:tcW w:type="dxa" w:w="570"/>
                  <w:vMerge/>
                  <w:tcBorders>
                    <w:top w:val="non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在公园、丛林、工地等场所人诱蚊30分钟，每人次诱获成蚊不超过1只；</w:t>
                  </w:r>
                </w:p>
              </w:tc>
              <w:tc>
                <w:tcPr>
                  <w:tcW w:type="dxa" w:w="1873"/>
                  <w:tcBorders>
                    <w:top w:val="none" w:color="000000" w:sz="4"/>
                    <w:left w:val="none" w:color="000000" w:sz="4"/>
                    <w:bottom w:val="single" w:color="000000" w:sz="4"/>
                    <w:right w:val="single" w:color="000000" w:sz="4"/>
                  </w:tcBorders>
                </w:tcPr>
                <w:p>
                  <w:pPr>
                    <w:jc w:val="left"/>
                  </w:pPr>
                  <w:r>
                    <w:rPr>
                      <w:sz w:val="21"/>
                    </w:rPr>
                    <w:t>白天人诱蚊，每人次诱获成蚊超过1只，扣1分，扣完为止。</w:t>
                  </w:r>
                </w:p>
              </w:tc>
              <w:tc>
                <w:tcPr>
                  <w:tcW w:type="dxa" w:w="535"/>
                  <w:tcBorders>
                    <w:top w:val="none" w:color="000000" w:sz="4"/>
                    <w:left w:val="none" w:color="000000" w:sz="4"/>
                    <w:bottom w:val="single" w:color="000000" w:sz="4"/>
                    <w:right w:val="single" w:color="000000" w:sz="4"/>
                  </w:tcBorders>
                </w:tcPr>
                <w:p>
                  <w:pPr>
                    <w:jc w:val="center"/>
                  </w:pPr>
                  <w:r>
                    <w:rPr>
                      <w:sz w:val="21"/>
                    </w:rPr>
                    <w:t>5</w:t>
                  </w:r>
                </w:p>
              </w:tc>
              <w:tc>
                <w:tcPr>
                  <w:tcW w:type="dxa" w:w="546"/>
                  <w:tcBorders>
                    <w:top w:val="none" w:color="000000" w:sz="4"/>
                    <w:left w:val="none" w:color="000000" w:sz="4"/>
                    <w:bottom w:val="single" w:color="000000" w:sz="4"/>
                    <w:right w:val="single" w:color="000000" w:sz="4"/>
                  </w:tcBorders>
                  <w:vAlign w:val="top"/>
                </w:tcPr>
                <w:p>
                  <w:pPr>
                    <w:jc w:val="left"/>
                  </w:pPr>
                </w:p>
              </w:tc>
            </w:tr>
            <w:tr>
              <w:tc>
                <w:tcPr>
                  <w:tcW w:type="dxa" w:w="570"/>
                  <w:vMerge/>
                  <w:tcBorders>
                    <w:top w:val="non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外环境每2000米延长有鼠迹不超过5处；</w:t>
                  </w:r>
                </w:p>
              </w:tc>
              <w:tc>
                <w:tcPr>
                  <w:tcW w:type="dxa" w:w="1873"/>
                  <w:tcBorders>
                    <w:top w:val="none" w:color="000000" w:sz="4"/>
                    <w:left w:val="none" w:color="000000" w:sz="4"/>
                    <w:bottom w:val="single" w:color="000000" w:sz="4"/>
                    <w:right w:val="single" w:color="000000" w:sz="4"/>
                  </w:tcBorders>
                </w:tcPr>
                <w:p>
                  <w:pPr>
                    <w:jc w:val="left"/>
                  </w:pPr>
                  <w:r>
                    <w:rPr>
                      <w:sz w:val="21"/>
                    </w:rPr>
                    <w:t>外环境每2000米鼠迹，每超1处，扣1分，扣完为止。</w:t>
                  </w:r>
                </w:p>
              </w:tc>
              <w:tc>
                <w:tcPr>
                  <w:tcW w:type="dxa" w:w="535"/>
                  <w:tcBorders>
                    <w:top w:val="none" w:color="000000" w:sz="4"/>
                    <w:left w:val="none" w:color="000000" w:sz="4"/>
                    <w:bottom w:val="single" w:color="000000" w:sz="4"/>
                    <w:right w:val="single" w:color="000000" w:sz="4"/>
                  </w:tcBorders>
                </w:tcPr>
                <w:p>
                  <w:pPr>
                    <w:jc w:val="center"/>
                  </w:pPr>
                  <w:r>
                    <w:rPr>
                      <w:sz w:val="21"/>
                    </w:rPr>
                    <w:t>10</w:t>
                  </w:r>
                </w:p>
              </w:tc>
              <w:tc>
                <w:tcPr>
                  <w:tcW w:type="dxa" w:w="546"/>
                  <w:tcBorders>
                    <w:top w:val="none" w:color="000000" w:sz="4"/>
                    <w:left w:val="none" w:color="000000" w:sz="4"/>
                    <w:bottom w:val="single" w:color="000000" w:sz="4"/>
                    <w:right w:val="single" w:color="000000" w:sz="4"/>
                  </w:tcBorders>
                  <w:vAlign w:val="top"/>
                </w:tcPr>
                <w:p>
                  <w:pPr>
                    <w:jc w:val="left"/>
                  </w:pPr>
                </w:p>
              </w:tc>
            </w:tr>
            <w:tr>
              <w:tc>
                <w:tcPr>
                  <w:tcW w:type="dxa" w:w="570"/>
                  <w:vMerge/>
                  <w:tcBorders>
                    <w:top w:val="non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检查蝇类孳生物，蝇类幼虫或蛹检出率不超过3%</w:t>
                  </w:r>
                </w:p>
              </w:tc>
              <w:tc>
                <w:tcPr>
                  <w:tcW w:type="dxa" w:w="1873"/>
                  <w:tcBorders>
                    <w:top w:val="none" w:color="000000" w:sz="4"/>
                    <w:left w:val="none" w:color="000000" w:sz="4"/>
                    <w:bottom w:val="single" w:color="000000" w:sz="4"/>
                    <w:right w:val="single" w:color="000000" w:sz="4"/>
                  </w:tcBorders>
                </w:tcPr>
                <w:p>
                  <w:pPr>
                    <w:jc w:val="left"/>
                  </w:pPr>
                  <w:r>
                    <w:rPr>
                      <w:sz w:val="21"/>
                    </w:rPr>
                    <w:t>蝇幼虫或蛹检出率超过3%，每超过1%扣1分。</w:t>
                  </w:r>
                </w:p>
              </w:tc>
              <w:tc>
                <w:tcPr>
                  <w:tcW w:type="dxa" w:w="535"/>
                  <w:tcBorders>
                    <w:top w:val="none" w:color="000000" w:sz="4"/>
                    <w:left w:val="none" w:color="000000" w:sz="4"/>
                    <w:bottom w:val="single" w:color="000000" w:sz="4"/>
                    <w:right w:val="single" w:color="000000" w:sz="4"/>
                  </w:tcBorders>
                </w:tcPr>
                <w:p>
                  <w:pPr>
                    <w:jc w:val="center"/>
                  </w:pPr>
                  <w:r>
                    <w:rPr>
                      <w:sz w:val="21"/>
                    </w:rPr>
                    <w:t>10</w:t>
                  </w:r>
                </w:p>
              </w:tc>
              <w:tc>
                <w:tcPr>
                  <w:tcW w:type="dxa" w:w="546"/>
                  <w:tcBorders>
                    <w:top w:val="none" w:color="000000" w:sz="4"/>
                    <w:left w:val="none" w:color="000000" w:sz="4"/>
                    <w:bottom w:val="single" w:color="000000" w:sz="4"/>
                    <w:right w:val="single" w:color="000000" w:sz="4"/>
                  </w:tcBorders>
                  <w:vAlign w:val="top"/>
                </w:tcPr>
                <w:p>
                  <w:pPr>
                    <w:jc w:val="left"/>
                  </w:pPr>
                </w:p>
              </w:tc>
            </w:tr>
            <w:tr>
              <w:tc>
                <w:tcPr>
                  <w:tcW w:type="dxa" w:w="570"/>
                  <w:vMerge/>
                  <w:tcBorders>
                    <w:top w:val="non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垃圾屋、收集点、中转站、堆放处，密度最高的地方每平方米有蝇不超过5只；</w:t>
                  </w:r>
                </w:p>
              </w:tc>
              <w:tc>
                <w:tcPr>
                  <w:tcW w:type="dxa" w:w="1873"/>
                  <w:tcBorders>
                    <w:top w:val="none" w:color="000000" w:sz="4"/>
                    <w:left w:val="none" w:color="000000" w:sz="4"/>
                    <w:bottom w:val="single" w:color="000000" w:sz="4"/>
                    <w:right w:val="single" w:color="000000" w:sz="4"/>
                  </w:tcBorders>
                </w:tcPr>
                <w:p>
                  <w:pPr>
                    <w:jc w:val="left"/>
                  </w:pPr>
                  <w:r>
                    <w:rPr>
                      <w:sz w:val="21"/>
                    </w:rPr>
                    <w:t>垃圾屋、收集点等、密度最高的地方每平方米有蝇超过5只，每超过1只扣0.2分。</w:t>
                  </w:r>
                </w:p>
              </w:tc>
              <w:tc>
                <w:tcPr>
                  <w:tcW w:type="dxa" w:w="535"/>
                  <w:tcBorders>
                    <w:top w:val="none" w:color="000000" w:sz="4"/>
                    <w:left w:val="none" w:color="000000" w:sz="4"/>
                    <w:bottom w:val="single" w:color="000000" w:sz="4"/>
                    <w:right w:val="single" w:color="000000" w:sz="4"/>
                  </w:tcBorders>
                </w:tcPr>
                <w:p>
                  <w:pPr>
                    <w:jc w:val="center"/>
                  </w:pPr>
                  <w:r>
                    <w:rPr>
                      <w:sz w:val="21"/>
                    </w:rPr>
                    <w:t>10</w:t>
                  </w:r>
                </w:p>
              </w:tc>
              <w:tc>
                <w:tcPr>
                  <w:tcW w:type="dxa" w:w="546"/>
                  <w:tcBorders>
                    <w:top w:val="none" w:color="000000" w:sz="4"/>
                    <w:left w:val="none" w:color="000000" w:sz="4"/>
                    <w:bottom w:val="single" w:color="000000" w:sz="4"/>
                    <w:right w:val="single" w:color="000000" w:sz="4"/>
                  </w:tcBorders>
                  <w:vAlign w:val="top"/>
                </w:tcPr>
                <w:p>
                  <w:pPr>
                    <w:jc w:val="left"/>
                  </w:pPr>
                </w:p>
              </w:tc>
            </w:tr>
            <w:tr>
              <w:tc>
                <w:tcPr>
                  <w:tcW w:type="dxa" w:w="570"/>
                  <w:vMerge w:val="restart"/>
                  <w:tcBorders>
                    <w:top w:val="none" w:color="000000" w:sz="4"/>
                    <w:left w:val="single" w:color="000000" w:sz="4"/>
                    <w:bottom w:val="single" w:color="000000" w:sz="4"/>
                    <w:right w:val="single" w:color="000000" w:sz="4"/>
                  </w:tcBorders>
                </w:tcPr>
                <w:p>
                  <w:pPr>
                    <w:jc w:val="center"/>
                  </w:pPr>
                  <w:r>
                    <w:rPr>
                      <w:sz w:val="21"/>
                    </w:rPr>
                    <w:t>属地村 （30分）</w:t>
                  </w:r>
                </w:p>
              </w:tc>
              <w:tc>
                <w:tcPr>
                  <w:tcW w:type="dxa" w:w="2071"/>
                  <w:tcBorders>
                    <w:top w:val="none" w:color="000000" w:sz="4"/>
                    <w:left w:val="none" w:color="000000" w:sz="4"/>
                    <w:bottom w:val="single" w:color="000000" w:sz="4"/>
                    <w:right w:val="single" w:color="000000" w:sz="4"/>
                  </w:tcBorders>
                </w:tcPr>
                <w:p>
                  <w:pPr>
                    <w:jc w:val="left"/>
                  </w:pPr>
                  <w:r>
                    <w:rPr>
                      <w:sz w:val="21"/>
                    </w:rPr>
                    <w:t>每季度一次大面积饱和投药灭鼠，每年5月、9月至少2次，其余每月至少1次。灭鼠前要报告村(居)委会，并做好配合工作。</w:t>
                  </w:r>
                </w:p>
              </w:tc>
              <w:tc>
                <w:tcPr>
                  <w:tcW w:type="dxa" w:w="1873"/>
                  <w:tcBorders>
                    <w:top w:val="none" w:color="000000" w:sz="4"/>
                    <w:left w:val="none" w:color="000000" w:sz="4"/>
                    <w:bottom w:val="single" w:color="000000" w:sz="4"/>
                    <w:right w:val="single" w:color="000000" w:sz="4"/>
                  </w:tcBorders>
                </w:tcPr>
                <w:p>
                  <w:pPr>
                    <w:jc w:val="left"/>
                  </w:pPr>
                  <w:r>
                    <w:rPr>
                      <w:sz w:val="21"/>
                    </w:rPr>
                    <w:t>大面积投放毒饵灭鼠不饱和或灭鼠前不报告村(居)委，每次扣1分。</w:t>
                  </w:r>
                </w:p>
              </w:tc>
              <w:tc>
                <w:tcPr>
                  <w:tcW w:type="dxa" w:w="535"/>
                  <w:tcBorders>
                    <w:top w:val="none" w:color="000000" w:sz="4"/>
                    <w:left w:val="none" w:color="000000" w:sz="4"/>
                    <w:bottom w:val="single" w:color="000000" w:sz="4"/>
                    <w:right w:val="single" w:color="000000" w:sz="4"/>
                  </w:tcBorders>
                </w:tcPr>
                <w:p>
                  <w:pPr>
                    <w:jc w:val="center"/>
                  </w:pPr>
                  <w:r>
                    <w:rPr>
                      <w:sz w:val="21"/>
                    </w:rPr>
                    <w:t>3</w:t>
                  </w:r>
                </w:p>
              </w:tc>
              <w:tc>
                <w:tcPr>
                  <w:tcW w:type="dxa" w:w="546"/>
                  <w:tcBorders>
                    <w:top w:val="none" w:color="000000" w:sz="4"/>
                    <w:left w:val="none" w:color="000000" w:sz="4"/>
                    <w:bottom w:val="single" w:color="000000" w:sz="4"/>
                    <w:right w:val="single" w:color="000000" w:sz="4"/>
                  </w:tcBorders>
                  <w:vAlign w:val="top"/>
                </w:tcPr>
                <w:p>
                  <w:pPr>
                    <w:jc w:val="left"/>
                  </w:pPr>
                </w:p>
              </w:tc>
            </w:tr>
            <w:tr>
              <w:tc>
                <w:tcPr>
                  <w:tcW w:type="dxa" w:w="570"/>
                  <w:vMerge/>
                  <w:tcBorders>
                    <w:top w:val="non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除虫施药注意个人防护，穿工作服，戴口罩和手套。施药除虫剩余的药物和药物包装容器(材料),回收集中处理，不随地遗弃。</w:t>
                  </w:r>
                </w:p>
              </w:tc>
              <w:tc>
                <w:tcPr>
                  <w:tcW w:type="dxa" w:w="1873"/>
                  <w:tcBorders>
                    <w:top w:val="none" w:color="000000" w:sz="4"/>
                    <w:left w:val="none" w:color="000000" w:sz="4"/>
                    <w:bottom w:val="single" w:color="000000" w:sz="4"/>
                    <w:right w:val="single" w:color="000000" w:sz="4"/>
                  </w:tcBorders>
                </w:tcPr>
                <w:p>
                  <w:pPr>
                    <w:jc w:val="left"/>
                  </w:pPr>
                  <w:r>
                    <w:rPr>
                      <w:sz w:val="21"/>
                    </w:rPr>
                    <w:t>不做好个人防护，每人扣1分；随处遗弃杀虫药物或药物包装容器(材料)，每发现一处扣1分。</w:t>
                  </w:r>
                </w:p>
              </w:tc>
              <w:tc>
                <w:tcPr>
                  <w:tcW w:type="dxa" w:w="535"/>
                  <w:tcBorders>
                    <w:top w:val="none" w:color="000000" w:sz="4"/>
                    <w:left w:val="none" w:color="000000" w:sz="4"/>
                    <w:bottom w:val="single" w:color="000000" w:sz="4"/>
                    <w:right w:val="single" w:color="000000" w:sz="4"/>
                  </w:tcBorders>
                </w:tcPr>
                <w:p>
                  <w:pPr>
                    <w:jc w:val="center"/>
                  </w:pPr>
                  <w:r>
                    <w:rPr>
                      <w:sz w:val="21"/>
                    </w:rPr>
                    <w:t>3</w:t>
                  </w:r>
                </w:p>
              </w:tc>
              <w:tc>
                <w:tcPr>
                  <w:tcW w:type="dxa" w:w="546"/>
                  <w:tcBorders>
                    <w:top w:val="none" w:color="000000" w:sz="4"/>
                    <w:left w:val="none" w:color="000000" w:sz="4"/>
                    <w:bottom w:val="single" w:color="000000" w:sz="4"/>
                    <w:right w:val="single" w:color="000000" w:sz="4"/>
                  </w:tcBorders>
                  <w:vAlign w:val="top"/>
                </w:tcPr>
                <w:p>
                  <w:pPr>
                    <w:jc w:val="left"/>
                  </w:pPr>
                </w:p>
              </w:tc>
            </w:tr>
            <w:tr>
              <w:tc>
                <w:tcPr>
                  <w:tcW w:type="dxa" w:w="570"/>
                  <w:vMerge/>
                  <w:tcBorders>
                    <w:top w:val="non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高峰期(3-6月、9-11月)“四害”消杀行动要达4次以上；其他月份每月不少于3次。每月要确保红线范围内至少2次的全覆盖消杀(提供工作签到表)。</w:t>
                  </w:r>
                </w:p>
              </w:tc>
              <w:tc>
                <w:tcPr>
                  <w:tcW w:type="dxa" w:w="1873"/>
                  <w:tcBorders>
                    <w:top w:val="none" w:color="000000" w:sz="4"/>
                    <w:left w:val="none" w:color="000000" w:sz="4"/>
                    <w:bottom w:val="single" w:color="000000" w:sz="4"/>
                    <w:right w:val="single" w:color="000000" w:sz="4"/>
                  </w:tcBorders>
                </w:tcPr>
                <w:p>
                  <w:pPr>
                    <w:jc w:val="left"/>
                  </w:pPr>
                  <w:r>
                    <w:rPr>
                      <w:sz w:val="21"/>
                    </w:rPr>
                    <w:t>未按要求次数开展消杀的，每少一次扣10分</w:t>
                  </w:r>
                </w:p>
              </w:tc>
              <w:tc>
                <w:tcPr>
                  <w:tcW w:type="dxa" w:w="535"/>
                  <w:tcBorders>
                    <w:top w:val="none" w:color="000000" w:sz="4"/>
                    <w:left w:val="none" w:color="000000" w:sz="4"/>
                    <w:bottom w:val="single" w:color="000000" w:sz="4"/>
                    <w:right w:val="single" w:color="000000" w:sz="4"/>
                  </w:tcBorders>
                </w:tcPr>
                <w:p>
                  <w:pPr>
                    <w:jc w:val="center"/>
                  </w:pPr>
                  <w:r>
                    <w:rPr>
                      <w:sz w:val="21"/>
                    </w:rPr>
                    <w:t>10</w:t>
                  </w:r>
                </w:p>
              </w:tc>
              <w:tc>
                <w:tcPr>
                  <w:tcW w:type="dxa" w:w="546"/>
                  <w:tcBorders>
                    <w:top w:val="none" w:color="000000" w:sz="4"/>
                    <w:left w:val="none" w:color="000000" w:sz="4"/>
                    <w:bottom w:val="single" w:color="000000" w:sz="4"/>
                    <w:right w:val="single" w:color="000000" w:sz="4"/>
                  </w:tcBorders>
                  <w:vAlign w:val="top"/>
                </w:tcPr>
                <w:p>
                  <w:pPr>
                    <w:jc w:val="left"/>
                  </w:pPr>
                </w:p>
              </w:tc>
            </w:tr>
            <w:tr>
              <w:tc>
                <w:tcPr>
                  <w:tcW w:type="dxa" w:w="570"/>
                  <w:vMerge/>
                  <w:tcBorders>
                    <w:top w:val="non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密封式污水管网每季度第一个月开展一次热烟雾处理。（如因采购人原因或不可抗力因素导致第一个月无法开展工作的，相应工作顺延开展）</w:t>
                  </w:r>
                </w:p>
              </w:tc>
              <w:tc>
                <w:tcPr>
                  <w:tcW w:type="dxa" w:w="1873"/>
                  <w:tcBorders>
                    <w:top w:val="none" w:color="000000" w:sz="4"/>
                    <w:left w:val="none" w:color="000000" w:sz="4"/>
                    <w:bottom w:val="single" w:color="000000" w:sz="4"/>
                    <w:right w:val="single" w:color="000000" w:sz="4"/>
                  </w:tcBorders>
                </w:tcPr>
                <w:p>
                  <w:pPr>
                    <w:jc w:val="left"/>
                  </w:pPr>
                  <w:r>
                    <w:rPr>
                      <w:sz w:val="21"/>
                    </w:rPr>
                    <w:t>当季度第一个月已按要求开展工作的，当季度其余两个月默认合理缺项，得满分。当季度第一个月需要开展但未开展的扣5分，同时当季度其余两个月均不得分。</w:t>
                  </w:r>
                </w:p>
              </w:tc>
              <w:tc>
                <w:tcPr>
                  <w:tcW w:type="dxa" w:w="535"/>
                  <w:tcBorders>
                    <w:top w:val="none" w:color="000000" w:sz="4"/>
                    <w:left w:val="none" w:color="000000" w:sz="4"/>
                    <w:bottom w:val="single" w:color="000000" w:sz="4"/>
                    <w:right w:val="single" w:color="000000" w:sz="4"/>
                  </w:tcBorders>
                </w:tcPr>
                <w:p>
                  <w:pPr>
                    <w:jc w:val="center"/>
                  </w:pPr>
                  <w:r>
                    <w:rPr>
                      <w:sz w:val="21"/>
                    </w:rPr>
                    <w:t>5</w:t>
                  </w:r>
                </w:p>
              </w:tc>
              <w:tc>
                <w:tcPr>
                  <w:tcW w:type="dxa" w:w="546"/>
                  <w:tcBorders>
                    <w:top w:val="none" w:color="000000" w:sz="4"/>
                    <w:left w:val="none" w:color="000000" w:sz="4"/>
                    <w:bottom w:val="single" w:color="000000" w:sz="4"/>
                    <w:right w:val="single" w:color="000000" w:sz="4"/>
                  </w:tcBorders>
                  <w:vAlign w:val="top"/>
                </w:tcPr>
                <w:p>
                  <w:pPr>
                    <w:jc w:val="left"/>
                  </w:pPr>
                </w:p>
              </w:tc>
            </w:tr>
            <w:tr>
              <w:tc>
                <w:tcPr>
                  <w:tcW w:type="dxa" w:w="570"/>
                  <w:vMerge/>
                  <w:tcBorders>
                    <w:top w:val="non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每次消杀前到村报道并领取药物，并提供不少于4名消杀人员完成项目范围内作业。</w:t>
                  </w:r>
                </w:p>
              </w:tc>
              <w:tc>
                <w:tcPr>
                  <w:tcW w:type="dxa" w:w="1873"/>
                  <w:tcBorders>
                    <w:top w:val="none" w:color="000000" w:sz="4"/>
                    <w:left w:val="none" w:color="000000" w:sz="4"/>
                    <w:bottom w:val="single" w:color="000000" w:sz="4"/>
                    <w:right w:val="single" w:color="000000" w:sz="4"/>
                  </w:tcBorders>
                </w:tcPr>
                <w:p>
                  <w:pPr>
                    <w:jc w:val="left"/>
                  </w:pPr>
                  <w:r>
                    <w:rPr>
                      <w:sz w:val="21"/>
                    </w:rPr>
                    <w:t>当次消杀每少一人扣5分。</w:t>
                  </w:r>
                </w:p>
              </w:tc>
              <w:tc>
                <w:tcPr>
                  <w:tcW w:type="dxa" w:w="535"/>
                  <w:tcBorders>
                    <w:top w:val="none" w:color="000000" w:sz="4"/>
                    <w:left w:val="none" w:color="000000" w:sz="4"/>
                    <w:bottom w:val="single" w:color="000000" w:sz="4"/>
                    <w:right w:val="single" w:color="000000" w:sz="4"/>
                  </w:tcBorders>
                </w:tcPr>
                <w:p>
                  <w:pPr>
                    <w:jc w:val="center"/>
                  </w:pPr>
                  <w:r>
                    <w:rPr>
                      <w:sz w:val="21"/>
                    </w:rPr>
                    <w:t>5</w:t>
                  </w:r>
                </w:p>
              </w:tc>
              <w:tc>
                <w:tcPr>
                  <w:tcW w:type="dxa" w:w="546"/>
                  <w:tcBorders>
                    <w:top w:val="none" w:color="000000" w:sz="4"/>
                    <w:left w:val="none" w:color="000000" w:sz="4"/>
                    <w:bottom w:val="single" w:color="000000" w:sz="4"/>
                    <w:right w:val="single" w:color="000000" w:sz="4"/>
                  </w:tcBorders>
                  <w:vAlign w:val="top"/>
                </w:tcPr>
                <w:p>
                  <w:pPr>
                    <w:jc w:val="left"/>
                  </w:pPr>
                </w:p>
              </w:tc>
            </w:tr>
            <w:tr>
              <w:tc>
                <w:tcPr>
                  <w:tcW w:type="dxa" w:w="570"/>
                  <w:vMerge/>
                  <w:tcBorders>
                    <w:top w:val="none" w:color="000000" w:sz="4"/>
                    <w:left w:val="single" w:color="000000" w:sz="4"/>
                    <w:bottom w:val="single" w:color="000000" w:sz="4"/>
                    <w:right w:val="single" w:color="000000" w:sz="4"/>
                  </w:tcBorders>
                </w:tcPr>
                <w:p/>
              </w:tc>
              <w:tc>
                <w:tcPr>
                  <w:tcW w:type="dxa" w:w="2071"/>
                  <w:tcBorders>
                    <w:top w:val="none" w:color="000000" w:sz="4"/>
                    <w:left w:val="none" w:color="000000" w:sz="4"/>
                    <w:bottom w:val="single" w:color="000000" w:sz="4"/>
                    <w:right w:val="single" w:color="000000" w:sz="4"/>
                  </w:tcBorders>
                </w:tcPr>
                <w:p>
                  <w:pPr>
                    <w:jc w:val="left"/>
                  </w:pPr>
                  <w:r>
                    <w:rPr>
                      <w:sz w:val="21"/>
                    </w:rPr>
                    <w:t>收到群众投诉，并核查为消杀公司没有按照规定完成工作而影响消杀效果的投诉件数量</w:t>
                  </w:r>
                </w:p>
              </w:tc>
              <w:tc>
                <w:tcPr>
                  <w:tcW w:type="dxa" w:w="1873"/>
                  <w:tcBorders>
                    <w:top w:val="none" w:color="000000" w:sz="4"/>
                    <w:left w:val="none" w:color="000000" w:sz="4"/>
                    <w:bottom w:val="single" w:color="000000" w:sz="4"/>
                    <w:right w:val="single" w:color="000000" w:sz="4"/>
                  </w:tcBorders>
                </w:tcPr>
                <w:p>
                  <w:pPr>
                    <w:jc w:val="left"/>
                  </w:pPr>
                  <w:r>
                    <w:rPr>
                      <w:sz w:val="21"/>
                    </w:rPr>
                    <w:t>每宗真实投诉扣2分</w:t>
                  </w:r>
                </w:p>
              </w:tc>
              <w:tc>
                <w:tcPr>
                  <w:tcW w:type="dxa" w:w="535"/>
                  <w:tcBorders>
                    <w:top w:val="none" w:color="000000" w:sz="4"/>
                    <w:left w:val="none" w:color="000000" w:sz="4"/>
                    <w:bottom w:val="single" w:color="000000" w:sz="4"/>
                    <w:right w:val="single" w:color="000000" w:sz="4"/>
                  </w:tcBorders>
                </w:tcPr>
                <w:p>
                  <w:pPr>
                    <w:jc w:val="center"/>
                  </w:pPr>
                  <w:r>
                    <w:rPr>
                      <w:sz w:val="21"/>
                    </w:rPr>
                    <w:t>4</w:t>
                  </w:r>
                </w:p>
              </w:tc>
              <w:tc>
                <w:tcPr>
                  <w:tcW w:type="dxa" w:w="546"/>
                  <w:tcBorders>
                    <w:top w:val="none" w:color="000000" w:sz="4"/>
                    <w:left w:val="none" w:color="000000" w:sz="4"/>
                    <w:bottom w:val="single" w:color="000000" w:sz="4"/>
                    <w:right w:val="single" w:color="000000" w:sz="4"/>
                  </w:tcBorders>
                  <w:vAlign w:val="top"/>
                </w:tcPr>
                <w:p>
                  <w:pPr>
                    <w:jc w:val="left"/>
                  </w:pPr>
                </w:p>
              </w:tc>
            </w:tr>
            <w:tr>
              <w:tc>
                <w:tcPr>
                  <w:tcW w:type="dxa" w:w="570"/>
                  <w:tcBorders>
                    <w:top w:val="none" w:color="000000" w:sz="4"/>
                    <w:left w:val="single" w:color="000000" w:sz="4"/>
                    <w:bottom w:val="single" w:color="000000" w:sz="4"/>
                    <w:right w:val="single" w:color="000000" w:sz="4"/>
                  </w:tcBorders>
                </w:tcPr>
                <w:p>
                  <w:pPr>
                    <w:jc w:val="center"/>
                  </w:pPr>
                  <w:r>
                    <w:rPr>
                      <w:sz w:val="21"/>
                    </w:rPr>
                    <w:t>合计</w:t>
                  </w:r>
                </w:p>
              </w:tc>
              <w:tc>
                <w:tcPr>
                  <w:tcW w:type="dxa" w:w="2071"/>
                  <w:tcBorders>
                    <w:top w:val="none" w:color="000000" w:sz="4"/>
                    <w:left w:val="none" w:color="000000" w:sz="4"/>
                    <w:bottom w:val="single" w:color="000000" w:sz="4"/>
                    <w:right w:val="single" w:color="000000" w:sz="4"/>
                  </w:tcBorders>
                  <w:vAlign w:val="top"/>
                </w:tcPr>
                <w:p>
                  <w:pPr>
                    <w:jc w:val="both"/>
                  </w:pPr>
                </w:p>
              </w:tc>
              <w:tc>
                <w:tcPr>
                  <w:tcW w:type="dxa" w:w="1873"/>
                  <w:tcBorders>
                    <w:top w:val="none" w:color="000000" w:sz="4"/>
                    <w:left w:val="none" w:color="000000" w:sz="4"/>
                    <w:bottom w:val="single" w:color="000000" w:sz="4"/>
                    <w:right w:val="single" w:color="000000" w:sz="4"/>
                  </w:tcBorders>
                  <w:vAlign w:val="top"/>
                </w:tcPr>
                <w:p>
                  <w:pPr>
                    <w:jc w:val="both"/>
                  </w:pPr>
                </w:p>
              </w:tc>
              <w:tc>
                <w:tcPr>
                  <w:tcW w:type="dxa" w:w="535"/>
                  <w:tcBorders>
                    <w:top w:val="none" w:color="000000" w:sz="4"/>
                    <w:left w:val="none" w:color="000000" w:sz="4"/>
                    <w:bottom w:val="single" w:color="000000" w:sz="4"/>
                    <w:right w:val="single" w:color="000000" w:sz="4"/>
                  </w:tcBorders>
                </w:tcPr>
                <w:p>
                  <w:pPr>
                    <w:jc w:val="center"/>
                  </w:pPr>
                  <w:r>
                    <w:rPr>
                      <w:sz w:val="21"/>
                    </w:rPr>
                    <w:t>100</w:t>
                  </w:r>
                </w:p>
              </w:tc>
              <w:tc>
                <w:tcPr>
                  <w:tcW w:type="dxa" w:w="546"/>
                  <w:tcBorders>
                    <w:top w:val="none" w:color="000000" w:sz="4"/>
                    <w:left w:val="none" w:color="000000" w:sz="4"/>
                    <w:bottom w:val="single" w:color="000000" w:sz="4"/>
                    <w:right w:val="single" w:color="000000" w:sz="4"/>
                  </w:tcBorders>
                  <w:vAlign w:val="top"/>
                </w:tcPr>
                <w:p>
                  <w:pPr>
                    <w:jc w:val="left"/>
                  </w:pPr>
                </w:p>
              </w:tc>
            </w:tr>
          </w:tbl>
          <w:p>
            <w:pPr>
              <w:jc w:val="both"/>
            </w:pPr>
          </w:p>
          <w:p>
            <w:pPr>
              <w:jc w:val="both"/>
            </w:pPr>
            <w:r>
              <w:rPr>
                <w:b/>
                <w:sz w:val="21"/>
              </w:rPr>
              <w:t>附件三：红线图</w:t>
            </w:r>
          </w:p>
          <w:p>
            <w:pPr>
              <w:jc w:val="both"/>
            </w:pPr>
            <w:r>
              <w:drawing>
                <wp:inline distT="0" distR="0" distB="0" distL="0">
                  <wp:extent cx="3554729" cy="34575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29" cy="3457575"/>
                          </a:xfrm>
                          <a:prstGeom prst="rect">
                            <a:avLst/>
                          </a:prstGeom>
                        </pic:spPr>
                      </pic:pic>
                    </a:graphicData>
                  </a:graphic>
                </wp:inline>
              </w:drawing>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1.采购代理机构：本项目是指广东德业招标代理有限公司，负责整个采购活动的组织，依法负责编制和发布招标文件，对招标文件拥有最终的解释权，不以任何身份出任评标委员会成员。</w:t>
      </w:r>
    </w:p>
    <w:p>
      <w:pPr>
        <w:ind w:firstLine="480"/>
      </w:pPr>
      <w:r>
        <w:rPr/>
        <w:t>2.采购人：本项目是指</w:t>
      </w:r>
      <w:r>
        <w:rPr/>
        <w:t>东莞市道滘镇卫生健康局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采购机构代理服务收费标准：1、以中标金额作为收费的计算基数。2、招标代理服务费收费标准参照国家发展和改革委员会文件“发改价格[2011]534号]”及“国家计委[计价格[2002]1980号]文”相关规定设置。</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广东德业招标代理有限公司</w:t>
      </w:r>
      <w:r>
        <w:rPr/>
        <w:t>代收。具体操作要求详见</w:t>
      </w:r>
      <w:r>
        <w:rPr/>
        <w:t>广东德业招标代理有限公司</w:t>
      </w:r>
      <w:r>
        <w:rPr/>
        <w:t>有关指引，递交事宜请自行咨询</w:t>
      </w:r>
      <w:r>
        <w:rPr/>
        <w:t>广东德业招标代理有限公司</w:t>
      </w:r>
      <w:r>
        <w:rPr/>
        <w:t>；请各投标人在投标文件递交截止时间前按须知前附表规定的金额递交至</w:t>
      </w:r>
      <w:r>
        <w:rPr/>
        <w:t>广东德业招标代理有限公司</w:t>
      </w:r>
      <w:r>
        <w:rPr/>
        <w:t>，到账情况以开标时</w:t>
      </w:r>
      <w:r>
        <w:rPr/>
        <w:t>广东德业招标代理有限公司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林小姐</w:t>
      </w:r>
    </w:p>
    <w:p>
      <w:pPr>
        <w:ind w:firstLine="480"/>
      </w:pPr>
      <w:r>
        <w:rPr/>
        <w:t>电话：</w:t>
      </w:r>
      <w:r>
        <w:rPr/>
        <w:t>0769-21668363</w:t>
      </w:r>
    </w:p>
    <w:p>
      <w:pPr>
        <w:ind w:firstLine="480"/>
      </w:pPr>
      <w:r>
        <w:rPr/>
        <w:t>传真：</w:t>
      </w:r>
      <w:r>
        <w:rPr/>
        <w:t>/</w:t>
      </w:r>
    </w:p>
    <w:p>
      <w:pPr>
        <w:ind w:firstLine="480"/>
      </w:pPr>
      <w:r>
        <w:rPr/>
        <w:t>邮箱：</w:t>
      </w:r>
      <w:r>
        <w:rPr/>
        <w:t>gddeyezb@163.com</w:t>
      </w:r>
    </w:p>
    <w:p>
      <w:pPr>
        <w:ind w:firstLine="480"/>
      </w:pPr>
      <w:r>
        <w:rPr/>
        <w:t>地址：</w:t>
      </w:r>
      <w:r>
        <w:rPr/>
        <w:t>东莞市南城街道宏图路39号7栋二楼201室</w:t>
      </w:r>
    </w:p>
    <w:p>
      <w:pPr>
        <w:ind w:firstLine="480"/>
      </w:pPr>
      <w:r>
        <w:rPr/>
        <w:t>邮编：</w:t>
      </w:r>
      <w:r>
        <w:rPr/>
        <w:t>523000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政府采购监督管理机构名称：东莞市财政局政府采购监管科</w:t>
      </w:r>
    </w:p>
    <w:p>
      <w:r>
        <w:rPr/>
        <w:t>地  址：东莞市南城区鸿福路99号行政办事中心主楼12楼28室</w:t>
      </w:r>
    </w:p>
    <w:p>
      <w:r>
        <w:rPr/>
        <w:t>电  话：0769-22831025、0769-22830161</w:t>
      </w:r>
    </w:p>
    <w:p>
      <w:r>
        <w:rPr/>
        <w:t>邮  编：523000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道滘镇中心区“四害”消杀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广东德业招标代理有限公司</w:t>
      </w:r>
      <w:r>
        <w:rPr/>
        <w:t>统一对外发布。</w:t>
      </w:r>
    </w:p>
    <w:p>
      <w:pPr>
        <w:ind w:firstLine="480"/>
      </w:pPr>
      <w:r>
        <w:rPr/>
        <w:t>（2）对</w:t>
      </w:r>
      <w:r>
        <w:rPr/>
        <w:t>广东德业招标代理有限公司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采购包1（道滘镇中心区“四害”消杀项目）：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采购包1（道滘镇中心区“四害”消杀项目）：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在中华人民共和国境内注册的法人或其他组织或自然人，投标（响应）时提交有效的营业执照（或事业法人登记证或身份证等相关证明）复印件。</w:t>
            </w:r>
          </w:p>
        </w:tc>
      </w:tr>
      <w:tr>
        <w:tc>
          <w:tcPr>
            <w:tcW w:type="dxa" w:w="890"/>
          </w:tcPr>
          <w:p>
            <w:r>
              <w:rPr/>
              <w:t>2</w:t>
            </w:r>
          </w:p>
        </w:tc>
        <w:tc>
          <w:tcPr>
            <w:tcW w:type="dxa" w:w="3178"/>
          </w:tcPr>
          <w:p>
            <w:r>
              <w:rPr/>
              <w:t>有依法缴纳税收和社会保障资金的良好记录</w:t>
            </w:r>
          </w:p>
        </w:tc>
        <w:tc>
          <w:tcPr>
            <w:tcW w:type="dxa" w:w="4238"/>
          </w:tcPr>
          <w:p>
            <w:r>
              <w:rPr/>
              <w:t>投标文件中提供《资格条件承诺函》（格式参照招标公告附件）。</w:t>
            </w:r>
          </w:p>
        </w:tc>
      </w:tr>
      <w:tr>
        <w:tc>
          <w:tcPr>
            <w:tcW w:type="dxa" w:w="890"/>
          </w:tcPr>
          <w:p>
            <w:r>
              <w:rPr/>
              <w:t>3</w:t>
            </w:r>
          </w:p>
        </w:tc>
        <w:tc>
          <w:tcPr>
            <w:tcW w:type="dxa" w:w="3178"/>
          </w:tcPr>
          <w:p>
            <w:r>
              <w:rPr/>
              <w:t>具有良好的商业信誉和健全的财务会计制度</w:t>
            </w:r>
          </w:p>
        </w:tc>
        <w:tc>
          <w:tcPr>
            <w:tcW w:type="dxa" w:w="4238"/>
          </w:tcPr>
          <w:p>
            <w:r>
              <w:rPr/>
              <w:t>投标文件中提供《资格条件承诺函》（格式参照招标公告附件）。</w:t>
            </w:r>
          </w:p>
        </w:tc>
      </w:tr>
      <w:tr>
        <w:tc>
          <w:tcPr>
            <w:tcW w:type="dxa" w:w="890"/>
          </w:tcPr>
          <w:p>
            <w:r>
              <w:rPr/>
              <w:t>4</w:t>
            </w:r>
          </w:p>
        </w:tc>
        <w:tc>
          <w:tcPr>
            <w:tcW w:type="dxa" w:w="3178"/>
          </w:tcPr>
          <w:p>
            <w:r>
              <w:rPr/>
              <w:t>履行合同所必需的设备和专业技术能力</w:t>
            </w:r>
          </w:p>
        </w:tc>
        <w:tc>
          <w:tcPr>
            <w:tcW w:type="dxa" w:w="4238"/>
          </w:tcPr>
          <w:p>
            <w:r>
              <w:rPr/>
              <w:t>投标文件中提供《资格条件承诺函》（格式参照招标公告附件）。</w:t>
            </w:r>
          </w:p>
        </w:tc>
      </w:tr>
      <w:tr>
        <w:tc>
          <w:tcPr>
            <w:tcW w:type="dxa" w:w="890"/>
          </w:tcPr>
          <w:p>
            <w:r>
              <w:rPr/>
              <w:t>5</w:t>
            </w:r>
          </w:p>
        </w:tc>
        <w:tc>
          <w:tcPr>
            <w:tcW w:type="dxa" w:w="3178"/>
          </w:tcPr>
          <w:p>
            <w:r>
              <w:rPr/>
              <w:t>参加采购活动前3年内，在经营活动中没有重大违法记录</w:t>
            </w:r>
          </w:p>
        </w:tc>
        <w:tc>
          <w:tcPr>
            <w:tcW w:type="dxa" w:w="4238"/>
          </w:tcPr>
          <w:p>
            <w:r>
              <w:rPr/>
              <w:t>投标文件中提供《资格条件承诺函》（格式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r>
              <w:rPr/>
              <w:t>8</w:t>
            </w:r>
          </w:p>
        </w:tc>
        <w:tc>
          <w:tcPr>
            <w:tcW w:type="dxa" w:w="3178"/>
          </w:tcPr>
          <w:p>
            <w:r>
              <w:rPr/>
              <w:t>其他要求</w:t>
            </w:r>
          </w:p>
        </w:tc>
        <w:tc>
          <w:tcPr>
            <w:tcW w:type="dxa" w:w="4238"/>
          </w:tcPr>
          <w:p>
            <w:r>
              <w:rPr/>
              <w:t>本项目不接受分公司投标（响应）。</w:t>
            </w:r>
          </w:p>
        </w:tc>
      </w:tr>
      <w:tr>
        <w:tc>
          <w:tcPr>
            <w:tcW w:type="dxa" w:w="890"/>
          </w:tcPr>
          <w:p>
            <w:r>
              <w:rPr/>
              <w:t>9</w:t>
            </w:r>
          </w:p>
        </w:tc>
        <w:tc>
          <w:tcPr>
            <w:tcW w:type="dxa" w:w="3178"/>
          </w:tcPr>
          <w:p>
            <w:r>
              <w:rPr/>
              <w:t>本采购包专门面向中小企业采购</w:t>
            </w:r>
          </w:p>
        </w:tc>
        <w:tc>
          <w:tcPr>
            <w:tcW w:type="dxa" w:w="4238"/>
          </w:tcPr>
          <w:p>
            <w:r>
              <w:rPr/>
              <w:t>采购包整体专门面向中小企业采购。中小企业须符合本项目采购标的对应行业（其他未列明行业）的政策划分标准。注：1、供应商投标时应提供《中小企业声明函》。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采购包1（道滘镇中心区“四害”消杀项目）：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投标（响应）报价</w:t>
            </w:r>
          </w:p>
        </w:tc>
        <w:tc>
          <w:tcPr>
            <w:tcW w:type="dxa" w:w="4238"/>
          </w:tcPr>
          <w:p>
            <w:r>
              <w:rPr/>
              <w:t>①投标（响应）报价满足采购文件要求。②报价为固定价，方案为固定不可选择的。</w:t>
            </w:r>
          </w:p>
        </w:tc>
      </w:tr>
      <w:tr>
        <w:tc>
          <w:tcPr>
            <w:tcW w:type="dxa" w:w="890"/>
          </w:tcPr>
          <w:p>
            <w:r>
              <w:rPr/>
              <w:t>2</w:t>
            </w:r>
          </w:p>
        </w:tc>
        <w:tc>
          <w:tcPr>
            <w:tcW w:type="dxa" w:w="3178"/>
          </w:tcPr>
          <w:p>
            <w:r>
              <w:rPr/>
              <w:t>投标（响应）有效期</w:t>
            </w:r>
          </w:p>
        </w:tc>
        <w:tc>
          <w:tcPr>
            <w:tcW w:type="dxa" w:w="4238"/>
          </w:tcPr>
          <w:p>
            <w:r>
              <w:rPr/>
              <w:t>投标（响应）有效期满足采购文件要求。</w:t>
            </w:r>
          </w:p>
        </w:tc>
      </w:tr>
      <w:tr>
        <w:tc>
          <w:tcPr>
            <w:tcW w:type="dxa" w:w="890"/>
          </w:tcPr>
          <w:p>
            <w:r>
              <w:rPr/>
              <w:t>3</w:t>
            </w:r>
          </w:p>
        </w:tc>
        <w:tc>
          <w:tcPr>
            <w:tcW w:type="dxa" w:w="3178"/>
          </w:tcPr>
          <w:p>
            <w:r>
              <w:rPr/>
              <w:t>投标（响应）文件的签名和盖章</w:t>
            </w:r>
          </w:p>
        </w:tc>
        <w:tc>
          <w:tcPr>
            <w:tcW w:type="dxa" w:w="4238"/>
          </w:tcPr>
          <w:p>
            <w:r>
              <w:rPr/>
              <w:t>投标（响应）文件的签名和盖章符合要求。</w:t>
            </w:r>
          </w:p>
        </w:tc>
      </w:tr>
      <w:tr>
        <w:tc>
          <w:tcPr>
            <w:tcW w:type="dxa" w:w="890"/>
          </w:tcPr>
          <w:p>
            <w:r>
              <w:rPr/>
              <w:t>4</w:t>
            </w:r>
          </w:p>
        </w:tc>
        <w:tc>
          <w:tcPr>
            <w:tcW w:type="dxa" w:w="3178"/>
          </w:tcPr>
          <w:p>
            <w:r>
              <w:rPr/>
              <w:t>投标（响应）文件商务部分响应情况</w:t>
            </w:r>
          </w:p>
        </w:tc>
        <w:tc>
          <w:tcPr>
            <w:tcW w:type="dxa" w:w="4238"/>
          </w:tcPr>
          <w:p>
            <w:r>
              <w:rPr/>
              <w:t>投标（响应）文件商务部分未出现以下情况：①采购文件商务部分带“★”的条款有负偏离的；②《商务条件响应表》未按采购文件要求填写；③供应商的报价明显低于其他通过符合性审查供应商的报价，且评标委员会认为有可能影响产品质量或者不能诚信履约的；④其它未实质性响应采购文件商务要求的。</w:t>
            </w:r>
          </w:p>
        </w:tc>
      </w:tr>
      <w:tr>
        <w:tc>
          <w:tcPr>
            <w:tcW w:type="dxa" w:w="890"/>
          </w:tcPr>
          <w:p>
            <w:r>
              <w:rPr/>
              <w:t>5</w:t>
            </w:r>
          </w:p>
        </w:tc>
        <w:tc>
          <w:tcPr>
            <w:tcW w:type="dxa" w:w="3178"/>
          </w:tcPr>
          <w:p>
            <w:r>
              <w:rPr/>
              <w:t>投标（响应）文件技术部分响应情况</w:t>
            </w:r>
          </w:p>
        </w:tc>
        <w:tc>
          <w:tcPr>
            <w:tcW w:type="dxa" w:w="4238"/>
          </w:tcPr>
          <w:p>
            <w:r>
              <w:rPr/>
              <w:t>投标（响应）文件技术部分未出现以下情况：①采购文件技术部分带“★”的条款有负偏离的；②《技术和服务要求响应表》未按采购文件要求填写；③其它未实质性响应采购文件技术要求的。</w:t>
            </w:r>
          </w:p>
        </w:tc>
      </w:tr>
      <w:tr>
        <w:tc>
          <w:tcPr>
            <w:tcW w:type="dxa" w:w="890"/>
          </w:tcPr>
          <w:p>
            <w:r>
              <w:rPr/>
              <w:t>6</w:t>
            </w:r>
          </w:p>
        </w:tc>
        <w:tc>
          <w:tcPr>
            <w:tcW w:type="dxa" w:w="3178"/>
          </w:tcPr>
          <w:p>
            <w:r>
              <w:rPr/>
              <w:t>其它情形</w:t>
            </w:r>
          </w:p>
        </w:tc>
        <w:tc>
          <w:tcPr>
            <w:tcW w:type="dxa" w:w="4238"/>
          </w:tcPr>
          <w:p>
            <w:r>
              <w:rPr/>
              <w:t>未出现法律、法规或采购文件中规定投标（响应）无效的其它情形。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采购包1(道滘镇中心区“四害”消杀项目):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技术部分55.0分</w:t>
            </w:r>
          </w:p>
          <w:p>
            <w:r>
              <w:rPr/>
              <w:t>报价得分20.0分</w:t>
            </w:r>
          </w:p>
        </w:tc>
      </w:tr>
      <w:tr>
        <w:tc>
          <w:tcPr>
            <w:tcW w:type="dxa" w:w="922"/>
            <w:gridSpan w:val="2"/>
            <w:vMerge w:val="restart"/>
          </w:tcPr>
          <w:p>
            <w:pPr>
              <w:jc w:val="center"/>
            </w:pPr>
            <w:r>
              <w:rPr/>
              <w:t>技术部分</w:t>
            </w:r>
          </w:p>
        </w:tc>
        <w:tc>
          <w:tcPr>
            <w:tcW w:type="dxa" w:w="2307"/>
          </w:tcPr>
          <w:p>
            <w:pPr>
              <w:jc w:val="left"/>
            </w:pPr>
            <w:r>
              <w:rPr/>
              <w:t>对项目的理解及分析 (10.0分)</w:t>
            </w:r>
            <w:r>
              <w:rPr/>
              <w:t>，（等次分值选择：</w:t>
            </w:r>
            <w:r>
              <w:rPr/>
              <w:t>0.0;</w:t>
            </w:r>
            <w:r>
              <w:rPr/>
              <w:t>1.0;</w:t>
            </w:r>
            <w:r>
              <w:rPr/>
              <w:t>4.0;</w:t>
            </w:r>
            <w:r>
              <w:rPr/>
              <w:t>7.0;</w:t>
            </w:r>
            <w:r>
              <w:rPr/>
              <w:t>10.0;</w:t>
            </w:r>
            <w:r>
              <w:rPr/>
              <w:t>）</w:t>
            </w:r>
          </w:p>
        </w:tc>
        <w:tc>
          <w:tcPr>
            <w:tcW w:type="dxa" w:w="5076"/>
          </w:tcPr>
          <w:p>
            <w:pPr>
              <w:jc w:val="left"/>
            </w:pPr>
            <w:r>
              <w:rPr/>
              <w:t>根据投标人针对①项目的理解、构想②调研分析③重点、难点分析④合理化建议进行评审： 1、提供的内容详细，符合对本项目的理解和构想，有创新点，对项目理解深刻，有详细和针对性的调研分析，提出的建议非常合理且可行性高，完全满足并优于采购需求，得10分； 2、提供的内容较详细，符合对本项目的理解和构想，对项目有一定的理解，有较详细的调研分析但针对性不强，提出的建议较合理且具有可行性，完全满足采购需求，得7分。 3、提供的内容简单，基本符合对本项目的理解和构想，对项目理解内容简单、不充分，有简单的调研分析，基本满足采购需求，得4分。 4、提供的内容简单，不完全符合对本项目的理解和构想，缺乏对项目的理解及调研分析，不完全满足采购需求，得1分。 5、未提供对应方案不得分。</w:t>
            </w:r>
          </w:p>
        </w:tc>
      </w:tr>
      <w:tr>
        <w:tc>
          <w:tcPr>
            <w:tcW w:type="dxa" w:w="922"/>
            <w:gridSpan w:val="2"/>
            <w:vMerge/>
          </w:tcPr>
          <w:p/>
        </w:tc>
        <w:tc>
          <w:tcPr>
            <w:tcW w:type="dxa" w:w="2307"/>
          </w:tcPr>
          <w:p>
            <w:pPr>
              <w:jc w:val="left"/>
            </w:pPr>
            <w:r>
              <w:rPr/>
              <w:t>服务总体方案 (8.0分)</w:t>
            </w:r>
            <w:r>
              <w:rPr/>
              <w:t>，（等次分值选择：</w:t>
            </w:r>
            <w:r>
              <w:rPr/>
              <w:t>0.0;</w:t>
            </w:r>
            <w:r>
              <w:rPr/>
              <w:t>2.0;</w:t>
            </w:r>
            <w:r>
              <w:rPr/>
              <w:t>4.0;</w:t>
            </w:r>
            <w:r>
              <w:rPr/>
              <w:t>6.0;</w:t>
            </w:r>
            <w:r>
              <w:rPr/>
              <w:t>8.0;</w:t>
            </w:r>
            <w:r>
              <w:rPr/>
              <w:t>）</w:t>
            </w:r>
          </w:p>
        </w:tc>
        <w:tc>
          <w:tcPr>
            <w:tcW w:type="dxa" w:w="5076"/>
          </w:tcPr>
          <w:p>
            <w:pPr>
              <w:jc w:val="left"/>
            </w:pPr>
            <w:r>
              <w:rPr/>
              <w:t>根据投标人针对本项目提出的服务总体方案（即除四害消杀作业方案）进行评审： 1、除四害消杀作业方案全面、合理，服务组织严密、运作流程清晰，得8分； 2、除四害消杀作业方案较全面、较合理，服务组织较严密，运作流程较清晰得6分； 3、除四害消杀作业方案具有合理性，服务组织及运作流程一般；得4分； 4、除四害消杀作业方案方案简单，服务组织及运作流程不明确，得2分。 5、未提供对应方案不得分。</w:t>
            </w:r>
          </w:p>
        </w:tc>
      </w:tr>
      <w:tr>
        <w:tc>
          <w:tcPr>
            <w:tcW w:type="dxa" w:w="922"/>
            <w:gridSpan w:val="2"/>
            <w:vMerge/>
          </w:tcPr>
          <w:p/>
        </w:tc>
        <w:tc>
          <w:tcPr>
            <w:tcW w:type="dxa" w:w="2307"/>
          </w:tcPr>
          <w:p>
            <w:pPr>
              <w:jc w:val="left"/>
            </w:pPr>
            <w:r>
              <w:rPr/>
              <w:t>质量保证措施 (8.0分)</w:t>
            </w:r>
            <w:r>
              <w:rPr/>
              <w:t>，（等次分值选择：</w:t>
            </w:r>
            <w:r>
              <w:rPr/>
              <w:t>0.0;</w:t>
            </w:r>
            <w:r>
              <w:rPr/>
              <w:t>2.0;</w:t>
            </w:r>
            <w:r>
              <w:rPr/>
              <w:t>4.0;</w:t>
            </w:r>
            <w:r>
              <w:rPr/>
              <w:t>6.0;</w:t>
            </w:r>
            <w:r>
              <w:rPr/>
              <w:t>8.0;</w:t>
            </w:r>
            <w:r>
              <w:rPr/>
              <w:t>）</w:t>
            </w:r>
          </w:p>
        </w:tc>
        <w:tc>
          <w:tcPr>
            <w:tcW w:type="dxa" w:w="5076"/>
          </w:tcPr>
          <w:p>
            <w:pPr>
              <w:jc w:val="left"/>
            </w:pPr>
            <w:r>
              <w:rPr/>
              <w:t>根据投标人提供的服务质量保证措施进行评审： 1、现场作业流程严谨、科学，质量保证目标明确，有分期目标，措施科学完整、可行性高，得8分； 2、现场作业流程较严谨，质量保证目标较明确，无分期目标，措施比较完整、可行性比较高，得6分； 3、现场作业流程基本清晰，质量保证目标模糊，措施基本完整但可行性一般，得4分； 4、现场作业流程不清晰，缺乏质量保证目标，措施不科学，可行性低，得2分。 5、未提供对应方案不得分。</w:t>
            </w:r>
          </w:p>
        </w:tc>
      </w:tr>
      <w:tr>
        <w:tc>
          <w:tcPr>
            <w:tcW w:type="dxa" w:w="922"/>
            <w:gridSpan w:val="2"/>
            <w:vMerge/>
          </w:tcPr>
          <w:p/>
        </w:tc>
        <w:tc>
          <w:tcPr>
            <w:tcW w:type="dxa" w:w="2307"/>
          </w:tcPr>
          <w:p>
            <w:pPr>
              <w:jc w:val="left"/>
            </w:pPr>
            <w:r>
              <w:rPr/>
              <w:t>新技术运用 (3.0分)</w:t>
            </w:r>
            <w:r>
              <w:rPr/>
              <w:t>，（等次分值选择：</w:t>
            </w:r>
            <w:r>
              <w:rPr/>
              <w:t>0.0;</w:t>
            </w:r>
            <w:r>
              <w:rPr/>
              <w:t>1.0;</w:t>
            </w:r>
            <w:r>
              <w:rPr/>
              <w:t>2.0;</w:t>
            </w:r>
            <w:r>
              <w:rPr/>
              <w:t>3.0;</w:t>
            </w:r>
            <w:r>
              <w:rPr/>
              <w:t>）</w:t>
            </w:r>
          </w:p>
        </w:tc>
        <w:tc>
          <w:tcPr>
            <w:tcW w:type="dxa" w:w="5076"/>
          </w:tcPr>
          <w:p>
            <w:pPr>
              <w:jc w:val="left"/>
            </w:pPr>
            <w:r>
              <w:rPr/>
              <w:t>投标人具有政府部门颁发的病媒生物防治或“除四害”类自主知识产权证书（含国家发明专利、实用新型专利、著作权等），每个证书得1分，最高得3分。（提供相关知识产权证书复印件加盖投标人公章）</w:t>
            </w:r>
          </w:p>
        </w:tc>
      </w:tr>
      <w:tr>
        <w:tc>
          <w:tcPr>
            <w:tcW w:type="dxa" w:w="922"/>
            <w:gridSpan w:val="2"/>
            <w:vMerge/>
          </w:tcPr>
          <w:p/>
        </w:tc>
        <w:tc>
          <w:tcPr>
            <w:tcW w:type="dxa" w:w="2307"/>
          </w:tcPr>
          <w:p>
            <w:pPr>
              <w:jc w:val="left"/>
            </w:pPr>
            <w:r>
              <w:rPr/>
              <w:t>药物投入计划及安全保证措施 (10.0分)</w:t>
            </w:r>
            <w:r>
              <w:rPr/>
              <w:t>，（等次分值选择：</w:t>
            </w:r>
            <w:r>
              <w:rPr/>
              <w:t>0.0;</w:t>
            </w:r>
            <w:r>
              <w:rPr/>
              <w:t>1.0;</w:t>
            </w:r>
            <w:r>
              <w:rPr/>
              <w:t>4.0;</w:t>
            </w:r>
            <w:r>
              <w:rPr/>
              <w:t>7.0;</w:t>
            </w:r>
            <w:r>
              <w:rPr/>
              <w:t>10.0;</w:t>
            </w:r>
            <w:r>
              <w:rPr/>
              <w:t>）</w:t>
            </w:r>
          </w:p>
        </w:tc>
        <w:tc>
          <w:tcPr>
            <w:tcW w:type="dxa" w:w="5076"/>
          </w:tcPr>
          <w:p>
            <w:pPr>
              <w:jc w:val="left"/>
            </w:pPr>
            <w:r>
              <w:rPr/>
              <w:t>根据投标人所提供的药物投入计划及安全保证措施进行评审： 1、药物配备十分合理、数量十分充足、符合国家标准要求，药物无污染、非常环保、无残留性的要求，安全保证措施科学完整、可行性高，能充分保障人员安全，得10分；  2、药物配备较合理、数量较充足、符合国家标准要求，药物轻微污染、较环保、残留性较低的要求，安全保证措施基本完善、具有可行性，得7分； 3、药物配备具有合理性、数量能满足项目基本要求、符合国家标准，药物中度污染、环保性较差、残留性中等，具有安全保证措施，但可行性低，得4分； 4、药物配备缺乏合理性、数量不能满足项目要求、符合国家标准，药物重度污染残留性高，安全措施简单且不可行，得1分。 5、未提供对应方案不得分。</w:t>
            </w:r>
          </w:p>
        </w:tc>
      </w:tr>
      <w:tr>
        <w:tc>
          <w:tcPr>
            <w:tcW w:type="dxa" w:w="922"/>
            <w:gridSpan w:val="2"/>
            <w:vMerge/>
          </w:tcPr>
          <w:p/>
        </w:tc>
        <w:tc>
          <w:tcPr>
            <w:tcW w:type="dxa" w:w="2307"/>
          </w:tcPr>
          <w:p>
            <w:pPr>
              <w:jc w:val="left"/>
            </w:pPr>
            <w:r>
              <w:rPr/>
              <w:t>应急处理方案 (8.0分)</w:t>
            </w:r>
            <w:r>
              <w:rPr/>
              <w:t>，（等次分值选择：</w:t>
            </w:r>
            <w:r>
              <w:rPr/>
              <w:t>0.0;</w:t>
            </w:r>
            <w:r>
              <w:rPr/>
              <w:t>2.0;</w:t>
            </w:r>
            <w:r>
              <w:rPr/>
              <w:t>4.0;</w:t>
            </w:r>
            <w:r>
              <w:rPr/>
              <w:t>6.0;</w:t>
            </w:r>
            <w:r>
              <w:rPr/>
              <w:t>8.0;</w:t>
            </w:r>
            <w:r>
              <w:rPr/>
              <w:t>）</w:t>
            </w:r>
          </w:p>
        </w:tc>
        <w:tc>
          <w:tcPr>
            <w:tcW w:type="dxa" w:w="5076"/>
          </w:tcPr>
          <w:p>
            <w:pPr>
              <w:jc w:val="left"/>
            </w:pPr>
            <w:r>
              <w:rPr/>
              <w:t>根据投标人所提供针对台风、暴雨等天气影响，重大节假日或活动，四害疫情等特殊情况制定的应急处置方案进行评审： 1、应急方案科学合理，能针对上述应急情况提出具体处理方案且可操作性高，人员和设备调配非常合理满足项目应急情况需求，责任分工非常明确，得8分； 2、应急方案比较完整，能针对上述应急情况提出比较合理的处理方案，能调配人员和设备，具有责任分工，得6分； 3、应急方案基本完整，有基本合理的处理方案，能调配人员和设备，责任分工不明确，得4分； 4、应急方案简单，不能应对应急情况，得2分。 5、未提供对应方案不得分。</w:t>
            </w:r>
          </w:p>
        </w:tc>
      </w:tr>
      <w:tr>
        <w:tc>
          <w:tcPr>
            <w:tcW w:type="dxa" w:w="922"/>
            <w:gridSpan w:val="2"/>
            <w:vMerge/>
          </w:tcPr>
          <w:p/>
        </w:tc>
        <w:tc>
          <w:tcPr>
            <w:tcW w:type="dxa" w:w="2307"/>
          </w:tcPr>
          <w:p>
            <w:pPr>
              <w:jc w:val="left"/>
            </w:pPr>
            <w:r>
              <w:rPr/>
              <w:t>人员培训方案 (8.0分)</w:t>
            </w:r>
            <w:r>
              <w:rPr/>
              <w:t>，（等次分值选择：</w:t>
            </w:r>
            <w:r>
              <w:rPr/>
              <w:t>0.0;</w:t>
            </w:r>
            <w:r>
              <w:rPr/>
              <w:t>2.0;</w:t>
            </w:r>
            <w:r>
              <w:rPr/>
              <w:t>4.0;</w:t>
            </w:r>
            <w:r>
              <w:rPr/>
              <w:t>6.0;</w:t>
            </w:r>
            <w:r>
              <w:rPr/>
              <w:t>8.0;</w:t>
            </w:r>
            <w:r>
              <w:rPr/>
              <w:t>）</w:t>
            </w:r>
          </w:p>
        </w:tc>
        <w:tc>
          <w:tcPr>
            <w:tcW w:type="dxa" w:w="5076"/>
          </w:tcPr>
          <w:p>
            <w:pPr>
              <w:jc w:val="left"/>
            </w:pPr>
            <w:r>
              <w:rPr/>
              <w:t>根据投标人对各类人员的培训计划、方式及行为规范的培训、员工录用与考核淘汰机制等进行评审： 1、人员考核培训方案涉及到四害消杀各个环节，培训方案科学完整，培训方式多样化，员工录用与考核淘汰机制的合理性及可行性高的，得8分； 2、人员考核培训方案涉及到四害消杀各个环节，培训方案比较科学完整，有多种培训方式，员工录用与考核淘汰机制的合理性及可行性较高的，得6分； 3、人员考核培训方案不能涉及到四害消杀各个环节，培训方案一般合理，培训方式单一，员工录用与考核淘汰机制可行性一般的，得4分。 4、培训方案简单，培训内容不完整，员工录用与考核淘汰机制缺乏合理性的，得2分。 5、未提供对应方案不得分。</w:t>
            </w:r>
          </w:p>
        </w:tc>
      </w:tr>
      <w:tr>
        <w:tc>
          <w:tcPr>
            <w:tcW w:type="dxa" w:w="922"/>
            <w:gridSpan w:val="2"/>
            <w:vMerge w:val="restart"/>
          </w:tcPr>
          <w:p>
            <w:pPr>
              <w:jc w:val="center"/>
            </w:pPr>
            <w:r>
              <w:rPr/>
              <w:t>商务部分</w:t>
            </w:r>
          </w:p>
        </w:tc>
        <w:tc>
          <w:tcPr>
            <w:tcW w:type="dxa" w:w="2307"/>
          </w:tcPr>
          <w:p>
            <w:pPr>
              <w:jc w:val="left"/>
            </w:pPr>
            <w:r>
              <w:rPr/>
              <w:t>公司实力 (3.0分)</w:t>
            </w:r>
            <w:r>
              <w:rPr/>
              <w:t>，（等次分值选择：</w:t>
            </w:r>
            <w:r>
              <w:rPr/>
              <w:t>0.0;</w:t>
            </w:r>
            <w:r>
              <w:rPr/>
              <w:t>1.0;</w:t>
            </w:r>
            <w:r>
              <w:rPr/>
              <w:t>2.0;</w:t>
            </w:r>
            <w:r>
              <w:rPr/>
              <w:t>3.0;</w:t>
            </w:r>
            <w:r>
              <w:rPr/>
              <w:t>）</w:t>
            </w:r>
          </w:p>
        </w:tc>
        <w:tc>
          <w:tcPr>
            <w:tcW w:type="dxa" w:w="5076"/>
          </w:tcPr>
          <w:p>
            <w:pPr>
              <w:jc w:val="left"/>
            </w:pPr>
            <w:r>
              <w:rPr/>
              <w:t>投标人具有国家认证认可监督管理部门批准设立的认证机构颁发并在有效期内的质量管理体系认证证书、环境管理体系认证证书、职业健康安全管理体系认证证书的，每个得1分，最高得3分。（须提供证书复印件并加盖投标人公章。）</w:t>
            </w:r>
          </w:p>
        </w:tc>
      </w:tr>
      <w:tr>
        <w:tc>
          <w:tcPr>
            <w:tcW w:type="dxa" w:w="922"/>
            <w:gridSpan w:val="2"/>
            <w:vMerge/>
          </w:tcPr>
          <w:p/>
        </w:tc>
        <w:tc>
          <w:tcPr>
            <w:tcW w:type="dxa" w:w="2307"/>
          </w:tcPr>
          <w:p>
            <w:pPr>
              <w:jc w:val="left"/>
            </w:pPr>
            <w:r>
              <w:rPr/>
              <w:t>项目业绩 (9.0分)</w:t>
            </w:r>
            <w:r>
              <w:rPr/>
              <w:t>，（等次分值选择：</w:t>
            </w:r>
            <w:r>
              <w:rPr/>
              <w:t>0.0;</w:t>
            </w:r>
            <w:r>
              <w:rPr/>
              <w:t>1.0;</w:t>
            </w:r>
            <w:r>
              <w:rPr/>
              <w:t>2.0;</w:t>
            </w:r>
            <w:r>
              <w:rPr/>
              <w:t>3.0;</w:t>
            </w:r>
            <w:r>
              <w:rPr/>
              <w:t>4.0;</w:t>
            </w:r>
            <w:r>
              <w:rPr/>
              <w:t>5.0;</w:t>
            </w:r>
            <w:r>
              <w:rPr/>
              <w:t>6.0;</w:t>
            </w:r>
            <w:r>
              <w:rPr/>
              <w:t>7.0;</w:t>
            </w:r>
            <w:r>
              <w:rPr/>
              <w:t>8.0;</w:t>
            </w:r>
            <w:r>
              <w:rPr/>
              <w:t>9.0;</w:t>
            </w:r>
            <w:r>
              <w:rPr/>
              <w:t>）</w:t>
            </w:r>
          </w:p>
        </w:tc>
        <w:tc>
          <w:tcPr>
            <w:tcW w:type="dxa" w:w="5076"/>
          </w:tcPr>
          <w:p>
            <w:pPr>
              <w:jc w:val="left"/>
            </w:pPr>
            <w:r>
              <w:rPr/>
              <w:t>投标人具有灭（除）四害业绩，每个业绩得1分，满分9分。（须提供合同复印件加盖投标人公章。）</w:t>
            </w:r>
          </w:p>
        </w:tc>
      </w:tr>
      <w:tr>
        <w:tc>
          <w:tcPr>
            <w:tcW w:type="dxa" w:w="922"/>
            <w:gridSpan w:val="2"/>
            <w:vMerge/>
          </w:tcPr>
          <w:p/>
        </w:tc>
        <w:tc>
          <w:tcPr>
            <w:tcW w:type="dxa" w:w="2307"/>
          </w:tcPr>
          <w:p>
            <w:pPr>
              <w:jc w:val="left"/>
            </w:pPr>
            <w:r>
              <w:rPr/>
              <w:t>服务便利性 (2.0分)</w:t>
            </w:r>
            <w:r>
              <w:rPr/>
              <w:t>，（等次分值选择：</w:t>
            </w:r>
            <w:r>
              <w:rPr/>
              <w:t>0.0;</w:t>
            </w:r>
            <w:r>
              <w:rPr/>
              <w:t>0.5;</w:t>
            </w:r>
            <w:r>
              <w:rPr/>
              <w:t>1.0;</w:t>
            </w:r>
            <w:r>
              <w:rPr/>
              <w:t>2.0;</w:t>
            </w:r>
            <w:r>
              <w:rPr/>
              <w:t>）</w:t>
            </w:r>
          </w:p>
        </w:tc>
        <w:tc>
          <w:tcPr>
            <w:tcW w:type="dxa" w:w="5076"/>
          </w:tcPr>
          <w:p>
            <w:pPr>
              <w:jc w:val="left"/>
            </w:pPr>
            <w:r>
              <w:rPr/>
              <w:t>1、投标人承诺接到采购人通知后1小时（含）内到达采购人指定地点的得2分； 2、投标人承诺接到采购人通知后1小时（不含）-2小时（含）到达采购人指定地点的得1分； 3、投标人承诺接到采购人通知后2小时（不含）-3小时（含）到达采购人指定地点的得0.5分； 4、其它情况不得分。 （须提供服务承诺函，并加盖投标人公章。）</w:t>
            </w:r>
          </w:p>
        </w:tc>
      </w:tr>
      <w:tr>
        <w:tc>
          <w:tcPr>
            <w:tcW w:type="dxa" w:w="922"/>
            <w:gridSpan w:val="2"/>
            <w:vMerge/>
          </w:tcPr>
          <w:p/>
        </w:tc>
        <w:tc>
          <w:tcPr>
            <w:tcW w:type="dxa" w:w="2307"/>
          </w:tcPr>
          <w:p>
            <w:pPr>
              <w:jc w:val="left"/>
            </w:pPr>
            <w:r>
              <w:rPr/>
              <w:t>拟投入人员评价 (7.0分)</w:t>
            </w:r>
            <w:r>
              <w:rPr/>
              <w:t>，（等次分值选择：</w:t>
            </w:r>
            <w:r>
              <w:rPr/>
              <w:t>0.0;</w:t>
            </w:r>
            <w:r>
              <w:rPr/>
              <w:t>1.0;</w:t>
            </w:r>
            <w:r>
              <w:rPr/>
              <w:t>2.0;</w:t>
            </w:r>
            <w:r>
              <w:rPr/>
              <w:t>3.0;</w:t>
            </w:r>
            <w:r>
              <w:rPr/>
              <w:t>4.0;</w:t>
            </w:r>
            <w:r>
              <w:rPr/>
              <w:t>5.0;</w:t>
            </w:r>
            <w:r>
              <w:rPr/>
              <w:t>6.0;</w:t>
            </w:r>
            <w:r>
              <w:rPr/>
              <w:t>7.0;</w:t>
            </w:r>
            <w:r>
              <w:rPr/>
              <w:t>）</w:t>
            </w:r>
          </w:p>
        </w:tc>
        <w:tc>
          <w:tcPr>
            <w:tcW w:type="dxa" w:w="5076"/>
          </w:tcPr>
          <w:p>
            <w:pPr>
              <w:jc w:val="left"/>
            </w:pPr>
            <w:r>
              <w:rPr/>
              <w:t>拟投入本项目的人员具有政府部门或相关行业协会颁发的有害生物防制类相关培训证书的，每提供一个得1分。此项最高得7分。 【以上人员须提供有效证书及投标截止前3个月（不含投标当月）任意一个月投标人为其缴纳的社保证明，复印件加盖投标人公章，提供不完整的不得分。以上人员具有多个证书的不得重复得分。】</w:t>
            </w:r>
          </w:p>
        </w:tc>
      </w:tr>
      <w:tr>
        <w:tc>
          <w:tcPr>
            <w:tcW w:type="dxa" w:w="922"/>
            <w:gridSpan w:val="2"/>
            <w:vMerge/>
          </w:tcPr>
          <w:p/>
        </w:tc>
        <w:tc>
          <w:tcPr>
            <w:tcW w:type="dxa" w:w="2307"/>
          </w:tcPr>
          <w:p>
            <w:pPr>
              <w:jc w:val="left"/>
            </w:pPr>
            <w:r>
              <w:rPr/>
              <w:t>拟投入设备 (4.0分)</w:t>
            </w:r>
            <w:r>
              <w:rPr/>
              <w:t>，（等次分值选择：</w:t>
            </w:r>
            <w:r>
              <w:rPr/>
              <w:t>0.0;</w:t>
            </w:r>
            <w:r>
              <w:rPr/>
              <w:t>1.0;</w:t>
            </w:r>
            <w:r>
              <w:rPr/>
              <w:t>2.0;</w:t>
            </w:r>
            <w:r>
              <w:rPr/>
              <w:t>3.0;</w:t>
            </w:r>
            <w:r>
              <w:rPr/>
              <w:t>4.0;</w:t>
            </w:r>
            <w:r>
              <w:rPr/>
              <w:t>）</w:t>
            </w:r>
          </w:p>
        </w:tc>
        <w:tc>
          <w:tcPr>
            <w:tcW w:type="dxa" w:w="5076"/>
          </w:tcPr>
          <w:p>
            <w:pPr>
              <w:jc w:val="left"/>
            </w:pPr>
            <w:r>
              <w:rPr/>
              <w:t>拟投入本项目的设备基本要求为“推式喷雾器不少于4台，烟雾机不少于6台，肩背式喷雾机不少于4台、消杀专用车辆不少于1辆”。在满足上述设备配套的基础上，每一类设备（推式喷雾器、烟雾机、肩背式喷雾机、消杀专用车辆）增加一台得1分，同一类设备不重复得分，本项最高得4分。（上述设备为自有的，须提供购买发票复印件并加盖投标人公章；设备如为租赁的，除提供购买发票复印件外还须同时提供租赁合同复印件加盖投标人公章，租赁期须覆盖本项目服务期。）</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1）评标委员会按评审后的综合得分由高到低顺序排列，向采购人推荐3名中标候选人，并编写评标报告。（2）不同投标人综合得分相同的，按投标报价由低到高顺序排列。综合得分且投标报价相同的，按技术部分得分由高到低顺序排列。综合得分、价格及技术得分均相同的，评标委员会成员通过表决，以少数服从多数原则，决定列前中标候选人。（3）评标委员会成员对评标报告有异议的，应当在评标报告上签署不同意见，并说明理由，否则视为同意评标报告。</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48"/>
        </w:rPr>
        <w:t>广东省政府采购</w:t>
      </w:r>
    </w:p>
    <w:p>
      <w:pPr>
        <w:jc w:val="both"/>
      </w:pPr>
      <w:r>
        <w:rPr>
          <w:sz w:val="21"/>
        </w:rPr>
        <w:t xml:space="preserve"> </w:t>
      </w:r>
    </w:p>
    <w:p>
      <w:pPr>
        <w:jc w:val="center"/>
      </w:pPr>
      <w:r>
        <w:rPr>
          <w:b/>
          <w:sz w:val="48"/>
        </w:rPr>
        <w:t>合　同　书</w:t>
      </w:r>
    </w:p>
    <w:p>
      <w:pPr>
        <w:jc w:val="center"/>
      </w:pPr>
    </w:p>
    <w:p>
      <w:pPr>
        <w:jc w:val="center"/>
      </w:pPr>
    </w:p>
    <w:p>
      <w:pPr>
        <w:jc w:val="center"/>
      </w:pPr>
    </w:p>
    <w:p>
      <w:pPr>
        <w:jc w:val="center"/>
      </w:pPr>
    </w:p>
    <w:p>
      <w:pPr>
        <w:jc w:val="center"/>
      </w:pPr>
    </w:p>
    <w:p>
      <w:pPr>
        <w:jc w:val="center"/>
      </w:pPr>
    </w:p>
    <w:p>
      <w:pPr>
        <w:jc w:val="center"/>
      </w:pPr>
      <w:r>
        <w:rPr>
          <w:sz w:val="21"/>
        </w:rPr>
        <w:t xml:space="preserve"> </w:t>
      </w:r>
    </w:p>
    <w:p>
      <w:pPr>
        <w:jc w:val="both"/>
      </w:pPr>
    </w:p>
    <w:p>
      <w:pPr>
        <w:jc w:val="both"/>
      </w:pPr>
    </w:p>
    <w:p>
      <w:pPr>
        <w:jc w:val="both"/>
      </w:pPr>
    </w:p>
    <w:p>
      <w:pPr>
        <w:jc w:val="both"/>
      </w:pPr>
    </w:p>
    <w:p>
      <w:pPr>
        <w:jc w:val="both"/>
      </w:pPr>
      <w:r>
        <w:rPr>
          <w:sz w:val="28"/>
        </w:rPr>
        <w:t>甲    方：</w:t>
      </w:r>
      <w:r>
        <w:rPr>
          <w:sz w:val="28"/>
          <w:u w:val="single"/>
        </w:rPr>
        <w:t xml:space="preserve">                </w:t>
      </w:r>
      <w:r>
        <w:rPr>
          <w:sz w:val="28"/>
        </w:rPr>
        <w:t xml:space="preserve">      </w:t>
      </w:r>
    </w:p>
    <w:p>
      <w:pPr>
        <w:jc w:val="both"/>
      </w:pPr>
      <w:r>
        <w:rPr>
          <w:sz w:val="28"/>
        </w:rPr>
        <w:t>乙    方：</w:t>
      </w:r>
      <w:r>
        <w:rPr>
          <w:sz w:val="28"/>
          <w:u w:val="single"/>
        </w:rPr>
        <w:t xml:space="preserve">                </w:t>
      </w:r>
    </w:p>
    <w:p>
      <w:pPr>
        <w:jc w:val="both"/>
      </w:pPr>
      <w:r>
        <w:rPr>
          <w:sz w:val="28"/>
        </w:rPr>
        <w:t>服务项目：</w:t>
      </w:r>
      <w:r>
        <w:rPr>
          <w:sz w:val="28"/>
          <w:u w:val="single"/>
        </w:rPr>
        <w:t xml:space="preserve">                </w:t>
      </w:r>
    </w:p>
    <w:p>
      <w:pPr>
        <w:jc w:val="both"/>
      </w:pPr>
      <w:r>
        <w:rPr>
          <w:sz w:val="28"/>
        </w:rPr>
        <w:t>合同编号：</w:t>
      </w:r>
      <w:r>
        <w:rPr>
          <w:sz w:val="28"/>
          <w:u w:val="single"/>
        </w:rPr>
        <w:t xml:space="preserve">      </w:t>
      </w:r>
      <w:r>
        <w:rPr>
          <w:sz w:val="21"/>
          <w:u w:val="single"/>
        </w:rPr>
        <w:t xml:space="preserve">      </w:t>
      </w:r>
      <w:r>
        <w:rPr>
          <w:sz w:val="21"/>
          <w:u w:val="single"/>
        </w:rPr>
        <w:t xml:space="preserve">    </w:t>
      </w:r>
    </w:p>
    <w:p>
      <w:pPr>
        <w:jc w:val="both"/>
      </w:pPr>
      <w:r>
        <w:rPr>
          <w:sz w:val="28"/>
        </w:rPr>
        <w:t>签订时间：</w:t>
      </w:r>
      <w:r>
        <w:rPr>
          <w:sz w:val="28"/>
          <w:u w:val="single"/>
        </w:rPr>
        <w:t xml:space="preserve">                </w:t>
      </w:r>
    </w:p>
    <w:p>
      <w:pPr>
        <w:ind w:firstLine="420"/>
        <w:jc w:val="both"/>
      </w:pPr>
      <w:r>
        <w:rPr>
          <w:sz w:val="21"/>
        </w:rPr>
        <w:t>甲方：</w:t>
      </w:r>
    </w:p>
    <w:p>
      <w:pPr>
        <w:ind w:firstLine="380"/>
        <w:jc w:val="both"/>
      </w:pPr>
      <w:r>
        <w:rPr>
          <w:sz w:val="21"/>
        </w:rPr>
        <w:t>乙方：</w:t>
      </w:r>
    </w:p>
    <w:p>
      <w:pPr>
        <w:ind w:firstLine="420"/>
        <w:jc w:val="both"/>
      </w:pPr>
      <w:r>
        <w:rPr>
          <w:sz w:val="21"/>
        </w:rPr>
        <w:t>根据</w:t>
      </w:r>
      <w:r>
        <w:rPr>
          <w:sz w:val="21"/>
          <w:u w:val="single"/>
        </w:rPr>
        <w:t>（项目名称）（项目编号)</w:t>
      </w:r>
      <w:r>
        <w:rPr>
          <w:sz w:val="21"/>
        </w:rPr>
        <w:t>的采购结果，按照《中华人民共和国政府采购法》、《中华人民共和国民法典》的规定，经双方协商，本着平等互利和诚实信用的原则，一致同意签订本合同如下。</w:t>
      </w:r>
    </w:p>
    <w:p>
      <w:pPr>
        <w:jc w:val="both"/>
      </w:pPr>
      <w:r>
        <w:rPr>
          <w:b/>
          <w:sz w:val="21"/>
        </w:rPr>
        <w:t>第一条 合同项目</w:t>
      </w:r>
    </w:p>
    <w:p>
      <w:pPr>
        <w:ind w:firstLine="420"/>
        <w:jc w:val="both"/>
      </w:pPr>
      <w:r>
        <w:rPr>
          <w:sz w:val="21"/>
        </w:rPr>
        <w:t>1</w:t>
      </w:r>
      <w:r>
        <w:rPr>
          <w:sz w:val="21"/>
        </w:rPr>
        <w:t xml:space="preserve">、项目名称：道滘镇中心区“四害”消杀项目   </w:t>
      </w:r>
    </w:p>
    <w:p>
      <w:pPr>
        <w:ind w:firstLine="420"/>
        <w:jc w:val="both"/>
      </w:pPr>
      <w:r>
        <w:rPr>
          <w:sz w:val="21"/>
        </w:rPr>
        <w:t>2</w:t>
      </w:r>
      <w:r>
        <w:rPr>
          <w:sz w:val="21"/>
        </w:rPr>
        <w:t>、采购项目编号：</w:t>
      </w:r>
    </w:p>
    <w:p>
      <w:pPr>
        <w:jc w:val="both"/>
      </w:pPr>
      <w:r>
        <w:rPr>
          <w:b/>
          <w:sz w:val="21"/>
        </w:rPr>
        <w:t>第二条 合同组成</w:t>
      </w:r>
    </w:p>
    <w:p>
      <w:pPr>
        <w:ind w:firstLine="420"/>
        <w:jc w:val="both"/>
      </w:pPr>
      <w:r>
        <w:rPr>
          <w:sz w:val="21"/>
        </w:rPr>
        <w:t>1</w:t>
      </w:r>
      <w:r>
        <w:rPr>
          <w:sz w:val="21"/>
        </w:rPr>
        <w:t>、合同文件组成内容包括：本合同书 、中标通知书。</w:t>
      </w:r>
    </w:p>
    <w:p>
      <w:pPr>
        <w:jc w:val="both"/>
      </w:pPr>
      <w:r>
        <w:rPr>
          <w:b/>
          <w:sz w:val="21"/>
        </w:rPr>
        <w:t>第三条 服务内容、标准及要求</w:t>
      </w:r>
    </w:p>
    <w:p>
      <w:pPr>
        <w:ind w:firstLine="422"/>
        <w:jc w:val="both"/>
      </w:pPr>
      <w:r>
        <w:rPr>
          <w:b/>
          <w:sz w:val="21"/>
        </w:rPr>
        <w:t>一、项目概况</w:t>
      </w:r>
    </w:p>
    <w:p>
      <w:pPr>
        <w:ind w:firstLine="420"/>
        <w:jc w:val="both"/>
      </w:pPr>
      <w:r>
        <w:rPr>
          <w:sz w:val="21"/>
        </w:rPr>
        <w:t>1</w:t>
      </w:r>
      <w:r>
        <w:rPr>
          <w:sz w:val="21"/>
        </w:rPr>
        <w:t>、道滘镇中心区“四害”消杀项目，面积约为3.5 平方公里。</w:t>
      </w:r>
    </w:p>
    <w:p>
      <w:pPr>
        <w:ind w:firstLine="420"/>
        <w:jc w:val="both"/>
      </w:pPr>
      <w:r>
        <w:rPr>
          <w:sz w:val="21"/>
        </w:rPr>
        <w:t>【具体范围以甲方提供的红线图（附件三）为准。】</w:t>
      </w:r>
    </w:p>
    <w:p>
      <w:pPr>
        <w:ind w:firstLine="422"/>
        <w:jc w:val="both"/>
      </w:pPr>
      <w:r>
        <w:rPr>
          <w:b/>
          <w:sz w:val="21"/>
        </w:rPr>
        <w:t>二、项目服务范围</w:t>
      </w:r>
    </w:p>
    <w:p>
      <w:pPr>
        <w:ind w:firstLine="420"/>
        <w:jc w:val="both"/>
      </w:pPr>
      <w:r>
        <w:rPr>
          <w:sz w:val="21"/>
        </w:rPr>
        <w:t>1</w:t>
      </w:r>
      <w:r>
        <w:rPr>
          <w:sz w:val="21"/>
        </w:rPr>
        <w:t>、日常作业范围：对镇中心建成区范围内（详见附件三）的外环境、路面、下水道、内街小巷、绿化带、镇政府大院、公办中小学及幼儿园、敬老院、广场、公园、街道、巷道、河岸周边、公厕、垃圾压缩站、垃圾转运站、农贸市场（含农副产品摆卖区）等开展“四害”消杀服务。</w:t>
      </w:r>
    </w:p>
    <w:p>
      <w:pPr>
        <w:ind w:firstLine="420"/>
        <w:jc w:val="both"/>
      </w:pPr>
      <w:r>
        <w:rPr>
          <w:sz w:val="21"/>
        </w:rPr>
        <w:t>2</w:t>
      </w:r>
      <w:r>
        <w:rPr>
          <w:sz w:val="21"/>
        </w:rPr>
        <w:t>、应急服务范围：除日常消杀服务外，如遇登革热、基孔肯亚热等病媒生物为媒介的疫情时，需无条件服从安排开展病媒生物防控指导及消杀工作。</w:t>
      </w:r>
    </w:p>
    <w:p>
      <w:pPr>
        <w:ind w:firstLine="420"/>
        <w:jc w:val="both"/>
      </w:pPr>
      <w:r>
        <w:rPr>
          <w:sz w:val="21"/>
        </w:rPr>
        <w:t>3</w:t>
      </w:r>
      <w:r>
        <w:rPr>
          <w:sz w:val="21"/>
        </w:rPr>
        <w:t>、乙方需确保消杀质量不低于国家卫生镇标准以及鼠、蚊、蝇、蟑螂密度必须控制在全国爱卫会规定的标准内。</w:t>
      </w:r>
    </w:p>
    <w:p>
      <w:pPr>
        <w:ind w:firstLine="422"/>
        <w:jc w:val="both"/>
      </w:pPr>
      <w:r>
        <w:rPr>
          <w:b/>
          <w:sz w:val="21"/>
        </w:rPr>
        <w:t>三、主要工作内容</w:t>
      </w:r>
      <w:r>
        <w:rPr>
          <w:sz w:val="21"/>
        </w:rPr>
        <w:t xml:space="preserve">  </w:t>
      </w:r>
    </w:p>
    <w:p>
      <w:pPr>
        <w:ind w:firstLine="420"/>
        <w:jc w:val="both"/>
      </w:pPr>
      <w:r>
        <w:rPr>
          <w:sz w:val="21"/>
        </w:rPr>
        <w:t>1</w:t>
      </w:r>
      <w:r>
        <w:rPr>
          <w:sz w:val="21"/>
        </w:rPr>
        <w:t>、承包范围内“四害”消杀工作，包括外环境、路面、下水道、内街小巷、绿化带、镇政府大院、公办中小学及幼儿园、敬老院、广场、公园、街道、巷道、河岸周边、公厕、垃圾压缩站、垃圾转运站、农贸市场（含农副产品摆卖区）等重点孳生地及其周边。需要在上述区域内结合四害的生活特性有针对性的开展消杀工作，控制四害密度达到不低于C级水平，确保除四害工作达到国家卫生镇、文明镇考核及东莞市政府工作年度考核标准。</w:t>
      </w:r>
    </w:p>
    <w:p>
      <w:pPr>
        <w:ind w:firstLine="420"/>
        <w:jc w:val="both"/>
      </w:pPr>
      <w:r>
        <w:rPr>
          <w:sz w:val="21"/>
        </w:rPr>
        <w:t>2</w:t>
      </w:r>
      <w:r>
        <w:rPr>
          <w:sz w:val="21"/>
        </w:rPr>
        <w:t>、承包范围内收集动物尸体工作（含老鼠、蟑螂等收集清理工作），并将尸体做无害化处理。</w:t>
      </w:r>
    </w:p>
    <w:p>
      <w:pPr>
        <w:ind w:firstLine="420"/>
        <w:jc w:val="both"/>
      </w:pPr>
      <w:r>
        <w:rPr>
          <w:sz w:val="21"/>
        </w:rPr>
        <w:t>3</w:t>
      </w:r>
      <w:r>
        <w:rPr>
          <w:sz w:val="21"/>
        </w:rPr>
        <w:t>、乙方应在项目所在地设立固定的办公场所，指派固定负责人，并在进场一个月内设置固定联系电话，建立24小时值班制度，应付突发事件的发生。</w:t>
      </w:r>
    </w:p>
    <w:p>
      <w:pPr>
        <w:ind w:firstLine="420"/>
        <w:jc w:val="both"/>
      </w:pPr>
      <w:r>
        <w:rPr>
          <w:sz w:val="21"/>
        </w:rPr>
        <w:t>4</w:t>
      </w:r>
      <w:r>
        <w:rPr>
          <w:sz w:val="21"/>
        </w:rPr>
        <w:t>、乙方必须具备证件齐全的推式喷雾器不少于4台，烟雾机不少于6台，肩背式喷雾机不少于4台、消杀专用车辆不少于1辆等工具并保证该批器械只用于本项目；配备“四害”消杀项目负责人1名，消杀工作人员不少于6名，项目负责人需取得“四害”消杀技能培训相关证件，能熟练完成国家卫生镇复审病媒生物防制工作资料；消杀工作人员应具有</w:t>
      </w:r>
      <w:r>
        <w:rPr>
          <w:sz w:val="21"/>
        </w:rPr>
        <w:t>有害生物防制类相关培训证书，能</w:t>
      </w:r>
      <w:r>
        <w:rPr>
          <w:sz w:val="21"/>
        </w:rPr>
        <w:t>根据甲方的要求佩戴工卡定位器开展日常作业工作。</w:t>
      </w:r>
    </w:p>
    <w:p>
      <w:pPr>
        <w:ind w:firstLine="420"/>
        <w:jc w:val="both"/>
      </w:pPr>
      <w:r>
        <w:rPr>
          <w:sz w:val="21"/>
        </w:rPr>
        <w:t>5</w:t>
      </w:r>
      <w:r>
        <w:rPr>
          <w:sz w:val="21"/>
        </w:rPr>
        <w:t>、药物要求：</w:t>
      </w:r>
    </w:p>
    <w:p>
      <w:pPr>
        <w:ind w:firstLine="420"/>
        <w:jc w:val="both"/>
      </w:pPr>
      <w:r>
        <w:rPr>
          <w:sz w:val="21"/>
        </w:rPr>
        <w:t>（1）用药标准：乙方必须注重科学合理用药，不能使用假药、国家禁用的药物。使用的药物必须符合《病媒生物控制药物器械安全使用准则》，确保病媒生物控制达到“安全、高效、环保”的要求，用于本服务项目的消杀药物投入不能少于消杀面积的正常用药。</w:t>
      </w:r>
    </w:p>
    <w:p>
      <w:pPr>
        <w:ind w:firstLine="422"/>
        <w:jc w:val="both"/>
      </w:pPr>
      <w:r>
        <w:rPr>
          <w:b/>
          <w:sz w:val="21"/>
        </w:rPr>
        <w:t>（2）★</w:t>
      </w:r>
      <w:r>
        <w:rPr>
          <w:b/>
          <w:sz w:val="21"/>
        </w:rPr>
        <w:t>乙方须承诺中标后根据拟投用药物清单提供药物的以下资料给甲方核查：1）农业主管部门颁发的农药登记证。2）农业主管部门颁发的登记证持有人或委托加工企业农药生产许可证（生产范围包括投标产品剂型）。3）质量技术监督部门或企业标准信息公共服务平台备案的企业标准封面。4）药品标签。5）药品第三方检测报告。6）药品化学品安全技术说明书或农药产品安全数据单（MSDS）。（投标时须提供承诺函加盖乙方公章，格式自拟）</w:t>
      </w:r>
    </w:p>
    <w:p>
      <w:pPr>
        <w:ind w:firstLine="422"/>
        <w:jc w:val="both"/>
      </w:pPr>
      <w:r>
        <w:rPr>
          <w:b/>
          <w:sz w:val="21"/>
        </w:rPr>
        <w:t>（3）★乙方拟投用药物必须满足本项目需求的用药要求，如使用的药物效果不达标，甲方有权要求乙方更换药物，由此产生额外增加的费用由乙方自行承担，甲方不承担该费用。（投标时须提供承诺函及拟投用药物清单，格式自拟）</w:t>
      </w:r>
    </w:p>
    <w:p>
      <w:pPr>
        <w:ind w:firstLine="420"/>
        <w:jc w:val="both"/>
      </w:pPr>
      <w:r>
        <w:rPr>
          <w:sz w:val="21"/>
        </w:rPr>
        <w:t>6</w:t>
      </w:r>
      <w:r>
        <w:rPr>
          <w:sz w:val="21"/>
        </w:rPr>
        <w:t>、乙方每个季度必须将灭鼠药、灭蚊四害药运至村、镇政府指定地点存放备案，并做好“入库登记”；每次作业前需跟辖区人员做好药物“出库登记”，由村监督首次配药，并每月10日前将所有用药《出入库登记表》、药物说明书等资料提交甲方作为备查依据。</w:t>
      </w:r>
    </w:p>
    <w:p>
      <w:pPr>
        <w:ind w:firstLine="420"/>
        <w:jc w:val="both"/>
      </w:pPr>
      <w:r>
        <w:rPr>
          <w:sz w:val="21"/>
        </w:rPr>
        <w:t>7</w:t>
      </w:r>
      <w:r>
        <w:rPr>
          <w:sz w:val="21"/>
        </w:rPr>
        <w:t>、乙方有完整的病媒生物预防控制操作规程，灭蚊、灭蝇、灭蟑螂、灭鼠需达到国家“四害”消杀标准，并根据作业范围制定完善的事故应急方案提交至各村及甲方备案。</w:t>
      </w:r>
    </w:p>
    <w:p>
      <w:pPr>
        <w:ind w:firstLine="420"/>
        <w:jc w:val="both"/>
      </w:pPr>
      <w:r>
        <w:rPr>
          <w:sz w:val="21"/>
        </w:rPr>
        <w:t>8</w:t>
      </w:r>
      <w:r>
        <w:rPr>
          <w:sz w:val="21"/>
        </w:rPr>
        <w:t>、乙方在承包期内的每季度在东、南、西、北、中五个方位开展“四害”密度监测以及孳生地调查，每季度第一个月20日前提供密度检测报告、孳生地调查报告，造册存档，移交属地村及甲方，以备检查。</w:t>
      </w:r>
      <w:r>
        <w:rPr>
          <w:sz w:val="21"/>
        </w:rPr>
        <w:t>（如因甲方原因或不可抗力因素导致第一个月无法提供的，相应报告顺延提交）若乙方逾期提供相关报告的，每逾期一日，应当向甲方支付当季度合同款</w:t>
      </w:r>
      <w:r>
        <w:rPr>
          <w:sz w:val="21"/>
          <w:u w:val="single"/>
        </w:rPr>
        <w:t>1%</w:t>
      </w:r>
      <w:r>
        <w:rPr>
          <w:sz w:val="21"/>
        </w:rPr>
        <w:t>的违约金，若逾期达</w:t>
      </w:r>
      <w:r>
        <w:rPr>
          <w:sz w:val="21"/>
          <w:u w:val="single"/>
        </w:rPr>
        <w:t>30</w:t>
      </w:r>
      <w:r>
        <w:rPr>
          <w:sz w:val="21"/>
        </w:rPr>
        <w:t>日仍未能提供相关报告的，甲方有权单方解除合同，并要求乙方支付合同总价</w:t>
      </w:r>
      <w:r>
        <w:rPr>
          <w:sz w:val="21"/>
          <w:u w:val="single"/>
        </w:rPr>
        <w:t>1</w:t>
      </w:r>
      <w:r>
        <w:rPr>
          <w:sz w:val="21"/>
        </w:rPr>
        <w:t>%的违约金和赔偿由此给甲方造成的损失。</w:t>
      </w:r>
    </w:p>
    <w:p>
      <w:pPr>
        <w:ind w:firstLine="420"/>
        <w:jc w:val="both"/>
      </w:pPr>
      <w:r>
        <w:rPr>
          <w:sz w:val="21"/>
        </w:rPr>
        <w:t>9</w:t>
      </w:r>
      <w:r>
        <w:rPr>
          <w:sz w:val="21"/>
        </w:rPr>
        <w:t>、乙方无条件配合甲方开展病媒生物防制宣传工作，协助对有关单位开展病媒生物防制培训及技术指导工作。</w:t>
      </w:r>
    </w:p>
    <w:p>
      <w:pPr>
        <w:ind w:firstLine="420"/>
        <w:jc w:val="both"/>
      </w:pPr>
      <w:r>
        <w:rPr>
          <w:sz w:val="21"/>
        </w:rPr>
        <w:t>10</w:t>
      </w:r>
      <w:r>
        <w:rPr>
          <w:sz w:val="21"/>
        </w:rPr>
        <w:t>、严格按照甲方、疾控中心、村的要求除“四害”，并配合甲方、疾控中心、村做好四害密度、布雷图指数检测等工作并提供相关的技术指导。如发生以病媒生物为媒介的传染病时，乙方无条件根据甲方要求开展病媒生物防制工作。</w:t>
      </w:r>
    </w:p>
    <w:p>
      <w:pPr>
        <w:ind w:firstLine="420"/>
        <w:jc w:val="both"/>
      </w:pPr>
      <w:r>
        <w:rPr>
          <w:sz w:val="21"/>
        </w:rPr>
        <w:t>11</w:t>
      </w:r>
      <w:r>
        <w:rPr>
          <w:sz w:val="21"/>
        </w:rPr>
        <w:t>、如遇突发公共卫生应急事件，乙方需无条件配合甲方对公共环境开展消杀工作。</w:t>
      </w:r>
    </w:p>
    <w:p>
      <w:pPr>
        <w:ind w:firstLine="422"/>
        <w:jc w:val="both"/>
      </w:pPr>
      <w:r>
        <w:rPr>
          <w:b/>
          <w:sz w:val="21"/>
        </w:rPr>
        <w:t>★四、质量标准</w:t>
      </w:r>
    </w:p>
    <w:p>
      <w:pPr>
        <w:ind w:firstLine="420"/>
        <w:jc w:val="both"/>
      </w:pPr>
      <w:r>
        <w:rPr>
          <w:sz w:val="21"/>
        </w:rPr>
        <w:t>1</w:t>
      </w:r>
      <w:r>
        <w:rPr>
          <w:sz w:val="21"/>
        </w:rPr>
        <w:t>、按全国爱卫会颁布的《全国灭鼠、灭蚊、灭蝇、灭蟑螂标准》（附件一），考核评分表见《道滘镇“四害”消杀考核评分表》（附件二）。</w:t>
      </w:r>
    </w:p>
    <w:p>
      <w:pPr>
        <w:ind w:firstLine="422"/>
        <w:jc w:val="both"/>
      </w:pPr>
      <w:r>
        <w:rPr>
          <w:b/>
          <w:sz w:val="21"/>
        </w:rPr>
        <w:t>五、工作要求</w:t>
      </w:r>
    </w:p>
    <w:p>
      <w:pPr>
        <w:ind w:firstLine="420"/>
        <w:jc w:val="both"/>
      </w:pPr>
      <w:r>
        <w:rPr>
          <w:sz w:val="21"/>
        </w:rPr>
        <w:t>l</w:t>
      </w:r>
      <w:r>
        <w:rPr>
          <w:sz w:val="21"/>
        </w:rPr>
        <w:t>、乙方须根据道滘镇的实际情况和甲方的要求编写《道滘镇“四害”消杀实施方案》。</w:t>
      </w:r>
    </w:p>
    <w:p>
      <w:pPr>
        <w:ind w:firstLine="420"/>
        <w:jc w:val="both"/>
      </w:pPr>
      <w:r>
        <w:rPr>
          <w:sz w:val="21"/>
        </w:rPr>
        <w:t>2</w:t>
      </w:r>
      <w:r>
        <w:rPr>
          <w:sz w:val="21"/>
        </w:rPr>
        <w:t>、乙方须列明“四害”消杀的模式，具备适合的“四害”消杀项目负责人、消杀工作人员等，并向甲方提供有关人员职责名单及资质证、上岗证复印件：乙方于进场一星期内将上述人员证书原件送甲方核验。</w:t>
      </w:r>
    </w:p>
    <w:p>
      <w:pPr>
        <w:ind w:firstLine="420"/>
        <w:jc w:val="both"/>
      </w:pPr>
      <w:r>
        <w:rPr>
          <w:sz w:val="21"/>
        </w:rPr>
        <w:t>3</w:t>
      </w:r>
      <w:r>
        <w:rPr>
          <w:sz w:val="21"/>
        </w:rPr>
        <w:t>、乙方应列明拟投入本项目的机械设备清单(注明名称、规格、数量)，所采用的设备必须满足国家有关技术操作规程的要求；乙方投入的机械设备在合同签订后20天内要经甲方验收认定。</w:t>
      </w:r>
    </w:p>
    <w:p>
      <w:pPr>
        <w:ind w:firstLine="420"/>
        <w:jc w:val="both"/>
      </w:pPr>
      <w:r>
        <w:rPr>
          <w:sz w:val="21"/>
        </w:rPr>
        <w:t>4</w:t>
      </w:r>
      <w:r>
        <w:rPr>
          <w:sz w:val="21"/>
        </w:rPr>
        <w:t>、甲方可对乙方的《道滘镇“四害”消杀实施方案》进行审核及提出修改意见。审查后的《道滘镇“四害”消杀实施方案》将作为合同附件，甲方将保留对《道滘镇“四害”消杀实施方案》的修改权。</w:t>
      </w:r>
    </w:p>
    <w:p>
      <w:pPr>
        <w:ind w:firstLine="420"/>
        <w:jc w:val="both"/>
      </w:pPr>
      <w:r>
        <w:rPr>
          <w:sz w:val="21"/>
        </w:rPr>
        <w:t>5</w:t>
      </w:r>
      <w:r>
        <w:rPr>
          <w:sz w:val="21"/>
        </w:rPr>
        <w:t>、考评：(1)甲方会同疾控中心以及镇红线范围内所属村（南城村、永庆村、厚德村、北永村、闸口村、大岭丫村）每个月对乙方承包范围内的“四害”消杀质量进行检查，每个季度选取平均分作为乙方当季度的绩效评分，分好(100分-90分)、中(89分-80分)、差(80分以下)三个档次。</w:t>
      </w:r>
    </w:p>
    <w:p>
      <w:pPr>
        <w:ind w:firstLine="420"/>
        <w:jc w:val="both"/>
      </w:pPr>
      <w:r>
        <w:rPr>
          <w:sz w:val="21"/>
        </w:rPr>
        <w:t>（2) “四害”消杀检查打分属好的(100分-90分)为达标；属中的(89分-80分)，每季度扣10000元违约金；属差的(80分以下)，每季度扣20000元违约金：属差的累计三次经道滘镇人民政府同意，甲方可单方面终止合同。</w:t>
      </w:r>
    </w:p>
    <w:p>
      <w:pPr>
        <w:ind w:firstLine="420"/>
        <w:jc w:val="both"/>
      </w:pPr>
      <w:r>
        <w:rPr>
          <w:sz w:val="21"/>
        </w:rPr>
        <w:t>(3)</w:t>
      </w:r>
      <w:r>
        <w:rPr>
          <w:sz w:val="21"/>
        </w:rPr>
        <w:t>检查扣分标准：按《道滘镇“四害”消杀考核评分表》执行。</w:t>
      </w:r>
    </w:p>
    <w:p>
      <w:pPr>
        <w:ind w:firstLine="422"/>
        <w:jc w:val="both"/>
      </w:pPr>
      <w:r>
        <w:rPr>
          <w:b/>
          <w:sz w:val="21"/>
        </w:rPr>
        <w:t>六、“四害”消杀作业方法</w:t>
      </w:r>
    </w:p>
    <w:p>
      <w:pPr>
        <w:ind w:firstLine="420"/>
        <w:jc w:val="both"/>
      </w:pPr>
      <w:r>
        <w:rPr>
          <w:sz w:val="21"/>
        </w:rPr>
        <w:t>1</w:t>
      </w:r>
      <w:r>
        <w:rPr>
          <w:sz w:val="21"/>
        </w:rPr>
        <w:t>、消杀频率：</w:t>
      </w:r>
    </w:p>
    <w:p>
      <w:pPr>
        <w:ind w:firstLine="420"/>
        <w:jc w:val="both"/>
      </w:pPr>
      <w:r>
        <w:rPr>
          <w:sz w:val="21"/>
        </w:rPr>
        <w:t>灭鼠：每季度大面积饱和投药灭鼠一次并提供鼠屋位置台账，每年5月、9月每月至少开展2次灭鼠行动，其余每月至少开展1次灭鼠行动，保障鼠药及时补足充分。向机关事业单位（特别是中小学、幼儿园）投药时必须通知该单位相关人员，并要求严格遵循单位意见用药，做好相关警示标识，采取有效措施防止人畜误食；在个别不适宜药物灭鼠的场所，必须采取有效的物理灭鼠。</w:t>
      </w:r>
    </w:p>
    <w:p>
      <w:pPr>
        <w:ind w:firstLine="420"/>
        <w:jc w:val="both"/>
      </w:pPr>
      <w:r>
        <w:rPr>
          <w:sz w:val="21"/>
        </w:rPr>
        <w:t>灭蚊：要求全年进行孳生地的检查处理，高峰期（3月-6月、9月-11月）每月不得少于4次灭蚊，其他每月不得少于3次（其中包含每月15日固定一次中心区统一消杀，如遇天气等特殊情况再行调整），每周对下水道按量投放缓释剂。确保每月红线范围内不得少于2次全覆盖的消杀。</w:t>
      </w:r>
    </w:p>
    <w:p>
      <w:pPr>
        <w:ind w:firstLine="420"/>
        <w:jc w:val="both"/>
      </w:pPr>
      <w:r>
        <w:rPr>
          <w:sz w:val="21"/>
        </w:rPr>
        <w:t>灭蝇：要求根据苍蝇繁殖规律，在繁殖高峰期按要求对孳生地每周检查1次，每月进行不少于1次“空间喷洒”和2次“滞留喷洒”，消杀频率可与灭蚊保持一致。</w:t>
      </w:r>
    </w:p>
    <w:p>
      <w:pPr>
        <w:ind w:firstLine="420"/>
        <w:jc w:val="both"/>
      </w:pPr>
      <w:r>
        <w:rPr>
          <w:sz w:val="21"/>
        </w:rPr>
        <w:t>灭蟑：要求对蟑螂栖息的下水道取用烟雾灭虫法消灭蟑螂，其他不能使用该办法的场所要求使用毒饵、喷雾或物理的办法消灭蟑螂，密封污水管道每季度第一个月开展一次热烟雾处理。</w:t>
      </w:r>
      <w:r>
        <w:rPr>
          <w:sz w:val="21"/>
        </w:rPr>
        <w:t>（如因甲方原因或不可抗力因素导致第一个月无法开展工作的，相应工作顺延开展）</w:t>
      </w:r>
    </w:p>
    <w:p>
      <w:pPr>
        <w:ind w:firstLine="420"/>
        <w:jc w:val="both"/>
      </w:pPr>
      <w:r>
        <w:rPr>
          <w:sz w:val="21"/>
        </w:rPr>
        <w:t>如有创文、创卫等重大迎检工作及蚊媒传染病高峰期时，需按工作要求布置，随时加大消杀频率，保证顺利完成相关迎检工作。</w:t>
      </w:r>
    </w:p>
    <w:p>
      <w:pPr>
        <w:ind w:firstLine="420"/>
        <w:jc w:val="both"/>
      </w:pPr>
      <w:r>
        <w:rPr>
          <w:sz w:val="21"/>
        </w:rPr>
        <w:t>2</w:t>
      </w:r>
      <w:r>
        <w:rPr>
          <w:sz w:val="21"/>
        </w:rPr>
        <w:t>、“四害”消杀期间每月25日前提交本项目下月工作计划表予各村、甲方，并在消杀期间对接甲方工作人员做好《“四害”消杀登记记录表》，每季度第一个月10日前随同请款申请等资料一并提交甲方。</w:t>
      </w:r>
    </w:p>
    <w:p>
      <w:pPr>
        <w:ind w:firstLine="420"/>
        <w:jc w:val="both"/>
      </w:pPr>
      <w:r>
        <w:rPr>
          <w:sz w:val="21"/>
        </w:rPr>
        <w:t>3</w:t>
      </w:r>
      <w:r>
        <w:rPr>
          <w:sz w:val="21"/>
        </w:rPr>
        <w:t>、消杀质量标准：</w:t>
      </w:r>
    </w:p>
    <w:p>
      <w:pPr>
        <w:ind w:firstLine="420"/>
        <w:jc w:val="both"/>
      </w:pPr>
      <w:r>
        <w:rPr>
          <w:sz w:val="21"/>
        </w:rPr>
        <w:t>按全国爱卫会颁布的《全国灭鼠、灭蚊、灭蝇、灭蟑螂标准》（附件一），考核评分表见《道滘镇“四害”消杀考核评分表》（附件二）。</w:t>
      </w:r>
    </w:p>
    <w:p>
      <w:pPr>
        <w:ind w:firstLine="420"/>
        <w:jc w:val="both"/>
      </w:pPr>
      <w:r>
        <w:rPr>
          <w:sz w:val="21"/>
        </w:rPr>
        <w:t>4</w:t>
      </w:r>
      <w:r>
        <w:rPr>
          <w:sz w:val="21"/>
        </w:rPr>
        <w:t>、资料要求：</w:t>
      </w:r>
    </w:p>
    <w:p>
      <w:pPr>
        <w:ind w:firstLine="420"/>
        <w:jc w:val="both"/>
      </w:pPr>
      <w:r>
        <w:rPr>
          <w:sz w:val="21"/>
        </w:rPr>
        <w:t>自合同生效期起始日起计一周内，提交合同期内的除四害计划书。要求每月10日前提交上月作业人员消杀工作轨迹数据、“四害”消杀登记记录表、《出入库登记表》、药物说明书、用药记录登记等作业记录佐证材料；若乙方逾期提供相关材料的，每逾期一日，应当向甲方支付当季度合同款</w:t>
      </w:r>
      <w:r>
        <w:rPr>
          <w:sz w:val="21"/>
          <w:u w:val="single"/>
        </w:rPr>
        <w:t>1</w:t>
      </w:r>
      <w:r>
        <w:rPr>
          <w:sz w:val="21"/>
        </w:rPr>
        <w:t>‰</w:t>
      </w:r>
      <w:r>
        <w:rPr>
          <w:sz w:val="21"/>
        </w:rPr>
        <w:t>的违约金，若逾期达</w:t>
      </w:r>
      <w:r>
        <w:rPr>
          <w:sz w:val="21"/>
          <w:u w:val="single"/>
        </w:rPr>
        <w:t>30</w:t>
      </w:r>
      <w:r>
        <w:rPr>
          <w:sz w:val="21"/>
        </w:rPr>
        <w:t>日仍未能提供相关材料的，甲方有权单方解除合同，并要求乙方支付合同总价</w:t>
      </w:r>
      <w:r>
        <w:rPr>
          <w:sz w:val="21"/>
          <w:u w:val="single"/>
        </w:rPr>
        <w:t>1</w:t>
      </w:r>
      <w:r>
        <w:rPr>
          <w:sz w:val="21"/>
        </w:rPr>
        <w:t>%的违约金和赔偿由此给甲方造成的损失。</w:t>
      </w:r>
    </w:p>
    <w:p>
      <w:pPr>
        <w:ind w:firstLine="420"/>
        <w:jc w:val="both"/>
      </w:pPr>
      <w:r>
        <w:rPr>
          <w:sz w:val="21"/>
        </w:rPr>
        <w:t>在承包期间内的每季度在东、南、西、北、中五个方位开展“四害”密度监测以及孳生地调查，每季度第一个月20日前提供密度检测报告、孳生地调查报告。</w:t>
      </w:r>
      <w:r>
        <w:rPr>
          <w:sz w:val="21"/>
        </w:rPr>
        <w:t>（如因甲方原因或不可抗力因素导致第一个月无法提供的，相应报告顺延提交）若乙方逾期提供相关报告的，每逾期一日，应当向甲方支付当季度合同款</w:t>
      </w:r>
      <w:r>
        <w:rPr>
          <w:sz w:val="21"/>
          <w:u w:val="single"/>
        </w:rPr>
        <w:t>1</w:t>
      </w:r>
      <w:r>
        <w:rPr>
          <w:sz w:val="21"/>
        </w:rPr>
        <w:t>%</w:t>
      </w:r>
      <w:r>
        <w:rPr>
          <w:sz w:val="21"/>
        </w:rPr>
        <w:t>的违约金，若逾期达</w:t>
      </w:r>
      <w:r>
        <w:rPr>
          <w:sz w:val="21"/>
          <w:u w:val="single"/>
        </w:rPr>
        <w:t>30</w:t>
      </w:r>
      <w:r>
        <w:rPr>
          <w:sz w:val="21"/>
        </w:rPr>
        <w:t>日仍未能提供相关报告的，甲方有权单方解除合同，并要求乙方支付合同总价</w:t>
      </w:r>
      <w:r>
        <w:rPr>
          <w:sz w:val="21"/>
          <w:u w:val="single"/>
        </w:rPr>
        <w:t>1</w:t>
      </w:r>
      <w:r>
        <w:rPr>
          <w:sz w:val="21"/>
        </w:rPr>
        <w:t>%的违约金和赔偿由此给甲方造成的损失。</w:t>
      </w:r>
    </w:p>
    <w:p>
      <w:pPr>
        <w:ind w:firstLine="422"/>
        <w:jc w:val="both"/>
      </w:pPr>
      <w:r>
        <w:rPr>
          <w:b/>
          <w:sz w:val="21"/>
        </w:rPr>
        <w:t>七、其他要求</w:t>
      </w:r>
    </w:p>
    <w:p>
      <w:pPr>
        <w:ind w:firstLine="420"/>
        <w:jc w:val="both"/>
      </w:pPr>
      <w:r>
        <w:rPr>
          <w:sz w:val="21"/>
        </w:rPr>
        <w:t>1</w:t>
      </w:r>
      <w:r>
        <w:rPr>
          <w:sz w:val="21"/>
        </w:rPr>
        <w:t>、乙方应根据本项目的要求制定详细的药物投入计划及安全保证措施，保证相关人员的安全。</w:t>
      </w:r>
    </w:p>
    <w:p>
      <w:pPr>
        <w:ind w:firstLine="420"/>
        <w:jc w:val="both"/>
      </w:pPr>
      <w:r>
        <w:rPr>
          <w:sz w:val="21"/>
        </w:rPr>
        <w:t>2</w:t>
      </w:r>
      <w:r>
        <w:rPr>
          <w:sz w:val="21"/>
        </w:rPr>
        <w:t>、在合同期内，乙方应定期组织人员的培训，包括但不限于其内容员工、服务范围内发村民、政府部门工作人员等。</w:t>
      </w:r>
    </w:p>
    <w:p>
      <w:pPr>
        <w:ind w:firstLine="420"/>
        <w:jc w:val="both"/>
      </w:pPr>
      <w:r>
        <w:rPr>
          <w:sz w:val="21"/>
        </w:rPr>
        <w:t>3</w:t>
      </w:r>
      <w:r>
        <w:rPr>
          <w:sz w:val="21"/>
        </w:rPr>
        <w:t>、乙方具有完善的员工录用和考核淘汰机制，确保投入本项目的人员技术水平满足项目需要。</w:t>
      </w:r>
    </w:p>
    <w:p>
      <w:pPr>
        <w:ind w:firstLine="420"/>
        <w:jc w:val="both"/>
      </w:pPr>
      <w:r>
        <w:rPr>
          <w:sz w:val="21"/>
        </w:rPr>
        <w:t>4</w:t>
      </w:r>
      <w:r>
        <w:rPr>
          <w:sz w:val="21"/>
        </w:rPr>
        <w:t>、</w:t>
      </w:r>
      <w:r>
        <w:rPr>
          <w:sz w:val="21"/>
        </w:rPr>
        <w:t>针对台风、暴雨等天气影响，重大节假日或活动，四害疫情等特殊情况制定对应的应急处理方案。</w:t>
      </w:r>
    </w:p>
    <w:p>
      <w:pPr>
        <w:ind w:firstLine="420"/>
        <w:jc w:val="both"/>
      </w:pPr>
      <w:r>
        <w:rPr>
          <w:sz w:val="21"/>
        </w:rPr>
        <w:t>5</w:t>
      </w:r>
      <w:r>
        <w:rPr>
          <w:sz w:val="21"/>
        </w:rPr>
        <w:t>、乙方具有规范的现场作业流程，为本项目制定质量目标，并提供可行的保证措施。</w:t>
      </w:r>
    </w:p>
    <w:p>
      <w:pPr>
        <w:jc w:val="both"/>
      </w:pPr>
      <w:r>
        <w:rPr>
          <w:b/>
          <w:sz w:val="21"/>
        </w:rPr>
        <w:t>第五条</w:t>
      </w:r>
      <w:r>
        <w:rPr>
          <w:b/>
          <w:sz w:val="21"/>
        </w:rPr>
        <w:t>承包方式及合同金额</w:t>
      </w:r>
    </w:p>
    <w:p>
      <w:pPr>
        <w:ind w:firstLine="420"/>
        <w:jc w:val="both"/>
      </w:pPr>
      <w:r>
        <w:rPr>
          <w:sz w:val="21"/>
        </w:rPr>
        <w:t>1</w:t>
      </w:r>
      <w:r>
        <w:rPr>
          <w:sz w:val="21"/>
        </w:rPr>
        <w:t>、乙方按合同价包工、包料、包机械设备、包质量、包安全。</w:t>
      </w:r>
    </w:p>
    <w:p>
      <w:pPr>
        <w:ind w:firstLine="420"/>
        <w:jc w:val="both"/>
      </w:pPr>
      <w:r>
        <w:rPr>
          <w:sz w:val="21"/>
        </w:rPr>
        <w:t>2</w:t>
      </w:r>
      <w:r>
        <w:rPr>
          <w:sz w:val="21"/>
        </w:rPr>
        <w:t>、按国家规定应由乙方缴纳的各种费用（工人工资、社保、保险、工作津贴、水电费、税收、车辆各类规费等一系列费用）已包含在中标价内，由乙方向有关部门交付。</w:t>
      </w:r>
    </w:p>
    <w:p>
      <w:pPr>
        <w:ind w:firstLine="399"/>
        <w:jc w:val="both"/>
      </w:pPr>
      <w:r>
        <w:rPr>
          <w:sz w:val="21"/>
        </w:rPr>
        <w:t>3</w:t>
      </w:r>
      <w:r>
        <w:rPr>
          <w:sz w:val="21"/>
        </w:rPr>
        <w:t>、本项目合同金额为人民币大写</w:t>
      </w:r>
      <w:r>
        <w:rPr>
          <w:sz w:val="21"/>
          <w:u w:val="single"/>
        </w:rPr>
        <w:t xml:space="preserve">      </w:t>
      </w:r>
      <w:r>
        <w:rPr>
          <w:sz w:val="21"/>
        </w:rPr>
        <w:t>（¥</w:t>
      </w:r>
      <w:r>
        <w:rPr>
          <w:sz w:val="21"/>
          <w:u w:val="single"/>
        </w:rPr>
        <w:t xml:space="preserve">      </w:t>
      </w:r>
      <w:r>
        <w:rPr>
          <w:sz w:val="21"/>
        </w:rPr>
        <w:t>）。</w:t>
      </w:r>
    </w:p>
    <w:p>
      <w:pPr>
        <w:jc w:val="both"/>
      </w:pPr>
      <w:r>
        <w:rPr>
          <w:b/>
          <w:sz w:val="21"/>
        </w:rPr>
        <w:t>第六条 服务期限</w:t>
      </w:r>
    </w:p>
    <w:p>
      <w:pPr>
        <w:ind w:firstLine="420"/>
        <w:jc w:val="both"/>
      </w:pPr>
      <w:r>
        <w:rPr>
          <w:sz w:val="21"/>
        </w:rPr>
        <w:t>1</w:t>
      </w:r>
      <w:r>
        <w:rPr>
          <w:sz w:val="21"/>
        </w:rPr>
        <w:t>、</w:t>
      </w:r>
      <w:r>
        <w:rPr>
          <w:sz w:val="21"/>
        </w:rPr>
        <w:t>2024</w:t>
      </w:r>
      <w:r>
        <w:rPr>
          <w:sz w:val="21"/>
        </w:rPr>
        <w:t>年4月1日至2027年3月31日，服务期限为36个月。</w:t>
      </w:r>
    </w:p>
    <w:p>
      <w:pPr>
        <w:jc w:val="both"/>
      </w:pPr>
      <w:r>
        <w:rPr>
          <w:b/>
          <w:sz w:val="21"/>
        </w:rPr>
        <w:t>第七条 付款方式</w:t>
      </w:r>
    </w:p>
    <w:p>
      <w:pPr>
        <w:ind w:firstLine="420"/>
        <w:jc w:val="both"/>
      </w:pPr>
      <w:r>
        <w:rPr>
          <w:sz w:val="21"/>
        </w:rPr>
        <w:t>1</w:t>
      </w:r>
      <w:r>
        <w:rPr>
          <w:sz w:val="21"/>
        </w:rPr>
        <w:t>期：支付比例100%，合同款每季度支付一次，次季度后的第一个月，财政分局根据东莞市道滘镇卫生健康局对上季度“四害”消杀验收后的实际作业情况及评分表，支付上季度的合同款。不足一个季度的，按实际作业月数计算。乙方请款时应按甲方要求提供合法的增值税发票，因乙方怠于提供发票的，甲方有权顺延支付，并不承担任何责任。</w:t>
      </w:r>
    </w:p>
    <w:p>
      <w:pPr>
        <w:jc w:val="both"/>
      </w:pPr>
      <w:r>
        <w:rPr>
          <w:b/>
          <w:sz w:val="21"/>
        </w:rPr>
        <w:t>第八条 验收方式</w:t>
      </w:r>
    </w:p>
    <w:p>
      <w:pPr>
        <w:ind w:firstLine="420"/>
        <w:jc w:val="both"/>
      </w:pPr>
      <w:r>
        <w:rPr>
          <w:sz w:val="21"/>
        </w:rPr>
        <w:t>1</w:t>
      </w:r>
      <w:r>
        <w:rPr>
          <w:sz w:val="21"/>
        </w:rPr>
        <w:t>、甲方会</w:t>
      </w:r>
      <w:r>
        <w:rPr>
          <w:sz w:val="21"/>
        </w:rPr>
        <w:t>同</w:t>
      </w:r>
      <w:r>
        <w:rPr>
          <w:sz w:val="21"/>
        </w:rPr>
        <w:t>疾控中心以及镇红线范围内所属村（南城村、永庆村、厚德村、北永村、闸口村、大岭丫村）每个月对乙方承包范围内的“四害”消杀质量进行检查，每个季度选取平均分作为乙方当季度的绩效评分，分好(100分-90分)、中(89分-80分)、差(80分以下)三个档次。</w:t>
      </w:r>
    </w:p>
    <w:p>
      <w:pPr>
        <w:ind w:firstLine="420"/>
        <w:jc w:val="both"/>
      </w:pPr>
      <w:r>
        <w:rPr>
          <w:sz w:val="21"/>
        </w:rPr>
        <w:t>2</w:t>
      </w:r>
      <w:r>
        <w:rPr>
          <w:sz w:val="21"/>
        </w:rPr>
        <w:t>、“四害”消杀检查打分属好的为达标；属中的，每季度扣10000元违约金；属差的，每季度扣20000元违约金：属差的累计三次经道滘镇人民政府同意，采购人可单方面终止合同；</w:t>
      </w:r>
    </w:p>
    <w:p>
      <w:pPr>
        <w:ind w:firstLine="420"/>
        <w:jc w:val="both"/>
      </w:pPr>
      <w:r>
        <w:rPr>
          <w:sz w:val="21"/>
        </w:rPr>
        <w:t>3</w:t>
      </w:r>
      <w:r>
        <w:rPr>
          <w:sz w:val="21"/>
        </w:rPr>
        <w:t>、检查扣分标准：按《道滘镇“四害”消杀考核评分表》执行。</w:t>
      </w:r>
    </w:p>
    <w:p>
      <w:pPr>
        <w:jc w:val="both"/>
      </w:pPr>
      <w:r>
        <w:rPr>
          <w:b/>
          <w:sz w:val="21"/>
        </w:rPr>
        <w:t>第九条 税和关税</w:t>
      </w:r>
    </w:p>
    <w:p>
      <w:pPr>
        <w:ind w:firstLine="420"/>
      </w:pPr>
      <w:r>
        <w:rPr>
          <w:sz w:val="21"/>
        </w:rPr>
        <w:t>1</w:t>
      </w:r>
      <w:r>
        <w:rPr>
          <w:sz w:val="21"/>
        </w:rPr>
        <w:t>、中国政府根据现行税法对甲方征收的与本合同有关的一切税费均应由甲方承担。</w:t>
      </w:r>
    </w:p>
    <w:p>
      <w:pPr>
        <w:ind w:firstLine="420"/>
      </w:pPr>
      <w:r>
        <w:rPr>
          <w:sz w:val="21"/>
        </w:rPr>
        <w:t>2</w:t>
      </w:r>
      <w:r>
        <w:rPr>
          <w:sz w:val="21"/>
        </w:rPr>
        <w:t>、中国政府根据现行税法规定对乙方或其雇员征收的与本合同有关的一切税费应由乙方承担。</w:t>
      </w:r>
    </w:p>
    <w:p>
      <w:pPr>
        <w:ind w:firstLine="420"/>
      </w:pPr>
      <w:r>
        <w:rPr>
          <w:sz w:val="21"/>
        </w:rPr>
        <w:t>3</w:t>
      </w:r>
      <w:r>
        <w:rPr>
          <w:sz w:val="21"/>
        </w:rPr>
        <w:t>、在中国境外发生的与本合同执行有关的一切税费均应由乙方承担。</w:t>
      </w:r>
    </w:p>
    <w:p>
      <w:pPr>
        <w:jc w:val="both"/>
      </w:pPr>
      <w:r>
        <w:rPr>
          <w:b/>
          <w:sz w:val="21"/>
        </w:rPr>
        <w:t>第十条 其它约定</w:t>
      </w:r>
    </w:p>
    <w:p>
      <w:pPr>
        <w:ind w:firstLine="420"/>
        <w:jc w:val="both"/>
      </w:pPr>
      <w:r>
        <w:rPr>
          <w:sz w:val="21"/>
        </w:rPr>
        <w:t>1</w:t>
      </w:r>
      <w:r>
        <w:rPr>
          <w:sz w:val="21"/>
        </w:rPr>
        <w:t>、严禁转包，未经甲方书面同意不得分包或转包。</w:t>
      </w:r>
    </w:p>
    <w:p>
      <w:pPr>
        <w:ind w:firstLine="420"/>
        <w:jc w:val="both"/>
      </w:pPr>
      <w:r>
        <w:rPr>
          <w:sz w:val="21"/>
        </w:rPr>
        <w:t>2</w:t>
      </w:r>
      <w:r>
        <w:rPr>
          <w:sz w:val="21"/>
        </w:rPr>
        <w:t>、乙方全部工作人员，须符合东莞市政府用工标准要求。</w:t>
      </w:r>
    </w:p>
    <w:p>
      <w:pPr>
        <w:ind w:firstLine="420"/>
        <w:jc w:val="both"/>
      </w:pPr>
      <w:r>
        <w:rPr>
          <w:sz w:val="21"/>
        </w:rPr>
        <w:t>3</w:t>
      </w:r>
      <w:r>
        <w:rPr>
          <w:sz w:val="21"/>
        </w:rPr>
        <w:t>、乙方服务人员进行服务期间的过失或故意行为，造成甲方经济损失的，由乙方负责赔偿。</w:t>
      </w:r>
    </w:p>
    <w:p>
      <w:pPr>
        <w:ind w:firstLine="420"/>
        <w:jc w:val="both"/>
      </w:pPr>
      <w:r>
        <w:rPr>
          <w:sz w:val="21"/>
        </w:rPr>
        <w:t>4</w:t>
      </w:r>
      <w:r>
        <w:rPr>
          <w:sz w:val="21"/>
        </w:rPr>
        <w:t>、服务人员的劳动关系隶属乙方，乙方负责服务人员的工资、节假日和超时加班补助费、社会保险、住宿、伙食等。甲方与乙方是承包关系，不存在劳务派遣用工关系。</w:t>
      </w:r>
    </w:p>
    <w:p>
      <w:pPr>
        <w:ind w:firstLine="420"/>
        <w:jc w:val="both"/>
      </w:pPr>
      <w:r>
        <w:rPr>
          <w:sz w:val="21"/>
        </w:rPr>
        <w:t>5</w:t>
      </w:r>
      <w:r>
        <w:rPr>
          <w:sz w:val="21"/>
        </w:rPr>
        <w:t>、乙方负责本项目服务人员购买因意外身故或伤残和因意外事故住院治疗保险，并负责办理一切保险赔偿手续。因服务人员所发生的工伤事故或职业病所带来的任何责任由乙方承担，包括但不限于工伤保险责任、人身损害赔偿等。</w:t>
      </w:r>
    </w:p>
    <w:p>
      <w:pPr>
        <w:jc w:val="both"/>
      </w:pPr>
      <w:r>
        <w:rPr>
          <w:b/>
          <w:sz w:val="21"/>
        </w:rPr>
        <w:t>第十一条 违约责任</w:t>
      </w:r>
    </w:p>
    <w:p>
      <w:pPr>
        <w:ind w:firstLine="420"/>
        <w:jc w:val="both"/>
      </w:pPr>
      <w:r>
        <w:rPr>
          <w:sz w:val="21"/>
        </w:rPr>
        <w:t>1</w:t>
      </w:r>
      <w:r>
        <w:rPr>
          <w:sz w:val="21"/>
        </w:rPr>
        <w:t>、合同双方任何一方不履行合同条款或不按合同约定履行条款的其它情况，均属违约，由违约方承担违约责任，赔偿因其违约造成的损失，并支付合同价款总额</w:t>
      </w:r>
      <w:r>
        <w:rPr>
          <w:sz w:val="21"/>
          <w:u w:val="single"/>
        </w:rPr>
        <w:t>5</w:t>
      </w:r>
      <w:r>
        <w:rPr>
          <w:sz w:val="21"/>
        </w:rPr>
        <w:t>%的违约金。</w:t>
      </w:r>
    </w:p>
    <w:p>
      <w:pPr>
        <w:ind w:firstLine="420"/>
        <w:jc w:val="both"/>
      </w:pPr>
      <w:r>
        <w:rPr>
          <w:sz w:val="21"/>
        </w:rPr>
        <w:t>2</w:t>
      </w:r>
      <w:r>
        <w:rPr>
          <w:sz w:val="21"/>
        </w:rPr>
        <w:t>、由于乙方的原因，导致双方签订的合同终止，乙方因此而遭受的损失，将由乙方独立承担，甲方对此不负任何责任，也不作任何赔偿。</w:t>
      </w:r>
    </w:p>
    <w:p>
      <w:pPr>
        <w:ind w:firstLine="420"/>
        <w:jc w:val="both"/>
      </w:pPr>
      <w:r>
        <w:rPr>
          <w:sz w:val="21"/>
        </w:rPr>
        <w:t>3</w:t>
      </w:r>
      <w:r>
        <w:rPr>
          <w:sz w:val="21"/>
        </w:rPr>
        <w:t>、违约方应承担守约方因维权而支付的一切费用，包括但不限于诉讼费、保全费、鉴定费、公证费、律师费、差旅费等。</w:t>
      </w:r>
    </w:p>
    <w:p>
      <w:pPr>
        <w:jc w:val="both"/>
      </w:pPr>
      <w:r>
        <w:rPr>
          <w:b/>
          <w:sz w:val="21"/>
        </w:rPr>
        <w:t>第十二条 争议的解决</w:t>
      </w:r>
    </w:p>
    <w:p>
      <w:pPr>
        <w:ind w:firstLine="420"/>
        <w:jc w:val="both"/>
      </w:pPr>
      <w:r>
        <w:rPr>
          <w:sz w:val="21"/>
        </w:rPr>
        <w:t>1</w:t>
      </w:r>
      <w:r>
        <w:rPr>
          <w:sz w:val="21"/>
        </w:rPr>
        <w:t>、凡与本合同有关而引起的一切争议，甲乙双方应首先通过友好协商解决，如经协商后仍不能达成协议时，任何一方可以向甲方所在地有管辖权的人民法院提出诉讼。</w:t>
      </w:r>
    </w:p>
    <w:p>
      <w:pPr>
        <w:ind w:firstLine="420"/>
        <w:jc w:val="both"/>
      </w:pPr>
      <w:r>
        <w:rPr>
          <w:sz w:val="21"/>
        </w:rPr>
        <w:t>2</w:t>
      </w:r>
      <w:r>
        <w:rPr>
          <w:sz w:val="21"/>
        </w:rPr>
        <w:t>、在进行法院审理期间，除提交法院审理的事项外，合同其他部分仍继续履行。</w:t>
      </w:r>
    </w:p>
    <w:p>
      <w:pPr>
        <w:ind w:firstLine="420"/>
        <w:jc w:val="both"/>
      </w:pPr>
      <w:r>
        <w:rPr>
          <w:sz w:val="21"/>
        </w:rPr>
        <w:t>3</w:t>
      </w:r>
      <w:r>
        <w:rPr>
          <w:sz w:val="21"/>
        </w:rPr>
        <w:t>、本合同按照中华人民共和国的法律进行解释</w:t>
      </w:r>
      <w:r>
        <w:rPr>
          <w:sz w:val="21"/>
        </w:rPr>
        <w:t>。</w:t>
      </w:r>
    </w:p>
    <w:p>
      <w:pPr>
        <w:jc w:val="both"/>
      </w:pPr>
      <w:r>
        <w:rPr>
          <w:b/>
          <w:sz w:val="21"/>
        </w:rPr>
        <w:t>第十三条 合同生效</w:t>
      </w:r>
    </w:p>
    <w:p>
      <w:pPr>
        <w:ind w:firstLine="420"/>
        <w:jc w:val="both"/>
      </w:pPr>
      <w:r>
        <w:rPr>
          <w:sz w:val="21"/>
        </w:rPr>
        <w:t>1</w:t>
      </w:r>
      <w:r>
        <w:rPr>
          <w:sz w:val="21"/>
        </w:rPr>
        <w:t>、本合同由双方法定代表人或委托代理人签字盖章后立即生效，具有同等法律效力，合同有效期随服务期结束而自然终止。</w:t>
      </w:r>
    </w:p>
    <w:p>
      <w:pPr>
        <w:ind w:firstLine="420"/>
        <w:jc w:val="both"/>
      </w:pPr>
      <w:r>
        <w:rPr>
          <w:sz w:val="21"/>
        </w:rPr>
        <w:t>2</w:t>
      </w:r>
      <w:r>
        <w:rPr>
          <w:sz w:val="21"/>
        </w:rPr>
        <w:t>、本合同一式  份，其中甲方叁份、乙方  份，采购代理机构</w:t>
      </w:r>
      <w:r>
        <w:rPr>
          <w:sz w:val="21"/>
        </w:rPr>
        <w:t>壹</w:t>
      </w:r>
      <w:r>
        <w:rPr>
          <w:sz w:val="21"/>
        </w:rPr>
        <w:t>份（须在合同签订之日起7个工作日内递交）。</w:t>
      </w:r>
    </w:p>
    <w:p>
      <w:pPr>
        <w:jc w:val="both"/>
      </w:pPr>
      <w:r>
        <w:rPr>
          <w:b/>
          <w:sz w:val="21"/>
        </w:rPr>
        <w:t>第十四条 其它</w:t>
      </w:r>
    </w:p>
    <w:p>
      <w:pPr>
        <w:ind w:firstLine="399"/>
        <w:jc w:val="both"/>
      </w:pPr>
      <w:r>
        <w:rPr>
          <w:sz w:val="21"/>
        </w:rPr>
        <w:t>1</w:t>
      </w:r>
      <w:r>
        <w:rPr>
          <w:sz w:val="21"/>
        </w:rPr>
        <w:t>、本合同未尽事宜，双方可签订补充合同，补充合同与所有附件均为合同的有效组成部分，与本合同具有同等法律效力。</w:t>
      </w:r>
    </w:p>
    <w:p>
      <w:pPr>
        <w:ind w:firstLine="399"/>
        <w:jc w:val="both"/>
      </w:pPr>
      <w:r>
        <w:rPr>
          <w:sz w:val="21"/>
        </w:rPr>
        <w:t>2</w:t>
      </w:r>
      <w:r>
        <w:rPr>
          <w:sz w:val="21"/>
        </w:rPr>
        <w:t>、在执行本合同的过程中，所有经甲乙双方签署确认的文件（包括会议纪要、补充协议、往来信函、合同附件等）即成为本合同的有效组成部分，其生效日期为双方签字盖章或确认之日期。</w:t>
      </w:r>
    </w:p>
    <w:p>
      <w:pPr>
        <w:ind w:firstLine="420"/>
        <w:jc w:val="both"/>
      </w:pPr>
      <w:r>
        <w:rPr>
          <w:sz w:val="21"/>
        </w:rPr>
        <w:t>本合同合计  页A4纸张，缺页之合同为无效合同。</w:t>
      </w:r>
    </w:p>
    <w:p>
      <w:pPr>
        <w:jc w:val="both"/>
      </w:pPr>
    </w:p>
    <w:p>
      <w:pPr>
        <w:jc w:val="both"/>
      </w:pPr>
    </w:p>
    <w:p>
      <w:pPr>
        <w:jc w:val="both"/>
      </w:pPr>
    </w:p>
    <w:p>
      <w:pPr>
        <w:jc w:val="both"/>
      </w:pPr>
      <w:r>
        <w:rPr>
          <w:sz w:val="21"/>
        </w:rPr>
        <w:t>甲方（盖章）：                      乙方（盖章）：</w:t>
      </w:r>
    </w:p>
    <w:p>
      <w:pPr>
        <w:jc w:val="both"/>
      </w:pPr>
      <w:r>
        <w:rPr>
          <w:sz w:val="21"/>
        </w:rPr>
        <w:t>法定代表(签字)：                   法定代表(签字)：</w:t>
      </w:r>
    </w:p>
    <w:p>
      <w:pPr>
        <w:jc w:val="both"/>
      </w:pPr>
      <w:r>
        <w:rPr>
          <w:sz w:val="21"/>
        </w:rPr>
        <w:t>地址：                             地址：</w:t>
      </w:r>
    </w:p>
    <w:p>
      <w:pPr>
        <w:jc w:val="both"/>
      </w:pPr>
      <w:r>
        <w:rPr>
          <w:sz w:val="21"/>
        </w:rPr>
        <w:t>电话：                             电话：</w:t>
      </w:r>
    </w:p>
    <w:p>
      <w:pPr>
        <w:jc w:val="both"/>
      </w:pPr>
      <w:r>
        <w:rPr>
          <w:sz w:val="21"/>
        </w:rPr>
        <w:t>传真：                             传真：</w:t>
      </w:r>
    </w:p>
    <w:p>
      <w:pPr>
        <w:jc w:val="both"/>
      </w:pPr>
      <w:r>
        <w:rPr>
          <w:sz w:val="21"/>
        </w:rPr>
        <w:t>开户银行：                         开户银行：</w:t>
      </w:r>
    </w:p>
    <w:p>
      <w:pPr>
        <w:jc w:val="both"/>
      </w:pPr>
      <w:r>
        <w:rPr>
          <w:sz w:val="21"/>
        </w:rPr>
        <w:t>账号：                             账号：</w:t>
      </w:r>
    </w:p>
    <w:p>
      <w:pPr>
        <w:jc w:val="both"/>
      </w:pPr>
    </w:p>
    <w:p>
      <w:pPr>
        <w:jc w:val="both"/>
      </w:pPr>
    </w:p>
    <w:p>
      <w:pPr>
        <w:jc w:val="both"/>
      </w:pPr>
    </w:p>
    <w:p/>
    <w:p/>
    <w:p>
      <w:pPr>
        <w:jc w:val="left"/>
      </w:pPr>
    </w:p>
    <w:p>
      <w:pPr>
        <w:jc w:val="both"/>
      </w:pPr>
      <w:r>
        <w:rPr>
          <w:b/>
          <w:sz w:val="21"/>
        </w:rPr>
        <w:t>附件一：《全国灭鼠、灭蚊、灭蝇、灭蟑螂标准》</w:t>
      </w:r>
    </w:p>
    <w:p>
      <w:pPr>
        <w:ind w:firstLine="420"/>
        <w:jc w:val="center"/>
      </w:pPr>
      <w:r>
        <w:rPr>
          <w:sz w:val="21"/>
        </w:rPr>
        <w:t>《全国灭鼠、灭蚊、灭蝇、灭蟑螂标准》</w:t>
      </w:r>
    </w:p>
    <w:p>
      <w:pPr>
        <w:ind w:firstLine="442"/>
        <w:jc w:val="left"/>
      </w:pPr>
      <w:r>
        <w:rPr>
          <w:sz w:val="21"/>
        </w:rPr>
        <w:t>一、除“四害”质量标准</w:t>
      </w:r>
    </w:p>
    <w:p>
      <w:pPr>
        <w:ind w:firstLine="440"/>
        <w:jc w:val="left"/>
      </w:pPr>
      <w:r>
        <w:rPr>
          <w:sz w:val="21"/>
        </w:rPr>
        <w:t>1</w:t>
      </w:r>
      <w:r>
        <w:rPr>
          <w:sz w:val="21"/>
        </w:rPr>
        <w:t>、灭蚊标准：居民区、单位室内外环境各种存水容器和积水中的幼蚊及蛹，阳性率低于3%；用500毫升收集勺采集城区内大中型水体中的蚊幼虫或蛹，阳性率低于1%，阳性勺内幼虫或蛹的平均数不超过3只；在特殊场所（15平方米以下的居民住宅房内、公共场所等）白天人诱蚊30分钟，平均诱获成蚊不超过1只/人次；晚上人诱蚊60分钟，平均诱获成蚊不超过2只/人次。蚊类根据国家标准GB/T27771-2011《病媒生物密度监测方法蚊虫》标准执行。</w:t>
      </w:r>
    </w:p>
    <w:p>
      <w:pPr>
        <w:ind w:firstLine="440"/>
        <w:jc w:val="left"/>
      </w:pPr>
      <w:r>
        <w:rPr>
          <w:sz w:val="21"/>
        </w:rPr>
        <w:t>2</w:t>
      </w:r>
      <w:r>
        <w:rPr>
          <w:sz w:val="21"/>
        </w:rPr>
        <w:t>、灭蝇标准：重点单位（如饮食、食品加工、销售业）有蝇房间不超过1%；加工、销售、存放直接入口食品的场所，不得有蝇；一般单位（如机关、学校、工厂）有蝇房间不超过3%，平均每阳性房间不超过3只；防蝇设施（查门窗等部位），合格率达95%以上；蝇粪孳生地（外环境、垃圾容器、垃圾存放地等），得到有效治理，幼虫和蛹的检出率不超过3%。蝇类根据国家标准GB/T27772-2011《病媒生物密度监测方法蝇类》标准执行。</w:t>
      </w:r>
    </w:p>
    <w:p>
      <w:pPr>
        <w:ind w:firstLine="440"/>
        <w:jc w:val="left"/>
      </w:pPr>
      <w:r>
        <w:rPr>
          <w:sz w:val="21"/>
        </w:rPr>
        <w:t>3</w:t>
      </w:r>
      <w:r>
        <w:rPr>
          <w:sz w:val="21"/>
        </w:rPr>
        <w:t>、灭鼠标准：粉迹法（每15平方米房间布放20×20厘米粉板两块）检测鼠足印阳性率低于2%；鼠迹（鼠洞、鼠粪、鼠路、鼠咬痕），有鼠迹房间不超过2%；2000米外环境鼠迹不超过5处；重点单位防鼠设施（仓库、厨房等的门窗、出水口等部位有防鼠设施），合格率95%。现场检查，无可见鼠迹。鼠类根据国家标准GB/T27770-2011《病媒生物密度监测方法鼠类》标准执行。</w:t>
      </w:r>
    </w:p>
    <w:p>
      <w:pPr>
        <w:ind w:firstLine="440"/>
        <w:jc w:val="left"/>
      </w:pPr>
      <w:r>
        <w:rPr>
          <w:sz w:val="21"/>
        </w:rPr>
        <w:t>4</w:t>
      </w:r>
      <w:r>
        <w:rPr>
          <w:sz w:val="21"/>
        </w:rPr>
        <w:t>、灭蟑螂标准：查室内蟑螂成虫或幼虫，阳性房间不超过3%；有活蟑螂卵鞘房间，阳性房间不超过5%；蟑螂孳生栖息场所的清理，查墙的孔洞、缝隙蟑迹：粪便、蜕皮、蟑尸、空卵鞘等，阳性房间不超过5%。蜚蠊根据国家标准GB/T27773-2011《病媒生物密度监测方法蜚蠊》标准执行。</w:t>
      </w:r>
    </w:p>
    <w:p>
      <w:pPr>
        <w:ind w:firstLine="440"/>
        <w:jc w:val="left"/>
      </w:pPr>
      <w:r>
        <w:rPr>
          <w:sz w:val="21"/>
        </w:rPr>
        <w:t>备注：若上述国家标准发生更新的，以最新标准为准。</w:t>
      </w:r>
    </w:p>
    <w:p>
      <w:pPr>
        <w:ind w:firstLine="440"/>
        <w:jc w:val="left"/>
      </w:pPr>
    </w:p>
    <w:p/>
    <w:p/>
    <w:p>
      <w:pPr>
        <w:jc w:val="left"/>
      </w:pPr>
    </w:p>
    <w:p>
      <w:pPr>
        <w:jc w:val="both"/>
      </w:pPr>
      <w:r>
        <w:rPr>
          <w:b/>
          <w:sz w:val="21"/>
        </w:rPr>
        <w:t>附件二：道滘镇“四害”消杀考核评分表</w:t>
      </w:r>
    </w:p>
    <w:tbl>
      <w:tblPr>
        <w:tblW w:w="0" w:type="auto"/>
        <w:tblBorders>
          <w:top w:val="single"/>
          <w:left w:val="single"/>
          <w:bottom w:val="single"/>
          <w:right w:val="single"/>
          <w:insideH w:val="single"/>
          <w:insideV w:val="single"/>
        </w:tblBorders>
      </w:tblPr>
      <w:tblGrid>
        <w:gridCol w:w="735"/>
        <w:gridCol w:w="3060"/>
        <w:gridCol w:w="2970"/>
        <w:gridCol w:w="705"/>
        <w:gridCol w:w="705"/>
      </w:tblGrid>
      <w:tr>
        <w:tc>
          <w:tcPr>
            <w:tcW w:type="dxa" w:w="735"/>
            <w:tcBorders>
              <w:top w:val="single" w:color="000000" w:sz="4"/>
              <w:left w:val="single" w:color="000000" w:sz="4"/>
              <w:bottom w:val="none" w:color="000000" w:sz="4"/>
              <w:right w:val="single" w:color="000000" w:sz="4"/>
            </w:tcBorders>
          </w:tcPr>
          <w:p>
            <w:pPr>
              <w:jc w:val="center"/>
            </w:pPr>
            <w:r>
              <w:rPr>
                <w:sz w:val="21"/>
              </w:rPr>
              <w:t>评分单位</w:t>
            </w:r>
          </w:p>
        </w:tc>
        <w:tc>
          <w:tcPr>
            <w:tcW w:type="dxa" w:w="3060"/>
            <w:tcBorders>
              <w:top w:val="single" w:color="000000" w:sz="4"/>
              <w:left w:val="none" w:color="000000" w:sz="4"/>
              <w:bottom w:val="none" w:color="000000" w:sz="4"/>
              <w:right w:val="none" w:color="000000" w:sz="4"/>
            </w:tcBorders>
          </w:tcPr>
          <w:p>
            <w:pPr>
              <w:jc w:val="center"/>
            </w:pPr>
            <w:r>
              <w:rPr>
                <w:sz w:val="21"/>
              </w:rPr>
              <w:t>考核检查方法及评价依据</w:t>
            </w:r>
          </w:p>
        </w:tc>
        <w:tc>
          <w:tcPr>
            <w:tcW w:type="dxa" w:w="2970"/>
            <w:tcBorders>
              <w:top w:val="single" w:color="000000" w:sz="4"/>
              <w:left w:val="single" w:color="000000" w:sz="4"/>
              <w:bottom w:val="none" w:color="000000" w:sz="4"/>
              <w:right w:val="single" w:color="000000" w:sz="4"/>
            </w:tcBorders>
          </w:tcPr>
          <w:p>
            <w:pPr>
              <w:jc w:val="center"/>
            </w:pPr>
            <w:r>
              <w:rPr>
                <w:sz w:val="21"/>
              </w:rPr>
              <w:t>扣分方法</w:t>
            </w:r>
          </w:p>
        </w:tc>
        <w:tc>
          <w:tcPr>
            <w:tcW w:type="dxa" w:w="705"/>
            <w:tcBorders>
              <w:top w:val="single" w:color="000000" w:sz="4"/>
              <w:left w:val="none" w:color="000000" w:sz="4"/>
              <w:bottom w:val="none" w:color="000000" w:sz="4"/>
              <w:right w:val="single" w:color="000000" w:sz="4"/>
            </w:tcBorders>
          </w:tcPr>
          <w:p>
            <w:pPr>
              <w:jc w:val="center"/>
            </w:pPr>
            <w:r>
              <w:rPr>
                <w:sz w:val="21"/>
              </w:rPr>
              <w:t>应得分</w:t>
            </w:r>
          </w:p>
        </w:tc>
        <w:tc>
          <w:tcPr>
            <w:tcW w:type="dxa" w:w="705"/>
            <w:tcBorders>
              <w:top w:val="single" w:color="000000" w:sz="4"/>
              <w:left w:val="none" w:color="000000" w:sz="4"/>
              <w:bottom w:val="none" w:color="000000" w:sz="4"/>
              <w:right w:val="single" w:color="000000" w:sz="4"/>
            </w:tcBorders>
          </w:tcPr>
          <w:p>
            <w:pPr>
              <w:jc w:val="center"/>
            </w:pPr>
            <w:r>
              <w:rPr>
                <w:sz w:val="21"/>
              </w:rPr>
              <w:t>实得分</w:t>
            </w:r>
          </w:p>
        </w:tc>
      </w:tr>
      <w:tr>
        <w:tc>
          <w:tcPr>
            <w:tcW w:type="dxa" w:w="735"/>
            <w:vMerge w:val="restart"/>
            <w:tcBorders>
              <w:top w:val="single" w:color="000000" w:sz="4"/>
              <w:left w:val="single" w:color="000000" w:sz="4"/>
              <w:bottom w:val="single" w:color="000000" w:sz="4"/>
              <w:right w:val="single" w:color="000000" w:sz="4"/>
            </w:tcBorders>
          </w:tcPr>
          <w:p>
            <w:pPr>
              <w:jc w:val="center"/>
            </w:pPr>
            <w:r>
              <w:rPr>
                <w:sz w:val="21"/>
              </w:rPr>
              <w:t>卫健局</w:t>
            </w:r>
            <w:r>
              <w:rPr>
                <w:sz w:val="21"/>
              </w:rPr>
              <w:t>（</w:t>
            </w:r>
            <w:r>
              <w:rPr>
                <w:sz w:val="21"/>
              </w:rPr>
              <w:t>20</w:t>
            </w:r>
            <w:r>
              <w:rPr>
                <w:sz w:val="21"/>
              </w:rPr>
              <w:t>分）</w:t>
            </w:r>
          </w:p>
          <w:p>
            <w:pPr>
              <w:jc w:val="center"/>
            </w:pPr>
          </w:p>
        </w:tc>
        <w:tc>
          <w:tcPr>
            <w:tcW w:type="dxa" w:w="3060"/>
            <w:tcBorders>
              <w:top w:val="single" w:color="000000" w:sz="4"/>
              <w:left w:val="none" w:color="000000" w:sz="4"/>
              <w:bottom w:val="single" w:color="000000" w:sz="4"/>
              <w:right w:val="single" w:color="000000" w:sz="4"/>
            </w:tcBorders>
          </w:tcPr>
          <w:p>
            <w:pPr>
              <w:jc w:val="left"/>
            </w:pPr>
            <w:r>
              <w:rPr>
                <w:sz w:val="21"/>
              </w:rPr>
              <w:t>除四害设备符合项目工程量要求。</w:t>
            </w:r>
          </w:p>
        </w:tc>
        <w:tc>
          <w:tcPr>
            <w:tcW w:type="dxa" w:w="2970"/>
            <w:tcBorders>
              <w:top w:val="single" w:color="000000" w:sz="4"/>
              <w:left w:val="none" w:color="000000" w:sz="4"/>
              <w:bottom w:val="single" w:color="000000" w:sz="4"/>
              <w:right w:val="single" w:color="000000" w:sz="4"/>
            </w:tcBorders>
          </w:tcPr>
          <w:p>
            <w:pPr>
              <w:jc w:val="left"/>
            </w:pPr>
            <w:r>
              <w:rPr>
                <w:sz w:val="21"/>
              </w:rPr>
              <w:t>器械数量不足够，器械无维护记录，扣</w:t>
            </w:r>
            <w:r>
              <w:rPr>
                <w:sz w:val="21"/>
              </w:rPr>
              <w:t>2</w:t>
            </w:r>
            <w:r>
              <w:rPr>
                <w:sz w:val="21"/>
              </w:rPr>
              <w:t>分</w:t>
            </w:r>
          </w:p>
        </w:tc>
        <w:tc>
          <w:tcPr>
            <w:tcW w:type="dxa" w:w="705"/>
            <w:tcBorders>
              <w:top w:val="single" w:color="000000" w:sz="4"/>
              <w:left w:val="none" w:color="000000" w:sz="4"/>
              <w:bottom w:val="single" w:color="000000" w:sz="4"/>
              <w:right w:val="single" w:color="000000" w:sz="4"/>
            </w:tcBorders>
          </w:tcPr>
          <w:p>
            <w:pPr>
              <w:jc w:val="center"/>
            </w:pPr>
            <w:r>
              <w:rPr>
                <w:sz w:val="21"/>
              </w:rPr>
              <w:t>5</w:t>
            </w:r>
          </w:p>
        </w:tc>
        <w:tc>
          <w:tcPr>
            <w:tcW w:type="dxa" w:w="705"/>
            <w:tcBorders>
              <w:top w:val="single" w:color="000000" w:sz="4"/>
              <w:left w:val="none" w:color="000000" w:sz="4"/>
              <w:bottom w:val="single" w:color="000000" w:sz="4"/>
              <w:right w:val="single" w:color="000000" w:sz="4"/>
            </w:tcBorders>
          </w:tcPr>
          <w:p>
            <w:pPr>
              <w:jc w:val="left"/>
            </w:pPr>
          </w:p>
        </w:tc>
      </w:tr>
      <w:tr>
        <w:tc>
          <w:tcPr>
            <w:tcW w:type="dxa" w:w="735"/>
            <w:vMerge/>
            <w:tcBorders>
              <w:top w:val="singl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“四害”消杀工作要确保使用的药物有质量合格证明，作业方式正确，不使用国家禁止使用的药物。</w:t>
            </w:r>
          </w:p>
        </w:tc>
        <w:tc>
          <w:tcPr>
            <w:tcW w:type="dxa" w:w="2970"/>
            <w:tcBorders>
              <w:top w:val="none" w:color="000000" w:sz="4"/>
              <w:left w:val="none" w:color="000000" w:sz="4"/>
              <w:bottom w:val="single" w:color="000000" w:sz="4"/>
              <w:right w:val="single" w:color="000000" w:sz="4"/>
            </w:tcBorders>
          </w:tcPr>
          <w:p>
            <w:pPr>
              <w:jc w:val="left"/>
            </w:pPr>
            <w:r>
              <w:rPr>
                <w:sz w:val="21"/>
              </w:rPr>
              <w:t>达不到要求的，每次扣</w:t>
            </w:r>
            <w:r>
              <w:rPr>
                <w:sz w:val="21"/>
              </w:rPr>
              <w:t>5</w:t>
            </w:r>
            <w:r>
              <w:rPr>
                <w:sz w:val="21"/>
              </w:rPr>
              <w:t>分</w:t>
            </w:r>
          </w:p>
        </w:tc>
        <w:tc>
          <w:tcPr>
            <w:tcW w:type="dxa" w:w="705"/>
            <w:tcBorders>
              <w:top w:val="none" w:color="000000" w:sz="4"/>
              <w:left w:val="none" w:color="000000" w:sz="4"/>
              <w:bottom w:val="single" w:color="000000" w:sz="4"/>
              <w:right w:val="single" w:color="000000" w:sz="4"/>
            </w:tcBorders>
          </w:tcPr>
          <w:p>
            <w:pPr>
              <w:jc w:val="center"/>
            </w:pPr>
            <w:r>
              <w:rPr>
                <w:sz w:val="21"/>
              </w:rPr>
              <w:t>5</w:t>
            </w:r>
          </w:p>
        </w:tc>
        <w:tc>
          <w:tcPr>
            <w:tcW w:type="dxa" w:w="705"/>
            <w:tcBorders>
              <w:top w:val="none" w:color="000000" w:sz="4"/>
              <w:left w:val="none" w:color="000000" w:sz="4"/>
              <w:bottom w:val="single" w:color="000000" w:sz="4"/>
              <w:right w:val="single" w:color="000000" w:sz="4"/>
            </w:tcBorders>
          </w:tcPr>
          <w:p>
            <w:pPr>
              <w:jc w:val="center"/>
            </w:pPr>
          </w:p>
        </w:tc>
      </w:tr>
      <w:tr>
        <w:tc>
          <w:tcPr>
            <w:tcW w:type="dxa" w:w="735"/>
            <w:vMerge/>
            <w:tcBorders>
              <w:top w:val="singl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每月10日前提交上月作业人员消杀工作轨迹数据、</w:t>
            </w:r>
            <w:r>
              <w:rPr>
                <w:sz w:val="21"/>
              </w:rPr>
              <w:t>“四害”消杀登记记录表、《出入库登记表》、药物说明书、</w:t>
            </w:r>
            <w:r>
              <w:rPr>
                <w:sz w:val="21"/>
              </w:rPr>
              <w:t>用药记录登记等作业记录佐证材料。</w:t>
            </w:r>
          </w:p>
        </w:tc>
        <w:tc>
          <w:tcPr>
            <w:tcW w:type="dxa" w:w="2970"/>
            <w:tcBorders>
              <w:top w:val="none" w:color="000000" w:sz="4"/>
              <w:left w:val="none" w:color="000000" w:sz="4"/>
              <w:bottom w:val="single" w:color="000000" w:sz="4"/>
              <w:right w:val="single" w:color="000000" w:sz="4"/>
            </w:tcBorders>
          </w:tcPr>
          <w:p>
            <w:pPr>
              <w:jc w:val="left"/>
            </w:pPr>
            <w:r>
              <w:rPr>
                <w:sz w:val="21"/>
              </w:rPr>
              <w:t>未按时提交上月作业人员消杀工作轨迹数据、</w:t>
            </w:r>
            <w:r>
              <w:rPr>
                <w:sz w:val="21"/>
              </w:rPr>
              <w:t>“四害”消杀登记记录表、《出入库登记表》、药物说明书、</w:t>
            </w:r>
            <w:r>
              <w:rPr>
                <w:sz w:val="21"/>
              </w:rPr>
              <w:t>用药记录登记等作业记录佐证材料，每少一项扣5分</w:t>
            </w:r>
          </w:p>
        </w:tc>
        <w:tc>
          <w:tcPr>
            <w:tcW w:type="dxa" w:w="705"/>
            <w:tcBorders>
              <w:top w:val="none" w:color="000000" w:sz="4"/>
              <w:left w:val="none" w:color="000000" w:sz="4"/>
              <w:bottom w:val="single" w:color="000000" w:sz="4"/>
              <w:right w:val="single" w:color="000000" w:sz="4"/>
            </w:tcBorders>
          </w:tcPr>
          <w:p>
            <w:pPr>
              <w:jc w:val="center"/>
            </w:pPr>
            <w:r>
              <w:rPr>
                <w:sz w:val="21"/>
              </w:rPr>
              <w:t>5</w:t>
            </w:r>
          </w:p>
        </w:tc>
        <w:tc>
          <w:tcPr>
            <w:tcW w:type="dxa" w:w="705"/>
            <w:tcBorders>
              <w:top w:val="none" w:color="000000" w:sz="4"/>
              <w:left w:val="none" w:color="000000" w:sz="4"/>
              <w:bottom w:val="single" w:color="000000" w:sz="4"/>
              <w:right w:val="single" w:color="000000" w:sz="4"/>
            </w:tcBorders>
          </w:tcPr>
          <w:p>
            <w:pPr>
              <w:jc w:val="center"/>
            </w:pPr>
          </w:p>
        </w:tc>
      </w:tr>
      <w:tr>
        <w:tc>
          <w:tcPr>
            <w:tcW w:type="dxa" w:w="735"/>
            <w:vMerge/>
            <w:tcBorders>
              <w:top w:val="singl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每季度第一个月</w:t>
            </w:r>
            <w:r>
              <w:rPr>
                <w:sz w:val="21"/>
              </w:rPr>
              <w:t>20</w:t>
            </w:r>
            <w:r>
              <w:rPr>
                <w:sz w:val="21"/>
              </w:rPr>
              <w:t>日前提供密度检测报告、孳生地调查报告。（如因采购人原因或不可抗力因素导致第一个月无法提供的，相应报告顺延提交）</w:t>
            </w:r>
          </w:p>
        </w:tc>
        <w:tc>
          <w:tcPr>
            <w:tcW w:type="dxa" w:w="2970"/>
            <w:tcBorders>
              <w:top w:val="none" w:color="000000" w:sz="4"/>
              <w:left w:val="none" w:color="000000" w:sz="4"/>
              <w:bottom w:val="single" w:color="000000" w:sz="4"/>
              <w:right w:val="single" w:color="000000" w:sz="4"/>
            </w:tcBorders>
          </w:tcPr>
          <w:p>
            <w:pPr>
              <w:jc w:val="left"/>
            </w:pPr>
            <w:r>
              <w:rPr>
                <w:sz w:val="21"/>
              </w:rPr>
              <w:t>当季度第一个月已按要求提供报告，当季度其余两个月默认合理缺项，得满分。当季度第一个月需要提供但未按时提供报告的扣</w:t>
            </w:r>
            <w:r>
              <w:rPr>
                <w:sz w:val="21"/>
              </w:rPr>
              <w:t>5</w:t>
            </w:r>
            <w:r>
              <w:rPr>
                <w:sz w:val="21"/>
              </w:rPr>
              <w:t>分，同时当季度其余两个月均不得分。</w:t>
            </w:r>
          </w:p>
        </w:tc>
        <w:tc>
          <w:tcPr>
            <w:tcW w:type="dxa" w:w="705"/>
            <w:tcBorders>
              <w:top w:val="none" w:color="000000" w:sz="4"/>
              <w:left w:val="none" w:color="000000" w:sz="4"/>
              <w:bottom w:val="single" w:color="000000" w:sz="4"/>
              <w:right w:val="single" w:color="000000" w:sz="4"/>
            </w:tcBorders>
          </w:tcPr>
          <w:p>
            <w:pPr>
              <w:jc w:val="center"/>
            </w:pPr>
            <w:r>
              <w:rPr>
                <w:sz w:val="21"/>
              </w:rPr>
              <w:t>5</w:t>
            </w:r>
          </w:p>
        </w:tc>
        <w:tc>
          <w:tcPr>
            <w:tcW w:type="dxa" w:w="705"/>
            <w:tcBorders>
              <w:top w:val="none" w:color="000000" w:sz="4"/>
              <w:left w:val="none" w:color="000000" w:sz="4"/>
              <w:bottom w:val="single" w:color="000000" w:sz="4"/>
              <w:right w:val="single" w:color="000000" w:sz="4"/>
            </w:tcBorders>
          </w:tcPr>
          <w:p>
            <w:pPr>
              <w:jc w:val="center"/>
            </w:pPr>
          </w:p>
        </w:tc>
      </w:tr>
      <w:tr>
        <w:tc>
          <w:tcPr>
            <w:tcW w:type="dxa" w:w="735"/>
            <w:vMerge w:val="restart"/>
            <w:tcBorders>
              <w:top w:val="none" w:color="000000" w:sz="4"/>
              <w:left w:val="single" w:color="000000" w:sz="4"/>
              <w:bottom w:val="single" w:color="000000" w:sz="4"/>
              <w:right w:val="single" w:color="000000" w:sz="4"/>
            </w:tcBorders>
          </w:tcPr>
          <w:p>
            <w:pPr>
              <w:jc w:val="center"/>
            </w:pPr>
            <w:r>
              <w:rPr>
                <w:sz w:val="21"/>
              </w:rPr>
              <w:t>疾控中心（</w:t>
            </w:r>
            <w:r>
              <w:rPr>
                <w:sz w:val="21"/>
              </w:rPr>
              <w:t>50</w:t>
            </w:r>
            <w:r>
              <w:rPr>
                <w:sz w:val="21"/>
              </w:rPr>
              <w:t>分）</w:t>
            </w:r>
          </w:p>
          <w:p>
            <w:pPr>
              <w:jc w:val="center"/>
            </w:pPr>
          </w:p>
        </w:tc>
        <w:tc>
          <w:tcPr>
            <w:tcW w:type="dxa" w:w="3060"/>
            <w:tcBorders>
              <w:top w:val="none" w:color="000000" w:sz="4"/>
              <w:left w:val="none" w:color="000000" w:sz="4"/>
              <w:bottom w:val="single" w:color="000000" w:sz="4"/>
              <w:right w:val="single" w:color="000000" w:sz="4"/>
            </w:tcBorders>
          </w:tcPr>
          <w:p>
            <w:pPr>
              <w:jc w:val="left"/>
            </w:pPr>
            <w:r>
              <w:rPr>
                <w:sz w:val="21"/>
              </w:rPr>
              <w:t>不使用国家禁用杀鼠剂。</w:t>
            </w:r>
          </w:p>
        </w:tc>
        <w:tc>
          <w:tcPr>
            <w:tcW w:type="dxa" w:w="2970"/>
            <w:tcBorders>
              <w:top w:val="none" w:color="000000" w:sz="4"/>
              <w:left w:val="none" w:color="000000" w:sz="4"/>
              <w:bottom w:val="single" w:color="000000" w:sz="4"/>
              <w:right w:val="single" w:color="000000" w:sz="4"/>
            </w:tcBorders>
          </w:tcPr>
          <w:p>
            <w:pPr>
              <w:jc w:val="left"/>
            </w:pPr>
            <w:r>
              <w:rPr>
                <w:sz w:val="21"/>
              </w:rPr>
              <w:t>发现使用国家禁用杀鼠剂扣</w:t>
            </w:r>
            <w:r>
              <w:rPr>
                <w:sz w:val="21"/>
              </w:rPr>
              <w:t>5</w:t>
            </w:r>
            <w:r>
              <w:rPr>
                <w:sz w:val="21"/>
              </w:rPr>
              <w:t>分</w:t>
            </w:r>
          </w:p>
        </w:tc>
        <w:tc>
          <w:tcPr>
            <w:tcW w:type="dxa" w:w="705"/>
            <w:tcBorders>
              <w:top w:val="none" w:color="000000" w:sz="4"/>
              <w:left w:val="none" w:color="000000" w:sz="4"/>
              <w:bottom w:val="single" w:color="000000" w:sz="4"/>
              <w:right w:val="single" w:color="000000" w:sz="4"/>
            </w:tcBorders>
          </w:tcPr>
          <w:p>
            <w:pPr>
              <w:jc w:val="center"/>
            </w:pPr>
            <w:r>
              <w:rPr>
                <w:sz w:val="21"/>
              </w:rPr>
              <w:t>5</w:t>
            </w:r>
          </w:p>
        </w:tc>
        <w:tc>
          <w:tcPr>
            <w:tcW w:type="dxa" w:w="705"/>
            <w:tcBorders>
              <w:top w:val="none" w:color="000000" w:sz="4"/>
              <w:left w:val="none" w:color="000000" w:sz="4"/>
              <w:bottom w:val="single" w:color="000000" w:sz="4"/>
              <w:right w:val="single" w:color="000000" w:sz="4"/>
            </w:tcBorders>
          </w:tcPr>
          <w:p>
            <w:pPr>
              <w:jc w:val="left"/>
            </w:pPr>
          </w:p>
        </w:tc>
      </w:tr>
      <w:tr>
        <w:tc>
          <w:tcPr>
            <w:tcW w:type="dxa" w:w="73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污水沟</w:t>
            </w:r>
            <w:r>
              <w:rPr>
                <w:sz w:val="21"/>
              </w:rPr>
              <w:t>(</w:t>
            </w:r>
            <w:r>
              <w:rPr>
                <w:sz w:val="21"/>
              </w:rPr>
              <w:t>塘</w:t>
            </w:r>
            <w:r>
              <w:rPr>
                <w:sz w:val="21"/>
              </w:rPr>
              <w:t>)</w:t>
            </w:r>
            <w:r>
              <w:rPr>
                <w:sz w:val="21"/>
              </w:rPr>
              <w:t>、洼地等大中型水体，用</w:t>
            </w:r>
            <w:r>
              <w:rPr>
                <w:sz w:val="21"/>
              </w:rPr>
              <w:t>500</w:t>
            </w:r>
            <w:r>
              <w:rPr>
                <w:sz w:val="21"/>
              </w:rPr>
              <w:t>毫升勺检查，有蚊幼虫</w:t>
            </w:r>
            <w:r>
              <w:rPr>
                <w:sz w:val="21"/>
              </w:rPr>
              <w:t>(</w:t>
            </w:r>
            <w:r>
              <w:rPr>
                <w:sz w:val="21"/>
              </w:rPr>
              <w:t>蛹</w:t>
            </w:r>
            <w:r>
              <w:rPr>
                <w:sz w:val="21"/>
              </w:rPr>
              <w:t>)</w:t>
            </w:r>
            <w:r>
              <w:rPr>
                <w:sz w:val="21"/>
              </w:rPr>
              <w:t>阳性勺不超过</w:t>
            </w:r>
            <w:r>
              <w:rPr>
                <w:sz w:val="21"/>
              </w:rPr>
              <w:t>3%,</w:t>
            </w:r>
            <w:r>
              <w:rPr>
                <w:sz w:val="21"/>
              </w:rPr>
              <w:t>每阳性勺有幼虫或蛹不超过</w:t>
            </w:r>
            <w:r>
              <w:rPr>
                <w:sz w:val="21"/>
              </w:rPr>
              <w:t>3</w:t>
            </w:r>
            <w:r>
              <w:rPr>
                <w:sz w:val="21"/>
              </w:rPr>
              <w:t>只；</w:t>
            </w:r>
          </w:p>
        </w:tc>
        <w:tc>
          <w:tcPr>
            <w:tcW w:type="dxa" w:w="2970"/>
            <w:tcBorders>
              <w:top w:val="none" w:color="000000" w:sz="4"/>
              <w:left w:val="none" w:color="000000" w:sz="4"/>
              <w:bottom w:val="single" w:color="000000" w:sz="4"/>
              <w:right w:val="single" w:color="000000" w:sz="4"/>
            </w:tcBorders>
          </w:tcPr>
          <w:p>
            <w:pPr>
              <w:jc w:val="left"/>
            </w:pPr>
            <w:r>
              <w:rPr>
                <w:sz w:val="21"/>
              </w:rPr>
              <w:t>大、中型水体有蚊幼虫或蛹的阳性勺超过</w:t>
            </w:r>
            <w:r>
              <w:rPr>
                <w:sz w:val="21"/>
              </w:rPr>
              <w:t>3%,</w:t>
            </w:r>
            <w:r>
              <w:rPr>
                <w:sz w:val="21"/>
              </w:rPr>
              <w:t>每超过</w:t>
            </w:r>
            <w:r>
              <w:rPr>
                <w:sz w:val="21"/>
              </w:rPr>
              <w:t>1%</w:t>
            </w:r>
            <w:r>
              <w:rPr>
                <w:sz w:val="21"/>
              </w:rPr>
              <w:t>扣</w:t>
            </w:r>
            <w:r>
              <w:rPr>
                <w:sz w:val="21"/>
              </w:rPr>
              <w:t>1</w:t>
            </w:r>
            <w:r>
              <w:rPr>
                <w:sz w:val="21"/>
              </w:rPr>
              <w:t>分；每阳性勺有幼虫或蛹</w:t>
            </w:r>
            <w:r>
              <w:rPr>
                <w:sz w:val="21"/>
              </w:rPr>
              <w:t>(</w:t>
            </w:r>
            <w:r>
              <w:rPr>
                <w:sz w:val="21"/>
              </w:rPr>
              <w:t>含死虫</w:t>
            </w:r>
            <w:r>
              <w:rPr>
                <w:sz w:val="21"/>
              </w:rPr>
              <w:t>)</w:t>
            </w:r>
            <w:r>
              <w:rPr>
                <w:sz w:val="21"/>
              </w:rPr>
              <w:t>超过</w:t>
            </w:r>
            <w:r>
              <w:rPr>
                <w:sz w:val="21"/>
              </w:rPr>
              <w:t>3</w:t>
            </w:r>
            <w:r>
              <w:rPr>
                <w:sz w:val="21"/>
              </w:rPr>
              <w:t>只，每超</w:t>
            </w:r>
            <w:r>
              <w:rPr>
                <w:sz w:val="21"/>
              </w:rPr>
              <w:t>1</w:t>
            </w:r>
            <w:r>
              <w:rPr>
                <w:sz w:val="21"/>
              </w:rPr>
              <w:t>只扣</w:t>
            </w:r>
            <w:r>
              <w:rPr>
                <w:sz w:val="21"/>
              </w:rPr>
              <w:t>0.2</w:t>
            </w:r>
            <w:r>
              <w:rPr>
                <w:sz w:val="21"/>
              </w:rPr>
              <w:t>分。</w:t>
            </w:r>
          </w:p>
        </w:tc>
        <w:tc>
          <w:tcPr>
            <w:tcW w:type="dxa" w:w="705"/>
            <w:tcBorders>
              <w:top w:val="none" w:color="000000" w:sz="4"/>
              <w:left w:val="none" w:color="000000" w:sz="4"/>
              <w:bottom w:val="single" w:color="000000" w:sz="4"/>
              <w:right w:val="single" w:color="000000" w:sz="4"/>
            </w:tcBorders>
          </w:tcPr>
          <w:p>
            <w:pPr>
              <w:jc w:val="center"/>
            </w:pPr>
            <w:r>
              <w:rPr>
                <w:sz w:val="21"/>
              </w:rPr>
              <w:t>5</w:t>
            </w:r>
          </w:p>
        </w:tc>
        <w:tc>
          <w:tcPr>
            <w:tcW w:type="dxa" w:w="705"/>
            <w:tcBorders>
              <w:top w:val="none" w:color="000000" w:sz="4"/>
              <w:left w:val="none" w:color="000000" w:sz="4"/>
              <w:bottom w:val="single" w:color="000000" w:sz="4"/>
              <w:right w:val="single" w:color="000000" w:sz="4"/>
            </w:tcBorders>
          </w:tcPr>
          <w:p>
            <w:pPr>
              <w:jc w:val="left"/>
            </w:pPr>
          </w:p>
        </w:tc>
      </w:tr>
      <w:tr>
        <w:tc>
          <w:tcPr>
            <w:tcW w:type="dxa" w:w="73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下水道、沉沙井及各类型小积水，有蚊幼虫或蛹孳生不超过</w:t>
            </w:r>
            <w:r>
              <w:rPr>
                <w:sz w:val="21"/>
              </w:rPr>
              <w:t>3%</w:t>
            </w:r>
            <w:r>
              <w:rPr>
                <w:sz w:val="21"/>
              </w:rPr>
              <w:t>；</w:t>
            </w:r>
          </w:p>
        </w:tc>
        <w:tc>
          <w:tcPr>
            <w:tcW w:type="dxa" w:w="2970"/>
            <w:tcBorders>
              <w:top w:val="none" w:color="000000" w:sz="4"/>
              <w:left w:val="none" w:color="000000" w:sz="4"/>
              <w:bottom w:val="single" w:color="000000" w:sz="4"/>
              <w:right w:val="single" w:color="000000" w:sz="4"/>
            </w:tcBorders>
          </w:tcPr>
          <w:p>
            <w:pPr>
              <w:jc w:val="left"/>
            </w:pPr>
            <w:r>
              <w:rPr>
                <w:sz w:val="21"/>
              </w:rPr>
              <w:t>检查室外下水道、沉沙井及各类型小积水，蚊幼虫</w:t>
            </w:r>
            <w:r>
              <w:rPr>
                <w:sz w:val="21"/>
              </w:rPr>
              <w:t>(</w:t>
            </w:r>
            <w:r>
              <w:rPr>
                <w:sz w:val="21"/>
              </w:rPr>
              <w:t>蛹</w:t>
            </w:r>
            <w:r>
              <w:rPr>
                <w:sz w:val="21"/>
              </w:rPr>
              <w:t>)</w:t>
            </w:r>
            <w:r>
              <w:rPr>
                <w:sz w:val="21"/>
              </w:rPr>
              <w:t>检出率超过</w:t>
            </w:r>
            <w:r>
              <w:rPr>
                <w:sz w:val="21"/>
              </w:rPr>
              <w:t>3%,</w:t>
            </w:r>
            <w:r>
              <w:rPr>
                <w:sz w:val="21"/>
              </w:rPr>
              <w:t>每超过</w:t>
            </w:r>
            <w:r>
              <w:rPr>
                <w:sz w:val="21"/>
              </w:rPr>
              <w:t>1%</w:t>
            </w:r>
            <w:r>
              <w:rPr>
                <w:sz w:val="21"/>
              </w:rPr>
              <w:t>扣</w:t>
            </w:r>
            <w:r>
              <w:rPr>
                <w:sz w:val="21"/>
              </w:rPr>
              <w:t>1</w:t>
            </w:r>
            <w:r>
              <w:rPr>
                <w:sz w:val="21"/>
              </w:rPr>
              <w:t>分</w:t>
            </w:r>
          </w:p>
        </w:tc>
        <w:tc>
          <w:tcPr>
            <w:tcW w:type="dxa" w:w="705"/>
            <w:tcBorders>
              <w:top w:val="none" w:color="000000" w:sz="4"/>
              <w:left w:val="none" w:color="000000" w:sz="4"/>
              <w:bottom w:val="single" w:color="000000" w:sz="4"/>
              <w:right w:val="single" w:color="000000" w:sz="4"/>
            </w:tcBorders>
          </w:tcPr>
          <w:p>
            <w:pPr>
              <w:jc w:val="center"/>
            </w:pPr>
            <w:r>
              <w:rPr>
                <w:sz w:val="21"/>
              </w:rPr>
              <w:t>5</w:t>
            </w:r>
          </w:p>
        </w:tc>
        <w:tc>
          <w:tcPr>
            <w:tcW w:type="dxa" w:w="705"/>
            <w:tcBorders>
              <w:top w:val="none" w:color="000000" w:sz="4"/>
              <w:left w:val="none" w:color="000000" w:sz="4"/>
              <w:bottom w:val="single" w:color="000000" w:sz="4"/>
              <w:right w:val="single" w:color="000000" w:sz="4"/>
            </w:tcBorders>
          </w:tcPr>
          <w:p>
            <w:pPr>
              <w:jc w:val="left"/>
            </w:pPr>
          </w:p>
        </w:tc>
      </w:tr>
      <w:tr>
        <w:tc>
          <w:tcPr>
            <w:tcW w:type="dxa" w:w="73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在公园、丛林、工地等场所人诱蚊</w:t>
            </w:r>
            <w:r>
              <w:rPr>
                <w:sz w:val="21"/>
              </w:rPr>
              <w:t>30</w:t>
            </w:r>
            <w:r>
              <w:rPr>
                <w:sz w:val="21"/>
              </w:rPr>
              <w:t>分钟，每人次诱获成蚊不超过</w:t>
            </w:r>
            <w:r>
              <w:rPr>
                <w:sz w:val="21"/>
              </w:rPr>
              <w:t>1</w:t>
            </w:r>
            <w:r>
              <w:rPr>
                <w:sz w:val="21"/>
              </w:rPr>
              <w:t>只；</w:t>
            </w:r>
          </w:p>
        </w:tc>
        <w:tc>
          <w:tcPr>
            <w:tcW w:type="dxa" w:w="2970"/>
            <w:tcBorders>
              <w:top w:val="none" w:color="000000" w:sz="4"/>
              <w:left w:val="none" w:color="000000" w:sz="4"/>
              <w:bottom w:val="single" w:color="000000" w:sz="4"/>
              <w:right w:val="single" w:color="000000" w:sz="4"/>
            </w:tcBorders>
          </w:tcPr>
          <w:p>
            <w:pPr>
              <w:jc w:val="left"/>
            </w:pPr>
            <w:r>
              <w:rPr>
                <w:sz w:val="21"/>
              </w:rPr>
              <w:t>白天人诱蚊，每人次诱获成蚊超过</w:t>
            </w:r>
            <w:r>
              <w:rPr>
                <w:sz w:val="21"/>
              </w:rPr>
              <w:t>1</w:t>
            </w:r>
            <w:r>
              <w:rPr>
                <w:sz w:val="21"/>
              </w:rPr>
              <w:t>只，扣</w:t>
            </w:r>
            <w:r>
              <w:rPr>
                <w:sz w:val="21"/>
              </w:rPr>
              <w:t>1</w:t>
            </w:r>
            <w:r>
              <w:rPr>
                <w:sz w:val="21"/>
              </w:rPr>
              <w:t>分，扣完为止。</w:t>
            </w:r>
          </w:p>
        </w:tc>
        <w:tc>
          <w:tcPr>
            <w:tcW w:type="dxa" w:w="705"/>
            <w:tcBorders>
              <w:top w:val="none" w:color="000000" w:sz="4"/>
              <w:left w:val="none" w:color="000000" w:sz="4"/>
              <w:bottom w:val="single" w:color="000000" w:sz="4"/>
              <w:right w:val="single" w:color="000000" w:sz="4"/>
            </w:tcBorders>
          </w:tcPr>
          <w:p>
            <w:pPr>
              <w:jc w:val="center"/>
            </w:pPr>
            <w:r>
              <w:rPr>
                <w:sz w:val="21"/>
              </w:rPr>
              <w:t>5</w:t>
            </w:r>
          </w:p>
        </w:tc>
        <w:tc>
          <w:tcPr>
            <w:tcW w:type="dxa" w:w="705"/>
            <w:tcBorders>
              <w:top w:val="none" w:color="000000" w:sz="4"/>
              <w:left w:val="none" w:color="000000" w:sz="4"/>
              <w:bottom w:val="single" w:color="000000" w:sz="4"/>
              <w:right w:val="single" w:color="000000" w:sz="4"/>
            </w:tcBorders>
          </w:tcPr>
          <w:p>
            <w:pPr>
              <w:jc w:val="left"/>
            </w:pPr>
          </w:p>
        </w:tc>
      </w:tr>
      <w:tr>
        <w:tc>
          <w:tcPr>
            <w:tcW w:type="dxa" w:w="73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外环境每</w:t>
            </w:r>
            <w:r>
              <w:rPr>
                <w:sz w:val="21"/>
              </w:rPr>
              <w:t>2000</w:t>
            </w:r>
            <w:r>
              <w:rPr>
                <w:sz w:val="21"/>
              </w:rPr>
              <w:t>米延长有鼠迹不超过</w:t>
            </w:r>
            <w:r>
              <w:rPr>
                <w:sz w:val="21"/>
              </w:rPr>
              <w:t>5</w:t>
            </w:r>
            <w:r>
              <w:rPr>
                <w:sz w:val="21"/>
              </w:rPr>
              <w:t>处；</w:t>
            </w:r>
          </w:p>
        </w:tc>
        <w:tc>
          <w:tcPr>
            <w:tcW w:type="dxa" w:w="2970"/>
            <w:tcBorders>
              <w:top w:val="none" w:color="000000" w:sz="4"/>
              <w:left w:val="none" w:color="000000" w:sz="4"/>
              <w:bottom w:val="single" w:color="000000" w:sz="4"/>
              <w:right w:val="single" w:color="000000" w:sz="4"/>
            </w:tcBorders>
          </w:tcPr>
          <w:p>
            <w:pPr>
              <w:jc w:val="left"/>
            </w:pPr>
            <w:r>
              <w:rPr>
                <w:sz w:val="21"/>
              </w:rPr>
              <w:t>外环境每</w:t>
            </w:r>
            <w:r>
              <w:rPr>
                <w:sz w:val="21"/>
              </w:rPr>
              <w:t>2000</w:t>
            </w:r>
            <w:r>
              <w:rPr>
                <w:sz w:val="21"/>
              </w:rPr>
              <w:t>米鼠迹，每超</w:t>
            </w:r>
            <w:r>
              <w:rPr>
                <w:sz w:val="21"/>
              </w:rPr>
              <w:t>1</w:t>
            </w:r>
            <w:r>
              <w:rPr>
                <w:sz w:val="21"/>
              </w:rPr>
              <w:t>处，扣</w:t>
            </w:r>
            <w:r>
              <w:rPr>
                <w:sz w:val="21"/>
              </w:rPr>
              <w:t>1</w:t>
            </w:r>
            <w:r>
              <w:rPr>
                <w:sz w:val="21"/>
              </w:rPr>
              <w:t>分，扣完为止。</w:t>
            </w:r>
          </w:p>
        </w:tc>
        <w:tc>
          <w:tcPr>
            <w:tcW w:type="dxa" w:w="705"/>
            <w:tcBorders>
              <w:top w:val="none" w:color="000000" w:sz="4"/>
              <w:left w:val="none" w:color="000000" w:sz="4"/>
              <w:bottom w:val="single" w:color="000000" w:sz="4"/>
              <w:right w:val="single" w:color="000000" w:sz="4"/>
            </w:tcBorders>
          </w:tcPr>
          <w:p>
            <w:pPr>
              <w:jc w:val="center"/>
            </w:pPr>
            <w:r>
              <w:rPr>
                <w:sz w:val="21"/>
              </w:rPr>
              <w:t>10</w:t>
            </w:r>
          </w:p>
        </w:tc>
        <w:tc>
          <w:tcPr>
            <w:tcW w:type="dxa" w:w="705"/>
            <w:tcBorders>
              <w:top w:val="none" w:color="000000" w:sz="4"/>
              <w:left w:val="none" w:color="000000" w:sz="4"/>
              <w:bottom w:val="single" w:color="000000" w:sz="4"/>
              <w:right w:val="single" w:color="000000" w:sz="4"/>
            </w:tcBorders>
          </w:tcPr>
          <w:p>
            <w:pPr>
              <w:jc w:val="left"/>
            </w:pPr>
          </w:p>
        </w:tc>
      </w:tr>
      <w:tr>
        <w:tc>
          <w:tcPr>
            <w:tcW w:type="dxa" w:w="73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检查蝇类孳生物，蝇类幼虫或蛹检出率不超过</w:t>
            </w:r>
            <w:r>
              <w:rPr>
                <w:sz w:val="21"/>
              </w:rPr>
              <w:t>3%</w:t>
            </w:r>
          </w:p>
        </w:tc>
        <w:tc>
          <w:tcPr>
            <w:tcW w:type="dxa" w:w="2970"/>
            <w:tcBorders>
              <w:top w:val="none" w:color="000000" w:sz="4"/>
              <w:left w:val="none" w:color="000000" w:sz="4"/>
              <w:bottom w:val="single" w:color="000000" w:sz="4"/>
              <w:right w:val="single" w:color="000000" w:sz="4"/>
            </w:tcBorders>
          </w:tcPr>
          <w:p>
            <w:pPr>
              <w:jc w:val="left"/>
            </w:pPr>
            <w:r>
              <w:rPr>
                <w:sz w:val="21"/>
              </w:rPr>
              <w:t>蝇幼虫或蛹检出率超过</w:t>
            </w:r>
            <w:r>
              <w:rPr>
                <w:sz w:val="21"/>
              </w:rPr>
              <w:t>3%</w:t>
            </w:r>
            <w:r>
              <w:rPr>
                <w:sz w:val="21"/>
              </w:rPr>
              <w:t>，每超过</w:t>
            </w:r>
            <w:r>
              <w:rPr>
                <w:sz w:val="21"/>
              </w:rPr>
              <w:t>1%</w:t>
            </w:r>
            <w:r>
              <w:rPr>
                <w:sz w:val="21"/>
              </w:rPr>
              <w:t>扣</w:t>
            </w:r>
            <w:r>
              <w:rPr>
                <w:sz w:val="21"/>
              </w:rPr>
              <w:t>1</w:t>
            </w:r>
            <w:r>
              <w:rPr>
                <w:sz w:val="21"/>
              </w:rPr>
              <w:t>分。</w:t>
            </w:r>
          </w:p>
        </w:tc>
        <w:tc>
          <w:tcPr>
            <w:tcW w:type="dxa" w:w="705"/>
            <w:tcBorders>
              <w:top w:val="none" w:color="000000" w:sz="4"/>
              <w:left w:val="none" w:color="000000" w:sz="4"/>
              <w:bottom w:val="single" w:color="000000" w:sz="4"/>
              <w:right w:val="single" w:color="000000" w:sz="4"/>
            </w:tcBorders>
          </w:tcPr>
          <w:p>
            <w:pPr>
              <w:jc w:val="center"/>
            </w:pPr>
            <w:r>
              <w:rPr>
                <w:sz w:val="21"/>
              </w:rPr>
              <w:t>10</w:t>
            </w:r>
          </w:p>
        </w:tc>
        <w:tc>
          <w:tcPr>
            <w:tcW w:type="dxa" w:w="705"/>
            <w:tcBorders>
              <w:top w:val="none" w:color="000000" w:sz="4"/>
              <w:left w:val="none" w:color="000000" w:sz="4"/>
              <w:bottom w:val="single" w:color="000000" w:sz="4"/>
              <w:right w:val="single" w:color="000000" w:sz="4"/>
            </w:tcBorders>
          </w:tcPr>
          <w:p>
            <w:pPr>
              <w:jc w:val="left"/>
            </w:pPr>
          </w:p>
        </w:tc>
      </w:tr>
      <w:tr>
        <w:tc>
          <w:tcPr>
            <w:tcW w:type="dxa" w:w="73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垃圾屋、收集点、中转站、堆放处，密度最高的地方每平方米有蝇不超过</w:t>
            </w:r>
            <w:r>
              <w:rPr>
                <w:sz w:val="21"/>
              </w:rPr>
              <w:t>5</w:t>
            </w:r>
            <w:r>
              <w:rPr>
                <w:sz w:val="21"/>
              </w:rPr>
              <w:t>只；</w:t>
            </w:r>
          </w:p>
        </w:tc>
        <w:tc>
          <w:tcPr>
            <w:tcW w:type="dxa" w:w="2970"/>
            <w:tcBorders>
              <w:top w:val="none" w:color="000000" w:sz="4"/>
              <w:left w:val="none" w:color="000000" w:sz="4"/>
              <w:bottom w:val="single" w:color="000000" w:sz="4"/>
              <w:right w:val="single" w:color="000000" w:sz="4"/>
            </w:tcBorders>
          </w:tcPr>
          <w:p>
            <w:pPr>
              <w:jc w:val="left"/>
            </w:pPr>
            <w:r>
              <w:rPr>
                <w:sz w:val="21"/>
              </w:rPr>
              <w:t>垃圾屋、收集点等、密度最高的地方每平方米有蝇超过</w:t>
            </w:r>
            <w:r>
              <w:rPr>
                <w:sz w:val="21"/>
              </w:rPr>
              <w:t>5</w:t>
            </w:r>
            <w:r>
              <w:rPr>
                <w:sz w:val="21"/>
              </w:rPr>
              <w:t>只，每超过</w:t>
            </w:r>
            <w:r>
              <w:rPr>
                <w:sz w:val="21"/>
              </w:rPr>
              <w:t>1</w:t>
            </w:r>
            <w:r>
              <w:rPr>
                <w:sz w:val="21"/>
              </w:rPr>
              <w:t>只扣</w:t>
            </w:r>
            <w:r>
              <w:rPr>
                <w:sz w:val="21"/>
              </w:rPr>
              <w:t>0.2</w:t>
            </w:r>
            <w:r>
              <w:rPr>
                <w:sz w:val="21"/>
              </w:rPr>
              <w:t>分。</w:t>
            </w:r>
          </w:p>
        </w:tc>
        <w:tc>
          <w:tcPr>
            <w:tcW w:type="dxa" w:w="705"/>
            <w:tcBorders>
              <w:top w:val="none" w:color="000000" w:sz="4"/>
              <w:left w:val="none" w:color="000000" w:sz="4"/>
              <w:bottom w:val="single" w:color="000000" w:sz="4"/>
              <w:right w:val="single" w:color="000000" w:sz="4"/>
            </w:tcBorders>
          </w:tcPr>
          <w:p>
            <w:pPr>
              <w:jc w:val="center"/>
            </w:pPr>
            <w:r>
              <w:rPr>
                <w:sz w:val="21"/>
              </w:rPr>
              <w:t>10</w:t>
            </w:r>
          </w:p>
        </w:tc>
        <w:tc>
          <w:tcPr>
            <w:tcW w:type="dxa" w:w="705"/>
            <w:tcBorders>
              <w:top w:val="none" w:color="000000" w:sz="4"/>
              <w:left w:val="none" w:color="000000" w:sz="4"/>
              <w:bottom w:val="single" w:color="000000" w:sz="4"/>
              <w:right w:val="single" w:color="000000" w:sz="4"/>
            </w:tcBorders>
          </w:tcPr>
          <w:p>
            <w:pPr>
              <w:jc w:val="left"/>
            </w:pPr>
          </w:p>
        </w:tc>
      </w:tr>
      <w:tr>
        <w:tc>
          <w:tcPr>
            <w:tcW w:type="dxa" w:w="735"/>
            <w:vMerge w:val="restart"/>
            <w:tcBorders>
              <w:top w:val="none" w:color="000000" w:sz="4"/>
              <w:left w:val="single" w:color="000000" w:sz="4"/>
              <w:bottom w:val="single" w:color="000000" w:sz="4"/>
              <w:right w:val="single" w:color="000000" w:sz="4"/>
            </w:tcBorders>
          </w:tcPr>
          <w:p>
            <w:pPr>
              <w:jc w:val="center"/>
            </w:pPr>
            <w:r>
              <w:rPr>
                <w:sz w:val="21"/>
              </w:rPr>
              <w:t>属地村</w:t>
            </w:r>
            <w:r>
              <w:rPr>
                <w:sz w:val="21"/>
              </w:rPr>
              <w:t>（</w:t>
            </w:r>
            <w:r>
              <w:rPr>
                <w:sz w:val="21"/>
              </w:rPr>
              <w:t>30</w:t>
            </w:r>
            <w:r>
              <w:rPr>
                <w:sz w:val="21"/>
              </w:rPr>
              <w:t>分）</w:t>
            </w:r>
          </w:p>
          <w:p>
            <w:pPr>
              <w:jc w:val="center"/>
            </w:pPr>
          </w:p>
        </w:tc>
        <w:tc>
          <w:tcPr>
            <w:tcW w:type="dxa" w:w="3060"/>
            <w:tcBorders>
              <w:top w:val="none" w:color="000000" w:sz="4"/>
              <w:left w:val="none" w:color="000000" w:sz="4"/>
              <w:bottom w:val="single" w:color="000000" w:sz="4"/>
              <w:right w:val="single" w:color="000000" w:sz="4"/>
            </w:tcBorders>
          </w:tcPr>
          <w:p>
            <w:pPr>
              <w:jc w:val="left"/>
            </w:pPr>
            <w:r>
              <w:rPr>
                <w:sz w:val="21"/>
              </w:rPr>
              <w:t>每季度一次大面积饱和投药灭鼠，每年</w:t>
            </w:r>
            <w:r>
              <w:rPr>
                <w:sz w:val="21"/>
              </w:rPr>
              <w:t>5</w:t>
            </w:r>
            <w:r>
              <w:rPr>
                <w:sz w:val="21"/>
              </w:rPr>
              <w:t>月、</w:t>
            </w:r>
            <w:r>
              <w:rPr>
                <w:sz w:val="21"/>
              </w:rPr>
              <w:t>9</w:t>
            </w:r>
            <w:r>
              <w:rPr>
                <w:sz w:val="21"/>
              </w:rPr>
              <w:t>月至少</w:t>
            </w:r>
            <w:r>
              <w:rPr>
                <w:sz w:val="21"/>
              </w:rPr>
              <w:t>2</w:t>
            </w:r>
            <w:r>
              <w:rPr>
                <w:sz w:val="21"/>
              </w:rPr>
              <w:t>次，其余每月至少</w:t>
            </w:r>
            <w:r>
              <w:rPr>
                <w:sz w:val="21"/>
              </w:rPr>
              <w:t>1</w:t>
            </w:r>
            <w:r>
              <w:rPr>
                <w:sz w:val="21"/>
              </w:rPr>
              <w:t>次。灭鼠前要报告村</w:t>
            </w:r>
            <w:r>
              <w:rPr>
                <w:sz w:val="21"/>
              </w:rPr>
              <w:t>(</w:t>
            </w:r>
            <w:r>
              <w:rPr>
                <w:sz w:val="21"/>
              </w:rPr>
              <w:t>居</w:t>
            </w:r>
            <w:r>
              <w:rPr>
                <w:sz w:val="21"/>
              </w:rPr>
              <w:t>)</w:t>
            </w:r>
            <w:r>
              <w:rPr>
                <w:sz w:val="21"/>
              </w:rPr>
              <w:t>委会，并做好配合工作。</w:t>
            </w:r>
          </w:p>
        </w:tc>
        <w:tc>
          <w:tcPr>
            <w:tcW w:type="dxa" w:w="2970"/>
            <w:tcBorders>
              <w:top w:val="none" w:color="000000" w:sz="4"/>
              <w:left w:val="none" w:color="000000" w:sz="4"/>
              <w:bottom w:val="single" w:color="000000" w:sz="4"/>
              <w:right w:val="single" w:color="000000" w:sz="4"/>
            </w:tcBorders>
          </w:tcPr>
          <w:p>
            <w:pPr>
              <w:jc w:val="left"/>
            </w:pPr>
            <w:r>
              <w:rPr>
                <w:sz w:val="21"/>
              </w:rPr>
              <w:t>大面积投放毒饵灭鼠不饱和或灭鼠前不报告村</w:t>
            </w:r>
            <w:r>
              <w:rPr>
                <w:sz w:val="21"/>
              </w:rPr>
              <w:t>(</w:t>
            </w:r>
            <w:r>
              <w:rPr>
                <w:sz w:val="21"/>
              </w:rPr>
              <w:t>居</w:t>
            </w:r>
            <w:r>
              <w:rPr>
                <w:sz w:val="21"/>
              </w:rPr>
              <w:t>)</w:t>
            </w:r>
            <w:r>
              <w:rPr>
                <w:sz w:val="21"/>
              </w:rPr>
              <w:t>委，每次扣</w:t>
            </w:r>
            <w:r>
              <w:rPr>
                <w:sz w:val="21"/>
              </w:rPr>
              <w:t>1</w:t>
            </w:r>
            <w:r>
              <w:rPr>
                <w:sz w:val="21"/>
              </w:rPr>
              <w:t>分。</w:t>
            </w:r>
          </w:p>
        </w:tc>
        <w:tc>
          <w:tcPr>
            <w:tcW w:type="dxa" w:w="705"/>
            <w:tcBorders>
              <w:top w:val="none" w:color="000000" w:sz="4"/>
              <w:left w:val="none" w:color="000000" w:sz="4"/>
              <w:bottom w:val="single" w:color="000000" w:sz="4"/>
              <w:right w:val="single" w:color="000000" w:sz="4"/>
            </w:tcBorders>
          </w:tcPr>
          <w:p>
            <w:pPr>
              <w:jc w:val="center"/>
            </w:pPr>
            <w:r>
              <w:rPr>
                <w:sz w:val="21"/>
              </w:rPr>
              <w:t>3</w:t>
            </w:r>
          </w:p>
        </w:tc>
        <w:tc>
          <w:tcPr>
            <w:tcW w:type="dxa" w:w="705"/>
            <w:tcBorders>
              <w:top w:val="none" w:color="000000" w:sz="4"/>
              <w:left w:val="none" w:color="000000" w:sz="4"/>
              <w:bottom w:val="single" w:color="000000" w:sz="4"/>
              <w:right w:val="single" w:color="000000" w:sz="4"/>
            </w:tcBorders>
          </w:tcPr>
          <w:p>
            <w:pPr>
              <w:jc w:val="left"/>
            </w:pPr>
          </w:p>
        </w:tc>
      </w:tr>
      <w:tr>
        <w:tc>
          <w:tcPr>
            <w:tcW w:type="dxa" w:w="73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除虫施药注意个人防护，穿工作服，戴口罩和手套。施药除虫剩余的药物和药物包装容器</w:t>
            </w:r>
            <w:r>
              <w:rPr>
                <w:sz w:val="21"/>
              </w:rPr>
              <w:t>(</w:t>
            </w:r>
            <w:r>
              <w:rPr>
                <w:sz w:val="21"/>
              </w:rPr>
              <w:t>材料</w:t>
            </w:r>
            <w:r>
              <w:rPr>
                <w:sz w:val="21"/>
              </w:rPr>
              <w:t>),</w:t>
            </w:r>
            <w:r>
              <w:rPr>
                <w:sz w:val="21"/>
              </w:rPr>
              <w:t>回收集中处理，不随地遗弃。</w:t>
            </w:r>
          </w:p>
        </w:tc>
        <w:tc>
          <w:tcPr>
            <w:tcW w:type="dxa" w:w="2970"/>
            <w:tcBorders>
              <w:top w:val="none" w:color="000000" w:sz="4"/>
              <w:left w:val="none" w:color="000000" w:sz="4"/>
              <w:bottom w:val="single" w:color="000000" w:sz="4"/>
              <w:right w:val="single" w:color="000000" w:sz="4"/>
            </w:tcBorders>
          </w:tcPr>
          <w:p>
            <w:pPr>
              <w:jc w:val="left"/>
            </w:pPr>
            <w:r>
              <w:rPr>
                <w:sz w:val="21"/>
              </w:rPr>
              <w:t>不做好个人防护，每人扣</w:t>
            </w:r>
            <w:r>
              <w:rPr>
                <w:sz w:val="21"/>
              </w:rPr>
              <w:t>1</w:t>
            </w:r>
            <w:r>
              <w:rPr>
                <w:sz w:val="21"/>
              </w:rPr>
              <w:t>分；随处遗弃杀虫药物或药物包装容器</w:t>
            </w:r>
            <w:r>
              <w:rPr>
                <w:sz w:val="21"/>
              </w:rPr>
              <w:t>(</w:t>
            </w:r>
            <w:r>
              <w:rPr>
                <w:sz w:val="21"/>
              </w:rPr>
              <w:t>材料</w:t>
            </w:r>
            <w:r>
              <w:rPr>
                <w:sz w:val="21"/>
              </w:rPr>
              <w:t>)</w:t>
            </w:r>
            <w:r>
              <w:rPr>
                <w:sz w:val="21"/>
              </w:rPr>
              <w:t>，每发现一处扣</w:t>
            </w:r>
            <w:r>
              <w:rPr>
                <w:sz w:val="21"/>
              </w:rPr>
              <w:t>1</w:t>
            </w:r>
            <w:r>
              <w:rPr>
                <w:sz w:val="21"/>
              </w:rPr>
              <w:t>分。</w:t>
            </w:r>
          </w:p>
        </w:tc>
        <w:tc>
          <w:tcPr>
            <w:tcW w:type="dxa" w:w="705"/>
            <w:tcBorders>
              <w:top w:val="none" w:color="000000" w:sz="4"/>
              <w:left w:val="none" w:color="000000" w:sz="4"/>
              <w:bottom w:val="single" w:color="000000" w:sz="4"/>
              <w:right w:val="single" w:color="000000" w:sz="4"/>
            </w:tcBorders>
          </w:tcPr>
          <w:p>
            <w:pPr>
              <w:jc w:val="center"/>
            </w:pPr>
            <w:r>
              <w:rPr>
                <w:sz w:val="21"/>
              </w:rPr>
              <w:t>3</w:t>
            </w:r>
          </w:p>
        </w:tc>
        <w:tc>
          <w:tcPr>
            <w:tcW w:type="dxa" w:w="705"/>
            <w:tcBorders>
              <w:top w:val="none" w:color="000000" w:sz="4"/>
              <w:left w:val="none" w:color="000000" w:sz="4"/>
              <w:bottom w:val="single" w:color="000000" w:sz="4"/>
              <w:right w:val="single" w:color="000000" w:sz="4"/>
            </w:tcBorders>
          </w:tcPr>
          <w:p>
            <w:pPr>
              <w:jc w:val="left"/>
            </w:pPr>
          </w:p>
        </w:tc>
      </w:tr>
      <w:tr>
        <w:tc>
          <w:tcPr>
            <w:tcW w:type="dxa" w:w="73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高峰期</w:t>
            </w:r>
            <w:r>
              <w:rPr>
                <w:sz w:val="21"/>
              </w:rPr>
              <w:t>(3-6</w:t>
            </w:r>
            <w:r>
              <w:rPr>
                <w:sz w:val="21"/>
              </w:rPr>
              <w:t>月、</w:t>
            </w:r>
            <w:r>
              <w:rPr>
                <w:sz w:val="21"/>
              </w:rPr>
              <w:t>9-11</w:t>
            </w:r>
            <w:r>
              <w:rPr>
                <w:sz w:val="21"/>
              </w:rPr>
              <w:t>月</w:t>
            </w:r>
            <w:r>
              <w:rPr>
                <w:sz w:val="21"/>
              </w:rPr>
              <w:t>)</w:t>
            </w:r>
            <w:r>
              <w:rPr>
                <w:sz w:val="21"/>
              </w:rPr>
              <w:t>“四害”消杀行动要达</w:t>
            </w:r>
            <w:r>
              <w:rPr>
                <w:sz w:val="21"/>
              </w:rPr>
              <w:t>4</w:t>
            </w:r>
            <w:r>
              <w:rPr>
                <w:sz w:val="21"/>
              </w:rPr>
              <w:t>次以上；其他月份每月不少于</w:t>
            </w:r>
            <w:r>
              <w:rPr>
                <w:sz w:val="21"/>
              </w:rPr>
              <w:t>3</w:t>
            </w:r>
            <w:r>
              <w:rPr>
                <w:sz w:val="21"/>
              </w:rPr>
              <w:t>次。每月要确保红线范围内至少</w:t>
            </w:r>
            <w:r>
              <w:rPr>
                <w:sz w:val="21"/>
              </w:rPr>
              <w:t>2</w:t>
            </w:r>
            <w:r>
              <w:rPr>
                <w:sz w:val="21"/>
              </w:rPr>
              <w:t>次的全覆盖消杀</w:t>
            </w:r>
            <w:r>
              <w:rPr>
                <w:sz w:val="21"/>
              </w:rPr>
              <w:t>(</w:t>
            </w:r>
            <w:r>
              <w:rPr>
                <w:sz w:val="21"/>
              </w:rPr>
              <w:t>提供工作签到表</w:t>
            </w:r>
            <w:r>
              <w:rPr>
                <w:sz w:val="21"/>
              </w:rPr>
              <w:t>)</w:t>
            </w:r>
            <w:r>
              <w:rPr>
                <w:sz w:val="21"/>
              </w:rPr>
              <w:t>。</w:t>
            </w:r>
          </w:p>
        </w:tc>
        <w:tc>
          <w:tcPr>
            <w:tcW w:type="dxa" w:w="2970"/>
            <w:tcBorders>
              <w:top w:val="none" w:color="000000" w:sz="4"/>
              <w:left w:val="none" w:color="000000" w:sz="4"/>
              <w:bottom w:val="single" w:color="000000" w:sz="4"/>
              <w:right w:val="single" w:color="000000" w:sz="4"/>
            </w:tcBorders>
          </w:tcPr>
          <w:p>
            <w:pPr>
              <w:jc w:val="left"/>
            </w:pPr>
            <w:r>
              <w:rPr>
                <w:sz w:val="21"/>
              </w:rPr>
              <w:t>未按要求次数开展消杀的，每少一次扣</w:t>
            </w:r>
            <w:r>
              <w:rPr>
                <w:sz w:val="21"/>
              </w:rPr>
              <w:t>10</w:t>
            </w:r>
            <w:r>
              <w:rPr>
                <w:sz w:val="21"/>
              </w:rPr>
              <w:t>分</w:t>
            </w:r>
          </w:p>
        </w:tc>
        <w:tc>
          <w:tcPr>
            <w:tcW w:type="dxa" w:w="705"/>
            <w:tcBorders>
              <w:top w:val="none" w:color="000000" w:sz="4"/>
              <w:left w:val="none" w:color="000000" w:sz="4"/>
              <w:bottom w:val="single" w:color="000000" w:sz="4"/>
              <w:right w:val="single" w:color="000000" w:sz="4"/>
            </w:tcBorders>
          </w:tcPr>
          <w:p>
            <w:pPr>
              <w:jc w:val="center"/>
            </w:pPr>
            <w:r>
              <w:rPr>
                <w:sz w:val="21"/>
              </w:rPr>
              <w:t>10</w:t>
            </w:r>
          </w:p>
        </w:tc>
        <w:tc>
          <w:tcPr>
            <w:tcW w:type="dxa" w:w="705"/>
            <w:tcBorders>
              <w:top w:val="none" w:color="000000" w:sz="4"/>
              <w:left w:val="none" w:color="000000" w:sz="4"/>
              <w:bottom w:val="single" w:color="000000" w:sz="4"/>
              <w:right w:val="single" w:color="000000" w:sz="4"/>
            </w:tcBorders>
          </w:tcPr>
          <w:p>
            <w:pPr>
              <w:jc w:val="left"/>
            </w:pPr>
          </w:p>
        </w:tc>
      </w:tr>
      <w:tr>
        <w:tc>
          <w:tcPr>
            <w:tcW w:type="dxa" w:w="73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密封式污水管网每季度第一个月开展一次热烟雾处理。（如因采购人原因或不可抗力因素导致第一个月无法开展工作的，相应工作顺延开展）</w:t>
            </w:r>
          </w:p>
        </w:tc>
        <w:tc>
          <w:tcPr>
            <w:tcW w:type="dxa" w:w="2970"/>
            <w:tcBorders>
              <w:top w:val="none" w:color="000000" w:sz="4"/>
              <w:left w:val="none" w:color="000000" w:sz="4"/>
              <w:bottom w:val="single" w:color="000000" w:sz="4"/>
              <w:right w:val="single" w:color="000000" w:sz="4"/>
            </w:tcBorders>
          </w:tcPr>
          <w:p>
            <w:pPr>
              <w:jc w:val="left"/>
            </w:pPr>
            <w:r>
              <w:rPr>
                <w:sz w:val="21"/>
              </w:rPr>
              <w:t>当季度第一个月已按要求开展工作的，当季度其余两个月默认合理缺项，得满分。当季度第一个月需要开展但未开展的扣</w:t>
            </w:r>
            <w:r>
              <w:rPr>
                <w:sz w:val="21"/>
              </w:rPr>
              <w:t>5</w:t>
            </w:r>
            <w:r>
              <w:rPr>
                <w:sz w:val="21"/>
              </w:rPr>
              <w:t>分，同时当季度其余两个月均不得分。</w:t>
            </w:r>
          </w:p>
        </w:tc>
        <w:tc>
          <w:tcPr>
            <w:tcW w:type="dxa" w:w="705"/>
            <w:tcBorders>
              <w:top w:val="none" w:color="000000" w:sz="4"/>
              <w:left w:val="none" w:color="000000" w:sz="4"/>
              <w:bottom w:val="single" w:color="000000" w:sz="4"/>
              <w:right w:val="single" w:color="000000" w:sz="4"/>
            </w:tcBorders>
          </w:tcPr>
          <w:p>
            <w:pPr>
              <w:jc w:val="center"/>
            </w:pPr>
            <w:r>
              <w:rPr>
                <w:sz w:val="21"/>
              </w:rPr>
              <w:t>5</w:t>
            </w:r>
          </w:p>
        </w:tc>
        <w:tc>
          <w:tcPr>
            <w:tcW w:type="dxa" w:w="705"/>
            <w:tcBorders>
              <w:top w:val="none" w:color="000000" w:sz="4"/>
              <w:left w:val="none" w:color="000000" w:sz="4"/>
              <w:bottom w:val="single" w:color="000000" w:sz="4"/>
              <w:right w:val="single" w:color="000000" w:sz="4"/>
            </w:tcBorders>
          </w:tcPr>
          <w:p>
            <w:pPr>
              <w:jc w:val="left"/>
            </w:pPr>
          </w:p>
        </w:tc>
      </w:tr>
      <w:tr>
        <w:tc>
          <w:tcPr>
            <w:tcW w:type="dxa" w:w="73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每次消杀前到村报道并领取药物，并提供不少于</w:t>
            </w:r>
            <w:r>
              <w:rPr>
                <w:sz w:val="21"/>
              </w:rPr>
              <w:t>4</w:t>
            </w:r>
            <w:r>
              <w:rPr>
                <w:sz w:val="21"/>
              </w:rPr>
              <w:t>名消杀人员完成项目范围内作业。</w:t>
            </w:r>
          </w:p>
        </w:tc>
        <w:tc>
          <w:tcPr>
            <w:tcW w:type="dxa" w:w="2970"/>
            <w:tcBorders>
              <w:top w:val="none" w:color="000000" w:sz="4"/>
              <w:left w:val="none" w:color="000000" w:sz="4"/>
              <w:bottom w:val="single" w:color="000000" w:sz="4"/>
              <w:right w:val="single" w:color="000000" w:sz="4"/>
            </w:tcBorders>
          </w:tcPr>
          <w:p>
            <w:pPr>
              <w:jc w:val="left"/>
            </w:pPr>
            <w:r>
              <w:rPr>
                <w:sz w:val="21"/>
              </w:rPr>
              <w:t>当次消杀每少一人扣</w:t>
            </w:r>
            <w:r>
              <w:rPr>
                <w:sz w:val="21"/>
              </w:rPr>
              <w:t>5</w:t>
            </w:r>
            <w:r>
              <w:rPr>
                <w:sz w:val="21"/>
              </w:rPr>
              <w:t>分。</w:t>
            </w:r>
          </w:p>
        </w:tc>
        <w:tc>
          <w:tcPr>
            <w:tcW w:type="dxa" w:w="705"/>
            <w:tcBorders>
              <w:top w:val="none" w:color="000000" w:sz="4"/>
              <w:left w:val="none" w:color="000000" w:sz="4"/>
              <w:bottom w:val="single" w:color="000000" w:sz="4"/>
              <w:right w:val="single" w:color="000000" w:sz="4"/>
            </w:tcBorders>
          </w:tcPr>
          <w:p>
            <w:pPr>
              <w:jc w:val="center"/>
            </w:pPr>
            <w:r>
              <w:rPr>
                <w:sz w:val="21"/>
              </w:rPr>
              <w:t>5</w:t>
            </w:r>
          </w:p>
        </w:tc>
        <w:tc>
          <w:tcPr>
            <w:tcW w:type="dxa" w:w="705"/>
            <w:tcBorders>
              <w:top w:val="none" w:color="000000" w:sz="4"/>
              <w:left w:val="none" w:color="000000" w:sz="4"/>
              <w:bottom w:val="single" w:color="000000" w:sz="4"/>
              <w:right w:val="single" w:color="000000" w:sz="4"/>
            </w:tcBorders>
          </w:tcPr>
          <w:p>
            <w:pPr>
              <w:jc w:val="left"/>
            </w:pPr>
          </w:p>
        </w:tc>
      </w:tr>
      <w:tr>
        <w:tc>
          <w:tcPr>
            <w:tcW w:type="dxa" w:w="73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Pr>
          <w:p>
            <w:pPr>
              <w:jc w:val="left"/>
            </w:pPr>
            <w:r>
              <w:rPr>
                <w:sz w:val="21"/>
              </w:rPr>
              <w:t>收到群众投诉，并核查为消杀公司没有按照规定完成工作而影响消杀效果的投诉件数量</w:t>
            </w:r>
          </w:p>
        </w:tc>
        <w:tc>
          <w:tcPr>
            <w:tcW w:type="dxa" w:w="2970"/>
            <w:tcBorders>
              <w:top w:val="none" w:color="000000" w:sz="4"/>
              <w:left w:val="none" w:color="000000" w:sz="4"/>
              <w:bottom w:val="single" w:color="000000" w:sz="4"/>
              <w:right w:val="single" w:color="000000" w:sz="4"/>
            </w:tcBorders>
          </w:tcPr>
          <w:p>
            <w:pPr>
              <w:jc w:val="left"/>
            </w:pPr>
            <w:r>
              <w:rPr>
                <w:sz w:val="21"/>
              </w:rPr>
              <w:t>每宗真实投诉扣</w:t>
            </w:r>
            <w:r>
              <w:rPr>
                <w:sz w:val="21"/>
              </w:rPr>
              <w:t>2</w:t>
            </w:r>
            <w:r>
              <w:rPr>
                <w:sz w:val="21"/>
              </w:rPr>
              <w:t>分</w:t>
            </w:r>
          </w:p>
        </w:tc>
        <w:tc>
          <w:tcPr>
            <w:tcW w:type="dxa" w:w="705"/>
            <w:tcBorders>
              <w:top w:val="none" w:color="000000" w:sz="4"/>
              <w:left w:val="none" w:color="000000" w:sz="4"/>
              <w:bottom w:val="single" w:color="000000" w:sz="4"/>
              <w:right w:val="single" w:color="000000" w:sz="4"/>
            </w:tcBorders>
          </w:tcPr>
          <w:p>
            <w:pPr>
              <w:jc w:val="center"/>
            </w:pPr>
            <w:r>
              <w:rPr>
                <w:sz w:val="21"/>
              </w:rPr>
              <w:t>4</w:t>
            </w:r>
          </w:p>
        </w:tc>
        <w:tc>
          <w:tcPr>
            <w:tcW w:type="dxa" w:w="705"/>
            <w:tcBorders>
              <w:top w:val="none" w:color="000000" w:sz="4"/>
              <w:left w:val="none" w:color="000000" w:sz="4"/>
              <w:bottom w:val="single" w:color="000000" w:sz="4"/>
              <w:right w:val="single" w:color="000000" w:sz="4"/>
            </w:tcBorders>
          </w:tcPr>
          <w:p>
            <w:pPr>
              <w:jc w:val="left"/>
            </w:pPr>
          </w:p>
        </w:tc>
      </w:tr>
      <w:tr>
        <w:tc>
          <w:tcPr>
            <w:tcW w:type="dxa" w:w="735"/>
            <w:tcBorders>
              <w:top w:val="none" w:color="000000" w:sz="4"/>
              <w:left w:val="single" w:color="000000" w:sz="4"/>
              <w:bottom w:val="single" w:color="000000" w:sz="4"/>
              <w:right w:val="single" w:color="000000" w:sz="4"/>
            </w:tcBorders>
          </w:tcPr>
          <w:p>
            <w:pPr>
              <w:jc w:val="center"/>
            </w:pPr>
            <w:r>
              <w:rPr>
                <w:sz w:val="21"/>
              </w:rPr>
              <w:t>合计</w:t>
            </w:r>
          </w:p>
        </w:tc>
        <w:tc>
          <w:tcPr>
            <w:tcW w:type="dxa" w:w="3060"/>
            <w:tcBorders>
              <w:top w:val="none" w:color="000000" w:sz="4"/>
              <w:left w:val="none" w:color="000000" w:sz="4"/>
              <w:bottom w:val="single" w:color="000000" w:sz="4"/>
              <w:right w:val="single" w:color="000000" w:sz="4"/>
            </w:tcBorders>
          </w:tcPr>
          <w:p>
            <w:pPr>
              <w:jc w:val="both"/>
            </w:pPr>
          </w:p>
        </w:tc>
        <w:tc>
          <w:tcPr>
            <w:tcW w:type="dxa" w:w="2970"/>
            <w:tcBorders>
              <w:top w:val="none" w:color="000000" w:sz="4"/>
              <w:left w:val="none" w:color="000000" w:sz="4"/>
              <w:bottom w:val="single" w:color="000000" w:sz="4"/>
              <w:right w:val="single" w:color="000000" w:sz="4"/>
            </w:tcBorders>
          </w:tcPr>
          <w:p>
            <w:pPr>
              <w:jc w:val="both"/>
            </w:pPr>
          </w:p>
        </w:tc>
        <w:tc>
          <w:tcPr>
            <w:tcW w:type="dxa" w:w="705"/>
            <w:tcBorders>
              <w:top w:val="none" w:color="000000" w:sz="4"/>
              <w:left w:val="none" w:color="000000" w:sz="4"/>
              <w:bottom w:val="single" w:color="000000" w:sz="4"/>
              <w:right w:val="single" w:color="000000" w:sz="4"/>
            </w:tcBorders>
          </w:tcPr>
          <w:p>
            <w:pPr>
              <w:jc w:val="center"/>
            </w:pPr>
            <w:r>
              <w:rPr>
                <w:sz w:val="21"/>
              </w:rPr>
              <w:t>100</w:t>
            </w:r>
          </w:p>
        </w:tc>
        <w:tc>
          <w:tcPr>
            <w:tcW w:type="dxa" w:w="705"/>
            <w:tcBorders>
              <w:top w:val="none" w:color="000000" w:sz="4"/>
              <w:left w:val="none" w:color="000000" w:sz="4"/>
              <w:bottom w:val="single" w:color="000000" w:sz="4"/>
              <w:right w:val="single" w:color="000000" w:sz="4"/>
            </w:tcBorders>
          </w:tcPr>
          <w:p>
            <w:pPr>
              <w:jc w:val="left"/>
            </w:pPr>
          </w:p>
        </w:tc>
      </w:tr>
    </w:tbl>
    <w:p>
      <w:pPr>
        <w:jc w:val="left"/>
      </w:pPr>
    </w:p>
    <w:p/>
    <w:p/>
    <w:p>
      <w:pPr>
        <w:jc w:val="left"/>
      </w:pPr>
    </w:p>
    <w:p>
      <w:pPr>
        <w:jc w:val="both"/>
      </w:pPr>
      <w:r>
        <w:rPr>
          <w:b/>
          <w:sz w:val="21"/>
        </w:rPr>
        <w:t>附件三：红线图</w:t>
      </w:r>
    </w:p>
    <w:p>
      <w:pPr>
        <w:jc w:val="both"/>
      </w:pPr>
      <w:r>
        <w:drawing>
          <wp:inline distT="0" distR="0" distB="0" distL="0">
            <wp:extent cx="4752975" cy="345757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4752975" cy="3457575"/>
                    </a:xfrm>
                    <a:prstGeom prst="rect">
                      <a:avLst/>
                    </a:prstGeom>
                  </pic:spPr>
                </pic:pic>
              </a:graphicData>
            </a:graphic>
          </wp:inline>
        </w:drawing>
      </w:r>
    </w:p>
    <w:p>
      <w:pPr>
        <w:jc w:val="both"/>
      </w:pPr>
    </w:p>
    <w:p/>
    <w:p/>
    <w:p>
      <w:pPr>
        <w:jc w:val="left"/>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441900031-2024-00026</w:t>
      </w:r>
    </w:p>
    <w:p>
      <w:pPr>
        <w:jc w:val="center"/>
      </w:pPr>
      <w:r>
        <w:rPr>
          <w:b/>
          <w:sz w:val="24"/>
        </w:rPr>
        <w:t>采购项目编号：</w:t>
      </w:r>
      <w:r>
        <w:rPr>
          <w:b/>
          <w:sz w:val="24"/>
        </w:rPr>
        <w:t>441900031-2024-00026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广东德业招标代理有限公司</w:t>
      </w:r>
    </w:p>
    <w:p>
      <w:pPr>
        <w:ind w:firstLine="480"/>
      </w:pPr>
      <w:r>
        <w:rPr/>
        <w:t>你方组织的</w:t>
      </w:r>
      <w:r>
        <w:rPr>
          <w:u w:val="single"/>
        </w:rPr>
        <w:t>“</w:t>
      </w:r>
      <w:r>
        <w:rPr>
          <w:u w:val="single"/>
        </w:rPr>
        <w:t>道滘镇中心区“四害”消杀项目</w:t>
      </w:r>
      <w:r>
        <w:rPr>
          <w:u w:val="single"/>
        </w:rPr>
        <w:t>”</w:t>
      </w:r>
      <w:r>
        <w:rPr/>
        <w:t>项目的招标[采购项目编号为：</w:t>
      </w:r>
      <w:r>
        <w:rPr>
          <w:u w:val="single"/>
        </w:rPr>
        <w:t>441900031-2024-00026</w:t>
      </w:r>
      <w:r>
        <w:rPr/>
        <w:t>]，我方愿参与投标。</w:t>
      </w:r>
    </w:p>
    <w:p>
      <w:pPr>
        <w:ind w:firstLine="480"/>
      </w:pPr>
      <w:r>
        <w:rPr/>
        <w:t>我方确认收到贵方提供的</w:t>
      </w:r>
      <w:r>
        <w:rPr>
          <w:u w:val="single"/>
        </w:rPr>
        <w:t>“</w:t>
      </w:r>
      <w:r>
        <w:rPr>
          <w:u w:val="single"/>
        </w:rPr>
        <w:t>道滘镇中心区“四害”消杀项目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广东德业招标代理有限公司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道滘镇中心区“四害”消杀项目</w:t>
      </w:r>
      <w:r>
        <w:rPr/>
        <w:t>”项目采购[采购项目编号为</w:t>
      </w:r>
      <w:r>
        <w:rPr/>
        <w:t>441900031-2024-00026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东莞市道滘镇卫生健康局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广东德业招标代理有限公司</w:t>
      </w:r>
    </w:p>
    <w:p>
      <w:pPr>
        <w:ind w:firstLine="480"/>
      </w:pPr>
      <w:r>
        <w:rPr/>
        <w:t>如果我方在贵采购代理机构组织的</w:t>
      </w:r>
      <w:r>
        <w:rPr/>
        <w:t>道滘镇中心区“四害”消杀项目</w:t>
      </w:r>
      <w:r>
        <w:rPr/>
        <w:t>招标中获中标（采购项目编号：</w:t>
      </w:r>
      <w:r>
        <w:rPr/>
        <w:t>441900031-2024-00026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广东德业招标代理有限公司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广东德业招标代理有限公司</w:t>
      </w:r>
    </w:p>
    <w:p>
      <w:pPr>
        <w:ind w:firstLine="480"/>
      </w:pPr>
      <w:r>
        <w:rPr/>
        <w:t>我单位已登记并准备参与“</w:t>
      </w:r>
      <w:r>
        <w:rPr/>
        <w:t>道滘镇中心区“四害”消杀项目</w:t>
      </w:r>
      <w:r>
        <w:rPr/>
        <w:t>”项目（采购项目编号：</w:t>
      </w:r>
      <w:r>
        <w:rPr/>
        <w:t>441900031-2024-00026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