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eastAsia" w:ascii="仿宋" w:hAnsi="仿宋" w:eastAsia="仿宋" w:cs="仿宋"/>
          <w:b/>
          <w:color w:val="auto"/>
          <w:sz w:val="44"/>
          <w:szCs w:val="44"/>
        </w:rPr>
      </w:pPr>
    </w:p>
    <w:p>
      <w:pPr>
        <w:adjustRightInd/>
        <w:spacing w:line="480" w:lineRule="auto"/>
        <w:jc w:val="center"/>
        <w:rPr>
          <w:rFonts w:hint="eastAsia" w:ascii="仿宋" w:hAnsi="仿宋" w:eastAsia="仿宋" w:cs="仿宋"/>
          <w:color w:val="auto"/>
          <w:sz w:val="48"/>
          <w:szCs w:val="48"/>
          <w:lang w:val="en-US" w:eastAsia="zh-CN"/>
        </w:rPr>
      </w:pPr>
      <w:r>
        <w:rPr>
          <w:rFonts w:hint="eastAsia" w:ascii="仿宋" w:hAnsi="仿宋" w:eastAsia="仿宋" w:cs="仿宋"/>
          <w:color w:val="auto"/>
          <w:sz w:val="48"/>
          <w:szCs w:val="48"/>
          <w:lang w:eastAsia="zh-CN"/>
        </w:rPr>
        <w:t>2024年</w:t>
      </w:r>
      <w:r>
        <w:rPr>
          <w:rFonts w:hint="eastAsia" w:ascii="仿宋" w:hAnsi="仿宋" w:eastAsia="仿宋" w:cs="仿宋"/>
          <w:color w:val="auto"/>
          <w:sz w:val="48"/>
          <w:szCs w:val="48"/>
          <w:lang w:val="en-US" w:eastAsia="zh-CN"/>
        </w:rPr>
        <w:t>杭州市余杭区白蚁防治服务项目</w:t>
      </w:r>
    </w:p>
    <w:p>
      <w:pPr>
        <w:pStyle w:val="23"/>
        <w:rPr>
          <w:rFonts w:hint="eastAsia" w:ascii="仿宋" w:hAnsi="仿宋" w:eastAsia="仿宋" w:cs="仿宋"/>
          <w:color w:val="auto"/>
          <w:sz w:val="48"/>
          <w:szCs w:val="48"/>
          <w:lang w:val="en-US" w:eastAsia="zh-CN"/>
        </w:rPr>
      </w:pPr>
    </w:p>
    <w:p>
      <w:pPr>
        <w:rPr>
          <w:rFonts w:hint="eastAsia" w:ascii="仿宋" w:hAnsi="仿宋" w:eastAsia="仿宋" w:cs="仿宋"/>
          <w:color w:val="auto"/>
          <w:sz w:val="48"/>
          <w:szCs w:val="48"/>
          <w:lang w:val="en-US" w:eastAsia="zh-CN"/>
        </w:rPr>
      </w:pPr>
    </w:p>
    <w:p>
      <w:pPr>
        <w:pStyle w:val="23"/>
        <w:rPr>
          <w:rFonts w:hint="default"/>
          <w:lang w:val="en-US" w:eastAsia="zh-CN"/>
        </w:rPr>
      </w:pPr>
    </w:p>
    <w:p>
      <w:pPr>
        <w:adjustRightInd/>
        <w:spacing w:line="48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48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48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ZDZFCG2024-002</w:t>
      </w:r>
    </w:p>
    <w:p>
      <w:pPr>
        <w:pStyle w:val="79"/>
        <w:rPr>
          <w:rFonts w:hint="eastAsia" w:ascii="仿宋" w:hAnsi="仿宋" w:eastAsia="仿宋" w:cs="仿宋"/>
          <w:color w:val="auto"/>
          <w:sz w:val="30"/>
          <w:szCs w:val="30"/>
          <w:lang w:eastAsia="zh-CN"/>
        </w:rPr>
      </w:pPr>
    </w:p>
    <w:p>
      <w:pPr>
        <w:pStyle w:val="79"/>
        <w:rPr>
          <w:rFonts w:hint="eastAsia" w:ascii="仿宋" w:hAnsi="仿宋" w:eastAsia="仿宋" w:cs="仿宋"/>
          <w:color w:val="auto"/>
          <w:sz w:val="30"/>
          <w:szCs w:val="30"/>
          <w:lang w:eastAsia="zh-CN"/>
        </w:rPr>
      </w:pPr>
    </w:p>
    <w:p>
      <w:pPr>
        <w:adjustRightInd/>
        <w:spacing w:line="480" w:lineRule="auto"/>
        <w:jc w:val="center"/>
        <w:rPr>
          <w:rFonts w:hint="eastAsia" w:ascii="仿宋" w:hAnsi="仿宋" w:eastAsia="仿宋" w:cs="仿宋"/>
          <w:color w:val="auto"/>
          <w:sz w:val="28"/>
          <w:szCs w:val="20"/>
        </w:rPr>
      </w:pPr>
    </w:p>
    <w:p>
      <w:pPr>
        <w:pStyle w:val="23"/>
        <w:rPr>
          <w:rFonts w:hint="eastAsia" w:ascii="仿宋" w:hAnsi="仿宋" w:eastAsia="仿宋" w:cs="仿宋"/>
          <w:color w:val="auto"/>
          <w:sz w:val="28"/>
          <w:szCs w:val="20"/>
        </w:rPr>
      </w:pPr>
    </w:p>
    <w:p>
      <w:pPr>
        <w:rPr>
          <w:rFonts w:hint="eastAsia"/>
        </w:rPr>
      </w:pPr>
    </w:p>
    <w:p>
      <w:pPr>
        <w:spacing w:line="480" w:lineRule="auto"/>
        <w:jc w:val="center"/>
        <w:rPr>
          <w:rFonts w:hint="eastAsia" w:ascii="仿宋" w:hAnsi="仿宋" w:eastAsia="仿宋" w:cs="仿宋"/>
          <w:color w:val="auto"/>
          <w:sz w:val="24"/>
        </w:rPr>
      </w:pPr>
    </w:p>
    <w:p>
      <w:pPr>
        <w:spacing w:line="480" w:lineRule="auto"/>
        <w:rPr>
          <w:rFonts w:hint="eastAsia" w:ascii="仿宋" w:hAnsi="仿宋" w:eastAsia="仿宋" w:cs="仿宋"/>
          <w:color w:val="auto"/>
          <w:sz w:val="32"/>
          <w:szCs w:val="32"/>
        </w:rPr>
      </w:pPr>
    </w:p>
    <w:p>
      <w:pPr>
        <w:spacing w:line="480" w:lineRule="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采购人：杭州市余杭区住房保障和房产业服务中心</w:t>
      </w:r>
    </w:p>
    <w:p>
      <w:pPr>
        <w:snapToGrid w:val="0"/>
        <w:spacing w:line="480" w:lineRule="auto"/>
        <w:jc w:val="center"/>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采购代理机构：</w:t>
      </w:r>
      <w:r>
        <w:rPr>
          <w:rFonts w:hint="eastAsia" w:ascii="仿宋" w:hAnsi="仿宋" w:eastAsia="仿宋" w:cs="仿宋"/>
          <w:bCs/>
          <w:color w:val="auto"/>
          <w:sz w:val="32"/>
          <w:szCs w:val="32"/>
          <w:lang w:eastAsia="zh-CN"/>
        </w:rPr>
        <w:t>杭州</w:t>
      </w:r>
      <w:r>
        <w:rPr>
          <w:rFonts w:hint="eastAsia" w:ascii="仿宋" w:hAnsi="仿宋" w:eastAsia="仿宋" w:cs="仿宋"/>
          <w:bCs/>
          <w:color w:val="auto"/>
          <w:sz w:val="32"/>
          <w:szCs w:val="32"/>
          <w:lang w:val="en-US" w:eastAsia="zh-CN"/>
        </w:rPr>
        <w:t>纵达工程咨询有限公司</w:t>
      </w:r>
    </w:p>
    <w:p>
      <w:pPr>
        <w:snapToGrid w:val="0"/>
        <w:spacing w:line="48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四</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二</w:t>
      </w:r>
      <w:r>
        <w:rPr>
          <w:rFonts w:hint="eastAsia" w:ascii="仿宋" w:hAnsi="仿宋" w:eastAsia="仿宋" w:cs="仿宋"/>
          <w:bCs/>
          <w:color w:val="auto"/>
          <w:sz w:val="32"/>
          <w:szCs w:val="32"/>
        </w:rPr>
        <w:t>月</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pPr>
        <w:pStyle w:val="320"/>
        <w:rPr>
          <w:rFonts w:hint="eastAsia" w:ascii="仿宋" w:hAnsi="仿宋" w:eastAsia="仿宋" w:cs="仿宋"/>
          <w:color w:val="auto"/>
        </w:rPr>
      </w:pPr>
    </w:p>
    <w:p>
      <w:pPr>
        <w:spacing w:line="48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48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48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bookmarkEnd w:id="2"/>
    <w:p>
      <w:pPr>
        <w:adjustRightInd/>
        <w:spacing w:line="480" w:lineRule="auto"/>
        <w:jc w:val="center"/>
        <w:outlineLvl w:val="0"/>
        <w:rPr>
          <w:rFonts w:hint="eastAsia" w:ascii="仿宋" w:hAnsi="仿宋" w:eastAsia="仿宋" w:cs="仿宋"/>
          <w:b/>
          <w:color w:val="auto"/>
          <w:sz w:val="36"/>
          <w:szCs w:val="20"/>
        </w:r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2024年</w:t>
      </w:r>
      <w:r>
        <w:rPr>
          <w:rFonts w:hint="eastAsia" w:ascii="仿宋" w:hAnsi="仿宋" w:eastAsia="仿宋" w:cs="仿宋"/>
          <w:color w:val="auto"/>
          <w:sz w:val="24"/>
          <w:u w:val="single"/>
          <w:lang w:val="en-US" w:eastAsia="zh-CN"/>
        </w:rPr>
        <w:t>杭州市余杭区白蚁防治服务项目</w:t>
      </w:r>
      <w:r>
        <w:rPr>
          <w:rFonts w:hint="eastAsia" w:ascii="仿宋" w:hAnsi="仿宋" w:eastAsia="仿宋" w:cs="仿宋"/>
          <w:color w:val="auto"/>
          <w:sz w:val="24"/>
        </w:rPr>
        <w:t>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color w:val="auto"/>
          <w:kern w:val="2"/>
          <w:sz w:val="24"/>
          <w:szCs w:val="24"/>
        </w:rPr>
        <w:t>https://www.zcygov.cn/）获取（下载）招标文件，并于</w:t>
      </w:r>
      <w:r>
        <w:rPr>
          <w:rStyle w:val="76"/>
          <w:rFonts w:hint="eastAsia" w:ascii="仿宋" w:hAnsi="仿宋" w:eastAsia="仿宋" w:cs="仿宋"/>
          <w:color w:val="FF0000"/>
          <w:kern w:val="2"/>
          <w:sz w:val="24"/>
          <w:szCs w:val="24"/>
        </w:rPr>
        <w:t>202</w:t>
      </w:r>
      <w:r>
        <w:rPr>
          <w:rStyle w:val="76"/>
          <w:rFonts w:hint="eastAsia" w:ascii="仿宋" w:hAnsi="仿宋" w:eastAsia="仿宋" w:cs="仿宋"/>
          <w:color w:val="FF0000"/>
          <w:kern w:val="2"/>
          <w:sz w:val="24"/>
          <w:szCs w:val="24"/>
          <w:lang w:val="en-US" w:eastAsia="zh-CN"/>
        </w:rPr>
        <w:t>4</w:t>
      </w:r>
      <w:r>
        <w:rPr>
          <w:rStyle w:val="76"/>
          <w:rFonts w:hint="eastAsia" w:ascii="仿宋" w:hAnsi="仿宋" w:eastAsia="仿宋" w:cs="仿宋"/>
          <w:color w:val="FF0000"/>
          <w:kern w:val="2"/>
          <w:sz w:val="24"/>
          <w:szCs w:val="24"/>
        </w:rPr>
        <w:t>年</w:t>
      </w:r>
      <w:r>
        <w:rPr>
          <w:rStyle w:val="76"/>
          <w:rFonts w:hint="eastAsia" w:ascii="仿宋" w:hAnsi="仿宋" w:eastAsia="仿宋" w:cs="仿宋"/>
          <w:color w:val="FF0000"/>
          <w:kern w:val="2"/>
          <w:sz w:val="24"/>
          <w:szCs w:val="24"/>
          <w:lang w:val="en-US" w:eastAsia="zh-CN"/>
        </w:rPr>
        <w:t>3</w:t>
      </w:r>
      <w:r>
        <w:rPr>
          <w:rStyle w:val="76"/>
          <w:rFonts w:hint="eastAsia" w:ascii="仿宋" w:hAnsi="仿宋" w:eastAsia="仿宋" w:cs="仿宋"/>
          <w:color w:val="FF0000"/>
          <w:kern w:val="2"/>
          <w:sz w:val="24"/>
          <w:szCs w:val="24"/>
        </w:rPr>
        <w:t>月</w:t>
      </w:r>
      <w:r>
        <w:rPr>
          <w:rStyle w:val="76"/>
          <w:rFonts w:hint="eastAsia" w:ascii="仿宋" w:hAnsi="仿宋" w:eastAsia="仿宋" w:cs="仿宋"/>
          <w:color w:val="FF0000"/>
          <w:kern w:val="2"/>
          <w:sz w:val="24"/>
          <w:szCs w:val="24"/>
          <w:lang w:val="en-US" w:eastAsia="zh-CN"/>
        </w:rPr>
        <w:t>4</w:t>
      </w:r>
      <w:r>
        <w:rPr>
          <w:rStyle w:val="76"/>
          <w:rFonts w:hint="eastAsia" w:ascii="仿宋" w:hAnsi="仿宋" w:eastAsia="仿宋" w:cs="仿宋"/>
          <w:color w:val="FF0000"/>
          <w:kern w:val="2"/>
          <w:sz w:val="24"/>
          <w:szCs w:val="24"/>
        </w:rPr>
        <w:t>日</w:t>
      </w:r>
      <w:r>
        <w:rPr>
          <w:rStyle w:val="76"/>
          <w:rFonts w:hint="eastAsia" w:ascii="仿宋" w:hAnsi="仿宋" w:eastAsia="仿宋" w:cs="仿宋"/>
          <w:color w:val="FF0000"/>
          <w:kern w:val="2"/>
          <w:sz w:val="24"/>
          <w:szCs w:val="24"/>
          <w:lang w:val="en-US" w:eastAsia="zh-CN"/>
        </w:rPr>
        <w:t>9</w:t>
      </w:r>
      <w:r>
        <w:rPr>
          <w:rStyle w:val="76"/>
          <w:rFonts w:hint="eastAsia" w:ascii="仿宋" w:hAnsi="仿宋" w:eastAsia="仿宋" w:cs="仿宋"/>
          <w:color w:val="FF0000"/>
          <w:kern w:val="2"/>
          <w:sz w:val="24"/>
          <w:szCs w:val="24"/>
        </w:rPr>
        <w:t>点</w:t>
      </w:r>
      <w:r>
        <w:rPr>
          <w:rStyle w:val="76"/>
          <w:rFonts w:hint="eastAsia" w:ascii="仿宋" w:hAnsi="仿宋" w:eastAsia="仿宋" w:cs="仿宋"/>
          <w:color w:val="FF0000"/>
          <w:kern w:val="2"/>
          <w:sz w:val="24"/>
          <w:szCs w:val="24"/>
          <w:lang w:val="en-US" w:eastAsia="zh-CN"/>
        </w:rPr>
        <w:t>30</w:t>
      </w:r>
      <w:r>
        <w:rPr>
          <w:rStyle w:val="76"/>
          <w:rFonts w:hint="eastAsia" w:ascii="仿宋" w:hAnsi="仿宋" w:eastAsia="仿宋" w:cs="仿宋"/>
          <w:color w:val="FF0000"/>
          <w:kern w:val="2"/>
          <w:sz w:val="24"/>
          <w:szCs w:val="24"/>
        </w:rPr>
        <w:t>分</w:t>
      </w:r>
      <w:r>
        <w:rPr>
          <w:rStyle w:val="76"/>
          <w:rFonts w:hint="eastAsia" w:ascii="仿宋" w:hAnsi="仿宋" w:eastAsia="仿宋" w:cs="仿宋"/>
          <w:bCs/>
          <w:color w:val="FF0000"/>
          <w:kern w:val="2"/>
          <w:sz w:val="24"/>
          <w:szCs w:val="24"/>
        </w:rPr>
        <w:t>00秒</w:t>
      </w:r>
      <w:r>
        <w:rPr>
          <w:rStyle w:val="76"/>
          <w:rFonts w:hint="eastAsia" w:ascii="仿宋" w:hAnsi="仿宋" w:eastAsia="仿宋" w:cs="仿宋"/>
          <w:bCs/>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pPr>
        <w:spacing w:line="48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b/>
          <w:color w:val="auto"/>
          <w:sz w:val="24"/>
          <w:lang w:val="en-US" w:eastAsia="zh-CN"/>
        </w:rPr>
        <w:t>ZDZFCG2024-002</w:t>
      </w:r>
    </w:p>
    <w:p>
      <w:pPr>
        <w:spacing w:line="48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b/>
          <w:color w:val="auto"/>
          <w:sz w:val="24"/>
          <w:lang w:eastAsia="zh-CN"/>
        </w:rPr>
        <w:t>2024年</w:t>
      </w:r>
      <w:r>
        <w:rPr>
          <w:rFonts w:hint="eastAsia" w:ascii="仿宋" w:hAnsi="仿宋" w:eastAsia="仿宋" w:cs="仿宋"/>
          <w:b/>
          <w:color w:val="auto"/>
          <w:sz w:val="24"/>
          <w:lang w:val="en-US" w:eastAsia="zh-CN"/>
        </w:rPr>
        <w:t>杭州市余杭区白蚁防治服务项目</w:t>
      </w:r>
    </w:p>
    <w:p>
      <w:pPr>
        <w:spacing w:line="48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color w:val="auto"/>
          <w:sz w:val="24"/>
          <w:lang w:val="en-US" w:eastAsia="zh-CN"/>
        </w:rPr>
        <w:t>1050000</w:t>
      </w:r>
    </w:p>
    <w:p>
      <w:pPr>
        <w:spacing w:line="48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1050000</w:t>
      </w:r>
      <w:r>
        <w:rPr>
          <w:rFonts w:hint="eastAsia" w:ascii="仿宋" w:hAnsi="仿宋" w:eastAsia="仿宋" w:cs="仿宋"/>
          <w:color w:val="auto"/>
          <w:sz w:val="24"/>
        </w:rPr>
        <w:t xml:space="preserve"> </w:t>
      </w:r>
    </w:p>
    <w:p>
      <w:pPr>
        <w:pStyle w:val="5"/>
        <w:spacing w:line="480" w:lineRule="auto"/>
        <w:ind w:firstLine="48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bCs/>
          <w:color w:val="auto"/>
          <w:sz w:val="24"/>
          <w:lang w:eastAsia="zh-CN"/>
        </w:rPr>
        <w:t>2024年</w:t>
      </w:r>
      <w:r>
        <w:rPr>
          <w:rFonts w:hint="eastAsia" w:ascii="仿宋" w:hAnsi="仿宋" w:eastAsia="仿宋" w:cs="仿宋"/>
          <w:b w:val="0"/>
          <w:bCs/>
          <w:color w:val="auto"/>
          <w:sz w:val="24"/>
          <w:lang w:val="en-US" w:eastAsia="zh-CN"/>
        </w:rPr>
        <w:t>杭州市余杭区白蚁防治服务项目</w:t>
      </w:r>
      <w:r>
        <w:rPr>
          <w:rFonts w:hint="eastAsia" w:ascii="仿宋" w:hAnsi="仿宋" w:eastAsia="仿宋" w:cs="仿宋"/>
          <w:bCs/>
          <w:color w:val="auto"/>
          <w:kern w:val="2"/>
          <w:sz w:val="24"/>
          <w:szCs w:val="24"/>
        </w:rPr>
        <w:t>。</w:t>
      </w:r>
      <w:r>
        <w:rPr>
          <w:rFonts w:hint="eastAsia" w:ascii="仿宋" w:hAnsi="仿宋" w:eastAsia="仿宋" w:cs="仿宋"/>
          <w:color w:val="auto"/>
          <w:kern w:val="2"/>
          <w:sz w:val="24"/>
          <w:szCs w:val="24"/>
        </w:rPr>
        <w:t>具体内容和相关要求详见招标文件</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第三部分</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采购需求</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，供应商可点击本公告下方“浏览采购文件”查看采购需求。</w:t>
      </w:r>
    </w:p>
    <w:p>
      <w:pPr>
        <w:pStyle w:val="85"/>
        <w:spacing w:line="480" w:lineRule="auto"/>
        <w:ind w:firstLine="482"/>
        <w:outlineLvl w:val="2"/>
        <w:rPr>
          <w:rFonts w:hint="default" w:ascii="仿宋" w:hAnsi="仿宋" w:eastAsia="仿宋" w:cs="仿宋"/>
          <w:color w:val="auto"/>
          <w:lang w:val="en-US" w:eastAsia="zh-CN"/>
        </w:rPr>
      </w:pPr>
      <w:r>
        <w:rPr>
          <w:rFonts w:hint="eastAsia" w:ascii="仿宋" w:hAnsi="仿宋" w:eastAsia="仿宋" w:cs="仿宋"/>
          <w:b/>
          <w:color w:val="auto"/>
        </w:rPr>
        <w:t>合同履约期限：</w:t>
      </w:r>
      <w:r>
        <w:rPr>
          <w:rFonts w:hint="eastAsia" w:ascii="仿宋" w:hAnsi="仿宋" w:eastAsia="仿宋" w:cs="仿宋"/>
          <w:b/>
          <w:color w:val="auto"/>
          <w:lang w:eastAsia="zh-CN"/>
        </w:rPr>
        <w:t>服务限期</w:t>
      </w:r>
      <w:r>
        <w:rPr>
          <w:rFonts w:hint="eastAsia" w:ascii="仿宋" w:hAnsi="仿宋" w:eastAsia="仿宋" w:cs="仿宋"/>
          <w:b/>
          <w:color w:val="auto"/>
          <w:lang w:val="en-US" w:eastAsia="zh-CN"/>
        </w:rPr>
        <w:t>1年。</w:t>
      </w:r>
    </w:p>
    <w:p>
      <w:pPr>
        <w:pStyle w:val="5"/>
        <w:spacing w:line="48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rPr>
        <w:sym w:font="Wingdings" w:char="F0FE"/>
      </w:r>
      <w:r>
        <w:rPr>
          <w:rFonts w:hint="eastAsia" w:ascii="仿宋" w:hAnsi="仿宋" w:eastAsia="仿宋" w:cs="仿宋"/>
          <w:b/>
          <w:color w:val="auto"/>
          <w:sz w:val="24"/>
        </w:rPr>
        <w:t>是；</w:t>
      </w:r>
      <w:r>
        <w:rPr>
          <w:rFonts w:hint="eastAsia" w:ascii="仿宋" w:hAnsi="仿宋" w:eastAsia="仿宋" w:cs="仿宋"/>
          <w:color w:val="auto"/>
          <w:kern w:val="0"/>
          <w:sz w:val="24"/>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48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48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pPr>
        <w:spacing w:line="48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pPr>
        <w:spacing w:line="480" w:lineRule="auto"/>
        <w:ind w:firstLine="480" w:firstLineChars="200"/>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480" w:lineRule="auto"/>
        <w:ind w:firstLine="897" w:firstLineChars="374"/>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服务全部由符合政策要求的中小企业承接，提供中小企业声明函；</w:t>
      </w:r>
    </w:p>
    <w:p>
      <w:pPr>
        <w:spacing w:line="480" w:lineRule="auto"/>
        <w:ind w:firstLine="897" w:firstLineChars="374"/>
        <w:rPr>
          <w:rFonts w:hint="eastAsia" w:ascii="仿宋" w:hAnsi="仿宋" w:eastAsia="仿宋" w:cs="仿宋"/>
          <w:color w:val="auto"/>
        </w:rPr>
      </w:pPr>
      <w:r>
        <w:rPr>
          <w:rFonts w:hint="eastAsia" w:ascii="仿宋" w:hAnsi="仿宋" w:eastAsia="仿宋" w:cs="仿宋"/>
          <w:color w:val="auto"/>
          <w:kern w:val="0"/>
          <w:sz w:val="24"/>
        </w:rPr>
        <w:t>☐</w:t>
      </w:r>
      <w:r>
        <w:rPr>
          <w:rFonts w:hint="eastAsia" w:ascii="仿宋" w:hAnsi="仿宋" w:eastAsia="仿宋" w:cs="仿宋"/>
          <w:color w:val="auto"/>
          <w:sz w:val="24"/>
        </w:rPr>
        <w:t>服务全部由符合政策要求的小微企业承接，提供中小企业声明函；</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4.本项目的特定资格要求：无；</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w:t>
      </w:r>
      <w:r>
        <w:rPr>
          <w:rFonts w:hint="eastAsia" w:ascii="仿宋" w:hAnsi="仿宋" w:eastAsia="仿宋" w:cs="仿宋"/>
          <w:color w:val="FF0000"/>
          <w:sz w:val="24"/>
        </w:rPr>
        <w:t>至</w:t>
      </w:r>
      <w:r>
        <w:rPr>
          <w:rFonts w:hint="eastAsia" w:ascii="仿宋" w:hAnsi="仿宋" w:eastAsia="仿宋" w:cs="仿宋"/>
          <w:color w:val="FF0000"/>
          <w:sz w:val="24"/>
          <w:u w:val="single"/>
        </w:rPr>
        <w:t>202</w:t>
      </w:r>
      <w:r>
        <w:rPr>
          <w:rFonts w:hint="eastAsia" w:ascii="仿宋" w:hAnsi="仿宋" w:eastAsia="仿宋" w:cs="仿宋"/>
          <w:color w:val="FF0000"/>
          <w:sz w:val="24"/>
          <w:u w:val="single"/>
          <w:lang w:val="en-US" w:eastAsia="zh-CN"/>
        </w:rPr>
        <w:t>4</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3</w:t>
      </w:r>
      <w:r>
        <w:rPr>
          <w:rFonts w:hint="eastAsia" w:ascii="仿宋" w:hAnsi="仿宋" w:eastAsia="仿宋" w:cs="仿宋"/>
          <w:color w:val="FF0000"/>
          <w:sz w:val="24"/>
          <w:u w:val="single"/>
        </w:rPr>
        <w:t>月</w:t>
      </w:r>
      <w:r>
        <w:rPr>
          <w:rFonts w:hint="eastAsia" w:ascii="仿宋" w:hAnsi="仿宋" w:eastAsia="仿宋" w:cs="仿宋"/>
          <w:color w:val="FF0000"/>
          <w:sz w:val="24"/>
          <w:u w:val="single"/>
          <w:lang w:val="en-US" w:eastAsia="zh-CN"/>
        </w:rPr>
        <w:t>4</w:t>
      </w:r>
      <w:r>
        <w:rPr>
          <w:rFonts w:hint="eastAsia" w:ascii="仿宋" w:hAnsi="仿宋" w:eastAsia="仿宋" w:cs="仿宋"/>
          <w:color w:val="FF0000"/>
          <w:sz w:val="24"/>
          <w:u w:val="single"/>
        </w:rPr>
        <w:t>日</w:t>
      </w:r>
      <w:r>
        <w:rPr>
          <w:rFonts w:hint="eastAsia" w:ascii="仿宋" w:hAnsi="仿宋" w:eastAsia="仿宋" w:cs="仿宋"/>
          <w:color w:val="FF0000"/>
          <w:sz w:val="24"/>
        </w:rPr>
        <w:t>，</w:t>
      </w:r>
      <w:r>
        <w:rPr>
          <w:rFonts w:hint="eastAsia" w:ascii="仿宋" w:hAnsi="仿宋" w:eastAsia="仿宋" w:cs="仿宋"/>
          <w:color w:val="auto"/>
          <w:sz w:val="24"/>
        </w:rPr>
        <w:t>每天上午00:00至12:00 ，下午12:00至23:59（北京时间，线上获取法定节假日均可，线下获取文件法定节假日除外）</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FF0000"/>
          <w:sz w:val="24"/>
          <w:u w:val="single"/>
        </w:rPr>
        <w:t xml:space="preserve"> 202</w:t>
      </w:r>
      <w:r>
        <w:rPr>
          <w:rFonts w:hint="eastAsia" w:ascii="仿宋" w:hAnsi="仿宋" w:eastAsia="仿宋" w:cs="仿宋"/>
          <w:color w:val="FF0000"/>
          <w:sz w:val="24"/>
          <w:u w:val="single"/>
          <w:lang w:val="en-US" w:eastAsia="zh-CN"/>
        </w:rPr>
        <w:t>4</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3</w:t>
      </w:r>
      <w:r>
        <w:rPr>
          <w:rFonts w:hint="eastAsia" w:ascii="仿宋" w:hAnsi="仿宋" w:eastAsia="仿宋" w:cs="仿宋"/>
          <w:color w:val="FF0000"/>
          <w:sz w:val="24"/>
          <w:u w:val="single"/>
        </w:rPr>
        <w:t>月</w:t>
      </w:r>
      <w:r>
        <w:rPr>
          <w:rFonts w:hint="eastAsia" w:ascii="仿宋" w:hAnsi="仿宋" w:eastAsia="仿宋" w:cs="仿宋"/>
          <w:color w:val="FF0000"/>
          <w:sz w:val="24"/>
          <w:u w:val="single"/>
          <w:lang w:val="en-US" w:eastAsia="zh-CN"/>
        </w:rPr>
        <w:t>4</w:t>
      </w:r>
      <w:r>
        <w:rPr>
          <w:rFonts w:hint="eastAsia" w:ascii="仿宋" w:hAnsi="仿宋" w:eastAsia="仿宋" w:cs="仿宋"/>
          <w:color w:val="FF0000"/>
          <w:sz w:val="24"/>
          <w:u w:val="single"/>
        </w:rPr>
        <w:t>日</w:t>
      </w:r>
      <w:r>
        <w:rPr>
          <w:rFonts w:hint="eastAsia" w:ascii="仿宋" w:hAnsi="仿宋" w:eastAsia="仿宋" w:cs="仿宋"/>
          <w:color w:val="FF0000"/>
          <w:sz w:val="24"/>
          <w:u w:val="single"/>
          <w:lang w:val="en-US" w:eastAsia="zh-CN"/>
        </w:rPr>
        <w:t>9</w:t>
      </w:r>
      <w:r>
        <w:rPr>
          <w:rFonts w:hint="eastAsia" w:ascii="仿宋" w:hAnsi="仿宋" w:eastAsia="仿宋" w:cs="仿宋"/>
          <w:color w:val="FF0000"/>
          <w:sz w:val="24"/>
          <w:u w:val="single"/>
        </w:rPr>
        <w:t>点</w:t>
      </w:r>
      <w:r>
        <w:rPr>
          <w:rFonts w:hint="eastAsia" w:ascii="仿宋" w:hAnsi="仿宋" w:eastAsia="仿宋" w:cs="仿宋"/>
          <w:color w:val="FF0000"/>
          <w:sz w:val="24"/>
          <w:u w:val="single"/>
          <w:lang w:val="en-US" w:eastAsia="zh-CN"/>
        </w:rPr>
        <w:t>30</w:t>
      </w:r>
      <w:r>
        <w:rPr>
          <w:rFonts w:hint="eastAsia" w:ascii="仿宋" w:hAnsi="仿宋" w:eastAsia="仿宋" w:cs="仿宋"/>
          <w:color w:val="FF0000"/>
          <w:sz w:val="24"/>
          <w:u w:val="single"/>
        </w:rPr>
        <w:t>分00秒</w:t>
      </w:r>
      <w:r>
        <w:rPr>
          <w:rFonts w:hint="eastAsia" w:ascii="仿宋" w:hAnsi="仿宋" w:eastAsia="仿宋" w:cs="仿宋"/>
          <w:bCs/>
          <w:color w:val="FF0000"/>
          <w:sz w:val="24"/>
          <w:u w:val="single"/>
        </w:rPr>
        <w:t xml:space="preserve"> </w:t>
      </w:r>
      <w:r>
        <w:rPr>
          <w:rFonts w:hint="eastAsia" w:ascii="仿宋" w:hAnsi="仿宋" w:eastAsia="仿宋" w:cs="仿宋"/>
          <w:color w:val="auto"/>
          <w:sz w:val="24"/>
        </w:rPr>
        <w:t>（北京时间）</w:t>
      </w:r>
    </w:p>
    <w:p>
      <w:pPr>
        <w:spacing w:line="48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r>
        <w:rPr>
          <w:rFonts w:hint="eastAsia" w:ascii="仿宋" w:hAnsi="仿宋" w:eastAsia="仿宋" w:cs="仿宋"/>
          <w:b w:val="0"/>
          <w:bCs/>
          <w:color w:val="auto"/>
          <w:sz w:val="24"/>
        </w:rPr>
        <w:t xml:space="preserve">线上投标响应 </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 xml:space="preserve"> </w:t>
      </w:r>
    </w:p>
    <w:p>
      <w:pPr>
        <w:spacing w:line="480" w:lineRule="auto"/>
        <w:ind w:firstLine="482" w:firstLineChars="200"/>
        <w:rPr>
          <w:rFonts w:hint="eastAsia" w:ascii="仿宋" w:hAnsi="仿宋" w:eastAsia="仿宋" w:cs="仿宋"/>
          <w:bCs/>
          <w:color w:val="FF0000"/>
          <w:sz w:val="24"/>
          <w:u w:val="single"/>
          <w:lang w:eastAsia="zh-CN"/>
        </w:rPr>
      </w:pPr>
      <w:r>
        <w:rPr>
          <w:rFonts w:hint="eastAsia" w:ascii="仿宋" w:hAnsi="仿宋" w:eastAsia="仿宋" w:cs="仿宋"/>
          <w:b/>
          <w:color w:val="auto"/>
          <w:sz w:val="24"/>
        </w:rPr>
        <w:t>开标时间：</w:t>
      </w:r>
      <w:r>
        <w:rPr>
          <w:rFonts w:hint="eastAsia" w:ascii="仿宋" w:hAnsi="仿宋" w:eastAsia="仿宋" w:cs="仿宋"/>
          <w:color w:val="FF0000"/>
          <w:sz w:val="24"/>
          <w:u w:val="single"/>
        </w:rPr>
        <w:t>20</w:t>
      </w:r>
      <w:r>
        <w:rPr>
          <w:rFonts w:hint="eastAsia" w:ascii="仿宋" w:hAnsi="仿宋" w:eastAsia="仿宋" w:cs="仿宋"/>
          <w:color w:val="FF0000"/>
          <w:sz w:val="24"/>
          <w:u w:val="single"/>
          <w:lang w:val="en-US" w:eastAsia="zh-CN"/>
        </w:rPr>
        <w:t>24</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3</w:t>
      </w:r>
      <w:r>
        <w:rPr>
          <w:rFonts w:hint="eastAsia" w:ascii="仿宋" w:hAnsi="仿宋" w:eastAsia="仿宋" w:cs="仿宋"/>
          <w:color w:val="FF0000"/>
          <w:sz w:val="24"/>
          <w:u w:val="single"/>
        </w:rPr>
        <w:t>月</w:t>
      </w:r>
      <w:r>
        <w:rPr>
          <w:rFonts w:hint="eastAsia" w:ascii="仿宋" w:hAnsi="仿宋" w:eastAsia="仿宋" w:cs="仿宋"/>
          <w:color w:val="FF0000"/>
          <w:sz w:val="24"/>
          <w:u w:val="single"/>
          <w:lang w:val="en-US" w:eastAsia="zh-CN"/>
        </w:rPr>
        <w:t xml:space="preserve"> 4</w:t>
      </w:r>
      <w:r>
        <w:rPr>
          <w:rFonts w:hint="eastAsia" w:ascii="仿宋" w:hAnsi="仿宋" w:eastAsia="仿宋" w:cs="仿宋"/>
          <w:color w:val="FF0000"/>
          <w:sz w:val="24"/>
          <w:u w:val="single"/>
        </w:rPr>
        <w:t>日</w:t>
      </w:r>
      <w:r>
        <w:rPr>
          <w:rFonts w:hint="eastAsia" w:ascii="仿宋" w:hAnsi="仿宋" w:eastAsia="仿宋" w:cs="仿宋"/>
          <w:color w:val="FF0000"/>
          <w:sz w:val="24"/>
          <w:u w:val="single"/>
          <w:lang w:val="en-US" w:eastAsia="zh-CN"/>
        </w:rPr>
        <w:t>9</w:t>
      </w:r>
      <w:r>
        <w:rPr>
          <w:rFonts w:hint="eastAsia" w:ascii="仿宋" w:hAnsi="仿宋" w:eastAsia="仿宋" w:cs="仿宋"/>
          <w:color w:val="FF0000"/>
          <w:sz w:val="24"/>
          <w:u w:val="single"/>
        </w:rPr>
        <w:t>点</w:t>
      </w:r>
      <w:r>
        <w:rPr>
          <w:rFonts w:hint="eastAsia" w:ascii="仿宋" w:hAnsi="仿宋" w:eastAsia="仿宋" w:cs="仿宋"/>
          <w:color w:val="FF0000"/>
          <w:sz w:val="24"/>
          <w:u w:val="single"/>
          <w:lang w:val="en-US" w:eastAsia="zh-CN"/>
        </w:rPr>
        <w:t>30</w:t>
      </w:r>
      <w:r>
        <w:rPr>
          <w:rFonts w:hint="eastAsia" w:ascii="仿宋" w:hAnsi="仿宋" w:eastAsia="仿宋" w:cs="仿宋"/>
          <w:color w:val="FF0000"/>
          <w:sz w:val="24"/>
          <w:u w:val="single"/>
        </w:rPr>
        <w:t>分00秒</w:t>
      </w:r>
      <w:r>
        <w:rPr>
          <w:rFonts w:hint="eastAsia" w:ascii="仿宋" w:hAnsi="仿宋" w:eastAsia="仿宋" w:cs="仿宋"/>
          <w:bCs/>
          <w:color w:val="FF0000"/>
          <w:sz w:val="24"/>
          <w:u w:val="single"/>
          <w:lang w:eastAsia="zh-CN"/>
        </w:rPr>
        <w:t>；</w:t>
      </w:r>
    </w:p>
    <w:p>
      <w:pPr>
        <w:spacing w:line="48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b w:val="0"/>
          <w:bCs/>
          <w:color w:val="auto"/>
          <w:sz w:val="24"/>
        </w:rPr>
        <w:t>登陆</w:t>
      </w:r>
      <w:r>
        <w:rPr>
          <w:rFonts w:hint="eastAsia" w:ascii="仿宋" w:hAnsi="仿宋" w:eastAsia="仿宋" w:cs="仿宋"/>
          <w:color w:val="auto"/>
          <w:sz w:val="24"/>
        </w:rPr>
        <w:t>政采云平台（https://www.zcygov.cn/）开标大厅等候开标解密；</w:t>
      </w:r>
    </w:p>
    <w:p>
      <w:pPr>
        <w:spacing w:line="48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48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 xml:space="preserve"> </w:t>
      </w:r>
    </w:p>
    <w:p>
      <w:pPr>
        <w:spacing w:line="480" w:lineRule="auto"/>
        <w:rPr>
          <w:rFonts w:hint="eastAsia" w:ascii="仿宋" w:hAnsi="仿宋" w:eastAsia="仿宋" w:cs="仿宋"/>
          <w:color w:val="000000" w:themeColor="text1"/>
          <w:sz w:val="24"/>
        </w:rPr>
      </w:pPr>
      <w:r>
        <w:rPr>
          <w:rFonts w:hint="eastAsia" w:ascii="仿宋" w:hAnsi="仿宋" w:eastAsia="仿宋" w:cs="仿宋"/>
          <w:color w:val="auto"/>
          <w:sz w:val="24"/>
        </w:rPr>
        <w:t xml:space="preserve">    </w:t>
      </w:r>
      <w:r>
        <w:rPr>
          <w:rFonts w:hint="eastAsia" w:ascii="仿宋" w:hAnsi="仿宋" w:eastAsia="仿宋" w:cs="仿宋"/>
          <w:color w:val="000000" w:themeColor="text1"/>
          <w:sz w:val="24"/>
        </w:rPr>
        <w:t>地    址：</w:t>
      </w:r>
      <w:r>
        <w:rPr>
          <w:rFonts w:hint="eastAsia" w:ascii="仿宋_GB2312" w:hAnsi="仿宋" w:eastAsia="仿宋_GB2312"/>
          <w:color w:val="000000" w:themeColor="text1"/>
          <w:sz w:val="24"/>
          <w:highlight w:val="none"/>
          <w:lang w:val="en-US" w:eastAsia="zh-CN"/>
        </w:rPr>
        <w:t>杭州市余杭区文一西路1500号4号楼1815室</w:t>
      </w:r>
    </w:p>
    <w:p>
      <w:pPr>
        <w:spacing w:line="480" w:lineRule="auto"/>
        <w:ind w:firstLine="48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项目联系人（询问）：</w:t>
      </w:r>
      <w:r>
        <w:rPr>
          <w:rFonts w:hint="eastAsia" w:ascii="仿宋" w:hAnsi="仿宋" w:eastAsia="仿宋" w:cs="仿宋"/>
          <w:color w:val="000000" w:themeColor="text1"/>
          <w:sz w:val="24"/>
          <w:lang w:val="en-US" w:eastAsia="zh-CN"/>
        </w:rPr>
        <w:t>杨永弟</w:t>
      </w:r>
    </w:p>
    <w:p>
      <w:pPr>
        <w:spacing w:line="480" w:lineRule="auto"/>
        <w:ind w:firstLine="240" w:firstLineChars="100"/>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项目联系方式（询问）：</w:t>
      </w:r>
      <w:r>
        <w:rPr>
          <w:rFonts w:hint="eastAsia" w:ascii="仿宋" w:hAnsi="仿宋" w:eastAsia="仿宋" w:cs="仿宋"/>
          <w:color w:val="000000" w:themeColor="text1"/>
          <w:sz w:val="24"/>
          <w:lang w:val="en-US" w:eastAsia="zh-CN"/>
        </w:rPr>
        <w:t>0571-</w:t>
      </w:r>
      <w:r>
        <w:rPr>
          <w:rFonts w:hint="eastAsia" w:ascii="仿宋" w:hAnsi="仿宋" w:eastAsia="仿宋" w:cs="仿宋"/>
          <w:color w:val="000000" w:themeColor="text1"/>
          <w:sz w:val="24"/>
          <w:highlight w:val="none"/>
          <w:lang w:val="en-US" w:eastAsia="zh-CN"/>
        </w:rPr>
        <w:t>89517731</w:t>
      </w:r>
    </w:p>
    <w:p>
      <w:pPr>
        <w:spacing w:line="480" w:lineRule="auto"/>
        <w:ind w:firstLine="48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质疑联系人：</w:t>
      </w:r>
      <w:r>
        <w:rPr>
          <w:rFonts w:hint="eastAsia" w:ascii="仿宋" w:hAnsi="仿宋" w:eastAsia="仿宋" w:cs="仿宋"/>
          <w:color w:val="000000" w:themeColor="text1"/>
          <w:sz w:val="24"/>
          <w:lang w:val="en-US" w:eastAsia="zh-CN"/>
        </w:rPr>
        <w:t>张卫兵</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lang w:val="en-US" w:eastAsia="zh-CN"/>
        </w:rPr>
        <w:t xml:space="preserve">                 </w:t>
      </w:r>
    </w:p>
    <w:p>
      <w:pPr>
        <w:spacing w:line="480" w:lineRule="auto"/>
        <w:ind w:firstLine="240" w:firstLineChars="100"/>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质疑联系方式：</w:t>
      </w:r>
      <w:r>
        <w:rPr>
          <w:rFonts w:hint="eastAsia" w:ascii="仿宋" w:hAnsi="仿宋" w:eastAsia="仿宋" w:cs="仿宋"/>
          <w:color w:val="000000" w:themeColor="text1"/>
          <w:sz w:val="24"/>
          <w:lang w:val="en-US" w:eastAsia="zh-CN"/>
        </w:rPr>
        <w:t>0571-</w:t>
      </w:r>
      <w:r>
        <w:rPr>
          <w:rFonts w:hint="eastAsia" w:ascii="仿宋" w:hAnsi="仿宋" w:eastAsia="仿宋" w:cs="仿宋"/>
          <w:color w:val="000000" w:themeColor="text1"/>
          <w:sz w:val="24"/>
          <w:highlight w:val="none"/>
          <w:lang w:val="en-US" w:eastAsia="zh-CN"/>
        </w:rPr>
        <w:t>89088719</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pPr>
        <w:spacing w:line="48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地    址：杭州市临平区东湖街道五洲路26号3号楼206</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王建廷         </w:t>
      </w:r>
    </w:p>
    <w:p>
      <w:pPr>
        <w:spacing w:line="48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项目联系方式（询问）：13</w:t>
      </w:r>
      <w:r>
        <w:rPr>
          <w:rFonts w:hint="eastAsia" w:ascii="仿宋" w:hAnsi="仿宋" w:eastAsia="仿宋" w:cs="仿宋"/>
          <w:color w:val="auto"/>
          <w:sz w:val="24"/>
          <w:lang w:val="en-US" w:eastAsia="zh-CN"/>
        </w:rPr>
        <w:t>868180403</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叶工               </w:t>
      </w:r>
    </w:p>
    <w:p>
      <w:pPr>
        <w:spacing w:line="480" w:lineRule="auto"/>
        <w:ind w:firstLine="480"/>
        <w:rPr>
          <w:rFonts w:hint="eastAsia" w:ascii="仿宋" w:hAnsi="仿宋" w:eastAsia="仿宋" w:cs="仿宋"/>
          <w:color w:val="auto"/>
          <w:sz w:val="24"/>
          <w:lang w:val="en-US"/>
        </w:rPr>
      </w:pPr>
      <w:r>
        <w:rPr>
          <w:rFonts w:hint="eastAsia" w:ascii="仿宋" w:hAnsi="仿宋" w:eastAsia="仿宋" w:cs="仿宋"/>
          <w:color w:val="auto"/>
          <w:sz w:val="24"/>
        </w:rPr>
        <w:t>质疑联系方式：19975292810</w:t>
      </w:r>
      <w:r>
        <w:rPr>
          <w:rFonts w:hint="eastAsia" w:ascii="仿宋" w:hAnsi="仿宋" w:eastAsia="仿宋" w:cs="仿宋"/>
          <w:color w:val="auto"/>
          <w:sz w:val="24"/>
          <w:lang w:eastAsia="zh-CN"/>
        </w:rPr>
        <w:t xml:space="preserve"> 　</w:t>
      </w:r>
      <w:r>
        <w:rPr>
          <w:rFonts w:hint="eastAsia" w:ascii="仿宋" w:hAnsi="仿宋" w:eastAsia="仿宋" w:cs="仿宋"/>
          <w:color w:val="auto"/>
          <w:sz w:val="24"/>
          <w:lang w:val="en-US" w:eastAsia="zh-CN"/>
        </w:rPr>
        <w:t xml:space="preserve">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480" w:lineRule="auto"/>
        <w:ind w:firstLine="480" w:firstLineChars="200"/>
        <w:rPr>
          <w:rFonts w:hint="eastAsia" w:ascii="仿宋" w:hAnsi="仿宋" w:eastAsia="仿宋" w:cs="仿宋"/>
          <w:color w:val="auto"/>
          <w:sz w:val="24"/>
        </w:rPr>
      </w:pP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3.同级政府采购监督管理部门            </w:t>
      </w:r>
    </w:p>
    <w:p>
      <w:pPr>
        <w:spacing w:line="48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名    称：杭州市余杭区财政局、浙江省政府采购行政裁决服务中心（杭州）</w:t>
      </w:r>
      <w:r>
        <w:rPr>
          <w:rFonts w:hint="eastAsia" w:ascii="仿宋" w:hAnsi="仿宋" w:eastAsia="仿宋" w:cs="仿宋"/>
          <w:color w:val="auto"/>
          <w:sz w:val="24"/>
          <w:lang w:eastAsia="zh-CN"/>
        </w:rPr>
        <w:t> </w:t>
      </w:r>
    </w:p>
    <w:p>
      <w:pPr>
        <w:spacing w:line="480" w:lineRule="auto"/>
        <w:rPr>
          <w:rFonts w:hint="eastAsia" w:ascii="仿宋" w:hAnsi="仿宋" w:eastAsia="仿宋" w:cs="仿宋"/>
          <w:color w:val="auto"/>
          <w:sz w:val="24"/>
          <w:lang w:val="en-US"/>
        </w:rPr>
      </w:pPr>
      <w:r>
        <w:rPr>
          <w:rFonts w:hint="eastAsia" w:ascii="仿宋" w:hAnsi="仿宋" w:eastAsia="仿宋" w:cs="仿宋"/>
          <w:color w:val="auto"/>
          <w:sz w:val="24"/>
        </w:rPr>
        <w:t xml:space="preserve">    地    址：杭州市上城区四季青街道新业路市民之家G03办公室（快递仅限ems或顺丰）</w:t>
      </w:r>
    </w:p>
    <w:p>
      <w:pPr>
        <w:spacing w:line="48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联系人 ：朱女士、王女士</w:t>
      </w:r>
      <w:r>
        <w:rPr>
          <w:rFonts w:hint="eastAsia" w:ascii="仿宋" w:hAnsi="仿宋" w:eastAsia="仿宋" w:cs="仿宋"/>
          <w:color w:val="auto"/>
          <w:sz w:val="24"/>
          <w:lang w:eastAsia="zh-CN"/>
        </w:rPr>
        <w:t xml:space="preserve"> </w:t>
      </w:r>
      <w:r>
        <w:rPr>
          <w:rFonts w:hint="eastAsia" w:ascii="仿宋" w:hAnsi="仿宋" w:eastAsia="仿宋" w:cs="仿宋"/>
          <w:color w:val="auto"/>
          <w:sz w:val="24"/>
          <w:lang w:val="en-US" w:eastAsia="zh-CN"/>
        </w:rPr>
        <w:t xml:space="preserve">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监督投诉电话：0571-85252453</w:t>
      </w:r>
      <w:r>
        <w:rPr>
          <w:rFonts w:hint="eastAsia" w:ascii="仿宋" w:hAnsi="仿宋" w:eastAsia="仿宋" w:cs="仿宋"/>
          <w:color w:val="auto"/>
          <w:sz w:val="24"/>
          <w:lang w:eastAsia="zh-CN"/>
        </w:rPr>
        <w:t xml:space="preserve"> </w:t>
      </w:r>
      <w:r>
        <w:rPr>
          <w:rFonts w:hint="eastAsia" w:ascii="仿宋" w:hAnsi="仿宋" w:eastAsia="仿宋" w:cs="仿宋"/>
          <w:color w:val="auto"/>
          <w:sz w:val="24"/>
        </w:rPr>
        <w:t xml:space="preserve">  </w:t>
      </w:r>
    </w:p>
    <w:p>
      <w:pPr>
        <w:spacing w:line="480" w:lineRule="auto"/>
        <w:ind w:firstLine="480"/>
        <w:rPr>
          <w:rFonts w:hint="eastAsia" w:ascii="仿宋" w:hAnsi="仿宋" w:eastAsia="仿宋" w:cs="仿宋"/>
          <w:color w:val="auto"/>
          <w:sz w:val="24"/>
        </w:rPr>
      </w:pPr>
    </w:p>
    <w:p>
      <w:pPr>
        <w:spacing w:line="480" w:lineRule="auto"/>
        <w:ind w:firstLine="48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7"/>
      <w:r>
        <w:rPr>
          <w:rFonts w:hint="eastAsia" w:ascii="仿宋" w:hAnsi="仿宋" w:eastAsia="仿宋" w:cs="仿宋"/>
          <w:b/>
          <w:color w:val="auto"/>
          <w:sz w:val="36"/>
          <w:szCs w:val="20"/>
        </w:rPr>
        <w:t xml:space="preserve"> 投标人须知</w:t>
      </w:r>
      <w:bookmarkEnd w:id="8"/>
    </w:p>
    <w:p>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val="en-US" w:eastAsia="zh-CN"/>
              </w:rPr>
              <w:t xml:space="preserve"> 白蚁防治服务项目  </w:t>
            </w:r>
            <w:r>
              <w:rPr>
                <w:rFonts w:hint="eastAsia" w:ascii="仿宋" w:hAnsi="仿宋" w:eastAsia="仿宋" w:cs="仿宋"/>
                <w:color w:val="auto"/>
                <w:kern w:val="0"/>
                <w:sz w:val="24"/>
                <w:highlight w:val="none"/>
                <w:u w:val="none"/>
                <w:lang w:val="en-US" w:eastAsia="zh-CN"/>
              </w:rPr>
              <w:t>；</w:t>
            </w:r>
          </w:p>
          <w:p>
            <w:pPr>
              <w:numPr>
                <w:ilvl w:val="0"/>
                <w:numId w:val="0"/>
              </w:numPr>
              <w:snapToGrid w:val="0"/>
              <w:spacing w:line="264" w:lineRule="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color w:val="auto"/>
                <w:kern w:val="0"/>
                <w:sz w:val="24"/>
                <w:szCs w:val="22"/>
                <w:highlight w:val="none"/>
                <w:lang w:val="en-US" w:eastAsia="en-US" w:bidi="ar-SA"/>
              </w:rPr>
              <w:pict>
                <v:shape id="图片 41" o:spid="_x0000_s1026" o:spt="75" type="#_x0000_t75" style="position:absolute;left:0pt;margin-left:3.35pt;margin-top:39.4pt;height:38.8pt;width:300.3pt;mso-position-vertical-relative:page;mso-wrap-distance-left:0pt;mso-wrap-distance-right:0pt;z-index:-251655168;mso-width-relative:page;mso-height-relative:page;" fillcolor="#FFFFFF" filled="f" o:preferrelative="t" stroked="f" coordsize="21600,21600" wrapcoords="0 0 0 20876 21471 20876 21471 0 0 0">
                  <v:path/>
                  <v:fill on="f" color2="#FFFFFF" focussize="0,0"/>
                  <v:stroke on="f"/>
                  <v:imagedata r:id="rId26" gain="65536f" blacklevel="0f" gamma="0" o:title=""/>
                  <o:lock v:ext="edit" position="f" selection="f" grouping="f" rotation="f" cropping="f" text="f" aspectratio="t"/>
                  <w10:wrap type="tight"/>
                </v:shape>
              </w:pic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lang w:val="en-US" w:eastAsia="zh-CN"/>
              </w:rPr>
              <w:t xml:space="preserve"> 其他未列明行业   </w:t>
            </w:r>
            <w:r>
              <w:rPr>
                <w:rFonts w:hint="eastAsia" w:ascii="仿宋" w:hAnsi="仿宋" w:eastAsia="仿宋" w:cs="仿宋"/>
                <w:color w:val="auto"/>
                <w:kern w:val="0"/>
                <w:sz w:val="24"/>
                <w:highlight w:val="none"/>
              </w:rPr>
              <w:t>；</w:t>
            </w:r>
          </w:p>
          <w:p>
            <w:pPr>
              <w:widowControl w:val="0"/>
              <w:numPr>
                <w:ilvl w:val="0"/>
                <w:numId w:val="0"/>
              </w:numPr>
              <w:wordWrap/>
              <w:adjustRightInd w:val="0"/>
              <w:snapToGrid w:val="0"/>
              <w:spacing w:line="264" w:lineRule="auto"/>
              <w:textAlignment w:val="auto"/>
              <w:rPr>
                <w:rFonts w:hint="eastAsia" w:ascii="仿宋" w:hAnsi="仿宋" w:eastAsia="仿宋" w:cs="仿宋"/>
                <w:color w:val="auto"/>
                <w:lang w:val="en-US"/>
              </w:rPr>
            </w:pPr>
            <w:r>
              <w:rPr>
                <w:rFonts w:hint="eastAsia" w:ascii="仿宋" w:hAnsi="仿宋" w:eastAsia="仿宋" w:cs="仿宋"/>
                <w:b/>
                <w:bCs/>
                <w:color w:val="auto"/>
                <w:kern w:val="2"/>
                <w:sz w:val="21"/>
                <w:szCs w:val="22"/>
                <w:lang w:val="en-US" w:eastAsia="zh-CN" w:bidi="ar-SA"/>
              </w:rPr>
              <w:pict>
                <v:shape id="图片 1" o:spid="_x0000_s1027" o:spt="75" type="#_x0000_t75" style="position:absolute;left:0pt;margin-left:3.35pt;margin-top:-11.75pt;height:22.4pt;width:299pt;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27" gain="65536f" blacklevel="0f" gamma="0" o:title=""/>
                  <o:lock v:ext="edit" position="f" selection="f" grouping="f" rotation="f" cropping="f" text="f" aspectratio="t"/>
                  <w10:wrap type="square"/>
                </v:shape>
              </w:pic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p>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不要求提供。</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☐B要求提供，</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(6)采购活动结束后，对于未中标人提供的样品，采购人、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将通知未中标人在规定的时间内取回，逾期未取回的，采购人、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不负保管义务；对于中标人提供的样品，采购人将进行保管、封存，并作为履约验收的参考。</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不组织。</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☐B组织。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分钟，讲解次序以投标文件解密时间先后次序为准，讲解演示人员不超过</w:t>
            </w:r>
            <w:r>
              <w:rPr>
                <w:rFonts w:hint="eastAsia" w:ascii="仿宋" w:hAnsi="仿宋" w:eastAsia="仿宋" w:cs="仿宋"/>
                <w:color w:val="auto"/>
                <w:kern w:val="0"/>
                <w:sz w:val="24"/>
                <w:u w:val="single"/>
              </w:rPr>
              <w:t>3</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u w:val="single"/>
                <w:lang w:val="en-US" w:eastAsia="zh-CN"/>
              </w:rPr>
              <w:t>编制时可根据项目情况进行调整</w:t>
            </w:r>
            <w:r>
              <w:rPr>
                <w:rFonts w:hint="eastAsia" w:ascii="仿宋" w:hAnsi="仿宋" w:eastAsia="仿宋" w:cs="仿宋"/>
                <w:color w:val="auto"/>
                <w:kern w:val="0"/>
                <w:sz w:val="24"/>
                <w:u w:val="single"/>
                <w:lang w:eastAsia="zh-CN"/>
              </w:rPr>
              <w:t>）</w:t>
            </w:r>
            <w:r>
              <w:rPr>
                <w:rFonts w:hint="eastAsia" w:ascii="仿宋" w:hAnsi="仿宋" w:eastAsia="仿宋" w:cs="仿宋"/>
                <w:color w:val="auto"/>
                <w:kern w:val="0"/>
                <w:sz w:val="24"/>
              </w:rPr>
              <w:t>人。讲解演示结束后按要求解答评标委员会提问。</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方式二：交易中心现场讲解演示。现场讲解地点为</w:t>
            </w:r>
            <w:r>
              <w:rPr>
                <w:rFonts w:hint="eastAsia" w:ascii="仿宋" w:hAnsi="仿宋" w:eastAsia="仿宋" w:cs="仿宋"/>
                <w:b w:val="0"/>
                <w:bCs w:val="0"/>
                <w:color w:val="auto"/>
                <w:kern w:val="0"/>
                <w:sz w:val="24"/>
                <w:u w:val="single"/>
              </w:rPr>
              <w:t xml:space="preserve">     </w:t>
            </w:r>
            <w:r>
              <w:rPr>
                <w:rFonts w:hint="eastAsia" w:ascii="仿宋" w:hAnsi="仿宋" w:eastAsia="仿宋" w:cs="仿宋"/>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482" w:firstLineChars="2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482" w:firstLineChars="2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rPr>
              <w:t>备份投标文件送达地点：杭州市临平区东湖街道五洲路26号3号楼206室；</w:t>
            </w:r>
          </w:p>
          <w:p>
            <w:pPr>
              <w:pStyle w:val="34"/>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rPr>
              <w:t>备份投标文件签收人员联系电话：王建廷，13868180403。</w:t>
            </w:r>
            <w:r>
              <w:rPr>
                <w:rFonts w:hint="eastAsia" w:ascii="仿宋" w:hAnsi="仿宋" w:eastAsia="仿宋" w:cs="仿宋"/>
                <w:b/>
                <w:bCs/>
                <w:color w:val="auto"/>
                <w:kern w:val="28"/>
                <w:sz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color w:val="auto"/>
                <w:kern w:val="28"/>
                <w:sz w:val="24"/>
              </w:rPr>
            </w:pPr>
            <w:r>
              <w:rPr>
                <w:rFonts w:hint="eastAsia" w:ascii="仿宋" w:hAnsi="仿宋" w:eastAsia="仿宋" w:cs="仿宋"/>
                <w:color w:val="auto"/>
                <w:kern w:val="0"/>
                <w:sz w:val="24"/>
              </w:rPr>
              <w:sym w:font="Wingdings" w:char="F0FE"/>
            </w:r>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本项目的招标代理费用由中标单位支付，中标单位在领取中标通知书前需向招标代理机构支付招标代理服务费，代理费用按《招标代理服务收费管理暂行办法》的通知（计价格[2002]1980号）文件标准计取，其中专家评审费按实计取，投标人在报价时应综合考虑该笔费用，但不单列进投标总价。</w:t>
            </w:r>
          </w:p>
          <w:p>
            <w:pPr>
              <w:pStyle w:val="2"/>
              <w:ind w:left="0" w:leftChars="0" w:firstLine="0" w:firstLineChars="0"/>
              <w:rPr>
                <w:rFonts w:hint="eastAsia" w:ascii="仿宋" w:hAnsi="仿宋" w:eastAsia="仿宋" w:cs="仿宋"/>
                <w:color w:val="auto"/>
              </w:rPr>
            </w:pPr>
            <w:r>
              <w:rPr>
                <w:rFonts w:hint="eastAsia" w:ascii="宋体" w:hAnsi="宋体" w:cs="宋体"/>
                <w:kern w:val="0"/>
                <w:sz w:val="24"/>
              </w:rPr>
              <w:t>注：投标人在报价时应综合考虑该笔费用，但不单列进投标总价。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中标单位在领取中标通知书时，提供承诺书和加盖公章的纸质版投标文件（正本一份，副本二份）。</w:t>
            </w:r>
          </w:p>
        </w:tc>
      </w:tr>
    </w:tbl>
    <w:p>
      <w:pPr>
        <w:snapToGrid w:val="0"/>
        <w:spacing w:line="360" w:lineRule="auto"/>
        <w:jc w:val="center"/>
        <w:rPr>
          <w:rFonts w:hint="eastAsia" w:ascii="仿宋" w:hAnsi="仿宋" w:eastAsia="仿宋" w:cs="仿宋"/>
          <w:b/>
          <w:color w:val="auto"/>
          <w:sz w:val="32"/>
          <w:szCs w:val="20"/>
        </w:rPr>
      </w:pPr>
    </w:p>
    <w:bookmarkEnd w:id="9"/>
    <w:p>
      <w:pPr>
        <w:adjustRightInd/>
        <w:spacing w:line="480" w:lineRule="auto"/>
        <w:ind w:firstLine="3845" w:firstLineChars="1197"/>
        <w:outlineLvl w:val="0"/>
        <w:rPr>
          <w:rFonts w:hint="eastAsia" w:ascii="仿宋" w:hAnsi="仿宋" w:eastAsia="仿宋" w:cs="仿宋"/>
          <w:b/>
          <w:color w:val="auto"/>
          <w:sz w:val="32"/>
          <w:szCs w:val="20"/>
        </w:rPr>
      </w:pPr>
      <w:bookmarkStart w:id="10" w:name="_Toc164416483"/>
      <w:bookmarkStart w:id="11" w:name="第三部分"/>
    </w:p>
    <w:p>
      <w:pPr>
        <w:adjustRightInd/>
        <w:spacing w:line="480" w:lineRule="auto"/>
        <w:ind w:firstLine="3845" w:firstLineChars="1197"/>
        <w:outlineLvl w:val="0"/>
        <w:rPr>
          <w:rFonts w:hint="eastAsia" w:ascii="仿宋" w:hAnsi="仿宋" w:eastAsia="仿宋" w:cs="仿宋"/>
          <w:b/>
          <w:color w:val="auto"/>
          <w:sz w:val="32"/>
          <w:szCs w:val="20"/>
        </w:rPr>
      </w:pPr>
    </w:p>
    <w:p>
      <w:pPr>
        <w:adjustRightInd/>
        <w:spacing w:line="480" w:lineRule="auto"/>
        <w:ind w:firstLine="3845" w:firstLineChars="1197"/>
        <w:outlineLvl w:val="0"/>
        <w:rPr>
          <w:rFonts w:hint="eastAsia" w:ascii="仿宋" w:hAnsi="仿宋" w:eastAsia="仿宋" w:cs="仿宋"/>
          <w:b/>
          <w:color w:val="auto"/>
          <w:sz w:val="32"/>
          <w:szCs w:val="20"/>
        </w:rPr>
      </w:pPr>
    </w:p>
    <w:p>
      <w:pPr>
        <w:adjustRightInd/>
        <w:spacing w:line="480" w:lineRule="auto"/>
        <w:ind w:firstLine="3845" w:firstLineChars="1197"/>
        <w:outlineLvl w:val="0"/>
        <w:rPr>
          <w:rFonts w:hint="eastAsia" w:ascii="仿宋" w:hAnsi="仿宋" w:eastAsia="仿宋" w:cs="仿宋"/>
          <w:b/>
          <w:color w:val="auto"/>
          <w:sz w:val="32"/>
          <w:szCs w:val="20"/>
        </w:rPr>
      </w:pPr>
    </w:p>
    <w:p>
      <w:pPr>
        <w:adjustRightInd/>
        <w:spacing w:line="480" w:lineRule="auto"/>
        <w:ind w:firstLine="3845" w:firstLineChars="1197"/>
        <w:outlineLvl w:val="0"/>
        <w:rPr>
          <w:rFonts w:hint="eastAsia" w:ascii="仿宋" w:hAnsi="仿宋" w:eastAsia="仿宋" w:cs="仿宋"/>
          <w:b/>
          <w:color w:val="auto"/>
          <w:sz w:val="32"/>
          <w:szCs w:val="20"/>
        </w:rPr>
      </w:pPr>
    </w:p>
    <w:p>
      <w:pPr>
        <w:adjustRightInd/>
        <w:spacing w:line="480" w:lineRule="auto"/>
        <w:ind w:firstLine="3845" w:firstLineChars="1197"/>
        <w:outlineLvl w:val="0"/>
        <w:rPr>
          <w:rFonts w:hint="eastAsia" w:ascii="仿宋" w:hAnsi="仿宋" w:eastAsia="仿宋" w:cs="仿宋"/>
          <w:b/>
          <w:color w:val="auto"/>
          <w:sz w:val="32"/>
          <w:szCs w:val="20"/>
        </w:rPr>
      </w:pPr>
    </w:p>
    <w:p>
      <w:pPr>
        <w:adjustRightInd/>
        <w:spacing w:line="48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48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eastAsia="zh-CN"/>
        </w:rPr>
        <w:t>、</w:t>
      </w:r>
      <w:r>
        <w:rPr>
          <w:rFonts w:hint="eastAsia" w:ascii="仿宋" w:hAnsi="仿宋" w:eastAsia="仿宋" w:cs="仿宋"/>
          <w:b/>
          <w:color w:val="auto"/>
          <w:sz w:val="24"/>
        </w:rPr>
        <w:t>适用范围</w:t>
      </w:r>
    </w:p>
    <w:p>
      <w:pPr>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48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w:t>
      </w:r>
      <w:r>
        <w:rPr>
          <w:rFonts w:hint="eastAsia" w:ascii="仿宋" w:hAnsi="仿宋" w:eastAsia="仿宋" w:cs="仿宋"/>
          <w:b/>
          <w:color w:val="auto"/>
          <w:sz w:val="24"/>
          <w:lang w:eastAsia="zh-CN"/>
        </w:rPr>
        <w:t>、</w:t>
      </w:r>
      <w:r>
        <w:rPr>
          <w:rFonts w:hint="eastAsia" w:ascii="仿宋" w:hAnsi="仿宋" w:eastAsia="仿宋" w:cs="仿宋"/>
          <w:b/>
          <w:color w:val="auto"/>
          <w:sz w:val="24"/>
        </w:rPr>
        <w:t>定义</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”系指招标公告中载明的本项目的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指本项目政府采购活动所依托的政府采购云平台（https://www.zcygov.cn/）。</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 系指适用本项目的要求，“</w:t>
      </w:r>
      <w:r>
        <w:rPr>
          <w:rFonts w:hint="eastAsia" w:ascii="仿宋" w:hAnsi="仿宋" w:eastAsia="仿宋" w:cs="仿宋"/>
          <w:color w:val="auto"/>
          <w:kern w:val="0"/>
          <w:sz w:val="24"/>
        </w:rPr>
        <w:t>☐</w:t>
      </w:r>
      <w:r>
        <w:rPr>
          <w:rFonts w:hint="eastAsia" w:ascii="仿宋" w:hAnsi="仿宋" w:eastAsia="仿宋" w:cs="仿宋"/>
          <w:color w:val="auto"/>
          <w:sz w:val="24"/>
        </w:rPr>
        <w:t>” 系指不适用本项目的要求。</w:t>
      </w:r>
    </w:p>
    <w:p>
      <w:pPr>
        <w:spacing w:line="48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eastAsia="zh-CN"/>
        </w:rPr>
        <w:t>、</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48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48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★本项目为专门面向中小企业采购的项目，对于小型或微型企业的投标报价不予扣除评审。</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48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48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w:t>
      </w:r>
      <w:r>
        <w:rPr>
          <w:rFonts w:hint="eastAsia" w:ascii="仿宋" w:hAnsi="仿宋" w:eastAsia="仿宋" w:cs="仿宋"/>
          <w:b/>
          <w:color w:val="auto"/>
          <w:sz w:val="24"/>
          <w:lang w:eastAsia="zh-CN"/>
        </w:rPr>
        <w:t>、</w:t>
      </w:r>
      <w:r>
        <w:rPr>
          <w:rFonts w:hint="eastAsia" w:ascii="仿宋" w:hAnsi="仿宋" w:eastAsia="仿宋" w:cs="仿宋"/>
          <w:b/>
          <w:color w:val="auto"/>
          <w:sz w:val="24"/>
        </w:rPr>
        <w:t>询问、质疑、投诉</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48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8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4"/>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4"/>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提出质疑，否则，采购人或者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不予受理：</w:t>
      </w:r>
    </w:p>
    <w:p>
      <w:pPr>
        <w:pStyle w:val="5"/>
        <w:spacing w:line="48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pPr>
        <w:pStyle w:val="34"/>
        <w:spacing w:line="48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4.3.3.1供应商的姓名或者名称、地址、邮编、联系人及联系电话；</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4.3.3.2质疑项目的名称、编号；</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4.3.3.3具体、明确的质疑事项和与质疑事项相关的请求；</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4.3.3.4事实依据；</w:t>
      </w:r>
    </w:p>
    <w:p>
      <w:pPr>
        <w:pStyle w:val="34"/>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4.3.3.5必要的法律依据；</w:t>
      </w:r>
    </w:p>
    <w:p>
      <w:pPr>
        <w:pStyle w:val="34"/>
        <w:spacing w:line="48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4.3.3.6提出质疑的日期。</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4.3.4对同一采购程序环节的质疑，供应商须在法定质疑期内一次性提出。</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.5采购人或者</w:t>
      </w:r>
      <w:r>
        <w:rPr>
          <w:rFonts w:hint="eastAsia" w:ascii="仿宋" w:hAnsi="仿宋" w:eastAsia="仿宋" w:cs="仿宋"/>
          <w:color w:val="auto"/>
          <w:lang w:eastAsia="zh-CN"/>
        </w:rPr>
        <w:t>采购代理机构</w:t>
      </w:r>
      <w:r>
        <w:rPr>
          <w:rFonts w:hint="eastAsia" w:ascii="仿宋" w:hAnsi="仿宋" w:eastAsia="仿宋" w:cs="仿宋"/>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lang w:eastAsia="zh-CN"/>
        </w:rPr>
        <w:t>采购代理机构</w:t>
      </w:r>
      <w:r>
        <w:rPr>
          <w:rFonts w:hint="eastAsia" w:ascii="仿宋" w:hAnsi="仿宋" w:eastAsia="仿宋" w:cs="仿宋"/>
          <w:color w:val="auto"/>
        </w:rPr>
        <w:t>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.6询问或者质疑事项可能影响采购结果的，采购人应当暂停签订合同，已经签订合同的，应当中止履行合同。</w:t>
      </w:r>
    </w:p>
    <w:p>
      <w:pPr>
        <w:pStyle w:val="572"/>
        <w:shd w:val="clear" w:color="auto" w:fill="FFFFFF"/>
        <w:snapToGrid w:val="0"/>
        <w:spacing w:after="240" w:afterAutospacing="0" w:line="48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4.4供应商投诉</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4.4.1质疑供应商对采购人、</w:t>
      </w:r>
      <w:r>
        <w:rPr>
          <w:rFonts w:hint="eastAsia" w:ascii="仿宋" w:hAnsi="仿宋" w:eastAsia="仿宋" w:cs="仿宋"/>
          <w:color w:val="auto"/>
          <w:lang w:eastAsia="zh-CN"/>
        </w:rPr>
        <w:t>采购代理机构</w:t>
      </w:r>
      <w:r>
        <w:rPr>
          <w:rFonts w:hint="eastAsia" w:ascii="仿宋" w:hAnsi="仿宋" w:eastAsia="仿宋" w:cs="仿宋"/>
          <w:color w:val="auto"/>
        </w:rPr>
        <w:t>的答复不满意或者采购人、</w:t>
      </w:r>
      <w:r>
        <w:rPr>
          <w:rFonts w:hint="eastAsia" w:ascii="仿宋" w:hAnsi="仿宋" w:eastAsia="仿宋" w:cs="仿宋"/>
          <w:color w:val="auto"/>
          <w:lang w:eastAsia="zh-CN"/>
        </w:rPr>
        <w:t>采购代理机构</w:t>
      </w:r>
      <w:r>
        <w:rPr>
          <w:rFonts w:hint="eastAsia" w:ascii="仿宋" w:hAnsi="仿宋" w:eastAsia="仿宋" w:cs="仿宋"/>
          <w:color w:val="auto"/>
        </w:rPr>
        <w:t>未在规定的时间内作出答复的，可以在答复期满后十五个工作日内向同级政府采购监督管理部门提出投诉。</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4.4.3供应商投诉应当有明确的请求和必要的证明材料。</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4.4.4以联合体形式参加政府采购活动的，其投诉应当由组成联合体的所有供应商共同提出。</w:t>
      </w:r>
    </w:p>
    <w:p>
      <w:pPr>
        <w:pStyle w:val="572"/>
        <w:shd w:val="clear" w:color="auto" w:fill="FFFFFF"/>
        <w:snapToGrid w:val="0"/>
        <w:spacing w:after="240" w:afterAutospacing="0" w:line="480" w:lineRule="auto"/>
        <w:ind w:firstLine="400"/>
        <w:contextualSpacing/>
        <w:rPr>
          <w:rFonts w:hint="eastAsia" w:ascii="仿宋" w:hAnsi="仿宋" w:eastAsia="仿宋" w:cs="仿宋"/>
          <w:color w:val="auto"/>
        </w:rPr>
      </w:pPr>
      <w:r>
        <w:rPr>
          <w:rFonts w:hint="eastAsia" w:ascii="仿宋" w:hAnsi="仿宋" w:eastAsia="仿宋" w:cs="仿宋"/>
          <w:color w:val="auto"/>
        </w:rPr>
        <w:t>4.4.5</w:t>
      </w:r>
      <w:r>
        <w:rPr>
          <w:rFonts w:hint="eastAsia" w:ascii="仿宋" w:hAnsi="仿宋" w:eastAsia="仿宋" w:cs="仿宋"/>
          <w:color w:val="auto"/>
          <w:highlight w:val="none"/>
          <w:lang w:eastAsia="zh-CN"/>
        </w:rPr>
        <w:t>杭州市余杭区政府采购项目投诉材料可寄送杭州市余杭区财政局</w:t>
      </w: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杭州市余杭区文一西路1500号8号楼1201</w:t>
      </w:r>
      <w:r>
        <w:rPr>
          <w:rFonts w:hint="eastAsia" w:ascii="仿宋" w:hAnsi="仿宋" w:eastAsia="仿宋" w:cs="仿宋"/>
          <w:color w:val="auto"/>
          <w:highlight w:val="none"/>
        </w:rPr>
        <w:t>，收件人：</w:t>
      </w:r>
      <w:r>
        <w:rPr>
          <w:rFonts w:hint="eastAsia" w:ascii="仿宋" w:hAnsi="仿宋" w:eastAsia="仿宋" w:cs="仿宋"/>
          <w:color w:val="auto"/>
          <w:highlight w:val="none"/>
          <w:lang w:eastAsia="zh-CN"/>
        </w:rPr>
        <w:t xml:space="preserve">马女士 </w:t>
      </w:r>
      <w:r>
        <w:rPr>
          <w:rFonts w:hint="eastAsia" w:ascii="仿宋" w:hAnsi="仿宋" w:eastAsia="仿宋" w:cs="仿宋"/>
          <w:color w:val="auto"/>
          <w:highlight w:val="none"/>
        </w:rPr>
        <w:t>，电话：</w:t>
      </w:r>
      <w:r>
        <w:rPr>
          <w:rFonts w:hint="eastAsia" w:ascii="仿宋" w:hAnsi="仿宋" w:eastAsia="仿宋" w:cs="仿宋"/>
          <w:color w:val="auto"/>
          <w:highlight w:val="none"/>
          <w:lang w:eastAsia="zh-CN"/>
        </w:rPr>
        <w:t>0571-88728858</w:t>
      </w:r>
      <w:r>
        <w:rPr>
          <w:rFonts w:hint="eastAsia" w:ascii="仿宋" w:hAnsi="仿宋" w:eastAsia="仿宋" w:cs="仿宋"/>
          <w:color w:val="auto"/>
          <w:highlight w:val="none"/>
        </w:rPr>
        <w:t>。</w:t>
      </w:r>
    </w:p>
    <w:p>
      <w:pPr>
        <w:pStyle w:val="572"/>
        <w:shd w:val="clear" w:color="auto" w:fill="FFFFFF"/>
        <w:snapToGrid w:val="0"/>
        <w:spacing w:after="240" w:afterAutospacing="0" w:line="480" w:lineRule="auto"/>
        <w:ind w:firstLine="400"/>
        <w:contextualSpacing/>
        <w:rPr>
          <w:rFonts w:hint="eastAsia" w:ascii="仿宋" w:hAnsi="仿宋" w:eastAsia="仿宋" w:cs="仿宋"/>
          <w:b/>
          <w:color w:val="auto"/>
          <w:sz w:val="32"/>
          <w:szCs w:val="20"/>
        </w:rPr>
      </w:pPr>
      <w:r>
        <w:rPr>
          <w:rFonts w:hint="eastAsia" w:ascii="仿宋" w:hAnsi="仿宋" w:eastAsia="仿宋" w:cs="仿宋"/>
          <w:color w:val="auto"/>
        </w:rPr>
        <w:t>投诉书范本及制作说明详见附件3。</w:t>
      </w:r>
      <w:r>
        <w:rPr>
          <w:rFonts w:hint="eastAsia" w:ascii="仿宋" w:hAnsi="仿宋" w:eastAsia="仿宋" w:cs="仿宋"/>
          <w:b/>
          <w:color w:val="auto"/>
          <w:sz w:val="32"/>
          <w:szCs w:val="20"/>
        </w:rPr>
        <w:t xml:space="preserve">     </w:t>
      </w:r>
    </w:p>
    <w:p>
      <w:pPr>
        <w:adjustRightInd/>
        <w:spacing w:line="48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招标文件的构成</w:t>
      </w:r>
    </w:p>
    <w:p>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4"/>
        <w:tabs>
          <w:tab w:val="left" w:pos="840"/>
        </w:tabs>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招标文件的澄清、修改</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w:t>
      </w:r>
      <w:r>
        <w:rPr>
          <w:rFonts w:hint="eastAsia" w:ascii="仿宋" w:hAnsi="仿宋" w:eastAsia="仿宋" w:cs="仿宋"/>
          <w:color w:val="auto"/>
          <w:lang w:eastAsia="zh-CN"/>
        </w:rPr>
        <w:t>采购代理机构</w:t>
      </w:r>
      <w:r>
        <w:rPr>
          <w:rFonts w:hint="eastAsia" w:ascii="仿宋" w:hAnsi="仿宋" w:eastAsia="仿宋" w:cs="仿宋"/>
          <w:color w:val="auto"/>
        </w:rPr>
        <w:t>提出。</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 xml:space="preserve">6.2 </w:t>
      </w:r>
      <w:r>
        <w:rPr>
          <w:rFonts w:hint="eastAsia" w:ascii="仿宋" w:hAnsi="仿宋" w:eastAsia="仿宋" w:cs="仿宋"/>
          <w:color w:val="auto"/>
          <w:lang w:eastAsia="zh-CN"/>
        </w:rPr>
        <w:t>采购代理机构</w:t>
      </w:r>
      <w:r>
        <w:rPr>
          <w:rFonts w:hint="eastAsia" w:ascii="仿宋" w:hAnsi="仿宋" w:eastAsia="仿宋" w:cs="仿宋"/>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pacing w:line="480" w:lineRule="auto"/>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48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招标文件的获取</w:t>
      </w:r>
    </w:p>
    <w:p>
      <w:pPr>
        <w:spacing w:line="48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开标前答疑会或现场考察</w:t>
      </w:r>
    </w:p>
    <w:p>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4"/>
        <w:spacing w:line="48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w:t>
      </w:r>
      <w:r>
        <w:rPr>
          <w:rFonts w:hint="eastAsia" w:ascii="仿宋" w:hAnsi="仿宋" w:eastAsia="仿宋" w:cs="仿宋"/>
          <w:b/>
          <w:color w:val="auto"/>
          <w:kern w:val="28"/>
          <w:sz w:val="24"/>
          <w:szCs w:val="24"/>
          <w:lang w:eastAsia="zh-CN"/>
        </w:rPr>
        <w:t>、</w:t>
      </w:r>
      <w:r>
        <w:rPr>
          <w:rFonts w:hint="eastAsia" w:ascii="仿宋" w:hAnsi="仿宋" w:eastAsia="仿宋" w:cs="仿宋"/>
          <w:b/>
          <w:color w:val="auto"/>
          <w:kern w:val="28"/>
          <w:sz w:val="24"/>
          <w:szCs w:val="24"/>
        </w:rPr>
        <w:t>投标保证金</w:t>
      </w:r>
    </w:p>
    <w:p>
      <w:pPr>
        <w:pStyle w:val="5"/>
        <w:spacing w:line="48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投标文件的语言</w:t>
      </w:r>
    </w:p>
    <w:p>
      <w:pPr>
        <w:autoSpaceDE w:val="0"/>
        <w:autoSpaceDN w:val="0"/>
        <w:spacing w:line="48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投标文件的组成</w:t>
      </w:r>
    </w:p>
    <w:p>
      <w:pPr>
        <w:snapToGrid w:val="0"/>
        <w:spacing w:line="48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11.1资格文件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11.1.1符合参加政府采购活动应当具备的一般条件的承诺函；</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11.1.2</w:t>
      </w:r>
      <w:r>
        <w:rPr>
          <w:rFonts w:hint="eastAsia" w:ascii="仿宋" w:hAnsi="仿宋" w:eastAsia="仿宋" w:cs="仿宋"/>
          <w:b w:val="0"/>
          <w:bCs w:val="0"/>
          <w:snapToGrid w:val="0"/>
          <w:color w:val="auto"/>
          <w:kern w:val="28"/>
          <w:sz w:val="24"/>
          <w:szCs w:val="20"/>
        </w:rPr>
        <w:t>联合协议（如果有)；</w:t>
      </w:r>
    </w:p>
    <w:p>
      <w:pPr>
        <w:snapToGrid w:val="0"/>
        <w:spacing w:line="480" w:lineRule="auto"/>
        <w:ind w:left="718" w:leftChars="342" w:firstLine="240" w:firstLineChars="100"/>
        <w:rPr>
          <w:rFonts w:hint="eastAsia" w:ascii="仿宋" w:hAnsi="仿宋" w:eastAsia="仿宋" w:cs="仿宋"/>
          <w:b/>
          <w:bCs/>
          <w:color w:val="auto"/>
          <w:sz w:val="24"/>
        </w:rPr>
      </w:pPr>
      <w:r>
        <w:rPr>
          <w:rFonts w:hint="eastAsia" w:ascii="仿宋" w:hAnsi="仿宋" w:eastAsia="仿宋" w:cs="仿宋"/>
          <w:b w:val="0"/>
          <w:bCs w:val="0"/>
          <w:color w:val="auto"/>
          <w:sz w:val="24"/>
        </w:rPr>
        <w:t>11.1.3落实政府采购政策需满足的资格要求</w:t>
      </w:r>
      <w:r>
        <w:rPr>
          <w:rFonts w:hint="eastAsia" w:ascii="仿宋" w:hAnsi="仿宋" w:eastAsia="仿宋" w:cs="仿宋"/>
          <w:b w:val="0"/>
          <w:bCs w:val="0"/>
          <w:snapToGrid w:val="0"/>
          <w:color w:val="auto"/>
          <w:kern w:val="28"/>
          <w:sz w:val="24"/>
          <w:szCs w:val="20"/>
          <w:lang w:eastAsia="zh-CN"/>
        </w:rPr>
        <w:t>：</w:t>
      </w:r>
      <w:r>
        <w:rPr>
          <w:rFonts w:hint="eastAsia" w:ascii="仿宋" w:hAnsi="仿宋" w:eastAsia="仿宋" w:cs="仿宋"/>
          <w:b/>
          <w:bCs/>
          <w:color w:val="auto"/>
          <w:sz w:val="24"/>
          <w:highlight w:val="none"/>
          <w:lang w:eastAsia="zh-CN"/>
        </w:rPr>
        <w:t>本项目为专门面向中小企业采购的项目,投标单位应为中小微企业或监狱企业</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lang w:eastAsia="zh-CN"/>
        </w:rPr>
        <w:t>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rPr>
        <w:t>提供相应的中小企业声明函</w:t>
      </w:r>
      <w:r>
        <w:rPr>
          <w:rFonts w:hint="eastAsia" w:ascii="仿宋" w:hAnsi="仿宋" w:eastAsia="仿宋" w:cs="仿宋"/>
          <w:b/>
          <w:bCs/>
          <w:color w:val="auto"/>
          <w:sz w:val="24"/>
          <w:lang w:eastAsia="zh-CN"/>
        </w:rPr>
        <w:t>，</w:t>
      </w:r>
      <w:r>
        <w:rPr>
          <w:rFonts w:hint="eastAsia" w:ascii="仿宋" w:hAnsi="仿宋" w:eastAsia="仿宋" w:cs="仿宋"/>
          <w:b/>
          <w:bCs/>
          <w:color w:val="auto"/>
          <w:sz w:val="24"/>
          <w:highlight w:val="none"/>
          <w:lang w:eastAsia="zh-CN"/>
        </w:rPr>
        <w:t>否则作无效标处理</w:t>
      </w:r>
      <w:r>
        <w:rPr>
          <w:rFonts w:hint="eastAsia" w:ascii="仿宋" w:hAnsi="仿宋" w:eastAsia="仿宋" w:cs="仿宋"/>
          <w:b/>
          <w:bCs/>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11.1.4本项目的特定资格要求</w:t>
      </w:r>
      <w:r>
        <w:rPr>
          <w:rFonts w:hint="eastAsia" w:ascii="仿宋" w:hAnsi="仿宋" w:eastAsia="仿宋" w:cs="仿宋"/>
          <w:b w:val="0"/>
          <w:bCs w:val="0"/>
          <w:snapToGrid w:val="0"/>
          <w:color w:val="auto"/>
          <w:kern w:val="28"/>
          <w:sz w:val="24"/>
          <w:szCs w:val="20"/>
        </w:rPr>
        <w:t>（如果有)</w:t>
      </w:r>
      <w:r>
        <w:rPr>
          <w:rFonts w:hint="eastAsia" w:ascii="仿宋" w:hAnsi="仿宋" w:eastAsia="仿宋" w:cs="仿宋"/>
          <w:b w:val="0"/>
          <w:bCs w:val="0"/>
          <w:color w:val="auto"/>
          <w:sz w:val="24"/>
        </w:rPr>
        <w:t>。</w:t>
      </w:r>
    </w:p>
    <w:p>
      <w:pPr>
        <w:pStyle w:val="2"/>
        <w:spacing w:line="480" w:lineRule="auto"/>
        <w:ind w:left="664" w:leftChars="316" w:firstLine="229" w:firstLineChars="95"/>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注：上述内容部分格式及内容详见“第六部分  应提交的有关格式范例”，</w:t>
      </w:r>
      <w:r>
        <w:rPr>
          <w:rFonts w:hint="eastAsia" w:ascii="仿宋" w:hAnsi="仿宋" w:eastAsia="仿宋" w:cs="仿宋"/>
          <w:b/>
          <w:bCs/>
          <w:color w:val="auto"/>
          <w:sz w:val="24"/>
          <w:highlight w:val="none"/>
        </w:rPr>
        <w:t>资格条件审查材料</w:t>
      </w:r>
      <w:r>
        <w:rPr>
          <w:rFonts w:hint="eastAsia" w:ascii="仿宋" w:hAnsi="仿宋" w:eastAsia="仿宋" w:cs="仿宋"/>
          <w:b/>
          <w:bCs/>
          <w:color w:val="auto"/>
          <w:sz w:val="24"/>
          <w:highlight w:val="none"/>
          <w:lang w:val="en-US" w:eastAsia="zh-CN"/>
        </w:rPr>
        <w:t>未响应提供</w:t>
      </w:r>
      <w:r>
        <w:rPr>
          <w:rFonts w:hint="eastAsia" w:ascii="仿宋" w:hAnsi="仿宋" w:eastAsia="仿宋" w:cs="仿宋"/>
          <w:b/>
          <w:bCs/>
          <w:color w:val="auto"/>
          <w:sz w:val="24"/>
          <w:highlight w:val="none"/>
        </w:rPr>
        <w:t>的，视为资格审查不通过</w:t>
      </w:r>
      <w:r>
        <w:rPr>
          <w:rFonts w:hint="eastAsia" w:ascii="仿宋" w:hAnsi="仿宋" w:eastAsia="仿宋" w:cs="仿宋"/>
          <w:b/>
          <w:bCs/>
          <w:color w:val="auto"/>
          <w:kern w:val="2"/>
          <w:sz w:val="24"/>
          <w:szCs w:val="24"/>
          <w:lang w:val="en-US" w:eastAsia="zh-CN" w:bidi="ar-SA"/>
        </w:rPr>
        <w:t>。</w:t>
      </w:r>
    </w:p>
    <w:p>
      <w:pPr>
        <w:snapToGrid w:val="0"/>
        <w:spacing w:line="480" w:lineRule="auto"/>
        <w:ind w:firstLine="480" w:firstLineChars="200"/>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lang w:val="zh-CN"/>
        </w:rPr>
        <w:t>11.</w:t>
      </w: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zh-CN"/>
        </w:rPr>
        <w:t xml:space="preserve">  </w:t>
      </w:r>
      <w:r>
        <w:rPr>
          <w:rFonts w:hint="eastAsia" w:ascii="仿宋" w:hAnsi="仿宋" w:eastAsia="仿宋" w:cs="仿宋"/>
          <w:b w:val="0"/>
          <w:bCs w:val="0"/>
          <w:color w:val="auto"/>
          <w:sz w:val="24"/>
        </w:rPr>
        <w:t>商务技术</w:t>
      </w:r>
      <w:r>
        <w:rPr>
          <w:rFonts w:hint="eastAsia" w:ascii="仿宋" w:hAnsi="仿宋" w:eastAsia="仿宋" w:cs="仿宋"/>
          <w:b w:val="0"/>
          <w:bCs w:val="0"/>
          <w:color w:val="auto"/>
          <w:sz w:val="24"/>
          <w:lang w:val="zh-CN"/>
        </w:rPr>
        <w:t>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zh-CN"/>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11.2.1投标函；</w:t>
      </w:r>
      <w:r>
        <w:rPr>
          <w:rFonts w:hint="eastAsia" w:ascii="仿宋" w:hAnsi="仿宋" w:eastAsia="仿宋" w:cs="仿宋"/>
          <w:b w:val="0"/>
          <w:bCs w:val="0"/>
          <w:color w:val="auto"/>
          <w:sz w:val="24"/>
          <w:lang w:val="zh-CN"/>
        </w:rPr>
        <w:t xml:space="preserve"> </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11.2.2授权委托书或法定代表人（单位负责人、自然人本人）身份证明；</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11.2.3分包意向协议</w:t>
      </w:r>
      <w:r>
        <w:rPr>
          <w:rFonts w:hint="eastAsia" w:ascii="仿宋" w:hAnsi="仿宋" w:eastAsia="仿宋" w:cs="仿宋"/>
          <w:b w:val="0"/>
          <w:bCs w:val="0"/>
          <w:snapToGrid w:val="0"/>
          <w:color w:val="auto"/>
          <w:kern w:val="28"/>
          <w:sz w:val="24"/>
          <w:szCs w:val="20"/>
        </w:rPr>
        <w:t>（如果有)</w:t>
      </w:r>
      <w:r>
        <w:rPr>
          <w:rFonts w:hint="eastAsia" w:ascii="仿宋" w:hAnsi="仿宋" w:eastAsia="仿宋" w:cs="仿宋"/>
          <w:b w:val="0"/>
          <w:bCs w:val="0"/>
          <w:color w:val="auto"/>
          <w:sz w:val="24"/>
        </w:rPr>
        <w:t>；</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11.2.4符合性审查资料；</w:t>
      </w:r>
    </w:p>
    <w:p>
      <w:pPr>
        <w:snapToGrid w:val="0"/>
        <w:spacing w:line="480" w:lineRule="auto"/>
        <w:ind w:left="420" w:leftChars="20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11.2.5评标标准相应的商务技术资料；</w:t>
      </w:r>
    </w:p>
    <w:p>
      <w:pPr>
        <w:snapToGrid w:val="0"/>
        <w:spacing w:line="480" w:lineRule="auto"/>
        <w:ind w:left="420" w:leftChars="20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11.2.6投标标的清单；</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11.2.7商务技术偏离表；</w:t>
      </w:r>
    </w:p>
    <w:p>
      <w:pPr>
        <w:snapToGrid w:val="0"/>
        <w:spacing w:line="480" w:lineRule="auto"/>
        <w:ind w:firstLine="960" w:firstLineChars="400"/>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lang w:val="zh-CN"/>
        </w:rPr>
        <w:t>11.</w:t>
      </w: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zh-CN"/>
        </w:rPr>
        <w:t>.</w:t>
      </w:r>
      <w:r>
        <w:rPr>
          <w:rFonts w:hint="eastAsia" w:ascii="仿宋" w:hAnsi="仿宋" w:eastAsia="仿宋" w:cs="仿宋"/>
          <w:b w:val="0"/>
          <w:bCs w:val="0"/>
          <w:color w:val="auto"/>
          <w:sz w:val="24"/>
        </w:rPr>
        <w:t>8</w:t>
      </w:r>
      <w:r>
        <w:rPr>
          <w:rFonts w:hint="eastAsia" w:ascii="仿宋" w:hAnsi="仿宋" w:eastAsia="仿宋" w:cs="仿宋"/>
          <w:b w:val="0"/>
          <w:bCs w:val="0"/>
          <w:color w:val="auto"/>
          <w:sz w:val="24"/>
          <w:lang w:val="zh-CN"/>
        </w:rPr>
        <w:t>政府采购供应商廉洁自律承诺书；</w:t>
      </w:r>
    </w:p>
    <w:p>
      <w:pPr>
        <w:pStyle w:val="79"/>
        <w:spacing w:line="480" w:lineRule="auto"/>
        <w:ind w:firstLine="960" w:firstLineChars="400"/>
        <w:rPr>
          <w:rFonts w:hint="default" w:eastAsia="仿宋"/>
          <w:color w:val="auto"/>
          <w:lang w:val="en-US" w:eastAsia="zh-CN"/>
        </w:rPr>
      </w:pPr>
      <w:r>
        <w:rPr>
          <w:rFonts w:hint="eastAsia" w:ascii="仿宋" w:hAnsi="仿宋" w:eastAsia="仿宋" w:cs="仿宋"/>
          <w:b w:val="0"/>
          <w:bCs w:val="0"/>
          <w:color w:val="auto"/>
          <w:sz w:val="24"/>
          <w:lang w:val="en-US" w:eastAsia="zh-CN"/>
        </w:rPr>
        <w:t>11.2.9</w:t>
      </w:r>
      <w:r>
        <w:rPr>
          <w:rFonts w:hint="eastAsia" w:ascii="仿宋" w:hAnsi="仿宋" w:eastAsia="仿宋" w:cs="仿宋"/>
          <w:b w:val="0"/>
          <w:bCs w:val="0"/>
          <w:color w:val="auto"/>
          <w:kern w:val="2"/>
          <w:sz w:val="24"/>
          <w:szCs w:val="24"/>
          <w:lang w:val="en-US" w:eastAsia="zh-CN" w:bidi="ar-SA"/>
        </w:rPr>
        <w:t>政府采购活动现场确认声明书；</w:t>
      </w:r>
    </w:p>
    <w:p>
      <w:pPr>
        <w:pStyle w:val="2"/>
        <w:spacing w:line="480" w:lineRule="auto"/>
        <w:ind w:left="664" w:leftChars="316" w:firstLine="229" w:firstLineChars="95"/>
        <w:rPr>
          <w:rFonts w:hint="eastAsia"/>
          <w:b/>
          <w:bCs/>
          <w:color w:val="auto"/>
          <w:lang w:val="zh-CN"/>
        </w:rPr>
      </w:pPr>
      <w:r>
        <w:rPr>
          <w:rFonts w:hint="eastAsia" w:ascii="仿宋" w:hAnsi="仿宋" w:eastAsia="仿宋" w:cs="仿宋"/>
          <w:b/>
          <w:bCs/>
          <w:color w:val="auto"/>
          <w:kern w:val="2"/>
          <w:sz w:val="24"/>
          <w:szCs w:val="24"/>
          <w:lang w:val="en-US" w:eastAsia="zh-CN" w:bidi="ar-SA"/>
        </w:rPr>
        <w:t>注：上述内容部分格式及内容详见“第六部分  应提交的有关格式范例”。</w:t>
      </w:r>
    </w:p>
    <w:p>
      <w:pPr>
        <w:snapToGrid w:val="0"/>
        <w:spacing w:line="480" w:lineRule="auto"/>
        <w:ind w:firstLine="480" w:firstLineChars="200"/>
        <w:rPr>
          <w:rFonts w:hint="eastAsia" w:ascii="仿宋" w:hAnsi="仿宋" w:eastAsia="仿宋" w:cs="仿宋"/>
          <w:b w:val="0"/>
          <w:bCs w:val="0"/>
          <w:color w:val="auto"/>
          <w:sz w:val="24"/>
          <w:u w:val="single"/>
          <w:lang w:val="zh-CN"/>
        </w:rPr>
      </w:pPr>
      <w:r>
        <w:rPr>
          <w:rFonts w:hint="eastAsia" w:ascii="仿宋" w:hAnsi="仿宋" w:eastAsia="仿宋" w:cs="仿宋"/>
          <w:b w:val="0"/>
          <w:bCs w:val="0"/>
          <w:color w:val="auto"/>
          <w:kern w:val="0"/>
          <w:sz w:val="24"/>
          <w:lang w:val="zh-CN"/>
        </w:rPr>
        <w:t>11.</w:t>
      </w:r>
      <w:r>
        <w:rPr>
          <w:rFonts w:hint="eastAsia" w:ascii="仿宋" w:hAnsi="仿宋" w:eastAsia="仿宋" w:cs="仿宋"/>
          <w:b w:val="0"/>
          <w:bCs w:val="0"/>
          <w:color w:val="auto"/>
          <w:kern w:val="0"/>
          <w:sz w:val="24"/>
        </w:rPr>
        <w:t>3</w:t>
      </w:r>
      <w:r>
        <w:rPr>
          <w:rFonts w:hint="eastAsia" w:ascii="仿宋" w:hAnsi="仿宋" w:eastAsia="仿宋" w:cs="仿宋"/>
          <w:b w:val="0"/>
          <w:bCs w:val="0"/>
          <w:color w:val="auto"/>
          <w:sz w:val="24"/>
        </w:rPr>
        <w:t>报价文件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包括不限于</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 xml:space="preserve">： </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11.3.1开标一览表（报价表）；</w:t>
      </w:r>
    </w:p>
    <w:p>
      <w:pPr>
        <w:snapToGrid w:val="0"/>
        <w:spacing w:line="480" w:lineRule="auto"/>
        <w:ind w:firstLine="960" w:firstLineChars="400"/>
        <w:rPr>
          <w:rFonts w:hint="eastAsia" w:ascii="仿宋" w:hAnsi="仿宋" w:eastAsia="仿宋" w:cs="仿宋"/>
          <w:b w:val="0"/>
          <w:bCs w:val="0"/>
          <w:color w:val="auto"/>
          <w:sz w:val="24"/>
        </w:rPr>
      </w:pPr>
      <w:r>
        <w:rPr>
          <w:rFonts w:hint="eastAsia" w:ascii="仿宋" w:hAnsi="仿宋" w:eastAsia="仿宋" w:cs="仿宋"/>
          <w:b w:val="0"/>
          <w:bCs w:val="0"/>
          <w:color w:val="auto"/>
          <w:sz w:val="24"/>
        </w:rPr>
        <w:t>11.3.2中小企业声明函。</w:t>
      </w:r>
    </w:p>
    <w:p>
      <w:pPr>
        <w:spacing w:line="480" w:lineRule="auto"/>
        <w:ind w:firstLine="964" w:firstLineChars="4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注：</w:t>
      </w:r>
      <w:r>
        <w:rPr>
          <w:rFonts w:hint="eastAsia" w:ascii="仿宋" w:hAnsi="仿宋" w:eastAsia="仿宋" w:cs="仿宋"/>
          <w:b/>
          <w:bCs/>
          <w:color w:val="auto"/>
          <w:sz w:val="24"/>
        </w:rPr>
        <w:t>投标文件含有采购人不能接受的附加条件的，投标无效；</w:t>
      </w:r>
    </w:p>
    <w:p>
      <w:pPr>
        <w:spacing w:line="480" w:lineRule="auto"/>
        <w:ind w:firstLine="1446" w:firstLineChars="600"/>
        <w:rPr>
          <w:rFonts w:hint="eastAsia" w:ascii="仿宋" w:hAnsi="仿宋" w:eastAsia="仿宋" w:cs="仿宋"/>
          <w:b/>
          <w:bCs/>
          <w:color w:val="auto"/>
          <w:sz w:val="24"/>
          <w:szCs w:val="21"/>
        </w:rPr>
      </w:pPr>
      <w:r>
        <w:rPr>
          <w:rFonts w:hint="eastAsia" w:ascii="仿宋" w:hAnsi="仿宋" w:eastAsia="仿宋" w:cs="仿宋"/>
          <w:b/>
          <w:bCs/>
          <w:color w:val="auto"/>
          <w:sz w:val="24"/>
        </w:rPr>
        <w:t>投标人提供虚假材料投标的，投标无效。</w:t>
      </w:r>
    </w:p>
    <w:p>
      <w:pPr>
        <w:pStyle w:val="85"/>
        <w:snapToGrid w:val="0"/>
        <w:spacing w:before="0" w:line="480" w:lineRule="auto"/>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pPr>
        <w:spacing w:line="48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48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480" w:lineRule="auto"/>
        <w:rPr>
          <w:rFonts w:hint="eastAsia" w:ascii="仿宋" w:hAnsi="仿宋" w:eastAsia="仿宋" w:cs="仿宋"/>
          <w:b/>
          <w:color w:val="auto"/>
          <w:sz w:val="24"/>
        </w:rPr>
      </w:pPr>
      <w:r>
        <w:rPr>
          <w:rFonts w:hint="eastAsia" w:ascii="仿宋" w:hAnsi="仿宋" w:eastAsia="仿宋" w:cs="仿宋"/>
          <w:b/>
          <w:color w:val="auto"/>
          <w:sz w:val="24"/>
        </w:rPr>
        <w:t>13</w:t>
      </w:r>
      <w:r>
        <w:rPr>
          <w:rFonts w:hint="eastAsia" w:ascii="仿宋" w:hAnsi="仿宋" w:eastAsia="仿宋" w:cs="仿宋"/>
          <w:b/>
          <w:color w:val="auto"/>
          <w:sz w:val="24"/>
          <w:lang w:eastAsia="zh-CN"/>
        </w:rPr>
        <w:t>、</w:t>
      </w:r>
      <w:r>
        <w:rPr>
          <w:rFonts w:hint="eastAsia" w:ascii="仿宋" w:hAnsi="仿宋" w:eastAsia="仿宋" w:cs="仿宋"/>
          <w:b/>
          <w:color w:val="auto"/>
          <w:sz w:val="24"/>
        </w:rPr>
        <w:t>投标文件的签署、盖章</w:t>
      </w:r>
    </w:p>
    <w:p>
      <w:pPr>
        <w:pStyle w:val="85"/>
        <w:snapToGrid w:val="0"/>
        <w:spacing w:before="0" w:line="480" w:lineRule="auto"/>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line="480" w:lineRule="auto"/>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14</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投标文件的提交、补充、修改、撤回</w:t>
      </w:r>
    </w:p>
    <w:p>
      <w:pPr>
        <w:pStyle w:val="85"/>
        <w:spacing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line="480" w:lineRule="auto"/>
        <w:ind w:firstLine="480"/>
        <w:rPr>
          <w:rFonts w:hint="eastAsia" w:ascii="仿宋" w:hAnsi="仿宋" w:eastAsia="仿宋" w:cs="仿宋"/>
          <w:color w:val="auto"/>
          <w:szCs w:val="24"/>
        </w:rPr>
      </w:pPr>
      <w:r>
        <w:rPr>
          <w:rFonts w:hint="eastAsia" w:ascii="仿宋" w:hAnsi="仿宋" w:eastAsia="仿宋" w:cs="仿宋"/>
          <w:color w:val="auto"/>
          <w:szCs w:val="24"/>
        </w:rPr>
        <w:t>14.3采购人、</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可以视情况延长投标文件提交的截止时间。在上述情况下，</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与投标人以前在投标截止期方面的全部权利、责任和义务，将适用于延长至新的投标截止期。</w:t>
      </w:r>
    </w:p>
    <w:p>
      <w:pPr>
        <w:pStyle w:val="34"/>
        <w:spacing w:line="48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备份投标文件</w:t>
      </w:r>
    </w:p>
    <w:p>
      <w:pPr>
        <w:pStyle w:val="34"/>
        <w:spacing w:line="480" w:lineRule="auto"/>
        <w:ind w:firstLine="360" w:firstLineChars="150"/>
        <w:rPr>
          <w:rFonts w:hint="eastAsia" w:ascii="仿宋" w:hAnsi="仿宋" w:eastAsia="仿宋" w:cs="仿宋"/>
          <w:b w:val="0"/>
          <w:bCs w:val="0"/>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w:t>
      </w:r>
      <w:r>
        <w:rPr>
          <w:rFonts w:hint="eastAsia" w:ascii="仿宋" w:hAnsi="仿宋" w:eastAsia="仿宋" w:cs="仿宋"/>
          <w:b w:val="0"/>
          <w:bCs w:val="0"/>
          <w:color w:val="auto"/>
          <w:sz w:val="24"/>
          <w:szCs w:val="24"/>
        </w:rPr>
        <w:t>或者以邮政快递方式递交备份投标文件1份，但采购人、</w:t>
      </w:r>
      <w:r>
        <w:rPr>
          <w:rFonts w:hint="eastAsia" w:ascii="仿宋" w:hAnsi="仿宋" w:eastAsia="仿宋" w:cs="仿宋"/>
          <w:b w:val="0"/>
          <w:bCs w:val="0"/>
          <w:color w:val="auto"/>
          <w:sz w:val="24"/>
          <w:szCs w:val="24"/>
          <w:lang w:eastAsia="zh-CN"/>
        </w:rPr>
        <w:t>采购代理机构</w:t>
      </w:r>
      <w:r>
        <w:rPr>
          <w:rFonts w:hint="eastAsia" w:ascii="仿宋" w:hAnsi="仿宋" w:eastAsia="仿宋" w:cs="仿宋"/>
          <w:b w:val="0"/>
          <w:bCs w:val="0"/>
          <w:color w:val="auto"/>
          <w:sz w:val="24"/>
          <w:szCs w:val="24"/>
        </w:rPr>
        <w:t>不强制或变相强制投标人提交备份投标文件。</w:t>
      </w:r>
    </w:p>
    <w:p>
      <w:pPr>
        <w:pStyle w:val="34"/>
        <w:spacing w:line="480" w:lineRule="auto"/>
        <w:ind w:firstLine="480" w:firstLineChars="20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15.2备份投标文件须在“政采云投标客户端”制作生成，并储存在</w:t>
      </w:r>
      <w:r>
        <w:rPr>
          <w:rFonts w:hint="eastAsia" w:ascii="仿宋" w:hAnsi="仿宋" w:eastAsia="仿宋" w:cs="仿宋"/>
          <w:b w:val="0"/>
          <w:bCs w:val="0"/>
          <w:color w:val="auto"/>
          <w:sz w:val="24"/>
        </w:rPr>
        <w:t>DVD光盘</w:t>
      </w:r>
      <w:r>
        <w:rPr>
          <w:rFonts w:hint="eastAsia" w:ascii="仿宋" w:hAnsi="仿宋" w:eastAsia="仿宋" w:cs="仿宋"/>
          <w:b w:val="0"/>
          <w:bCs w:val="0"/>
          <w:color w:val="auto"/>
          <w:sz w:val="24"/>
          <w:lang w:val="en-US" w:eastAsia="zh-CN"/>
        </w:rPr>
        <w:t>等存储介质</w:t>
      </w:r>
      <w:r>
        <w:rPr>
          <w:rFonts w:hint="eastAsia" w:ascii="仿宋" w:hAnsi="仿宋" w:eastAsia="仿宋" w:cs="仿宋"/>
          <w:b w:val="0"/>
          <w:bCs w:val="0"/>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sz w:val="24"/>
        </w:rPr>
        <w:t>不符合上述制作、</w:t>
      </w:r>
      <w:r>
        <w:rPr>
          <w:rFonts w:hint="eastAsia" w:ascii="仿宋" w:hAnsi="仿宋" w:eastAsia="仿宋" w:cs="仿宋"/>
          <w:b/>
          <w:bCs/>
          <w:color w:val="auto"/>
          <w:sz w:val="24"/>
          <w:szCs w:val="24"/>
        </w:rPr>
        <w:t>存储、密封规定的备份投标文件将被视为无效或者被拒绝接收。</w:t>
      </w:r>
    </w:p>
    <w:p>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w:t>
      </w:r>
    </w:p>
    <w:p>
      <w:pPr>
        <w:pStyle w:val="34"/>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将拒绝接受逾期送达的备份投标文件。邮寄过程中，电子备份投标文件发生泄露、遗失、损坏或延期送达等情况的，由投标人自行负责。</w:t>
      </w:r>
    </w:p>
    <w:p>
      <w:pPr>
        <w:pStyle w:val="34"/>
        <w:spacing w:line="480" w:lineRule="auto"/>
        <w:ind w:firstLine="479" w:firstLineChars="199"/>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15.5投标人仅提交备份投标文件，未在电子交易平台传输递交投标文件的，投标无效。</w:t>
      </w:r>
    </w:p>
    <w:p>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16</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投标文件的无效处理</w:t>
      </w:r>
    </w:p>
    <w:p>
      <w:pPr>
        <w:pStyle w:val="26"/>
        <w:spacing w:line="48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17</w:t>
      </w:r>
      <w:r>
        <w:rPr>
          <w:rFonts w:hint="eastAsia" w:ascii="仿宋" w:hAnsi="仿宋" w:eastAsia="仿宋" w:cs="仿宋"/>
          <w:b/>
          <w:color w:val="auto"/>
          <w:szCs w:val="24"/>
          <w:lang w:eastAsia="zh-CN"/>
        </w:rPr>
        <w:t>、</w:t>
      </w:r>
      <w:r>
        <w:rPr>
          <w:rFonts w:hint="eastAsia" w:ascii="仿宋" w:hAnsi="仿宋" w:eastAsia="仿宋" w:cs="仿宋"/>
          <w:b/>
          <w:color w:val="auto"/>
          <w:szCs w:val="24"/>
        </w:rPr>
        <w:t>投标有效期</w:t>
      </w:r>
    </w:p>
    <w:p>
      <w:pPr>
        <w:spacing w:line="48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w:t>
      </w:r>
      <w:r>
        <w:rPr>
          <w:rFonts w:hint="eastAsia" w:ascii="仿宋" w:hAnsi="仿宋" w:eastAsia="仿宋" w:cs="仿宋"/>
          <w:color w:val="auto"/>
          <w:lang w:eastAsia="zh-CN"/>
        </w:rPr>
        <w:t>采购代理机构</w:t>
      </w:r>
      <w:r>
        <w:rPr>
          <w:rFonts w:hint="eastAsia" w:ascii="仿宋" w:hAnsi="仿宋" w:eastAsia="仿宋" w:cs="仿宋"/>
          <w:color w:val="auto"/>
        </w:rPr>
        <w:t>可以以书面形式通知投标人延长投标有效期。投标人同意延长的，不得要求或被允许修改其投标文件，投标人拒绝延长的，其投标无效。</w:t>
      </w:r>
    </w:p>
    <w:p>
      <w:pPr>
        <w:pStyle w:val="85"/>
        <w:spacing w:before="0" w:line="480" w:lineRule="auto"/>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240"/>
        <w:spacing w:before="0" w:line="48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开标</w:t>
      </w:r>
      <w:r>
        <w:rPr>
          <w:rFonts w:hint="eastAsia" w:ascii="仿宋" w:hAnsi="仿宋" w:eastAsia="仿宋" w:cs="仿宋"/>
          <w:color w:val="auto"/>
          <w:sz w:val="24"/>
        </w:rPr>
        <w:t xml:space="preserve"> </w:t>
      </w:r>
    </w:p>
    <w:p>
      <w:pPr>
        <w:pStyle w:val="240"/>
        <w:spacing w:before="0" w:line="48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按照招标文件规定的时间通过电子交易平台组织开标，所有投标人均应当准时在线参加。投标人不足3家的，不得开标。</w:t>
      </w:r>
    </w:p>
    <w:p>
      <w:pPr>
        <w:pStyle w:val="240"/>
        <w:spacing w:before="0" w:line="48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依托电子交易平台发起开始解密指令，投标人按照平台提示和招标文件的规定在半小时内完成在线解密。</w:t>
      </w:r>
    </w:p>
    <w:p>
      <w:pPr>
        <w:pStyle w:val="240"/>
        <w:spacing w:before="0" w:line="480" w:lineRule="auto"/>
        <w:ind w:left="0" w:firstLine="241" w:firstLineChars="100"/>
        <w:contextualSpacing/>
        <w:rPr>
          <w:rFonts w:hint="eastAsia" w:ascii="仿宋" w:hAnsi="仿宋" w:eastAsia="仿宋" w:cs="仿宋"/>
          <w:b/>
          <w:bCs/>
          <w:color w:val="auto"/>
          <w:sz w:val="24"/>
        </w:rPr>
      </w:pPr>
      <w:r>
        <w:rPr>
          <w:rFonts w:hint="eastAsia" w:ascii="仿宋" w:hAnsi="仿宋" w:eastAsia="仿宋" w:cs="仿宋"/>
          <w:b/>
          <w:bCs/>
          <w:color w:val="auto"/>
          <w:sz w:val="24"/>
        </w:rPr>
        <w:t>　18.3投标文件未按时解密，投标人提供了备份投标文件的，以备份投标文件作为依据，否则视为投标文件撤回。投标文件已按时解密的，备份投标文件自动失效。</w:t>
      </w:r>
    </w:p>
    <w:p>
      <w:pPr>
        <w:widowControl/>
        <w:spacing w:before="100" w:beforeAutospacing="1" w:after="240" w:line="48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w:t>
      </w:r>
      <w:r>
        <w:rPr>
          <w:rFonts w:hint="eastAsia" w:ascii="仿宋" w:hAnsi="仿宋" w:eastAsia="仿宋" w:cs="仿宋"/>
          <w:color w:val="auto"/>
          <w:kern w:val="0"/>
          <w:sz w:val="24"/>
          <w:lang w:val="en-US" w:eastAsia="zh-CN"/>
        </w:rPr>
        <w:t>1</w:t>
      </w:r>
      <w:r>
        <w:rPr>
          <w:rFonts w:hint="eastAsia" w:ascii="仿宋" w:hAnsi="仿宋" w:eastAsia="仿宋" w:cs="仿宋"/>
          <w:color w:val="auto"/>
          <w:sz w:val="24"/>
        </w:rPr>
        <w:t>采购人或</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依据法律法规和招标文件的规定，对投标人的资格进行审查。</w:t>
      </w:r>
    </w:p>
    <w:p>
      <w:pPr>
        <w:pStyle w:val="85"/>
        <w:spacing w:before="0" w:line="480" w:lineRule="auto"/>
        <w:ind w:firstLine="480"/>
        <w:rPr>
          <w:rFonts w:hint="eastAsia" w:ascii="仿宋" w:hAnsi="仿宋" w:eastAsia="仿宋" w:cs="仿宋"/>
          <w:b/>
          <w:bCs/>
          <w:color w:val="auto"/>
        </w:rPr>
      </w:pPr>
      <w:r>
        <w:rPr>
          <w:rFonts w:hint="eastAsia" w:ascii="仿宋" w:hAnsi="仿宋" w:eastAsia="仿宋" w:cs="仿宋"/>
          <w:b/>
          <w:bCs/>
          <w:color w:val="auto"/>
          <w:kern w:val="0"/>
          <w:szCs w:val="24"/>
        </w:rPr>
        <w:t>19.</w:t>
      </w:r>
      <w:r>
        <w:rPr>
          <w:rFonts w:hint="eastAsia" w:ascii="仿宋" w:hAnsi="仿宋" w:eastAsia="仿宋" w:cs="仿宋"/>
          <w:b/>
          <w:bCs/>
          <w:color w:val="auto"/>
          <w:kern w:val="0"/>
          <w:szCs w:val="24"/>
          <w:lang w:val="en-US" w:eastAsia="zh-CN"/>
        </w:rPr>
        <w:t>2</w:t>
      </w:r>
      <w:r>
        <w:rPr>
          <w:rFonts w:hint="eastAsia" w:ascii="仿宋" w:hAnsi="仿宋" w:eastAsia="仿宋" w:cs="仿宋"/>
          <w:b/>
          <w:bCs/>
          <w:color w:val="auto"/>
          <w:kern w:val="0"/>
          <w:szCs w:val="24"/>
        </w:rPr>
        <w:t>投标人未按照招标文件要求提供与</w:t>
      </w:r>
      <w:r>
        <w:rPr>
          <w:rFonts w:hint="eastAsia" w:ascii="仿宋" w:hAnsi="仿宋" w:eastAsia="仿宋" w:cs="仿宋"/>
          <w:b/>
          <w:bCs/>
          <w:color w:val="auto"/>
        </w:rPr>
        <w:t>资格条件相应的</w:t>
      </w:r>
      <w:r>
        <w:rPr>
          <w:rFonts w:hint="eastAsia" w:ascii="仿宋" w:hAnsi="仿宋" w:eastAsia="仿宋" w:cs="仿宋"/>
          <w:b/>
          <w:bCs/>
          <w:color w:val="auto"/>
          <w:kern w:val="0"/>
          <w:szCs w:val="24"/>
        </w:rPr>
        <w:t>有效资格证明材料的，视为</w:t>
      </w:r>
      <w:r>
        <w:rPr>
          <w:rFonts w:hint="eastAsia" w:ascii="仿宋" w:hAnsi="仿宋" w:eastAsia="仿宋" w:cs="仿宋"/>
          <w:b/>
          <w:bCs/>
          <w:color w:val="auto"/>
        </w:rPr>
        <w:t>投标人不具备招标文件中规定的资格要求，其投标无效。</w:t>
      </w:r>
    </w:p>
    <w:p>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3</w:t>
      </w:r>
      <w:r>
        <w:rPr>
          <w:rFonts w:hint="eastAsia" w:ascii="仿宋" w:hAnsi="仿宋" w:eastAsia="仿宋" w:cs="仿宋"/>
          <w:color w:val="auto"/>
        </w:rPr>
        <w:t>对未通过资格审查的投标人，采购人或</w:t>
      </w:r>
      <w:r>
        <w:rPr>
          <w:rFonts w:hint="eastAsia" w:ascii="仿宋" w:hAnsi="仿宋" w:eastAsia="仿宋" w:cs="仿宋"/>
          <w:color w:val="auto"/>
          <w:lang w:eastAsia="zh-CN"/>
        </w:rPr>
        <w:t>采购代理机构</w:t>
      </w:r>
      <w:r>
        <w:rPr>
          <w:rFonts w:hint="eastAsia" w:ascii="仿宋" w:hAnsi="仿宋" w:eastAsia="仿宋" w:cs="仿宋"/>
          <w:color w:val="auto"/>
        </w:rPr>
        <w:t>告知其未通过的原因。</w:t>
      </w:r>
    </w:p>
    <w:p>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lang w:val="en-US" w:eastAsia="zh-CN"/>
        </w:rPr>
        <w:t>4</w:t>
      </w:r>
      <w:r>
        <w:rPr>
          <w:rFonts w:hint="eastAsia" w:ascii="仿宋" w:hAnsi="仿宋" w:eastAsia="仿宋" w:cs="仿宋"/>
          <w:color w:val="auto"/>
        </w:rPr>
        <w:t>合格投标人不足3家的，不再评标。</w:t>
      </w:r>
    </w:p>
    <w:p>
      <w:pPr>
        <w:pStyle w:val="85"/>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85"/>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w:t>
      </w:r>
      <w:r>
        <w:rPr>
          <w:rFonts w:hint="eastAsia" w:ascii="仿宋" w:hAnsi="仿宋" w:eastAsia="仿宋" w:cs="仿宋"/>
          <w:color w:val="auto"/>
          <w:kern w:val="0"/>
          <w:szCs w:val="24"/>
          <w:lang w:eastAsia="zh-CN"/>
        </w:rPr>
        <w:t>采购代理机构</w:t>
      </w:r>
      <w:r>
        <w:rPr>
          <w:rFonts w:hint="eastAsia" w:ascii="仿宋" w:hAnsi="仿宋" w:eastAsia="仿宋" w:cs="仿宋"/>
          <w:color w:val="auto"/>
          <w:kern w:val="0"/>
          <w:szCs w:val="24"/>
        </w:rPr>
        <w:t>将在资格审查时通过“信用中国”网站(www.creditchina.gov.cn)、中国政府采购网(www.ccgp.gov.cn)渠道查询投标人接受资格时的信用记录。</w:t>
      </w:r>
    </w:p>
    <w:p>
      <w:pPr>
        <w:pStyle w:val="85"/>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85"/>
        <w:spacing w:before="0" w:line="480" w:lineRule="auto"/>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line="480" w:lineRule="auto"/>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85"/>
        <w:spacing w:before="0" w:line="480" w:lineRule="auto"/>
        <w:ind w:firstLine="0" w:firstLineChars="0"/>
        <w:rPr>
          <w:rFonts w:hint="eastAsia" w:ascii="仿宋" w:hAnsi="仿宋" w:eastAsia="仿宋" w:cs="仿宋"/>
          <w:color w:val="auto"/>
          <w:kern w:val="0"/>
          <w:szCs w:val="24"/>
        </w:rPr>
      </w:pPr>
    </w:p>
    <w:p>
      <w:pPr>
        <w:pStyle w:val="85"/>
        <w:spacing w:before="0" w:line="480" w:lineRule="auto"/>
        <w:ind w:firstLine="0" w:firstLineChars="0"/>
        <w:rPr>
          <w:rFonts w:hint="eastAsia" w:ascii="仿宋" w:hAnsi="仿宋" w:eastAsia="仿宋" w:cs="仿宋"/>
          <w:color w:val="auto"/>
          <w:kern w:val="0"/>
          <w:szCs w:val="24"/>
        </w:rPr>
      </w:pPr>
    </w:p>
    <w:p>
      <w:pPr>
        <w:snapToGrid w:val="0"/>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480" w:lineRule="auto"/>
        <w:rPr>
          <w:rFonts w:hint="eastAsia" w:ascii="仿宋" w:hAnsi="仿宋" w:eastAsia="仿宋" w:cs="仿宋"/>
          <w:b/>
          <w:color w:val="auto"/>
          <w:sz w:val="24"/>
        </w:rPr>
      </w:pPr>
      <w:bookmarkStart w:id="12" w:name="_Toc91899903"/>
      <w:r>
        <w:rPr>
          <w:rFonts w:hint="eastAsia" w:ascii="仿宋" w:hAnsi="仿宋" w:eastAsia="仿宋" w:cs="仿宋"/>
          <w:b/>
          <w:color w:val="auto"/>
          <w:sz w:val="24"/>
        </w:rPr>
        <w:t>21</w:t>
      </w:r>
      <w:r>
        <w:rPr>
          <w:rFonts w:hint="eastAsia" w:ascii="仿宋" w:hAnsi="仿宋" w:eastAsia="仿宋" w:cs="仿宋"/>
          <w:b/>
          <w:color w:val="auto"/>
          <w:sz w:val="24"/>
          <w:lang w:eastAsia="zh-CN"/>
        </w:rPr>
        <w:t>、</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val="0"/>
          <w:bCs/>
          <w:color w:val="auto"/>
          <w:sz w:val="24"/>
        </w:rPr>
        <w:t>详见招标文件第四部分评标办法。</w:t>
      </w:r>
    </w:p>
    <w:p>
      <w:pPr>
        <w:spacing w:line="480" w:lineRule="auto"/>
        <w:rPr>
          <w:rFonts w:hint="eastAsia" w:ascii="仿宋" w:hAnsi="仿宋" w:eastAsia="仿宋" w:cs="仿宋"/>
          <w:b/>
          <w:color w:val="auto"/>
          <w:sz w:val="24"/>
        </w:rPr>
      </w:pPr>
    </w:p>
    <w:p>
      <w:pPr>
        <w:snapToGrid w:val="0"/>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6"/>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22</w:t>
      </w:r>
      <w:r>
        <w:rPr>
          <w:rFonts w:hint="eastAsia" w:ascii="仿宋" w:hAnsi="仿宋" w:eastAsia="仿宋" w:cs="仿宋"/>
          <w:b/>
          <w:color w:val="auto"/>
          <w:lang w:eastAsia="zh-CN"/>
        </w:rPr>
        <w:t>、</w:t>
      </w:r>
      <w:r>
        <w:rPr>
          <w:rFonts w:hint="eastAsia" w:ascii="仿宋" w:hAnsi="仿宋" w:eastAsia="仿宋" w:cs="仿宋"/>
          <w:b/>
          <w:color w:val="auto"/>
        </w:rPr>
        <w:t>确定中标供应商</w:t>
      </w:r>
    </w:p>
    <w:p>
      <w:pPr>
        <w:pStyle w:val="85"/>
        <w:snapToGrid w:val="0"/>
        <w:spacing w:before="0" w:line="480" w:lineRule="auto"/>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line="48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23</w:t>
      </w:r>
      <w:r>
        <w:rPr>
          <w:rFonts w:hint="eastAsia" w:ascii="仿宋" w:hAnsi="仿宋" w:eastAsia="仿宋" w:cs="仿宋"/>
          <w:b/>
          <w:color w:val="auto"/>
          <w:szCs w:val="24"/>
          <w:lang w:eastAsia="zh-CN"/>
        </w:rPr>
        <w:t>、</w:t>
      </w:r>
      <w:r>
        <w:rPr>
          <w:rFonts w:hint="eastAsia" w:ascii="仿宋" w:hAnsi="仿宋" w:eastAsia="仿宋" w:cs="仿宋"/>
          <w:b/>
          <w:color w:val="auto"/>
          <w:szCs w:val="24"/>
        </w:rPr>
        <w:t xml:space="preserve"> 中标通知与中标结果公告</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通过电子交易平台向中标人发出中标通知书，同时编制发布采购结果公告。</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也可以以纸质形式进行中标通知。</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rPr>
        <w:t>资格审查情况、评审专家抽取规则、符合性审查情况、</w:t>
      </w:r>
      <w:bookmarkEnd w:id="13"/>
      <w:r>
        <w:rPr>
          <w:rFonts w:hint="eastAsia" w:ascii="仿宋" w:hAnsi="仿宋" w:eastAsia="仿宋" w:cs="仿宋"/>
          <w:color w:val="auto"/>
          <w:sz w:val="24"/>
        </w:rPr>
        <w:t>未中标情况说明、中标公告期限以及评审专家名单、评分汇总及明细。</w:t>
      </w:r>
    </w:p>
    <w:p>
      <w:pPr>
        <w:widowControl/>
        <w:shd w:val="clear" w:color="auto" w:fill="FFFFFF"/>
        <w:spacing w:line="48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pStyle w:val="2"/>
        <w:ind w:left="0" w:leftChars="0" w:firstLine="0" w:firstLineChars="0"/>
        <w:rPr>
          <w:rFonts w:hint="eastAsia"/>
          <w:color w:val="auto"/>
        </w:rPr>
      </w:pPr>
    </w:p>
    <w:p>
      <w:pPr>
        <w:snapToGrid w:val="0"/>
        <w:spacing w:line="48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6"/>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b/>
          <w:color w:val="auto"/>
          <w:lang w:eastAsia="zh-CN"/>
        </w:rPr>
        <w:t>、</w:t>
      </w:r>
      <w:r>
        <w:rPr>
          <w:rFonts w:hint="eastAsia" w:ascii="仿宋" w:hAnsi="仿宋" w:eastAsia="仿宋" w:cs="仿宋"/>
          <w:color w:val="auto"/>
        </w:rPr>
        <w:t>合同主要条款详见第五部分拟签订的合同文本。</w:t>
      </w:r>
    </w:p>
    <w:p>
      <w:pPr>
        <w:pStyle w:val="26"/>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25</w:t>
      </w:r>
      <w:r>
        <w:rPr>
          <w:rFonts w:hint="eastAsia" w:ascii="仿宋" w:hAnsi="仿宋" w:eastAsia="仿宋" w:cs="仿宋"/>
          <w:b/>
          <w:color w:val="auto"/>
          <w:lang w:eastAsia="zh-CN"/>
        </w:rPr>
        <w:t>、</w:t>
      </w:r>
      <w:r>
        <w:rPr>
          <w:rFonts w:hint="eastAsia" w:ascii="仿宋" w:hAnsi="仿宋" w:eastAsia="仿宋" w:cs="仿宋"/>
          <w:b/>
          <w:color w:val="auto"/>
        </w:rPr>
        <w:t xml:space="preserve"> 合同的签订</w:t>
      </w:r>
    </w:p>
    <w:p>
      <w:pPr>
        <w:widowControl/>
        <w:shd w:val="clear" w:color="auto" w:fill="FFFFFF"/>
        <w:spacing w:line="48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line="480" w:lineRule="auto"/>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line="480" w:lineRule="auto"/>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6"/>
        <w:spacing w:line="480" w:lineRule="auto"/>
        <w:ind w:left="479" w:hanging="479" w:hangingChars="199"/>
        <w:rPr>
          <w:rFonts w:hint="eastAsia" w:ascii="仿宋" w:hAnsi="仿宋" w:eastAsia="仿宋" w:cs="仿宋"/>
          <w:b/>
          <w:color w:val="auto"/>
        </w:rPr>
      </w:pPr>
      <w:r>
        <w:rPr>
          <w:rFonts w:hint="eastAsia" w:ascii="仿宋" w:hAnsi="仿宋" w:eastAsia="仿宋" w:cs="仿宋"/>
          <w:b/>
          <w:color w:val="auto"/>
        </w:rPr>
        <w:t>26</w:t>
      </w:r>
      <w:r>
        <w:rPr>
          <w:rFonts w:hint="eastAsia" w:ascii="仿宋" w:hAnsi="仿宋" w:eastAsia="仿宋" w:cs="仿宋"/>
          <w:b/>
          <w:color w:val="auto"/>
          <w:lang w:eastAsia="zh-CN"/>
        </w:rPr>
        <w:t>、</w:t>
      </w:r>
      <w:r>
        <w:rPr>
          <w:rFonts w:hint="eastAsia" w:ascii="仿宋" w:hAnsi="仿宋" w:eastAsia="仿宋" w:cs="仿宋"/>
          <w:b/>
          <w:color w:val="auto"/>
        </w:rPr>
        <w:t>履约保证金</w:t>
      </w:r>
    </w:p>
    <w:p>
      <w:pPr>
        <w:tabs>
          <w:tab w:val="left" w:pos="0"/>
        </w:tabs>
        <w:spacing w:line="48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2"/>
        <w:spacing w:line="480" w:lineRule="auto"/>
        <w:ind w:left="0" w:firstLine="480" w:firstLineChars="200"/>
        <w:rPr>
          <w:rFonts w:hint="eastAsia" w:ascii="仿宋" w:hAnsi="仿宋" w:eastAsia="仿宋" w:cs="仿宋"/>
          <w:b w:val="0"/>
          <w:bCs w:val="0"/>
          <w:snapToGrid w:val="0"/>
          <w:color w:val="auto"/>
          <w:kern w:val="28"/>
          <w:sz w:val="24"/>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color w:val="auto"/>
        </w:rPr>
      </w:pPr>
    </w:p>
    <w:p>
      <w:pPr>
        <w:snapToGrid w:val="0"/>
        <w:spacing w:line="48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85"/>
        <w:snapToGrid w:val="0"/>
        <w:spacing w:before="0" w:line="480" w:lineRule="auto"/>
        <w:ind w:firstLine="0" w:firstLineChars="0"/>
        <w:rPr>
          <w:rFonts w:hint="eastAsia" w:ascii="仿宋" w:hAnsi="仿宋" w:eastAsia="仿宋" w:cs="仿宋"/>
          <w:color w:val="auto"/>
        </w:rPr>
      </w:pPr>
      <w:r>
        <w:rPr>
          <w:rFonts w:hint="eastAsia" w:ascii="仿宋" w:hAnsi="仿宋" w:eastAsia="仿宋" w:cs="仿宋"/>
          <w:b/>
          <w:bCs/>
          <w:color w:val="auto"/>
          <w:sz w:val="24"/>
          <w:szCs w:val="20"/>
        </w:rPr>
        <w:t>2</w:t>
      </w:r>
      <w:r>
        <w:rPr>
          <w:rFonts w:hint="eastAsia" w:ascii="仿宋" w:hAnsi="仿宋" w:eastAsia="仿宋" w:cs="仿宋"/>
          <w:b/>
          <w:bCs/>
          <w:color w:val="auto"/>
          <w:sz w:val="24"/>
          <w:szCs w:val="24"/>
          <w:lang w:val="en-US" w:eastAsia="zh-CN"/>
        </w:rPr>
        <w:t>7</w:t>
      </w:r>
      <w:r>
        <w:rPr>
          <w:rFonts w:hint="eastAsia" w:ascii="仿宋" w:hAnsi="仿宋" w:eastAsia="仿宋" w:cs="仿宋"/>
          <w:b/>
          <w:color w:val="auto"/>
          <w:szCs w:val="24"/>
          <w:lang w:eastAsia="zh-CN"/>
        </w:rPr>
        <w:t>、</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w:t>
      </w:r>
      <w:r>
        <w:rPr>
          <w:rFonts w:hint="eastAsia" w:ascii="仿宋" w:hAnsi="仿宋" w:eastAsia="仿宋" w:cs="仿宋"/>
          <w:color w:val="auto"/>
          <w:lang w:eastAsia="zh-CN"/>
        </w:rPr>
        <w:t>采购代理机构</w:t>
      </w:r>
      <w:r>
        <w:rPr>
          <w:rFonts w:hint="eastAsia" w:ascii="仿宋" w:hAnsi="仿宋" w:eastAsia="仿宋" w:cs="仿宋"/>
          <w:color w:val="auto"/>
        </w:rPr>
        <w:t>可中止电子交易活动：</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 xml:space="preserve">.1电子交易平台发生故障而无法登录访问的； </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.2电子交易平台应用或数据库出现错误，不能进行正常操作的；</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.3电子交易平台发现严重安全漏洞，有潜在泄密危险的；</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 xml:space="preserve">.4病毒发作导致不能进行正常操作的； </w:t>
      </w:r>
    </w:p>
    <w:p>
      <w:pPr>
        <w:pStyle w:val="85"/>
        <w:snapToGrid w:val="0"/>
        <w:spacing w:before="0" w:line="48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7</w:t>
      </w:r>
      <w:r>
        <w:rPr>
          <w:rFonts w:hint="eastAsia" w:ascii="仿宋" w:hAnsi="仿宋" w:eastAsia="仿宋" w:cs="仿宋"/>
          <w:color w:val="auto"/>
        </w:rPr>
        <w:t>.5其他无法保证电子交易的公平、公正和安全的情况。</w:t>
      </w:r>
    </w:p>
    <w:p>
      <w:pPr>
        <w:pStyle w:val="85"/>
        <w:snapToGrid w:val="0"/>
        <w:spacing w:before="0" w:line="480" w:lineRule="auto"/>
        <w:ind w:firstLine="0" w:firstLineChars="0"/>
        <w:rPr>
          <w:rFonts w:hint="eastAsia" w:ascii="仿宋" w:hAnsi="仿宋" w:eastAsia="仿宋" w:cs="仿宋"/>
          <w:color w:val="auto"/>
        </w:rPr>
      </w:pPr>
      <w:r>
        <w:rPr>
          <w:rFonts w:hint="eastAsia" w:ascii="仿宋" w:hAnsi="仿宋" w:eastAsia="仿宋" w:cs="仿宋"/>
          <w:color w:val="auto"/>
        </w:rPr>
        <w:t xml:space="preserve"> 2</w:t>
      </w:r>
      <w:r>
        <w:rPr>
          <w:rFonts w:hint="eastAsia" w:ascii="仿宋" w:hAnsi="仿宋" w:eastAsia="仿宋" w:cs="仿宋"/>
          <w:color w:val="auto"/>
          <w:lang w:val="en-US" w:eastAsia="zh-CN"/>
        </w:rPr>
        <w:t>8</w:t>
      </w:r>
      <w:r>
        <w:rPr>
          <w:rFonts w:hint="eastAsia" w:ascii="仿宋" w:hAnsi="仿宋" w:eastAsia="仿宋" w:cs="仿宋"/>
          <w:color w:val="auto"/>
          <w:lang w:eastAsia="zh-CN"/>
        </w:rPr>
        <w:t>、</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480" w:lineRule="auto"/>
        <w:ind w:firstLine="480"/>
        <w:rPr>
          <w:rFonts w:hint="eastAsia" w:ascii="仿宋" w:hAnsi="仿宋" w:eastAsia="仿宋" w:cs="仿宋"/>
          <w:color w:val="auto"/>
          <w:sz w:val="24"/>
        </w:rPr>
      </w:pPr>
    </w:p>
    <w:p>
      <w:pPr>
        <w:snapToGrid w:val="0"/>
        <w:spacing w:line="48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6"/>
        <w:spacing w:line="480" w:lineRule="auto"/>
        <w:ind w:firstLine="0" w:firstLineChars="0"/>
        <w:rPr>
          <w:rFonts w:hint="eastAsia" w:ascii="仿宋" w:hAnsi="仿宋" w:eastAsia="仿宋" w:cs="仿宋"/>
          <w:b/>
          <w:color w:val="auto"/>
        </w:rPr>
      </w:pPr>
      <w:r>
        <w:rPr>
          <w:rFonts w:hint="eastAsia" w:ascii="仿宋" w:hAnsi="仿宋" w:eastAsia="仿宋" w:cs="仿宋"/>
          <w:b/>
          <w:color w:val="auto"/>
          <w:lang w:val="en-US" w:eastAsia="zh-CN"/>
        </w:rPr>
        <w:t>29</w:t>
      </w:r>
      <w:r>
        <w:rPr>
          <w:rFonts w:hint="eastAsia" w:ascii="仿宋" w:hAnsi="仿宋" w:eastAsia="仿宋" w:cs="仿宋"/>
          <w:b/>
          <w:color w:val="auto"/>
          <w:lang w:eastAsia="zh-CN"/>
        </w:rPr>
        <w:t>、</w:t>
      </w:r>
      <w:r>
        <w:rPr>
          <w:rFonts w:hint="eastAsia" w:ascii="仿宋" w:hAnsi="仿宋" w:eastAsia="仿宋" w:cs="仿宋"/>
          <w:b/>
          <w:color w:val="auto"/>
        </w:rPr>
        <w:t>验收</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.2采购人可以邀请参加本项目的其他投标人或者第三方机构参与验收。参与验收的投标人或者第三方机构的意见作为验收书的参考资料一并存档。</w:t>
      </w:r>
    </w:p>
    <w:p>
      <w:pPr>
        <w:tabs>
          <w:tab w:val="left" w:pos="0"/>
        </w:tabs>
        <w:spacing w:line="48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48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lang w:val="en-US" w:eastAsia="zh-CN"/>
        </w:rPr>
        <w:t>29</w:t>
      </w:r>
      <w:r>
        <w:rPr>
          <w:rFonts w:hint="eastAsia" w:ascii="仿宋" w:hAnsi="仿宋" w:eastAsia="仿宋"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480" w:lineRule="auto"/>
        <w:ind w:firstLine="480"/>
        <w:rPr>
          <w:rFonts w:hint="eastAsia"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68072998"/>
      <w:bookmarkEnd w:id="15"/>
      <w:bookmarkStart w:id="16" w:name="_Hlt74707468"/>
      <w:bookmarkEnd w:id="16"/>
      <w:bookmarkStart w:id="17" w:name="_Hlt75236290"/>
      <w:bookmarkEnd w:id="17"/>
      <w:bookmarkStart w:id="18" w:name="_Hlt74729768"/>
      <w:bookmarkEnd w:id="18"/>
      <w:bookmarkStart w:id="19" w:name="_Hlt68057669"/>
      <w:bookmarkEnd w:id="19"/>
      <w:bookmarkStart w:id="20" w:name="_Hlt68072990"/>
      <w:bookmarkEnd w:id="20"/>
      <w:bookmarkStart w:id="21" w:name="_Hlt75236011"/>
      <w:bookmarkEnd w:id="21"/>
      <w:bookmarkStart w:id="22" w:name="_Hlt74714665"/>
      <w:bookmarkEnd w:id="22"/>
      <w:bookmarkStart w:id="23" w:name="_Hlt68403820"/>
      <w:bookmarkEnd w:id="23"/>
      <w:bookmarkStart w:id="24" w:name="_Hlt68073093"/>
      <w:bookmarkEnd w:id="24"/>
      <w:bookmarkStart w:id="25" w:name="_Hlt75236101"/>
      <w:bookmarkEnd w:id="25"/>
    </w:p>
    <w:bookmarkEnd w:id="10"/>
    <w:bookmarkEnd w:id="11"/>
    <w:p>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
          <w:b/>
          <w:color w:val="auto"/>
          <w:sz w:val="36"/>
          <w:szCs w:val="36"/>
        </w:rPr>
        <w:t>第三部分   采购需求</w:t>
      </w:r>
    </w:p>
    <w:p>
      <w:pPr>
        <w:pStyle w:val="24"/>
        <w:snapToGrid w:val="0"/>
        <w:spacing w:line="360" w:lineRule="auto"/>
        <w:ind w:firstLine="482" w:firstLineChars="200"/>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一、采购内容</w:t>
      </w:r>
    </w:p>
    <w:p>
      <w:pPr>
        <w:pStyle w:val="24"/>
        <w:snapToGrid w:val="0"/>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本项目采购内容为</w:t>
      </w:r>
      <w:r>
        <w:rPr>
          <w:rFonts w:hint="eastAsia" w:hAnsi="宋体" w:cs="宋体"/>
          <w:i w:val="0"/>
          <w:iCs w:val="0"/>
          <w:color w:val="000000" w:themeColor="text1"/>
          <w:sz w:val="24"/>
          <w:szCs w:val="24"/>
          <w:lang w:val="en-US" w:eastAsia="zh-CN"/>
        </w:rPr>
        <w:t>余杭</w:t>
      </w:r>
      <w:r>
        <w:rPr>
          <w:rFonts w:hint="eastAsia" w:ascii="宋体" w:hAnsi="宋体" w:eastAsia="宋体" w:cs="宋体"/>
          <w:i w:val="0"/>
          <w:iCs w:val="0"/>
          <w:color w:val="auto"/>
          <w:sz w:val="24"/>
          <w:szCs w:val="24"/>
        </w:rPr>
        <w:t>区范围内，新建房屋建筑白蚁预防服务。</w:t>
      </w:r>
    </w:p>
    <w:p>
      <w:pPr>
        <w:pStyle w:val="24"/>
        <w:snapToGrid w:val="0"/>
        <w:spacing w:line="360" w:lineRule="auto"/>
        <w:ind w:firstLine="482" w:firstLineChars="200"/>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二、工作内容</w:t>
      </w:r>
    </w:p>
    <w:p>
      <w:pPr>
        <w:pStyle w:val="24"/>
        <w:numPr>
          <w:ilvl w:val="0"/>
          <w:numId w:val="0"/>
        </w:numPr>
        <w:spacing w:line="360" w:lineRule="auto"/>
        <w:ind w:firstLine="480" w:firstLineChars="200"/>
        <w:rPr>
          <w:rFonts w:hint="eastAsia" w:ascii="宋体" w:hAnsi="宋体" w:eastAsia="宋体" w:cs="宋体"/>
          <w:i w:val="0"/>
          <w:iCs w:val="0"/>
          <w:color w:val="auto"/>
          <w:sz w:val="24"/>
          <w:szCs w:val="24"/>
        </w:rPr>
      </w:pPr>
      <w:r>
        <w:rPr>
          <w:rFonts w:hint="eastAsia" w:hAnsi="宋体" w:eastAsia="宋体" w:cs="宋体"/>
          <w:i w:val="0"/>
          <w:iCs w:val="0"/>
          <w:color w:val="auto"/>
          <w:sz w:val="24"/>
          <w:szCs w:val="24"/>
          <w:lang w:val="en-US" w:eastAsia="zh-CN"/>
        </w:rPr>
        <w:t xml:space="preserve">    </w:t>
      </w:r>
      <w:r>
        <w:rPr>
          <w:rFonts w:hint="eastAsia" w:hAnsi="宋体" w:cs="宋体"/>
          <w:color w:val="auto"/>
          <w:sz w:val="24"/>
          <w:szCs w:val="24"/>
          <w:highlight w:val="none"/>
          <w:lang w:eastAsia="zh-CN"/>
        </w:rPr>
        <w:t>余杭</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lang w:eastAsia="zh-CN"/>
        </w:rPr>
        <w:t>范围</w:t>
      </w:r>
      <w:r>
        <w:rPr>
          <w:rFonts w:hint="eastAsia" w:ascii="宋体" w:hAnsi="宋体" w:eastAsia="宋体" w:cs="宋体"/>
          <w:color w:val="auto"/>
          <w:sz w:val="24"/>
          <w:szCs w:val="24"/>
          <w:highlight w:val="none"/>
        </w:rPr>
        <w:t>内新建房屋白蚁预防项目（</w:t>
      </w:r>
      <w:r>
        <w:rPr>
          <w:rFonts w:hint="eastAsia" w:ascii="宋体" w:hAnsi="宋体" w:eastAsia="宋体" w:cs="宋体"/>
          <w:color w:val="auto"/>
          <w:kern w:val="0"/>
          <w:sz w:val="24"/>
          <w:szCs w:val="24"/>
          <w:highlight w:val="none"/>
        </w:rPr>
        <w:t>药物屏障技术和</w:t>
      </w:r>
      <w:r>
        <w:rPr>
          <w:rFonts w:hint="eastAsia" w:ascii="宋体" w:hAnsi="宋体" w:eastAsia="宋体" w:cs="宋体"/>
          <w:color w:val="auto"/>
          <w:sz w:val="24"/>
          <w:szCs w:val="24"/>
          <w:highlight w:val="none"/>
        </w:rPr>
        <w:t>监测控制技术）的设计、施工</w:t>
      </w:r>
      <w:r>
        <w:rPr>
          <w:rFonts w:hint="eastAsia" w:hAnsi="宋体" w:cs="宋体"/>
          <w:color w:val="auto"/>
          <w:sz w:val="24"/>
          <w:szCs w:val="24"/>
          <w:highlight w:val="none"/>
          <w:lang w:eastAsia="zh-CN"/>
        </w:rPr>
        <w:t>以及</w:t>
      </w:r>
      <w:r>
        <w:rPr>
          <w:rFonts w:hint="eastAsia" w:ascii="宋体" w:hAnsi="宋体" w:eastAsia="宋体" w:cs="宋体"/>
          <w:color w:val="auto"/>
          <w:sz w:val="24"/>
          <w:szCs w:val="24"/>
          <w:highlight w:val="none"/>
        </w:rPr>
        <w:t>监测控制技术的</w:t>
      </w:r>
      <w:r>
        <w:rPr>
          <w:rFonts w:hint="eastAsia" w:hAnsi="宋体" w:cs="宋体"/>
          <w:color w:val="auto"/>
          <w:sz w:val="24"/>
          <w:szCs w:val="24"/>
          <w:highlight w:val="none"/>
          <w:lang w:eastAsia="zh-CN"/>
        </w:rPr>
        <w:t>检查及</w:t>
      </w:r>
      <w:r>
        <w:rPr>
          <w:rFonts w:hint="eastAsia" w:ascii="宋体" w:hAnsi="宋体" w:eastAsia="宋体" w:cs="宋体"/>
          <w:color w:val="auto"/>
          <w:sz w:val="24"/>
          <w:szCs w:val="24"/>
          <w:highlight w:val="none"/>
        </w:rPr>
        <w:t>维护；新建房白蚁预防施工（监测控制技术）</w:t>
      </w:r>
      <w:r>
        <w:rPr>
          <w:rFonts w:hint="eastAsia" w:hAnsi="宋体" w:cs="宋体"/>
          <w:color w:val="auto"/>
          <w:sz w:val="24"/>
          <w:szCs w:val="24"/>
          <w:highlight w:val="none"/>
          <w:lang w:eastAsia="zh-CN"/>
        </w:rPr>
        <w:t>。</w:t>
      </w:r>
    </w:p>
    <w:p>
      <w:pPr>
        <w:pStyle w:val="24"/>
        <w:snapToGrid w:val="0"/>
        <w:spacing w:line="360" w:lineRule="auto"/>
        <w:ind w:firstLine="480" w:firstLineChars="200"/>
        <w:rPr>
          <w:rFonts w:hint="eastAsia" w:ascii="宋体" w:hAnsi="宋体" w:eastAsia="宋体" w:cs="宋体"/>
          <w:i w:val="0"/>
          <w:iCs w:val="0"/>
          <w:color w:val="000000" w:themeColor="text1"/>
          <w:sz w:val="24"/>
          <w:szCs w:val="24"/>
        </w:rPr>
      </w:pPr>
      <w:r>
        <w:rPr>
          <w:rFonts w:hint="eastAsia" w:ascii="宋体" w:hAnsi="宋体" w:eastAsia="宋体" w:cs="宋体"/>
          <w:i w:val="0"/>
          <w:iCs w:val="0"/>
          <w:color w:val="auto"/>
          <w:sz w:val="24"/>
          <w:szCs w:val="24"/>
        </w:rPr>
        <w:t>1.地下型白蚁防治监</w:t>
      </w:r>
      <w:r>
        <w:rPr>
          <w:rFonts w:hint="eastAsia" w:ascii="宋体" w:hAnsi="宋体" w:eastAsia="宋体" w:cs="宋体"/>
          <w:i w:val="0"/>
          <w:iCs w:val="0"/>
          <w:color w:val="000000" w:themeColor="text1"/>
          <w:sz w:val="24"/>
          <w:szCs w:val="24"/>
        </w:rPr>
        <w:t>测控制装置的埋设：包括装置及其放样、编号、挖孔、埋置、覆土、记录整理</w:t>
      </w:r>
      <w:r>
        <w:rPr>
          <w:rFonts w:hint="eastAsia" w:hAnsi="宋体" w:cs="宋体"/>
          <w:i w:val="0"/>
          <w:iCs w:val="0"/>
          <w:color w:val="000000" w:themeColor="text1"/>
          <w:sz w:val="24"/>
          <w:szCs w:val="24"/>
          <w:lang w:eastAsia="zh-CN"/>
        </w:rPr>
        <w:t>，</w:t>
      </w:r>
      <w:r>
        <w:rPr>
          <w:rFonts w:hint="eastAsia" w:hAnsi="宋体" w:cs="宋体"/>
          <w:i w:val="0"/>
          <w:iCs w:val="0"/>
          <w:color w:val="000000" w:themeColor="text1"/>
          <w:sz w:val="24"/>
          <w:szCs w:val="24"/>
          <w:highlight w:val="none"/>
          <w:lang w:eastAsia="zh-CN"/>
        </w:rPr>
        <w:t>根据规范要求埋设数量</w:t>
      </w:r>
      <w:r>
        <w:rPr>
          <w:rFonts w:hint="eastAsia" w:ascii="宋体" w:hAnsi="宋体" w:eastAsia="宋体" w:cs="宋体"/>
          <w:i w:val="0"/>
          <w:iCs w:val="0"/>
          <w:color w:val="000000" w:themeColor="text1"/>
          <w:sz w:val="24"/>
          <w:szCs w:val="24"/>
          <w:highlight w:val="none"/>
        </w:rPr>
        <w:t>。</w:t>
      </w:r>
    </w:p>
    <w:p>
      <w:pPr>
        <w:pStyle w:val="24"/>
        <w:snapToGrid w:val="0"/>
        <w:spacing w:line="360" w:lineRule="auto"/>
        <w:ind w:firstLine="480" w:firstLineChars="200"/>
        <w:rPr>
          <w:rFonts w:hint="eastAsia" w:ascii="宋体" w:hAnsi="宋体" w:eastAsia="宋体" w:cs="宋体"/>
          <w:i w:val="0"/>
          <w:iCs w:val="0"/>
          <w:color w:val="000000" w:themeColor="text1"/>
          <w:sz w:val="24"/>
          <w:szCs w:val="24"/>
        </w:rPr>
      </w:pPr>
      <w:r>
        <w:rPr>
          <w:rFonts w:hint="eastAsia" w:ascii="宋体" w:hAnsi="宋体" w:eastAsia="宋体" w:cs="宋体"/>
          <w:i w:val="0"/>
          <w:iCs w:val="0"/>
          <w:color w:val="000000" w:themeColor="text1"/>
          <w:sz w:val="24"/>
          <w:szCs w:val="24"/>
        </w:rPr>
        <w:t>2.自签订合同之日</w:t>
      </w:r>
      <w:r>
        <w:rPr>
          <w:rFonts w:hint="eastAsia" w:ascii="宋体" w:hAnsi="宋体" w:eastAsia="宋体" w:cs="宋体"/>
          <w:i w:val="0"/>
          <w:iCs w:val="0"/>
          <w:color w:val="000000" w:themeColor="text1"/>
          <w:sz w:val="24"/>
          <w:szCs w:val="24"/>
          <w:lang w:eastAsia="zh-CN"/>
        </w:rPr>
        <w:t>起至</w:t>
      </w:r>
      <w:r>
        <w:rPr>
          <w:rFonts w:hint="eastAsia" w:hAnsi="宋体" w:cs="宋体"/>
          <w:i w:val="0"/>
          <w:iCs w:val="0"/>
          <w:color w:val="000000" w:themeColor="text1"/>
          <w:sz w:val="24"/>
          <w:szCs w:val="24"/>
          <w:highlight w:val="none"/>
          <w:lang w:eastAsia="zh-CN"/>
        </w:rPr>
        <w:t>服务限期</w:t>
      </w:r>
      <w:r>
        <w:rPr>
          <w:rFonts w:hint="eastAsia" w:hAnsi="宋体" w:cs="宋体"/>
          <w:i w:val="0"/>
          <w:iCs w:val="0"/>
          <w:color w:val="000000" w:themeColor="text1"/>
          <w:sz w:val="24"/>
          <w:szCs w:val="24"/>
          <w:highlight w:val="none"/>
          <w:lang w:val="en-US" w:eastAsia="zh-CN"/>
        </w:rPr>
        <w:t>1年内</w:t>
      </w:r>
      <w:r>
        <w:rPr>
          <w:rFonts w:hint="eastAsia" w:ascii="宋体" w:hAnsi="宋体" w:eastAsia="宋体" w:cs="宋体"/>
          <w:i w:val="0"/>
          <w:iCs w:val="0"/>
          <w:color w:val="000000" w:themeColor="text1"/>
          <w:sz w:val="24"/>
          <w:szCs w:val="24"/>
        </w:rPr>
        <w:t>，</w:t>
      </w:r>
      <w:r>
        <w:rPr>
          <w:rFonts w:hint="eastAsia" w:hAnsi="宋体" w:cs="宋体"/>
          <w:i w:val="0"/>
          <w:iCs w:val="0"/>
          <w:color w:val="000000" w:themeColor="text1"/>
          <w:sz w:val="24"/>
          <w:szCs w:val="24"/>
          <w:highlight w:val="none"/>
          <w:lang w:eastAsia="zh-CN"/>
        </w:rPr>
        <w:t>期间</w:t>
      </w:r>
      <w:r>
        <w:rPr>
          <w:rFonts w:hint="eastAsia" w:ascii="宋体" w:hAnsi="宋体" w:eastAsia="宋体" w:cs="宋体"/>
          <w:i w:val="0"/>
          <w:iCs w:val="0"/>
          <w:color w:val="000000" w:themeColor="text1"/>
          <w:sz w:val="24"/>
          <w:szCs w:val="24"/>
          <w:highlight w:val="none"/>
        </w:rPr>
        <w:t>埋设的监控装置</w:t>
      </w:r>
      <w:r>
        <w:rPr>
          <w:rFonts w:hint="eastAsia" w:hAnsi="宋体" w:cs="宋体"/>
          <w:i w:val="0"/>
          <w:iCs w:val="0"/>
          <w:color w:val="000000" w:themeColor="text1"/>
          <w:sz w:val="24"/>
          <w:szCs w:val="24"/>
          <w:highlight w:val="none"/>
          <w:lang w:eastAsia="zh-CN"/>
        </w:rPr>
        <w:t>，按规范要求实施一年两次</w:t>
      </w:r>
      <w:r>
        <w:rPr>
          <w:rFonts w:hint="eastAsia" w:ascii="宋体" w:hAnsi="宋体" w:eastAsia="宋体" w:cs="宋体"/>
          <w:i w:val="0"/>
          <w:iCs w:val="0"/>
          <w:color w:val="000000" w:themeColor="text1"/>
          <w:sz w:val="24"/>
          <w:szCs w:val="24"/>
          <w:highlight w:val="none"/>
        </w:rPr>
        <w:t>的检查维护：</w:t>
      </w:r>
      <w:r>
        <w:rPr>
          <w:rFonts w:hint="eastAsia" w:ascii="宋体" w:hAnsi="宋体" w:eastAsia="宋体" w:cs="宋体"/>
          <w:i w:val="0"/>
          <w:iCs w:val="0"/>
          <w:color w:val="000000" w:themeColor="text1"/>
          <w:sz w:val="24"/>
          <w:szCs w:val="24"/>
        </w:rPr>
        <w:t>包括复查、更换饵料、补埋装置、喷粉或饵剂投放及记录整理等检查维护处理。</w:t>
      </w:r>
    </w:p>
    <w:p>
      <w:pPr>
        <w:pStyle w:val="24"/>
        <w:snapToGrid w:val="0"/>
        <w:spacing w:line="360" w:lineRule="auto"/>
        <w:ind w:firstLine="480" w:firstLineChars="200"/>
        <w:rPr>
          <w:rFonts w:hint="eastAsia" w:ascii="宋体" w:hAnsi="宋体" w:eastAsia="宋体" w:cs="宋体"/>
          <w:i w:val="0"/>
          <w:iCs w:val="0"/>
          <w:color w:val="000000" w:themeColor="text1"/>
          <w:sz w:val="24"/>
          <w:szCs w:val="24"/>
        </w:rPr>
      </w:pPr>
      <w:r>
        <w:rPr>
          <w:rFonts w:hint="eastAsia" w:ascii="宋体" w:hAnsi="宋体" w:eastAsia="宋体" w:cs="宋体"/>
          <w:i w:val="0"/>
          <w:iCs w:val="0"/>
          <w:color w:val="000000" w:themeColor="text1"/>
          <w:sz w:val="24"/>
          <w:szCs w:val="24"/>
        </w:rPr>
        <w:t>3.白蚁灭治服务：自签订合同之日</w:t>
      </w:r>
      <w:r>
        <w:rPr>
          <w:rFonts w:hint="eastAsia" w:ascii="宋体" w:hAnsi="宋体" w:eastAsia="宋体" w:cs="宋体"/>
          <w:i w:val="0"/>
          <w:iCs w:val="0"/>
          <w:color w:val="000000" w:themeColor="text1"/>
          <w:sz w:val="24"/>
          <w:szCs w:val="24"/>
          <w:lang w:eastAsia="zh-CN"/>
        </w:rPr>
        <w:t>起至</w:t>
      </w:r>
      <w:r>
        <w:rPr>
          <w:rFonts w:hint="eastAsia" w:hAnsi="宋体" w:cs="宋体"/>
          <w:i w:val="0"/>
          <w:iCs w:val="0"/>
          <w:color w:val="000000" w:themeColor="text1"/>
          <w:sz w:val="24"/>
          <w:szCs w:val="24"/>
          <w:highlight w:val="none"/>
          <w:lang w:eastAsia="zh-CN"/>
        </w:rPr>
        <w:t>服务限期</w:t>
      </w:r>
      <w:r>
        <w:rPr>
          <w:rFonts w:hint="eastAsia" w:hAnsi="宋体" w:cs="宋体"/>
          <w:i w:val="0"/>
          <w:iCs w:val="0"/>
          <w:color w:val="000000" w:themeColor="text1"/>
          <w:sz w:val="24"/>
          <w:szCs w:val="24"/>
          <w:highlight w:val="none"/>
          <w:lang w:val="en-US" w:eastAsia="zh-CN"/>
        </w:rPr>
        <w:t>1年内</w:t>
      </w:r>
      <w:r>
        <w:rPr>
          <w:rFonts w:hint="eastAsia" w:ascii="宋体" w:hAnsi="宋体" w:eastAsia="宋体" w:cs="宋体"/>
          <w:i w:val="0"/>
          <w:iCs w:val="0"/>
          <w:color w:val="000000" w:themeColor="text1"/>
          <w:sz w:val="24"/>
          <w:szCs w:val="24"/>
        </w:rPr>
        <w:t>，标的房屋建筑内部出现白蚁危害的，中标单位须在72小时内作出响应，免费进行白蚁灭治服务</w:t>
      </w:r>
      <w:r>
        <w:rPr>
          <w:rFonts w:hint="eastAsia" w:hAnsi="宋体" w:eastAsia="宋体" w:cs="宋体"/>
          <w:i w:val="0"/>
          <w:iCs w:val="0"/>
          <w:color w:val="000000" w:themeColor="text1"/>
          <w:sz w:val="24"/>
          <w:szCs w:val="24"/>
          <w:lang w:eastAsia="zh-CN"/>
        </w:rPr>
        <w:t>，</w:t>
      </w:r>
      <w:r>
        <w:rPr>
          <w:rFonts w:hint="eastAsia" w:hAnsi="宋体" w:eastAsia="宋体" w:cs="宋体"/>
          <w:i w:val="0"/>
          <w:iCs w:val="0"/>
          <w:color w:val="000000" w:themeColor="text1"/>
          <w:sz w:val="24"/>
          <w:szCs w:val="24"/>
          <w:lang w:val="en-US" w:eastAsia="zh-CN"/>
        </w:rPr>
        <w:t>约800户</w:t>
      </w:r>
      <w:r>
        <w:rPr>
          <w:rFonts w:hint="eastAsia" w:ascii="宋体" w:hAnsi="宋体" w:eastAsia="宋体" w:cs="宋体"/>
          <w:i w:val="0"/>
          <w:iCs w:val="0"/>
          <w:color w:val="000000" w:themeColor="text1"/>
          <w:sz w:val="24"/>
          <w:szCs w:val="24"/>
        </w:rPr>
        <w:t>。</w:t>
      </w:r>
    </w:p>
    <w:p>
      <w:pPr>
        <w:pStyle w:val="24"/>
        <w:snapToGrid w:val="0"/>
        <w:spacing w:line="360" w:lineRule="auto"/>
        <w:ind w:firstLine="480" w:firstLineChars="200"/>
        <w:rPr>
          <w:rFonts w:hint="default" w:ascii="宋体" w:hAnsi="宋体" w:eastAsia="宋体" w:cs="宋体"/>
          <w:i w:val="0"/>
          <w:iCs w:val="0"/>
          <w:color w:val="000000" w:themeColor="text1"/>
          <w:sz w:val="24"/>
          <w:szCs w:val="24"/>
          <w:lang w:val="en-US" w:eastAsia="zh-CN"/>
        </w:rPr>
      </w:pPr>
      <w:r>
        <w:rPr>
          <w:rFonts w:hint="eastAsia" w:hAnsi="宋体" w:eastAsia="宋体" w:cs="宋体"/>
          <w:i w:val="0"/>
          <w:iCs w:val="0"/>
          <w:color w:val="000000" w:themeColor="text1"/>
          <w:sz w:val="24"/>
          <w:szCs w:val="24"/>
          <w:lang w:val="en-US" w:eastAsia="zh-CN"/>
        </w:rPr>
        <w:t>4</w:t>
      </w:r>
      <w:r>
        <w:rPr>
          <w:rFonts w:hint="eastAsia" w:ascii="宋体" w:hAnsi="宋体" w:eastAsia="宋体" w:cs="宋体"/>
          <w:i w:val="0"/>
          <w:iCs w:val="0"/>
          <w:color w:val="000000" w:themeColor="text1"/>
          <w:sz w:val="24"/>
          <w:szCs w:val="24"/>
        </w:rPr>
        <w:t>.</w:t>
      </w:r>
      <w:r>
        <w:rPr>
          <w:rFonts w:hint="eastAsia" w:hAnsi="宋体" w:cs="宋体"/>
          <w:i w:val="0"/>
          <w:iCs w:val="0"/>
          <w:color w:val="000000" w:themeColor="text1"/>
          <w:sz w:val="24"/>
          <w:szCs w:val="24"/>
          <w:lang w:val="en-US" w:eastAsia="zh-CN"/>
        </w:rPr>
        <w:t>药物屏障技术施工：</w:t>
      </w:r>
      <w:r>
        <w:rPr>
          <w:rFonts w:hint="eastAsia" w:hAnsi="宋体" w:cs="宋体"/>
          <w:color w:val="000000" w:themeColor="text1"/>
          <w:sz w:val="24"/>
          <w:szCs w:val="24"/>
          <w:highlight w:val="none"/>
          <w:lang w:eastAsia="zh-CN"/>
        </w:rPr>
        <w:t>包括</w:t>
      </w:r>
      <w:r>
        <w:rPr>
          <w:rFonts w:hint="eastAsia" w:ascii="宋体" w:hAnsi="宋体" w:eastAsia="宋体" w:cs="宋体"/>
          <w:color w:val="000000" w:themeColor="text1"/>
          <w:sz w:val="24"/>
          <w:szCs w:val="24"/>
          <w:highlight w:val="none"/>
        </w:rPr>
        <w:t>新建房白蚁预防施工（药物屏障技术）基础+回填</w:t>
      </w:r>
      <w:r>
        <w:rPr>
          <w:rFonts w:hint="eastAsia" w:hAnsi="宋体" w:eastAsia="宋体" w:cs="宋体"/>
          <w:i w:val="0"/>
          <w:iCs w:val="0"/>
          <w:color w:val="000000" w:themeColor="text1"/>
          <w:sz w:val="24"/>
          <w:szCs w:val="24"/>
          <w:lang w:val="en-US" w:eastAsia="zh-CN"/>
        </w:rPr>
        <w:t>。</w:t>
      </w:r>
    </w:p>
    <w:p>
      <w:pPr>
        <w:pStyle w:val="24"/>
        <w:snapToGrid w:val="0"/>
        <w:spacing w:line="360" w:lineRule="auto"/>
        <w:ind w:firstLine="482" w:firstLineChars="200"/>
        <w:rPr>
          <w:rFonts w:hint="eastAsia" w:ascii="宋体" w:hAnsi="宋体" w:eastAsia="宋体" w:cs="宋体"/>
          <w:b/>
          <w:i w:val="0"/>
          <w:iCs w:val="0"/>
          <w:color w:val="000000" w:themeColor="text1"/>
          <w:sz w:val="24"/>
          <w:szCs w:val="24"/>
        </w:rPr>
      </w:pPr>
      <w:r>
        <w:rPr>
          <w:rFonts w:hint="eastAsia" w:ascii="宋体" w:hAnsi="宋体" w:eastAsia="宋体" w:cs="宋体"/>
          <w:b/>
          <w:i w:val="0"/>
          <w:iCs w:val="0"/>
          <w:color w:val="000000" w:themeColor="text1"/>
          <w:sz w:val="24"/>
          <w:szCs w:val="24"/>
        </w:rPr>
        <w:t>三、完成时限</w:t>
      </w:r>
    </w:p>
    <w:p>
      <w:pPr>
        <w:pStyle w:val="24"/>
        <w:snapToGrid w:val="0"/>
        <w:spacing w:line="360" w:lineRule="auto"/>
        <w:ind w:firstLine="480" w:firstLineChars="200"/>
        <w:rPr>
          <w:rFonts w:hint="eastAsia" w:ascii="宋体" w:hAnsi="宋体" w:eastAsia="宋体" w:cs="宋体"/>
          <w:i w:val="0"/>
          <w:iCs w:val="0"/>
          <w:color w:val="000000" w:themeColor="text1"/>
          <w:sz w:val="24"/>
          <w:szCs w:val="24"/>
          <w:highlight w:val="none"/>
        </w:rPr>
      </w:pPr>
      <w:r>
        <w:rPr>
          <w:rFonts w:hint="eastAsia" w:ascii="宋体" w:hAnsi="宋体" w:eastAsia="宋体" w:cs="宋体"/>
          <w:i w:val="0"/>
          <w:iCs w:val="0"/>
          <w:color w:val="000000" w:themeColor="text1"/>
          <w:sz w:val="24"/>
          <w:szCs w:val="24"/>
        </w:rPr>
        <w:t>1.白蚁防治监测控制装置的埋设，</w:t>
      </w:r>
      <w:r>
        <w:rPr>
          <w:rFonts w:hint="eastAsia" w:ascii="宋体" w:hAnsi="宋体" w:eastAsia="宋体" w:cs="宋体"/>
          <w:i w:val="0"/>
          <w:iCs w:val="0"/>
          <w:color w:val="000000" w:themeColor="text1"/>
          <w:sz w:val="24"/>
          <w:szCs w:val="24"/>
          <w:highlight w:val="none"/>
        </w:rPr>
        <w:t>要求在202</w:t>
      </w:r>
      <w:r>
        <w:rPr>
          <w:rFonts w:hint="eastAsia" w:ascii="宋体" w:hAnsi="宋体" w:eastAsia="宋体" w:cs="宋体"/>
          <w:i w:val="0"/>
          <w:iCs w:val="0"/>
          <w:color w:val="000000" w:themeColor="text1"/>
          <w:sz w:val="24"/>
          <w:szCs w:val="24"/>
          <w:highlight w:val="none"/>
          <w:lang w:val="en-US" w:eastAsia="zh-CN"/>
        </w:rPr>
        <w:t>4</w:t>
      </w:r>
      <w:r>
        <w:rPr>
          <w:rFonts w:hint="eastAsia" w:ascii="宋体" w:hAnsi="宋体" w:eastAsia="宋体" w:cs="宋体"/>
          <w:i w:val="0"/>
          <w:iCs w:val="0"/>
          <w:color w:val="000000" w:themeColor="text1"/>
          <w:sz w:val="24"/>
          <w:szCs w:val="24"/>
          <w:highlight w:val="none"/>
        </w:rPr>
        <w:t>年11月底前完成。</w:t>
      </w:r>
    </w:p>
    <w:p>
      <w:pPr>
        <w:pStyle w:val="24"/>
        <w:snapToGrid w:val="0"/>
        <w:spacing w:line="360" w:lineRule="auto"/>
        <w:ind w:firstLine="480" w:firstLineChars="200"/>
        <w:rPr>
          <w:rFonts w:hint="eastAsia" w:ascii="宋体" w:hAnsi="宋体" w:eastAsia="宋体" w:cs="宋体"/>
          <w:i w:val="0"/>
          <w:iCs w:val="0"/>
          <w:color w:val="000000" w:themeColor="text1"/>
          <w:sz w:val="24"/>
          <w:szCs w:val="24"/>
          <w:highlight w:val="none"/>
        </w:rPr>
      </w:pPr>
      <w:r>
        <w:rPr>
          <w:rFonts w:hint="eastAsia" w:ascii="宋体" w:hAnsi="宋体" w:eastAsia="宋体" w:cs="宋体"/>
          <w:i w:val="0"/>
          <w:iCs w:val="0"/>
          <w:color w:val="000000" w:themeColor="text1"/>
          <w:sz w:val="24"/>
          <w:szCs w:val="24"/>
        </w:rPr>
        <w:t>2.自签订合同之日</w:t>
      </w:r>
      <w:r>
        <w:rPr>
          <w:rFonts w:hint="eastAsia" w:ascii="宋体" w:hAnsi="宋体" w:eastAsia="宋体" w:cs="宋体"/>
          <w:i w:val="0"/>
          <w:iCs w:val="0"/>
          <w:color w:val="000000" w:themeColor="text1"/>
          <w:sz w:val="24"/>
          <w:szCs w:val="24"/>
          <w:lang w:eastAsia="zh-CN"/>
        </w:rPr>
        <w:t>起至</w:t>
      </w:r>
      <w:r>
        <w:rPr>
          <w:rFonts w:hint="eastAsia" w:hAnsi="宋体" w:cs="宋体"/>
          <w:i w:val="0"/>
          <w:iCs w:val="0"/>
          <w:color w:val="000000" w:themeColor="text1"/>
          <w:sz w:val="24"/>
          <w:szCs w:val="24"/>
          <w:highlight w:val="none"/>
          <w:lang w:eastAsia="zh-CN"/>
        </w:rPr>
        <w:t>服务限期</w:t>
      </w:r>
      <w:r>
        <w:rPr>
          <w:rFonts w:hint="eastAsia" w:hAnsi="宋体" w:cs="宋体"/>
          <w:i w:val="0"/>
          <w:iCs w:val="0"/>
          <w:color w:val="000000" w:themeColor="text1"/>
          <w:sz w:val="24"/>
          <w:szCs w:val="24"/>
          <w:highlight w:val="none"/>
          <w:lang w:val="en-US" w:eastAsia="zh-CN"/>
        </w:rPr>
        <w:t>1年内</w:t>
      </w:r>
      <w:r>
        <w:rPr>
          <w:rFonts w:hint="eastAsia" w:ascii="宋体" w:hAnsi="宋体" w:eastAsia="宋体" w:cs="宋体"/>
          <w:i w:val="0"/>
          <w:iCs w:val="0"/>
          <w:color w:val="000000" w:themeColor="text1"/>
          <w:sz w:val="24"/>
          <w:szCs w:val="24"/>
        </w:rPr>
        <w:t>，</w:t>
      </w:r>
      <w:r>
        <w:rPr>
          <w:rFonts w:hint="eastAsia" w:hAnsi="宋体" w:cs="宋体"/>
          <w:i w:val="0"/>
          <w:iCs w:val="0"/>
          <w:color w:val="000000" w:themeColor="text1"/>
          <w:sz w:val="24"/>
          <w:szCs w:val="24"/>
          <w:highlight w:val="none"/>
          <w:lang w:eastAsia="zh-CN"/>
        </w:rPr>
        <w:t>期间</w:t>
      </w:r>
      <w:r>
        <w:rPr>
          <w:rFonts w:hint="eastAsia" w:ascii="宋体" w:hAnsi="宋体" w:eastAsia="宋体" w:cs="宋体"/>
          <w:i w:val="0"/>
          <w:iCs w:val="0"/>
          <w:color w:val="000000" w:themeColor="text1"/>
          <w:sz w:val="24"/>
          <w:szCs w:val="24"/>
          <w:highlight w:val="none"/>
        </w:rPr>
        <w:t>埋设的监控装置</w:t>
      </w:r>
      <w:r>
        <w:rPr>
          <w:rFonts w:hint="eastAsia" w:hAnsi="宋体" w:cs="宋体"/>
          <w:i w:val="0"/>
          <w:iCs w:val="0"/>
          <w:color w:val="000000" w:themeColor="text1"/>
          <w:sz w:val="24"/>
          <w:szCs w:val="24"/>
          <w:highlight w:val="none"/>
          <w:lang w:eastAsia="zh-CN"/>
        </w:rPr>
        <w:t>，按规范要求实施一年两次</w:t>
      </w:r>
      <w:r>
        <w:rPr>
          <w:rFonts w:hint="eastAsia" w:ascii="宋体" w:hAnsi="宋体" w:eastAsia="宋体" w:cs="宋体"/>
          <w:i w:val="0"/>
          <w:iCs w:val="0"/>
          <w:color w:val="000000" w:themeColor="text1"/>
          <w:sz w:val="24"/>
          <w:szCs w:val="24"/>
          <w:highlight w:val="none"/>
        </w:rPr>
        <w:t>的检查维护。</w:t>
      </w:r>
    </w:p>
    <w:p>
      <w:pPr>
        <w:pStyle w:val="24"/>
        <w:snapToGrid w:val="0"/>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3.服务期内，房屋建筑内部出现白蚁危害的，中标单位须在72小时内作出响应，免费进行白蚁灭治服务。</w:t>
      </w:r>
    </w:p>
    <w:p>
      <w:pPr>
        <w:pStyle w:val="24"/>
        <w:snapToGrid w:val="0"/>
        <w:spacing w:line="360" w:lineRule="auto"/>
        <w:ind w:firstLine="480" w:firstLineChars="200"/>
        <w:rPr>
          <w:rFonts w:hint="default" w:ascii="宋体" w:hAnsi="宋体" w:eastAsia="宋体" w:cs="宋体"/>
          <w:i w:val="0"/>
          <w:iCs w:val="0"/>
          <w:color w:val="auto"/>
          <w:sz w:val="24"/>
          <w:szCs w:val="24"/>
          <w:lang w:val="en-US" w:eastAsia="zh-CN"/>
        </w:rPr>
      </w:pPr>
      <w:r>
        <w:rPr>
          <w:rFonts w:hint="eastAsia" w:hAnsi="宋体" w:eastAsia="宋体" w:cs="宋体"/>
          <w:i w:val="0"/>
          <w:iCs w:val="0"/>
          <w:color w:val="auto"/>
          <w:sz w:val="24"/>
          <w:szCs w:val="24"/>
          <w:lang w:val="en-US" w:eastAsia="zh-CN"/>
        </w:rPr>
        <w:t>4.对</w:t>
      </w:r>
      <w:r>
        <w:rPr>
          <w:rFonts w:hint="eastAsia" w:hAnsi="宋体" w:cs="宋体"/>
          <w:i w:val="0"/>
          <w:iCs w:val="0"/>
          <w:color w:val="auto"/>
          <w:sz w:val="24"/>
          <w:szCs w:val="24"/>
          <w:lang w:val="en-US" w:eastAsia="zh-CN"/>
        </w:rPr>
        <w:t>药物屏障技术施工</w:t>
      </w:r>
      <w:r>
        <w:rPr>
          <w:rFonts w:hint="eastAsia" w:hAnsi="宋体" w:eastAsia="宋体" w:cs="宋体"/>
          <w:i w:val="0"/>
          <w:iCs w:val="0"/>
          <w:color w:val="auto"/>
          <w:sz w:val="24"/>
          <w:szCs w:val="24"/>
          <w:lang w:val="en-US" w:eastAsia="zh-CN"/>
        </w:rPr>
        <w:t>，</w:t>
      </w:r>
      <w:r>
        <w:rPr>
          <w:rFonts w:hint="eastAsia" w:ascii="宋体" w:hAnsi="宋体" w:eastAsia="宋体" w:cs="宋体"/>
          <w:i w:val="0"/>
          <w:iCs w:val="0"/>
          <w:color w:val="auto"/>
          <w:sz w:val="24"/>
          <w:szCs w:val="24"/>
        </w:rPr>
        <w:t>中标单位</w:t>
      </w:r>
      <w:r>
        <w:rPr>
          <w:rFonts w:hint="eastAsia" w:ascii="宋体" w:hAnsi="宋体" w:eastAsia="宋体" w:cs="宋体"/>
          <w:i w:val="0"/>
          <w:iCs w:val="0"/>
          <w:color w:val="auto"/>
          <w:sz w:val="24"/>
          <w:szCs w:val="24"/>
          <w:lang w:val="en-US" w:eastAsia="zh-CN"/>
        </w:rPr>
        <w:t>自接到采购人通知之日起48</w:t>
      </w:r>
      <w:r>
        <w:rPr>
          <w:rFonts w:hint="eastAsia" w:ascii="宋体" w:hAnsi="宋体" w:eastAsia="宋体" w:cs="宋体"/>
          <w:i w:val="0"/>
          <w:iCs w:val="0"/>
          <w:color w:val="auto"/>
          <w:sz w:val="24"/>
          <w:szCs w:val="24"/>
        </w:rPr>
        <w:t>小时内</w:t>
      </w:r>
      <w:r>
        <w:rPr>
          <w:rFonts w:hint="eastAsia" w:ascii="宋体" w:hAnsi="宋体" w:eastAsia="宋体" w:cs="宋体"/>
          <w:i w:val="0"/>
          <w:iCs w:val="0"/>
          <w:color w:val="auto"/>
          <w:sz w:val="24"/>
          <w:szCs w:val="24"/>
          <w:lang w:val="en-US" w:eastAsia="zh-CN"/>
        </w:rPr>
        <w:t>完成施工</w:t>
      </w:r>
      <w:r>
        <w:rPr>
          <w:rFonts w:hint="eastAsia" w:ascii="宋体" w:hAnsi="宋体" w:eastAsia="宋体" w:cs="宋体"/>
          <w:i w:val="0"/>
          <w:iCs w:val="0"/>
          <w:color w:val="auto"/>
          <w:sz w:val="24"/>
          <w:szCs w:val="24"/>
        </w:rPr>
        <w:t>服务。</w:t>
      </w:r>
    </w:p>
    <w:p>
      <w:pPr>
        <w:pStyle w:val="24"/>
        <w:snapToGrid w:val="0"/>
        <w:spacing w:line="360" w:lineRule="auto"/>
        <w:ind w:firstLine="482" w:firstLineChars="200"/>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四、预算金额</w:t>
      </w:r>
    </w:p>
    <w:p>
      <w:pPr>
        <w:pStyle w:val="24"/>
        <w:snapToGrid w:val="0"/>
        <w:spacing w:line="360" w:lineRule="auto"/>
        <w:ind w:firstLine="480" w:firstLineChars="200"/>
        <w:rPr>
          <w:rFonts w:hint="eastAsia" w:hAnsi="宋体" w:eastAsia="宋体" w:cs="宋体"/>
          <w:i w:val="0"/>
          <w:iCs w:val="0"/>
          <w:color w:val="auto"/>
          <w:sz w:val="24"/>
          <w:szCs w:val="24"/>
          <w:lang w:val="en-US" w:eastAsia="zh-CN"/>
        </w:rPr>
      </w:pPr>
      <w:r>
        <w:rPr>
          <w:rFonts w:hint="eastAsia" w:hAnsi="宋体" w:eastAsia="宋体" w:cs="宋体"/>
          <w:i w:val="0"/>
          <w:iCs w:val="0"/>
          <w:color w:val="auto"/>
          <w:sz w:val="24"/>
          <w:szCs w:val="24"/>
          <w:lang w:val="en-US" w:eastAsia="zh-CN"/>
        </w:rPr>
        <w:t>参照《浙江省白蚁防治工作定额（2020）版》，预算如下：</w:t>
      </w:r>
    </w:p>
    <w:tbl>
      <w:tblPr>
        <w:tblStyle w:val="62"/>
        <w:tblW w:w="8696" w:type="dxa"/>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949"/>
        <w:gridCol w:w="899"/>
        <w:gridCol w:w="1051"/>
        <w:gridCol w:w="1272"/>
        <w:gridCol w:w="1440"/>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09"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序号</w:t>
            </w:r>
          </w:p>
        </w:tc>
        <w:tc>
          <w:tcPr>
            <w:tcW w:w="1949" w:type="dxa"/>
            <w:tcBorders>
              <w:top w:val="single" w:color="000000" w:sz="8" w:space="0"/>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内容</w:t>
            </w:r>
          </w:p>
        </w:tc>
        <w:tc>
          <w:tcPr>
            <w:tcW w:w="899" w:type="dxa"/>
            <w:tcBorders>
              <w:top w:val="single" w:color="000000" w:sz="8" w:space="0"/>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w:t>
            </w:r>
          </w:p>
        </w:tc>
        <w:tc>
          <w:tcPr>
            <w:tcW w:w="1051" w:type="dxa"/>
            <w:tcBorders>
              <w:top w:val="single" w:color="000000" w:sz="8" w:space="0"/>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单位</w:t>
            </w:r>
          </w:p>
        </w:tc>
        <w:tc>
          <w:tcPr>
            <w:tcW w:w="1272" w:type="dxa"/>
            <w:tcBorders>
              <w:top w:val="single" w:color="000000" w:sz="8" w:space="0"/>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rPr>
              <w:t>单价（元）</w:t>
            </w:r>
          </w:p>
        </w:tc>
        <w:tc>
          <w:tcPr>
            <w:tcW w:w="1440" w:type="dxa"/>
            <w:tcBorders>
              <w:top w:val="single" w:color="000000" w:sz="8" w:space="0"/>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rPr>
              <w:t>合计（元）</w:t>
            </w:r>
          </w:p>
        </w:tc>
        <w:tc>
          <w:tcPr>
            <w:tcW w:w="1376" w:type="dxa"/>
            <w:tcBorders>
              <w:top w:val="single" w:color="000000" w:sz="8" w:space="0"/>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09" w:type="dxa"/>
            <w:tcBorders>
              <w:top w:val="nil"/>
              <w:left w:val="single" w:color="000000" w:sz="8" w:space="0"/>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rPr>
              <w:t>1</w:t>
            </w:r>
          </w:p>
        </w:tc>
        <w:tc>
          <w:tcPr>
            <w:tcW w:w="1949"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kern w:val="0"/>
                <w:sz w:val="21"/>
                <w:szCs w:val="21"/>
                <w:highlight w:val="yellow"/>
                <w:u w:val="none"/>
                <w:lang w:val="en-US" w:eastAsia="zh-CN"/>
              </w:rPr>
            </w:pPr>
            <w:r>
              <w:rPr>
                <w:rFonts w:hint="eastAsia" w:ascii="宋体" w:hAnsi="宋体" w:eastAsia="宋体" w:cs="宋体"/>
                <w:i w:val="0"/>
                <w:iCs w:val="0"/>
                <w:color w:val="000000" w:themeColor="text1"/>
                <w:kern w:val="0"/>
                <w:sz w:val="21"/>
                <w:szCs w:val="21"/>
                <w:highlight w:val="none"/>
                <w:u w:val="none"/>
                <w:lang w:val="en-US" w:eastAsia="zh-CN"/>
              </w:rPr>
              <w:t>安装白蚁监控装置（包括按规范要求实施一年两次的检查维护）</w:t>
            </w:r>
          </w:p>
        </w:tc>
        <w:tc>
          <w:tcPr>
            <w:tcW w:w="899"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default" w:ascii="宋体" w:hAnsi="宋体" w:eastAsia="宋体" w:cs="宋体"/>
                <w:i w:val="0"/>
                <w:iCs w:val="0"/>
                <w:color w:val="000000" w:themeColor="text1"/>
                <w:sz w:val="21"/>
                <w:szCs w:val="21"/>
                <w:u w:val="none"/>
                <w:lang w:val="en-US"/>
              </w:rPr>
            </w:pPr>
            <w:r>
              <w:rPr>
                <w:rFonts w:hint="eastAsia" w:ascii="宋体" w:hAnsi="宋体" w:cs="宋体"/>
                <w:i w:val="0"/>
                <w:iCs w:val="0"/>
                <w:color w:val="000000" w:themeColor="text1"/>
                <w:kern w:val="0"/>
                <w:sz w:val="21"/>
                <w:szCs w:val="21"/>
                <w:u w:val="none"/>
                <w:lang w:val="en-US" w:eastAsia="zh-CN"/>
              </w:rPr>
              <w:t>17000</w:t>
            </w:r>
          </w:p>
        </w:tc>
        <w:tc>
          <w:tcPr>
            <w:tcW w:w="1051"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套</w:t>
            </w:r>
          </w:p>
        </w:tc>
        <w:tc>
          <w:tcPr>
            <w:tcW w:w="1272"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rPr>
              <w:t>47.163</w:t>
            </w:r>
          </w:p>
        </w:tc>
        <w:tc>
          <w:tcPr>
            <w:tcW w:w="1440"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default" w:ascii="宋体" w:hAnsi="宋体" w:eastAsia="宋体" w:cs="宋体"/>
                <w:i w:val="0"/>
                <w:iCs w:val="0"/>
                <w:color w:val="000000" w:themeColor="text1"/>
                <w:sz w:val="21"/>
                <w:szCs w:val="21"/>
                <w:u w:val="none"/>
                <w:lang w:val="en-US"/>
              </w:rPr>
            </w:pPr>
            <w:r>
              <w:rPr>
                <w:rFonts w:hint="eastAsia" w:ascii="宋体" w:hAnsi="宋体" w:cs="宋体"/>
                <w:i w:val="0"/>
                <w:iCs w:val="0"/>
                <w:color w:val="000000" w:themeColor="text1"/>
                <w:kern w:val="0"/>
                <w:sz w:val="21"/>
                <w:szCs w:val="21"/>
                <w:u w:val="none"/>
                <w:lang w:val="en-US" w:eastAsia="zh-CN"/>
              </w:rPr>
              <w:t>801771</w:t>
            </w:r>
          </w:p>
        </w:tc>
        <w:tc>
          <w:tcPr>
            <w:tcW w:w="1376" w:type="dxa"/>
            <w:tcBorders>
              <w:top w:val="nil"/>
              <w:left w:val="nil"/>
              <w:bottom w:val="single" w:color="000000" w:sz="8" w:space="0"/>
              <w:right w:val="single" w:color="000000" w:sz="8" w:space="0"/>
            </w:tcBorders>
            <w:vAlign w:val="center"/>
          </w:tcPr>
          <w:p>
            <w:pPr>
              <w:spacing w:line="240" w:lineRule="auto"/>
              <w:jc w:val="center"/>
              <w:rPr>
                <w:rFonts w:hint="eastAsia" w:ascii="宋体" w:hAnsi="宋体" w:eastAsia="宋体" w:cs="宋体"/>
                <w:i w:val="0"/>
                <w:iCs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709" w:type="dxa"/>
            <w:tcBorders>
              <w:top w:val="nil"/>
              <w:left w:val="single" w:color="000000" w:sz="8" w:space="0"/>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sz w:val="21"/>
                <w:szCs w:val="21"/>
                <w:u w:val="none"/>
              </w:rPr>
            </w:pPr>
            <w:r>
              <w:rPr>
                <w:rFonts w:hint="eastAsia" w:ascii="宋体" w:hAnsi="宋体" w:cs="宋体"/>
                <w:i w:val="0"/>
                <w:iCs w:val="0"/>
                <w:color w:val="000000" w:themeColor="text1"/>
                <w:kern w:val="0"/>
                <w:sz w:val="21"/>
                <w:szCs w:val="21"/>
                <w:u w:val="none"/>
                <w:lang w:val="en-US" w:eastAsia="zh-CN"/>
              </w:rPr>
              <w:t>2</w:t>
            </w:r>
          </w:p>
        </w:tc>
        <w:tc>
          <w:tcPr>
            <w:tcW w:w="1949"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白蚁药杀法灭治</w:t>
            </w:r>
          </w:p>
        </w:tc>
        <w:tc>
          <w:tcPr>
            <w:tcW w:w="899"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800</w:t>
            </w:r>
          </w:p>
        </w:tc>
        <w:tc>
          <w:tcPr>
            <w:tcW w:w="1051"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户</w:t>
            </w:r>
          </w:p>
        </w:tc>
        <w:tc>
          <w:tcPr>
            <w:tcW w:w="1272"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306.53</w:t>
            </w:r>
          </w:p>
        </w:tc>
        <w:tc>
          <w:tcPr>
            <w:tcW w:w="1440"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245224</w:t>
            </w:r>
          </w:p>
        </w:tc>
        <w:tc>
          <w:tcPr>
            <w:tcW w:w="1376"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按每户100平方米计算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09" w:type="dxa"/>
            <w:tcBorders>
              <w:top w:val="nil"/>
              <w:left w:val="single" w:color="000000" w:sz="8" w:space="0"/>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sz w:val="21"/>
                <w:szCs w:val="21"/>
                <w:u w:val="none"/>
              </w:rPr>
            </w:pPr>
            <w:r>
              <w:rPr>
                <w:rFonts w:hint="eastAsia" w:ascii="宋体" w:hAnsi="宋体" w:cs="宋体"/>
                <w:i w:val="0"/>
                <w:iCs w:val="0"/>
                <w:color w:val="000000" w:themeColor="text1"/>
                <w:kern w:val="0"/>
                <w:sz w:val="21"/>
                <w:szCs w:val="21"/>
                <w:u w:val="none"/>
                <w:lang w:val="en-US" w:eastAsia="zh-CN"/>
              </w:rPr>
              <w:t>3</w:t>
            </w:r>
          </w:p>
        </w:tc>
        <w:tc>
          <w:tcPr>
            <w:tcW w:w="1949"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药物屏障技术施工</w:t>
            </w:r>
          </w:p>
        </w:tc>
        <w:tc>
          <w:tcPr>
            <w:tcW w:w="899"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default"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3</w:t>
            </w:r>
            <w:r>
              <w:rPr>
                <w:rFonts w:hint="eastAsia" w:ascii="宋体" w:hAnsi="宋体" w:cs="宋体"/>
                <w:i w:val="0"/>
                <w:iCs w:val="0"/>
                <w:color w:val="000000" w:themeColor="text1"/>
                <w:kern w:val="0"/>
                <w:sz w:val="21"/>
                <w:szCs w:val="21"/>
                <w:u w:val="none"/>
                <w:lang w:val="en-US" w:eastAsia="zh-CN"/>
              </w:rPr>
              <w:t>535</w:t>
            </w:r>
          </w:p>
        </w:tc>
        <w:tc>
          <w:tcPr>
            <w:tcW w:w="1051"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color w:val="000000" w:themeColor="text1"/>
                <w:lang w:val="en-US" w:eastAsia="zh-CN"/>
              </w:rPr>
            </w:pPr>
            <w:r>
              <w:rPr>
                <w:rFonts w:hint="eastAsia"/>
                <w:color w:val="000000" w:themeColor="text1"/>
                <w:lang w:val="en-US" w:eastAsia="zh-CN"/>
              </w:rPr>
              <w:t>平方米</w:t>
            </w:r>
          </w:p>
          <w:p>
            <w:pPr>
              <w:pStyle w:val="2"/>
              <w:jc w:val="both"/>
              <w:rPr>
                <w:rFonts w:hint="eastAsia"/>
                <w:color w:val="000000" w:themeColor="text1"/>
                <w:lang w:val="en-US" w:eastAsia="zh-CN"/>
              </w:rPr>
            </w:pPr>
            <w:r>
              <w:rPr>
                <w:rFonts w:hint="eastAsia" w:ascii="宋体" w:hAnsi="宋体" w:eastAsia="宋体" w:cs="宋体"/>
                <w:i w:val="0"/>
                <w:iCs w:val="0"/>
                <w:color w:val="000000" w:themeColor="text1"/>
                <w:w w:val="66"/>
                <w:kern w:val="0"/>
                <w:sz w:val="21"/>
                <w:szCs w:val="21"/>
                <w:u w:val="none"/>
                <w:lang w:val="en-US" w:eastAsia="zh-CN"/>
              </w:rPr>
              <w:t>（占地面积）</w:t>
            </w:r>
          </w:p>
        </w:tc>
        <w:tc>
          <w:tcPr>
            <w:tcW w:w="1272"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default"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0.</w:t>
            </w:r>
            <w:r>
              <w:rPr>
                <w:rFonts w:hint="eastAsia" w:ascii="宋体" w:hAnsi="宋体" w:cs="宋体"/>
                <w:i w:val="0"/>
                <w:iCs w:val="0"/>
                <w:color w:val="000000" w:themeColor="text1"/>
                <w:kern w:val="0"/>
                <w:sz w:val="21"/>
                <w:szCs w:val="21"/>
                <w:u w:val="none"/>
                <w:lang w:val="en-US" w:eastAsia="zh-CN"/>
              </w:rPr>
              <w:t>85</w:t>
            </w:r>
          </w:p>
        </w:tc>
        <w:tc>
          <w:tcPr>
            <w:tcW w:w="1440"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default"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3005</w:t>
            </w:r>
          </w:p>
        </w:tc>
        <w:tc>
          <w:tcPr>
            <w:tcW w:w="1376"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kern w:val="0"/>
                <w:sz w:val="21"/>
                <w:szCs w:val="21"/>
                <w:u w:val="none"/>
                <w:lang w:val="en-US" w:eastAsia="zh-CN"/>
              </w:rPr>
            </w:pPr>
            <w:r>
              <w:rPr>
                <w:rFonts w:hint="eastAsia" w:ascii="宋体" w:hAnsi="宋体" w:eastAsia="宋体" w:cs="宋体"/>
                <w:i w:val="0"/>
                <w:iCs w:val="0"/>
                <w:color w:val="000000" w:themeColor="text1"/>
                <w:kern w:val="0"/>
                <w:sz w:val="21"/>
                <w:szCs w:val="21"/>
                <w:u w:val="none"/>
                <w:lang w:val="en-US" w:eastAsia="zh-CN"/>
              </w:rPr>
              <w:t>白蚁预防施工药物由采购人提供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09" w:type="dxa"/>
            <w:tcBorders>
              <w:top w:val="nil"/>
              <w:left w:val="single" w:color="000000" w:sz="8" w:space="0"/>
              <w:bottom w:val="single" w:color="000000" w:sz="8" w:space="0"/>
              <w:right w:val="single" w:color="000000" w:sz="8" w:space="0"/>
            </w:tcBorders>
            <w:vAlign w:val="center"/>
          </w:tcPr>
          <w:p>
            <w:pPr>
              <w:spacing w:line="240" w:lineRule="auto"/>
              <w:jc w:val="center"/>
              <w:rPr>
                <w:rFonts w:hint="eastAsia" w:ascii="宋体" w:hAnsi="宋体" w:eastAsia="宋体" w:cs="宋体"/>
                <w:i w:val="0"/>
                <w:iCs w:val="0"/>
                <w:color w:val="000000" w:themeColor="text1"/>
                <w:sz w:val="21"/>
                <w:szCs w:val="21"/>
                <w:u w:val="none"/>
                <w:lang w:eastAsia="zh-CN"/>
              </w:rPr>
            </w:pPr>
            <w:r>
              <w:rPr>
                <w:rFonts w:hint="eastAsia" w:ascii="宋体" w:hAnsi="宋体" w:cs="宋体"/>
                <w:i w:val="0"/>
                <w:iCs w:val="0"/>
                <w:color w:val="000000" w:themeColor="text1"/>
                <w:sz w:val="21"/>
                <w:szCs w:val="21"/>
                <w:u w:val="none"/>
                <w:lang w:eastAsia="zh-CN"/>
              </w:rPr>
              <w:t>合计</w:t>
            </w:r>
          </w:p>
        </w:tc>
        <w:tc>
          <w:tcPr>
            <w:tcW w:w="1949" w:type="dxa"/>
            <w:tcBorders>
              <w:top w:val="nil"/>
              <w:left w:val="nil"/>
              <w:bottom w:val="single" w:color="000000" w:sz="8" w:space="0"/>
              <w:right w:val="single" w:color="000000" w:sz="8" w:space="0"/>
            </w:tcBorders>
            <w:vAlign w:val="center"/>
          </w:tcPr>
          <w:p>
            <w:pPr>
              <w:spacing w:line="240" w:lineRule="auto"/>
              <w:jc w:val="center"/>
              <w:rPr>
                <w:rFonts w:hint="eastAsia" w:ascii="宋体" w:hAnsi="宋体" w:eastAsia="宋体" w:cs="宋体"/>
                <w:i w:val="0"/>
                <w:iCs w:val="0"/>
                <w:color w:val="000000" w:themeColor="text1"/>
                <w:sz w:val="21"/>
                <w:szCs w:val="21"/>
                <w:u w:val="none"/>
              </w:rPr>
            </w:pPr>
          </w:p>
        </w:tc>
        <w:tc>
          <w:tcPr>
            <w:tcW w:w="899" w:type="dxa"/>
            <w:tcBorders>
              <w:top w:val="nil"/>
              <w:left w:val="nil"/>
              <w:bottom w:val="single" w:color="000000" w:sz="8" w:space="0"/>
              <w:right w:val="single" w:color="000000" w:sz="8" w:space="0"/>
            </w:tcBorders>
            <w:vAlign w:val="center"/>
          </w:tcPr>
          <w:p>
            <w:pPr>
              <w:spacing w:line="240" w:lineRule="auto"/>
              <w:jc w:val="center"/>
              <w:rPr>
                <w:rFonts w:hint="eastAsia" w:ascii="宋体" w:hAnsi="宋体" w:eastAsia="宋体" w:cs="宋体"/>
                <w:i w:val="0"/>
                <w:iCs w:val="0"/>
                <w:color w:val="000000" w:themeColor="text1"/>
                <w:sz w:val="21"/>
                <w:szCs w:val="21"/>
                <w:u w:val="none"/>
              </w:rPr>
            </w:pPr>
          </w:p>
        </w:tc>
        <w:tc>
          <w:tcPr>
            <w:tcW w:w="1051" w:type="dxa"/>
            <w:tcBorders>
              <w:top w:val="nil"/>
              <w:left w:val="nil"/>
              <w:bottom w:val="single" w:color="000000" w:sz="8" w:space="0"/>
              <w:right w:val="single" w:color="000000" w:sz="8" w:space="0"/>
            </w:tcBorders>
            <w:vAlign w:val="center"/>
          </w:tcPr>
          <w:p>
            <w:pPr>
              <w:spacing w:line="240" w:lineRule="auto"/>
              <w:jc w:val="center"/>
              <w:rPr>
                <w:rFonts w:hint="eastAsia" w:ascii="宋体" w:hAnsi="宋体" w:eastAsia="宋体" w:cs="宋体"/>
                <w:i w:val="0"/>
                <w:iCs w:val="0"/>
                <w:color w:val="000000" w:themeColor="text1"/>
                <w:sz w:val="21"/>
                <w:szCs w:val="21"/>
                <w:u w:val="none"/>
              </w:rPr>
            </w:pPr>
          </w:p>
        </w:tc>
        <w:tc>
          <w:tcPr>
            <w:tcW w:w="1272" w:type="dxa"/>
            <w:tcBorders>
              <w:top w:val="nil"/>
              <w:left w:val="nil"/>
              <w:bottom w:val="single" w:color="000000" w:sz="8" w:space="0"/>
              <w:right w:val="single" w:color="000000" w:sz="8" w:space="0"/>
            </w:tcBorders>
            <w:vAlign w:val="center"/>
          </w:tcPr>
          <w:p>
            <w:pPr>
              <w:spacing w:line="240" w:lineRule="auto"/>
              <w:jc w:val="center"/>
              <w:rPr>
                <w:rFonts w:hint="eastAsia" w:ascii="宋体" w:hAnsi="宋体" w:eastAsia="宋体" w:cs="宋体"/>
                <w:i w:val="0"/>
                <w:iCs w:val="0"/>
                <w:color w:val="000000" w:themeColor="text1"/>
                <w:sz w:val="21"/>
                <w:szCs w:val="21"/>
                <w:u w:val="none"/>
              </w:rPr>
            </w:pPr>
          </w:p>
        </w:tc>
        <w:tc>
          <w:tcPr>
            <w:tcW w:w="1440" w:type="dxa"/>
            <w:tcBorders>
              <w:top w:val="nil"/>
              <w:left w:val="nil"/>
              <w:bottom w:val="single" w:color="000000" w:sz="8" w:space="0"/>
              <w:right w:val="single" w:color="000000" w:sz="8" w:space="0"/>
            </w:tcBorders>
            <w:vAlign w:val="center"/>
          </w:tcPr>
          <w:p>
            <w:pPr>
              <w:widowControl/>
              <w:spacing w:line="240" w:lineRule="auto"/>
              <w:jc w:val="center"/>
              <w:textAlignment w:val="center"/>
              <w:rPr>
                <w:rFonts w:hint="eastAsia" w:ascii="宋体" w:hAnsi="宋体" w:eastAsia="宋体" w:cs="宋体"/>
                <w:i w:val="0"/>
                <w:iCs w:val="0"/>
                <w:color w:val="000000" w:themeColor="text1"/>
                <w:sz w:val="21"/>
                <w:szCs w:val="21"/>
                <w:u w:val="none"/>
                <w:lang w:val="en-US"/>
              </w:rPr>
            </w:pPr>
            <w:r>
              <w:rPr>
                <w:rFonts w:hint="eastAsia" w:ascii="宋体" w:hAnsi="宋体" w:eastAsia="宋体" w:cs="宋体"/>
                <w:i w:val="0"/>
                <w:iCs w:val="0"/>
                <w:color w:val="000000" w:themeColor="text1"/>
                <w:kern w:val="0"/>
                <w:sz w:val="21"/>
                <w:szCs w:val="21"/>
                <w:u w:val="none"/>
                <w:lang w:val="en-US" w:eastAsia="zh-CN"/>
              </w:rPr>
              <w:t>1050000</w:t>
            </w:r>
          </w:p>
        </w:tc>
        <w:tc>
          <w:tcPr>
            <w:tcW w:w="1376" w:type="dxa"/>
            <w:tcBorders>
              <w:top w:val="nil"/>
              <w:left w:val="nil"/>
              <w:bottom w:val="single" w:color="000000" w:sz="8" w:space="0"/>
              <w:right w:val="single" w:color="000000" w:sz="8" w:space="0"/>
            </w:tcBorders>
            <w:vAlign w:val="center"/>
          </w:tcPr>
          <w:p>
            <w:pPr>
              <w:spacing w:line="240" w:lineRule="auto"/>
              <w:jc w:val="center"/>
              <w:rPr>
                <w:rFonts w:hint="eastAsia" w:ascii="宋体" w:hAnsi="宋体" w:eastAsia="宋体" w:cs="宋体"/>
                <w:i w:val="0"/>
                <w:iCs w:val="0"/>
                <w:color w:val="000000" w:themeColor="text1"/>
                <w:sz w:val="21"/>
                <w:szCs w:val="21"/>
                <w:u w:val="none"/>
              </w:rPr>
            </w:pPr>
          </w:p>
        </w:tc>
      </w:tr>
    </w:tbl>
    <w:p>
      <w:pPr>
        <w:pStyle w:val="24"/>
        <w:snapToGrid w:val="0"/>
        <w:spacing w:line="360" w:lineRule="auto"/>
        <w:ind w:firstLine="482" w:firstLineChars="200"/>
        <w:rPr>
          <w:rFonts w:hint="eastAsia" w:ascii="宋体" w:hAnsi="宋体" w:eastAsia="宋体" w:cs="宋体"/>
          <w:b/>
          <w:i w:val="0"/>
          <w:iCs w:val="0"/>
          <w:color w:val="FF0000"/>
          <w:sz w:val="24"/>
          <w:szCs w:val="24"/>
          <w:lang w:eastAsia="zh-CN"/>
        </w:rPr>
      </w:pPr>
      <w:r>
        <w:rPr>
          <w:rFonts w:hint="eastAsia" w:hAnsi="宋体" w:cs="宋体"/>
          <w:b/>
          <w:i w:val="0"/>
          <w:iCs w:val="0"/>
          <w:color w:val="000000" w:themeColor="text1"/>
          <w:sz w:val="24"/>
          <w:szCs w:val="24"/>
          <w:lang w:eastAsia="zh-CN"/>
        </w:rPr>
        <w:t>备注：</w:t>
      </w:r>
      <w:r>
        <w:rPr>
          <w:rFonts w:hint="eastAsia" w:ascii="仿宋" w:hAnsi="仿宋" w:eastAsia="仿宋" w:cs="仿宋"/>
          <w:bCs/>
          <w:color w:val="000000" w:themeColor="text1"/>
          <w:sz w:val="24"/>
          <w:lang w:eastAsia="zh-CN"/>
        </w:rPr>
        <w:t>本项目通过招标确定</w:t>
      </w:r>
      <w:r>
        <w:rPr>
          <w:rFonts w:hint="eastAsia" w:ascii="仿宋" w:hAnsi="仿宋" w:eastAsia="仿宋" w:cs="仿宋"/>
          <w:bCs/>
          <w:color w:val="000000" w:themeColor="text1"/>
          <w:sz w:val="24"/>
        </w:rPr>
        <w:t>单价合同，本合同单价（含税）标准为：</w:t>
      </w:r>
      <w:r>
        <w:rPr>
          <w:rFonts w:hint="eastAsia" w:ascii="仿宋" w:hAnsi="仿宋" w:eastAsia="仿宋" w:cs="仿宋"/>
          <w:bCs/>
          <w:color w:val="000000" w:themeColor="text1"/>
          <w:sz w:val="24"/>
          <w:u w:val="single"/>
        </w:rPr>
        <w:t xml:space="preserve"> </w:t>
      </w:r>
      <w:r>
        <w:rPr>
          <w:rFonts w:hint="eastAsia" w:ascii="仿宋" w:hAnsi="仿宋" w:eastAsia="仿宋" w:cs="仿宋"/>
          <w:bCs/>
          <w:color w:val="000000" w:themeColor="text1"/>
          <w:sz w:val="24"/>
          <w:u w:val="single"/>
          <w:lang w:eastAsia="zh-CN"/>
        </w:rPr>
        <w:t>以最终中标结果为准</w:t>
      </w:r>
      <w:r>
        <w:rPr>
          <w:rFonts w:hint="eastAsia" w:ascii="仿宋" w:hAnsi="仿宋" w:eastAsia="仿宋" w:cs="仿宋"/>
          <w:bCs/>
          <w:color w:val="000000" w:themeColor="text1"/>
          <w:sz w:val="24"/>
          <w:u w:val="single"/>
        </w:rPr>
        <w:t xml:space="preserve"> </w:t>
      </w:r>
      <w:r>
        <w:rPr>
          <w:rFonts w:hint="eastAsia" w:ascii="仿宋" w:hAnsi="仿宋" w:eastAsia="仿宋" w:cs="仿宋"/>
          <w:color w:val="000000" w:themeColor="text1"/>
          <w:sz w:val="24"/>
        </w:rPr>
        <w:t>。服务工作量的计量方式为：</w:t>
      </w:r>
      <w:r>
        <w:rPr>
          <w:rFonts w:hint="eastAsia" w:ascii="仿宋" w:hAnsi="仿宋" w:eastAsia="仿宋" w:cs="仿宋"/>
          <w:bCs/>
          <w:color w:val="000000" w:themeColor="text1"/>
          <w:sz w:val="24"/>
          <w:u w:val="single"/>
        </w:rPr>
        <w:t xml:space="preserve">  </w:t>
      </w:r>
      <w:r>
        <w:rPr>
          <w:rFonts w:hint="eastAsia" w:ascii="仿宋" w:hAnsi="仿宋" w:eastAsia="仿宋" w:cs="仿宋"/>
          <w:b/>
          <w:i/>
          <w:color w:val="000000" w:themeColor="text1"/>
          <w:sz w:val="24"/>
          <w:u w:val="single"/>
        </w:rPr>
        <w:t>合同专用条款</w:t>
      </w:r>
      <w:r>
        <w:rPr>
          <w:rFonts w:hint="eastAsia" w:ascii="仿宋" w:hAnsi="仿宋" w:eastAsia="仿宋" w:cs="仿宋"/>
          <w:bCs/>
          <w:color w:val="000000" w:themeColor="text1"/>
          <w:sz w:val="24"/>
          <w:u w:val="single"/>
        </w:rPr>
        <w:t xml:space="preserve">  </w:t>
      </w:r>
      <w:r>
        <w:rPr>
          <w:rFonts w:hint="eastAsia" w:ascii="仿宋" w:hAnsi="仿宋" w:eastAsia="仿宋" w:cs="仿宋"/>
          <w:color w:val="000000" w:themeColor="text1"/>
          <w:sz w:val="24"/>
        </w:rPr>
        <w:t>。单价合同，在合同履行期间内，根据实际完成的工作量据实结算，但结算总价上限不得超过</w:t>
      </w:r>
      <w:r>
        <w:rPr>
          <w:rFonts w:hint="eastAsia" w:ascii="仿宋" w:hAnsi="仿宋" w:eastAsia="仿宋" w:cs="仿宋"/>
          <w:color w:val="000000" w:themeColor="text1"/>
          <w:sz w:val="24"/>
          <w:lang w:eastAsia="zh-CN"/>
        </w:rPr>
        <w:t>最高限价</w:t>
      </w:r>
      <w:r>
        <w:rPr>
          <w:rFonts w:hint="eastAsia" w:ascii="仿宋" w:hAnsi="仿宋" w:eastAsia="仿宋" w:cs="仿宋"/>
          <w:color w:val="000000" w:themeColor="text1"/>
          <w:sz w:val="24"/>
        </w:rPr>
        <w:t>。</w:t>
      </w:r>
    </w:p>
    <w:p>
      <w:pPr>
        <w:pStyle w:val="24"/>
        <w:snapToGrid w:val="0"/>
        <w:spacing w:line="360" w:lineRule="auto"/>
        <w:ind w:firstLine="482" w:firstLineChars="200"/>
        <w:rPr>
          <w:rFonts w:hint="eastAsia" w:ascii="宋体" w:hAnsi="宋体" w:eastAsia="宋体" w:cs="宋体"/>
          <w:b/>
          <w:i w:val="0"/>
          <w:iCs w:val="0"/>
          <w:color w:val="auto"/>
          <w:kern w:val="0"/>
          <w:sz w:val="24"/>
          <w:szCs w:val="24"/>
        </w:rPr>
      </w:pPr>
      <w:r>
        <w:rPr>
          <w:rFonts w:hint="eastAsia" w:ascii="宋体" w:hAnsi="宋体" w:eastAsia="宋体" w:cs="宋体"/>
          <w:b/>
          <w:i w:val="0"/>
          <w:iCs w:val="0"/>
          <w:color w:val="auto"/>
          <w:sz w:val="24"/>
          <w:szCs w:val="24"/>
        </w:rPr>
        <w:t>五、</w:t>
      </w:r>
      <w:r>
        <w:rPr>
          <w:rFonts w:hint="eastAsia" w:ascii="宋体" w:hAnsi="宋体" w:eastAsia="宋体" w:cs="宋体"/>
          <w:b/>
          <w:i w:val="0"/>
          <w:iCs w:val="0"/>
          <w:color w:val="auto"/>
          <w:kern w:val="0"/>
          <w:sz w:val="24"/>
          <w:szCs w:val="24"/>
        </w:rPr>
        <w:t>技术要求</w:t>
      </w:r>
    </w:p>
    <w:p>
      <w:pPr>
        <w:pStyle w:val="24"/>
        <w:snapToGrid w:val="0"/>
        <w:spacing w:line="360" w:lineRule="auto"/>
        <w:ind w:firstLine="482" w:firstLineChars="200"/>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（一）项目的设计要求</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1.对项目背景把握透彻</w:t>
      </w:r>
      <w:r>
        <w:rPr>
          <w:rFonts w:hint="eastAsia" w:ascii="宋体" w:hAnsi="宋体" w:eastAsia="宋体" w:cs="宋体"/>
          <w:i w:val="0"/>
          <w:iCs w:val="0"/>
          <w:color w:val="auto"/>
          <w:kern w:val="0"/>
          <w:sz w:val="24"/>
          <w:szCs w:val="24"/>
          <w:lang w:eastAsia="zh-CN"/>
        </w:rPr>
        <w:t>，</w:t>
      </w:r>
      <w:r>
        <w:rPr>
          <w:rFonts w:hint="eastAsia" w:ascii="宋体" w:hAnsi="宋体" w:eastAsia="宋体" w:cs="宋体"/>
          <w:i w:val="0"/>
          <w:iCs w:val="0"/>
          <w:color w:val="auto"/>
          <w:kern w:val="0"/>
          <w:sz w:val="24"/>
          <w:szCs w:val="24"/>
        </w:rPr>
        <w:t>对项目的目标任务定位清晰</w:t>
      </w:r>
      <w:r>
        <w:rPr>
          <w:rFonts w:hint="eastAsia" w:ascii="宋体" w:hAnsi="宋体" w:eastAsia="宋体" w:cs="宋体"/>
          <w:i w:val="0"/>
          <w:iCs w:val="0"/>
          <w:color w:val="auto"/>
          <w:kern w:val="0"/>
          <w:sz w:val="24"/>
          <w:szCs w:val="24"/>
          <w:lang w:eastAsia="zh-CN"/>
        </w:rPr>
        <w:t>，</w:t>
      </w:r>
      <w:r>
        <w:rPr>
          <w:rFonts w:hint="eastAsia" w:ascii="宋体" w:hAnsi="宋体" w:eastAsia="宋体" w:cs="宋体"/>
          <w:i w:val="0"/>
          <w:iCs w:val="0"/>
          <w:color w:val="auto"/>
          <w:kern w:val="0"/>
          <w:sz w:val="24"/>
          <w:szCs w:val="24"/>
        </w:rPr>
        <w:t>对标项区域内项目现状情况了解清晰</w:t>
      </w:r>
      <w:r>
        <w:rPr>
          <w:rFonts w:hint="eastAsia" w:ascii="宋体" w:hAnsi="宋体" w:eastAsia="宋体" w:cs="宋体"/>
          <w:i w:val="0"/>
          <w:iCs w:val="0"/>
          <w:color w:val="auto"/>
          <w:kern w:val="0"/>
          <w:sz w:val="24"/>
          <w:szCs w:val="24"/>
          <w:lang w:eastAsia="zh-CN"/>
        </w:rPr>
        <w:t>，</w:t>
      </w:r>
      <w:r>
        <w:rPr>
          <w:rFonts w:hint="eastAsia" w:ascii="宋体" w:hAnsi="宋体" w:eastAsia="宋体" w:cs="宋体"/>
          <w:i w:val="0"/>
          <w:iCs w:val="0"/>
          <w:color w:val="auto"/>
          <w:kern w:val="0"/>
          <w:sz w:val="24"/>
          <w:szCs w:val="24"/>
        </w:rPr>
        <w:t>相关基础资料掌握充分</w:t>
      </w:r>
      <w:r>
        <w:rPr>
          <w:rFonts w:hint="eastAsia" w:ascii="宋体" w:hAnsi="宋体" w:eastAsia="宋体" w:cs="宋体"/>
          <w:i w:val="0"/>
          <w:iCs w:val="0"/>
          <w:color w:val="auto"/>
          <w:kern w:val="0"/>
          <w:sz w:val="24"/>
          <w:szCs w:val="24"/>
          <w:lang w:eastAsia="zh-CN"/>
        </w:rPr>
        <w:t>；</w:t>
      </w:r>
      <w:r>
        <w:rPr>
          <w:rFonts w:hint="eastAsia" w:ascii="宋体" w:hAnsi="宋体" w:eastAsia="宋体" w:cs="宋体"/>
          <w:i w:val="0"/>
          <w:iCs w:val="0"/>
          <w:color w:val="auto"/>
          <w:kern w:val="0"/>
          <w:sz w:val="24"/>
          <w:szCs w:val="24"/>
        </w:rPr>
        <w:t>项目方案全面可行</w:t>
      </w:r>
      <w:r>
        <w:rPr>
          <w:rFonts w:hint="eastAsia" w:ascii="宋体" w:hAnsi="宋体" w:eastAsia="宋体" w:cs="宋体"/>
          <w:i w:val="0"/>
          <w:iCs w:val="0"/>
          <w:color w:val="auto"/>
          <w:kern w:val="0"/>
          <w:sz w:val="24"/>
          <w:szCs w:val="24"/>
          <w:lang w:eastAsia="zh-CN"/>
        </w:rPr>
        <w:t>，</w:t>
      </w:r>
      <w:r>
        <w:rPr>
          <w:rFonts w:hint="eastAsia" w:ascii="宋体" w:hAnsi="宋体" w:eastAsia="宋体" w:cs="宋体"/>
          <w:i w:val="0"/>
          <w:iCs w:val="0"/>
          <w:color w:val="auto"/>
          <w:kern w:val="0"/>
          <w:sz w:val="24"/>
          <w:szCs w:val="24"/>
        </w:rPr>
        <w:t>施工计划进度安排科学合理</w:t>
      </w:r>
      <w:r>
        <w:rPr>
          <w:rFonts w:hint="eastAsia" w:ascii="宋体" w:hAnsi="宋体" w:eastAsia="宋体" w:cs="宋体"/>
          <w:i w:val="0"/>
          <w:iCs w:val="0"/>
          <w:color w:val="auto"/>
          <w:kern w:val="0"/>
          <w:sz w:val="24"/>
          <w:szCs w:val="24"/>
          <w:lang w:eastAsia="zh-CN"/>
        </w:rPr>
        <w:t>，</w:t>
      </w:r>
      <w:r>
        <w:rPr>
          <w:rFonts w:hint="eastAsia" w:ascii="宋体" w:hAnsi="宋体" w:eastAsia="宋体" w:cs="宋体"/>
          <w:i w:val="0"/>
          <w:iCs w:val="0"/>
          <w:color w:val="auto"/>
          <w:kern w:val="0"/>
          <w:sz w:val="24"/>
          <w:szCs w:val="24"/>
        </w:rPr>
        <w:t>项目重难点分析全面</w:t>
      </w:r>
      <w:r>
        <w:rPr>
          <w:rFonts w:hint="eastAsia" w:ascii="宋体" w:hAnsi="宋体" w:eastAsia="宋体" w:cs="宋体"/>
          <w:i w:val="0"/>
          <w:iCs w:val="0"/>
          <w:color w:val="auto"/>
          <w:kern w:val="0"/>
          <w:sz w:val="24"/>
          <w:szCs w:val="24"/>
          <w:lang w:eastAsia="zh-CN"/>
        </w:rPr>
        <w:t>，</w:t>
      </w:r>
      <w:r>
        <w:rPr>
          <w:rFonts w:hint="eastAsia" w:ascii="宋体" w:hAnsi="宋体" w:eastAsia="宋体" w:cs="宋体"/>
          <w:i w:val="0"/>
          <w:iCs w:val="0"/>
          <w:color w:val="auto"/>
          <w:kern w:val="0"/>
          <w:sz w:val="24"/>
          <w:szCs w:val="24"/>
        </w:rPr>
        <w:t>项目重难点应对方案完善。按DB</w:t>
      </w:r>
      <w:r>
        <w:rPr>
          <w:rFonts w:hint="eastAsia" w:ascii="宋体" w:hAnsi="宋体" w:eastAsia="宋体" w:cs="宋体"/>
          <w:i w:val="0"/>
          <w:iCs w:val="0"/>
          <w:color w:val="auto"/>
          <w:kern w:val="0"/>
          <w:sz w:val="24"/>
          <w:szCs w:val="24"/>
          <w:lang w:val="en-US" w:eastAsia="zh-CN"/>
        </w:rPr>
        <w:t xml:space="preserve"> </w:t>
      </w:r>
      <w:r>
        <w:rPr>
          <w:rFonts w:hint="eastAsia" w:ascii="宋体" w:hAnsi="宋体" w:eastAsia="宋体" w:cs="宋体"/>
          <w:i w:val="0"/>
          <w:iCs w:val="0"/>
          <w:color w:val="auto"/>
          <w:kern w:val="0"/>
          <w:sz w:val="24"/>
          <w:szCs w:val="24"/>
        </w:rPr>
        <w:t>33/T 1108-2018《房屋白蚁监测控制系统应用技术规程》标准，制定合理的施工与检查维护工作方案。</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2.投标人应有类似的项目经验。</w:t>
      </w:r>
    </w:p>
    <w:p>
      <w:pPr>
        <w:snapToGrid w:val="0"/>
        <w:spacing w:line="360" w:lineRule="auto"/>
        <w:ind w:firstLine="480" w:firstLineChars="200"/>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3.获得过白蚁防治相关部门表彰。</w:t>
      </w:r>
    </w:p>
    <w:p>
      <w:pPr>
        <w:snapToGrid w:val="0"/>
        <w:spacing w:line="360" w:lineRule="auto"/>
        <w:ind w:firstLine="480" w:firstLineChars="200"/>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4.投标人对本项目提出合理化建议。</w:t>
      </w:r>
    </w:p>
    <w:p>
      <w:pPr>
        <w:pStyle w:val="24"/>
        <w:snapToGrid w:val="0"/>
        <w:spacing w:line="360" w:lineRule="auto"/>
        <w:ind w:firstLine="482" w:firstLineChars="200"/>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（二）项目的施工要求</w:t>
      </w:r>
    </w:p>
    <w:p>
      <w:pPr>
        <w:snapToGrid w:val="0"/>
        <w:spacing w:line="360" w:lineRule="auto"/>
        <w:ind w:firstLine="482" w:firstLineChars="200"/>
        <w:jc w:val="left"/>
        <w:rPr>
          <w:rFonts w:hint="eastAsia" w:ascii="宋体" w:hAnsi="宋体" w:eastAsia="宋体" w:cs="宋体"/>
          <w:b/>
          <w:i w:val="0"/>
          <w:iCs w:val="0"/>
          <w:color w:val="auto"/>
          <w:sz w:val="24"/>
          <w:szCs w:val="24"/>
        </w:rPr>
      </w:pPr>
      <w:r>
        <w:rPr>
          <w:rFonts w:hint="eastAsia" w:ascii="宋体" w:hAnsi="宋体" w:eastAsia="宋体" w:cs="宋体"/>
          <w:b/>
          <w:i w:val="0"/>
          <w:iCs w:val="0"/>
          <w:color w:val="auto"/>
          <w:kern w:val="0"/>
          <w:sz w:val="24"/>
          <w:szCs w:val="24"/>
        </w:rPr>
        <w:t>1.</w:t>
      </w:r>
      <w:r>
        <w:rPr>
          <w:rFonts w:hint="eastAsia" w:ascii="宋体" w:hAnsi="宋体" w:eastAsia="宋体" w:cs="宋体"/>
          <w:b/>
          <w:i w:val="0"/>
          <w:iCs w:val="0"/>
          <w:color w:val="auto"/>
          <w:sz w:val="24"/>
          <w:szCs w:val="24"/>
        </w:rPr>
        <w:t>监测控制装置的安装</w:t>
      </w:r>
    </w:p>
    <w:p>
      <w:pPr>
        <w:snapToGrid w:val="0"/>
        <w:spacing w:line="360" w:lineRule="auto"/>
        <w:ind w:firstLine="480" w:firstLineChars="200"/>
        <w:rPr>
          <w:rFonts w:hint="eastAsia" w:ascii="宋体" w:hAnsi="宋体" w:eastAsia="宋体" w:cs="宋体"/>
          <w:i w:val="0"/>
          <w:iCs w:val="0"/>
          <w:color w:val="FF0000"/>
          <w:kern w:val="0"/>
          <w:sz w:val="24"/>
          <w:szCs w:val="24"/>
        </w:rPr>
      </w:pPr>
      <w:r>
        <w:rPr>
          <w:rFonts w:hint="eastAsia" w:ascii="宋体" w:hAnsi="宋体" w:eastAsia="宋体" w:cs="宋体"/>
          <w:i w:val="0"/>
          <w:iCs w:val="0"/>
          <w:color w:val="auto"/>
          <w:kern w:val="0"/>
          <w:sz w:val="24"/>
          <w:szCs w:val="24"/>
        </w:rPr>
        <w:t>1）对具体项目进行现场踏勘，建立项目信息表</w:t>
      </w:r>
      <w:r>
        <w:rPr>
          <w:rFonts w:hint="eastAsia" w:ascii="宋体" w:hAnsi="宋体" w:cs="宋体"/>
          <w:i w:val="0"/>
          <w:iCs w:val="0"/>
          <w:color w:val="auto"/>
          <w:kern w:val="0"/>
          <w:sz w:val="24"/>
          <w:szCs w:val="24"/>
          <w:lang w:eastAsia="zh-CN"/>
        </w:rPr>
        <w:t>，</w:t>
      </w:r>
      <w:r>
        <w:rPr>
          <w:rFonts w:hint="eastAsia" w:ascii="宋体" w:hAnsi="宋体" w:cs="宋体"/>
          <w:i w:val="0"/>
          <w:iCs w:val="0"/>
          <w:color w:val="000000" w:themeColor="text1"/>
          <w:kern w:val="0"/>
          <w:sz w:val="24"/>
          <w:szCs w:val="24"/>
          <w:lang w:eastAsia="zh-CN"/>
        </w:rPr>
        <w:t>及时跟进施工，验收合格后予以发证</w:t>
      </w:r>
      <w:r>
        <w:rPr>
          <w:rFonts w:hint="eastAsia" w:ascii="宋体" w:hAnsi="宋体" w:eastAsia="宋体" w:cs="宋体"/>
          <w:i w:val="0"/>
          <w:iCs w:val="0"/>
          <w:color w:val="000000" w:themeColor="text1"/>
          <w:kern w:val="0"/>
          <w:sz w:val="24"/>
          <w:szCs w:val="24"/>
        </w:rPr>
        <w:t>。</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highlight w:val="none"/>
        </w:rPr>
        <w:t>2）根据DB 33/T 1108-2018《房屋白蚁监测控制系统应用技术规程》</w:t>
      </w:r>
      <w:r>
        <w:rPr>
          <w:rFonts w:hint="eastAsia" w:ascii="宋体" w:hAnsi="宋体" w:eastAsia="宋体" w:cs="宋体"/>
          <w:i w:val="0"/>
          <w:iCs w:val="0"/>
          <w:color w:val="auto"/>
          <w:kern w:val="0"/>
          <w:sz w:val="24"/>
          <w:szCs w:val="24"/>
        </w:rPr>
        <w:t>，分别对具体项目制定施工方案（监测控制装置安装离房屋四周离外墙0.5至1米内为宜，每个装置间距为3-5米，特殊情况协商确定）和施工设计图，经审核后施工。</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3）依照施工方案和施工设计图进行施工，对装置进行统一编号，绘制施工示意图，做好施工记录，并适当留下影像资料。施工记录由建设单位或物管企业签字确认。</w:t>
      </w:r>
    </w:p>
    <w:p>
      <w:pPr>
        <w:snapToGrid w:val="0"/>
        <w:spacing w:line="360" w:lineRule="auto"/>
        <w:ind w:firstLine="482" w:firstLineChars="200"/>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2.监测控制装置的检查维护</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单个项目验收通过后，进入检查维护期。监测控制装置的检查维护应符合DB 33/T 1108-2018《房屋白蚁监测控制系统应用技术规程》要求。</w:t>
      </w:r>
      <w:r>
        <w:rPr>
          <w:rFonts w:hint="eastAsia" w:hAnsi="宋体" w:cs="宋体"/>
          <w:i w:val="0"/>
          <w:iCs w:val="0"/>
          <w:color w:val="000000" w:themeColor="text1"/>
          <w:sz w:val="24"/>
          <w:szCs w:val="24"/>
          <w:highlight w:val="none"/>
          <w:lang w:eastAsia="zh-CN"/>
        </w:rPr>
        <w:t>按规范要求实施一年两次</w:t>
      </w:r>
      <w:r>
        <w:rPr>
          <w:rFonts w:hint="eastAsia" w:ascii="宋体" w:hAnsi="宋体" w:eastAsia="宋体" w:cs="宋体"/>
          <w:i w:val="0"/>
          <w:iCs w:val="0"/>
          <w:color w:val="000000" w:themeColor="text1"/>
          <w:sz w:val="24"/>
          <w:szCs w:val="24"/>
          <w:highlight w:val="none"/>
        </w:rPr>
        <w:t>的检查维护</w:t>
      </w:r>
      <w:r>
        <w:rPr>
          <w:rFonts w:hint="eastAsia" w:ascii="宋体" w:hAnsi="宋体" w:cs="宋体"/>
          <w:i w:val="0"/>
          <w:iCs w:val="0"/>
          <w:color w:val="000000" w:themeColor="text1"/>
          <w:kern w:val="0"/>
          <w:sz w:val="24"/>
          <w:szCs w:val="24"/>
          <w:highlight w:val="none"/>
          <w:lang w:val="en-US" w:eastAsia="zh-CN"/>
        </w:rPr>
        <w:t>，</w:t>
      </w:r>
      <w:r>
        <w:rPr>
          <w:rFonts w:hint="eastAsia" w:ascii="宋体" w:hAnsi="宋体" w:eastAsia="宋体" w:cs="宋体"/>
          <w:i w:val="0"/>
          <w:iCs w:val="0"/>
          <w:color w:val="auto"/>
          <w:kern w:val="0"/>
          <w:sz w:val="24"/>
          <w:szCs w:val="24"/>
        </w:rPr>
        <w:t>监控装置的维护应包括下列内容：</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（1）更换损坏的监控装置，补充丢失的监控装置；</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（2）更换监控装置内发霉、腐烂的饵料；</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（3）调整松动、积水和遭破坏的监控装置的安装位置，重新安装；</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（4）清除监控装置四周的灌木、杂草，清除监测装置内的泥土、树根、草根等；</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（5）驱赶进入监控装置内的其他昆虫和小动物；</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（6）根据安装环境的变化，调整监控装置的安装位置或增减监控装置的数量。</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监控装置监测到白蚁后，须进行种类鉴定，并拍摄白蚁危害现场照片，采集白蚁标本，做好相关记录，留档待查。并采取喷粉法或者投放饵剂的方法杀灭白蚁，检查发现白蚁后施药率需达到100%。投放药剂后，应定期检查灭治效果，当一个白蚁群体被消灭后，应对相关监控装置进行清理，并重新放入饵料或安装新的监控装置。</w:t>
      </w:r>
    </w:p>
    <w:p>
      <w:pPr>
        <w:snapToGrid w:val="0"/>
        <w:spacing w:line="360" w:lineRule="auto"/>
        <w:ind w:firstLine="482" w:firstLineChars="200"/>
        <w:rPr>
          <w:rFonts w:hint="eastAsia" w:ascii="宋体" w:hAnsi="宋体" w:eastAsia="宋体" w:cs="宋体"/>
          <w:b/>
          <w:i w:val="0"/>
          <w:iCs w:val="0"/>
          <w:color w:val="auto"/>
          <w:kern w:val="0"/>
          <w:sz w:val="24"/>
          <w:szCs w:val="24"/>
        </w:rPr>
      </w:pPr>
      <w:r>
        <w:rPr>
          <w:rFonts w:hint="eastAsia" w:ascii="宋体" w:hAnsi="宋体" w:eastAsia="宋体" w:cs="宋体"/>
          <w:b/>
          <w:i w:val="0"/>
          <w:iCs w:val="0"/>
          <w:color w:val="auto"/>
          <w:kern w:val="0"/>
          <w:sz w:val="24"/>
          <w:szCs w:val="24"/>
        </w:rPr>
        <w:t>3. 白蚁灭治服务</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服务期内标的房屋建筑内部出现白蚁危害的，中标单位须在72小时内作出响应，免费进行白蚁灭治服务，分析研判白蚁危害产生原因，做好相应记录，并及时向我单位报备。</w:t>
      </w:r>
      <w:r>
        <w:rPr>
          <w:rFonts w:hint="eastAsia" w:ascii="宋体" w:hAnsi="宋体" w:eastAsia="宋体" w:cs="宋体"/>
          <w:color w:val="000000"/>
          <w:sz w:val="24"/>
          <w:szCs w:val="24"/>
          <w:highlight w:val="none"/>
        </w:rPr>
        <w:t>由上级部门交办、紧急督办等需开绿色通道的，须在接到</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通知后1个工作日内完成。白蚁灭治上门及时率不得低于98%（含白蚁活动高峰期）。</w:t>
      </w:r>
    </w:p>
    <w:p>
      <w:pPr>
        <w:pStyle w:val="24"/>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4.</w:t>
      </w:r>
      <w:r>
        <w:rPr>
          <w:rFonts w:hint="eastAsia" w:ascii="宋体" w:hAnsi="宋体" w:eastAsia="宋体" w:cs="宋体"/>
          <w:b/>
          <w:color w:val="000000"/>
          <w:sz w:val="24"/>
          <w:szCs w:val="24"/>
          <w:highlight w:val="none"/>
        </w:rPr>
        <w:t>新建房屋白蚁预防（药物屏障技术）项目</w:t>
      </w:r>
    </w:p>
    <w:p>
      <w:pPr>
        <w:pStyle w:val="24"/>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项目设计、施工应按DB 33/T 1017-2018《药物屏障预防房屋白蚁技术规程》执行，特殊情况协商确定。</w:t>
      </w:r>
    </w:p>
    <w:p>
      <w:pPr>
        <w:pStyle w:val="24"/>
        <w:snapToGrid w:val="0"/>
        <w:spacing w:line="360" w:lineRule="auto"/>
        <w:ind w:firstLine="482" w:firstLineChars="200"/>
        <w:rPr>
          <w:rFonts w:hint="eastAsia" w:ascii="宋体" w:hAnsi="宋体" w:eastAsia="宋体" w:cs="宋体"/>
          <w:b/>
          <w:i w:val="0"/>
          <w:iCs w:val="0"/>
          <w:color w:val="auto"/>
          <w:sz w:val="24"/>
          <w:szCs w:val="24"/>
          <w:lang w:val="en-US" w:eastAsia="zh-CN"/>
        </w:rPr>
      </w:pPr>
      <w:r>
        <w:rPr>
          <w:rFonts w:hint="eastAsia" w:hAnsi="宋体" w:eastAsia="宋体" w:cs="宋体"/>
          <w:b/>
          <w:i w:val="0"/>
          <w:iCs w:val="0"/>
          <w:color w:val="auto"/>
          <w:sz w:val="24"/>
          <w:szCs w:val="24"/>
          <w:lang w:val="en-US" w:eastAsia="zh-CN"/>
        </w:rPr>
        <w:t>5</w:t>
      </w:r>
      <w:r>
        <w:rPr>
          <w:rFonts w:hint="eastAsia" w:ascii="宋体" w:hAnsi="宋体" w:eastAsia="宋体" w:cs="宋体"/>
          <w:b/>
          <w:i w:val="0"/>
          <w:iCs w:val="0"/>
          <w:color w:val="auto"/>
          <w:sz w:val="24"/>
          <w:szCs w:val="24"/>
          <w:lang w:val="en-US" w:eastAsia="zh-CN"/>
        </w:rPr>
        <w:t>.其他服务</w:t>
      </w:r>
    </w:p>
    <w:p>
      <w:pPr>
        <w:pStyle w:val="24"/>
        <w:snapToGrid w:val="0"/>
        <w:spacing w:line="360" w:lineRule="auto"/>
        <w:ind w:firstLine="480" w:firstLineChars="200"/>
        <w:rPr>
          <w:rFonts w:hint="eastAsia" w:ascii="宋体" w:hAnsi="宋体" w:eastAsia="宋体" w:cs="宋体"/>
          <w:b w:val="0"/>
          <w:bCs/>
          <w:i w:val="0"/>
          <w:iCs w:val="0"/>
          <w:color w:val="auto"/>
          <w:szCs w:val="24"/>
        </w:rPr>
      </w:pPr>
      <w:r>
        <w:rPr>
          <w:rFonts w:hint="eastAsia" w:ascii="宋体" w:hAnsi="宋体" w:eastAsia="宋体" w:cs="宋体"/>
          <w:b w:val="0"/>
          <w:bCs/>
          <w:i w:val="0"/>
          <w:iCs w:val="0"/>
          <w:color w:val="auto"/>
          <w:szCs w:val="24"/>
          <w:lang w:val="en-US" w:eastAsia="zh-CN"/>
        </w:rPr>
        <w:t>1）</w:t>
      </w:r>
      <w:r>
        <w:rPr>
          <w:rFonts w:hint="eastAsia" w:ascii="宋体" w:hAnsi="宋体" w:eastAsia="宋体" w:cs="宋体"/>
          <w:b w:val="0"/>
          <w:bCs/>
          <w:i w:val="0"/>
          <w:iCs w:val="0"/>
          <w:color w:val="auto"/>
          <w:szCs w:val="24"/>
        </w:rPr>
        <w:t>积极配合参与白蚁防治主管部门开展白蚁防治知识科普宣传；</w:t>
      </w:r>
    </w:p>
    <w:p>
      <w:pPr>
        <w:pStyle w:val="24"/>
        <w:snapToGrid w:val="0"/>
        <w:spacing w:line="360" w:lineRule="auto"/>
        <w:ind w:firstLine="480" w:firstLineChars="200"/>
        <w:rPr>
          <w:rFonts w:hint="eastAsia" w:ascii="宋体" w:hAnsi="宋体" w:eastAsia="宋体" w:cs="宋体"/>
          <w:b w:val="0"/>
          <w:bCs/>
          <w:i w:val="0"/>
          <w:iCs w:val="0"/>
          <w:color w:val="auto"/>
          <w:szCs w:val="24"/>
          <w:lang w:val="en-US" w:eastAsia="zh-CN"/>
        </w:rPr>
      </w:pPr>
      <w:r>
        <w:rPr>
          <w:rFonts w:hint="eastAsia" w:ascii="宋体" w:hAnsi="宋体" w:eastAsia="宋体" w:cs="宋体"/>
          <w:b w:val="0"/>
          <w:bCs/>
          <w:i w:val="0"/>
          <w:iCs w:val="0"/>
          <w:color w:val="auto"/>
          <w:szCs w:val="24"/>
          <w:lang w:val="en-US" w:eastAsia="zh-CN"/>
        </w:rPr>
        <w:t>2）</w:t>
      </w:r>
      <w:r>
        <w:rPr>
          <w:rFonts w:hint="eastAsia" w:ascii="宋体" w:hAnsi="宋体" w:eastAsia="宋体" w:cs="宋体"/>
          <w:b w:val="0"/>
          <w:bCs/>
          <w:i w:val="0"/>
          <w:iCs w:val="0"/>
          <w:color w:val="auto"/>
          <w:szCs w:val="24"/>
          <w:lang w:val="en-US"/>
        </w:rPr>
        <w:t>根据招标人要求，每年提供不少于3处白蚁危害现场、危害物和白蚁标本</w:t>
      </w:r>
      <w:r>
        <w:rPr>
          <w:rFonts w:hint="eastAsia" w:ascii="宋体" w:hAnsi="宋体" w:eastAsia="宋体" w:cs="宋体"/>
          <w:b w:val="0"/>
          <w:bCs/>
          <w:i w:val="0"/>
          <w:iCs w:val="0"/>
          <w:color w:val="auto"/>
          <w:szCs w:val="24"/>
          <w:lang w:val="en-US" w:eastAsia="zh-CN"/>
        </w:rPr>
        <w:t>；</w:t>
      </w:r>
    </w:p>
    <w:p>
      <w:pPr>
        <w:pStyle w:val="24"/>
        <w:snapToGrid w:val="0"/>
        <w:spacing w:line="360" w:lineRule="auto"/>
        <w:ind w:firstLine="482" w:firstLineChars="200"/>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（三）项目的材料要求</w:t>
      </w:r>
    </w:p>
    <w:p>
      <w:pPr>
        <w:pStyle w:val="24"/>
        <w:snapToGrid w:val="0"/>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1.地下型白蚁监测控制装置</w:t>
      </w:r>
    </w:p>
    <w:p>
      <w:pPr>
        <w:pStyle w:val="24"/>
        <w:snapToGrid w:val="0"/>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1）投标人拟使用的地下型白蚁监测控制装置要求提供正规生产厂家的产品，严禁提供假冒伪劣产品。在投标文件中应提供相应装置的彩图、产品说明书、产品质量合格证等材料。</w:t>
      </w:r>
    </w:p>
    <w:p>
      <w:pPr>
        <w:pStyle w:val="24"/>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rPr>
        <w:t>2）地下型白蚁监测控制装置由外壳和饵木（料）两部分组成，主要用于地下白蚁的监测和控制，将该装置埋于地下，可将附近的白蚁诱集至装置内，再通过投放灭白蚁药物，达</w:t>
      </w:r>
      <w:r>
        <w:rPr>
          <w:rFonts w:hint="eastAsia" w:ascii="宋体" w:hAnsi="宋体" w:eastAsia="宋体" w:cs="宋体"/>
          <w:i w:val="0"/>
          <w:iCs w:val="0"/>
          <w:color w:val="auto"/>
          <w:sz w:val="24"/>
          <w:szCs w:val="24"/>
          <w:highlight w:val="none"/>
        </w:rPr>
        <w:t>到控制蚁害的目的。</w:t>
      </w:r>
    </w:p>
    <w:p>
      <w:pPr>
        <w:pStyle w:val="24"/>
        <w:snapToGrid w:val="0"/>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t>外壳：总高范围（180mm-250mm），插入地下部分直径范围50m-100mm。外</w:t>
      </w:r>
      <w:r>
        <w:rPr>
          <w:rFonts w:hint="eastAsia" w:ascii="宋体" w:hAnsi="宋体" w:eastAsia="宋体" w:cs="宋体"/>
          <w:i w:val="0"/>
          <w:iCs w:val="0"/>
          <w:color w:val="auto"/>
          <w:sz w:val="24"/>
          <w:szCs w:val="24"/>
        </w:rPr>
        <w:t>壳材质应为对白蚁无趋避作用，无毒无味的塑料，外壳在野外安装后应耐老化，可重复使用，使用寿命不低于15年。若拟使用产品尺寸不在规定要求范围内的，可允许在±10%以内偏差，但需满足本项目能正常运行。</w:t>
      </w:r>
    </w:p>
    <w:p>
      <w:pPr>
        <w:pStyle w:val="24"/>
        <w:snapToGrid w:val="0"/>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饵木（料）：地下型白蚁监测控制装置所用饵木（料）应对乳白蚁、散白蚁等种类具有较好的引诱取食作用，且在地下潮湿环境下具有较长的有效期，不易霉变失效。</w:t>
      </w:r>
    </w:p>
    <w:p>
      <w:pPr>
        <w:pStyle w:val="24"/>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rPr>
        <w:t>3）投标人需作出承诺，保证实际使用的地下型白蚁监测控制装置与投标文件中拟使用的装置一致。</w:t>
      </w:r>
    </w:p>
    <w:p>
      <w:pPr>
        <w:snapToGrid w:val="0"/>
        <w:spacing w:line="360" w:lineRule="auto"/>
        <w:ind w:firstLine="482" w:firstLineChars="200"/>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2.灭白蚁药物</w:t>
      </w:r>
    </w:p>
    <w:p>
      <w:pPr>
        <w:pStyle w:val="24"/>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控装置内发现白蚁活动的，应视白蚁种类选用符合《关于持久性有机污染物（POPs）的斯德哥尔摩公约》要求的专用白蚁灭杀药物，使用方法应与白蚁监测控制技术要求吻合。灭治药物由中标人经正规渠道购买，购买的灭治药物或自行配制灭治药物的农药原药，必须具备国家认证的农药生产许可证或农药生产批准文件、农药标准和农药登记证，不得使用非法渠道购买的农药及附属产品。投标人在投标文件中应提供相应佐证材料。投标人需作出承诺，保证实际使用白蚁灭治药物符合《关于持久性有机污染物（POPs）的斯德哥尔摩公约》要求。</w:t>
      </w:r>
    </w:p>
    <w:p>
      <w:pPr>
        <w:pStyle w:val="24"/>
        <w:snapToGrid w:val="0"/>
        <w:spacing w:line="360" w:lineRule="auto"/>
        <w:ind w:firstLine="482" w:firstLineChars="200"/>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 xml:space="preserve">六 、项目管理要求： </w:t>
      </w:r>
    </w:p>
    <w:p>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（一）项目人员：</w:t>
      </w:r>
    </w:p>
    <w:p>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1.应指派项目负责人1人，拟指派的项目负责人应为投标单位工作人员，从事白蚁相关工作</w:t>
      </w:r>
      <w:r>
        <w:rPr>
          <w:rFonts w:hint="eastAsia" w:ascii="宋体" w:hAnsi="宋体" w:eastAsia="宋体" w:cs="宋体"/>
          <w:i w:val="0"/>
          <w:iCs w:val="0"/>
          <w:color w:val="auto"/>
          <w:kern w:val="0"/>
          <w:sz w:val="24"/>
          <w:szCs w:val="24"/>
          <w:highlight w:val="none"/>
          <w:lang w:val="en-US" w:eastAsia="zh-CN"/>
        </w:rPr>
        <w:t>5</w:t>
      </w:r>
      <w:r>
        <w:rPr>
          <w:rFonts w:hint="eastAsia" w:ascii="宋体" w:hAnsi="宋体" w:eastAsia="宋体" w:cs="宋体"/>
          <w:i w:val="0"/>
          <w:iCs w:val="0"/>
          <w:color w:val="auto"/>
          <w:kern w:val="0"/>
          <w:sz w:val="24"/>
          <w:szCs w:val="24"/>
          <w:highlight w:val="none"/>
        </w:rPr>
        <w:t>年（含）以上经验，持有</w:t>
      </w:r>
      <w:r>
        <w:rPr>
          <w:rFonts w:hint="eastAsia" w:ascii="宋体" w:hAnsi="宋体" w:cs="宋体"/>
          <w:bCs/>
          <w:color w:val="auto"/>
          <w:sz w:val="24"/>
          <w:szCs w:val="24"/>
          <w:highlight w:val="none"/>
        </w:rPr>
        <w:t>白蚁防治职业资格证书或白蚁防治职业培训合格证书</w:t>
      </w:r>
      <w:r>
        <w:rPr>
          <w:rFonts w:hint="eastAsia" w:ascii="宋体" w:hAnsi="宋体" w:eastAsia="宋体" w:cs="宋体"/>
          <w:i w:val="0"/>
          <w:iCs w:val="0"/>
          <w:color w:val="auto"/>
          <w:kern w:val="0"/>
          <w:sz w:val="24"/>
          <w:szCs w:val="24"/>
          <w:highlight w:val="none"/>
          <w:lang w:val="en-US" w:eastAsia="zh-CN"/>
        </w:rPr>
        <w:t>及中级及以上证书</w:t>
      </w:r>
      <w:r>
        <w:rPr>
          <w:rFonts w:hint="eastAsia" w:ascii="宋体" w:hAnsi="宋体" w:eastAsia="宋体" w:cs="宋体"/>
          <w:i w:val="0"/>
          <w:iCs w:val="0"/>
          <w:color w:val="auto"/>
          <w:kern w:val="0"/>
          <w:sz w:val="24"/>
          <w:szCs w:val="24"/>
          <w:highlight w:val="none"/>
        </w:rPr>
        <w:t>。</w:t>
      </w:r>
    </w:p>
    <w:p>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2.施工技术人员5人（含）以上。拟派施工技术人员应为投标单位工作人员，应持有白蚁防治职业资格证书或白蚁防治职业培训合格证书。</w:t>
      </w:r>
    </w:p>
    <w:p>
      <w:pPr>
        <w:pStyle w:val="2"/>
        <w:spacing w:line="240" w:lineRule="auto"/>
        <w:ind w:left="0" w:leftChars="0" w:firstLine="480" w:firstLineChars="200"/>
        <w:jc w:val="left"/>
        <w:rPr>
          <w:rFonts w:hint="eastAsia" w:ascii="宋体" w:hAnsi="宋体" w:eastAsia="宋体" w:cs="宋体"/>
          <w:b w:val="0"/>
          <w:bCs w:val="0"/>
          <w:i w:val="0"/>
          <w:iCs w:val="0"/>
          <w:color w:val="000000" w:themeColor="text1"/>
          <w:kern w:val="0"/>
          <w:sz w:val="24"/>
          <w:szCs w:val="24"/>
          <w:highlight w:val="none"/>
          <w:lang w:val="en-US" w:eastAsia="zh-CN" w:bidi="ar-SA"/>
        </w:rPr>
      </w:pPr>
      <w:r>
        <w:rPr>
          <w:rFonts w:hint="eastAsia" w:ascii="宋体" w:hAnsi="宋体" w:eastAsia="宋体" w:cs="宋体"/>
          <w:b w:val="0"/>
          <w:bCs w:val="0"/>
          <w:i w:val="0"/>
          <w:iCs w:val="0"/>
          <w:color w:val="000000" w:themeColor="text1"/>
          <w:kern w:val="0"/>
          <w:sz w:val="24"/>
          <w:szCs w:val="24"/>
          <w:highlight w:val="none"/>
          <w:lang w:val="en-US" w:eastAsia="zh-CN" w:bidi="ar-SA"/>
        </w:rPr>
        <w:t>3.本项目须派驻1名工作人员到项目指定地点现场办公，并根据采购人要求专职为本项目提供全过程专业技术服务。</w:t>
      </w:r>
    </w:p>
    <w:p>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（二）办公仓储：</w:t>
      </w:r>
    </w:p>
    <w:p>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w:t>
      </w:r>
      <w:r>
        <w:rPr>
          <w:rFonts w:hint="eastAsia" w:ascii="宋体" w:hAnsi="宋体" w:eastAsia="宋体" w:cs="宋体"/>
          <w:i w:val="0"/>
          <w:iCs w:val="0"/>
          <w:color w:val="auto"/>
          <w:kern w:val="0"/>
          <w:sz w:val="24"/>
          <w:szCs w:val="24"/>
          <w:highlight w:val="none"/>
          <w:lang w:val="en-US" w:eastAsia="zh-CN"/>
        </w:rPr>
        <w:t>具有</w:t>
      </w:r>
      <w:r>
        <w:rPr>
          <w:rFonts w:hint="eastAsia" w:ascii="宋体" w:hAnsi="宋体" w:eastAsia="宋体" w:cs="宋体"/>
          <w:i w:val="0"/>
          <w:iCs w:val="0"/>
          <w:color w:val="auto"/>
          <w:kern w:val="0"/>
          <w:sz w:val="24"/>
          <w:szCs w:val="24"/>
          <w:highlight w:val="none"/>
        </w:rPr>
        <w:t>固定办公场所（证明材料提供房产证或租赁合同</w:t>
      </w:r>
      <w:r>
        <w:rPr>
          <w:rFonts w:hint="eastAsia" w:ascii="宋体" w:hAnsi="宋体" w:eastAsia="宋体" w:cs="宋体"/>
          <w:i w:val="0"/>
          <w:iCs w:val="0"/>
          <w:color w:val="auto"/>
          <w:kern w:val="0"/>
          <w:sz w:val="24"/>
          <w:szCs w:val="24"/>
          <w:highlight w:val="none"/>
          <w:lang w:val="en-US" w:eastAsia="zh-CN"/>
        </w:rPr>
        <w:t>或托管合同</w:t>
      </w:r>
      <w:r>
        <w:rPr>
          <w:rFonts w:hint="eastAsia" w:ascii="宋体" w:hAnsi="宋体" w:eastAsia="宋体" w:cs="宋体"/>
          <w:i w:val="0"/>
          <w:iCs w:val="0"/>
          <w:color w:val="auto"/>
          <w:kern w:val="0"/>
          <w:sz w:val="24"/>
          <w:szCs w:val="24"/>
          <w:highlight w:val="none"/>
        </w:rPr>
        <w:t>）或承诺在合同签订后配置固定场所。配备必要的计算机、打印机及摄像（影）等办公设备；使用采购人提供新建预防业务管理系统开展工作。</w:t>
      </w:r>
    </w:p>
    <w:p>
      <w:pPr>
        <w:snapToGrid w:val="0"/>
        <w:spacing w:line="360" w:lineRule="auto"/>
        <w:ind w:firstLine="480" w:firstLineChars="200"/>
        <w:rPr>
          <w:rFonts w:hint="eastAsia" w:ascii="宋体" w:hAnsi="宋体" w:eastAsia="宋体" w:cs="宋体"/>
          <w:i w:val="0"/>
          <w:iCs w:val="0"/>
          <w:color w:val="auto"/>
          <w:kern w:val="0"/>
          <w:sz w:val="24"/>
          <w:szCs w:val="24"/>
          <w:highlight w:val="red"/>
        </w:rPr>
      </w:pPr>
      <w:r>
        <w:rPr>
          <w:rFonts w:hint="eastAsia" w:ascii="宋体" w:hAnsi="宋体" w:eastAsia="宋体" w:cs="宋体"/>
          <w:i w:val="0"/>
          <w:iCs w:val="0"/>
          <w:color w:val="auto"/>
          <w:kern w:val="0"/>
          <w:sz w:val="24"/>
          <w:szCs w:val="24"/>
          <w:highlight w:val="none"/>
        </w:rPr>
        <w:t>2.有固定的、分别独立的设备仓储场所和药物仓储场所（证明材料提供房产证或租赁合同</w:t>
      </w:r>
      <w:r>
        <w:rPr>
          <w:rFonts w:hint="eastAsia" w:ascii="宋体" w:hAnsi="宋体" w:eastAsia="宋体" w:cs="宋体"/>
          <w:i w:val="0"/>
          <w:iCs w:val="0"/>
          <w:color w:val="auto"/>
          <w:kern w:val="0"/>
          <w:sz w:val="24"/>
          <w:szCs w:val="24"/>
          <w:highlight w:val="none"/>
          <w:lang w:val="en-US" w:eastAsia="zh-CN"/>
        </w:rPr>
        <w:t>或托管合同</w:t>
      </w:r>
      <w:r>
        <w:rPr>
          <w:rFonts w:hint="eastAsia" w:ascii="宋体" w:hAnsi="宋体" w:eastAsia="宋体" w:cs="宋体"/>
          <w:i w:val="0"/>
          <w:iCs w:val="0"/>
          <w:color w:val="auto"/>
          <w:kern w:val="0"/>
          <w:sz w:val="24"/>
          <w:szCs w:val="24"/>
          <w:highlight w:val="none"/>
        </w:rPr>
        <w:t>）或承诺在合同签订后配置固定场所,配置专业危化品保存柜保存，须由专人严格管理，建立出入库台帐。</w:t>
      </w:r>
    </w:p>
    <w:p>
      <w:pPr>
        <w:snapToGrid w:val="0"/>
        <w:spacing w:line="360" w:lineRule="auto"/>
        <w:ind w:firstLine="480" w:firstLineChars="200"/>
        <w:rPr>
          <w:rFonts w:hint="eastAsia" w:ascii="宋体" w:hAnsi="宋体" w:eastAsia="宋体" w:cs="宋体"/>
          <w:i w:val="0"/>
          <w:iCs w:val="0"/>
          <w:color w:val="auto"/>
          <w:kern w:val="0"/>
          <w:sz w:val="24"/>
          <w:szCs w:val="24"/>
          <w:lang w:val="en-US" w:eastAsia="zh-CN"/>
        </w:rPr>
      </w:pPr>
      <w:r>
        <w:rPr>
          <w:rFonts w:hint="eastAsia" w:ascii="宋体" w:hAnsi="宋体" w:eastAsia="宋体" w:cs="宋体"/>
          <w:i w:val="0"/>
          <w:iCs w:val="0"/>
          <w:color w:val="auto"/>
          <w:kern w:val="0"/>
          <w:sz w:val="24"/>
          <w:szCs w:val="24"/>
          <w:lang w:val="en-US" w:eastAsia="zh-CN"/>
        </w:rPr>
        <w:t>3.有实验室或检验室。</w:t>
      </w:r>
    </w:p>
    <w:p>
      <w:pPr>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（三）工程设施：</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1.拟投入本项目的施工车辆不少于1辆；</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2.白蚁灭治喷粉设</w:t>
      </w:r>
      <w:r>
        <w:rPr>
          <w:rFonts w:hint="eastAsia" w:ascii="宋体" w:hAnsi="宋体" w:eastAsia="宋体" w:cs="宋体"/>
          <w:i w:val="0"/>
          <w:iCs w:val="0"/>
          <w:color w:val="auto"/>
          <w:kern w:val="0"/>
          <w:sz w:val="24"/>
          <w:szCs w:val="24"/>
          <w:highlight w:val="none"/>
        </w:rPr>
        <w:t>备不少于</w:t>
      </w:r>
      <w:r>
        <w:rPr>
          <w:rFonts w:hint="eastAsia" w:ascii="宋体" w:hAnsi="宋体" w:eastAsia="宋体" w:cs="宋体"/>
          <w:i w:val="0"/>
          <w:iCs w:val="0"/>
          <w:color w:val="auto"/>
          <w:kern w:val="0"/>
          <w:sz w:val="24"/>
          <w:szCs w:val="24"/>
          <w:highlight w:val="none"/>
          <w:lang w:val="en-US" w:eastAsia="zh-CN"/>
        </w:rPr>
        <w:t>2</w:t>
      </w:r>
      <w:r>
        <w:rPr>
          <w:rFonts w:hint="eastAsia" w:ascii="宋体" w:hAnsi="宋体" w:eastAsia="宋体" w:cs="宋体"/>
          <w:i w:val="0"/>
          <w:iCs w:val="0"/>
          <w:color w:val="auto"/>
          <w:kern w:val="0"/>
          <w:sz w:val="24"/>
          <w:szCs w:val="24"/>
          <w:highlight w:val="none"/>
        </w:rPr>
        <w:t>套</w:t>
      </w:r>
      <w:r>
        <w:rPr>
          <w:rFonts w:hint="eastAsia" w:ascii="宋体" w:hAnsi="宋体" w:eastAsia="宋体" w:cs="宋体"/>
          <w:i w:val="0"/>
          <w:iCs w:val="0"/>
          <w:color w:val="auto"/>
          <w:kern w:val="0"/>
          <w:sz w:val="24"/>
          <w:szCs w:val="24"/>
          <w:lang w:eastAsia="zh-CN"/>
        </w:rPr>
        <w:t>。</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（四）内部管理：</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1.具有健全的施工安全管理制度。保证施工安全，包括人身安全和避免破坏市政管网线路。在检查过程中如出现挖破（断）管线，造成的一切后果由中标人承担。</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2.具有健全的工程质量管理制度。保证按有关标准执行本项目各项工作内容，确保项目保质保量有序顺利完成。</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3.具有健全的突发应急管理措施，对地下型白蚁监测控制装置埋设及白蚁防治检查维护工作可能遇到的施工安全、沟通协调等问题考虑全面，其应对措施切实可行。应急性或上级交办的白蚁防治事件处理的服务承诺及应急处理预案内容详细、明确、完整性评价。投标人有个人防护和中毒等突发事件的应对方案，方案具有合理性、科学性。</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4.具有健全的档案管理制度。针对本项目情况科学、合理地采取档案资料管理，包括质控、检查、维护、应急等内容，能全面记录整体检查维护情况。内容详细，科学合理。</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5.具有健全的仓储及药物管理制度。货物及药物管理方案完善，进出库规范，安全责任明晰。</w:t>
      </w:r>
    </w:p>
    <w:p>
      <w:pPr>
        <w:pStyle w:val="24"/>
        <w:snapToGrid w:val="0"/>
        <w:spacing w:line="360" w:lineRule="auto"/>
        <w:ind w:firstLine="480" w:firstLineChars="200"/>
        <w:rPr>
          <w:rFonts w:hint="eastAsia" w:ascii="宋体" w:hAnsi="宋体" w:eastAsia="宋体" w:cs="宋体"/>
          <w:b w:val="0"/>
          <w:bCs/>
          <w:i w:val="0"/>
          <w:iCs w:val="0"/>
          <w:color w:val="auto"/>
          <w:sz w:val="24"/>
          <w:szCs w:val="24"/>
          <w:lang w:val="en-US" w:eastAsia="zh-CN"/>
        </w:rPr>
      </w:pPr>
      <w:r>
        <w:rPr>
          <w:rFonts w:hint="eastAsia" w:ascii="宋体" w:hAnsi="宋体" w:eastAsia="宋体" w:cs="宋体"/>
          <w:b w:val="0"/>
          <w:bCs/>
          <w:i w:val="0"/>
          <w:iCs w:val="0"/>
          <w:color w:val="auto"/>
          <w:sz w:val="24"/>
          <w:szCs w:val="24"/>
          <w:lang w:eastAsia="zh-CN"/>
        </w:rPr>
        <w:t>（</w:t>
      </w:r>
      <w:r>
        <w:rPr>
          <w:rFonts w:hint="eastAsia" w:ascii="宋体" w:hAnsi="宋体" w:eastAsia="宋体" w:cs="宋体"/>
          <w:b w:val="0"/>
          <w:bCs/>
          <w:i w:val="0"/>
          <w:iCs w:val="0"/>
          <w:color w:val="auto"/>
          <w:sz w:val="24"/>
          <w:szCs w:val="24"/>
          <w:lang w:val="en-US" w:eastAsia="zh-CN"/>
        </w:rPr>
        <w:t>五</w:t>
      </w:r>
      <w:r>
        <w:rPr>
          <w:rFonts w:hint="eastAsia" w:ascii="宋体" w:hAnsi="宋体" w:eastAsia="宋体" w:cs="宋体"/>
          <w:b w:val="0"/>
          <w:bCs/>
          <w:i w:val="0"/>
          <w:iCs w:val="0"/>
          <w:color w:val="auto"/>
          <w:sz w:val="24"/>
          <w:szCs w:val="24"/>
          <w:lang w:eastAsia="zh-CN"/>
        </w:rPr>
        <w:t>）</w:t>
      </w:r>
      <w:r>
        <w:rPr>
          <w:rFonts w:hint="eastAsia" w:ascii="宋体" w:hAnsi="宋体" w:eastAsia="宋体" w:cs="宋体"/>
          <w:b w:val="0"/>
          <w:bCs/>
          <w:i w:val="0"/>
          <w:iCs w:val="0"/>
          <w:color w:val="auto"/>
          <w:sz w:val="24"/>
          <w:szCs w:val="24"/>
          <w:lang w:val="en-US" w:eastAsia="zh-CN"/>
        </w:rPr>
        <w:t>体系认证</w:t>
      </w:r>
    </w:p>
    <w:p>
      <w:pPr>
        <w:pStyle w:val="24"/>
        <w:snapToGrid w:val="0"/>
        <w:spacing w:line="360" w:lineRule="auto"/>
        <w:ind w:firstLine="480" w:firstLineChars="200"/>
        <w:rPr>
          <w:rFonts w:hint="eastAsia" w:ascii="宋体" w:hAnsi="宋体" w:eastAsia="宋体" w:cs="宋体"/>
          <w:b w:val="0"/>
          <w:bCs/>
          <w:i w:val="0"/>
          <w:iCs w:val="0"/>
          <w:color w:val="auto"/>
          <w:sz w:val="24"/>
          <w:szCs w:val="24"/>
          <w:lang w:val="en-US" w:eastAsia="zh-CN"/>
        </w:rPr>
      </w:pPr>
      <w:r>
        <w:rPr>
          <w:rFonts w:hint="eastAsia" w:ascii="宋体" w:hAnsi="宋体" w:eastAsia="宋体" w:cs="宋体"/>
          <w:b w:val="0"/>
          <w:bCs/>
          <w:i w:val="0"/>
          <w:iCs w:val="0"/>
          <w:color w:val="auto"/>
          <w:sz w:val="24"/>
          <w:szCs w:val="24"/>
          <w:lang w:val="en-US" w:eastAsia="zh-CN"/>
        </w:rPr>
        <w:t>具有有效的ISO9001质量管理体系认证、ISO14001环境管理体系认证、ISO45001职业健康安全管理体系认证。</w:t>
      </w:r>
    </w:p>
    <w:p>
      <w:pPr>
        <w:pStyle w:val="24"/>
        <w:snapToGrid w:val="0"/>
        <w:spacing w:line="360" w:lineRule="auto"/>
        <w:ind w:firstLine="480" w:firstLineChars="200"/>
        <w:rPr>
          <w:rFonts w:hint="eastAsia" w:ascii="宋体" w:hAnsi="宋体" w:eastAsia="宋体" w:cs="宋体"/>
          <w:b w:val="0"/>
          <w:bCs/>
          <w:i w:val="0"/>
          <w:iCs w:val="0"/>
          <w:color w:val="auto"/>
          <w:sz w:val="24"/>
          <w:szCs w:val="24"/>
          <w:lang w:val="en-US" w:eastAsia="zh-CN"/>
        </w:rPr>
      </w:pPr>
      <w:r>
        <w:rPr>
          <w:rFonts w:hint="eastAsia" w:ascii="宋体" w:hAnsi="宋体" w:eastAsia="宋体" w:cs="宋体"/>
          <w:b w:val="0"/>
          <w:bCs/>
          <w:i w:val="0"/>
          <w:iCs w:val="0"/>
          <w:color w:val="auto"/>
          <w:sz w:val="24"/>
          <w:szCs w:val="24"/>
          <w:lang w:val="en-US" w:eastAsia="zh-CN"/>
        </w:rPr>
        <w:t>（六）产品要求</w:t>
      </w:r>
    </w:p>
    <w:p>
      <w:pPr>
        <w:pStyle w:val="24"/>
        <w:snapToGrid w:val="0"/>
        <w:spacing w:line="360" w:lineRule="auto"/>
        <w:ind w:firstLine="480" w:firstLineChars="200"/>
        <w:rPr>
          <w:rFonts w:hint="eastAsia" w:ascii="宋体" w:hAnsi="宋体" w:eastAsia="宋体" w:cs="宋体"/>
          <w:b w:val="0"/>
          <w:bCs/>
          <w:i w:val="0"/>
          <w:iCs w:val="0"/>
          <w:color w:val="auto"/>
          <w:sz w:val="24"/>
          <w:szCs w:val="24"/>
          <w:lang w:val="en-US" w:eastAsia="zh-CN"/>
        </w:rPr>
      </w:pPr>
      <w:r>
        <w:rPr>
          <w:rFonts w:hint="eastAsia" w:ascii="宋体" w:hAnsi="宋体" w:eastAsia="宋体" w:cs="宋体"/>
          <w:b w:val="0"/>
          <w:bCs/>
          <w:color w:val="auto"/>
          <w:szCs w:val="24"/>
          <w:lang w:val="en-US"/>
        </w:rPr>
        <w:t>投标产品在全国白蚁防治中心推荐产品目录《关于公布202</w:t>
      </w:r>
      <w:r>
        <w:rPr>
          <w:rFonts w:hint="eastAsia" w:hAnsi="宋体" w:eastAsia="宋体" w:cs="宋体"/>
          <w:b w:val="0"/>
          <w:bCs/>
          <w:color w:val="auto"/>
          <w:szCs w:val="24"/>
          <w:lang w:val="en-US" w:eastAsia="zh-CN"/>
        </w:rPr>
        <w:t>3</w:t>
      </w:r>
      <w:r>
        <w:rPr>
          <w:rFonts w:hint="eastAsia" w:ascii="宋体" w:hAnsi="宋体" w:eastAsia="宋体" w:cs="宋体"/>
          <w:b w:val="0"/>
          <w:bCs/>
          <w:color w:val="auto"/>
          <w:szCs w:val="24"/>
          <w:lang w:val="en-US"/>
        </w:rPr>
        <w:t>年度白蚁防治用品信息调研结果的通知》（全蚁﹝202</w:t>
      </w:r>
      <w:r>
        <w:rPr>
          <w:rFonts w:hint="eastAsia" w:hAnsi="宋体" w:eastAsia="宋体" w:cs="宋体"/>
          <w:b w:val="0"/>
          <w:bCs/>
          <w:color w:val="auto"/>
          <w:szCs w:val="24"/>
          <w:lang w:val="en-US" w:eastAsia="zh-CN"/>
        </w:rPr>
        <w:t>3</w:t>
      </w:r>
      <w:r>
        <w:rPr>
          <w:rFonts w:hint="eastAsia" w:ascii="宋体" w:hAnsi="宋体" w:eastAsia="宋体" w:cs="宋体"/>
          <w:b w:val="0"/>
          <w:bCs/>
          <w:color w:val="auto"/>
          <w:szCs w:val="24"/>
          <w:lang w:val="en-US"/>
        </w:rPr>
        <w:t>﹞3</w:t>
      </w:r>
      <w:r>
        <w:rPr>
          <w:rFonts w:hint="eastAsia" w:hAnsi="宋体" w:eastAsia="宋体" w:cs="宋体"/>
          <w:b w:val="0"/>
          <w:bCs/>
          <w:color w:val="auto"/>
          <w:szCs w:val="24"/>
          <w:lang w:val="en-US" w:eastAsia="zh-CN"/>
        </w:rPr>
        <w:t>4</w:t>
      </w:r>
      <w:r>
        <w:rPr>
          <w:rFonts w:hint="eastAsia" w:ascii="宋体" w:hAnsi="宋体" w:eastAsia="宋体" w:cs="宋体"/>
          <w:b w:val="0"/>
          <w:bCs/>
          <w:color w:val="auto"/>
          <w:szCs w:val="24"/>
          <w:lang w:val="en-US"/>
        </w:rPr>
        <w:t>号）</w:t>
      </w:r>
    </w:p>
    <w:p>
      <w:pPr>
        <w:pStyle w:val="24"/>
        <w:snapToGrid w:val="0"/>
        <w:spacing w:line="360" w:lineRule="auto"/>
        <w:ind w:firstLine="482" w:firstLineChars="200"/>
        <w:rPr>
          <w:rFonts w:hint="eastAsia" w:ascii="宋体" w:hAnsi="宋体" w:eastAsia="宋体" w:cs="宋体"/>
          <w:b/>
          <w:i w:val="0"/>
          <w:iCs w:val="0"/>
          <w:color w:val="auto"/>
          <w:sz w:val="24"/>
          <w:szCs w:val="24"/>
          <w:lang w:val="en-US" w:eastAsia="zh-CN"/>
        </w:rPr>
      </w:pPr>
      <w:r>
        <w:rPr>
          <w:rFonts w:hint="eastAsia" w:ascii="宋体" w:hAnsi="宋体" w:eastAsia="宋体" w:cs="宋体"/>
          <w:b/>
          <w:i w:val="0"/>
          <w:iCs w:val="0"/>
          <w:color w:val="auto"/>
          <w:sz w:val="24"/>
          <w:szCs w:val="24"/>
          <w:lang w:val="en-US" w:eastAsia="zh-CN"/>
        </w:rPr>
        <w:t>七、项目实施要求：</w:t>
      </w:r>
    </w:p>
    <w:p>
      <w:pPr>
        <w:pStyle w:val="24"/>
        <w:snapToGrid w:val="0"/>
        <w:spacing w:line="360" w:lineRule="auto"/>
        <w:ind w:firstLine="480" w:firstLineChars="200"/>
        <w:rPr>
          <w:rFonts w:hint="eastAsia" w:ascii="宋体" w:hAnsi="宋体" w:eastAsia="宋体" w:cs="宋体"/>
          <w:b w:val="0"/>
          <w:bCs/>
          <w:i w:val="0"/>
          <w:iCs w:val="0"/>
          <w:color w:val="auto"/>
          <w:sz w:val="24"/>
          <w:szCs w:val="24"/>
          <w:lang w:val="en-US" w:eastAsia="zh-CN"/>
        </w:rPr>
      </w:pPr>
      <w:r>
        <w:rPr>
          <w:rFonts w:hint="eastAsia" w:ascii="宋体" w:hAnsi="宋体" w:eastAsia="宋体" w:cs="宋体"/>
          <w:b w:val="0"/>
          <w:bCs/>
          <w:color w:val="auto"/>
          <w:szCs w:val="24"/>
          <w:lang w:val="en-US" w:eastAsia="zh-CN"/>
        </w:rPr>
        <w:t>1.</w:t>
      </w:r>
      <w:r>
        <w:rPr>
          <w:rFonts w:hint="eastAsia" w:ascii="宋体" w:hAnsi="宋体" w:eastAsia="宋体" w:cs="宋体"/>
          <w:b w:val="0"/>
          <w:bCs/>
          <w:color w:val="auto"/>
          <w:szCs w:val="24"/>
          <w:lang w:val="en-US"/>
        </w:rPr>
        <w:t>对项目背景把握透彻，对项目的目标任务定位清晰，对标项区域内项目现状情况了解清晰，相关基础资料掌握充分。</w:t>
      </w:r>
    </w:p>
    <w:p>
      <w:pPr>
        <w:pStyle w:val="24"/>
        <w:snapToGrid w:val="0"/>
        <w:spacing w:line="360" w:lineRule="auto"/>
        <w:ind w:firstLine="480" w:firstLineChars="200"/>
        <w:rPr>
          <w:rFonts w:hint="eastAsia" w:ascii="宋体" w:hAnsi="宋体" w:eastAsia="宋体" w:cs="宋体"/>
          <w:b w:val="0"/>
          <w:bCs/>
          <w:i w:val="0"/>
          <w:iCs w:val="0"/>
          <w:color w:val="auto"/>
          <w:sz w:val="24"/>
          <w:szCs w:val="24"/>
        </w:rPr>
      </w:pPr>
      <w:r>
        <w:rPr>
          <w:rFonts w:hint="eastAsia" w:ascii="宋体" w:hAnsi="宋体" w:eastAsia="宋体" w:cs="宋体"/>
          <w:b w:val="0"/>
          <w:bCs/>
          <w:color w:val="auto"/>
          <w:szCs w:val="24"/>
          <w:lang w:val="en-US" w:eastAsia="zh-CN"/>
        </w:rPr>
        <w:t>2.</w:t>
      </w:r>
      <w:r>
        <w:rPr>
          <w:rFonts w:hint="eastAsia" w:ascii="宋体" w:hAnsi="宋体" w:eastAsia="宋体" w:cs="宋体"/>
          <w:b w:val="0"/>
          <w:bCs/>
          <w:color w:val="auto"/>
          <w:szCs w:val="24"/>
        </w:rPr>
        <w:t>项目方案全面可行</w:t>
      </w:r>
      <w:r>
        <w:rPr>
          <w:rFonts w:hint="eastAsia" w:ascii="宋体" w:hAnsi="宋体" w:eastAsia="宋体" w:cs="宋体"/>
          <w:b w:val="0"/>
          <w:bCs/>
          <w:color w:val="auto"/>
          <w:szCs w:val="24"/>
          <w:lang w:eastAsia="zh-CN"/>
        </w:rPr>
        <w:t>，</w:t>
      </w:r>
      <w:r>
        <w:rPr>
          <w:rFonts w:hint="eastAsia" w:ascii="宋体" w:hAnsi="宋体" w:eastAsia="宋体" w:cs="宋体"/>
          <w:b w:val="0"/>
          <w:bCs/>
          <w:color w:val="auto"/>
          <w:szCs w:val="24"/>
        </w:rPr>
        <w:t>施工计划进度安排科学合理</w:t>
      </w:r>
      <w:r>
        <w:rPr>
          <w:rFonts w:hint="eastAsia" w:ascii="宋体" w:hAnsi="宋体" w:eastAsia="宋体" w:cs="宋体"/>
          <w:b w:val="0"/>
          <w:bCs/>
          <w:color w:val="auto"/>
          <w:szCs w:val="24"/>
          <w:lang w:eastAsia="zh-CN"/>
        </w:rPr>
        <w:t>，</w:t>
      </w:r>
      <w:r>
        <w:rPr>
          <w:rFonts w:hint="eastAsia" w:ascii="宋体" w:hAnsi="宋体" w:eastAsia="宋体" w:cs="宋体"/>
          <w:b w:val="0"/>
          <w:bCs/>
          <w:color w:val="auto"/>
          <w:szCs w:val="24"/>
        </w:rPr>
        <w:t>项目重难点分析全面</w:t>
      </w:r>
      <w:r>
        <w:rPr>
          <w:rFonts w:hint="eastAsia" w:ascii="宋体" w:hAnsi="宋体" w:eastAsia="宋体" w:cs="宋体"/>
          <w:b w:val="0"/>
          <w:bCs/>
          <w:color w:val="auto"/>
          <w:szCs w:val="24"/>
          <w:lang w:eastAsia="zh-CN"/>
        </w:rPr>
        <w:t>，</w:t>
      </w:r>
      <w:r>
        <w:rPr>
          <w:rFonts w:hint="eastAsia" w:ascii="宋体" w:hAnsi="宋体" w:eastAsia="宋体" w:cs="宋体"/>
          <w:b w:val="0"/>
          <w:bCs/>
          <w:color w:val="auto"/>
          <w:szCs w:val="24"/>
        </w:rPr>
        <w:t>项目重难点应对方案完善。</w:t>
      </w:r>
    </w:p>
    <w:p>
      <w:pPr>
        <w:pStyle w:val="24"/>
        <w:snapToGrid w:val="0"/>
        <w:spacing w:line="360" w:lineRule="auto"/>
        <w:ind w:firstLine="480" w:firstLineChars="200"/>
        <w:rPr>
          <w:rFonts w:hint="eastAsia" w:ascii="宋体" w:hAnsi="宋体" w:eastAsia="宋体" w:cs="宋体"/>
          <w:b w:val="0"/>
          <w:bCs/>
          <w:color w:val="auto"/>
          <w:szCs w:val="24"/>
          <w:lang w:val="en-US"/>
        </w:rPr>
      </w:pPr>
      <w:r>
        <w:rPr>
          <w:rFonts w:hint="eastAsia" w:ascii="宋体" w:hAnsi="宋体" w:eastAsia="宋体" w:cs="宋体"/>
          <w:b w:val="0"/>
          <w:bCs/>
          <w:i w:val="0"/>
          <w:iCs w:val="0"/>
          <w:color w:val="auto"/>
          <w:sz w:val="24"/>
          <w:szCs w:val="24"/>
          <w:lang w:val="en-US" w:eastAsia="zh-CN"/>
        </w:rPr>
        <w:t>3.</w:t>
      </w:r>
      <w:r>
        <w:rPr>
          <w:rFonts w:hint="eastAsia" w:ascii="宋体" w:hAnsi="宋体" w:eastAsia="宋体" w:cs="宋体"/>
          <w:b w:val="0"/>
          <w:bCs/>
          <w:color w:val="auto"/>
          <w:szCs w:val="24"/>
          <w:lang w:val="en-US"/>
        </w:rPr>
        <w:t>应急性或上级交办的白蚁防治事件处理的服务承诺及应急处理预案内容详细、明确、完整性评价</w:t>
      </w:r>
      <w:r>
        <w:rPr>
          <w:rFonts w:hint="eastAsia" w:ascii="宋体" w:hAnsi="宋体" w:eastAsia="宋体" w:cs="宋体"/>
          <w:b w:val="0"/>
          <w:bCs/>
          <w:color w:val="auto"/>
          <w:szCs w:val="24"/>
          <w:lang w:val="en-US" w:eastAsia="zh-CN"/>
        </w:rPr>
        <w:t>；</w:t>
      </w:r>
      <w:r>
        <w:rPr>
          <w:rFonts w:hint="eastAsia" w:ascii="宋体" w:hAnsi="宋体" w:eastAsia="宋体" w:cs="宋体"/>
          <w:b w:val="0"/>
          <w:bCs/>
          <w:color w:val="auto"/>
          <w:szCs w:val="24"/>
          <w:lang w:val="en-US"/>
        </w:rPr>
        <w:t>投标人有个人防护和中毒等突发事件的应对方案，方案具有合理性、科学性。</w:t>
      </w:r>
    </w:p>
    <w:p>
      <w:pPr>
        <w:pStyle w:val="24"/>
        <w:snapToGrid w:val="0"/>
        <w:spacing w:line="360" w:lineRule="auto"/>
        <w:ind w:firstLine="482" w:firstLineChars="200"/>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lang w:val="en-US" w:eastAsia="zh-CN"/>
        </w:rPr>
        <w:t>八</w:t>
      </w:r>
      <w:r>
        <w:rPr>
          <w:rFonts w:hint="eastAsia" w:ascii="宋体" w:hAnsi="宋体" w:eastAsia="宋体" w:cs="宋体"/>
          <w:b/>
          <w:i w:val="0"/>
          <w:iCs w:val="0"/>
          <w:color w:val="auto"/>
          <w:sz w:val="24"/>
          <w:szCs w:val="24"/>
        </w:rPr>
        <w:t>、项目验收</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为全面强化项目规范实施，保障市场有序运行，提升白蚁防治工程质量，本项目将对项目监控装置埋设、维护完成及维护期满等阶段通过资料审查、实地抽查、随机巡访的方式，对项目进行分阶段验收。</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（1）监控装置安装验收。单个具体项目监控装置安装完毕进行验收。中标单位进行自检后，将项目信息表、施工方案、施工设计图、施工记录表、</w:t>
      </w:r>
      <w:r>
        <w:rPr>
          <w:rFonts w:hint="eastAsia" w:ascii="宋体" w:hAnsi="宋体" w:eastAsia="宋体" w:cs="宋体"/>
          <w:i w:val="0"/>
          <w:iCs w:val="0"/>
          <w:color w:val="auto"/>
          <w:kern w:val="0"/>
          <w:sz w:val="24"/>
          <w:szCs w:val="24"/>
          <w:lang w:val="en-US" w:eastAsia="zh-CN"/>
        </w:rPr>
        <w:t>完工确认单、</w:t>
      </w:r>
      <w:r>
        <w:rPr>
          <w:rFonts w:hint="eastAsia" w:ascii="宋体" w:hAnsi="宋体" w:eastAsia="宋体" w:cs="宋体"/>
          <w:i w:val="0"/>
          <w:iCs w:val="0"/>
          <w:color w:val="auto"/>
          <w:kern w:val="0"/>
          <w:sz w:val="24"/>
          <w:szCs w:val="24"/>
        </w:rPr>
        <w:t>影像资料等（纸质）提交采购人验收。</w:t>
      </w:r>
      <w:r>
        <w:rPr>
          <w:rFonts w:hint="eastAsia" w:ascii="宋体" w:hAnsi="宋体" w:eastAsia="宋体" w:cs="宋体"/>
          <w:color w:val="000000"/>
          <w:sz w:val="24"/>
          <w:szCs w:val="24"/>
          <w:highlight w:val="none"/>
        </w:rPr>
        <w:t>施工记录</w:t>
      </w:r>
      <w:r>
        <w:rPr>
          <w:rFonts w:hint="eastAsia" w:ascii="宋体" w:hAnsi="宋体" w:eastAsia="宋体" w:cs="宋体"/>
          <w:color w:val="000000"/>
          <w:sz w:val="24"/>
          <w:szCs w:val="24"/>
          <w:highlight w:val="none"/>
          <w:lang w:val="en-US" w:eastAsia="zh-CN"/>
        </w:rPr>
        <w:t>表</w:t>
      </w:r>
      <w:r>
        <w:rPr>
          <w:rFonts w:hint="eastAsia" w:ascii="宋体" w:hAnsi="宋体" w:eastAsia="宋体" w:cs="宋体"/>
          <w:color w:val="000000"/>
          <w:sz w:val="24"/>
          <w:szCs w:val="24"/>
          <w:highlight w:val="none"/>
        </w:rPr>
        <w:t>由建设单位或小区物管企业签字确认</w:t>
      </w:r>
      <w:r>
        <w:rPr>
          <w:rFonts w:hint="eastAsia" w:ascii="宋体" w:hAnsi="宋体" w:eastAsia="宋体" w:cs="宋体"/>
          <w:color w:val="000000"/>
          <w:sz w:val="24"/>
          <w:szCs w:val="24"/>
          <w:highlight w:val="none"/>
          <w:lang w:val="en-US" w:eastAsia="zh-CN"/>
        </w:rPr>
        <w:t>后</w:t>
      </w:r>
      <w:r>
        <w:rPr>
          <w:rFonts w:hint="eastAsia" w:ascii="宋体" w:hAnsi="宋体" w:eastAsia="宋体" w:cs="宋体"/>
          <w:i w:val="0"/>
          <w:iCs w:val="0"/>
          <w:color w:val="auto"/>
          <w:kern w:val="0"/>
          <w:sz w:val="24"/>
          <w:szCs w:val="24"/>
        </w:rPr>
        <w:t>采购人组织</w:t>
      </w:r>
      <w:r>
        <w:rPr>
          <w:rFonts w:hint="eastAsia" w:ascii="宋体" w:hAnsi="宋体" w:cs="宋体"/>
          <w:i w:val="0"/>
          <w:iCs w:val="0"/>
          <w:color w:val="auto"/>
          <w:kern w:val="0"/>
          <w:sz w:val="24"/>
          <w:szCs w:val="24"/>
          <w:lang w:val="en-US" w:eastAsia="zh-CN"/>
        </w:rPr>
        <w:t>第三方评估</w:t>
      </w:r>
      <w:r>
        <w:rPr>
          <w:rFonts w:hint="eastAsia" w:ascii="宋体" w:hAnsi="宋体" w:eastAsia="宋体" w:cs="宋体"/>
          <w:i w:val="0"/>
          <w:iCs w:val="0"/>
          <w:color w:val="auto"/>
          <w:kern w:val="0"/>
          <w:sz w:val="24"/>
          <w:szCs w:val="24"/>
        </w:rPr>
        <w:t>人员根据中标单位提交的资料对安装的位置、数量情况进行现场确认。</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审核标准：装置安装位置、数量与施工方案、记录匹配率需达到98%以上。</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若审核不通过，退回重新施工，服务期内若超过3次审核不通过需重新施工的，按不通过项目费用合计的20%处罚，同时采购人有权提前解除合同。</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2）后期检查维护验收。对检查维护期工作每年一次验收一次（一般在11月底前）。中标单位按监测控制装置的检查维护要求进行维护，按单个项目整理《杭州市白蚁监测控制工程检查与维护记录表》及有关影像资料，交采购人验收。采购人将采取实地检查、电话巡访等方式进行核查验收。</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审核标准：检查维护覆盖率不低于98%，损毁更换率不低于95%，检查发现白蚁后施药率需达到100%。检查、更换、灭治等维护记录完整、影像资料齐备。</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若审核不通过，退回重新施工，服务期内若超过3次审核不通过需重新施工的，按不通过项目费用合计的20%处罚，同时采购人有权提前解除合同。</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（3）白蚁灭治验收。采购人将采取实地巡查、电话巡访等方式进行核查验收，根据上门灭治时效进行研判。</w:t>
      </w:r>
    </w:p>
    <w:p>
      <w:pPr>
        <w:pStyle w:val="24"/>
        <w:snapToGrid w:val="0"/>
        <w:spacing w:line="360" w:lineRule="auto"/>
        <w:ind w:firstLine="482" w:firstLineChars="200"/>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lang w:val="en-US" w:eastAsia="zh-CN"/>
        </w:rPr>
        <w:t>九</w:t>
      </w:r>
      <w:r>
        <w:rPr>
          <w:rFonts w:hint="eastAsia" w:ascii="宋体" w:hAnsi="宋体" w:eastAsia="宋体" w:cs="宋体"/>
          <w:b/>
          <w:i w:val="0"/>
          <w:iCs w:val="0"/>
          <w:color w:val="auto"/>
          <w:sz w:val="24"/>
          <w:szCs w:val="24"/>
        </w:rPr>
        <w:t>、费用结算方式：</w:t>
      </w:r>
    </w:p>
    <w:p>
      <w:pPr>
        <w:snapToGrid w:val="0"/>
        <w:spacing w:line="360" w:lineRule="auto"/>
        <w:ind w:firstLine="480" w:firstLineChars="200"/>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1.合同签订后</w:t>
      </w:r>
      <w:r>
        <w:rPr>
          <w:rFonts w:hint="eastAsia" w:ascii="宋体" w:hAnsi="宋体" w:eastAsia="宋体" w:cs="宋体"/>
          <w:i w:val="0"/>
          <w:iCs w:val="0"/>
          <w:color w:val="auto"/>
          <w:kern w:val="0"/>
          <w:sz w:val="24"/>
          <w:szCs w:val="24"/>
          <w:lang w:val="en-US" w:eastAsia="zh-CN"/>
        </w:rPr>
        <w:t>5个工作日内</w:t>
      </w:r>
      <w:r>
        <w:rPr>
          <w:rFonts w:hint="eastAsia" w:ascii="宋体" w:hAnsi="宋体" w:eastAsia="宋体" w:cs="宋体"/>
          <w:i w:val="0"/>
          <w:iCs w:val="0"/>
          <w:color w:val="auto"/>
          <w:kern w:val="0"/>
          <w:sz w:val="24"/>
          <w:szCs w:val="24"/>
        </w:rPr>
        <w:t>支付</w:t>
      </w:r>
      <w:r>
        <w:rPr>
          <w:rFonts w:hint="eastAsia" w:ascii="宋体" w:hAnsi="宋体" w:eastAsia="宋体" w:cs="宋体"/>
          <w:i w:val="0"/>
          <w:iCs w:val="0"/>
          <w:color w:val="auto"/>
          <w:kern w:val="0"/>
          <w:sz w:val="24"/>
          <w:szCs w:val="24"/>
          <w:lang w:val="en-US" w:eastAsia="zh-CN"/>
        </w:rPr>
        <w:t>合同金额的</w:t>
      </w:r>
      <w:r>
        <w:rPr>
          <w:rFonts w:hint="eastAsia" w:ascii="宋体" w:hAnsi="宋体" w:eastAsia="宋体" w:cs="宋体"/>
          <w:i w:val="0"/>
          <w:iCs w:val="0"/>
          <w:color w:val="auto"/>
          <w:kern w:val="0"/>
          <w:sz w:val="24"/>
          <w:szCs w:val="24"/>
        </w:rPr>
        <w:t>40%；</w:t>
      </w:r>
    </w:p>
    <w:p>
      <w:pPr>
        <w:snapToGrid w:val="0"/>
        <w:spacing w:line="360" w:lineRule="auto"/>
        <w:ind w:firstLine="480" w:firstLineChars="200"/>
        <w:rPr>
          <w:rFonts w:hint="eastAsia" w:ascii="宋体" w:hAnsi="宋体" w:eastAsia="宋体" w:cs="宋体"/>
          <w:b w:val="0"/>
          <w:bCs w:val="0"/>
          <w:i w:val="0"/>
          <w:iCs w:val="0"/>
          <w:color w:val="000000" w:themeColor="text1"/>
          <w:kern w:val="0"/>
          <w:sz w:val="24"/>
          <w:szCs w:val="24"/>
          <w:highlight w:val="none"/>
          <w:lang w:val="en-US" w:eastAsia="zh-CN" w:bidi="ar-SA"/>
        </w:rPr>
      </w:pPr>
      <w:r>
        <w:rPr>
          <w:rFonts w:hint="eastAsia" w:ascii="宋体" w:hAnsi="宋体" w:eastAsia="宋体" w:cs="宋体"/>
          <w:b w:val="0"/>
          <w:bCs w:val="0"/>
          <w:i w:val="0"/>
          <w:iCs w:val="0"/>
          <w:color w:val="000000" w:themeColor="text1"/>
          <w:kern w:val="0"/>
          <w:sz w:val="24"/>
          <w:szCs w:val="24"/>
          <w:highlight w:val="none"/>
          <w:lang w:val="en-US" w:eastAsia="zh-CN" w:bidi="ar-SA"/>
        </w:rPr>
        <w:t>2.监控装置安装项目经第三方评估验收合格后5个工作日内按实际支付合同金额的50%；</w:t>
      </w:r>
    </w:p>
    <w:p>
      <w:pPr>
        <w:snapToGrid w:val="0"/>
        <w:spacing w:line="360" w:lineRule="auto"/>
        <w:ind w:firstLine="480" w:firstLineChars="200"/>
        <w:rPr>
          <w:rFonts w:hint="eastAsia" w:ascii="宋体" w:hAnsi="宋体" w:eastAsia="宋体" w:cs="宋体"/>
          <w:b w:val="0"/>
          <w:bCs w:val="0"/>
          <w:i w:val="0"/>
          <w:iCs w:val="0"/>
          <w:color w:val="000000" w:themeColor="text1"/>
          <w:kern w:val="0"/>
          <w:sz w:val="24"/>
          <w:szCs w:val="24"/>
          <w:highlight w:val="none"/>
          <w:lang w:val="en-US" w:eastAsia="zh-CN" w:bidi="ar-SA"/>
        </w:rPr>
      </w:pPr>
      <w:r>
        <w:rPr>
          <w:rFonts w:hint="eastAsia" w:ascii="宋体" w:hAnsi="宋体" w:eastAsia="宋体" w:cs="宋体"/>
          <w:b w:val="0"/>
          <w:bCs w:val="0"/>
          <w:i w:val="0"/>
          <w:iCs w:val="0"/>
          <w:color w:val="000000" w:themeColor="text1"/>
          <w:kern w:val="0"/>
          <w:sz w:val="24"/>
          <w:szCs w:val="24"/>
          <w:highlight w:val="none"/>
          <w:lang w:val="en-US" w:eastAsia="zh-CN" w:bidi="ar-SA"/>
        </w:rPr>
        <w:t>3.服务限期内按规范要求实施一年两次的检查维护，经验收合格后5个工作日内按实际支付合同金额的10%。</w:t>
      </w:r>
    </w:p>
    <w:p>
      <w:pPr>
        <w:widowControl w:val="0"/>
        <w:tabs>
          <w:tab w:val="left" w:pos="0"/>
        </w:tabs>
        <w:wordWrap/>
        <w:snapToGrid/>
        <w:spacing w:line="360" w:lineRule="auto"/>
        <w:ind w:firstLine="422" w:firstLineChars="200"/>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▲十、实质性响应条款（不允许负偏离，否则投标无效）</w:t>
      </w:r>
    </w:p>
    <w:p>
      <w:pPr>
        <w:widowControl w:val="0"/>
        <w:tabs>
          <w:tab w:val="left" w:pos="0"/>
        </w:tabs>
        <w:wordWrap/>
        <w:snapToGrid/>
        <w:spacing w:line="360" w:lineRule="auto"/>
        <w:ind w:firstLine="422" w:firstLineChars="200"/>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▲（1）选用的专用白蚁灭杀药物适合白蚁监控技术要求，应具有农药生产许可证或农药生产批准文件、农药标准和农药登记证齐备。（投标文件提供相关文件或证书扫描件）</w:t>
      </w:r>
    </w:p>
    <w:p>
      <w:pPr>
        <w:widowControl w:val="0"/>
        <w:tabs>
          <w:tab w:val="left" w:pos="0"/>
        </w:tabs>
        <w:wordWrap/>
        <w:snapToGrid/>
        <w:spacing w:line="360" w:lineRule="auto"/>
        <w:ind w:firstLine="422" w:firstLineChars="200"/>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▲（2）购买的白蚁灭杀药物或购买国家认证的农药原药自行配制药物，应具有相关产品说明书、购货合同或凭证。（投标文件提供相关产品说明书、购货合同或凭证等扫描件）</w:t>
      </w:r>
    </w:p>
    <w:p>
      <w:pPr>
        <w:spacing w:line="360" w:lineRule="auto"/>
        <w:rPr>
          <w:rFonts w:hint="eastAsia" w:ascii="仿宋" w:hAnsi="仿宋" w:eastAsia="仿宋" w:cs="仿宋"/>
          <w:color w:val="auto"/>
          <w:sz w:val="24"/>
        </w:rPr>
      </w:pPr>
    </w:p>
    <w:p>
      <w:pPr>
        <w:widowControl/>
        <w:ind w:firstLine="720" w:firstLineChars="300"/>
        <w:jc w:val="left"/>
        <w:rPr>
          <w:rFonts w:hint="eastAsia" w:ascii="仿宋" w:hAnsi="仿宋" w:eastAsia="仿宋" w:cs="仿宋"/>
          <w:bCs/>
          <w:color w:val="auto"/>
          <w:sz w:val="24"/>
        </w:rPr>
      </w:pPr>
    </w:p>
    <w:p>
      <w:pPr>
        <w:rPr>
          <w:rFonts w:hint="eastAsia" w:ascii="仿宋" w:hAnsi="仿宋" w:eastAsia="仿宋" w:cs="仿宋"/>
          <w:snapToGrid w:val="0"/>
          <w:color w:val="auto"/>
          <w:kern w:val="0"/>
          <w:sz w:val="24"/>
        </w:rPr>
      </w:pPr>
    </w:p>
    <w:p>
      <w:pPr>
        <w:spacing w:line="48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7" w:name="_Toc184314476"/>
      <w:bookmarkEnd w:id="27"/>
      <w:bookmarkStart w:id="28" w:name="_Toc184310305"/>
      <w:bookmarkEnd w:id="28"/>
      <w:bookmarkStart w:id="29" w:name="_Toc184313310"/>
      <w:bookmarkEnd w:id="29"/>
      <w:bookmarkStart w:id="30" w:name="_Toc184314429"/>
      <w:bookmarkEnd w:id="30"/>
      <w:bookmarkStart w:id="31" w:name="_Toc184313306"/>
      <w:bookmarkEnd w:id="31"/>
      <w:bookmarkStart w:id="32" w:name="_Toc184312091"/>
      <w:bookmarkEnd w:id="32"/>
      <w:bookmarkStart w:id="33" w:name="_Toc184314411"/>
      <w:bookmarkEnd w:id="33"/>
      <w:bookmarkStart w:id="34" w:name="_Toc184314418"/>
      <w:bookmarkEnd w:id="34"/>
      <w:bookmarkStart w:id="35" w:name="_Toc184308078"/>
      <w:bookmarkEnd w:id="35"/>
      <w:bookmarkStart w:id="36" w:name="_Toc184314414"/>
      <w:bookmarkEnd w:id="36"/>
      <w:bookmarkStart w:id="37" w:name="_Toc184310312"/>
      <w:bookmarkEnd w:id="37"/>
      <w:bookmarkStart w:id="38" w:name="_Toc184308100"/>
      <w:bookmarkEnd w:id="38"/>
      <w:bookmarkStart w:id="39" w:name="_Toc184308063"/>
      <w:bookmarkEnd w:id="39"/>
      <w:bookmarkStart w:id="40" w:name="_Toc184314452"/>
      <w:bookmarkEnd w:id="40"/>
      <w:bookmarkStart w:id="41" w:name="_Toc184313285"/>
      <w:bookmarkEnd w:id="41"/>
      <w:bookmarkStart w:id="42" w:name="_Toc184308099"/>
      <w:bookmarkEnd w:id="42"/>
      <w:bookmarkStart w:id="43" w:name="_Toc184312117"/>
      <w:bookmarkEnd w:id="43"/>
      <w:bookmarkStart w:id="44" w:name="_Toc184314478"/>
      <w:bookmarkEnd w:id="44"/>
      <w:bookmarkStart w:id="45" w:name="_Toc184310323"/>
      <w:bookmarkEnd w:id="45"/>
      <w:bookmarkStart w:id="46" w:name="_Toc184308104"/>
      <w:bookmarkEnd w:id="46"/>
      <w:bookmarkStart w:id="47" w:name="_Toc184312130"/>
      <w:bookmarkEnd w:id="47"/>
      <w:bookmarkStart w:id="48" w:name="_Toc184313240"/>
      <w:bookmarkEnd w:id="48"/>
      <w:bookmarkStart w:id="49" w:name="_Toc184308051"/>
      <w:bookmarkEnd w:id="49"/>
      <w:bookmarkStart w:id="50" w:name="_Toc184310329"/>
      <w:bookmarkEnd w:id="50"/>
      <w:bookmarkStart w:id="51" w:name="_Toc184312119"/>
      <w:bookmarkEnd w:id="51"/>
      <w:bookmarkStart w:id="52" w:name="_Toc184312093"/>
      <w:bookmarkEnd w:id="52"/>
      <w:bookmarkStart w:id="53" w:name="_Toc184314435"/>
      <w:bookmarkEnd w:id="53"/>
      <w:bookmarkStart w:id="54" w:name="_Toc184310302"/>
      <w:bookmarkEnd w:id="54"/>
      <w:bookmarkStart w:id="55" w:name="_Toc184314427"/>
      <w:bookmarkEnd w:id="55"/>
      <w:bookmarkStart w:id="56" w:name="_Toc184314446"/>
      <w:bookmarkEnd w:id="56"/>
      <w:bookmarkStart w:id="57" w:name="_Toc184312070"/>
      <w:bookmarkEnd w:id="57"/>
      <w:bookmarkStart w:id="58" w:name="_Toc184310300"/>
      <w:bookmarkEnd w:id="58"/>
      <w:bookmarkStart w:id="59" w:name="_Toc184314472"/>
      <w:bookmarkEnd w:id="59"/>
      <w:bookmarkStart w:id="60" w:name="_Toc184308098"/>
      <w:bookmarkEnd w:id="60"/>
      <w:bookmarkStart w:id="61" w:name="_Toc184310280"/>
      <w:bookmarkEnd w:id="61"/>
      <w:bookmarkStart w:id="62" w:name="_Toc184310319"/>
      <w:bookmarkEnd w:id="62"/>
      <w:bookmarkStart w:id="63" w:name="_Toc184308073"/>
      <w:bookmarkEnd w:id="63"/>
      <w:bookmarkStart w:id="64" w:name="_Toc184312110"/>
      <w:bookmarkEnd w:id="64"/>
      <w:bookmarkStart w:id="65" w:name="_Toc184310304"/>
      <w:bookmarkEnd w:id="65"/>
      <w:bookmarkStart w:id="66" w:name="_Toc184313280"/>
      <w:bookmarkEnd w:id="66"/>
      <w:bookmarkStart w:id="67" w:name="_Toc184312112"/>
      <w:bookmarkEnd w:id="67"/>
      <w:bookmarkStart w:id="68" w:name="_Toc184314450"/>
      <w:bookmarkEnd w:id="68"/>
      <w:bookmarkStart w:id="69" w:name="_Toc184313275"/>
      <w:bookmarkEnd w:id="69"/>
      <w:bookmarkStart w:id="70" w:name="_Toc184308050"/>
      <w:bookmarkEnd w:id="70"/>
      <w:bookmarkStart w:id="71" w:name="_Toc184310337"/>
      <w:bookmarkEnd w:id="71"/>
      <w:bookmarkStart w:id="72" w:name="_Toc184313295"/>
      <w:bookmarkEnd w:id="72"/>
      <w:bookmarkStart w:id="73" w:name="_Toc184308095"/>
      <w:bookmarkEnd w:id="73"/>
      <w:bookmarkStart w:id="74" w:name="_Toc184310324"/>
      <w:bookmarkEnd w:id="74"/>
      <w:bookmarkStart w:id="75" w:name="_Toc184312076"/>
      <w:bookmarkEnd w:id="75"/>
      <w:bookmarkStart w:id="76" w:name="_Toc184310296"/>
      <w:bookmarkEnd w:id="76"/>
      <w:bookmarkStart w:id="77" w:name="_Toc184313278"/>
      <w:bookmarkEnd w:id="77"/>
      <w:bookmarkStart w:id="78" w:name="_Toc184308047"/>
      <w:bookmarkEnd w:id="78"/>
      <w:bookmarkStart w:id="79" w:name="_Toc184312101"/>
      <w:bookmarkEnd w:id="79"/>
      <w:bookmarkStart w:id="80" w:name="_Toc184312132"/>
      <w:bookmarkEnd w:id="80"/>
      <w:bookmarkStart w:id="81" w:name="_Toc184308068"/>
      <w:bookmarkEnd w:id="81"/>
      <w:bookmarkStart w:id="82" w:name="_Toc184308054"/>
      <w:bookmarkEnd w:id="82"/>
      <w:bookmarkStart w:id="83" w:name="_Toc184313246"/>
      <w:bookmarkEnd w:id="83"/>
      <w:bookmarkStart w:id="84" w:name="_Toc184313286"/>
      <w:bookmarkEnd w:id="84"/>
      <w:bookmarkStart w:id="85" w:name="_Toc184310281"/>
      <w:bookmarkEnd w:id="85"/>
      <w:bookmarkStart w:id="86" w:name="_Toc184312090"/>
      <w:bookmarkEnd w:id="86"/>
      <w:bookmarkStart w:id="87" w:name="_Toc184312094"/>
      <w:bookmarkEnd w:id="87"/>
      <w:bookmarkStart w:id="88" w:name="_Toc184313276"/>
      <w:bookmarkEnd w:id="88"/>
      <w:bookmarkStart w:id="89" w:name="_Toc184313277"/>
      <w:bookmarkEnd w:id="89"/>
      <w:bookmarkStart w:id="90" w:name="_Toc184313293"/>
      <w:bookmarkEnd w:id="90"/>
      <w:bookmarkStart w:id="91" w:name="_Toc184308093"/>
      <w:bookmarkEnd w:id="91"/>
      <w:bookmarkStart w:id="92" w:name="_Toc184314471"/>
      <w:bookmarkEnd w:id="92"/>
      <w:bookmarkStart w:id="93" w:name="_Toc184312075"/>
      <w:bookmarkEnd w:id="93"/>
      <w:bookmarkStart w:id="94" w:name="_Toc184314415"/>
      <w:bookmarkEnd w:id="94"/>
      <w:bookmarkStart w:id="95" w:name="_Toc184313287"/>
      <w:bookmarkEnd w:id="95"/>
      <w:bookmarkStart w:id="96" w:name="_Toc184314448"/>
      <w:bookmarkEnd w:id="96"/>
      <w:bookmarkStart w:id="97" w:name="_Toc184314424"/>
      <w:bookmarkEnd w:id="97"/>
      <w:bookmarkStart w:id="98" w:name="_Toc184308082"/>
      <w:bookmarkEnd w:id="98"/>
      <w:bookmarkStart w:id="99" w:name="_Toc184312126"/>
      <w:bookmarkEnd w:id="99"/>
      <w:bookmarkStart w:id="100" w:name="_Toc184312103"/>
      <w:bookmarkEnd w:id="100"/>
      <w:bookmarkStart w:id="101" w:name="_Toc184314475"/>
      <w:bookmarkEnd w:id="101"/>
      <w:bookmarkStart w:id="102" w:name="_Toc184308084"/>
      <w:bookmarkEnd w:id="102"/>
      <w:bookmarkStart w:id="103" w:name="_Toc184308046"/>
      <w:bookmarkEnd w:id="103"/>
      <w:bookmarkStart w:id="104" w:name="_Toc184313305"/>
      <w:bookmarkEnd w:id="104"/>
      <w:bookmarkStart w:id="105" w:name="_Toc184314444"/>
      <w:bookmarkEnd w:id="105"/>
      <w:bookmarkStart w:id="106" w:name="_Toc184313289"/>
      <w:bookmarkEnd w:id="106"/>
      <w:bookmarkStart w:id="107" w:name="_Toc184310327"/>
      <w:bookmarkEnd w:id="107"/>
      <w:bookmarkStart w:id="108" w:name="_Toc184312124"/>
      <w:bookmarkEnd w:id="108"/>
      <w:bookmarkStart w:id="109" w:name="_Toc184308072"/>
      <w:bookmarkEnd w:id="109"/>
      <w:bookmarkStart w:id="110" w:name="_Toc184313269"/>
      <w:bookmarkEnd w:id="110"/>
      <w:bookmarkStart w:id="111" w:name="_Toc184310343"/>
      <w:bookmarkEnd w:id="111"/>
      <w:bookmarkStart w:id="112" w:name="_Toc184310320"/>
      <w:bookmarkEnd w:id="112"/>
      <w:bookmarkStart w:id="113" w:name="_Toc184308053"/>
      <w:bookmarkEnd w:id="113"/>
      <w:bookmarkStart w:id="114" w:name="_Toc184308108"/>
      <w:bookmarkEnd w:id="114"/>
      <w:bookmarkStart w:id="115" w:name="_Toc184310313"/>
      <w:bookmarkEnd w:id="115"/>
      <w:bookmarkStart w:id="116" w:name="_Toc184312078"/>
      <w:bookmarkEnd w:id="116"/>
      <w:bookmarkStart w:id="117" w:name="_Toc184312135"/>
      <w:bookmarkEnd w:id="117"/>
      <w:bookmarkStart w:id="118" w:name="_Toc184312115"/>
      <w:bookmarkEnd w:id="118"/>
      <w:bookmarkStart w:id="119" w:name="_Toc184310273"/>
      <w:bookmarkEnd w:id="119"/>
      <w:bookmarkStart w:id="120" w:name="_Toc184313284"/>
      <w:bookmarkEnd w:id="120"/>
      <w:bookmarkStart w:id="121" w:name="_Toc184310284"/>
      <w:bookmarkEnd w:id="121"/>
      <w:bookmarkStart w:id="122" w:name="_Toc184314413"/>
      <w:bookmarkEnd w:id="122"/>
      <w:bookmarkStart w:id="123" w:name="_Toc184308049"/>
      <w:bookmarkEnd w:id="123"/>
      <w:bookmarkStart w:id="124" w:name="_Toc184312102"/>
      <w:bookmarkEnd w:id="124"/>
      <w:bookmarkStart w:id="125" w:name="_Toc184312086"/>
      <w:bookmarkEnd w:id="125"/>
      <w:bookmarkStart w:id="126" w:name="_Toc184310334"/>
      <w:bookmarkEnd w:id="126"/>
      <w:bookmarkStart w:id="127" w:name="_Toc184314423"/>
      <w:bookmarkEnd w:id="127"/>
      <w:bookmarkStart w:id="128" w:name="_Toc184312072"/>
      <w:bookmarkEnd w:id="128"/>
      <w:bookmarkStart w:id="129" w:name="_Toc184310332"/>
      <w:bookmarkEnd w:id="129"/>
      <w:bookmarkStart w:id="130" w:name="_Toc184313298"/>
      <w:bookmarkEnd w:id="130"/>
      <w:bookmarkStart w:id="131" w:name="_Toc184308040"/>
      <w:bookmarkEnd w:id="131"/>
      <w:bookmarkStart w:id="132" w:name="_Toc184313282"/>
      <w:bookmarkEnd w:id="132"/>
      <w:bookmarkStart w:id="133" w:name="_Toc184308052"/>
      <w:bookmarkEnd w:id="133"/>
      <w:bookmarkStart w:id="134" w:name="_Toc184308036"/>
      <w:bookmarkEnd w:id="134"/>
      <w:bookmarkStart w:id="135" w:name="_Toc184314430"/>
      <w:bookmarkEnd w:id="135"/>
      <w:bookmarkStart w:id="136" w:name="_Toc184313297"/>
      <w:bookmarkEnd w:id="136"/>
      <w:bookmarkStart w:id="137" w:name="_Toc184312105"/>
      <w:bookmarkEnd w:id="137"/>
      <w:bookmarkStart w:id="138" w:name="_Toc184313274"/>
      <w:bookmarkEnd w:id="138"/>
      <w:bookmarkStart w:id="139" w:name="_Toc184312131"/>
      <w:bookmarkEnd w:id="139"/>
      <w:bookmarkStart w:id="140" w:name="_Toc184313292"/>
      <w:bookmarkEnd w:id="140"/>
      <w:bookmarkStart w:id="141" w:name="_Toc184314426"/>
      <w:bookmarkEnd w:id="141"/>
      <w:bookmarkStart w:id="142" w:name="_Toc184314422"/>
      <w:bookmarkEnd w:id="142"/>
      <w:bookmarkStart w:id="143" w:name="_Toc184313283"/>
      <w:bookmarkEnd w:id="143"/>
      <w:bookmarkStart w:id="144" w:name="_Toc184308085"/>
      <w:bookmarkEnd w:id="144"/>
      <w:bookmarkStart w:id="145" w:name="_Toc184313250"/>
      <w:bookmarkEnd w:id="145"/>
      <w:bookmarkStart w:id="146" w:name="_Toc184310298"/>
      <w:bookmarkEnd w:id="146"/>
      <w:bookmarkStart w:id="147" w:name="_Toc184312123"/>
      <w:bookmarkEnd w:id="147"/>
      <w:bookmarkStart w:id="148" w:name="_Toc184308079"/>
      <w:bookmarkEnd w:id="148"/>
      <w:bookmarkStart w:id="149" w:name="_Toc184312113"/>
      <w:bookmarkEnd w:id="149"/>
      <w:bookmarkStart w:id="150" w:name="_Toc184312096"/>
      <w:bookmarkEnd w:id="150"/>
      <w:bookmarkStart w:id="151" w:name="_Toc184308097"/>
      <w:bookmarkEnd w:id="151"/>
      <w:bookmarkStart w:id="152" w:name="_Toc184314455"/>
      <w:bookmarkEnd w:id="152"/>
      <w:bookmarkStart w:id="153" w:name="_Toc184312080"/>
      <w:bookmarkEnd w:id="153"/>
      <w:bookmarkStart w:id="154" w:name="_Toc184310292"/>
      <w:bookmarkEnd w:id="154"/>
      <w:bookmarkStart w:id="155" w:name="_Toc184313255"/>
      <w:bookmarkEnd w:id="155"/>
      <w:bookmarkStart w:id="156" w:name="_Toc184308045"/>
      <w:bookmarkEnd w:id="156"/>
      <w:bookmarkStart w:id="157" w:name="_Toc184313264"/>
      <w:bookmarkEnd w:id="157"/>
      <w:bookmarkStart w:id="158" w:name="_Toc184310308"/>
      <w:bookmarkEnd w:id="158"/>
      <w:bookmarkStart w:id="159" w:name="_Toc184313309"/>
      <w:bookmarkEnd w:id="159"/>
      <w:bookmarkStart w:id="160" w:name="_Toc184310293"/>
      <w:bookmarkEnd w:id="160"/>
      <w:bookmarkStart w:id="161" w:name="_Toc184313291"/>
      <w:bookmarkEnd w:id="161"/>
      <w:bookmarkStart w:id="162" w:name="_Toc184314462"/>
      <w:bookmarkEnd w:id="162"/>
      <w:bookmarkStart w:id="163" w:name="_Toc184314453"/>
      <w:bookmarkEnd w:id="163"/>
      <w:bookmarkStart w:id="164" w:name="_Toc184308066"/>
      <w:bookmarkEnd w:id="164"/>
      <w:bookmarkStart w:id="165" w:name="_Toc184312079"/>
      <w:bookmarkEnd w:id="165"/>
      <w:bookmarkStart w:id="166" w:name="_Toc184308088"/>
      <w:bookmarkEnd w:id="166"/>
      <w:bookmarkStart w:id="167" w:name="_Toc184313262"/>
      <w:bookmarkEnd w:id="167"/>
      <w:bookmarkStart w:id="168" w:name="_Toc184310318"/>
      <w:bookmarkEnd w:id="168"/>
      <w:bookmarkStart w:id="169" w:name="_Toc184310278"/>
      <w:bookmarkEnd w:id="169"/>
      <w:bookmarkStart w:id="170" w:name="_Toc184310306"/>
      <w:bookmarkEnd w:id="170"/>
      <w:bookmarkStart w:id="171" w:name="_Toc184313254"/>
      <w:bookmarkEnd w:id="171"/>
      <w:bookmarkStart w:id="172" w:name="_Toc184313294"/>
      <w:bookmarkEnd w:id="172"/>
      <w:bookmarkStart w:id="173" w:name="_Toc184314410"/>
      <w:bookmarkEnd w:id="173"/>
      <w:bookmarkStart w:id="174" w:name="_Toc184314465"/>
      <w:bookmarkEnd w:id="174"/>
      <w:bookmarkStart w:id="175" w:name="_Toc184313266"/>
      <w:bookmarkEnd w:id="175"/>
      <w:bookmarkStart w:id="176" w:name="_Toc184312137"/>
      <w:bookmarkEnd w:id="176"/>
      <w:bookmarkStart w:id="177" w:name="_Toc184314447"/>
      <w:bookmarkEnd w:id="177"/>
      <w:bookmarkStart w:id="178" w:name="_Toc184313271"/>
      <w:bookmarkEnd w:id="178"/>
      <w:bookmarkStart w:id="179" w:name="_Toc184310274"/>
      <w:bookmarkEnd w:id="179"/>
      <w:bookmarkStart w:id="180" w:name="_Toc184312088"/>
      <w:bookmarkEnd w:id="180"/>
      <w:bookmarkStart w:id="181" w:name="_Toc184314470"/>
      <w:bookmarkEnd w:id="181"/>
      <w:bookmarkStart w:id="182" w:name="_Toc184314451"/>
      <w:bookmarkEnd w:id="182"/>
      <w:bookmarkStart w:id="183" w:name="_Toc184313243"/>
      <w:bookmarkEnd w:id="183"/>
      <w:bookmarkStart w:id="184" w:name="_Toc184308090"/>
      <w:bookmarkEnd w:id="184"/>
      <w:bookmarkStart w:id="185" w:name="_Toc184312068"/>
      <w:bookmarkEnd w:id="185"/>
      <w:bookmarkStart w:id="186" w:name="_Toc184314460"/>
      <w:bookmarkEnd w:id="186"/>
      <w:bookmarkStart w:id="187" w:name="_Toc184312106"/>
      <w:bookmarkEnd w:id="187"/>
      <w:bookmarkStart w:id="188" w:name="_Toc184314417"/>
      <w:bookmarkEnd w:id="188"/>
      <w:bookmarkStart w:id="189" w:name="_Toc184308102"/>
      <w:bookmarkEnd w:id="189"/>
      <w:bookmarkStart w:id="190" w:name="_Toc184312109"/>
      <w:bookmarkEnd w:id="190"/>
      <w:bookmarkStart w:id="191" w:name="_Toc184313242"/>
      <w:bookmarkEnd w:id="191"/>
      <w:bookmarkStart w:id="192" w:name="_Toc184313281"/>
      <w:bookmarkEnd w:id="192"/>
      <w:bookmarkStart w:id="193" w:name="_Toc184310299"/>
      <w:bookmarkEnd w:id="193"/>
      <w:bookmarkStart w:id="194" w:name="_Toc184310335"/>
      <w:bookmarkEnd w:id="194"/>
      <w:bookmarkStart w:id="195" w:name="_Toc184310295"/>
      <w:bookmarkEnd w:id="195"/>
      <w:bookmarkStart w:id="196" w:name="_Toc184310282"/>
      <w:bookmarkEnd w:id="196"/>
      <w:bookmarkStart w:id="197" w:name="_Toc184312074"/>
      <w:bookmarkEnd w:id="197"/>
      <w:bookmarkStart w:id="198" w:name="_Toc184308089"/>
      <w:bookmarkEnd w:id="198"/>
      <w:bookmarkStart w:id="199" w:name="_Toc184314474"/>
      <w:bookmarkEnd w:id="199"/>
      <w:bookmarkStart w:id="200" w:name="_Toc184310342"/>
      <w:bookmarkEnd w:id="200"/>
      <w:bookmarkStart w:id="201" w:name="_Toc184310333"/>
      <w:bookmarkEnd w:id="201"/>
      <w:bookmarkStart w:id="202" w:name="_Toc184312107"/>
      <w:bookmarkEnd w:id="202"/>
      <w:bookmarkStart w:id="203" w:name="_Toc184312098"/>
      <w:bookmarkEnd w:id="203"/>
      <w:bookmarkStart w:id="204" w:name="_Toc184308091"/>
      <w:bookmarkEnd w:id="204"/>
      <w:bookmarkStart w:id="205" w:name="_Toc184313258"/>
      <w:bookmarkEnd w:id="205"/>
      <w:bookmarkStart w:id="206" w:name="_Toc184314457"/>
      <w:bookmarkEnd w:id="206"/>
      <w:bookmarkStart w:id="207" w:name="_Toc184314425"/>
      <w:bookmarkEnd w:id="207"/>
      <w:bookmarkStart w:id="208" w:name="_Toc184310286"/>
      <w:bookmarkEnd w:id="208"/>
      <w:bookmarkStart w:id="209" w:name="_Toc184308087"/>
      <w:bookmarkEnd w:id="209"/>
      <w:bookmarkStart w:id="210" w:name="_Toc184310310"/>
      <w:bookmarkEnd w:id="210"/>
      <w:bookmarkStart w:id="211" w:name="_Toc184308043"/>
      <w:bookmarkEnd w:id="211"/>
      <w:bookmarkStart w:id="212" w:name="_Toc184314439"/>
      <w:bookmarkEnd w:id="212"/>
      <w:bookmarkStart w:id="213" w:name="_Toc184310317"/>
      <w:bookmarkEnd w:id="213"/>
      <w:bookmarkStart w:id="214" w:name="_Toc184312083"/>
      <w:bookmarkEnd w:id="214"/>
      <w:bookmarkStart w:id="215" w:name="_Toc184314477"/>
      <w:bookmarkEnd w:id="215"/>
      <w:bookmarkStart w:id="216" w:name="_Toc184313252"/>
      <w:bookmarkEnd w:id="216"/>
      <w:bookmarkStart w:id="217" w:name="_Toc184308106"/>
      <w:bookmarkEnd w:id="217"/>
      <w:bookmarkStart w:id="218" w:name="_Toc184308059"/>
      <w:bookmarkEnd w:id="218"/>
      <w:bookmarkStart w:id="219" w:name="_Toc184313265"/>
      <w:bookmarkEnd w:id="219"/>
      <w:bookmarkStart w:id="220" w:name="_Toc184313241"/>
      <w:bookmarkEnd w:id="220"/>
      <w:bookmarkStart w:id="221" w:name="_Toc184314463"/>
      <w:bookmarkEnd w:id="221"/>
      <w:bookmarkStart w:id="222" w:name="_Toc184313260"/>
      <w:bookmarkEnd w:id="222"/>
      <w:bookmarkStart w:id="223" w:name="_Toc184314441"/>
      <w:bookmarkEnd w:id="223"/>
      <w:bookmarkStart w:id="224" w:name="_Toc184314480"/>
      <w:bookmarkEnd w:id="224"/>
      <w:bookmarkStart w:id="225" w:name="_Toc184312071"/>
      <w:bookmarkEnd w:id="225"/>
      <w:bookmarkStart w:id="226" w:name="_Toc184312111"/>
      <w:bookmarkEnd w:id="226"/>
      <w:bookmarkStart w:id="227" w:name="_Toc184312085"/>
      <w:bookmarkEnd w:id="227"/>
      <w:bookmarkStart w:id="228" w:name="_Toc184314458"/>
      <w:bookmarkEnd w:id="228"/>
      <w:bookmarkStart w:id="229" w:name="_Toc184312116"/>
      <w:bookmarkEnd w:id="229"/>
      <w:bookmarkStart w:id="230" w:name="_Toc184314416"/>
      <w:bookmarkEnd w:id="230"/>
      <w:bookmarkStart w:id="231" w:name="_Toc184312097"/>
      <w:bookmarkEnd w:id="231"/>
      <w:bookmarkStart w:id="232" w:name="_Toc184310289"/>
      <w:bookmarkEnd w:id="232"/>
      <w:bookmarkStart w:id="233" w:name="_Toc184312092"/>
      <w:bookmarkEnd w:id="233"/>
      <w:bookmarkStart w:id="234" w:name="_Toc184308083"/>
      <w:bookmarkEnd w:id="234"/>
      <w:bookmarkStart w:id="235" w:name="_Toc184313259"/>
      <w:bookmarkEnd w:id="235"/>
      <w:bookmarkStart w:id="236" w:name="_Toc184308042"/>
      <w:bookmarkEnd w:id="236"/>
      <w:bookmarkStart w:id="237" w:name="_Toc184308096"/>
      <w:bookmarkEnd w:id="237"/>
      <w:bookmarkStart w:id="238" w:name="_Toc184313257"/>
      <w:bookmarkEnd w:id="238"/>
      <w:bookmarkStart w:id="239" w:name="_Toc184312087"/>
      <w:bookmarkEnd w:id="239"/>
      <w:bookmarkStart w:id="240" w:name="_Toc184308067"/>
      <w:bookmarkEnd w:id="240"/>
      <w:bookmarkStart w:id="241" w:name="_Toc184313261"/>
      <w:bookmarkEnd w:id="241"/>
      <w:bookmarkStart w:id="242" w:name="_Toc184314479"/>
      <w:bookmarkEnd w:id="242"/>
      <w:bookmarkStart w:id="243" w:name="_Toc184308105"/>
      <w:bookmarkEnd w:id="243"/>
      <w:bookmarkStart w:id="244" w:name="_Toc184310328"/>
      <w:bookmarkEnd w:id="244"/>
      <w:bookmarkStart w:id="245" w:name="_Toc184313245"/>
      <w:bookmarkEnd w:id="245"/>
      <w:bookmarkStart w:id="246" w:name="_Toc184312134"/>
      <w:bookmarkEnd w:id="246"/>
      <w:bookmarkStart w:id="247" w:name="_Toc184313268"/>
      <w:bookmarkEnd w:id="247"/>
      <w:bookmarkStart w:id="248" w:name="_Toc184313301"/>
      <w:bookmarkEnd w:id="248"/>
      <w:bookmarkStart w:id="249" w:name="_Toc184310325"/>
      <w:bookmarkEnd w:id="249"/>
      <w:bookmarkStart w:id="250" w:name="_Toc184314449"/>
      <w:bookmarkEnd w:id="250"/>
      <w:bookmarkStart w:id="251" w:name="_Toc184313288"/>
      <w:bookmarkEnd w:id="251"/>
      <w:bookmarkStart w:id="252" w:name="_Toc184308038"/>
      <w:bookmarkEnd w:id="252"/>
      <w:bookmarkStart w:id="253" w:name="_Toc184308094"/>
      <w:bookmarkEnd w:id="253"/>
      <w:bookmarkStart w:id="254" w:name="_Toc184310277"/>
      <w:bookmarkEnd w:id="254"/>
      <w:bookmarkStart w:id="255" w:name="_Toc184313272"/>
      <w:bookmarkEnd w:id="255"/>
      <w:bookmarkStart w:id="256" w:name="_Toc184308044"/>
      <w:bookmarkEnd w:id="256"/>
      <w:bookmarkStart w:id="257" w:name="_Toc184308103"/>
      <w:bookmarkEnd w:id="257"/>
      <w:bookmarkStart w:id="258" w:name="_Toc184308081"/>
      <w:bookmarkEnd w:id="258"/>
      <w:bookmarkStart w:id="259" w:name="_Toc184312125"/>
      <w:bookmarkEnd w:id="259"/>
      <w:bookmarkStart w:id="260" w:name="_Toc184313238"/>
      <w:bookmarkEnd w:id="260"/>
      <w:bookmarkStart w:id="261" w:name="_Toc184313256"/>
      <w:bookmarkEnd w:id="261"/>
      <w:bookmarkStart w:id="262" w:name="_Toc184313248"/>
      <w:bookmarkEnd w:id="262"/>
      <w:bookmarkStart w:id="263" w:name="_Toc184312133"/>
      <w:bookmarkEnd w:id="263"/>
      <w:bookmarkStart w:id="264" w:name="_Toc184308062"/>
      <w:bookmarkEnd w:id="264"/>
      <w:bookmarkStart w:id="265" w:name="_Toc184310309"/>
      <w:bookmarkEnd w:id="265"/>
      <w:bookmarkStart w:id="266" w:name="_Toc184313239"/>
      <w:bookmarkEnd w:id="266"/>
      <w:bookmarkStart w:id="267" w:name="_Toc184314443"/>
      <w:bookmarkEnd w:id="267"/>
      <w:bookmarkStart w:id="268" w:name="_Toc184314468"/>
      <w:bookmarkEnd w:id="268"/>
      <w:bookmarkStart w:id="269" w:name="_Toc184312120"/>
      <w:bookmarkEnd w:id="269"/>
      <w:bookmarkStart w:id="270" w:name="_Toc184314436"/>
      <w:bookmarkEnd w:id="270"/>
      <w:bookmarkStart w:id="271" w:name="_Toc184312108"/>
      <w:bookmarkEnd w:id="271"/>
      <w:bookmarkStart w:id="272" w:name="_Toc184312081"/>
      <w:bookmarkEnd w:id="272"/>
      <w:bookmarkStart w:id="273" w:name="_Toc184313299"/>
      <w:bookmarkEnd w:id="273"/>
      <w:bookmarkStart w:id="274" w:name="_Toc184308064"/>
      <w:bookmarkEnd w:id="274"/>
      <w:bookmarkStart w:id="275" w:name="_Toc184313303"/>
      <w:bookmarkEnd w:id="275"/>
      <w:bookmarkStart w:id="276" w:name="_Toc184310330"/>
      <w:bookmarkEnd w:id="276"/>
      <w:bookmarkStart w:id="277" w:name="_Toc184312095"/>
      <w:bookmarkEnd w:id="277"/>
      <w:bookmarkStart w:id="278" w:name="_Toc184314431"/>
      <w:bookmarkEnd w:id="278"/>
      <w:bookmarkStart w:id="279" w:name="_Toc184313308"/>
      <w:bookmarkEnd w:id="279"/>
      <w:bookmarkStart w:id="280" w:name="_Toc184314473"/>
      <w:bookmarkEnd w:id="280"/>
      <w:bookmarkStart w:id="281" w:name="_Toc184314482"/>
      <w:bookmarkEnd w:id="281"/>
      <w:bookmarkStart w:id="282" w:name="_Toc184308057"/>
      <w:bookmarkEnd w:id="282"/>
      <w:bookmarkStart w:id="283" w:name="_Toc184308071"/>
      <w:bookmarkEnd w:id="283"/>
      <w:bookmarkStart w:id="284" w:name="_Toc184312073"/>
      <w:bookmarkEnd w:id="284"/>
      <w:bookmarkStart w:id="285" w:name="_Toc184308041"/>
      <w:bookmarkEnd w:id="285"/>
      <w:bookmarkStart w:id="286" w:name="_Toc184308048"/>
      <w:bookmarkEnd w:id="286"/>
      <w:bookmarkStart w:id="287" w:name="_Toc184310326"/>
      <w:bookmarkEnd w:id="287"/>
      <w:bookmarkStart w:id="288" w:name="_Toc184310297"/>
      <w:bookmarkEnd w:id="288"/>
      <w:bookmarkStart w:id="289" w:name="_Toc184310344"/>
      <w:bookmarkEnd w:id="289"/>
      <w:bookmarkStart w:id="290" w:name="_Toc184310322"/>
      <w:bookmarkEnd w:id="290"/>
      <w:bookmarkStart w:id="291" w:name="_Toc184312114"/>
      <w:bookmarkEnd w:id="291"/>
      <w:bookmarkStart w:id="292" w:name="_Toc184310314"/>
      <w:bookmarkEnd w:id="292"/>
      <w:bookmarkStart w:id="293" w:name="_Toc184310275"/>
      <w:bookmarkEnd w:id="293"/>
      <w:bookmarkStart w:id="294" w:name="_Toc184312128"/>
      <w:bookmarkEnd w:id="294"/>
      <w:bookmarkStart w:id="295" w:name="_Toc184310303"/>
      <w:bookmarkEnd w:id="295"/>
      <w:bookmarkStart w:id="296" w:name="_Toc184312121"/>
      <w:bookmarkEnd w:id="296"/>
      <w:bookmarkStart w:id="297" w:name="_Toc184312100"/>
      <w:bookmarkEnd w:id="297"/>
      <w:bookmarkStart w:id="298" w:name="_Toc184313307"/>
      <w:bookmarkEnd w:id="298"/>
      <w:bookmarkStart w:id="299" w:name="_Toc184310339"/>
      <w:bookmarkEnd w:id="299"/>
      <w:bookmarkStart w:id="300" w:name="_Toc184314459"/>
      <w:bookmarkEnd w:id="300"/>
      <w:bookmarkStart w:id="301" w:name="_Toc184312129"/>
      <w:bookmarkEnd w:id="301"/>
      <w:bookmarkStart w:id="302" w:name="_Toc184313304"/>
      <w:bookmarkEnd w:id="302"/>
      <w:bookmarkStart w:id="303" w:name="_Toc184310290"/>
      <w:bookmarkEnd w:id="303"/>
      <w:bookmarkStart w:id="304" w:name="_Toc184308070"/>
      <w:bookmarkEnd w:id="304"/>
      <w:bookmarkStart w:id="305" w:name="_Toc184310276"/>
      <w:bookmarkEnd w:id="305"/>
      <w:bookmarkStart w:id="306" w:name="_Toc184312069"/>
      <w:bookmarkEnd w:id="306"/>
      <w:bookmarkStart w:id="307" w:name="_Toc184310316"/>
      <w:bookmarkEnd w:id="307"/>
      <w:bookmarkStart w:id="308" w:name="_Toc184308075"/>
      <w:bookmarkEnd w:id="308"/>
      <w:bookmarkStart w:id="309" w:name="_Toc184314456"/>
      <w:bookmarkEnd w:id="309"/>
      <w:bookmarkStart w:id="310" w:name="_Toc184312139"/>
      <w:bookmarkEnd w:id="310"/>
      <w:bookmarkStart w:id="311" w:name="_Toc184310331"/>
      <w:bookmarkEnd w:id="311"/>
      <w:bookmarkStart w:id="312" w:name="_Toc184308101"/>
      <w:bookmarkEnd w:id="312"/>
      <w:bookmarkStart w:id="313" w:name="_Toc184308065"/>
      <w:bookmarkEnd w:id="313"/>
      <w:bookmarkStart w:id="314" w:name="_Toc184308055"/>
      <w:bookmarkEnd w:id="314"/>
      <w:bookmarkStart w:id="315" w:name="_Toc184310301"/>
      <w:bookmarkEnd w:id="315"/>
      <w:bookmarkStart w:id="316" w:name="_Toc184310279"/>
      <w:bookmarkEnd w:id="316"/>
      <w:bookmarkStart w:id="317" w:name="_Toc184314467"/>
      <w:bookmarkEnd w:id="317"/>
      <w:bookmarkStart w:id="318" w:name="_Toc184314412"/>
      <w:bookmarkEnd w:id="318"/>
      <w:bookmarkStart w:id="319" w:name="_Toc184314433"/>
      <w:bookmarkEnd w:id="319"/>
      <w:bookmarkStart w:id="320" w:name="_Toc184308061"/>
      <w:bookmarkEnd w:id="320"/>
      <w:bookmarkStart w:id="321" w:name="_Toc184314466"/>
      <w:bookmarkEnd w:id="321"/>
      <w:bookmarkStart w:id="322" w:name="_Toc184313253"/>
      <w:bookmarkEnd w:id="322"/>
      <w:bookmarkStart w:id="323" w:name="_Toc184314461"/>
      <w:bookmarkEnd w:id="323"/>
      <w:bookmarkStart w:id="324" w:name="_Toc184310294"/>
      <w:bookmarkEnd w:id="324"/>
      <w:bookmarkStart w:id="325" w:name="_Toc184314438"/>
      <w:bookmarkEnd w:id="325"/>
      <w:bookmarkStart w:id="326" w:name="_Toc184308058"/>
      <w:bookmarkEnd w:id="326"/>
      <w:bookmarkStart w:id="327" w:name="_Toc184314481"/>
      <w:bookmarkEnd w:id="327"/>
      <w:bookmarkStart w:id="328" w:name="_Toc184310338"/>
      <w:bookmarkEnd w:id="328"/>
      <w:bookmarkStart w:id="329" w:name="_Toc184308037"/>
      <w:bookmarkEnd w:id="329"/>
      <w:bookmarkStart w:id="330" w:name="_Toc184308086"/>
      <w:bookmarkEnd w:id="330"/>
      <w:bookmarkStart w:id="331" w:name="_Toc184310283"/>
      <w:bookmarkEnd w:id="331"/>
      <w:bookmarkStart w:id="332" w:name="_Toc184313296"/>
      <w:bookmarkEnd w:id="332"/>
      <w:bookmarkStart w:id="333" w:name="_Toc184312136"/>
      <w:bookmarkEnd w:id="333"/>
      <w:bookmarkStart w:id="334" w:name="_Toc184310315"/>
      <w:bookmarkEnd w:id="334"/>
      <w:bookmarkStart w:id="335" w:name="_Toc184314440"/>
      <w:bookmarkEnd w:id="335"/>
      <w:bookmarkStart w:id="336" w:name="_Toc184313300"/>
      <w:bookmarkEnd w:id="336"/>
      <w:bookmarkStart w:id="337" w:name="_Toc184312082"/>
      <w:bookmarkEnd w:id="337"/>
      <w:bookmarkStart w:id="338" w:name="_Toc184314428"/>
      <w:bookmarkEnd w:id="338"/>
      <w:bookmarkStart w:id="339" w:name="_Toc184310341"/>
      <w:bookmarkEnd w:id="339"/>
      <w:bookmarkStart w:id="340" w:name="_Toc184312089"/>
      <w:bookmarkEnd w:id="340"/>
      <w:bookmarkStart w:id="341" w:name="_Toc184313263"/>
      <w:bookmarkEnd w:id="341"/>
      <w:bookmarkStart w:id="342" w:name="_Toc184310336"/>
      <w:bookmarkEnd w:id="342"/>
      <w:bookmarkStart w:id="343" w:name="_Toc184314420"/>
      <w:bookmarkEnd w:id="343"/>
      <w:bookmarkStart w:id="344" w:name="_Toc184310311"/>
      <w:bookmarkEnd w:id="344"/>
      <w:bookmarkStart w:id="345" w:name="_Toc184313267"/>
      <w:bookmarkEnd w:id="345"/>
      <w:bookmarkStart w:id="346" w:name="_Toc184314434"/>
      <w:bookmarkEnd w:id="346"/>
      <w:bookmarkStart w:id="347" w:name="_Toc184308092"/>
      <w:bookmarkEnd w:id="347"/>
      <w:bookmarkStart w:id="348" w:name="_Toc184310287"/>
      <w:bookmarkEnd w:id="348"/>
      <w:bookmarkStart w:id="349" w:name="_Toc184308107"/>
      <w:bookmarkEnd w:id="349"/>
      <w:bookmarkStart w:id="350" w:name="_Toc184314432"/>
      <w:bookmarkEnd w:id="350"/>
      <w:bookmarkStart w:id="351" w:name="_Toc184312122"/>
      <w:bookmarkEnd w:id="351"/>
      <w:bookmarkStart w:id="352" w:name="_Toc184313247"/>
      <w:bookmarkEnd w:id="352"/>
      <w:bookmarkStart w:id="353" w:name="_Toc184313279"/>
      <w:bookmarkEnd w:id="353"/>
      <w:bookmarkStart w:id="354" w:name="_Toc184312084"/>
      <w:bookmarkEnd w:id="354"/>
      <w:bookmarkStart w:id="355" w:name="_Toc184308056"/>
      <w:bookmarkEnd w:id="355"/>
      <w:bookmarkStart w:id="356" w:name="_Toc184314464"/>
      <w:bookmarkEnd w:id="356"/>
      <w:bookmarkStart w:id="357" w:name="_Toc184313302"/>
      <w:bookmarkEnd w:id="357"/>
      <w:bookmarkStart w:id="358" w:name="_Toc184314419"/>
      <w:bookmarkEnd w:id="358"/>
      <w:bookmarkStart w:id="359" w:name="_Toc184308077"/>
      <w:bookmarkEnd w:id="359"/>
      <w:bookmarkStart w:id="360" w:name="_Toc184310288"/>
      <w:bookmarkEnd w:id="360"/>
      <w:bookmarkStart w:id="361" w:name="_Toc184310272"/>
      <w:bookmarkEnd w:id="361"/>
      <w:bookmarkStart w:id="362" w:name="_Toc184313290"/>
      <w:bookmarkEnd w:id="362"/>
      <w:bookmarkStart w:id="363" w:name="_Toc184308039"/>
      <w:bookmarkEnd w:id="363"/>
      <w:bookmarkStart w:id="364" w:name="_Toc184312138"/>
      <w:bookmarkEnd w:id="364"/>
      <w:bookmarkStart w:id="365" w:name="_Toc184310291"/>
      <w:bookmarkEnd w:id="365"/>
      <w:bookmarkStart w:id="366" w:name="_Toc184313273"/>
      <w:bookmarkEnd w:id="366"/>
      <w:bookmarkStart w:id="367" w:name="_Toc184313270"/>
      <w:bookmarkEnd w:id="367"/>
      <w:bookmarkStart w:id="368" w:name="_Toc184312077"/>
      <w:bookmarkEnd w:id="368"/>
      <w:bookmarkStart w:id="369" w:name="_Toc184308074"/>
      <w:bookmarkEnd w:id="369"/>
      <w:bookmarkStart w:id="370" w:name="_Toc184312104"/>
      <w:bookmarkEnd w:id="370"/>
      <w:bookmarkStart w:id="371" w:name="_Toc184314469"/>
      <w:bookmarkEnd w:id="371"/>
      <w:bookmarkStart w:id="372" w:name="_Toc184310285"/>
      <w:bookmarkEnd w:id="372"/>
      <w:bookmarkStart w:id="373" w:name="_Toc184310321"/>
      <w:bookmarkEnd w:id="373"/>
      <w:bookmarkStart w:id="374" w:name="_Toc184308080"/>
      <w:bookmarkEnd w:id="374"/>
      <w:bookmarkStart w:id="375" w:name="_Toc184314442"/>
      <w:bookmarkEnd w:id="375"/>
      <w:bookmarkStart w:id="376" w:name="_Toc184313244"/>
      <w:bookmarkEnd w:id="376"/>
      <w:bookmarkStart w:id="377" w:name="_Toc184310340"/>
      <w:bookmarkEnd w:id="377"/>
      <w:bookmarkStart w:id="378" w:name="_Toc184308069"/>
      <w:bookmarkEnd w:id="378"/>
      <w:bookmarkStart w:id="379" w:name="_Toc184312067"/>
      <w:bookmarkEnd w:id="379"/>
      <w:bookmarkStart w:id="380" w:name="_Toc184314437"/>
      <w:bookmarkEnd w:id="380"/>
      <w:bookmarkStart w:id="381" w:name="_Toc184308060"/>
      <w:bookmarkEnd w:id="381"/>
      <w:bookmarkStart w:id="382" w:name="_Toc184314454"/>
      <w:bookmarkEnd w:id="382"/>
      <w:bookmarkStart w:id="383" w:name="_Toc184310307"/>
      <w:bookmarkEnd w:id="383"/>
      <w:bookmarkStart w:id="384" w:name="_Toc184308076"/>
      <w:bookmarkEnd w:id="384"/>
      <w:bookmarkStart w:id="385" w:name="_Toc184312099"/>
      <w:bookmarkEnd w:id="385"/>
      <w:bookmarkStart w:id="386" w:name="_Toc184314421"/>
      <w:bookmarkEnd w:id="386"/>
      <w:bookmarkStart w:id="387" w:name="_Toc184313249"/>
      <w:bookmarkEnd w:id="387"/>
      <w:bookmarkStart w:id="388" w:name="_Toc184312127"/>
      <w:bookmarkEnd w:id="388"/>
      <w:bookmarkStart w:id="389" w:name="_Toc184314445"/>
      <w:bookmarkEnd w:id="389"/>
      <w:bookmarkStart w:id="390" w:name="_Toc184313251"/>
      <w:bookmarkEnd w:id="390"/>
      <w:bookmarkStart w:id="391" w:name="_Toc184312118"/>
      <w:bookmarkEnd w:id="391"/>
      <w:r>
        <w:rPr>
          <w:rFonts w:hint="eastAsia" w:ascii="仿宋" w:hAnsi="仿宋" w:eastAsia="仿宋" w:cs="仿宋"/>
          <w:b/>
          <w:color w:val="auto"/>
          <w:sz w:val="36"/>
          <w:szCs w:val="36"/>
        </w:rPr>
        <w:t>评标办法</w:t>
      </w:r>
    </w:p>
    <w:p>
      <w:pPr>
        <w:pStyle w:val="2"/>
        <w:widowControl w:val="0"/>
        <w:numPr>
          <w:ilvl w:val="0"/>
          <w:numId w:val="0"/>
        </w:numPr>
        <w:tabs>
          <w:tab w:val="left" w:pos="-945"/>
          <w:tab w:val="left" w:pos="0"/>
          <w:tab w:val="clear" w:pos="432"/>
        </w:tabs>
        <w:wordWrap/>
        <w:adjustRightInd/>
        <w:snapToGrid/>
        <w:ind w:leftChars="0"/>
        <w:jc w:val="center"/>
        <w:textAlignment w:val="auto"/>
        <w:outlineLvl w:val="1"/>
        <w:rPr>
          <w:rFonts w:hint="eastAsia" w:ascii="宋体" w:hAnsi="宋体" w:eastAsia="宋体" w:cs="宋体"/>
          <w:i w:val="0"/>
          <w:iCs w:val="0"/>
          <w:color w:val="auto"/>
          <w:sz w:val="30"/>
          <w:szCs w:val="30"/>
          <w:highlight w:val="none"/>
          <w:u w:val="none"/>
          <w:lang w:val="en-US" w:eastAsia="zh-CN"/>
        </w:rPr>
      </w:pPr>
      <w:r>
        <w:rPr>
          <w:rFonts w:hint="eastAsia" w:ascii="宋体" w:hAnsi="宋体" w:eastAsia="宋体" w:cs="宋体"/>
          <w:i w:val="0"/>
          <w:iCs w:val="0"/>
          <w:color w:val="auto"/>
          <w:sz w:val="30"/>
          <w:szCs w:val="30"/>
          <w:highlight w:val="none"/>
          <w:u w:val="none"/>
          <w:lang w:val="en-US" w:eastAsia="zh-CN"/>
        </w:rPr>
        <w:t>评标办法前附表</w:t>
      </w:r>
    </w:p>
    <w:tbl>
      <w:tblPr>
        <w:tblStyle w:val="63"/>
        <w:tblW w:w="84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6"/>
        <w:gridCol w:w="5798"/>
        <w:gridCol w:w="545"/>
        <w:gridCol w:w="1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eastAsia" w:ascii="宋体" w:hAnsi="宋体" w:eastAsia="宋体" w:cs="宋体"/>
                <w:b/>
                <w:bCs/>
                <w:i w:val="0"/>
                <w:iCs w:val="0"/>
                <w:color w:val="auto"/>
                <w:sz w:val="21"/>
                <w:szCs w:val="21"/>
                <w:lang w:val="en-US" w:eastAsia="zh-CN"/>
              </w:rPr>
            </w:pPr>
            <w:r>
              <w:rPr>
                <w:rFonts w:hint="eastAsia" w:ascii="宋体" w:hAnsi="宋体" w:eastAsia="宋体" w:cs="宋体"/>
                <w:b/>
                <w:bCs/>
                <w:i w:val="0"/>
                <w:iCs w:val="0"/>
                <w:color w:val="auto"/>
                <w:sz w:val="21"/>
                <w:szCs w:val="21"/>
                <w:lang w:val="en-US" w:eastAsia="zh-CN"/>
              </w:rPr>
              <w:t>序号</w:t>
            </w:r>
          </w:p>
        </w:tc>
        <w:tc>
          <w:tcPr>
            <w:tcW w:w="5798" w:type="dxa"/>
            <w:tcBorders>
              <w:tl2br w:val="nil"/>
              <w:tr2bl w:val="nil"/>
            </w:tcBorders>
            <w:vAlign w:val="center"/>
          </w:tcPr>
          <w:p>
            <w:pPr>
              <w:pStyle w:val="467"/>
              <w:widowControl w:val="0"/>
              <w:wordWrap/>
              <w:adjustRightInd/>
              <w:snapToGrid/>
              <w:spacing w:line="460" w:lineRule="exact"/>
              <w:jc w:val="center"/>
              <w:textAlignment w:val="auto"/>
              <w:rPr>
                <w:rFonts w:hint="eastAsia" w:ascii="宋体" w:hAnsi="宋体" w:eastAsia="宋体" w:cs="宋体"/>
                <w:b/>
                <w:bCs/>
                <w:i w:val="0"/>
                <w:iCs w:val="0"/>
                <w:color w:val="auto"/>
                <w:sz w:val="21"/>
                <w:szCs w:val="21"/>
                <w:lang w:val="en-US" w:eastAsia="zh-CN"/>
              </w:rPr>
            </w:pPr>
            <w:r>
              <w:rPr>
                <w:rFonts w:hint="eastAsia" w:ascii="宋体" w:hAnsi="宋体" w:eastAsia="宋体" w:cs="宋体"/>
                <w:b/>
                <w:bCs/>
                <w:i w:val="0"/>
                <w:iCs w:val="0"/>
                <w:color w:val="auto"/>
                <w:sz w:val="21"/>
                <w:szCs w:val="21"/>
                <w:lang w:val="en-US" w:eastAsia="zh-CN"/>
              </w:rPr>
              <w:t>评标标准</w:t>
            </w:r>
          </w:p>
        </w:tc>
        <w:tc>
          <w:tcPr>
            <w:tcW w:w="545" w:type="dxa"/>
            <w:tcBorders>
              <w:tl2br w:val="nil"/>
              <w:tr2bl w:val="nil"/>
            </w:tcBorders>
            <w:vAlign w:val="center"/>
          </w:tcPr>
          <w:p>
            <w:pPr>
              <w:pStyle w:val="467"/>
              <w:widowControl w:val="0"/>
              <w:wordWrap/>
              <w:adjustRightInd/>
              <w:snapToGrid/>
              <w:spacing w:line="460" w:lineRule="exact"/>
              <w:jc w:val="center"/>
              <w:textAlignment w:val="auto"/>
              <w:rPr>
                <w:rFonts w:hint="eastAsia" w:ascii="宋体" w:hAnsi="宋体" w:eastAsia="宋体" w:cs="宋体"/>
                <w:b/>
                <w:bCs/>
                <w:i w:val="0"/>
                <w:iCs w:val="0"/>
                <w:color w:val="auto"/>
                <w:sz w:val="21"/>
                <w:szCs w:val="21"/>
                <w:lang w:val="en-US" w:eastAsia="zh-CN"/>
              </w:rPr>
            </w:pPr>
            <w:r>
              <w:rPr>
                <w:rFonts w:hint="eastAsia" w:ascii="宋体" w:hAnsi="宋体" w:eastAsia="宋体" w:cs="宋体"/>
                <w:b/>
                <w:bCs/>
                <w:i w:val="0"/>
                <w:iCs w:val="0"/>
                <w:color w:val="auto"/>
                <w:sz w:val="21"/>
                <w:szCs w:val="21"/>
                <w:lang w:val="en-US" w:eastAsia="zh-CN"/>
              </w:rPr>
              <w:t>权重</w:t>
            </w:r>
          </w:p>
        </w:tc>
        <w:tc>
          <w:tcPr>
            <w:tcW w:w="1551" w:type="dxa"/>
            <w:tcBorders>
              <w:tl2br w:val="nil"/>
              <w:tr2bl w:val="nil"/>
            </w:tcBorders>
            <w:vAlign w:val="top"/>
          </w:tcPr>
          <w:p>
            <w:pPr>
              <w:pStyle w:val="467"/>
              <w:widowControl w:val="0"/>
              <w:wordWrap/>
              <w:adjustRightInd/>
              <w:snapToGrid/>
              <w:spacing w:line="460" w:lineRule="exact"/>
              <w:jc w:val="center"/>
              <w:textAlignment w:val="auto"/>
              <w:rPr>
                <w:rFonts w:hint="eastAsia" w:ascii="宋体" w:hAnsi="宋体" w:eastAsia="宋体" w:cs="宋体"/>
                <w:b/>
                <w:bCs/>
                <w:i w:val="0"/>
                <w:iCs w:val="0"/>
                <w:color w:val="auto"/>
                <w:sz w:val="21"/>
                <w:szCs w:val="21"/>
                <w:lang w:val="en-US" w:eastAsia="zh-CN"/>
              </w:rPr>
            </w:pPr>
            <w:r>
              <w:rPr>
                <w:rFonts w:hint="eastAsia" w:ascii="宋体" w:hAnsi="宋体" w:eastAsia="宋体" w:cs="宋体"/>
                <w:b/>
                <w:bCs/>
                <w:i w:val="0"/>
                <w:iCs w:val="0"/>
                <w:color w:val="auto"/>
                <w:sz w:val="21"/>
                <w:szCs w:val="21"/>
                <w:lang w:val="en-US" w:eastAsia="zh-CN"/>
              </w:rPr>
              <w:t>投标文件中评标标准相应的商务技术资料目录*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w:t>
            </w:r>
          </w:p>
        </w:tc>
        <w:tc>
          <w:tcPr>
            <w:tcW w:w="5798" w:type="dxa"/>
            <w:tcBorders>
              <w:tl2br w:val="nil"/>
              <w:tr2bl w:val="nil"/>
            </w:tcBorders>
            <w:vAlign w:val="center"/>
          </w:tcPr>
          <w:p>
            <w:pPr>
              <w:pStyle w:val="467"/>
              <w:widowControl w:val="0"/>
              <w:spacing w:line="460" w:lineRule="exact"/>
              <w:jc w:val="left"/>
              <w:rPr>
                <w:rFonts w:hint="eastAsia" w:ascii="宋体" w:hAnsi="宋体" w:eastAsia="宋体" w:cs="宋体"/>
                <w:b/>
                <w:bCs/>
                <w:i w:val="0"/>
                <w:iCs w:val="0"/>
                <w:color w:val="auto"/>
                <w:kern w:val="0"/>
                <w:sz w:val="21"/>
                <w:szCs w:val="21"/>
              </w:rPr>
            </w:pPr>
            <w:r>
              <w:rPr>
                <w:rFonts w:hint="eastAsia" w:ascii="宋体" w:hAnsi="宋体" w:eastAsia="宋体" w:cs="宋体"/>
                <w:b/>
                <w:bCs/>
                <w:i w:val="0"/>
                <w:iCs w:val="0"/>
                <w:color w:val="auto"/>
                <w:kern w:val="0"/>
                <w:sz w:val="21"/>
                <w:szCs w:val="21"/>
              </w:rPr>
              <w:t>【主观分】</w:t>
            </w:r>
          </w:p>
          <w:p>
            <w:pPr>
              <w:pStyle w:val="467"/>
              <w:widowControl w:val="0"/>
              <w:spacing w:line="460" w:lineRule="exact"/>
              <w:jc w:val="left"/>
              <w:rPr>
                <w:rFonts w:hint="eastAsia" w:ascii="宋体" w:hAnsi="宋体" w:eastAsia="宋体" w:cs="宋体"/>
                <w:i w:val="0"/>
                <w:iCs w:val="0"/>
                <w:color w:val="auto"/>
                <w:kern w:val="0"/>
                <w:sz w:val="21"/>
                <w:szCs w:val="21"/>
              </w:rPr>
            </w:pPr>
            <w:r>
              <w:rPr>
                <w:rFonts w:hint="eastAsia" w:ascii="宋体" w:hAnsi="宋体" w:eastAsia="宋体" w:cs="宋体"/>
                <w:i w:val="0"/>
                <w:iCs w:val="0"/>
                <w:color w:val="auto"/>
                <w:kern w:val="0"/>
                <w:sz w:val="21"/>
                <w:szCs w:val="21"/>
              </w:rPr>
              <w:t>项目理解</w:t>
            </w:r>
          </w:p>
          <w:p>
            <w:pPr>
              <w:pStyle w:val="467"/>
              <w:widowControl w:val="0"/>
              <w:spacing w:line="460" w:lineRule="exact"/>
              <w:jc w:val="left"/>
              <w:rPr>
                <w:rFonts w:hint="eastAsia" w:ascii="宋体" w:hAnsi="宋体" w:eastAsia="宋体" w:cs="宋体"/>
                <w:i w:val="0"/>
                <w:iCs w:val="0"/>
                <w:color w:val="auto"/>
                <w:kern w:val="0"/>
                <w:sz w:val="21"/>
                <w:szCs w:val="21"/>
              </w:rPr>
            </w:pPr>
            <w:r>
              <w:rPr>
                <w:rFonts w:hint="eastAsia" w:ascii="宋体" w:hAnsi="宋体" w:eastAsia="宋体" w:cs="宋体"/>
                <w:i w:val="0"/>
                <w:iCs w:val="0"/>
                <w:color w:val="auto"/>
                <w:kern w:val="0"/>
                <w:sz w:val="21"/>
                <w:szCs w:val="21"/>
              </w:rPr>
              <w:t>（1）对项目背景把握透彻；</w:t>
            </w:r>
          </w:p>
          <w:p>
            <w:pPr>
              <w:pStyle w:val="467"/>
              <w:widowControl w:val="0"/>
              <w:spacing w:line="460" w:lineRule="exact"/>
              <w:jc w:val="left"/>
              <w:rPr>
                <w:rFonts w:hint="eastAsia" w:ascii="宋体" w:hAnsi="宋体" w:eastAsia="宋体" w:cs="宋体"/>
                <w:i w:val="0"/>
                <w:iCs w:val="0"/>
                <w:color w:val="auto"/>
                <w:kern w:val="0"/>
                <w:sz w:val="21"/>
                <w:szCs w:val="21"/>
              </w:rPr>
            </w:pPr>
            <w:r>
              <w:rPr>
                <w:rFonts w:hint="eastAsia" w:ascii="宋体" w:hAnsi="宋体" w:eastAsia="宋体" w:cs="宋体"/>
                <w:i w:val="0"/>
                <w:iCs w:val="0"/>
                <w:color w:val="auto"/>
                <w:kern w:val="0"/>
                <w:sz w:val="21"/>
                <w:szCs w:val="21"/>
              </w:rPr>
              <w:t>（2）对项目的目标任务定位清晰；</w:t>
            </w:r>
          </w:p>
          <w:p>
            <w:pPr>
              <w:pStyle w:val="467"/>
              <w:widowControl w:val="0"/>
              <w:spacing w:line="460" w:lineRule="exact"/>
              <w:jc w:val="left"/>
              <w:rPr>
                <w:rFonts w:hint="eastAsia" w:ascii="宋体" w:hAnsi="宋体" w:eastAsia="宋体" w:cs="宋体"/>
                <w:i w:val="0"/>
                <w:iCs w:val="0"/>
                <w:color w:val="auto"/>
                <w:kern w:val="0"/>
                <w:sz w:val="21"/>
                <w:szCs w:val="21"/>
              </w:rPr>
            </w:pPr>
            <w:r>
              <w:rPr>
                <w:rFonts w:hint="eastAsia" w:ascii="宋体" w:hAnsi="宋体" w:eastAsia="宋体" w:cs="宋体"/>
                <w:i w:val="0"/>
                <w:iCs w:val="0"/>
                <w:color w:val="auto"/>
                <w:kern w:val="0"/>
                <w:sz w:val="21"/>
                <w:szCs w:val="21"/>
              </w:rPr>
              <w:t>（</w:t>
            </w:r>
            <w:r>
              <w:rPr>
                <w:rFonts w:hint="eastAsia" w:ascii="宋体" w:hAnsi="宋体" w:eastAsia="宋体" w:cs="宋体"/>
                <w:i w:val="0"/>
                <w:iCs w:val="0"/>
                <w:color w:val="auto"/>
                <w:kern w:val="0"/>
                <w:sz w:val="21"/>
                <w:szCs w:val="21"/>
                <w:lang w:val="en-US" w:eastAsia="zh-CN"/>
              </w:rPr>
              <w:t>3</w:t>
            </w:r>
            <w:r>
              <w:rPr>
                <w:rFonts w:hint="eastAsia" w:ascii="宋体" w:hAnsi="宋体" w:eastAsia="宋体" w:cs="宋体"/>
                <w:i w:val="0"/>
                <w:iCs w:val="0"/>
                <w:color w:val="auto"/>
                <w:kern w:val="0"/>
                <w:sz w:val="21"/>
                <w:szCs w:val="21"/>
              </w:rPr>
              <w:t>）相关基础资料掌握充分。</w:t>
            </w:r>
          </w:p>
          <w:p>
            <w:pPr>
              <w:pStyle w:val="467"/>
              <w:widowControl w:val="0"/>
              <w:spacing w:line="460" w:lineRule="exact"/>
              <w:jc w:val="left"/>
              <w:rPr>
                <w:rFonts w:hint="eastAsia" w:ascii="宋体" w:hAnsi="宋体" w:eastAsia="宋体" w:cs="宋体"/>
                <w:b/>
                <w:bCs/>
                <w:i w:val="0"/>
                <w:iCs w:val="0"/>
                <w:color w:val="auto"/>
                <w:kern w:val="0"/>
                <w:sz w:val="21"/>
                <w:szCs w:val="21"/>
                <w:lang w:val="en-US" w:eastAsia="zh-CN" w:bidi="ar-SA"/>
              </w:rPr>
            </w:pPr>
            <w:r>
              <w:rPr>
                <w:rFonts w:hint="eastAsia" w:ascii="宋体" w:hAnsi="宋体" w:eastAsia="宋体" w:cs="宋体"/>
                <w:i w:val="0"/>
                <w:iCs w:val="0"/>
                <w:color w:val="auto"/>
                <w:kern w:val="0"/>
                <w:sz w:val="21"/>
                <w:szCs w:val="21"/>
              </w:rPr>
              <w:t>以上内容每项满足得2分，部分满足得1分，不满足不得分。本项最高得</w:t>
            </w:r>
            <w:r>
              <w:rPr>
                <w:rFonts w:hint="eastAsia" w:ascii="宋体" w:hAnsi="宋体" w:eastAsia="宋体" w:cs="宋体"/>
                <w:i w:val="0"/>
                <w:iCs w:val="0"/>
                <w:color w:val="auto"/>
                <w:kern w:val="0"/>
                <w:sz w:val="21"/>
                <w:szCs w:val="21"/>
                <w:lang w:val="en-US" w:eastAsia="zh-CN"/>
              </w:rPr>
              <w:t>6</w:t>
            </w:r>
            <w:r>
              <w:rPr>
                <w:rFonts w:hint="eastAsia" w:ascii="宋体" w:hAnsi="宋体" w:eastAsia="宋体" w:cs="宋体"/>
                <w:i w:val="0"/>
                <w:iCs w:val="0"/>
                <w:color w:val="auto"/>
                <w:kern w:val="0"/>
                <w:sz w:val="21"/>
                <w:szCs w:val="21"/>
              </w:rPr>
              <w:t>分。</w:t>
            </w:r>
          </w:p>
        </w:tc>
        <w:tc>
          <w:tcPr>
            <w:tcW w:w="545" w:type="dxa"/>
            <w:tcBorders>
              <w:tl2br w:val="nil"/>
              <w:tr2bl w:val="nil"/>
            </w:tcBorders>
            <w:vAlign w:val="center"/>
          </w:tcPr>
          <w:p>
            <w:pPr>
              <w:pStyle w:val="467"/>
              <w:widowControl w:val="0"/>
              <w:spacing w:line="460" w:lineRule="exact"/>
              <w:jc w:val="center"/>
              <w:rPr>
                <w:rFonts w:hint="eastAsia" w:ascii="宋体" w:hAnsi="宋体" w:eastAsia="宋体" w:cs="宋体"/>
                <w:b/>
                <w:bCs/>
                <w:i w:val="0"/>
                <w:iCs w:val="0"/>
                <w:color w:val="auto"/>
                <w:kern w:val="0"/>
                <w:sz w:val="21"/>
                <w:szCs w:val="21"/>
                <w:lang w:val="en-US" w:eastAsia="zh-CN" w:bidi="ar-SA"/>
              </w:rPr>
            </w:pPr>
            <w:r>
              <w:rPr>
                <w:rFonts w:hint="eastAsia" w:ascii="宋体" w:hAnsi="宋体" w:eastAsia="宋体" w:cs="宋体"/>
                <w:b/>
                <w:bCs/>
                <w:i w:val="0"/>
                <w:iCs w:val="0"/>
                <w:color w:val="auto"/>
                <w:kern w:val="0"/>
                <w:sz w:val="21"/>
                <w:szCs w:val="21"/>
                <w:lang w:val="en-US" w:eastAsia="zh-CN"/>
              </w:rPr>
              <w:t>6</w:t>
            </w:r>
          </w:p>
        </w:tc>
        <w:tc>
          <w:tcPr>
            <w:tcW w:w="1551"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i w:val="0"/>
                <w:iCs w:val="0"/>
                <w:color w:val="auto"/>
                <w:kern w:val="2"/>
                <w:sz w:val="21"/>
                <w:szCs w:val="21"/>
                <w:highlight w:val="no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w:t>
            </w:r>
          </w:p>
        </w:tc>
        <w:tc>
          <w:tcPr>
            <w:tcW w:w="5798" w:type="dxa"/>
            <w:tcBorders>
              <w:tl2br w:val="nil"/>
              <w:tr2bl w:val="nil"/>
            </w:tcBorders>
            <w:vAlign w:val="center"/>
          </w:tcPr>
          <w:p>
            <w:pPr>
              <w:pStyle w:val="467"/>
              <w:widowControl w:val="0"/>
              <w:spacing w:line="460" w:lineRule="exact"/>
              <w:jc w:val="left"/>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【主观分】</w:t>
            </w:r>
          </w:p>
          <w:p>
            <w:pPr>
              <w:pStyle w:val="467"/>
              <w:widowControl w:val="0"/>
              <w:spacing w:line="460" w:lineRule="exact"/>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项目实施方案</w:t>
            </w:r>
          </w:p>
          <w:p>
            <w:pPr>
              <w:pStyle w:val="467"/>
              <w:widowControl w:val="0"/>
              <w:spacing w:line="460" w:lineRule="exact"/>
              <w:jc w:val="left"/>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rPr>
              <w:t>（1）项目方案全面可行</w:t>
            </w:r>
            <w:r>
              <w:rPr>
                <w:rFonts w:hint="eastAsia" w:ascii="宋体" w:hAnsi="宋体" w:eastAsia="宋体" w:cs="宋体"/>
                <w:i w:val="0"/>
                <w:iCs w:val="0"/>
                <w:color w:val="auto"/>
                <w:kern w:val="0"/>
                <w:sz w:val="21"/>
                <w:szCs w:val="21"/>
                <w:highlight w:val="none"/>
                <w:lang w:eastAsia="zh-CN"/>
              </w:rPr>
              <w:t>；</w:t>
            </w:r>
          </w:p>
          <w:p>
            <w:pPr>
              <w:pStyle w:val="467"/>
              <w:widowControl w:val="0"/>
              <w:spacing w:line="460" w:lineRule="exact"/>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（2）施工计划进度安排科学合理；</w:t>
            </w:r>
          </w:p>
          <w:p>
            <w:pPr>
              <w:pStyle w:val="467"/>
              <w:widowControl w:val="0"/>
              <w:spacing w:line="460" w:lineRule="exact"/>
              <w:jc w:val="left"/>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rPr>
              <w:t>（3）</w:t>
            </w:r>
            <w:r>
              <w:rPr>
                <w:rFonts w:hint="eastAsia" w:ascii="宋体" w:hAnsi="宋体" w:eastAsia="宋体" w:cs="宋体"/>
                <w:i w:val="0"/>
                <w:iCs w:val="0"/>
                <w:color w:val="auto"/>
                <w:kern w:val="0"/>
                <w:sz w:val="21"/>
                <w:szCs w:val="21"/>
                <w:highlight w:val="none"/>
                <w:lang w:val="en-US" w:eastAsia="zh-CN"/>
              </w:rPr>
              <w:t>项目组织情况及人力资源；</w:t>
            </w:r>
          </w:p>
          <w:p>
            <w:pPr>
              <w:pStyle w:val="467"/>
              <w:widowControl w:val="0"/>
              <w:spacing w:line="460" w:lineRule="exact"/>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（4）项目重难点分析全面；</w:t>
            </w:r>
          </w:p>
          <w:p>
            <w:pPr>
              <w:pStyle w:val="467"/>
              <w:widowControl w:val="0"/>
              <w:spacing w:line="460" w:lineRule="exact"/>
              <w:jc w:val="left"/>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eastAsia="zh-CN"/>
              </w:rPr>
              <w:t>（</w:t>
            </w:r>
            <w:r>
              <w:rPr>
                <w:rFonts w:hint="eastAsia" w:ascii="宋体" w:hAnsi="宋体" w:eastAsia="宋体" w:cs="宋体"/>
                <w:i w:val="0"/>
                <w:iCs w:val="0"/>
                <w:color w:val="auto"/>
                <w:kern w:val="0"/>
                <w:sz w:val="21"/>
                <w:szCs w:val="21"/>
                <w:highlight w:val="none"/>
                <w:lang w:val="en-US" w:eastAsia="zh-CN"/>
              </w:rPr>
              <w:t>5）</w:t>
            </w:r>
            <w:r>
              <w:rPr>
                <w:rFonts w:hint="eastAsia" w:ascii="宋体" w:hAnsi="宋体" w:eastAsia="宋体" w:cs="宋体"/>
                <w:i w:val="0"/>
                <w:iCs w:val="0"/>
                <w:color w:val="auto"/>
                <w:kern w:val="0"/>
                <w:sz w:val="21"/>
                <w:szCs w:val="21"/>
                <w:highlight w:val="none"/>
              </w:rPr>
              <w:t>项目重难点应对方案完善</w:t>
            </w:r>
            <w:r>
              <w:rPr>
                <w:rFonts w:hint="eastAsia" w:ascii="宋体" w:hAnsi="宋体" w:eastAsia="宋体" w:cs="宋体"/>
                <w:i w:val="0"/>
                <w:iCs w:val="0"/>
                <w:color w:val="auto"/>
                <w:kern w:val="0"/>
                <w:sz w:val="21"/>
                <w:szCs w:val="21"/>
                <w:highlight w:val="none"/>
                <w:lang w:eastAsia="zh-CN"/>
              </w:rPr>
              <w:t>；</w:t>
            </w:r>
          </w:p>
          <w:p>
            <w:pPr>
              <w:pStyle w:val="467"/>
              <w:widowControl w:val="0"/>
              <w:spacing w:line="460" w:lineRule="exact"/>
              <w:jc w:val="left"/>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（6）采用的部分技术具有自主知识产权。</w:t>
            </w:r>
          </w:p>
          <w:p>
            <w:pPr>
              <w:pStyle w:val="467"/>
              <w:widowControl w:val="0"/>
              <w:spacing w:line="460" w:lineRule="exact"/>
              <w:jc w:val="left"/>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rPr>
              <w:t>以上</w:t>
            </w:r>
            <w:r>
              <w:rPr>
                <w:rFonts w:hint="eastAsia" w:ascii="宋体" w:hAnsi="宋体" w:cs="宋体"/>
                <w:i w:val="0"/>
                <w:iCs w:val="0"/>
                <w:color w:val="auto"/>
                <w:kern w:val="0"/>
                <w:sz w:val="21"/>
                <w:szCs w:val="21"/>
                <w:highlight w:val="none"/>
                <w:lang w:val="en-US" w:eastAsia="zh-CN"/>
              </w:rPr>
              <w:t>每项</w:t>
            </w:r>
            <w:r>
              <w:rPr>
                <w:rFonts w:hint="eastAsia" w:ascii="宋体" w:hAnsi="宋体" w:eastAsia="宋体" w:cs="宋体"/>
                <w:i w:val="0"/>
                <w:iCs w:val="0"/>
                <w:color w:val="auto"/>
                <w:kern w:val="0"/>
                <w:sz w:val="21"/>
                <w:szCs w:val="21"/>
                <w:highlight w:val="none"/>
              </w:rPr>
              <w:t>内容</w:t>
            </w:r>
            <w:r>
              <w:rPr>
                <w:rFonts w:hint="eastAsia" w:ascii="宋体" w:hAnsi="宋体" w:eastAsia="宋体" w:cs="宋体"/>
                <w:i w:val="0"/>
                <w:iCs w:val="0"/>
                <w:color w:val="auto"/>
                <w:kern w:val="0"/>
                <w:sz w:val="21"/>
                <w:szCs w:val="21"/>
                <w:highlight w:val="none"/>
                <w:lang w:val="en-US" w:eastAsia="zh-CN"/>
              </w:rPr>
              <w:t>优秀</w:t>
            </w:r>
            <w:r>
              <w:rPr>
                <w:rFonts w:hint="eastAsia" w:ascii="宋体" w:hAnsi="宋体" w:eastAsia="宋体" w:cs="宋体"/>
                <w:i w:val="0"/>
                <w:iCs w:val="0"/>
                <w:color w:val="auto"/>
                <w:kern w:val="0"/>
                <w:sz w:val="21"/>
                <w:szCs w:val="21"/>
                <w:highlight w:val="none"/>
              </w:rPr>
              <w:t>得</w:t>
            </w:r>
            <w:r>
              <w:rPr>
                <w:rFonts w:hint="eastAsia" w:ascii="宋体" w:hAnsi="宋体" w:eastAsia="宋体" w:cs="宋体"/>
                <w:i w:val="0"/>
                <w:iCs w:val="0"/>
                <w:color w:val="auto"/>
                <w:kern w:val="0"/>
                <w:sz w:val="21"/>
                <w:szCs w:val="21"/>
                <w:highlight w:val="none"/>
                <w:lang w:val="en-US" w:eastAsia="zh-CN"/>
              </w:rPr>
              <w:t>5</w:t>
            </w:r>
            <w:r>
              <w:rPr>
                <w:rFonts w:hint="eastAsia" w:ascii="宋体" w:hAnsi="宋体" w:eastAsia="宋体" w:cs="宋体"/>
                <w:i w:val="0"/>
                <w:iCs w:val="0"/>
                <w:color w:val="auto"/>
                <w:kern w:val="0"/>
                <w:sz w:val="21"/>
                <w:szCs w:val="21"/>
                <w:highlight w:val="none"/>
              </w:rPr>
              <w:t>分，</w:t>
            </w:r>
            <w:r>
              <w:rPr>
                <w:rFonts w:hint="eastAsia" w:ascii="宋体" w:hAnsi="宋体" w:eastAsia="宋体" w:cs="宋体"/>
                <w:i w:val="0"/>
                <w:iCs w:val="0"/>
                <w:color w:val="auto"/>
                <w:kern w:val="0"/>
                <w:sz w:val="21"/>
                <w:szCs w:val="21"/>
                <w:highlight w:val="none"/>
                <w:lang w:val="en-US" w:eastAsia="zh-CN"/>
              </w:rPr>
              <w:t>一般</w:t>
            </w:r>
            <w:r>
              <w:rPr>
                <w:rFonts w:hint="eastAsia" w:ascii="宋体" w:hAnsi="宋体" w:eastAsia="宋体" w:cs="宋体"/>
                <w:i w:val="0"/>
                <w:iCs w:val="0"/>
                <w:color w:val="auto"/>
                <w:kern w:val="0"/>
                <w:sz w:val="21"/>
                <w:szCs w:val="21"/>
                <w:highlight w:val="none"/>
              </w:rPr>
              <w:t>得</w:t>
            </w:r>
            <w:r>
              <w:rPr>
                <w:rFonts w:hint="eastAsia" w:ascii="宋体" w:hAnsi="宋体" w:eastAsia="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rPr>
              <w:t>分，不满足不得分。本项最高得</w:t>
            </w:r>
            <w:r>
              <w:rPr>
                <w:rFonts w:hint="eastAsia" w:ascii="宋体" w:hAnsi="宋体" w:eastAsia="宋体" w:cs="宋体"/>
                <w:i w:val="0"/>
                <w:iCs w:val="0"/>
                <w:color w:val="auto"/>
                <w:kern w:val="0"/>
                <w:sz w:val="21"/>
                <w:szCs w:val="21"/>
                <w:highlight w:val="none"/>
                <w:lang w:val="en-US" w:eastAsia="zh-CN"/>
              </w:rPr>
              <w:t>30</w:t>
            </w:r>
            <w:r>
              <w:rPr>
                <w:rFonts w:hint="eastAsia" w:ascii="宋体" w:hAnsi="宋体" w:eastAsia="宋体" w:cs="宋体"/>
                <w:i w:val="0"/>
                <w:iCs w:val="0"/>
                <w:color w:val="auto"/>
                <w:kern w:val="0"/>
                <w:sz w:val="21"/>
                <w:szCs w:val="21"/>
                <w:highlight w:val="none"/>
              </w:rPr>
              <w:t>分。</w:t>
            </w:r>
          </w:p>
        </w:tc>
        <w:tc>
          <w:tcPr>
            <w:tcW w:w="545" w:type="dxa"/>
            <w:tcBorders>
              <w:tl2br w:val="nil"/>
              <w:tr2bl w:val="nil"/>
            </w:tcBorders>
            <w:vAlign w:val="center"/>
          </w:tcPr>
          <w:p>
            <w:pPr>
              <w:pStyle w:val="467"/>
              <w:widowControl w:val="0"/>
              <w:spacing w:line="460" w:lineRule="exact"/>
              <w:jc w:val="center"/>
              <w:rPr>
                <w:rFonts w:hint="default" w:ascii="宋体" w:hAnsi="宋体" w:eastAsia="宋体" w:cs="宋体"/>
                <w:b/>
                <w:bCs/>
                <w:i w:val="0"/>
                <w:iCs w:val="0"/>
                <w:color w:val="auto"/>
                <w:kern w:val="0"/>
                <w:sz w:val="21"/>
                <w:szCs w:val="21"/>
                <w:highlight w:val="none"/>
                <w:lang w:val="en-US" w:eastAsia="zh-CN" w:bidi="ar-SA"/>
              </w:rPr>
            </w:pPr>
            <w:r>
              <w:rPr>
                <w:rFonts w:hint="eastAsia" w:ascii="宋体" w:hAnsi="宋体" w:eastAsia="宋体" w:cs="宋体"/>
                <w:b/>
                <w:bCs/>
                <w:i w:val="0"/>
                <w:iCs w:val="0"/>
                <w:color w:val="auto"/>
                <w:kern w:val="0"/>
                <w:sz w:val="21"/>
                <w:szCs w:val="21"/>
                <w:highlight w:val="none"/>
                <w:lang w:val="en-US" w:eastAsia="zh-CN"/>
              </w:rPr>
              <w:t>30</w:t>
            </w:r>
          </w:p>
        </w:tc>
        <w:tc>
          <w:tcPr>
            <w:tcW w:w="1551"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i w:val="0"/>
                <w:iCs w:val="0"/>
                <w:color w:val="auto"/>
                <w:kern w:val="2"/>
                <w:sz w:val="21"/>
                <w:szCs w:val="21"/>
                <w:highlight w:val="no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w:t>
            </w:r>
          </w:p>
        </w:tc>
        <w:tc>
          <w:tcPr>
            <w:tcW w:w="5798" w:type="dxa"/>
            <w:tcBorders>
              <w:tl2br w:val="nil"/>
              <w:tr2bl w:val="nil"/>
            </w:tcBorders>
            <w:vAlign w:val="center"/>
          </w:tcPr>
          <w:p>
            <w:pPr>
              <w:pStyle w:val="467"/>
              <w:widowControl w:val="0"/>
              <w:spacing w:line="460" w:lineRule="exact"/>
              <w:jc w:val="left"/>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【主观分】</w:t>
            </w:r>
          </w:p>
          <w:p>
            <w:pPr>
              <w:pStyle w:val="467"/>
              <w:widowControl w:val="0"/>
              <w:spacing w:line="460" w:lineRule="exact"/>
              <w:jc w:val="left"/>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应急服务方案</w:t>
            </w:r>
          </w:p>
          <w:p>
            <w:pPr>
              <w:pStyle w:val="467"/>
              <w:widowControl w:val="0"/>
              <w:spacing w:line="460" w:lineRule="exact"/>
              <w:jc w:val="left"/>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eastAsia="zh-CN"/>
              </w:rPr>
              <w:t>（</w:t>
            </w:r>
            <w:r>
              <w:rPr>
                <w:rFonts w:hint="eastAsia" w:ascii="宋体" w:hAnsi="宋体" w:eastAsia="宋体" w:cs="宋体"/>
                <w:i w:val="0"/>
                <w:iCs w:val="0"/>
                <w:color w:val="auto"/>
                <w:kern w:val="0"/>
                <w:sz w:val="21"/>
                <w:szCs w:val="21"/>
                <w:highlight w:val="none"/>
                <w:lang w:val="en-US" w:eastAsia="zh-CN"/>
              </w:rPr>
              <w:t>1</w:t>
            </w:r>
            <w:r>
              <w:rPr>
                <w:rFonts w:hint="eastAsia" w:ascii="宋体" w:hAnsi="宋体" w:eastAsia="宋体" w:cs="宋体"/>
                <w:i w:val="0"/>
                <w:iCs w:val="0"/>
                <w:color w:val="auto"/>
                <w:kern w:val="0"/>
                <w:sz w:val="21"/>
                <w:szCs w:val="21"/>
                <w:highlight w:val="none"/>
                <w:lang w:eastAsia="zh-CN"/>
              </w:rPr>
              <w:t>）</w:t>
            </w:r>
            <w:r>
              <w:rPr>
                <w:rFonts w:hint="eastAsia" w:ascii="宋体" w:hAnsi="宋体" w:eastAsia="宋体" w:cs="宋体"/>
                <w:i w:val="0"/>
                <w:iCs w:val="0"/>
                <w:color w:val="auto"/>
                <w:kern w:val="0"/>
                <w:sz w:val="21"/>
                <w:szCs w:val="21"/>
                <w:highlight w:val="none"/>
              </w:rPr>
              <w:t>应急性或上级交办的白蚁防治事件处理的服务承诺及应急处理预案内容详细、明确、完整。</w:t>
            </w:r>
          </w:p>
          <w:p>
            <w:pPr>
              <w:pStyle w:val="467"/>
              <w:widowControl w:val="0"/>
              <w:spacing w:line="460" w:lineRule="exact"/>
              <w:jc w:val="left"/>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eastAsia="zh-CN"/>
              </w:rPr>
              <w:t>（</w:t>
            </w:r>
            <w:r>
              <w:rPr>
                <w:rFonts w:hint="eastAsia" w:ascii="宋体" w:hAnsi="宋体" w:eastAsia="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lang w:eastAsia="zh-CN"/>
              </w:rPr>
              <w:t>）</w:t>
            </w:r>
            <w:r>
              <w:rPr>
                <w:rFonts w:hint="eastAsia" w:ascii="宋体" w:hAnsi="宋体" w:eastAsia="宋体" w:cs="宋体"/>
                <w:i w:val="0"/>
                <w:iCs w:val="0"/>
                <w:color w:val="auto"/>
                <w:kern w:val="0"/>
                <w:sz w:val="21"/>
                <w:szCs w:val="21"/>
                <w:highlight w:val="none"/>
              </w:rPr>
              <w:t>投标人有个人防护和中毒等突发事件的应对方案，方案</w:t>
            </w:r>
            <w:r>
              <w:rPr>
                <w:rFonts w:hint="eastAsia" w:ascii="宋体" w:hAnsi="宋体" w:eastAsia="宋体" w:cs="宋体"/>
                <w:i w:val="0"/>
                <w:iCs w:val="0"/>
                <w:color w:val="auto"/>
                <w:kern w:val="0"/>
                <w:sz w:val="21"/>
                <w:szCs w:val="21"/>
                <w:highlight w:val="none"/>
                <w:lang w:val="en-US" w:eastAsia="zh-CN"/>
              </w:rPr>
              <w:t>具有</w:t>
            </w:r>
            <w:r>
              <w:rPr>
                <w:rFonts w:hint="eastAsia" w:ascii="宋体" w:hAnsi="宋体" w:eastAsia="宋体" w:cs="宋体"/>
                <w:i w:val="0"/>
                <w:iCs w:val="0"/>
                <w:color w:val="auto"/>
                <w:kern w:val="0"/>
                <w:sz w:val="21"/>
                <w:szCs w:val="21"/>
                <w:highlight w:val="none"/>
              </w:rPr>
              <w:t>合理性、科学性</w:t>
            </w:r>
            <w:r>
              <w:rPr>
                <w:rFonts w:hint="eastAsia" w:ascii="宋体" w:hAnsi="宋体" w:eastAsia="宋体" w:cs="宋体"/>
                <w:i w:val="0"/>
                <w:iCs w:val="0"/>
                <w:color w:val="auto"/>
                <w:kern w:val="0"/>
                <w:sz w:val="21"/>
                <w:szCs w:val="21"/>
                <w:highlight w:val="none"/>
                <w:lang w:eastAsia="zh-CN"/>
              </w:rPr>
              <w:t>。</w:t>
            </w:r>
          </w:p>
          <w:p>
            <w:pPr>
              <w:pStyle w:val="467"/>
              <w:widowControl w:val="0"/>
              <w:spacing w:line="460" w:lineRule="exact"/>
              <w:jc w:val="left"/>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rPr>
              <w:t>以上内容每项满足得2分，部分满足得1分，不满足不得分。本项最高得</w:t>
            </w:r>
            <w:r>
              <w:rPr>
                <w:rFonts w:hint="eastAsia" w:ascii="宋体" w:hAnsi="宋体" w:eastAsia="宋体" w:cs="宋体"/>
                <w:i w:val="0"/>
                <w:iCs w:val="0"/>
                <w:color w:val="auto"/>
                <w:kern w:val="0"/>
                <w:sz w:val="21"/>
                <w:szCs w:val="21"/>
                <w:highlight w:val="none"/>
                <w:lang w:val="en-US" w:eastAsia="zh-CN"/>
              </w:rPr>
              <w:t>4</w:t>
            </w:r>
            <w:r>
              <w:rPr>
                <w:rFonts w:hint="eastAsia" w:ascii="宋体" w:hAnsi="宋体" w:eastAsia="宋体" w:cs="宋体"/>
                <w:i w:val="0"/>
                <w:iCs w:val="0"/>
                <w:color w:val="auto"/>
                <w:kern w:val="0"/>
                <w:sz w:val="21"/>
                <w:szCs w:val="21"/>
                <w:highlight w:val="none"/>
              </w:rPr>
              <w:t>分。</w:t>
            </w:r>
          </w:p>
        </w:tc>
        <w:tc>
          <w:tcPr>
            <w:tcW w:w="545" w:type="dxa"/>
            <w:tcBorders>
              <w:tl2br w:val="nil"/>
              <w:tr2bl w:val="nil"/>
            </w:tcBorders>
            <w:vAlign w:val="center"/>
          </w:tcPr>
          <w:p>
            <w:pPr>
              <w:pStyle w:val="467"/>
              <w:widowControl w:val="0"/>
              <w:spacing w:line="460" w:lineRule="exact"/>
              <w:jc w:val="center"/>
              <w:rPr>
                <w:rFonts w:hint="eastAsia" w:ascii="宋体" w:hAnsi="宋体" w:eastAsia="宋体" w:cs="宋体"/>
                <w:b/>
                <w:bCs/>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4</w:t>
            </w:r>
          </w:p>
        </w:tc>
        <w:tc>
          <w:tcPr>
            <w:tcW w:w="1551"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i w:val="0"/>
                <w:iCs w:val="0"/>
                <w:color w:val="auto"/>
                <w:kern w:val="2"/>
                <w:sz w:val="21"/>
                <w:szCs w:val="21"/>
                <w:highlight w:val="no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4</w:t>
            </w:r>
          </w:p>
        </w:tc>
        <w:tc>
          <w:tcPr>
            <w:tcW w:w="5798" w:type="dxa"/>
            <w:tcBorders>
              <w:tl2br w:val="nil"/>
              <w:tr2bl w:val="nil"/>
            </w:tcBorders>
            <w:vAlign w:val="center"/>
          </w:tcPr>
          <w:p>
            <w:pPr>
              <w:pStyle w:val="467"/>
              <w:widowControl w:val="0"/>
              <w:spacing w:line="460" w:lineRule="exact"/>
              <w:jc w:val="left"/>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【主观分】</w:t>
            </w:r>
          </w:p>
          <w:p>
            <w:pPr>
              <w:pStyle w:val="467"/>
              <w:widowControl w:val="0"/>
              <w:spacing w:line="460" w:lineRule="exact"/>
              <w:jc w:val="left"/>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合理化建议</w:t>
            </w:r>
          </w:p>
          <w:p>
            <w:pPr>
              <w:pStyle w:val="467"/>
              <w:widowControl w:val="0"/>
              <w:spacing w:line="460" w:lineRule="exact"/>
              <w:jc w:val="left"/>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rPr>
              <w:t>投标人对本项目提出的合理化建议，建议</w:t>
            </w:r>
            <w:r>
              <w:rPr>
                <w:rFonts w:hint="eastAsia" w:ascii="宋体" w:hAnsi="宋体" w:eastAsia="宋体" w:cs="宋体"/>
                <w:i w:val="0"/>
                <w:iCs w:val="0"/>
                <w:color w:val="auto"/>
                <w:kern w:val="0"/>
                <w:sz w:val="21"/>
                <w:szCs w:val="21"/>
                <w:highlight w:val="none"/>
                <w:lang w:val="en-US" w:eastAsia="zh-CN"/>
              </w:rPr>
              <w:t>内容完整有效，具有</w:t>
            </w:r>
            <w:r>
              <w:rPr>
                <w:rFonts w:hint="eastAsia" w:ascii="宋体" w:hAnsi="宋体" w:eastAsia="宋体" w:cs="宋体"/>
                <w:i w:val="0"/>
                <w:iCs w:val="0"/>
                <w:color w:val="auto"/>
                <w:kern w:val="0"/>
                <w:sz w:val="21"/>
                <w:szCs w:val="21"/>
                <w:highlight w:val="none"/>
              </w:rPr>
              <w:t>可行性及合理性</w:t>
            </w:r>
            <w:r>
              <w:rPr>
                <w:rFonts w:hint="eastAsia" w:ascii="宋体" w:hAnsi="宋体" w:eastAsia="宋体" w:cs="宋体"/>
                <w:i w:val="0"/>
                <w:iCs w:val="0"/>
                <w:color w:val="auto"/>
                <w:kern w:val="0"/>
                <w:sz w:val="21"/>
                <w:szCs w:val="21"/>
                <w:highlight w:val="none"/>
                <w:lang w:val="en-US" w:eastAsia="zh-CN"/>
              </w:rPr>
              <w:t>的得4分；方案基本完整科学，具有可行性的得2分；方案不完善的得1分；不合理或者不完善的不得分。</w:t>
            </w:r>
          </w:p>
        </w:tc>
        <w:tc>
          <w:tcPr>
            <w:tcW w:w="545" w:type="dxa"/>
            <w:tcBorders>
              <w:tl2br w:val="nil"/>
              <w:tr2bl w:val="nil"/>
            </w:tcBorders>
            <w:vAlign w:val="center"/>
          </w:tcPr>
          <w:p>
            <w:pPr>
              <w:pStyle w:val="467"/>
              <w:widowControl w:val="0"/>
              <w:spacing w:line="460" w:lineRule="exact"/>
              <w:jc w:val="center"/>
              <w:rPr>
                <w:rFonts w:hint="eastAsia" w:ascii="宋体" w:hAnsi="宋体" w:eastAsia="宋体" w:cs="宋体"/>
                <w:b/>
                <w:bCs/>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4</w:t>
            </w:r>
          </w:p>
        </w:tc>
        <w:tc>
          <w:tcPr>
            <w:tcW w:w="1551"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i w:val="0"/>
                <w:iCs w:val="0"/>
                <w:color w:val="auto"/>
                <w:kern w:val="2"/>
                <w:sz w:val="21"/>
                <w:szCs w:val="21"/>
                <w:highlight w:val="no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5</w:t>
            </w:r>
          </w:p>
        </w:tc>
        <w:tc>
          <w:tcPr>
            <w:tcW w:w="5798" w:type="dxa"/>
            <w:tcBorders>
              <w:tl2br w:val="nil"/>
              <w:tr2bl w:val="nil"/>
            </w:tcBorders>
            <w:vAlign w:val="center"/>
          </w:tcPr>
          <w:p>
            <w:pPr>
              <w:pStyle w:val="467"/>
              <w:widowControl w:val="0"/>
              <w:spacing w:line="460" w:lineRule="exact"/>
              <w:jc w:val="left"/>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【客观分】</w:t>
            </w:r>
          </w:p>
          <w:p>
            <w:pPr>
              <w:pStyle w:val="467"/>
              <w:widowControl w:val="0"/>
              <w:spacing w:line="460" w:lineRule="exact"/>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使用监控装置的性能指标响应情况</w:t>
            </w:r>
          </w:p>
          <w:p>
            <w:pPr>
              <w:pStyle w:val="467"/>
              <w:widowControl w:val="0"/>
              <w:spacing w:line="460" w:lineRule="exact"/>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（1）投标产品在全国白蚁防治中心推荐产品目录《关于公布202</w:t>
            </w:r>
            <w:r>
              <w:rPr>
                <w:rFonts w:hint="eastAsia" w:ascii="宋体" w:hAnsi="宋体" w:eastAsia="宋体" w:cs="宋体"/>
                <w:i w:val="0"/>
                <w:iCs w:val="0"/>
                <w:color w:val="auto"/>
                <w:kern w:val="0"/>
                <w:sz w:val="21"/>
                <w:szCs w:val="21"/>
                <w:highlight w:val="none"/>
                <w:lang w:val="en-US" w:eastAsia="zh-CN"/>
              </w:rPr>
              <w:t>3</w:t>
            </w:r>
            <w:r>
              <w:rPr>
                <w:rFonts w:hint="eastAsia" w:ascii="宋体" w:hAnsi="宋体" w:eastAsia="宋体" w:cs="宋体"/>
                <w:i w:val="0"/>
                <w:iCs w:val="0"/>
                <w:color w:val="auto"/>
                <w:kern w:val="0"/>
                <w:sz w:val="21"/>
                <w:szCs w:val="21"/>
                <w:highlight w:val="none"/>
              </w:rPr>
              <w:t>年度白蚁防治用品信息调研结果的通知》（全蚁﹝202</w:t>
            </w:r>
            <w:r>
              <w:rPr>
                <w:rFonts w:hint="eastAsia" w:ascii="宋体" w:hAnsi="宋体" w:eastAsia="宋体" w:cs="宋体"/>
                <w:i w:val="0"/>
                <w:iCs w:val="0"/>
                <w:color w:val="auto"/>
                <w:kern w:val="0"/>
                <w:sz w:val="21"/>
                <w:szCs w:val="21"/>
                <w:highlight w:val="none"/>
                <w:lang w:val="en-US" w:eastAsia="zh-CN"/>
              </w:rPr>
              <w:t>3</w:t>
            </w:r>
            <w:r>
              <w:rPr>
                <w:rFonts w:hint="eastAsia" w:ascii="宋体" w:hAnsi="宋体" w:eastAsia="宋体" w:cs="宋体"/>
                <w:i w:val="0"/>
                <w:iCs w:val="0"/>
                <w:color w:val="auto"/>
                <w:kern w:val="0"/>
                <w:sz w:val="21"/>
                <w:szCs w:val="21"/>
                <w:highlight w:val="none"/>
              </w:rPr>
              <w:t>﹞3</w:t>
            </w:r>
            <w:r>
              <w:rPr>
                <w:rFonts w:hint="eastAsia" w:ascii="宋体" w:hAnsi="宋体" w:eastAsia="宋体" w:cs="宋体"/>
                <w:i w:val="0"/>
                <w:iCs w:val="0"/>
                <w:color w:val="auto"/>
                <w:kern w:val="0"/>
                <w:sz w:val="21"/>
                <w:szCs w:val="21"/>
                <w:highlight w:val="none"/>
                <w:lang w:val="en-US" w:eastAsia="zh-CN"/>
              </w:rPr>
              <w:t>4</w:t>
            </w:r>
            <w:r>
              <w:rPr>
                <w:rFonts w:hint="eastAsia" w:ascii="宋体" w:hAnsi="宋体" w:eastAsia="宋体" w:cs="宋体"/>
                <w:i w:val="0"/>
                <w:iCs w:val="0"/>
                <w:color w:val="auto"/>
                <w:kern w:val="0"/>
                <w:sz w:val="21"/>
                <w:szCs w:val="21"/>
                <w:highlight w:val="none"/>
              </w:rPr>
              <w:t>号）里的，得4分；</w:t>
            </w:r>
          </w:p>
          <w:p>
            <w:pPr>
              <w:pStyle w:val="467"/>
              <w:widowControl w:val="0"/>
              <w:spacing w:line="460" w:lineRule="exact"/>
              <w:jc w:val="left"/>
              <w:rPr>
                <w:rFonts w:hint="eastAsia" w:ascii="宋体" w:hAnsi="宋体" w:eastAsia="宋体" w:cs="宋体"/>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证明材料：提供全国白蚁防治中心推荐产品目录截图，否则不予认可。</w:t>
            </w:r>
          </w:p>
          <w:p>
            <w:pPr>
              <w:pStyle w:val="467"/>
              <w:widowControl w:val="0"/>
              <w:spacing w:line="460" w:lineRule="exact"/>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w:t>
            </w:r>
            <w:r>
              <w:rPr>
                <w:rFonts w:hint="eastAsia" w:ascii="宋体" w:hAnsi="宋体" w:eastAsia="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rPr>
              <w:t>）外壳尺寸满足需求得2分，偏差±10%</w:t>
            </w:r>
            <w:r>
              <w:rPr>
                <w:rFonts w:hint="eastAsia" w:ascii="宋体" w:hAnsi="宋体" w:eastAsia="宋体" w:cs="宋体"/>
                <w:i w:val="0"/>
                <w:iCs w:val="0"/>
                <w:color w:val="auto"/>
                <w:kern w:val="0"/>
                <w:sz w:val="21"/>
                <w:szCs w:val="21"/>
                <w:highlight w:val="none"/>
                <w:lang w:val="en-US" w:eastAsia="zh-CN"/>
              </w:rPr>
              <w:t>及</w:t>
            </w:r>
            <w:r>
              <w:rPr>
                <w:rFonts w:hint="eastAsia" w:ascii="宋体" w:hAnsi="宋体" w:eastAsia="宋体" w:cs="宋体"/>
                <w:i w:val="0"/>
                <w:iCs w:val="0"/>
                <w:color w:val="auto"/>
                <w:kern w:val="0"/>
                <w:sz w:val="21"/>
                <w:szCs w:val="21"/>
                <w:highlight w:val="none"/>
              </w:rPr>
              <w:t>以内，得1分，偏差±10%以上，不得分；</w:t>
            </w:r>
          </w:p>
          <w:p>
            <w:pPr>
              <w:pStyle w:val="467"/>
              <w:widowControl w:val="0"/>
              <w:spacing w:line="460" w:lineRule="exact"/>
              <w:jc w:val="left"/>
              <w:rPr>
                <w:rFonts w:hint="eastAsia" w:ascii="宋体" w:hAnsi="宋体" w:eastAsia="宋体" w:cs="宋体"/>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证明材料：提供产品彩页或说明书等扫描件，否则不予认可。</w:t>
            </w:r>
          </w:p>
          <w:p>
            <w:pPr>
              <w:pStyle w:val="467"/>
              <w:widowControl w:val="0"/>
              <w:spacing w:line="460" w:lineRule="exact"/>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eastAsia="zh-CN"/>
              </w:rPr>
              <w:t>（</w:t>
            </w:r>
            <w:r>
              <w:rPr>
                <w:rFonts w:hint="eastAsia" w:ascii="宋体" w:hAnsi="宋体" w:eastAsia="宋体" w:cs="宋体"/>
                <w:i w:val="0"/>
                <w:iCs w:val="0"/>
                <w:color w:val="auto"/>
                <w:kern w:val="0"/>
                <w:sz w:val="21"/>
                <w:szCs w:val="21"/>
                <w:highlight w:val="none"/>
                <w:lang w:val="en-US" w:eastAsia="zh-CN"/>
              </w:rPr>
              <w:t>3）</w:t>
            </w:r>
            <w:r>
              <w:rPr>
                <w:rFonts w:hint="eastAsia" w:ascii="宋体" w:hAnsi="宋体" w:eastAsia="宋体" w:cs="宋体"/>
                <w:i w:val="0"/>
                <w:iCs w:val="0"/>
                <w:color w:val="auto"/>
                <w:kern w:val="0"/>
                <w:sz w:val="21"/>
                <w:szCs w:val="21"/>
                <w:highlight w:val="none"/>
              </w:rPr>
              <w:t>提供在木材、土壤上登记白蚁的正规防控药剂，“三证”齐全，包含水剂、粉剂和饵剂，完整的得</w:t>
            </w:r>
            <w:r>
              <w:rPr>
                <w:rFonts w:hint="eastAsia" w:ascii="宋体" w:hAnsi="宋体" w:eastAsia="宋体" w:cs="宋体"/>
                <w:i w:val="0"/>
                <w:iCs w:val="0"/>
                <w:color w:val="auto"/>
                <w:kern w:val="0"/>
                <w:sz w:val="21"/>
                <w:szCs w:val="21"/>
                <w:highlight w:val="none"/>
                <w:lang w:val="en-US" w:eastAsia="zh-CN"/>
              </w:rPr>
              <w:t>6</w:t>
            </w:r>
            <w:r>
              <w:rPr>
                <w:rFonts w:hint="eastAsia" w:ascii="宋体" w:hAnsi="宋体" w:eastAsia="宋体" w:cs="宋体"/>
                <w:i w:val="0"/>
                <w:iCs w:val="0"/>
                <w:color w:val="auto"/>
                <w:kern w:val="0"/>
                <w:sz w:val="21"/>
                <w:szCs w:val="21"/>
                <w:highlight w:val="none"/>
              </w:rPr>
              <w:t>分，有缺项的不得分。</w:t>
            </w:r>
          </w:p>
          <w:p>
            <w:pPr>
              <w:pStyle w:val="467"/>
              <w:widowControl w:val="0"/>
              <w:numPr>
                <w:ilvl w:val="0"/>
                <w:numId w:val="0"/>
              </w:numPr>
              <w:spacing w:line="460" w:lineRule="exact"/>
              <w:jc w:val="left"/>
              <w:rPr>
                <w:rFonts w:hint="default" w:ascii="宋体" w:hAnsi="宋体" w:cs="宋体"/>
                <w:color w:val="auto"/>
                <w:kern w:val="0"/>
                <w:sz w:val="24"/>
                <w:szCs w:val="24"/>
                <w:highlight w:val="none"/>
                <w:lang w:val="en-US" w:eastAsia="zh-CN"/>
              </w:rPr>
            </w:pPr>
            <w:r>
              <w:rPr>
                <w:rFonts w:hint="eastAsia" w:ascii="宋体" w:hAnsi="宋体" w:eastAsia="宋体" w:cs="宋体"/>
                <w:b/>
                <w:bCs/>
                <w:i w:val="0"/>
                <w:iCs w:val="0"/>
                <w:color w:val="auto"/>
                <w:kern w:val="0"/>
                <w:sz w:val="21"/>
                <w:szCs w:val="21"/>
                <w:highlight w:val="none"/>
                <w:lang w:val="en-US" w:eastAsia="zh-CN"/>
              </w:rPr>
              <w:t>证明材料:提供产品相关证书，否则不予认可。</w:t>
            </w:r>
          </w:p>
        </w:tc>
        <w:tc>
          <w:tcPr>
            <w:tcW w:w="545" w:type="dxa"/>
            <w:tcBorders>
              <w:tl2br w:val="nil"/>
              <w:tr2bl w:val="nil"/>
            </w:tcBorders>
            <w:vAlign w:val="center"/>
          </w:tcPr>
          <w:p>
            <w:pPr>
              <w:pStyle w:val="467"/>
              <w:widowControl w:val="0"/>
              <w:spacing w:line="460" w:lineRule="exact"/>
              <w:jc w:val="center"/>
              <w:rPr>
                <w:rFonts w:hint="eastAsia" w:ascii="宋体" w:hAnsi="宋体" w:eastAsia="宋体" w:cs="宋体"/>
                <w:b/>
                <w:bCs/>
                <w:i w:val="0"/>
                <w:iCs w:val="0"/>
                <w:color w:val="auto"/>
                <w:kern w:val="0"/>
                <w:sz w:val="21"/>
                <w:szCs w:val="21"/>
                <w:highlight w:val="none"/>
                <w:lang w:val="en-US" w:eastAsia="zh-CN" w:bidi="ar-SA"/>
              </w:rPr>
            </w:pPr>
            <w:r>
              <w:rPr>
                <w:rFonts w:hint="eastAsia" w:ascii="宋体" w:hAnsi="宋体" w:eastAsia="宋体" w:cs="宋体"/>
                <w:b/>
                <w:bCs/>
                <w:i w:val="0"/>
                <w:iCs w:val="0"/>
                <w:color w:val="auto"/>
                <w:kern w:val="0"/>
                <w:sz w:val="21"/>
                <w:szCs w:val="21"/>
                <w:highlight w:val="none"/>
                <w:lang w:val="en-US"/>
              </w:rPr>
              <w:t>12</w:t>
            </w:r>
          </w:p>
        </w:tc>
        <w:tc>
          <w:tcPr>
            <w:tcW w:w="1551"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i w:val="0"/>
                <w:iCs w:val="0"/>
                <w:color w:val="auto"/>
                <w:kern w:val="2"/>
                <w:sz w:val="21"/>
                <w:szCs w:val="21"/>
                <w:highlight w:val="no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6</w:t>
            </w:r>
          </w:p>
        </w:tc>
        <w:tc>
          <w:tcPr>
            <w:tcW w:w="5798" w:type="dxa"/>
            <w:tcBorders>
              <w:tl2br w:val="nil"/>
              <w:tr2bl w:val="nil"/>
            </w:tcBorders>
            <w:vAlign w:val="center"/>
          </w:tcPr>
          <w:p>
            <w:pPr>
              <w:pStyle w:val="467"/>
              <w:widowControl w:val="0"/>
              <w:spacing w:line="460" w:lineRule="exact"/>
              <w:jc w:val="left"/>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【客观分】</w:t>
            </w:r>
          </w:p>
          <w:p>
            <w:pPr>
              <w:pStyle w:val="467"/>
              <w:widowControl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项目设施配备情况</w:t>
            </w:r>
          </w:p>
          <w:p>
            <w:pPr>
              <w:pStyle w:val="467"/>
              <w:widowControl w:val="0"/>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拟</w:t>
            </w:r>
            <w:r>
              <w:rPr>
                <w:rFonts w:hint="eastAsia" w:ascii="宋体" w:hAnsi="宋体" w:eastAsia="宋体" w:cs="宋体"/>
                <w:i w:val="0"/>
                <w:iCs w:val="0"/>
                <w:color w:val="auto"/>
                <w:kern w:val="0"/>
                <w:sz w:val="21"/>
                <w:szCs w:val="21"/>
                <w:highlight w:val="none"/>
                <w:lang w:eastAsia="zh-CN"/>
              </w:rPr>
              <w:t>投入本项目的核载0.4</w:t>
            </w:r>
            <w:r>
              <w:rPr>
                <w:rFonts w:hint="eastAsia" w:ascii="宋体" w:hAnsi="宋体" w:eastAsia="宋体" w:cs="宋体"/>
                <w:i w:val="0"/>
                <w:iCs w:val="0"/>
                <w:color w:val="auto"/>
                <w:kern w:val="0"/>
                <w:sz w:val="21"/>
                <w:szCs w:val="21"/>
                <w:highlight w:val="none"/>
                <w:lang w:val="en-US" w:eastAsia="zh-CN"/>
              </w:rPr>
              <w:t>5</w:t>
            </w:r>
            <w:r>
              <w:rPr>
                <w:rFonts w:hint="eastAsia" w:ascii="宋体" w:hAnsi="宋体" w:eastAsia="宋体" w:cs="宋体"/>
                <w:i w:val="0"/>
                <w:iCs w:val="0"/>
                <w:color w:val="auto"/>
                <w:kern w:val="0"/>
                <w:sz w:val="21"/>
                <w:szCs w:val="21"/>
                <w:highlight w:val="none"/>
                <w:lang w:eastAsia="zh-CN"/>
              </w:rPr>
              <w:t>吨以上专用汽车</w:t>
            </w:r>
            <w:r>
              <w:rPr>
                <w:rFonts w:hint="eastAsia" w:ascii="宋体" w:hAnsi="宋体" w:eastAsia="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lang w:eastAsia="zh-CN"/>
              </w:rPr>
              <w:t>辆得1分，每增加符合要求的专用汽车1辆加1分，最高</w:t>
            </w:r>
            <w:r>
              <w:rPr>
                <w:rFonts w:hint="eastAsia" w:ascii="宋体" w:hAnsi="宋体" w:eastAsia="宋体" w:cs="宋体"/>
                <w:i w:val="0"/>
                <w:iCs w:val="0"/>
                <w:color w:val="auto"/>
                <w:kern w:val="0"/>
                <w:sz w:val="21"/>
                <w:szCs w:val="21"/>
                <w:highlight w:val="none"/>
                <w:lang w:val="en-US" w:eastAsia="zh-CN"/>
              </w:rPr>
              <w:t>得5</w:t>
            </w:r>
            <w:r>
              <w:rPr>
                <w:rFonts w:hint="eastAsia" w:ascii="宋体" w:hAnsi="宋体" w:eastAsia="宋体" w:cs="宋体"/>
                <w:i w:val="0"/>
                <w:iCs w:val="0"/>
                <w:color w:val="auto"/>
                <w:kern w:val="0"/>
                <w:sz w:val="21"/>
                <w:szCs w:val="21"/>
                <w:highlight w:val="none"/>
                <w:lang w:eastAsia="zh-CN"/>
              </w:rPr>
              <w:t>分。（行驶证车辆所有人必须是投标单位名称，非投标人自有的不得分；需提供专用汽车行驶证复印件并加盖单位公章，不提供不得分。）</w:t>
            </w:r>
          </w:p>
          <w:p>
            <w:pPr>
              <w:pStyle w:val="467"/>
              <w:widowControl w:val="0"/>
              <w:spacing w:line="460" w:lineRule="exact"/>
              <w:rPr>
                <w:rFonts w:hint="eastAsia" w:ascii="宋体" w:hAnsi="宋体" w:eastAsia="宋体" w:cs="宋体"/>
                <w:b/>
                <w:bCs/>
                <w:i w:val="0"/>
                <w:iCs w:val="0"/>
                <w:color w:val="auto"/>
                <w:kern w:val="0"/>
                <w:sz w:val="21"/>
                <w:szCs w:val="21"/>
                <w:highlight w:val="none"/>
                <w:lang w:val="zh-TW" w:eastAsia="zh-CN" w:bidi="ar-SA"/>
              </w:rPr>
            </w:pPr>
            <w:r>
              <w:rPr>
                <w:rFonts w:hint="eastAsia" w:ascii="宋体" w:hAnsi="宋体" w:eastAsia="宋体" w:cs="宋体"/>
                <w:b/>
                <w:bCs/>
                <w:i w:val="0"/>
                <w:iCs w:val="0"/>
                <w:color w:val="auto"/>
                <w:kern w:val="0"/>
                <w:sz w:val="21"/>
                <w:szCs w:val="21"/>
                <w:highlight w:val="none"/>
              </w:rPr>
              <w:t>证明材料：</w:t>
            </w:r>
            <w:r>
              <w:rPr>
                <w:rFonts w:hint="eastAsia" w:ascii="宋体" w:hAnsi="宋体" w:eastAsia="宋体" w:cs="宋体"/>
                <w:b/>
                <w:i w:val="0"/>
                <w:iCs w:val="0"/>
                <w:color w:val="auto"/>
                <w:kern w:val="0"/>
                <w:sz w:val="21"/>
                <w:szCs w:val="21"/>
                <w:highlight w:val="none"/>
              </w:rPr>
              <w:t>提供</w:t>
            </w:r>
            <w:r>
              <w:rPr>
                <w:rFonts w:hint="eastAsia" w:ascii="宋体" w:hAnsi="宋体" w:eastAsia="宋体" w:cs="宋体"/>
                <w:b/>
                <w:bCs/>
                <w:i w:val="0"/>
                <w:iCs w:val="0"/>
                <w:color w:val="auto"/>
                <w:kern w:val="0"/>
                <w:sz w:val="21"/>
                <w:szCs w:val="21"/>
                <w:highlight w:val="none"/>
              </w:rPr>
              <w:t>车辆购置</w:t>
            </w:r>
            <w:r>
              <w:rPr>
                <w:rFonts w:hint="eastAsia" w:ascii="宋体" w:hAnsi="宋体" w:eastAsia="宋体" w:cs="宋体"/>
                <w:b/>
                <w:bCs/>
                <w:i w:val="0"/>
                <w:iCs w:val="0"/>
                <w:color w:val="auto"/>
                <w:kern w:val="0"/>
                <w:sz w:val="21"/>
                <w:szCs w:val="21"/>
                <w:highlight w:val="none"/>
                <w:lang w:val="zh-TW"/>
              </w:rPr>
              <w:t>发票</w:t>
            </w:r>
            <w:r>
              <w:rPr>
                <w:rFonts w:hint="eastAsia" w:ascii="宋体" w:hAnsi="宋体" w:eastAsia="宋体" w:cs="宋体"/>
                <w:b/>
                <w:bCs/>
                <w:i w:val="0"/>
                <w:iCs w:val="0"/>
                <w:color w:val="auto"/>
                <w:kern w:val="0"/>
                <w:sz w:val="21"/>
                <w:szCs w:val="21"/>
                <w:highlight w:val="none"/>
                <w:lang w:val="en-US" w:eastAsia="zh-CN"/>
              </w:rPr>
              <w:t>和车辆登记证书</w:t>
            </w:r>
            <w:r>
              <w:rPr>
                <w:rFonts w:hint="eastAsia" w:ascii="宋体" w:hAnsi="宋体" w:eastAsia="宋体" w:cs="宋体"/>
                <w:b/>
                <w:bCs/>
                <w:i w:val="0"/>
                <w:iCs w:val="0"/>
                <w:color w:val="auto"/>
                <w:kern w:val="0"/>
                <w:sz w:val="21"/>
                <w:szCs w:val="21"/>
                <w:highlight w:val="none"/>
              </w:rPr>
              <w:t>等扫描件，否则不予认可。</w:t>
            </w:r>
          </w:p>
        </w:tc>
        <w:tc>
          <w:tcPr>
            <w:tcW w:w="545" w:type="dxa"/>
            <w:tcBorders>
              <w:tl2br w:val="nil"/>
              <w:tr2bl w:val="nil"/>
            </w:tcBorders>
            <w:vAlign w:val="center"/>
          </w:tcPr>
          <w:p>
            <w:pPr>
              <w:pStyle w:val="467"/>
              <w:widowControl w:val="0"/>
              <w:spacing w:line="460" w:lineRule="exact"/>
              <w:jc w:val="center"/>
              <w:rPr>
                <w:rFonts w:hint="eastAsia" w:ascii="宋体" w:hAnsi="宋体" w:eastAsia="宋体" w:cs="宋体"/>
                <w:b/>
                <w:bCs/>
                <w:i w:val="0"/>
                <w:iCs w:val="0"/>
                <w:color w:val="auto"/>
                <w:kern w:val="0"/>
                <w:sz w:val="21"/>
                <w:szCs w:val="21"/>
                <w:highlight w:val="none"/>
                <w:lang w:val="en-US" w:eastAsia="zh-CN" w:bidi="ar-SA"/>
              </w:rPr>
            </w:pPr>
            <w:r>
              <w:rPr>
                <w:rFonts w:hint="eastAsia" w:ascii="宋体" w:hAnsi="宋体" w:eastAsia="宋体" w:cs="宋体"/>
                <w:b/>
                <w:bCs/>
                <w:i w:val="0"/>
                <w:iCs w:val="0"/>
                <w:color w:val="auto"/>
                <w:kern w:val="0"/>
                <w:sz w:val="21"/>
                <w:szCs w:val="21"/>
                <w:highlight w:val="none"/>
                <w:lang w:val="en-US" w:eastAsia="zh-CN"/>
              </w:rPr>
              <w:t>5</w:t>
            </w:r>
          </w:p>
        </w:tc>
        <w:tc>
          <w:tcPr>
            <w:tcW w:w="1551"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i w:val="0"/>
                <w:iCs w:val="0"/>
                <w:color w:val="auto"/>
                <w:kern w:val="2"/>
                <w:sz w:val="21"/>
                <w:szCs w:val="21"/>
                <w:highlight w:val="no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kern w:val="2"/>
                <w:sz w:val="21"/>
                <w:szCs w:val="21"/>
                <w:highlight w:val="none"/>
                <w:lang w:val="en-US" w:eastAsia="zh-CN" w:bidi="ar-SA"/>
              </w:rPr>
              <w:t>7</w:t>
            </w:r>
          </w:p>
        </w:tc>
        <w:tc>
          <w:tcPr>
            <w:tcW w:w="5798" w:type="dxa"/>
            <w:tcBorders>
              <w:tl2br w:val="nil"/>
              <w:tr2bl w:val="nil"/>
            </w:tcBorders>
            <w:vAlign w:val="center"/>
          </w:tcPr>
          <w:p>
            <w:pPr>
              <w:pStyle w:val="467"/>
              <w:widowControl w:val="0"/>
              <w:spacing w:line="460" w:lineRule="exact"/>
              <w:jc w:val="left"/>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【客观分】</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投标人资质</w:t>
            </w:r>
          </w:p>
          <w:p>
            <w:pPr>
              <w:pStyle w:val="26"/>
              <w:spacing w:line="460" w:lineRule="exact"/>
              <w:ind w:left="0" w:leftChars="0" w:firstLine="0" w:firstLineChars="0"/>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具有有效的ISO9001质量管理体系认证、ISO14001环境管理体系认证、ISO45001职业健康安全管理体系认证的，每具有一个得</w:t>
            </w:r>
            <w:r>
              <w:rPr>
                <w:rFonts w:hint="eastAsia" w:eastAsia="宋体" w:cs="宋体"/>
                <w:i w:val="0"/>
                <w:iCs w:val="0"/>
                <w:color w:val="auto"/>
                <w:kern w:val="0"/>
                <w:sz w:val="21"/>
                <w:szCs w:val="21"/>
                <w:highlight w:val="none"/>
                <w:lang w:val="en-US" w:eastAsia="zh-CN"/>
              </w:rPr>
              <w:t>1</w:t>
            </w:r>
            <w:r>
              <w:rPr>
                <w:rFonts w:hint="eastAsia" w:ascii="宋体" w:hAnsi="宋体" w:eastAsia="宋体" w:cs="宋体"/>
                <w:i w:val="0"/>
                <w:iCs w:val="0"/>
                <w:color w:val="auto"/>
                <w:kern w:val="0"/>
                <w:sz w:val="21"/>
                <w:szCs w:val="21"/>
                <w:highlight w:val="none"/>
              </w:rPr>
              <w:t>分，最高得</w:t>
            </w:r>
            <w:r>
              <w:rPr>
                <w:rFonts w:hint="eastAsia" w:eastAsia="宋体" w:cs="宋体"/>
                <w:i w:val="0"/>
                <w:iCs w:val="0"/>
                <w:color w:val="auto"/>
                <w:kern w:val="0"/>
                <w:sz w:val="21"/>
                <w:szCs w:val="21"/>
                <w:highlight w:val="none"/>
                <w:lang w:val="en-US" w:eastAsia="zh-CN"/>
              </w:rPr>
              <w:t>3</w:t>
            </w:r>
            <w:r>
              <w:rPr>
                <w:rFonts w:hint="eastAsia" w:ascii="宋体" w:hAnsi="宋体" w:eastAsia="宋体" w:cs="宋体"/>
                <w:i w:val="0"/>
                <w:iCs w:val="0"/>
                <w:color w:val="auto"/>
                <w:kern w:val="0"/>
                <w:sz w:val="21"/>
                <w:szCs w:val="21"/>
                <w:highlight w:val="none"/>
              </w:rPr>
              <w:t>分。</w:t>
            </w:r>
          </w:p>
          <w:p>
            <w:pPr>
              <w:pStyle w:val="26"/>
              <w:spacing w:line="460" w:lineRule="exact"/>
              <w:ind w:left="0" w:leftChars="0" w:firstLine="0" w:firstLineChars="0"/>
              <w:rPr>
                <w:rFonts w:hint="eastAsia" w:ascii="宋体" w:hAnsi="宋体" w:eastAsia="宋体" w:cs="宋体"/>
                <w:i w:val="0"/>
                <w:iCs w:val="0"/>
                <w:color w:val="auto"/>
                <w:kern w:val="0"/>
                <w:sz w:val="21"/>
                <w:szCs w:val="21"/>
                <w:highlight w:val="none"/>
                <w:lang w:val="zh-TW" w:eastAsia="zh-CN" w:bidi="ar-SA"/>
              </w:rPr>
            </w:pPr>
            <w:r>
              <w:rPr>
                <w:rFonts w:hint="eastAsia" w:ascii="宋体" w:hAnsi="宋体" w:eastAsia="宋体" w:cs="宋体"/>
                <w:b/>
                <w:i w:val="0"/>
                <w:iCs w:val="0"/>
                <w:color w:val="auto"/>
                <w:kern w:val="0"/>
                <w:sz w:val="21"/>
                <w:szCs w:val="21"/>
                <w:highlight w:val="none"/>
              </w:rPr>
              <w:t>证明材料：提供</w:t>
            </w:r>
            <w:r>
              <w:rPr>
                <w:rFonts w:hint="eastAsia" w:ascii="宋体" w:hAnsi="宋体" w:eastAsia="宋体" w:cs="宋体"/>
                <w:b/>
                <w:bCs/>
                <w:i w:val="0"/>
                <w:iCs w:val="0"/>
                <w:color w:val="auto"/>
                <w:kern w:val="0"/>
                <w:sz w:val="21"/>
                <w:szCs w:val="21"/>
                <w:highlight w:val="none"/>
              </w:rPr>
              <w:t>相关证书扫描件，否则不予认可。</w:t>
            </w:r>
          </w:p>
        </w:tc>
        <w:tc>
          <w:tcPr>
            <w:tcW w:w="545" w:type="dxa"/>
            <w:tcBorders>
              <w:tl2br w:val="nil"/>
              <w:tr2bl w:val="nil"/>
            </w:tcBorders>
            <w:vAlign w:val="center"/>
          </w:tcPr>
          <w:p>
            <w:pPr>
              <w:pStyle w:val="467"/>
              <w:widowControl w:val="0"/>
              <w:spacing w:line="460" w:lineRule="exact"/>
              <w:jc w:val="center"/>
              <w:rPr>
                <w:rFonts w:hint="eastAsia" w:ascii="宋体" w:hAnsi="宋体" w:eastAsia="宋体" w:cs="宋体"/>
                <w:b/>
                <w:bCs/>
                <w:i w:val="0"/>
                <w:iCs w:val="0"/>
                <w:color w:val="auto"/>
                <w:kern w:val="0"/>
                <w:sz w:val="21"/>
                <w:szCs w:val="21"/>
                <w:highlight w:val="none"/>
                <w:lang w:val="en-US" w:eastAsia="zh-CN" w:bidi="ar-SA"/>
              </w:rPr>
            </w:pPr>
            <w:r>
              <w:rPr>
                <w:rFonts w:hint="eastAsia" w:ascii="宋体" w:hAnsi="宋体" w:eastAsia="宋体" w:cs="宋体"/>
                <w:b/>
                <w:bCs/>
                <w:i w:val="0"/>
                <w:iCs w:val="0"/>
                <w:color w:val="auto"/>
                <w:kern w:val="0"/>
                <w:sz w:val="21"/>
                <w:szCs w:val="21"/>
                <w:highlight w:val="none"/>
                <w:lang w:val="en-US" w:eastAsia="zh-CN"/>
              </w:rPr>
              <w:t>3</w:t>
            </w:r>
          </w:p>
        </w:tc>
        <w:tc>
          <w:tcPr>
            <w:tcW w:w="1551"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i w:val="0"/>
                <w:iCs w:val="0"/>
                <w:color w:val="auto"/>
                <w:kern w:val="2"/>
                <w:sz w:val="21"/>
                <w:szCs w:val="21"/>
                <w:highlight w:val="no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kern w:val="2"/>
                <w:sz w:val="21"/>
                <w:szCs w:val="21"/>
                <w:highlight w:val="none"/>
                <w:lang w:val="en-US" w:eastAsia="zh-CN" w:bidi="ar-SA"/>
              </w:rPr>
              <w:t>8</w:t>
            </w:r>
          </w:p>
        </w:tc>
        <w:tc>
          <w:tcPr>
            <w:tcW w:w="5798" w:type="dxa"/>
            <w:tcBorders>
              <w:tl2br w:val="nil"/>
              <w:tr2bl w:val="nil"/>
            </w:tcBorders>
            <w:vAlign w:val="center"/>
          </w:tcPr>
          <w:p>
            <w:pPr>
              <w:pStyle w:val="467"/>
              <w:widowControl w:val="0"/>
              <w:spacing w:line="460" w:lineRule="exact"/>
              <w:jc w:val="left"/>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【主观分】</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内部管理制度情况</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（1）具有健全的施工安全管理制度；</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（2）具有健全的工程质量管理制度；</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（3）具有健全的突发应急管理措施；</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（4）具有健全的档案管理制度；</w:t>
            </w:r>
          </w:p>
          <w:p>
            <w:pPr>
              <w:pStyle w:val="26"/>
              <w:spacing w:line="460" w:lineRule="exact"/>
              <w:ind w:left="0" w:leftChars="0" w:firstLine="0" w:firstLineChars="0"/>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（5）具有健全的仓储及药物管理制度。</w:t>
            </w:r>
          </w:p>
          <w:p>
            <w:pPr>
              <w:pStyle w:val="26"/>
              <w:spacing w:line="460" w:lineRule="exact"/>
              <w:ind w:left="0" w:leftChars="0" w:firstLine="0" w:firstLineChars="0"/>
              <w:rPr>
                <w:rFonts w:hint="eastAsia" w:ascii="宋体" w:hAnsi="宋体" w:eastAsia="宋体" w:cs="宋体"/>
                <w:i w:val="0"/>
                <w:iCs w:val="0"/>
                <w:color w:val="auto"/>
                <w:kern w:val="0"/>
                <w:sz w:val="21"/>
                <w:szCs w:val="21"/>
                <w:highlight w:val="none"/>
                <w:lang w:val="zh-TW" w:eastAsia="zh-CN" w:bidi="ar-SA"/>
              </w:rPr>
            </w:pPr>
            <w:r>
              <w:rPr>
                <w:rFonts w:hint="eastAsia" w:ascii="宋体" w:hAnsi="宋体" w:eastAsia="宋体" w:cs="宋体"/>
                <w:i w:val="0"/>
                <w:iCs w:val="0"/>
                <w:color w:val="auto"/>
                <w:kern w:val="0"/>
                <w:sz w:val="21"/>
                <w:szCs w:val="21"/>
                <w:highlight w:val="none"/>
              </w:rPr>
              <w:t>以上内容每项满足得2分，部分满足得1分，不满足不得分。本项最高得10分。</w:t>
            </w:r>
          </w:p>
        </w:tc>
        <w:tc>
          <w:tcPr>
            <w:tcW w:w="545" w:type="dxa"/>
            <w:tcBorders>
              <w:tl2br w:val="nil"/>
              <w:tr2bl w:val="nil"/>
            </w:tcBorders>
            <w:vAlign w:val="center"/>
          </w:tcPr>
          <w:p>
            <w:pPr>
              <w:pStyle w:val="467"/>
              <w:widowControl w:val="0"/>
              <w:spacing w:line="460" w:lineRule="exact"/>
              <w:jc w:val="center"/>
              <w:rPr>
                <w:rFonts w:hint="eastAsia" w:ascii="宋体" w:hAnsi="宋体" w:eastAsia="宋体" w:cs="宋体"/>
                <w:b/>
                <w:bCs/>
                <w:i w:val="0"/>
                <w:iCs w:val="0"/>
                <w:color w:val="auto"/>
                <w:kern w:val="0"/>
                <w:sz w:val="21"/>
                <w:szCs w:val="21"/>
                <w:highlight w:val="none"/>
                <w:lang w:val="zh-TW" w:eastAsia="zh-CN" w:bidi="ar-SA"/>
              </w:rPr>
            </w:pPr>
            <w:r>
              <w:rPr>
                <w:rFonts w:hint="eastAsia" w:ascii="宋体" w:hAnsi="宋体" w:eastAsia="宋体" w:cs="宋体"/>
                <w:b/>
                <w:bCs/>
                <w:i w:val="0"/>
                <w:iCs w:val="0"/>
                <w:color w:val="auto"/>
                <w:kern w:val="0"/>
                <w:sz w:val="21"/>
                <w:szCs w:val="21"/>
                <w:highlight w:val="none"/>
              </w:rPr>
              <w:t>10</w:t>
            </w:r>
          </w:p>
        </w:tc>
        <w:tc>
          <w:tcPr>
            <w:tcW w:w="1551"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i w:val="0"/>
                <w:iCs w:val="0"/>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3" w:hRule="atLeast"/>
        </w:trPr>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default" w:ascii="宋体" w:hAnsi="宋体" w:eastAsia="宋体" w:cs="宋体"/>
                <w:i w:val="0"/>
                <w:iCs w:val="0"/>
                <w:color w:val="auto"/>
                <w:kern w:val="2"/>
                <w:sz w:val="21"/>
                <w:szCs w:val="21"/>
                <w:highlight w:val="yellow"/>
                <w:lang w:val="en-US" w:eastAsia="zh-CN" w:bidi="ar-SA"/>
              </w:rPr>
            </w:pPr>
            <w:r>
              <w:rPr>
                <w:rFonts w:hint="eastAsia" w:ascii="宋体" w:hAnsi="宋体" w:cs="宋体"/>
                <w:i w:val="0"/>
                <w:iCs w:val="0"/>
                <w:color w:val="auto"/>
                <w:kern w:val="2"/>
                <w:sz w:val="21"/>
                <w:szCs w:val="21"/>
                <w:highlight w:val="none"/>
                <w:lang w:val="en-US" w:eastAsia="zh-CN" w:bidi="ar-SA"/>
              </w:rPr>
              <w:t>9</w:t>
            </w:r>
          </w:p>
        </w:tc>
        <w:tc>
          <w:tcPr>
            <w:tcW w:w="5798" w:type="dxa"/>
            <w:tcBorders>
              <w:tl2br w:val="nil"/>
              <w:tr2bl w:val="nil"/>
            </w:tcBorders>
            <w:vAlign w:val="center"/>
          </w:tcPr>
          <w:p>
            <w:pPr>
              <w:pStyle w:val="467"/>
              <w:widowControl w:val="0"/>
              <w:spacing w:line="460" w:lineRule="exact"/>
              <w:jc w:val="left"/>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【客观分】</w:t>
            </w:r>
          </w:p>
          <w:p>
            <w:pPr>
              <w:pStyle w:val="467"/>
              <w:widowControl w:val="0"/>
              <w:spacing w:line="460" w:lineRule="exact"/>
              <w:rPr>
                <w:rFonts w:hint="eastAsia" w:ascii="宋体" w:hAnsi="宋体" w:eastAsia="宋体" w:cs="宋体"/>
                <w:i w:val="0"/>
                <w:iCs w:val="0"/>
                <w:color w:val="auto"/>
                <w:kern w:val="0"/>
                <w:sz w:val="21"/>
                <w:szCs w:val="21"/>
                <w:highlight w:val="none"/>
                <w:lang w:val="zh-TW"/>
              </w:rPr>
            </w:pPr>
            <w:r>
              <w:rPr>
                <w:rFonts w:hint="eastAsia" w:ascii="宋体" w:hAnsi="宋体" w:eastAsia="宋体" w:cs="宋体"/>
                <w:i w:val="0"/>
                <w:iCs w:val="0"/>
                <w:color w:val="auto"/>
                <w:kern w:val="0"/>
                <w:sz w:val="21"/>
                <w:szCs w:val="21"/>
                <w:highlight w:val="none"/>
                <w:lang w:val="zh-TW"/>
              </w:rPr>
              <w:t>项目组人员情况</w:t>
            </w:r>
          </w:p>
          <w:p>
            <w:pPr>
              <w:numPr>
                <w:ilvl w:val="0"/>
                <w:numId w:val="0"/>
              </w:numP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rPr>
              <w:t>（1）项目负责人有白蚁相关专业技能职业资格证书且具有中级职称的得</w:t>
            </w:r>
            <w:r>
              <w:rPr>
                <w:rFonts w:hint="eastAsia" w:ascii="宋体" w:hAnsi="宋体" w:eastAsia="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rPr>
              <w:t>分</w:t>
            </w:r>
            <w:r>
              <w:rPr>
                <w:rFonts w:hint="eastAsia" w:ascii="宋体" w:hAnsi="宋体" w:eastAsia="宋体" w:cs="宋体"/>
                <w:i w:val="0"/>
                <w:iCs w:val="0"/>
                <w:color w:val="auto"/>
                <w:kern w:val="0"/>
                <w:sz w:val="21"/>
                <w:szCs w:val="21"/>
                <w:highlight w:val="none"/>
                <w:lang w:eastAsia="zh-CN"/>
              </w:rPr>
              <w:t>，</w:t>
            </w:r>
            <w:r>
              <w:rPr>
                <w:rFonts w:hint="eastAsia" w:ascii="宋体" w:hAnsi="宋体" w:eastAsia="宋体" w:cs="宋体"/>
                <w:i w:val="0"/>
                <w:iCs w:val="0"/>
                <w:color w:val="auto"/>
                <w:kern w:val="0"/>
                <w:sz w:val="21"/>
                <w:szCs w:val="21"/>
                <w:highlight w:val="none"/>
                <w:lang w:val="en-US" w:eastAsia="zh-CN"/>
              </w:rPr>
              <w:t>项目负责人</w:t>
            </w:r>
            <w:r>
              <w:rPr>
                <w:rFonts w:hint="eastAsia" w:ascii="宋体" w:hAnsi="宋体" w:eastAsia="宋体" w:cs="宋体"/>
                <w:i w:val="0"/>
                <w:iCs w:val="0"/>
                <w:color w:val="auto"/>
                <w:kern w:val="0"/>
                <w:sz w:val="21"/>
                <w:szCs w:val="21"/>
                <w:highlight w:val="none"/>
              </w:rPr>
              <w:t>具有初级白蚁防治专业技术职称或职业资格证书或白蚁防治职业培训合格证书的得1分</w:t>
            </w:r>
            <w:r>
              <w:rPr>
                <w:rFonts w:hint="eastAsia" w:ascii="宋体" w:hAnsi="宋体" w:eastAsia="宋体" w:cs="宋体"/>
                <w:i w:val="0"/>
                <w:iCs w:val="0"/>
                <w:color w:val="auto"/>
                <w:kern w:val="0"/>
                <w:sz w:val="21"/>
                <w:szCs w:val="21"/>
                <w:highlight w:val="none"/>
                <w:lang w:eastAsia="zh-CN"/>
              </w:rPr>
              <w:t>。</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证明材料：提供证明扫描件，否则不得分。</w:t>
            </w:r>
          </w:p>
          <w:p>
            <w:pP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rPr>
              <w:t>（2）项目负责人参与省级及以上行业标准或定额制定并发布的，1项得</w:t>
            </w:r>
            <w:r>
              <w:rPr>
                <w:rFonts w:hint="eastAsia" w:ascii="宋体" w:hAnsi="宋体" w:eastAsia="宋体" w:cs="宋体"/>
                <w:i w:val="0"/>
                <w:iCs w:val="0"/>
                <w:color w:val="auto"/>
                <w:kern w:val="0"/>
                <w:sz w:val="21"/>
                <w:szCs w:val="21"/>
                <w:highlight w:val="none"/>
                <w:lang w:val="en-US" w:eastAsia="zh-CN"/>
              </w:rPr>
              <w:t>1</w:t>
            </w:r>
            <w:r>
              <w:rPr>
                <w:rFonts w:hint="eastAsia" w:ascii="宋体" w:hAnsi="宋体" w:eastAsia="宋体" w:cs="宋体"/>
                <w:i w:val="0"/>
                <w:iCs w:val="0"/>
                <w:color w:val="auto"/>
                <w:kern w:val="0"/>
                <w:sz w:val="21"/>
                <w:szCs w:val="21"/>
                <w:highlight w:val="none"/>
              </w:rPr>
              <w:t>分，最高</w:t>
            </w:r>
            <w:r>
              <w:rPr>
                <w:rFonts w:hint="eastAsia" w:ascii="宋体" w:hAnsi="宋体" w:eastAsia="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rPr>
              <w:t>分；</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证明材料：提供相关证书扫描件，否则不得分。</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（3）</w:t>
            </w:r>
            <w:r>
              <w:rPr>
                <w:rFonts w:hint="eastAsia" w:ascii="宋体" w:hAnsi="宋体" w:eastAsia="宋体" w:cs="宋体"/>
                <w:i w:val="0"/>
                <w:iCs w:val="0"/>
                <w:color w:val="auto"/>
                <w:kern w:val="0"/>
                <w:sz w:val="21"/>
                <w:szCs w:val="21"/>
                <w:highlight w:val="none"/>
                <w:lang w:val="en-US" w:eastAsia="zh-CN"/>
              </w:rPr>
              <w:t>项目组成员</w:t>
            </w:r>
            <w:r>
              <w:rPr>
                <w:rFonts w:hint="eastAsia" w:ascii="宋体" w:hAnsi="宋体" w:eastAsia="宋体" w:cs="宋体"/>
                <w:i w:val="0"/>
                <w:iCs w:val="0"/>
                <w:color w:val="auto"/>
                <w:kern w:val="0"/>
                <w:sz w:val="21"/>
                <w:szCs w:val="21"/>
                <w:highlight w:val="none"/>
              </w:rPr>
              <w:t>持有白蚁相关专业技能职业资格证书或技能培训与考核鉴定合格证书施工技术人员（不包含项目负责人）在</w:t>
            </w:r>
            <w:r>
              <w:rPr>
                <w:rFonts w:hint="eastAsia" w:ascii="宋体" w:hAnsi="宋体" w:eastAsia="宋体" w:cs="宋体"/>
                <w:i w:val="0"/>
                <w:iCs w:val="0"/>
                <w:color w:val="auto"/>
                <w:kern w:val="0"/>
                <w:sz w:val="21"/>
                <w:szCs w:val="21"/>
                <w:highlight w:val="none"/>
                <w:lang w:val="en-US" w:eastAsia="zh-CN"/>
              </w:rPr>
              <w:t>5</w:t>
            </w:r>
            <w:r>
              <w:rPr>
                <w:rFonts w:hint="eastAsia" w:ascii="宋体" w:hAnsi="宋体" w:eastAsia="宋体" w:cs="宋体"/>
                <w:i w:val="0"/>
                <w:iCs w:val="0"/>
                <w:color w:val="auto"/>
                <w:kern w:val="0"/>
                <w:sz w:val="21"/>
                <w:szCs w:val="21"/>
                <w:highlight w:val="none"/>
              </w:rPr>
              <w:t>人的基础上每增加一人加1分，最高得</w:t>
            </w:r>
            <w:r>
              <w:rPr>
                <w:rFonts w:hint="eastAsia" w:ascii="宋体" w:hAnsi="宋体" w:eastAsia="宋体" w:cs="宋体"/>
                <w:i w:val="0"/>
                <w:iCs w:val="0"/>
                <w:color w:val="auto"/>
                <w:kern w:val="0"/>
                <w:sz w:val="21"/>
                <w:szCs w:val="21"/>
                <w:highlight w:val="none"/>
                <w:lang w:val="en-US" w:eastAsia="zh-CN"/>
              </w:rPr>
              <w:t>7</w:t>
            </w:r>
            <w:r>
              <w:rPr>
                <w:rFonts w:hint="eastAsia" w:ascii="宋体" w:hAnsi="宋体" w:eastAsia="宋体" w:cs="宋体"/>
                <w:i w:val="0"/>
                <w:iCs w:val="0"/>
                <w:color w:val="auto"/>
                <w:kern w:val="0"/>
                <w:sz w:val="21"/>
                <w:szCs w:val="21"/>
                <w:highlight w:val="none"/>
              </w:rPr>
              <w:t>分。</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证明材料：提供相关证书扫描件，否则不得分。</w:t>
            </w:r>
          </w:p>
          <w:p>
            <w:pPr>
              <w:pStyle w:val="467"/>
              <w:widowControl w:val="0"/>
              <w:spacing w:line="460" w:lineRule="exact"/>
              <w:rPr>
                <w:rFonts w:hint="eastAsia" w:ascii="宋体" w:hAnsi="宋体" w:eastAsia="宋体" w:cs="宋体"/>
                <w:b/>
                <w:bCs/>
                <w:i w:val="0"/>
                <w:iCs w:val="0"/>
                <w:color w:val="auto"/>
                <w:kern w:val="0"/>
                <w:sz w:val="21"/>
                <w:szCs w:val="21"/>
                <w:highlight w:val="none"/>
                <w:lang w:val="zh-TW" w:eastAsia="zh-CN" w:bidi="ar-SA"/>
              </w:rPr>
            </w:pPr>
            <w:r>
              <w:rPr>
                <w:rFonts w:hint="eastAsia" w:ascii="宋体" w:hAnsi="宋体" w:eastAsia="宋体" w:cs="宋体"/>
                <w:b/>
                <w:i w:val="0"/>
                <w:iCs w:val="0"/>
                <w:color w:val="auto"/>
                <w:kern w:val="0"/>
                <w:sz w:val="21"/>
                <w:szCs w:val="21"/>
                <w:highlight w:val="none"/>
              </w:rPr>
              <w:t>注：项目所有人员均须提供近</w:t>
            </w:r>
            <w:r>
              <w:rPr>
                <w:rFonts w:hint="eastAsia" w:ascii="宋体" w:hAnsi="宋体" w:eastAsia="宋体" w:cs="宋体"/>
                <w:b/>
                <w:i w:val="0"/>
                <w:iCs w:val="0"/>
                <w:color w:val="auto"/>
                <w:kern w:val="0"/>
                <w:sz w:val="21"/>
                <w:szCs w:val="21"/>
                <w:highlight w:val="none"/>
                <w:lang w:val="en-US" w:eastAsia="zh-CN"/>
              </w:rPr>
              <w:t>3</w:t>
            </w:r>
            <w:r>
              <w:rPr>
                <w:rFonts w:hint="eastAsia" w:ascii="宋体" w:hAnsi="宋体" w:eastAsia="宋体" w:cs="宋体"/>
                <w:b/>
                <w:i w:val="0"/>
                <w:iCs w:val="0"/>
                <w:color w:val="auto"/>
                <w:kern w:val="0"/>
                <w:sz w:val="21"/>
                <w:szCs w:val="21"/>
                <w:highlight w:val="none"/>
              </w:rPr>
              <w:t>个月的社保证明</w:t>
            </w:r>
            <w:r>
              <w:rPr>
                <w:rFonts w:hint="eastAsia" w:ascii="宋体" w:hAnsi="宋体" w:eastAsia="宋体" w:cs="宋体"/>
                <w:b/>
                <w:i w:val="0"/>
                <w:iCs w:val="0"/>
                <w:color w:val="auto"/>
                <w:kern w:val="0"/>
                <w:sz w:val="21"/>
                <w:szCs w:val="21"/>
                <w:highlight w:val="none"/>
                <w:lang w:eastAsia="zh-CN"/>
              </w:rPr>
              <w:t>，</w:t>
            </w:r>
            <w:r>
              <w:rPr>
                <w:rFonts w:hint="eastAsia" w:ascii="宋体" w:hAnsi="宋体" w:eastAsia="宋体" w:cs="宋体"/>
                <w:b/>
                <w:i w:val="0"/>
                <w:iCs w:val="0"/>
                <w:color w:val="auto"/>
                <w:kern w:val="0"/>
                <w:sz w:val="21"/>
                <w:szCs w:val="21"/>
                <w:highlight w:val="none"/>
                <w:lang w:val="en-US" w:eastAsia="zh-CN"/>
              </w:rPr>
              <w:t>证明项目组人员在投标截止前至少3个月在投标单位缴纳社保，投标当月不计算在3个月内</w:t>
            </w:r>
            <w:r>
              <w:rPr>
                <w:rFonts w:hint="eastAsia" w:ascii="宋体" w:hAnsi="宋体" w:eastAsia="宋体" w:cs="宋体"/>
                <w:b/>
                <w:i w:val="0"/>
                <w:iCs w:val="0"/>
                <w:color w:val="auto"/>
                <w:kern w:val="0"/>
                <w:sz w:val="21"/>
                <w:szCs w:val="21"/>
                <w:highlight w:val="none"/>
              </w:rPr>
              <w:t>。</w:t>
            </w:r>
          </w:p>
        </w:tc>
        <w:tc>
          <w:tcPr>
            <w:tcW w:w="545" w:type="dxa"/>
            <w:tcBorders>
              <w:tl2br w:val="nil"/>
              <w:tr2bl w:val="nil"/>
            </w:tcBorders>
            <w:vAlign w:val="center"/>
          </w:tcPr>
          <w:p>
            <w:pPr>
              <w:pStyle w:val="467"/>
              <w:widowControl w:val="0"/>
              <w:spacing w:line="460" w:lineRule="exact"/>
              <w:jc w:val="center"/>
              <w:rPr>
                <w:rFonts w:hint="default" w:ascii="宋体" w:hAnsi="宋体" w:eastAsia="宋体" w:cs="宋体"/>
                <w:b/>
                <w:bCs/>
                <w:i w:val="0"/>
                <w:iCs w:val="0"/>
                <w:color w:val="auto"/>
                <w:kern w:val="0"/>
                <w:sz w:val="21"/>
                <w:szCs w:val="21"/>
                <w:highlight w:val="none"/>
                <w:lang w:val="en-US" w:eastAsia="zh-CN" w:bidi="ar-SA"/>
              </w:rPr>
            </w:pPr>
            <w:r>
              <w:rPr>
                <w:rFonts w:hint="eastAsia" w:ascii="宋体" w:hAnsi="宋体" w:eastAsia="宋体" w:cs="宋体"/>
                <w:b/>
                <w:bCs/>
                <w:i w:val="0"/>
                <w:iCs w:val="0"/>
                <w:color w:val="auto"/>
                <w:kern w:val="0"/>
                <w:sz w:val="21"/>
                <w:szCs w:val="21"/>
                <w:highlight w:val="none"/>
                <w:lang w:val="en-US" w:eastAsia="zh-CN"/>
              </w:rPr>
              <w:t>11</w:t>
            </w:r>
          </w:p>
        </w:tc>
        <w:tc>
          <w:tcPr>
            <w:tcW w:w="1551"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i w:val="0"/>
                <w:iCs w:val="0"/>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w:t>
            </w:r>
            <w:r>
              <w:rPr>
                <w:rFonts w:hint="eastAsia" w:ascii="宋体" w:hAnsi="宋体" w:cs="宋体"/>
                <w:i w:val="0"/>
                <w:iCs w:val="0"/>
                <w:color w:val="auto"/>
                <w:kern w:val="2"/>
                <w:sz w:val="21"/>
                <w:szCs w:val="21"/>
                <w:highlight w:val="none"/>
                <w:lang w:val="en-US" w:eastAsia="zh-CN" w:bidi="ar-SA"/>
              </w:rPr>
              <w:t>0</w:t>
            </w:r>
          </w:p>
        </w:tc>
        <w:tc>
          <w:tcPr>
            <w:tcW w:w="5798" w:type="dxa"/>
            <w:tcBorders>
              <w:tl2br w:val="nil"/>
              <w:tr2bl w:val="nil"/>
            </w:tcBorders>
            <w:vAlign w:val="center"/>
          </w:tcPr>
          <w:p>
            <w:pPr>
              <w:pStyle w:val="467"/>
              <w:widowControl w:val="0"/>
              <w:spacing w:line="460" w:lineRule="exact"/>
              <w:jc w:val="left"/>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【客观分】</w:t>
            </w:r>
          </w:p>
          <w:p>
            <w:pPr>
              <w:pStyle w:val="467"/>
              <w:widowControl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服务承诺</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1.本项目范围中房屋建筑内部出现的白蚁危害，应在72小时内做出响应服务。承诺在48小时内做出响应服务的，得1分；承诺在24小时内做出响应服务的，得2分；</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2.承诺积极配合参与白蚁防治主管部门开展白蚁防治知识科普宣传的，得1分；</w:t>
            </w:r>
          </w:p>
          <w:p>
            <w:pPr>
              <w:pStyle w:val="467"/>
              <w:widowControl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3.承诺根据招标人要求，每年提供不少于3处白蚁危害现场、危害物和白蚁标本的，得1分。</w:t>
            </w:r>
          </w:p>
          <w:p>
            <w:pPr>
              <w:pStyle w:val="467"/>
              <w:widowControl w:val="0"/>
              <w:spacing w:line="460" w:lineRule="exact"/>
              <w:rPr>
                <w:rFonts w:hint="eastAsia" w:ascii="宋体" w:hAnsi="宋体" w:eastAsia="宋体" w:cs="宋体"/>
                <w:i w:val="0"/>
                <w:iCs w:val="0"/>
                <w:color w:val="auto"/>
                <w:kern w:val="0"/>
                <w:sz w:val="21"/>
                <w:szCs w:val="21"/>
                <w:highlight w:val="none"/>
                <w:lang w:val="zh-TW" w:eastAsia="zh-CN" w:bidi="ar-SA"/>
              </w:rPr>
            </w:pPr>
            <w:r>
              <w:rPr>
                <w:rFonts w:hint="eastAsia" w:ascii="宋体" w:hAnsi="宋体" w:eastAsia="宋体" w:cs="宋体"/>
                <w:b/>
                <w:i w:val="0"/>
                <w:iCs w:val="0"/>
                <w:color w:val="auto"/>
                <w:kern w:val="0"/>
                <w:sz w:val="21"/>
                <w:szCs w:val="21"/>
                <w:highlight w:val="none"/>
              </w:rPr>
              <w:t>证明材料：提供相关承诺书（格式自拟），否则不得分。</w:t>
            </w:r>
          </w:p>
        </w:tc>
        <w:tc>
          <w:tcPr>
            <w:tcW w:w="545" w:type="dxa"/>
            <w:tcBorders>
              <w:tl2br w:val="nil"/>
              <w:tr2bl w:val="nil"/>
            </w:tcBorders>
            <w:vAlign w:val="center"/>
          </w:tcPr>
          <w:p>
            <w:pPr>
              <w:pStyle w:val="467"/>
              <w:widowControl w:val="0"/>
              <w:spacing w:line="460" w:lineRule="exact"/>
              <w:jc w:val="center"/>
              <w:rPr>
                <w:rFonts w:hint="eastAsia" w:ascii="宋体" w:hAnsi="宋体" w:eastAsia="宋体" w:cs="宋体"/>
                <w:b/>
                <w:bCs/>
                <w:i w:val="0"/>
                <w:iCs w:val="0"/>
                <w:color w:val="auto"/>
                <w:kern w:val="0"/>
                <w:sz w:val="21"/>
                <w:szCs w:val="21"/>
                <w:highlight w:val="none"/>
                <w:lang w:val="zh-TW" w:eastAsia="zh-CN" w:bidi="ar-SA"/>
              </w:rPr>
            </w:pPr>
            <w:r>
              <w:rPr>
                <w:rFonts w:hint="eastAsia" w:ascii="宋体" w:hAnsi="宋体" w:eastAsia="宋体" w:cs="宋体"/>
                <w:b/>
                <w:bCs/>
                <w:i w:val="0"/>
                <w:iCs w:val="0"/>
                <w:color w:val="auto"/>
                <w:kern w:val="0"/>
                <w:sz w:val="21"/>
                <w:szCs w:val="21"/>
                <w:highlight w:val="none"/>
              </w:rPr>
              <w:t>4</w:t>
            </w:r>
          </w:p>
        </w:tc>
        <w:tc>
          <w:tcPr>
            <w:tcW w:w="1551"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i w:val="0"/>
                <w:iCs w:val="0"/>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kern w:val="2"/>
                <w:sz w:val="21"/>
                <w:szCs w:val="21"/>
                <w:highlight w:val="none"/>
                <w:lang w:val="en-US" w:eastAsia="zh-CN" w:bidi="ar-SA"/>
              </w:rPr>
              <w:t>11</w:t>
            </w:r>
          </w:p>
        </w:tc>
        <w:tc>
          <w:tcPr>
            <w:tcW w:w="5798" w:type="dxa"/>
            <w:tcBorders>
              <w:tl2br w:val="nil"/>
              <w:tr2bl w:val="nil"/>
            </w:tcBorders>
            <w:vAlign w:val="center"/>
          </w:tcPr>
          <w:p>
            <w:pPr>
              <w:pStyle w:val="467"/>
              <w:widowControl w:val="0"/>
              <w:spacing w:line="460" w:lineRule="exact"/>
              <w:jc w:val="left"/>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【客观分】</w:t>
            </w:r>
          </w:p>
          <w:p>
            <w:pPr>
              <w:pStyle w:val="467"/>
              <w:widowControl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类似业绩</w:t>
            </w:r>
          </w:p>
          <w:p>
            <w:pPr>
              <w:snapToGrid w:val="0"/>
              <w:spacing w:line="460" w:lineRule="exac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投标人自20</w:t>
            </w:r>
            <w:r>
              <w:rPr>
                <w:rFonts w:hint="eastAsia" w:ascii="宋体" w:hAnsi="宋体" w:eastAsia="宋体" w:cs="宋体"/>
                <w:i w:val="0"/>
                <w:iCs w:val="0"/>
                <w:color w:val="auto"/>
                <w:kern w:val="0"/>
                <w:sz w:val="21"/>
                <w:szCs w:val="21"/>
                <w:highlight w:val="none"/>
                <w:lang w:val="en-US" w:eastAsia="zh-CN"/>
              </w:rPr>
              <w:t>20</w:t>
            </w:r>
            <w:r>
              <w:rPr>
                <w:rFonts w:hint="eastAsia" w:ascii="宋体" w:hAnsi="宋体" w:eastAsia="宋体" w:cs="宋体"/>
                <w:i w:val="0"/>
                <w:iCs w:val="0"/>
                <w:color w:val="auto"/>
                <w:kern w:val="0"/>
                <w:sz w:val="21"/>
                <w:szCs w:val="21"/>
                <w:highlight w:val="none"/>
              </w:rPr>
              <w:t>年1月1日以来白蚁监控装置实施案例情况，以签订合同时间为准，每提供一个合同得0.5分，最高1分。</w:t>
            </w:r>
          </w:p>
          <w:p>
            <w:pPr>
              <w:pStyle w:val="467"/>
              <w:widowControl w:val="0"/>
              <w:spacing w:line="460" w:lineRule="exact"/>
              <w:rPr>
                <w:rFonts w:hint="eastAsia" w:ascii="宋体" w:hAnsi="宋体" w:eastAsia="宋体" w:cs="宋体"/>
                <w:i w:val="0"/>
                <w:iCs w:val="0"/>
                <w:color w:val="auto"/>
                <w:kern w:val="0"/>
                <w:sz w:val="21"/>
                <w:szCs w:val="21"/>
                <w:highlight w:val="none"/>
                <w:lang w:val="zh-TW" w:eastAsia="zh-CN" w:bidi="ar-SA"/>
              </w:rPr>
            </w:pPr>
            <w:r>
              <w:rPr>
                <w:rFonts w:hint="eastAsia" w:ascii="宋体" w:hAnsi="宋体" w:eastAsia="宋体" w:cs="宋体"/>
                <w:b/>
                <w:i w:val="0"/>
                <w:iCs w:val="0"/>
                <w:color w:val="auto"/>
                <w:kern w:val="0"/>
                <w:sz w:val="21"/>
                <w:szCs w:val="21"/>
                <w:highlight w:val="none"/>
              </w:rPr>
              <w:t>证明材料：提供合同复印件,否则不得分。</w:t>
            </w:r>
          </w:p>
        </w:tc>
        <w:tc>
          <w:tcPr>
            <w:tcW w:w="545" w:type="dxa"/>
            <w:tcBorders>
              <w:tl2br w:val="nil"/>
              <w:tr2bl w:val="nil"/>
            </w:tcBorders>
            <w:vAlign w:val="center"/>
          </w:tcPr>
          <w:p>
            <w:pPr>
              <w:pStyle w:val="467"/>
              <w:widowControl w:val="0"/>
              <w:spacing w:line="460" w:lineRule="exact"/>
              <w:jc w:val="center"/>
              <w:rPr>
                <w:rFonts w:hint="eastAsia" w:ascii="宋体" w:hAnsi="宋体" w:eastAsia="宋体" w:cs="宋体"/>
                <w:b/>
                <w:bCs/>
                <w:i w:val="0"/>
                <w:iCs w:val="0"/>
                <w:color w:val="auto"/>
                <w:kern w:val="0"/>
                <w:sz w:val="21"/>
                <w:szCs w:val="21"/>
                <w:highlight w:val="none"/>
                <w:lang w:val="zh-TW" w:eastAsia="zh-CN" w:bidi="ar-SA"/>
              </w:rPr>
            </w:pPr>
            <w:r>
              <w:rPr>
                <w:rFonts w:hint="eastAsia" w:ascii="宋体" w:hAnsi="宋体" w:eastAsia="宋体" w:cs="宋体"/>
                <w:b/>
                <w:bCs/>
                <w:i w:val="0"/>
                <w:iCs w:val="0"/>
                <w:color w:val="auto"/>
                <w:kern w:val="0"/>
                <w:sz w:val="21"/>
                <w:szCs w:val="21"/>
                <w:highlight w:val="none"/>
              </w:rPr>
              <w:t>1</w:t>
            </w:r>
          </w:p>
        </w:tc>
        <w:tc>
          <w:tcPr>
            <w:tcW w:w="1551"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i w:val="0"/>
                <w:iCs w:val="0"/>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6" w:type="dxa"/>
            <w:tcBorders>
              <w:tl2br w:val="nil"/>
              <w:tr2bl w:val="nil"/>
            </w:tcBorders>
            <w:vAlign w:val="center"/>
          </w:tcPr>
          <w:p>
            <w:pPr>
              <w:pStyle w:val="467"/>
              <w:widowControl w:val="0"/>
              <w:wordWrap/>
              <w:adjustRightInd/>
              <w:snapToGrid/>
              <w:spacing w:line="460" w:lineRule="exact"/>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w:t>
            </w:r>
            <w:r>
              <w:rPr>
                <w:rFonts w:hint="eastAsia" w:ascii="宋体" w:hAnsi="宋体" w:cs="宋体"/>
                <w:i w:val="0"/>
                <w:iCs w:val="0"/>
                <w:color w:val="auto"/>
                <w:kern w:val="2"/>
                <w:sz w:val="21"/>
                <w:szCs w:val="21"/>
                <w:highlight w:val="none"/>
                <w:lang w:val="en-US" w:eastAsia="zh-CN" w:bidi="ar-SA"/>
              </w:rPr>
              <w:t>2</w:t>
            </w:r>
          </w:p>
        </w:tc>
        <w:tc>
          <w:tcPr>
            <w:tcW w:w="5798" w:type="dxa"/>
            <w:tcBorders>
              <w:tl2br w:val="nil"/>
              <w:tr2bl w:val="nil"/>
            </w:tcBorders>
            <w:vAlign w:val="center"/>
          </w:tcPr>
          <w:p>
            <w:pPr>
              <w:pStyle w:val="467"/>
              <w:widowControl w:val="0"/>
              <w:wordWrap/>
              <w:adjustRightInd/>
              <w:snapToGrid/>
              <w:spacing w:line="460" w:lineRule="exact"/>
              <w:jc w:val="both"/>
              <w:textAlignment w:val="auto"/>
              <w:rPr>
                <w:rFonts w:hint="eastAsia" w:ascii="宋体" w:hAnsi="宋体" w:eastAsia="宋体" w:cs="宋体"/>
                <w:b w:val="0"/>
                <w:bCs w:val="0"/>
                <w:i w:val="0"/>
                <w:iCs w:val="0"/>
                <w:color w:val="auto"/>
                <w:sz w:val="21"/>
                <w:szCs w:val="21"/>
                <w:highlight w:val="none"/>
                <w:lang w:val="zh-TW" w:eastAsia="zh-CN"/>
              </w:rPr>
            </w:pPr>
            <w:r>
              <w:rPr>
                <w:rFonts w:hint="eastAsia" w:ascii="宋体" w:hAnsi="宋体" w:eastAsia="宋体" w:cs="宋体"/>
                <w:b w:val="0"/>
                <w:bCs w:val="0"/>
                <w:i w:val="0"/>
                <w:iCs w:val="0"/>
                <w:color w:val="auto"/>
                <w:sz w:val="21"/>
                <w:szCs w:val="21"/>
                <w:highlight w:val="none"/>
                <w:lang w:val="zh-TW" w:eastAsia="zh-CN"/>
              </w:rPr>
              <w:t>有效投标报价的最低价作为评标基准价，其最低报价为满分；按［投标报价得分=（评标基准价/投标报价）*</w:t>
            </w:r>
            <w:r>
              <w:rPr>
                <w:rFonts w:hint="eastAsia" w:ascii="宋体" w:hAnsi="宋体" w:eastAsia="宋体" w:cs="宋体"/>
                <w:b w:val="0"/>
                <w:bCs w:val="0"/>
                <w:i w:val="0"/>
                <w:iCs w:val="0"/>
                <w:color w:val="auto"/>
                <w:sz w:val="21"/>
                <w:szCs w:val="21"/>
                <w:highlight w:val="none"/>
                <w:lang w:val="en-US" w:eastAsia="zh-CN"/>
              </w:rPr>
              <w:t>权重</w:t>
            </w:r>
            <w:r>
              <w:rPr>
                <w:rFonts w:hint="eastAsia" w:ascii="宋体" w:hAnsi="宋体" w:eastAsia="宋体" w:cs="宋体"/>
                <w:b w:val="0"/>
                <w:bCs w:val="0"/>
                <w:i w:val="0"/>
                <w:iCs w:val="0"/>
                <w:color w:val="auto"/>
                <w:sz w:val="21"/>
                <w:szCs w:val="21"/>
                <w:highlight w:val="none"/>
                <w:lang w:val="zh-TW" w:eastAsia="zh-CN"/>
              </w:rPr>
              <w:t>］的计算公式计算。</w:t>
            </w:r>
            <w:bookmarkStart w:id="518" w:name="_GoBack"/>
            <w:bookmarkEnd w:id="518"/>
          </w:p>
          <w:p>
            <w:pPr>
              <w:pStyle w:val="467"/>
              <w:widowControl w:val="0"/>
              <w:wordWrap/>
              <w:adjustRightInd/>
              <w:snapToGrid/>
              <w:spacing w:line="460" w:lineRule="exact"/>
              <w:jc w:val="both"/>
              <w:textAlignment w:val="auto"/>
              <w:rPr>
                <w:rFonts w:hint="eastAsia" w:ascii="宋体" w:hAnsi="宋体" w:eastAsia="宋体" w:cs="宋体"/>
                <w:b w:val="0"/>
                <w:bCs w:val="0"/>
                <w:i w:val="0"/>
                <w:iCs w:val="0"/>
                <w:color w:val="auto"/>
                <w:sz w:val="21"/>
                <w:szCs w:val="21"/>
                <w:highlight w:val="none"/>
                <w:lang w:val="zh-TW" w:eastAsia="zh-CN"/>
              </w:rPr>
            </w:pPr>
            <w:r>
              <w:rPr>
                <w:rFonts w:hint="eastAsia" w:ascii="宋体" w:hAnsi="宋体" w:eastAsia="宋体" w:cs="宋体"/>
                <w:b w:val="0"/>
                <w:bCs w:val="0"/>
                <w:i w:val="0"/>
                <w:iCs w:val="0"/>
                <w:color w:val="auto"/>
                <w:sz w:val="21"/>
                <w:szCs w:val="21"/>
                <w:highlight w:val="none"/>
                <w:lang w:val="zh-TW" w:eastAsia="zh-CN"/>
              </w:rPr>
              <w:t>评标过程中，不得去掉报价中的最高报价和最低报价。</w:t>
            </w:r>
          </w:p>
        </w:tc>
        <w:tc>
          <w:tcPr>
            <w:tcW w:w="545" w:type="dxa"/>
            <w:tcBorders>
              <w:tl2br w:val="nil"/>
              <w:tr2bl w:val="nil"/>
            </w:tcBorders>
            <w:vAlign w:val="center"/>
          </w:tcPr>
          <w:p>
            <w:pPr>
              <w:pStyle w:val="467"/>
              <w:widowControl w:val="0"/>
              <w:wordWrap/>
              <w:adjustRightInd/>
              <w:snapToGrid/>
              <w:spacing w:line="460" w:lineRule="exact"/>
              <w:jc w:val="center"/>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10</w:t>
            </w:r>
          </w:p>
        </w:tc>
        <w:tc>
          <w:tcPr>
            <w:tcW w:w="1551" w:type="dxa"/>
            <w:tcBorders>
              <w:tl2br w:val="nil"/>
              <w:tr2bl w:val="nil"/>
            </w:tcBorders>
            <w:vAlign w:val="center"/>
          </w:tcPr>
          <w:p>
            <w:pPr>
              <w:pStyle w:val="467"/>
              <w:widowControl w:val="0"/>
              <w:wordWrap/>
              <w:adjustRightInd/>
              <w:snapToGrid/>
              <w:spacing w:line="4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w:t>
            </w:r>
          </w:p>
        </w:tc>
      </w:tr>
    </w:tbl>
    <w:p>
      <w:pPr>
        <w:pStyle w:val="34"/>
        <w:widowControl w:val="0"/>
        <w:wordWrap/>
        <w:adjustRightInd/>
        <w:snapToGrid/>
        <w:spacing w:line="360" w:lineRule="auto"/>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*备注：投标人编制投标文件（商务技术文件部分）时，建议按此目录（序号和内容）提供评标标准相应的商务技术资料。</w:t>
      </w:r>
    </w:p>
    <w:p>
      <w:pPr>
        <w:snapToGrid w:val="0"/>
        <w:spacing w:line="48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48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48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48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48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85"/>
        <w:spacing w:before="0" w:line="480" w:lineRule="auto"/>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48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line="48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48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★本项目为专门面向中小企业采购的项目，对于小型或微型企业的投标报价不予扣除评审。</w:t>
      </w:r>
    </w:p>
    <w:p>
      <w:pPr>
        <w:spacing w:line="48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8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8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80" w:lineRule="auto"/>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85"/>
        <w:spacing w:before="0" w:line="480" w:lineRule="auto"/>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48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48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48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pStyle w:val="2"/>
        <w:spacing w:line="480" w:lineRule="auto"/>
        <w:ind w:left="862"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48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6"/>
        <w:snapToGrid w:val="0"/>
        <w:spacing w:line="48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6"/>
        <w:snapToGrid w:val="0"/>
        <w:spacing w:line="48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6"/>
        <w:snapToGrid w:val="0"/>
        <w:spacing w:line="48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6"/>
        <w:snapToGrid w:val="0"/>
        <w:spacing w:line="48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6"/>
        <w:snapToGrid w:val="0"/>
        <w:spacing w:line="48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6"/>
        <w:snapToGrid w:val="0"/>
        <w:spacing w:line="480" w:lineRule="auto"/>
        <w:rPr>
          <w:rFonts w:hint="eastAsia" w:ascii="仿宋" w:hAnsi="仿宋" w:eastAsia="仿宋" w:cs="仿宋"/>
          <w:color w:val="auto"/>
        </w:rPr>
      </w:pPr>
      <w:r>
        <w:rPr>
          <w:rFonts w:hint="eastAsia" w:ascii="仿宋" w:hAnsi="仿宋" w:eastAsia="仿宋" w:cs="仿宋"/>
          <w:color w:val="auto"/>
        </w:rPr>
        <w:t>废标后，</w:t>
      </w:r>
      <w:r>
        <w:rPr>
          <w:rFonts w:hint="eastAsia" w:ascii="仿宋" w:hAnsi="仿宋" w:eastAsia="仿宋" w:cs="仿宋"/>
          <w:color w:val="auto"/>
          <w:lang w:eastAsia="zh-CN"/>
        </w:rPr>
        <w:t>采购代理机构</w:t>
      </w:r>
      <w:r>
        <w:rPr>
          <w:rFonts w:hint="eastAsia" w:ascii="仿宋" w:hAnsi="仿宋" w:eastAsia="仿宋" w:cs="仿宋"/>
          <w:color w:val="auto"/>
        </w:rPr>
        <w:t>应当将废标理由通知所有投标人。</w:t>
      </w:r>
    </w:p>
    <w:p>
      <w:pPr>
        <w:pStyle w:val="26"/>
        <w:snapToGrid w:val="0"/>
        <w:spacing w:line="48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lang w:eastAsia="zh-CN"/>
        </w:rPr>
        <w:t>采购代理机构</w:t>
      </w:r>
      <w:r>
        <w:rPr>
          <w:rFonts w:hint="eastAsia" w:ascii="仿宋" w:hAnsi="仿宋" w:eastAsia="仿宋" w:cs="仿宋"/>
          <w:color w:val="auto"/>
        </w:rPr>
        <w:t>沟通并作书面记录。采购人、</w:t>
      </w:r>
      <w:r>
        <w:rPr>
          <w:rFonts w:hint="eastAsia" w:ascii="仿宋" w:hAnsi="仿宋" w:eastAsia="仿宋" w:cs="仿宋"/>
          <w:color w:val="auto"/>
          <w:lang w:eastAsia="zh-CN"/>
        </w:rPr>
        <w:t>采购代理机构</w:t>
      </w:r>
      <w:r>
        <w:rPr>
          <w:rFonts w:hint="eastAsia" w:ascii="仿宋" w:hAnsi="仿宋" w:eastAsia="仿宋" w:cs="仿宋"/>
          <w:color w:val="auto"/>
        </w:rPr>
        <w:t>确认后，将修改招标文件，重新组织采购活动。</w:t>
      </w:r>
    </w:p>
    <w:p>
      <w:pPr>
        <w:pStyle w:val="26"/>
        <w:snapToGrid w:val="0"/>
        <w:spacing w:line="48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6"/>
        <w:snapToGrid w:val="0"/>
        <w:spacing w:line="48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6"/>
        <w:snapToGrid w:val="0"/>
        <w:spacing w:line="48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6"/>
        <w:snapToGrid w:val="0"/>
        <w:spacing w:line="48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6"/>
        <w:snapToGrid w:val="0"/>
        <w:spacing w:line="48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6"/>
        <w:snapToGrid w:val="0"/>
        <w:spacing w:line="480" w:lineRule="auto"/>
        <w:rPr>
          <w:rFonts w:hint="eastAsia"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6"/>
    <w:p>
      <w:pPr>
        <w:spacing w:line="360" w:lineRule="auto"/>
        <w:outlineLvl w:val="0"/>
        <w:rPr>
          <w:rFonts w:hint="eastAsia" w:ascii="仿宋" w:hAnsi="仿宋" w:eastAsia="仿宋" w:cs="仿宋"/>
          <w:color w:val="auto"/>
        </w:rPr>
      </w:pPr>
      <w:bookmarkStart w:id="392" w:name="第五部分"/>
      <w:bookmarkStart w:id="393" w:name="_Toc86217003"/>
      <w:r>
        <w:rPr>
          <w:rFonts w:hint="eastAsia" w:ascii="仿宋" w:hAnsi="仿宋" w:eastAsia="仿宋" w:cs="仿宋"/>
          <w:b/>
          <w:color w:val="auto"/>
          <w:sz w:val="36"/>
          <w:szCs w:val="36"/>
        </w:rPr>
        <w:t xml:space="preserve">  </w:t>
      </w:r>
    </w:p>
    <w:p>
      <w:pPr>
        <w:widowControl/>
        <w:adjustRightInd/>
        <w:jc w:val="left"/>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pStyle w:val="79"/>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pPr>
        <w:pStyle w:val="385"/>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spacing w:before="120" w:line="22" w:lineRule="atLeast"/>
        <w:rPr>
          <w:rFonts w:hint="eastAsia" w:ascii="仿宋" w:hAnsi="仿宋" w:eastAsia="仿宋" w:cs="仿宋"/>
          <w:color w:val="auto"/>
          <w:sz w:val="24"/>
        </w:rPr>
      </w:pPr>
    </w:p>
    <w:p>
      <w:pPr>
        <w:pStyle w:val="2"/>
        <w:rPr>
          <w:rFonts w:hint="eastAsia" w:ascii="仿宋" w:hAnsi="仿宋" w:eastAsia="仿宋" w:cs="仿宋"/>
          <w:color w:val="auto"/>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Style w:val="282"/>
        <w:spacing w:before="120" w:line="22" w:lineRule="atLeast"/>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 xml:space="preserve">  </w:t>
      </w:r>
    </w:p>
    <w:p>
      <w:pPr>
        <w:pStyle w:val="282"/>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rPr>
          <w:rFonts w:hint="eastAsia" w:ascii="仿宋" w:hAnsi="仿宋" w:eastAsia="仿宋" w:cs="仿宋"/>
          <w:b/>
          <w:color w:val="auto"/>
          <w:sz w:val="24"/>
        </w:rPr>
      </w:pP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采购人</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color w:val="auto"/>
          <w:sz w:val="24"/>
        </w:rPr>
      </w:pPr>
      <w:bookmarkStart w:id="394" w:name="_Toc19273"/>
      <w:bookmarkStart w:id="395" w:name="_Toc15367"/>
      <w:bookmarkStart w:id="396" w:name="_Toc28855"/>
      <w:bookmarkStart w:id="397" w:name="_Toc22967"/>
      <w:bookmarkStart w:id="398" w:name="_Toc20421"/>
      <w:r>
        <w:rPr>
          <w:rFonts w:hint="eastAsia" w:ascii="仿宋" w:hAnsi="仿宋" w:eastAsia="仿宋" w:cs="仿宋"/>
          <w:b/>
          <w:color w:val="auto"/>
          <w:sz w:val="24"/>
        </w:rPr>
        <w:t>1.1 合同组成部分</w:t>
      </w:r>
      <w:bookmarkEnd w:id="394"/>
      <w:bookmarkEnd w:id="395"/>
      <w:bookmarkEnd w:id="396"/>
      <w:bookmarkEnd w:id="397"/>
      <w:bookmarkEnd w:id="39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399" w:name="_Toc22185"/>
      <w:bookmarkStart w:id="400" w:name="_Toc18585"/>
      <w:bookmarkStart w:id="401" w:name="_Toc6773"/>
      <w:bookmarkStart w:id="402" w:name="_Toc2918"/>
      <w:bookmarkStart w:id="403" w:name="_Toc6311"/>
      <w:r>
        <w:rPr>
          <w:rFonts w:hint="eastAsia" w:ascii="仿宋" w:hAnsi="仿宋" w:eastAsia="仿宋" w:cs="仿宋"/>
          <w:b/>
          <w:color w:val="auto"/>
          <w:sz w:val="24"/>
        </w:rPr>
        <w:t>1.2 标的</w:t>
      </w:r>
      <w:bookmarkEnd w:id="399"/>
      <w:bookmarkEnd w:id="400"/>
      <w:bookmarkEnd w:id="401"/>
      <w:bookmarkEnd w:id="402"/>
      <w:bookmarkEnd w:id="403"/>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（是/否）涉及货物。若涉及货物的的，则：</w:t>
      </w:r>
    </w:p>
    <w:p>
      <w:pPr>
        <w:spacing w:line="560" w:lineRule="exact"/>
        <w:ind w:firstLine="480" w:firstLineChars="200"/>
        <w:rPr>
          <w:rFonts w:hint="eastAsia" w:ascii="仿宋" w:hAnsi="仿宋" w:eastAsia="仿宋" w:cs="仿宋"/>
          <w:color w:val="auto"/>
          <w:sz w:val="24"/>
          <w:u w:val="single"/>
        </w:rPr>
      </w:pPr>
      <w:bookmarkStart w:id="404" w:name="_Toc5635"/>
      <w:bookmarkStart w:id="405" w:name="_Toc13918"/>
      <w:bookmarkStart w:id="406" w:name="_Toc4929"/>
      <w:bookmarkStart w:id="407" w:name="_Toc21124"/>
      <w:bookmarkStart w:id="408" w:name="_Toc1386"/>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404"/>
      <w:bookmarkEnd w:id="405"/>
      <w:bookmarkEnd w:id="406"/>
      <w:bookmarkEnd w:id="407"/>
      <w:bookmarkEnd w:id="40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pPr>
              <w:pStyle w:val="105"/>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pPr>
              <w:pStyle w:val="105"/>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10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10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10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105"/>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105"/>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pPr>
              <w:pStyle w:val="105"/>
              <w:spacing w:line="560" w:lineRule="exact"/>
              <w:ind w:firstLine="200"/>
              <w:jc w:val="center"/>
              <w:rPr>
                <w:rFonts w:hint="eastAsia" w:ascii="仿宋" w:hAnsi="仿宋" w:eastAsia="仿宋" w:cs="仿宋"/>
                <w:color w:val="auto"/>
                <w:sz w:val="24"/>
                <w:szCs w:val="24"/>
              </w:rPr>
            </w:pPr>
          </w:p>
        </w:tc>
      </w:tr>
    </w:tbl>
    <w:p>
      <w:pPr>
        <w:spacing w:line="560" w:lineRule="exact"/>
        <w:ind w:firstLine="480" w:firstLineChars="200"/>
        <w:rPr>
          <w:rFonts w:hint="eastAsia" w:ascii="仿宋" w:hAnsi="仿宋" w:eastAsia="仿宋" w:cs="仿宋"/>
          <w:color w:val="auto"/>
          <w:sz w:val="24"/>
        </w:rPr>
      </w:pPr>
      <w:bookmarkStart w:id="409" w:name="_Toc30506"/>
      <w:bookmarkStart w:id="410" w:name="_Toc3654"/>
      <w:bookmarkStart w:id="411" w:name="_Toc14993"/>
      <w:bookmarkStart w:id="412" w:name="_Toc30158"/>
      <w:bookmarkStart w:id="413" w:name="_Toc26916"/>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pStyle w:val="2"/>
        <w:rPr>
          <w:rFonts w:hint="eastAsia" w:ascii="仿宋" w:hAnsi="仿宋" w:eastAsia="仿宋" w:cs="仿宋"/>
          <w:color w:val="auto"/>
          <w:lang w:val="en-US"/>
        </w:rPr>
      </w:pPr>
      <w:r>
        <w:rPr>
          <w:rFonts w:hint="eastAsia" w:ascii="仿宋" w:hAnsi="仿宋" w:eastAsia="仿宋" w:cs="仿宋"/>
          <w:color w:val="auto"/>
          <w:sz w:val="24"/>
          <w:lang w:val="en-US"/>
        </w:rPr>
        <w:t xml:space="preserve">    </w:t>
      </w: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09"/>
    <w:bookmarkEnd w:id="410"/>
    <w:bookmarkEnd w:id="411"/>
    <w:bookmarkEnd w:id="412"/>
    <w:bookmarkEnd w:id="413"/>
    <w:p>
      <w:pPr>
        <w:pStyle w:val="617"/>
        <w:spacing w:before="0" w:beforeAutospacing="0" w:after="0" w:afterAutospacing="0" w:line="360" w:lineRule="auto"/>
        <w:ind w:firstLine="480"/>
        <w:rPr>
          <w:rFonts w:hint="eastAsia" w:ascii="仿宋" w:hAnsi="仿宋" w:eastAsia="仿宋" w:cs="仿宋"/>
          <w:b/>
          <w:color w:val="auto"/>
        </w:rPr>
      </w:pPr>
      <w:bookmarkStart w:id="414" w:name="_Toc10340"/>
      <w:bookmarkStart w:id="415" w:name="_Toc1814"/>
      <w:bookmarkStart w:id="416" w:name="_Toc22618"/>
      <w:bookmarkStart w:id="417" w:name="_Toc8772"/>
      <w:bookmarkStart w:id="418" w:name="_Toc4760"/>
      <w:bookmarkStart w:id="419" w:name="_Toc3625"/>
      <w:bookmarkStart w:id="420" w:name="_Toc31421"/>
      <w:bookmarkStart w:id="421" w:name="_Toc11108"/>
      <w:r>
        <w:rPr>
          <w:rFonts w:hint="eastAsia" w:ascii="仿宋" w:hAnsi="仿宋" w:eastAsia="仿宋" w:cs="仿宋"/>
          <w:b/>
          <w:color w:val="auto"/>
        </w:rPr>
        <w:t>1.4履约保证金</w:t>
      </w:r>
    </w:p>
    <w:p>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2"/>
        <w:tabs>
          <w:tab w:val="left" w:pos="0"/>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w:t>
      </w:r>
      <w:bookmarkEnd w:id="414"/>
      <w:bookmarkEnd w:id="415"/>
      <w:bookmarkEnd w:id="416"/>
      <w:r>
        <w:rPr>
          <w:rFonts w:hint="eastAsia" w:ascii="仿宋" w:hAnsi="仿宋" w:eastAsia="仿宋" w:cs="仿宋"/>
          <w:b/>
          <w:color w:val="auto"/>
          <w:sz w:val="24"/>
        </w:rPr>
        <w:t>预付款</w:t>
      </w:r>
    </w:p>
    <w:p>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617"/>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617"/>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pPr>
        <w:pStyle w:val="617"/>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17"/>
      <w:bookmarkEnd w:id="418"/>
      <w:bookmarkEnd w:id="419"/>
      <w:bookmarkEnd w:id="420"/>
      <w:bookmarkEnd w:id="421"/>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outlineLvl w:val="0"/>
        <w:rPr>
          <w:rFonts w:hint="eastAsia" w:ascii="仿宋" w:hAnsi="仿宋" w:eastAsia="仿宋" w:cs="仿宋"/>
          <w:bCs/>
          <w:color w:val="auto"/>
          <w:sz w:val="24"/>
        </w:rPr>
      </w:pPr>
      <w:bookmarkStart w:id="422" w:name="_Toc24662"/>
      <w:bookmarkStart w:id="423" w:name="_Toc2375"/>
      <w:bookmarkStart w:id="424" w:name="_Toc8586"/>
      <w:bookmarkStart w:id="425" w:name="_Toc5698"/>
      <w:bookmarkStart w:id="426" w:name="_Toc3079"/>
      <w:r>
        <w:rPr>
          <w:rFonts w:hint="eastAsia" w:ascii="仿宋" w:hAnsi="仿宋" w:eastAsia="仿宋" w:cs="仿宋"/>
          <w:bCs/>
          <w:color w:val="auto"/>
          <w:sz w:val="24"/>
        </w:rPr>
        <w:t>1.7.4若服务涉及货物的，则货物的：</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422"/>
      <w:bookmarkEnd w:id="423"/>
      <w:bookmarkEnd w:id="424"/>
      <w:bookmarkEnd w:id="425"/>
      <w:bookmarkEnd w:id="42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pPr>
        <w:pStyle w:val="2"/>
        <w:ind w:left="0" w:firstLine="480" w:firstLineChars="2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 xml:space="preserve">5（可根据情况修改） </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bookmarkStart w:id="427" w:name="_Toc9497"/>
      <w:bookmarkStart w:id="428" w:name="_Toc32454"/>
      <w:bookmarkStart w:id="429" w:name="_Toc26807"/>
      <w:bookmarkStart w:id="430" w:name="_Toc30329"/>
      <w:bookmarkStart w:id="431" w:name="_Toc18683"/>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427"/>
    <w:bookmarkEnd w:id="428"/>
    <w:bookmarkEnd w:id="429"/>
    <w:bookmarkEnd w:id="430"/>
    <w:bookmarkEnd w:id="431"/>
    <w:p>
      <w:pPr>
        <w:spacing w:line="560" w:lineRule="exact"/>
        <w:ind w:firstLine="482" w:firstLineChars="200"/>
        <w:outlineLvl w:val="0"/>
        <w:rPr>
          <w:rFonts w:hint="eastAsia" w:ascii="仿宋" w:hAnsi="仿宋" w:eastAsia="仿宋" w:cs="仿宋"/>
          <w:b/>
          <w:color w:val="auto"/>
          <w:sz w:val="24"/>
        </w:rPr>
      </w:pPr>
      <w:bookmarkStart w:id="432" w:name="_Toc16021"/>
      <w:bookmarkStart w:id="433" w:name="_Toc15583"/>
      <w:bookmarkStart w:id="434" w:name="_Toc28375"/>
      <w:r>
        <w:rPr>
          <w:rFonts w:hint="eastAsia" w:ascii="仿宋" w:hAnsi="仿宋" w:eastAsia="仿宋" w:cs="仿宋"/>
          <w:b/>
          <w:color w:val="auto"/>
          <w:sz w:val="24"/>
        </w:rPr>
        <w:t>1.9合同争议的解决</w:t>
      </w:r>
      <w:bookmarkEnd w:id="432"/>
      <w:bookmarkEnd w:id="433"/>
      <w:bookmarkEnd w:id="434"/>
    </w:p>
    <w:p>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35" w:name="_Toc7245"/>
      <w:bookmarkStart w:id="436" w:name="_Toc11173"/>
      <w:bookmarkStart w:id="437" w:name="_Toc15322"/>
      <w:r>
        <w:rPr>
          <w:rFonts w:hint="eastAsia" w:ascii="仿宋" w:hAnsi="仿宋" w:eastAsia="仿宋" w:cs="仿宋"/>
          <w:b/>
          <w:color w:val="auto"/>
          <w:sz w:val="24"/>
        </w:rPr>
        <w:t>2.0 合同生效</w:t>
      </w:r>
      <w:bookmarkEnd w:id="435"/>
      <w:bookmarkEnd w:id="436"/>
      <w:bookmarkEnd w:id="437"/>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hint="eastAsia" w:ascii="仿宋" w:hAnsi="仿宋" w:eastAsia="仿宋" w:cs="仿宋"/>
          <w:b/>
          <w:color w:val="auto"/>
          <w:sz w:val="24"/>
        </w:rPr>
      </w:pPr>
    </w:p>
    <w:p>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pPr>
        <w:pStyle w:val="385"/>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pPr>
        <w:spacing w:line="560" w:lineRule="exact"/>
        <w:ind w:firstLine="482" w:firstLineChars="200"/>
        <w:outlineLvl w:val="0"/>
        <w:rPr>
          <w:rFonts w:hint="eastAsia" w:ascii="仿宋" w:hAnsi="仿宋" w:eastAsia="仿宋" w:cs="仿宋"/>
          <w:b/>
          <w:color w:val="auto"/>
          <w:sz w:val="24"/>
        </w:rPr>
      </w:pPr>
      <w:bookmarkStart w:id="438" w:name="_Toc5228"/>
      <w:bookmarkStart w:id="439" w:name="_Toc25079"/>
      <w:bookmarkStart w:id="440" w:name="_Toc14021"/>
      <w:bookmarkStart w:id="441" w:name="_Toc31297"/>
      <w:bookmarkStart w:id="442" w:name="_Toc19680"/>
      <w:r>
        <w:rPr>
          <w:rFonts w:hint="eastAsia" w:ascii="仿宋" w:hAnsi="仿宋" w:eastAsia="仿宋" w:cs="仿宋"/>
          <w:b/>
          <w:color w:val="auto"/>
          <w:sz w:val="24"/>
        </w:rPr>
        <w:t>2.1 定义</w:t>
      </w:r>
      <w:bookmarkEnd w:id="438"/>
      <w:bookmarkEnd w:id="439"/>
      <w:bookmarkEnd w:id="440"/>
      <w:bookmarkEnd w:id="441"/>
      <w:bookmarkEnd w:id="44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pPr>
        <w:spacing w:line="560" w:lineRule="exact"/>
        <w:ind w:firstLine="482" w:firstLineChars="200"/>
        <w:outlineLvl w:val="0"/>
        <w:rPr>
          <w:rFonts w:hint="eastAsia" w:ascii="仿宋" w:hAnsi="仿宋" w:eastAsia="仿宋" w:cs="仿宋"/>
          <w:b/>
          <w:color w:val="auto"/>
          <w:sz w:val="24"/>
        </w:rPr>
      </w:pPr>
      <w:bookmarkStart w:id="443" w:name="_Toc23289"/>
      <w:bookmarkStart w:id="444" w:name="_Toc19539"/>
      <w:bookmarkStart w:id="445" w:name="_Toc16752"/>
      <w:bookmarkStart w:id="446" w:name="_Toc31402"/>
      <w:bookmarkStart w:id="447" w:name="_Toc3769"/>
      <w:r>
        <w:rPr>
          <w:rFonts w:hint="eastAsia" w:ascii="仿宋" w:hAnsi="仿宋" w:eastAsia="仿宋" w:cs="仿宋"/>
          <w:b/>
          <w:color w:val="auto"/>
          <w:sz w:val="24"/>
        </w:rPr>
        <w:t>2.2 技术规范</w:t>
      </w:r>
      <w:bookmarkEnd w:id="443"/>
      <w:bookmarkEnd w:id="444"/>
      <w:bookmarkEnd w:id="445"/>
      <w:bookmarkEnd w:id="446"/>
      <w:bookmarkEnd w:id="44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448" w:name="_Toc27945"/>
      <w:bookmarkStart w:id="449" w:name="_Toc12412"/>
      <w:bookmarkStart w:id="450" w:name="_Toc4133"/>
      <w:bookmarkStart w:id="451" w:name="_Toc9161"/>
      <w:bookmarkStart w:id="452" w:name="_Toc13673"/>
      <w:r>
        <w:rPr>
          <w:rFonts w:hint="eastAsia" w:ascii="仿宋" w:hAnsi="仿宋" w:eastAsia="仿宋" w:cs="仿宋"/>
          <w:b/>
          <w:color w:val="auto"/>
          <w:sz w:val="24"/>
        </w:rPr>
        <w:t>2.3 知识产权</w:t>
      </w:r>
      <w:bookmarkEnd w:id="448"/>
      <w:bookmarkEnd w:id="449"/>
      <w:bookmarkEnd w:id="450"/>
      <w:bookmarkEnd w:id="451"/>
      <w:bookmarkEnd w:id="45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rPr>
      </w:pPr>
      <w:bookmarkStart w:id="453" w:name="_Toc15447"/>
      <w:bookmarkStart w:id="454" w:name="_Toc26555"/>
      <w:bookmarkStart w:id="455" w:name="_Toc32670"/>
      <w:bookmarkStart w:id="456" w:name="_Toc31233"/>
      <w:bookmarkStart w:id="457" w:name="_Toc22011"/>
      <w:r>
        <w:rPr>
          <w:rFonts w:hint="eastAsia" w:ascii="仿宋" w:hAnsi="仿宋" w:eastAsia="仿宋" w:cs="仿宋"/>
          <w:b/>
          <w:color w:val="auto"/>
          <w:sz w:val="24"/>
        </w:rPr>
        <w:t>2.5 结算方式和付款条件</w:t>
      </w:r>
      <w:bookmarkEnd w:id="453"/>
      <w:bookmarkEnd w:id="454"/>
      <w:bookmarkEnd w:id="455"/>
      <w:bookmarkEnd w:id="456"/>
      <w:bookmarkEnd w:id="45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58" w:name="_Toc13154"/>
      <w:bookmarkStart w:id="459" w:name="_Toc18990"/>
      <w:bookmarkStart w:id="460" w:name="_Toc16163"/>
      <w:bookmarkStart w:id="461" w:name="_Toc13467"/>
      <w:bookmarkStart w:id="462" w:name="_Toc30507"/>
      <w:r>
        <w:rPr>
          <w:rFonts w:hint="eastAsia" w:ascii="仿宋" w:hAnsi="仿宋" w:eastAsia="仿宋" w:cs="仿宋"/>
          <w:b/>
          <w:color w:val="auto"/>
          <w:sz w:val="24"/>
        </w:rPr>
        <w:t>2.6 技术资料和保密义务</w:t>
      </w:r>
      <w:bookmarkEnd w:id="458"/>
      <w:bookmarkEnd w:id="459"/>
      <w:bookmarkEnd w:id="460"/>
      <w:bookmarkEnd w:id="461"/>
      <w:bookmarkEnd w:id="46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463" w:name="_Toc19069"/>
      <w:r>
        <w:rPr>
          <w:rFonts w:hint="eastAsia" w:ascii="仿宋" w:hAnsi="仿宋" w:eastAsia="仿宋" w:cs="仿宋"/>
          <w:b/>
          <w:color w:val="auto"/>
          <w:sz w:val="24"/>
        </w:rPr>
        <w:t>2.7 质量保证</w:t>
      </w:r>
      <w:bookmarkEnd w:id="46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464" w:name="_Toc22267"/>
      <w:r>
        <w:rPr>
          <w:rFonts w:hint="eastAsia" w:ascii="仿宋" w:hAnsi="仿宋" w:eastAsia="仿宋" w:cs="仿宋"/>
          <w:b/>
          <w:color w:val="auto"/>
          <w:sz w:val="24"/>
        </w:rPr>
        <w:t>2.8 延迟履行</w:t>
      </w:r>
      <w:bookmarkEnd w:id="46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rPr>
      </w:pPr>
      <w:bookmarkStart w:id="465" w:name="_Toc10611"/>
      <w:r>
        <w:rPr>
          <w:rFonts w:hint="eastAsia" w:ascii="仿宋" w:hAnsi="仿宋" w:eastAsia="仿宋" w:cs="仿宋"/>
          <w:b/>
          <w:color w:val="auto"/>
          <w:sz w:val="24"/>
        </w:rPr>
        <w:t>2.9 合同变更</w:t>
      </w:r>
      <w:bookmarkEnd w:id="46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466" w:name="_Toc21830"/>
      <w:bookmarkStart w:id="467" w:name="_Toc42"/>
      <w:bookmarkStart w:id="468" w:name="_Toc26689"/>
      <w:bookmarkStart w:id="469" w:name="_Toc10663"/>
      <w:bookmarkStart w:id="470" w:name="_Toc23368"/>
      <w:r>
        <w:rPr>
          <w:rFonts w:hint="eastAsia" w:ascii="仿宋" w:hAnsi="仿宋" w:eastAsia="仿宋" w:cs="仿宋"/>
          <w:b/>
          <w:color w:val="auto"/>
          <w:sz w:val="24"/>
        </w:rPr>
        <w:t>2.10 合同转让和分包</w:t>
      </w:r>
      <w:bookmarkEnd w:id="466"/>
      <w:bookmarkEnd w:id="467"/>
      <w:bookmarkEnd w:id="468"/>
      <w:bookmarkEnd w:id="469"/>
      <w:bookmarkEnd w:id="47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rPr>
      </w:pPr>
      <w:bookmarkStart w:id="471" w:name="_Toc32494"/>
      <w:bookmarkStart w:id="472" w:name="_Toc26633"/>
      <w:bookmarkStart w:id="473" w:name="_Toc14371"/>
      <w:bookmarkStart w:id="474" w:name="_Toc4720"/>
      <w:bookmarkStart w:id="475" w:name="_Toc25571"/>
      <w:r>
        <w:rPr>
          <w:rFonts w:hint="eastAsia" w:ascii="仿宋" w:hAnsi="仿宋" w:eastAsia="仿宋" w:cs="仿宋"/>
          <w:b/>
          <w:color w:val="auto"/>
          <w:sz w:val="24"/>
        </w:rPr>
        <w:t>2.11 不可抗力</w:t>
      </w:r>
      <w:bookmarkEnd w:id="471"/>
      <w:bookmarkEnd w:id="472"/>
      <w:bookmarkEnd w:id="473"/>
      <w:bookmarkEnd w:id="474"/>
      <w:bookmarkEnd w:id="47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476" w:name="_Toc24465"/>
      <w:bookmarkStart w:id="477" w:name="_Toc3638"/>
      <w:bookmarkStart w:id="478" w:name="_Toc25783"/>
      <w:bookmarkStart w:id="479" w:name="_Toc14115"/>
      <w:bookmarkStart w:id="480" w:name="_Toc23854"/>
      <w:r>
        <w:rPr>
          <w:rFonts w:hint="eastAsia" w:ascii="仿宋" w:hAnsi="仿宋" w:eastAsia="仿宋" w:cs="仿宋"/>
          <w:b/>
          <w:color w:val="auto"/>
          <w:sz w:val="24"/>
        </w:rPr>
        <w:t>2.12 税费</w:t>
      </w:r>
      <w:bookmarkEnd w:id="476"/>
      <w:bookmarkEnd w:id="477"/>
      <w:bookmarkEnd w:id="478"/>
      <w:bookmarkEnd w:id="479"/>
      <w:bookmarkEnd w:id="48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rPr>
      </w:pPr>
      <w:bookmarkStart w:id="481" w:name="_Toc26883"/>
      <w:bookmarkStart w:id="482" w:name="_Toc25525"/>
      <w:bookmarkStart w:id="483" w:name="_Toc30105"/>
      <w:bookmarkStart w:id="484" w:name="_Toc14814"/>
      <w:bookmarkStart w:id="485" w:name="_Toc7315"/>
      <w:r>
        <w:rPr>
          <w:rFonts w:hint="eastAsia" w:ascii="仿宋" w:hAnsi="仿宋" w:eastAsia="仿宋" w:cs="仿宋"/>
          <w:b/>
          <w:color w:val="auto"/>
          <w:sz w:val="24"/>
        </w:rPr>
        <w:t>2.13 乙方破产</w:t>
      </w:r>
      <w:bookmarkEnd w:id="481"/>
      <w:bookmarkEnd w:id="482"/>
      <w:bookmarkEnd w:id="483"/>
      <w:bookmarkEnd w:id="484"/>
      <w:bookmarkEnd w:id="48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486" w:name="_Toc23323"/>
      <w:bookmarkStart w:id="487" w:name="_Toc1123"/>
      <w:bookmarkStart w:id="488" w:name="_Toc2016"/>
      <w:r>
        <w:rPr>
          <w:rFonts w:hint="eastAsia" w:ascii="仿宋" w:hAnsi="仿宋" w:eastAsia="仿宋" w:cs="仿宋"/>
          <w:b/>
          <w:color w:val="auto"/>
          <w:sz w:val="24"/>
        </w:rPr>
        <w:t>2.14 合同中止、终止</w:t>
      </w:r>
      <w:bookmarkEnd w:id="486"/>
      <w:bookmarkEnd w:id="487"/>
      <w:bookmarkEnd w:id="48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489" w:name="_Toc14525"/>
      <w:bookmarkStart w:id="490" w:name="_Toc1969"/>
      <w:bookmarkStart w:id="491" w:name="_Toc17363"/>
      <w:r>
        <w:rPr>
          <w:rFonts w:hint="eastAsia" w:ascii="仿宋" w:hAnsi="仿宋" w:eastAsia="仿宋" w:cs="仿宋"/>
          <w:b/>
          <w:color w:val="auto"/>
          <w:sz w:val="24"/>
        </w:rPr>
        <w:t>2.15 检验和验收</w:t>
      </w:r>
      <w:bookmarkEnd w:id="489"/>
      <w:bookmarkEnd w:id="490"/>
      <w:bookmarkEnd w:id="491"/>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pPr>
        <w:spacing w:line="560" w:lineRule="exact"/>
        <w:ind w:firstLine="482" w:firstLineChars="200"/>
        <w:outlineLvl w:val="0"/>
        <w:rPr>
          <w:rFonts w:hint="eastAsia" w:ascii="仿宋" w:hAnsi="仿宋" w:eastAsia="仿宋" w:cs="仿宋"/>
          <w:b/>
          <w:color w:val="auto"/>
          <w:sz w:val="24"/>
        </w:rPr>
      </w:pPr>
      <w:bookmarkStart w:id="492" w:name="_Toc25198"/>
      <w:bookmarkStart w:id="493" w:name="_Toc31892"/>
      <w:bookmarkStart w:id="494" w:name="_Toc9808"/>
      <w:bookmarkStart w:id="495" w:name="_Toc2308"/>
      <w:bookmarkStart w:id="496" w:name="_Toc12666"/>
      <w:r>
        <w:rPr>
          <w:rFonts w:hint="eastAsia" w:ascii="仿宋" w:hAnsi="仿宋" w:eastAsia="仿宋" w:cs="仿宋"/>
          <w:b/>
          <w:color w:val="auto"/>
          <w:sz w:val="24"/>
        </w:rPr>
        <w:t>2.16 通知和送达</w:t>
      </w:r>
      <w:bookmarkEnd w:id="492"/>
      <w:bookmarkEnd w:id="493"/>
      <w:bookmarkEnd w:id="494"/>
      <w:bookmarkEnd w:id="495"/>
      <w:bookmarkEnd w:id="496"/>
    </w:p>
    <w:p>
      <w:pPr>
        <w:spacing w:line="560" w:lineRule="exact"/>
        <w:ind w:firstLine="480" w:firstLineChars="200"/>
        <w:rPr>
          <w:rFonts w:hint="eastAsia" w:ascii="仿宋" w:hAnsi="仿宋" w:eastAsia="仿宋" w:cs="仿宋"/>
          <w:color w:val="auto"/>
          <w:sz w:val="24"/>
        </w:rPr>
      </w:pPr>
      <w:bookmarkStart w:id="497" w:name="_Toc18401"/>
      <w:bookmarkStart w:id="498" w:name="_Toc27674"/>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pPr>
        <w:spacing w:line="560" w:lineRule="exact"/>
        <w:ind w:firstLine="482" w:firstLineChars="200"/>
        <w:outlineLvl w:val="0"/>
        <w:rPr>
          <w:rFonts w:hint="eastAsia" w:ascii="仿宋" w:hAnsi="仿宋" w:eastAsia="仿宋" w:cs="仿宋"/>
          <w:b/>
          <w:color w:val="auto"/>
          <w:sz w:val="24"/>
        </w:rPr>
      </w:pPr>
      <w:bookmarkStart w:id="499" w:name="_Toc20808"/>
      <w:bookmarkStart w:id="500" w:name="_Toc28906"/>
      <w:bookmarkStart w:id="501" w:name="_Toc5063"/>
      <w:bookmarkStart w:id="502" w:name="_Toc27644"/>
      <w:bookmarkStart w:id="503" w:name="_Toc12254"/>
      <w:r>
        <w:rPr>
          <w:rFonts w:hint="eastAsia" w:ascii="仿宋" w:hAnsi="仿宋" w:eastAsia="仿宋" w:cs="仿宋"/>
          <w:b/>
          <w:color w:val="auto"/>
          <w:sz w:val="24"/>
        </w:rPr>
        <w:t>2.17 合同使用的文字和适用的法律</w:t>
      </w:r>
      <w:bookmarkEnd w:id="499"/>
      <w:bookmarkEnd w:id="500"/>
      <w:bookmarkEnd w:id="501"/>
      <w:bookmarkEnd w:id="502"/>
      <w:bookmarkEnd w:id="50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504" w:name="_Toc4355"/>
      <w:bookmarkStart w:id="505" w:name="_Toc18540"/>
      <w:bookmarkStart w:id="506" w:name="_Toc30599"/>
      <w:r>
        <w:rPr>
          <w:rFonts w:hint="eastAsia" w:ascii="仿宋" w:hAnsi="仿宋" w:eastAsia="仿宋" w:cs="仿宋"/>
          <w:b/>
          <w:color w:val="auto"/>
          <w:sz w:val="24"/>
        </w:rPr>
        <w:t>2.18 计量单位</w:t>
      </w:r>
      <w:bookmarkEnd w:id="504"/>
      <w:bookmarkEnd w:id="505"/>
      <w:bookmarkEnd w:id="50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spacing w:line="360" w:lineRule="auto"/>
        <w:jc w:val="center"/>
        <w:outlineLvl w:val="0"/>
        <w:rPr>
          <w:rFonts w:hint="eastAsia" w:ascii="仿宋" w:hAnsi="仿宋" w:eastAsia="仿宋" w:cs="仿宋"/>
          <w:b/>
          <w:color w:val="auto"/>
          <w:sz w:val="24"/>
        </w:rPr>
      </w:pPr>
      <w:r>
        <w:rPr>
          <w:rFonts w:hint="eastAsia" w:ascii="仿宋" w:hAnsi="仿宋" w:eastAsia="仿宋" w:cs="仿宋"/>
          <w:color w:val="auto"/>
          <w:kern w:val="0"/>
        </w:rPr>
        <w:br w:type="page"/>
      </w:r>
      <w:bookmarkStart w:id="507" w:name="_Toc331685784"/>
      <w:r>
        <w:rPr>
          <w:rFonts w:hint="eastAsia" w:ascii="仿宋" w:hAnsi="仿宋" w:eastAsia="仿宋" w:cs="仿宋"/>
          <w:b/>
          <w:color w:val="auto"/>
          <w:sz w:val="24"/>
        </w:rPr>
        <w:t xml:space="preserve"> </w:t>
      </w:r>
      <w:bookmarkEnd w:id="507"/>
      <w:r>
        <w:rPr>
          <w:rFonts w:hint="eastAsia" w:ascii="仿宋" w:hAnsi="仿宋" w:eastAsia="仿宋" w:cs="仿宋"/>
          <w:b/>
          <w:color w:val="auto"/>
          <w:sz w:val="24"/>
        </w:rPr>
        <w:t>第三部分  合同专用条款</w:t>
      </w:r>
    </w:p>
    <w:p>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149"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149" w:type="dxa"/>
            <w:vAlign w:val="top"/>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8149"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8149" w:type="dxa"/>
            <w:vAlign w:val="top"/>
          </w:tcPr>
          <w:p>
            <w:pPr>
              <w:spacing w:line="360" w:lineRule="auto"/>
              <w:rPr>
                <w:rFonts w:hint="eastAsia" w:ascii="仿宋" w:hAnsi="仿宋" w:eastAsia="仿宋" w:cs="仿宋"/>
                <w:color w:val="auto"/>
                <w:sz w:val="24"/>
              </w:rPr>
            </w:pPr>
          </w:p>
        </w:tc>
      </w:tr>
    </w:tbl>
    <w:p>
      <w:pPr>
        <w:spacing w:line="360" w:lineRule="auto"/>
        <w:ind w:left="-420" w:leftChars="-200" w:right="-420" w:rightChars="-200" w:firstLine="480" w:firstLineChars="200"/>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widowControl/>
        <w:adjustRightInd/>
        <w:spacing w:line="480" w:lineRule="auto"/>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2"/>
      <w:r>
        <w:rPr>
          <w:rFonts w:hint="eastAsia" w:ascii="仿宋" w:hAnsi="仿宋" w:eastAsia="仿宋" w:cs="仿宋"/>
          <w:b/>
          <w:color w:val="auto"/>
          <w:sz w:val="36"/>
          <w:szCs w:val="20"/>
        </w:rPr>
        <w:t xml:space="preserve"> </w:t>
      </w:r>
      <w:bookmarkEnd w:id="393"/>
      <w:r>
        <w:rPr>
          <w:rFonts w:hint="eastAsia" w:ascii="仿宋" w:hAnsi="仿宋" w:eastAsia="仿宋" w:cs="仿宋"/>
          <w:b/>
          <w:color w:val="auto"/>
          <w:sz w:val="36"/>
          <w:szCs w:val="20"/>
        </w:rPr>
        <w:t>应提交的有关格式范例</w:t>
      </w:r>
    </w:p>
    <w:p>
      <w:pPr>
        <w:spacing w:line="480" w:lineRule="auto"/>
        <w:jc w:val="center"/>
        <w:outlineLvl w:val="0"/>
        <w:rPr>
          <w:rFonts w:hint="eastAsia" w:ascii="仿宋" w:hAnsi="仿宋" w:eastAsia="仿宋" w:cs="仿宋"/>
          <w:b/>
          <w:color w:val="auto"/>
          <w:kern w:val="0"/>
          <w:sz w:val="36"/>
          <w:szCs w:val="36"/>
        </w:rPr>
      </w:pP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480" w:lineRule="auto"/>
        <w:jc w:val="center"/>
        <w:outlineLvl w:val="0"/>
        <w:rPr>
          <w:rFonts w:hint="eastAsia" w:ascii="仿宋" w:hAnsi="仿宋" w:eastAsia="仿宋" w:cs="仿宋"/>
          <w:b/>
          <w:color w:val="auto"/>
          <w:kern w:val="0"/>
          <w:sz w:val="36"/>
          <w:szCs w:val="36"/>
        </w:rPr>
      </w:pP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48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48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48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sz w:val="24"/>
        </w:rPr>
        <w:t>：</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】政府采购活动，郑重承诺：</w:t>
      </w:r>
    </w:p>
    <w:p>
      <w:pPr>
        <w:snapToGrid w:val="0"/>
        <w:spacing w:line="48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48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48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both"/>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pPr>
        <w:widowControl/>
        <w:spacing w:line="360" w:lineRule="auto"/>
        <w:ind w:firstLine="482" w:firstLineChars="200"/>
        <w:jc w:val="left"/>
        <w:rPr>
          <w:rFonts w:hint="eastAsia" w:ascii="仿宋" w:hAnsi="仿宋" w:eastAsia="仿宋" w:cs="仿宋"/>
          <w:b/>
          <w:color w:val="auto"/>
          <w:kern w:val="0"/>
          <w:sz w:val="32"/>
          <w:szCs w:val="32"/>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rPr>
      </w:pPr>
    </w:p>
    <w:p>
      <w:pPr>
        <w:pStyle w:val="2"/>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w:t>
      </w:r>
    </w:p>
    <w:p>
      <w:pPr>
        <w:snapToGrid w:val="0"/>
        <w:spacing w:before="50" w:after="50" w:line="360" w:lineRule="auto"/>
        <w:jc w:val="left"/>
        <w:rPr>
          <w:rFonts w:hint="eastAsia" w:ascii="仿宋" w:hAnsi="仿宋" w:eastAsia="仿宋" w:cs="仿宋"/>
          <w:b/>
          <w:color w:val="auto"/>
          <w:sz w:val="24"/>
        </w:rPr>
      </w:pP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r>
        <w:rPr>
          <w:rFonts w:hint="eastAsia" w:ascii="微软雅黑" w:hAnsi="微软雅黑" w:eastAsia="微软雅黑" w:cs="微软雅黑"/>
          <w:color w:val="auto"/>
          <w:sz w:val="24"/>
        </w:rPr>
        <w:t>★</w:t>
      </w:r>
      <w:r>
        <w:rPr>
          <w:rFonts w:hint="eastAsia" w:ascii="仿宋" w:hAnsi="仿宋" w:eastAsia="仿宋" w:cs="仿宋"/>
          <w:b/>
          <w:bCs/>
          <w:color w:val="auto"/>
          <w:sz w:val="24"/>
          <w:lang w:eastAsia="zh-CN"/>
        </w:rPr>
        <w:t>（</w:t>
      </w:r>
      <w:r>
        <w:rPr>
          <w:rFonts w:hint="eastAsia" w:ascii="仿宋" w:hAnsi="仿宋" w:eastAsia="仿宋" w:cs="仿宋"/>
          <w:b/>
          <w:bCs/>
          <w:color w:val="auto"/>
          <w:sz w:val="24"/>
          <w:highlight w:val="none"/>
          <w:lang w:eastAsia="zh-CN"/>
        </w:rPr>
        <w:t>本项目必须提供，否则作无效投标）</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widowControl/>
        <w:adjustRightInd/>
        <w:jc w:val="left"/>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60" w:lineRule="auto"/>
        <w:ind w:right="420" w:firstLine="3614" w:firstLineChars="1000"/>
        <w:rPr>
          <w:rFonts w:hint="eastAsia" w:ascii="仿宋" w:hAnsi="仿宋" w:eastAsia="仿宋" w:cs="仿宋"/>
          <w:b/>
          <w:color w:val="auto"/>
          <w:kern w:val="0"/>
          <w:sz w:val="36"/>
          <w:szCs w:val="36"/>
        </w:rPr>
      </w:pPr>
    </w:p>
    <w:p>
      <w:pPr>
        <w:spacing w:line="48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480" w:lineRule="auto"/>
        <w:jc w:val="center"/>
        <w:outlineLvl w:val="0"/>
        <w:rPr>
          <w:rFonts w:hint="eastAsia" w:ascii="仿宋" w:hAnsi="仿宋" w:eastAsia="仿宋" w:cs="仿宋"/>
          <w:b/>
          <w:color w:val="auto"/>
          <w:kern w:val="0"/>
          <w:sz w:val="24"/>
        </w:rPr>
      </w:pPr>
    </w:p>
    <w:p>
      <w:pPr>
        <w:spacing w:line="48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pPr>
        <w:snapToGrid w:val="0"/>
        <w:spacing w:line="48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1"/>
          <w:szCs w:val="21"/>
          <w:highlight w:val="none"/>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480" w:lineRule="auto"/>
        <w:ind w:left="479" w:leftChars="22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投标人签署的《政府采购活动现场确认声明书》</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（页码）</w:t>
      </w:r>
    </w:p>
    <w:p>
      <w:pPr>
        <w:pStyle w:val="2"/>
        <w:rPr>
          <w:rFonts w:hint="eastAsia" w:ascii="仿宋" w:hAnsi="仿宋" w:eastAsia="仿宋" w:cs="仿宋"/>
          <w:color w:val="auto"/>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widowControl/>
        <w:adjustRightInd/>
        <w:jc w:val="left"/>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】招标的有关活动，并对此项目进行投标。为此：</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08" w:name="_Hlk101257010"/>
      <w:r>
        <w:rPr>
          <w:rFonts w:hint="eastAsia" w:ascii="仿宋" w:hAnsi="仿宋" w:eastAsia="仿宋" w:cs="仿宋"/>
          <w:color w:val="auto"/>
          <w:sz w:val="24"/>
        </w:rPr>
        <w:t>（如果有)</w:t>
      </w:r>
      <w:bookmarkEnd w:id="508"/>
      <w:r>
        <w:rPr>
          <w:rFonts w:hint="eastAsia" w:ascii="仿宋" w:hAnsi="仿宋" w:eastAsia="仿宋" w:cs="仿宋"/>
          <w:snapToGrid w:val="0"/>
          <w:color w:val="auto"/>
          <w:kern w:val="28"/>
          <w:sz w:val="24"/>
          <w:szCs w:val="20"/>
        </w:rPr>
        <w:t>；</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60" w:lineRule="auto"/>
        <w:ind w:left="420" w:leftChars="200" w:firstLine="480" w:firstLineChars="200"/>
        <w:rPr>
          <w:rFonts w:hint="default" w:eastAsia="仿宋"/>
          <w:color w:val="auto"/>
          <w:lang w:val="en-US" w:eastAsia="zh-CN"/>
        </w:rPr>
      </w:pPr>
      <w:r>
        <w:rPr>
          <w:rFonts w:hint="eastAsia" w:ascii="仿宋" w:hAnsi="仿宋" w:eastAsia="仿宋" w:cs="仿宋"/>
          <w:color w:val="auto"/>
          <w:sz w:val="24"/>
          <w:lang w:val="en-US" w:eastAsia="zh-CN"/>
        </w:rPr>
        <w:t>2.2.9</w:t>
      </w:r>
      <w:r>
        <w:rPr>
          <w:rFonts w:hint="eastAsia" w:ascii="仿宋" w:hAnsi="仿宋" w:eastAsia="仿宋" w:cs="仿宋"/>
          <w:b w:val="0"/>
          <w:bCs w:val="0"/>
          <w:color w:val="auto"/>
          <w:kern w:val="2"/>
          <w:sz w:val="24"/>
          <w:szCs w:val="24"/>
          <w:lang w:val="en-US" w:eastAsia="zh-CN" w:bidi="ar-SA"/>
        </w:rPr>
        <w:t>政府采购活动现场确认声明书；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jc w:val="center"/>
        <w:rPr>
          <w:rFonts w:hint="eastAsia" w:ascii="仿宋" w:hAnsi="仿宋" w:eastAsia="仿宋" w:cs="仿宋"/>
          <w:b/>
          <w:color w:val="auto"/>
          <w:kern w:val="0"/>
          <w:sz w:val="32"/>
          <w:szCs w:val="32"/>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480" w:lineRule="auto"/>
        <w:rPr>
          <w:rFonts w:hint="eastAsia" w:ascii="仿宋" w:hAnsi="仿宋" w:eastAsia="仿宋" w:cs="仿宋"/>
          <w:color w:val="auto"/>
          <w:kern w:val="0"/>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87"/>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87"/>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snapToGrid w:val="0"/>
        <w:spacing w:line="360" w:lineRule="auto"/>
        <w:ind w:right="480"/>
        <w:rPr>
          <w:rFonts w:hint="eastAsia" w:ascii="仿宋" w:hAnsi="仿宋" w:eastAsia="仿宋" w:cs="仿宋"/>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p>
    <w:p>
      <w:pPr>
        <w:snapToGrid w:val="0"/>
        <w:spacing w:line="48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pPr>
        <w:widowControl/>
        <w:spacing w:line="48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rPr>
          <w:rFonts w:hint="eastAsia" w:ascii="仿宋" w:hAnsi="仿宋" w:eastAsia="仿宋" w:cs="仿宋"/>
          <w:color w:val="auto"/>
          <w:kern w:val="0"/>
          <w:sz w:val="24"/>
        </w:rPr>
      </w:pPr>
    </w:p>
    <w:p>
      <w:pPr>
        <w:pStyle w:val="2"/>
        <w:rPr>
          <w:rFonts w:hint="eastAsia"/>
          <w:color w:val="auto"/>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jc w:val="both"/>
              <w:rPr>
                <w:rFonts w:hint="eastAsia" w:ascii="仿宋" w:hAnsi="仿宋" w:eastAsia="仿宋" w:cs="仿宋"/>
                <w:color w:val="auto"/>
                <w:sz w:val="24"/>
              </w:rPr>
            </w:pPr>
          </w:p>
          <w:p>
            <w:pPr>
              <w:jc w:val="both"/>
              <w:rPr>
                <w:rFonts w:hint="eastAsia" w:ascii="仿宋" w:hAnsi="仿宋" w:eastAsia="仿宋" w:cs="仿宋"/>
                <w:color w:val="auto"/>
                <w:sz w:val="24"/>
              </w:rPr>
            </w:pPr>
            <w:r>
              <w:rPr>
                <w:rFonts w:hint="eastAsia" w:ascii="仿宋" w:hAnsi="仿宋" w:eastAsia="仿宋" w:cs="仿宋"/>
                <w:color w:val="auto"/>
                <w:sz w:val="24"/>
              </w:rPr>
              <w:t>见投标文件</w:t>
            </w:r>
          </w:p>
          <w:p>
            <w:pPr>
              <w:jc w:val="both"/>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jc w:val="both"/>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646"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vAlign w:val="center"/>
          </w:tcPr>
          <w:p>
            <w:pPr>
              <w:spacing w:line="360" w:lineRule="auto"/>
              <w:jc w:val="both"/>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pPr>
              <w:jc w:val="both"/>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spacing w:line="480" w:lineRule="auto"/>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48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both"/>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numPr>
          <w:ilvl w:val="0"/>
          <w:numId w:val="0"/>
        </w:num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投标标的清单</w:t>
      </w:r>
    </w:p>
    <w:p>
      <w:pPr>
        <w:pStyle w:val="2"/>
        <w:numPr>
          <w:ilvl w:val="0"/>
          <w:numId w:val="0"/>
        </w:numPr>
        <w:ind w:leftChars="0"/>
        <w:rPr>
          <w:rFonts w:hint="eastAsia"/>
          <w:color w:val="auto"/>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bl>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numPr>
          <w:ilvl w:val="0"/>
          <w:numId w:val="0"/>
        </w:num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商务技术偏离表</w:t>
      </w:r>
    </w:p>
    <w:p>
      <w:pPr>
        <w:pStyle w:val="2"/>
        <w:numPr>
          <w:ilvl w:val="0"/>
          <w:numId w:val="0"/>
        </w:numPr>
        <w:ind w:leftChars="900"/>
        <w:rPr>
          <w:rFonts w:hint="eastAsia"/>
          <w:color w:val="auto"/>
        </w:rPr>
      </w:pPr>
    </w:p>
    <w:tbl>
      <w:tblPr>
        <w:tblStyle w:val="63"/>
        <w:tblW w:w="9723"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3683"/>
        <w:gridCol w:w="354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345"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345" w:type="dxa"/>
            <w:vAlign w:val="top"/>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345" w:type="dxa"/>
            <w:vAlign w:val="top"/>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345" w:type="dxa"/>
            <w:vAlign w:val="top"/>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p>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pStyle w:val="23"/>
        <w:rPr>
          <w:rFonts w:hint="eastAsia"/>
        </w:rPr>
      </w:pPr>
    </w:p>
    <w:p>
      <w:pPr>
        <w:ind w:firstLine="1911" w:firstLineChars="595"/>
        <w:rPr>
          <w:rFonts w:hint="eastAsia" w:ascii="仿宋" w:hAnsi="仿宋" w:eastAsia="仿宋" w:cs="仿宋"/>
          <w:b/>
          <w:bCs/>
          <w:color w:val="auto"/>
          <w:sz w:val="32"/>
          <w:szCs w:val="32"/>
        </w:rPr>
      </w:pP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pPr>
    </w:p>
    <w:p>
      <w:pPr>
        <w:pStyle w:val="2"/>
        <w:rPr>
          <w:rFonts w:hint="eastAsia" w:ascii="仿宋" w:hAnsi="仿宋" w:eastAsia="仿宋" w:cs="仿宋"/>
          <w:b/>
          <w:bCs/>
          <w:color w:val="auto"/>
          <w:sz w:val="24"/>
        </w:rPr>
      </w:pPr>
    </w:p>
    <w:p>
      <w:pPr>
        <w:pStyle w:val="2"/>
        <w:ind w:left="0" w:leftChars="0" w:firstLine="0" w:firstLineChars="0"/>
        <w:rPr>
          <w:rFonts w:hint="eastAsia" w:ascii="仿宋" w:hAnsi="仿宋" w:eastAsia="仿宋" w:cs="仿宋"/>
          <w:b/>
          <w:bCs/>
          <w:color w:val="auto"/>
          <w:sz w:val="24"/>
          <w:lang w:val="en-US" w:eastAsia="zh-CN"/>
        </w:rPr>
      </w:pPr>
    </w:p>
    <w:p>
      <w:pPr>
        <w:rPr>
          <w:rFonts w:hint="eastAsia" w:ascii="仿宋" w:hAnsi="仿宋" w:eastAsia="仿宋" w:cs="仿宋"/>
          <w:color w:val="auto"/>
          <w:lang w:val="en-US" w:eastAsia="zh-CN"/>
        </w:rPr>
      </w:pPr>
    </w:p>
    <w:p>
      <w:pPr>
        <w:pStyle w:val="619"/>
        <w:numPr>
          <w:ilvl w:val="0"/>
          <w:numId w:val="0"/>
        </w:numPr>
        <w:snapToGrid w:val="0"/>
        <w:spacing w:before="120" w:after="120"/>
        <w:jc w:val="both"/>
        <w:rPr>
          <w:rFonts w:hint="eastAsia" w:ascii="仿宋" w:hAnsi="仿宋" w:eastAsia="仿宋" w:cs="仿宋"/>
          <w:b/>
          <w:color w:val="auto"/>
          <w:sz w:val="28"/>
          <w:szCs w:val="28"/>
          <w:highlight w:val="none"/>
        </w:rPr>
      </w:pPr>
    </w:p>
    <w:p>
      <w:pPr>
        <w:pStyle w:val="619"/>
        <w:numPr>
          <w:ilvl w:val="0"/>
          <w:numId w:val="0"/>
        </w:numPr>
        <w:snapToGrid w:val="0"/>
        <w:spacing w:before="120" w:after="120"/>
        <w:jc w:val="both"/>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确认声明书</w:t>
      </w:r>
      <w:r>
        <w:rPr>
          <w:rFonts w:hint="eastAsia" w:ascii="仿宋" w:hAnsi="仿宋" w:eastAsia="仿宋" w:cs="仿宋"/>
          <w:b/>
          <w:color w:val="auto"/>
          <w:sz w:val="28"/>
          <w:szCs w:val="28"/>
          <w:highlight w:val="none"/>
          <w:lang w:eastAsia="zh-CN"/>
        </w:rPr>
        <w:t>（将以下表格填写完成后，与投标文件同步制作递交）</w:t>
      </w:r>
    </w:p>
    <w:p>
      <w:pPr>
        <w:pStyle w:val="619"/>
        <w:snapToGrid w:val="0"/>
        <w:spacing w:before="120" w:after="12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（要求在电子投标文件解密后，</w:t>
      </w:r>
      <w:r>
        <w:rPr>
          <w:rFonts w:hint="eastAsia" w:ascii="仿宋" w:hAnsi="仿宋" w:eastAsia="仿宋" w:cs="仿宋"/>
          <w:b/>
          <w:color w:val="auto"/>
          <w:szCs w:val="24"/>
          <w:highlight w:val="none"/>
          <w:lang w:eastAsia="zh-CN"/>
        </w:rPr>
        <w:t>自行核实下述承诺内容。如有不符，重新联系代理公司，</w:t>
      </w:r>
    </w:p>
    <w:p>
      <w:pPr>
        <w:pStyle w:val="619"/>
        <w:snapToGrid w:val="0"/>
        <w:spacing w:before="120" w:after="120"/>
        <w:jc w:val="both"/>
        <w:rPr>
          <w:rFonts w:hint="eastAsia" w:ascii="仿宋" w:hAnsi="仿宋" w:eastAsia="仿宋" w:cs="仿宋"/>
          <w:color w:val="auto"/>
          <w:kern w:val="0"/>
          <w:sz w:val="21"/>
          <w:szCs w:val="21"/>
          <w:highlight w:val="none"/>
        </w:rPr>
      </w:pPr>
      <w:r>
        <w:rPr>
          <w:rFonts w:hint="eastAsia" w:ascii="仿宋" w:hAnsi="仿宋" w:eastAsia="仿宋" w:cs="仿宋"/>
          <w:b/>
          <w:color w:val="auto"/>
          <w:szCs w:val="24"/>
          <w:highlight w:val="none"/>
          <w:lang w:eastAsia="zh-CN"/>
        </w:rPr>
        <w:t>重新按新的内容邮箱递交）</w:t>
      </w:r>
    </w:p>
    <w:p>
      <w:pPr>
        <w:pStyle w:val="619"/>
        <w:snapToGrid w:val="0"/>
        <w:spacing w:before="120" w:after="120"/>
        <w:jc w:val="center"/>
        <w:rPr>
          <w:rFonts w:hint="eastAsia" w:ascii="仿宋" w:hAnsi="仿宋" w:eastAsia="仿宋" w:cs="仿宋"/>
          <w:b/>
          <w:color w:val="auto"/>
          <w:sz w:val="32"/>
          <w:szCs w:val="32"/>
          <w:highlight w:val="none"/>
        </w:rPr>
      </w:pPr>
    </w:p>
    <w:p>
      <w:pPr>
        <w:pStyle w:val="619"/>
        <w:snapToGrid w:val="0"/>
        <w:spacing w:before="120" w:after="12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pPr>
        <w:pStyle w:val="619"/>
        <w:snapToGrid w:val="0"/>
        <w:spacing w:before="120" w:after="120"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采购人、代理机构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pStyle w:val="619"/>
        <w:snapToGrid w:val="0"/>
        <w:spacing w:before="120" w:after="120"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pPr>
        <w:pStyle w:val="620"/>
        <w:widowControl/>
        <w:numPr>
          <w:ilvl w:val="0"/>
          <w:numId w:val="2"/>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62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pPr>
        <w:pStyle w:val="62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pPr>
        <w:pStyle w:val="62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pPr>
        <w:pStyle w:val="619"/>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pPr>
        <w:pStyle w:val="619"/>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pPr>
        <w:pStyle w:val="619"/>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pPr>
        <w:pStyle w:val="619"/>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pPr>
        <w:pStyle w:val="619"/>
        <w:widowControl w:val="0"/>
        <w:wordWrap/>
        <w:adjustRightInd/>
        <w:snapToGrid w:val="0"/>
        <w:spacing w:before="120" w:after="120"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pPr>
        <w:pStyle w:val="619"/>
        <w:snapToGrid w:val="0"/>
        <w:spacing w:before="120" w:after="120"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pPr>
        <w:pStyle w:val="620"/>
        <w:widowControl/>
        <w:numPr>
          <w:ilvl w:val="0"/>
          <w:numId w:val="3"/>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pPr>
        <w:pStyle w:val="620"/>
        <w:widowControl/>
        <w:numPr>
          <w:ilvl w:val="0"/>
          <w:numId w:val="3"/>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pPr>
        <w:pStyle w:val="619"/>
        <w:snapToGrid w:val="0"/>
        <w:spacing w:before="120" w:after="120"/>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供应商</w:t>
      </w:r>
      <w:r>
        <w:rPr>
          <w:rFonts w:hint="eastAsia" w:ascii="仿宋" w:hAnsi="仿宋" w:eastAsia="仿宋" w:cs="仿宋"/>
          <w:color w:val="auto"/>
          <w:sz w:val="21"/>
          <w:szCs w:val="21"/>
          <w:highlight w:val="none"/>
          <w:lang w:eastAsia="zh-CN"/>
        </w:rPr>
        <w:t>盖章：</w:t>
      </w:r>
    </w:p>
    <w:p>
      <w:pPr>
        <w:pStyle w:val="619"/>
        <w:snapToGrid w:val="0"/>
        <w:spacing w:before="120" w:after="120"/>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授权委托</w:t>
      </w:r>
      <w:r>
        <w:rPr>
          <w:rFonts w:hint="eastAsia" w:ascii="仿宋" w:hAnsi="仿宋" w:eastAsia="仿宋" w:cs="仿宋"/>
          <w:color w:val="auto"/>
          <w:sz w:val="21"/>
          <w:szCs w:val="21"/>
          <w:highlight w:val="none"/>
        </w:rPr>
        <w:t>代表签名：</w:t>
      </w:r>
    </w:p>
    <w:p>
      <w:pPr>
        <w:snapToGrid w:val="0"/>
        <w:spacing w:line="360" w:lineRule="auto"/>
        <w:jc w:val="left"/>
        <w:rPr>
          <w:rFonts w:hint="eastAsia" w:ascii="仿宋" w:hAnsi="仿宋" w:eastAsia="仿宋" w:cs="仿宋"/>
          <w:color w:val="auto"/>
          <w:highlight w:val="none"/>
          <w:lang w:val="en-US"/>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年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日</w:t>
      </w:r>
    </w:p>
    <w:p>
      <w:pPr>
        <w:rPr>
          <w:rFonts w:hint="eastAsia" w:ascii="仿宋" w:hAnsi="仿宋" w:eastAsia="仿宋" w:cs="仿宋"/>
          <w:color w:val="auto"/>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480" w:lineRule="auto"/>
        <w:jc w:val="center"/>
        <w:outlineLvl w:val="0"/>
        <w:rPr>
          <w:rFonts w:hint="eastAsia" w:ascii="仿宋" w:hAnsi="仿宋" w:eastAsia="仿宋" w:cs="仿宋"/>
          <w:b/>
          <w:color w:val="auto"/>
          <w:kern w:val="0"/>
          <w:sz w:val="36"/>
          <w:szCs w:val="36"/>
        </w:rPr>
      </w:pP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48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480" w:lineRule="auto"/>
        <w:jc w:val="center"/>
        <w:outlineLvl w:val="0"/>
        <w:rPr>
          <w:rFonts w:hint="eastAsia" w:ascii="仿宋" w:hAnsi="仿宋" w:eastAsia="仿宋" w:cs="仿宋"/>
          <w:b/>
          <w:color w:val="auto"/>
          <w:kern w:val="0"/>
          <w:sz w:val="36"/>
          <w:szCs w:val="36"/>
        </w:rPr>
      </w:pP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48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48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376"/>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kern w:val="0"/>
          <w:sz w:val="24"/>
          <w:lang w:val="zh-CN"/>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vAlign w:val="top"/>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2127" w:type="dxa"/>
            <w:vAlign w:val="top"/>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vAlign w:val="top"/>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vAlign w:val="top"/>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vAlign w:val="top"/>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vAlign w:val="top"/>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rPr>
            </w:pPr>
          </w:p>
        </w:tc>
        <w:tc>
          <w:tcPr>
            <w:tcW w:w="992"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410" w:type="dxa"/>
            <w:vAlign w:val="center"/>
          </w:tcPr>
          <w:p>
            <w:pPr>
              <w:snapToGrid w:val="0"/>
              <w:spacing w:line="360" w:lineRule="auto"/>
              <w:jc w:val="center"/>
              <w:rPr>
                <w:rFonts w:hint="eastAsia" w:ascii="仿宋" w:hAnsi="仿宋" w:eastAsia="仿宋" w:cs="仿宋"/>
                <w:color w:val="auto"/>
                <w:sz w:val="24"/>
              </w:rPr>
            </w:pPr>
          </w:p>
        </w:tc>
        <w:tc>
          <w:tcPr>
            <w:tcW w:w="2268" w:type="dxa"/>
            <w:vAlign w:val="center"/>
          </w:tcPr>
          <w:p>
            <w:pPr>
              <w:snapToGrid w:val="0"/>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c>
          <w:tcPr>
            <w:tcW w:w="2127" w:type="dxa"/>
            <w:vAlign w:val="top"/>
          </w:tcPr>
          <w:p>
            <w:pPr>
              <w:spacing w:line="360" w:lineRule="auto"/>
              <w:jc w:val="center"/>
              <w:rPr>
                <w:rFonts w:hint="eastAsia" w:ascii="仿宋" w:hAnsi="仿宋" w:eastAsia="仿宋" w:cs="仿宋"/>
                <w:color w:val="auto"/>
                <w:sz w:val="24"/>
              </w:rPr>
            </w:pPr>
          </w:p>
        </w:tc>
        <w:tc>
          <w:tcPr>
            <w:tcW w:w="2126"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vAlign w:val="top"/>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vAlign w:val="top"/>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rPr>
      </w:pPr>
    </w:p>
    <w:p>
      <w:pPr>
        <w:pStyle w:val="376"/>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widowControl/>
        <w:numPr>
          <w:ilvl w:val="0"/>
          <w:numId w:val="2"/>
        </w:numPr>
        <w:spacing w:line="360" w:lineRule="auto"/>
        <w:ind w:left="0" w:leftChars="0" w:firstLine="607" w:firstLineChars="189"/>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中小企业声明函</w:t>
      </w:r>
    </w:p>
    <w:p>
      <w:pPr>
        <w:widowControl/>
        <w:numPr>
          <w:ilvl w:val="0"/>
          <w:numId w:val="0"/>
        </w:numPr>
        <w:spacing w:line="360" w:lineRule="auto"/>
        <w:jc w:val="center"/>
        <w:rPr>
          <w:rFonts w:hint="eastAsia" w:ascii="仿宋" w:hAnsi="仿宋" w:eastAsia="仿宋" w:cs="仿宋"/>
          <w:b w:val="0"/>
          <w:color w:val="auto"/>
          <w:sz w:val="32"/>
          <w:szCs w:val="32"/>
          <w:lang w:eastAsia="zh-CN"/>
        </w:rPr>
      </w:pP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lang w:val="en-US" w:eastAsia="zh-CN"/>
        </w:rPr>
        <w:t>格式详见附件7</w:t>
      </w:r>
      <w:r>
        <w:rPr>
          <w:rFonts w:hint="eastAsia" w:ascii="仿宋" w:hAnsi="仿宋" w:eastAsia="仿宋" w:cs="仿宋"/>
          <w:b w:val="0"/>
          <w:color w:val="auto"/>
          <w:sz w:val="32"/>
          <w:szCs w:val="32"/>
          <w:lang w:eastAsia="zh-CN"/>
        </w:rPr>
        <w:t>）</w:t>
      </w: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rPr>
      </w:pPr>
      <w:r>
        <w:rPr>
          <w:rFonts w:hint="eastAsia" w:ascii="仿宋" w:hAnsi="仿宋" w:eastAsia="仿宋" w:cs="仿宋"/>
          <w:color w:val="auto"/>
        </w:rPr>
        <w:t>附件</w:t>
      </w:r>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509" w:name="OLE_LINK13"/>
      <w:bookmarkStart w:id="510" w:name="OLE_LINK14"/>
      <w:r>
        <w:rPr>
          <w:rFonts w:hint="eastAsia" w:ascii="仿宋" w:hAnsi="仿宋" w:eastAsia="仿宋" w:cs="仿宋"/>
          <w:b/>
          <w:color w:val="auto"/>
          <w:spacing w:val="6"/>
          <w:sz w:val="32"/>
          <w:szCs w:val="32"/>
        </w:rPr>
        <w:t>残疾人福利性单位声明函</w:t>
      </w:r>
    </w:p>
    <w:bookmarkEnd w:id="509"/>
    <w:bookmarkEnd w:id="510"/>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杭州市余杭区住房保障和房产业服务中心</w:t>
      </w:r>
      <w:r>
        <w:rPr>
          <w:rFonts w:hint="eastAsia" w:ascii="仿宋" w:hAnsi="仿宋" w:eastAsia="仿宋" w:cs="仿宋"/>
          <w:color w:val="auto"/>
          <w:sz w:val="24"/>
        </w:rPr>
        <w:t>、</w:t>
      </w:r>
      <w:r>
        <w:rPr>
          <w:rFonts w:hint="eastAsia" w:ascii="仿宋" w:hAnsi="仿宋" w:eastAsia="仿宋" w:cs="仿宋"/>
          <w:color w:val="auto"/>
          <w:sz w:val="24"/>
          <w:lang w:eastAsia="zh-CN"/>
        </w:rPr>
        <w:t>杭州</w:t>
      </w:r>
      <w:r>
        <w:rPr>
          <w:rFonts w:hint="eastAsia" w:ascii="仿宋" w:hAnsi="仿宋" w:eastAsia="仿宋" w:cs="仿宋"/>
          <w:color w:val="auto"/>
          <w:sz w:val="24"/>
          <w:lang w:val="en-US" w:eastAsia="zh-CN"/>
        </w:rPr>
        <w:t>纵达工程咨询有限公司</w:t>
      </w:r>
      <w:r>
        <w:rPr>
          <w:rFonts w:hint="eastAsia" w:ascii="仿宋" w:hAnsi="仿宋" w:eastAsia="仿宋" w:cs="仿宋"/>
          <w:color w:val="auto"/>
          <w:sz w:val="24"/>
          <w:u w:val="single"/>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kern w:val="2"/>
          <w:sz w:val="24"/>
          <w:szCs w:val="24"/>
          <w:lang w:val="en-US" w:eastAsia="zh-CN" w:bidi="ar-SA"/>
        </w:rPr>
        <w:pict>
          <v:rect id="Rectangle 17" o:spid="_x0000_s102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lang w:val="en-US" w:eastAsia="zh-CN" w:bidi="ar-SA"/>
        </w:rPr>
        <w:pict>
          <v:rect id="Rectangle 16" o:spid="_x0000_s102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left="479" w:leftChars="228" w:firstLine="177" w:firstLineChars="74"/>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11" w:name="_Hlk101131882"/>
      <w:r>
        <w:rPr>
          <w:rFonts w:hint="eastAsia" w:ascii="仿宋" w:hAnsi="仿宋" w:eastAsia="仿宋" w:cs="仿宋"/>
          <w:color w:val="auto"/>
          <w:kern w:val="0"/>
          <w:sz w:val="24"/>
          <w:u w:val="single"/>
        </w:rPr>
        <w:t>联合体成员X,……</w:t>
      </w:r>
      <w:bookmarkEnd w:id="511"/>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12" w:name="_Hlk101133598"/>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12"/>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513"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13"/>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pStyle w:val="23"/>
        <w:rPr>
          <w:rFonts w:hint="eastAsia" w:ascii="仿宋" w:hAnsi="仿宋" w:eastAsia="仿宋" w:cs="仿宋"/>
          <w:b/>
          <w:color w:val="auto"/>
          <w:spacing w:val="6"/>
          <w:sz w:val="32"/>
          <w:szCs w:val="32"/>
        </w:rPr>
      </w:pPr>
    </w:p>
    <w:p>
      <w:pPr>
        <w:rPr>
          <w:rFonts w:hint="eastAsia"/>
        </w:rPr>
      </w:pPr>
    </w:p>
    <w:p>
      <w:pPr>
        <w:autoSpaceDE w:val="0"/>
        <w:autoSpaceDN w:val="0"/>
        <w:jc w:val="center"/>
        <w:rPr>
          <w:rFonts w:hint="eastAsia" w:ascii="仿宋" w:hAnsi="仿宋" w:eastAsia="仿宋" w:cs="仿宋"/>
          <w:b/>
          <w:color w:val="auto"/>
          <w:spacing w:val="6"/>
          <w:sz w:val="32"/>
          <w:szCs w:val="32"/>
        </w:rPr>
      </w:pPr>
    </w:p>
    <w:p>
      <w:pPr>
        <w:snapToGrid w:val="0"/>
        <w:spacing w:line="360" w:lineRule="auto"/>
        <w:ind w:firstLine="3666" w:firstLineChars="1100"/>
        <w:rPr>
          <w:rFonts w:hint="eastAsia" w:ascii="仿宋" w:hAnsi="仿宋" w:eastAsia="仿宋" w:cs="仿宋"/>
          <w:b/>
          <w:color w:val="auto"/>
          <w:spacing w:val="6"/>
          <w:sz w:val="32"/>
          <w:szCs w:val="32"/>
        </w:rPr>
      </w:pPr>
    </w:p>
    <w:p>
      <w:pPr>
        <w:widowControl/>
        <w:adjustRightInd/>
        <w:jc w:val="left"/>
        <w:rPr>
          <w:rFonts w:hint="eastAsia" w:ascii="仿宋" w:hAnsi="仿宋" w:eastAsia="仿宋" w:cs="仿宋"/>
          <w:b/>
          <w:color w:val="auto"/>
          <w:spacing w:val="6"/>
          <w:sz w:val="32"/>
          <w:szCs w:val="32"/>
        </w:rPr>
      </w:pPr>
    </w:p>
    <w:p>
      <w:pPr>
        <w:snapToGrid w:val="0"/>
        <w:spacing w:line="360" w:lineRule="auto"/>
        <w:ind w:firstLine="3666" w:firstLineChars="1100"/>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2"/>
        <w:ind w:left="664" w:leftChars="316" w:firstLine="229" w:firstLineChars="9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rPr>
          <w:rFonts w:hint="eastAsia" w:ascii="仿宋" w:hAnsi="仿宋" w:eastAsia="仿宋" w:cs="仿宋"/>
          <w:color w:val="auto"/>
        </w:rPr>
      </w:pPr>
      <w:r>
        <w:rPr>
          <w:rFonts w:hint="eastAsia" w:ascii="仿宋" w:hAnsi="仿宋" w:eastAsia="仿宋" w:cs="仿宋"/>
          <w:color w:val="auto"/>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pStyle w:val="23"/>
        <w:rPr>
          <w:rFonts w:hint="eastAsia"/>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附件7：中小企业声明函</w:t>
      </w: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lang w:val="en-US" w:eastAsia="zh-CN"/>
        </w:rPr>
        <w:t xml:space="preserve">   （采购人）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bCs/>
          <w:color w:val="auto"/>
          <w:sz w:val="24"/>
        </w:rPr>
      </w:pPr>
    </w:p>
    <w:p>
      <w:pPr>
        <w:pStyle w:val="2"/>
        <w:rPr>
          <w:rFonts w:hint="eastAsia" w:ascii="仿宋" w:hAnsi="仿宋" w:eastAsia="仿宋" w:cs="仿宋"/>
          <w:bCs/>
          <w:color w:val="auto"/>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中小微行业划型标准规定</w:t>
            </w:r>
            <w:r>
              <w:rPr>
                <w:rFonts w:hint="eastAsia" w:ascii="仿宋" w:hAnsi="仿宋" w:eastAsia="仿宋" w:cs="仿宋"/>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仿宋" w:hAnsi="仿宋" w:eastAsia="仿宋" w:cs="仿宋"/>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rPr>
          <w:rFonts w:hint="eastAsia" w:ascii="仿宋" w:hAnsi="仿宋" w:eastAsia="仿宋" w:cs="仿宋"/>
          <w:color w:val="auto"/>
        </w:rPr>
        <w:sectPr>
          <w:pgSz w:w="16838" w:h="11906" w:orient="landscape"/>
          <w:pgMar w:top="1418" w:right="1276" w:bottom="1418" w:left="1247" w:header="851" w:footer="992" w:gutter="0"/>
          <w:cols w:space="720" w:num="1"/>
          <w:titlePg/>
          <w:docGrid w:linePitch="312" w:charSpace="0"/>
        </w:sectPr>
      </w:pPr>
    </w:p>
    <w:p>
      <w:pPr>
        <w:spacing w:line="360" w:lineRule="auto"/>
        <w:jc w:val="left"/>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附件8（中标后提供）：</w:t>
      </w:r>
    </w:p>
    <w:p>
      <w:pPr>
        <w:jc w:val="center"/>
        <w:rPr>
          <w:rFonts w:hint="eastAsia" w:ascii="仿宋" w:hAnsi="仿宋" w:eastAsia="仿宋" w:cs="仿宋"/>
          <w:b/>
          <w:color w:val="auto"/>
          <w:sz w:val="30"/>
          <w:szCs w:val="30"/>
          <w:highlight w:val="none"/>
        </w:rPr>
      </w:pP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承 诺 书</w:t>
      </w:r>
    </w:p>
    <w:p>
      <w:pPr>
        <w:rPr>
          <w:rFonts w:hint="eastAsia" w:ascii="仿宋" w:hAnsi="仿宋" w:eastAsia="仿宋" w:cs="仿宋"/>
          <w:color w:val="auto"/>
          <w:sz w:val="30"/>
          <w:szCs w:val="30"/>
          <w:highlight w:val="none"/>
        </w:rPr>
      </w:pPr>
    </w:p>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val="en-US" w:eastAsia="zh-CN"/>
        </w:rPr>
        <w:t xml:space="preserve">杭州纵达工程咨询有限公司 </w:t>
      </w:r>
      <w:r>
        <w:rPr>
          <w:rFonts w:hint="eastAsia" w:ascii="仿宋" w:hAnsi="仿宋" w:eastAsia="仿宋" w:cs="仿宋"/>
          <w:color w:val="auto"/>
          <w:sz w:val="30"/>
          <w:szCs w:val="30"/>
          <w:highlight w:val="none"/>
        </w:rPr>
        <w:t>：</w:t>
      </w:r>
    </w:p>
    <w:p>
      <w:pPr>
        <w:spacing w:line="78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u w:val="none"/>
          <w:lang w:val="en-US" w:eastAsia="zh-CN"/>
        </w:rPr>
        <w:t>我单位参与投标的</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none"/>
          <w:lang w:val="en-US" w:eastAsia="zh-CN"/>
        </w:rPr>
        <w:t>项目有幸中标，考虑本项目备案事宜，故由我单位再提供加盖公章的纸质版投标文件一式三份（正本一份，副本二份）递交给招标代理机构备案</w:t>
      </w:r>
      <w:r>
        <w:rPr>
          <w:rFonts w:hint="eastAsia" w:ascii="仿宋" w:hAnsi="仿宋" w:eastAsia="仿宋" w:cs="仿宋"/>
          <w:color w:val="auto"/>
          <w:sz w:val="30"/>
          <w:szCs w:val="30"/>
          <w:highlight w:val="none"/>
          <w:lang w:eastAsia="zh-CN"/>
        </w:rPr>
        <w:t>。</w:t>
      </w:r>
    </w:p>
    <w:p>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本公司承诺：</w:t>
      </w:r>
    </w:p>
    <w:p>
      <w:pPr>
        <w:spacing w:line="7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本单位</w:t>
      </w:r>
      <w:r>
        <w:rPr>
          <w:rFonts w:hint="eastAsia" w:ascii="仿宋" w:hAnsi="仿宋" w:eastAsia="仿宋" w:cs="仿宋"/>
          <w:color w:val="auto"/>
          <w:sz w:val="30"/>
          <w:szCs w:val="30"/>
          <w:highlight w:val="none"/>
        </w:rPr>
        <w:t>提交给</w:t>
      </w:r>
      <w:r>
        <w:rPr>
          <w:rFonts w:hint="eastAsia" w:ascii="仿宋" w:hAnsi="仿宋" w:eastAsia="仿宋" w:cs="仿宋"/>
          <w:color w:val="auto"/>
          <w:sz w:val="30"/>
          <w:szCs w:val="30"/>
          <w:highlight w:val="none"/>
          <w:lang w:eastAsia="zh-CN"/>
        </w:rPr>
        <w:t>招标代理机构备案的</w:t>
      </w:r>
      <w:r>
        <w:rPr>
          <w:rFonts w:hint="eastAsia" w:ascii="仿宋" w:hAnsi="仿宋" w:eastAsia="仿宋" w:cs="仿宋"/>
          <w:color w:val="auto"/>
          <w:sz w:val="30"/>
          <w:szCs w:val="30"/>
          <w:highlight w:val="none"/>
          <w:u w:val="single"/>
        </w:rPr>
        <w:t>纸质</w:t>
      </w:r>
      <w:r>
        <w:rPr>
          <w:rFonts w:hint="eastAsia" w:ascii="仿宋" w:hAnsi="仿宋" w:eastAsia="仿宋" w:cs="仿宋"/>
          <w:color w:val="auto"/>
          <w:sz w:val="30"/>
          <w:szCs w:val="30"/>
          <w:highlight w:val="none"/>
          <w:u w:val="single"/>
          <w:lang w:eastAsia="zh-CN"/>
        </w:rPr>
        <w:t>版投标文件</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w:t>
      </w:r>
      <w:r>
        <w:rPr>
          <w:rFonts w:hint="eastAsia" w:ascii="仿宋" w:hAnsi="仿宋" w:eastAsia="仿宋" w:cs="仿宋"/>
          <w:color w:val="auto"/>
          <w:sz w:val="30"/>
          <w:szCs w:val="30"/>
          <w:highlight w:val="none"/>
          <w:u w:val="single"/>
          <w:lang w:eastAsia="zh-CN"/>
        </w:rPr>
        <w:t>投标文件</w:t>
      </w:r>
      <w:r>
        <w:rPr>
          <w:rFonts w:hint="eastAsia" w:ascii="仿宋" w:hAnsi="仿宋" w:eastAsia="仿宋" w:cs="仿宋"/>
          <w:color w:val="auto"/>
          <w:sz w:val="30"/>
          <w:szCs w:val="30"/>
          <w:highlight w:val="none"/>
        </w:rPr>
        <w:t>内容均一致，</w:t>
      </w:r>
      <w:r>
        <w:rPr>
          <w:rFonts w:hint="eastAsia" w:ascii="仿宋" w:hAnsi="仿宋" w:eastAsia="仿宋" w:cs="仿宋"/>
          <w:color w:val="auto"/>
          <w:sz w:val="30"/>
          <w:szCs w:val="30"/>
          <w:highlight w:val="none"/>
          <w:lang w:eastAsia="zh-CN"/>
        </w:rPr>
        <w:t>如不一致导致的任何法律责任自负。特此承诺！</w:t>
      </w:r>
    </w:p>
    <w:p>
      <w:pPr>
        <w:spacing w:line="780" w:lineRule="exact"/>
        <w:ind w:firstLine="450" w:firstLineChars="150"/>
        <w:rPr>
          <w:rFonts w:hint="eastAsia" w:ascii="仿宋" w:hAnsi="仿宋" w:eastAsia="仿宋" w:cs="仿宋"/>
          <w:color w:val="auto"/>
          <w:sz w:val="30"/>
          <w:szCs w:val="30"/>
          <w:highlight w:val="none"/>
        </w:rPr>
      </w:pPr>
    </w:p>
    <w:p>
      <w:pPr>
        <w:spacing w:line="780" w:lineRule="exact"/>
        <w:jc w:val="both"/>
        <w:rPr>
          <w:rFonts w:hint="eastAsia" w:ascii="仿宋" w:hAnsi="仿宋" w:eastAsia="仿宋" w:cs="仿宋"/>
          <w:color w:val="auto"/>
          <w:sz w:val="30"/>
          <w:szCs w:val="30"/>
          <w:highlight w:val="none"/>
          <w:lang w:eastAsia="zh-CN"/>
        </w:rPr>
      </w:pPr>
    </w:p>
    <w:p>
      <w:pPr>
        <w:spacing w:line="780" w:lineRule="exact"/>
        <w:jc w:val="both"/>
        <w:rPr>
          <w:rFonts w:hint="eastAsia" w:ascii="仿宋" w:hAnsi="仿宋" w:eastAsia="仿宋" w:cs="仿宋"/>
          <w:color w:val="auto"/>
          <w:sz w:val="30"/>
          <w:szCs w:val="30"/>
          <w:highlight w:val="none"/>
          <w:lang w:eastAsia="zh-CN"/>
        </w:rPr>
      </w:pPr>
    </w:p>
    <w:p>
      <w:pPr>
        <w:spacing w:line="780" w:lineRule="exact"/>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投标人名称（盖公章）：</w:t>
      </w:r>
    </w:p>
    <w:p>
      <w:pPr>
        <w:spacing w:line="780" w:lineRule="exact"/>
        <w:ind w:firstLine="5850" w:firstLineChars="19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pPr>
        <w:rPr>
          <w:rFonts w:hint="eastAsia" w:ascii="仿宋" w:hAnsi="仿宋" w:eastAsia="仿宋" w:cs="仿宋"/>
          <w:color w:val="auto"/>
          <w:sz w:val="30"/>
          <w:szCs w:val="30"/>
          <w:highlight w:val="none"/>
        </w:rPr>
      </w:pPr>
    </w:p>
    <w:p>
      <w:pPr>
        <w:spacing w:line="360" w:lineRule="auto"/>
        <w:rPr>
          <w:rFonts w:hint="eastAsia" w:ascii="仿宋" w:hAnsi="仿宋" w:eastAsia="仿宋" w:cs="仿宋"/>
          <w:bCs/>
          <w:color w:val="auto"/>
          <w:sz w:val="24"/>
          <w:highlight w:val="none"/>
        </w:rPr>
      </w:pPr>
    </w:p>
    <w:p>
      <w:pPr>
        <w:pStyle w:val="2"/>
        <w:rPr>
          <w:rFonts w:hint="eastAsia" w:ascii="仿宋" w:hAnsi="仿宋" w:eastAsia="仿宋" w:cs="仿宋"/>
          <w:color w:va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DejaVu Math TeX Gyre"/>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DejaVu Math TeX Gyre"/>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91899912"/>
    <w:bookmarkStart w:id="515" w:name="_Toc131845147"/>
    <w:bookmarkStart w:id="516" w:name="_Toc164085800"/>
    <w:bookmarkStart w:id="517" w:name="_Toc3611018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F23E9"/>
    <w:multiLevelType w:val="singleLevel"/>
    <w:tmpl w:val="4A1F23E9"/>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M0YWEyNzcwNzAyZGRjYTIxNGY3M2MzOGNmM2M1Y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E11"/>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4CD8"/>
    <w:rsid w:val="019F7441"/>
    <w:rsid w:val="01B37585"/>
    <w:rsid w:val="01D55165"/>
    <w:rsid w:val="01DF6BF8"/>
    <w:rsid w:val="01EC2C57"/>
    <w:rsid w:val="025F0711"/>
    <w:rsid w:val="026B2E25"/>
    <w:rsid w:val="02824D4D"/>
    <w:rsid w:val="02DC4B10"/>
    <w:rsid w:val="02DD76CE"/>
    <w:rsid w:val="02ED1C6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C5A1C"/>
    <w:rsid w:val="060E5941"/>
    <w:rsid w:val="06110FAF"/>
    <w:rsid w:val="06493CA7"/>
    <w:rsid w:val="065A6178"/>
    <w:rsid w:val="066F1CF3"/>
    <w:rsid w:val="06930BB8"/>
    <w:rsid w:val="07245D42"/>
    <w:rsid w:val="07264C62"/>
    <w:rsid w:val="0779354C"/>
    <w:rsid w:val="08044DE9"/>
    <w:rsid w:val="08061376"/>
    <w:rsid w:val="08452D77"/>
    <w:rsid w:val="086401F8"/>
    <w:rsid w:val="08751CAA"/>
    <w:rsid w:val="087E4C40"/>
    <w:rsid w:val="08A871D0"/>
    <w:rsid w:val="08D66AD6"/>
    <w:rsid w:val="08DA33A3"/>
    <w:rsid w:val="08E0715B"/>
    <w:rsid w:val="08E80F13"/>
    <w:rsid w:val="08FD1976"/>
    <w:rsid w:val="09002F54"/>
    <w:rsid w:val="09335624"/>
    <w:rsid w:val="0944690F"/>
    <w:rsid w:val="09535675"/>
    <w:rsid w:val="095F057D"/>
    <w:rsid w:val="09642282"/>
    <w:rsid w:val="09733572"/>
    <w:rsid w:val="09772C16"/>
    <w:rsid w:val="098353B5"/>
    <w:rsid w:val="09A92330"/>
    <w:rsid w:val="09B06B87"/>
    <w:rsid w:val="09C13146"/>
    <w:rsid w:val="09CE10B7"/>
    <w:rsid w:val="09E04166"/>
    <w:rsid w:val="0A1641A0"/>
    <w:rsid w:val="0A1C0718"/>
    <w:rsid w:val="0A3E7710"/>
    <w:rsid w:val="0A5B7E63"/>
    <w:rsid w:val="0AA374A5"/>
    <w:rsid w:val="0AAB7649"/>
    <w:rsid w:val="0ABC5606"/>
    <w:rsid w:val="0B30404E"/>
    <w:rsid w:val="0B4C6C14"/>
    <w:rsid w:val="0B547599"/>
    <w:rsid w:val="0B631A88"/>
    <w:rsid w:val="0B683D45"/>
    <w:rsid w:val="0B7F3F11"/>
    <w:rsid w:val="0B884417"/>
    <w:rsid w:val="0BD92B31"/>
    <w:rsid w:val="0BF6188C"/>
    <w:rsid w:val="0BF73C91"/>
    <w:rsid w:val="0C03505D"/>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606B5"/>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D528C"/>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0333E"/>
    <w:rsid w:val="12255233"/>
    <w:rsid w:val="12530213"/>
    <w:rsid w:val="127723A9"/>
    <w:rsid w:val="12862074"/>
    <w:rsid w:val="12883966"/>
    <w:rsid w:val="129E45B4"/>
    <w:rsid w:val="12D81596"/>
    <w:rsid w:val="12DE43F5"/>
    <w:rsid w:val="13072A44"/>
    <w:rsid w:val="134E66DF"/>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60D70"/>
    <w:rsid w:val="17D349C1"/>
    <w:rsid w:val="1830729E"/>
    <w:rsid w:val="1870062C"/>
    <w:rsid w:val="18817102"/>
    <w:rsid w:val="18830A15"/>
    <w:rsid w:val="18852B28"/>
    <w:rsid w:val="188B5321"/>
    <w:rsid w:val="1942244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E4A94"/>
    <w:rsid w:val="1C0459C2"/>
    <w:rsid w:val="1C1B3B4A"/>
    <w:rsid w:val="1C88086E"/>
    <w:rsid w:val="1CFC5477"/>
    <w:rsid w:val="1D1C7B98"/>
    <w:rsid w:val="1D266CE1"/>
    <w:rsid w:val="1D3963AF"/>
    <w:rsid w:val="1D6A673C"/>
    <w:rsid w:val="1D9247AE"/>
    <w:rsid w:val="1DB567EC"/>
    <w:rsid w:val="1DF51A98"/>
    <w:rsid w:val="1E3608EF"/>
    <w:rsid w:val="1E3D060F"/>
    <w:rsid w:val="1E3F7D2E"/>
    <w:rsid w:val="1E4134E4"/>
    <w:rsid w:val="1E5062B3"/>
    <w:rsid w:val="1E523514"/>
    <w:rsid w:val="1E6541AB"/>
    <w:rsid w:val="1E714A66"/>
    <w:rsid w:val="1E802593"/>
    <w:rsid w:val="1E8B6156"/>
    <w:rsid w:val="1EA703CC"/>
    <w:rsid w:val="1EB7330C"/>
    <w:rsid w:val="1EDA3137"/>
    <w:rsid w:val="1F0A0FF3"/>
    <w:rsid w:val="1F550E6F"/>
    <w:rsid w:val="1F5771FF"/>
    <w:rsid w:val="1FD52DD5"/>
    <w:rsid w:val="1FE868A9"/>
    <w:rsid w:val="20034907"/>
    <w:rsid w:val="2007660D"/>
    <w:rsid w:val="20173E4B"/>
    <w:rsid w:val="204E48BC"/>
    <w:rsid w:val="208921B3"/>
    <w:rsid w:val="20973DEB"/>
    <w:rsid w:val="20B26522"/>
    <w:rsid w:val="20B44310"/>
    <w:rsid w:val="20DA787E"/>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57A8C"/>
    <w:rsid w:val="239C0061"/>
    <w:rsid w:val="23B908A4"/>
    <w:rsid w:val="23E95BEF"/>
    <w:rsid w:val="23FD0064"/>
    <w:rsid w:val="245375B0"/>
    <w:rsid w:val="24642C0A"/>
    <w:rsid w:val="247A7590"/>
    <w:rsid w:val="24B22173"/>
    <w:rsid w:val="24B95AD9"/>
    <w:rsid w:val="24BE24DA"/>
    <w:rsid w:val="24CF5825"/>
    <w:rsid w:val="24D663E6"/>
    <w:rsid w:val="24D77F2B"/>
    <w:rsid w:val="24E64719"/>
    <w:rsid w:val="2584600A"/>
    <w:rsid w:val="258B00E2"/>
    <w:rsid w:val="25A917A6"/>
    <w:rsid w:val="25BE27CC"/>
    <w:rsid w:val="25F74A5C"/>
    <w:rsid w:val="2628662C"/>
    <w:rsid w:val="262D45DE"/>
    <w:rsid w:val="26871DC8"/>
    <w:rsid w:val="26A53EF9"/>
    <w:rsid w:val="26A94201"/>
    <w:rsid w:val="26AC274F"/>
    <w:rsid w:val="26EF7DFB"/>
    <w:rsid w:val="27044A29"/>
    <w:rsid w:val="271B0BF0"/>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86554"/>
    <w:rsid w:val="2AB32EED"/>
    <w:rsid w:val="2AD6555A"/>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C11C09"/>
    <w:rsid w:val="2FD25781"/>
    <w:rsid w:val="2FDC745C"/>
    <w:rsid w:val="2FFD7934"/>
    <w:rsid w:val="30733ACD"/>
    <w:rsid w:val="308C3862"/>
    <w:rsid w:val="309379D8"/>
    <w:rsid w:val="30A270F7"/>
    <w:rsid w:val="30DF1478"/>
    <w:rsid w:val="30EC586F"/>
    <w:rsid w:val="314550B7"/>
    <w:rsid w:val="315405EA"/>
    <w:rsid w:val="319C6071"/>
    <w:rsid w:val="31AC537E"/>
    <w:rsid w:val="31E3679B"/>
    <w:rsid w:val="31E732FD"/>
    <w:rsid w:val="32517576"/>
    <w:rsid w:val="32BE5C2C"/>
    <w:rsid w:val="32FB6478"/>
    <w:rsid w:val="33263B3F"/>
    <w:rsid w:val="336963EB"/>
    <w:rsid w:val="33816EEB"/>
    <w:rsid w:val="33CD760B"/>
    <w:rsid w:val="33EB55CD"/>
    <w:rsid w:val="33EC4C02"/>
    <w:rsid w:val="340D2360"/>
    <w:rsid w:val="3410665D"/>
    <w:rsid w:val="34211214"/>
    <w:rsid w:val="342E63AB"/>
    <w:rsid w:val="34950E68"/>
    <w:rsid w:val="34986E94"/>
    <w:rsid w:val="34AF62C9"/>
    <w:rsid w:val="34CB4388"/>
    <w:rsid w:val="34FA6E12"/>
    <w:rsid w:val="354D7158"/>
    <w:rsid w:val="358D5588"/>
    <w:rsid w:val="35F32B98"/>
    <w:rsid w:val="363A3B40"/>
    <w:rsid w:val="365302AE"/>
    <w:rsid w:val="36607A0A"/>
    <w:rsid w:val="366E227C"/>
    <w:rsid w:val="366F2E0D"/>
    <w:rsid w:val="367B6A5C"/>
    <w:rsid w:val="36A74ADA"/>
    <w:rsid w:val="36AD60D5"/>
    <w:rsid w:val="36B224F9"/>
    <w:rsid w:val="36EC0CC9"/>
    <w:rsid w:val="373F410B"/>
    <w:rsid w:val="37D82760"/>
    <w:rsid w:val="37EE7094"/>
    <w:rsid w:val="38296C89"/>
    <w:rsid w:val="383002EB"/>
    <w:rsid w:val="38586797"/>
    <w:rsid w:val="38BC0149"/>
    <w:rsid w:val="38D87D1C"/>
    <w:rsid w:val="39636459"/>
    <w:rsid w:val="396B7F6C"/>
    <w:rsid w:val="39B417A9"/>
    <w:rsid w:val="39FC5695"/>
    <w:rsid w:val="3A006D8E"/>
    <w:rsid w:val="3A3651E5"/>
    <w:rsid w:val="3A451DB4"/>
    <w:rsid w:val="3A744481"/>
    <w:rsid w:val="3A8C7BEF"/>
    <w:rsid w:val="3A906246"/>
    <w:rsid w:val="3A95616C"/>
    <w:rsid w:val="3AC56A51"/>
    <w:rsid w:val="3B2349B7"/>
    <w:rsid w:val="3B612EFA"/>
    <w:rsid w:val="3B616CFF"/>
    <w:rsid w:val="3B6259F6"/>
    <w:rsid w:val="3B976654"/>
    <w:rsid w:val="3BC01EFC"/>
    <w:rsid w:val="3BCA786A"/>
    <w:rsid w:val="3BD31E2F"/>
    <w:rsid w:val="3BF15831"/>
    <w:rsid w:val="3C105946"/>
    <w:rsid w:val="3C471448"/>
    <w:rsid w:val="3C5F759A"/>
    <w:rsid w:val="3C6C525A"/>
    <w:rsid w:val="3CCE23CB"/>
    <w:rsid w:val="3CD17D17"/>
    <w:rsid w:val="3CF24535"/>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B17BD"/>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74413"/>
    <w:rsid w:val="42ED6459"/>
    <w:rsid w:val="42FE58DD"/>
    <w:rsid w:val="430345BA"/>
    <w:rsid w:val="43174B3D"/>
    <w:rsid w:val="434B790E"/>
    <w:rsid w:val="4360274F"/>
    <w:rsid w:val="43977AB6"/>
    <w:rsid w:val="43A3342B"/>
    <w:rsid w:val="43C77C27"/>
    <w:rsid w:val="43DE09EE"/>
    <w:rsid w:val="44002FAD"/>
    <w:rsid w:val="449101DD"/>
    <w:rsid w:val="44DE1391"/>
    <w:rsid w:val="451B225C"/>
    <w:rsid w:val="452410C9"/>
    <w:rsid w:val="45317DFB"/>
    <w:rsid w:val="45513D03"/>
    <w:rsid w:val="456D3CE4"/>
    <w:rsid w:val="4579042C"/>
    <w:rsid w:val="457F0571"/>
    <w:rsid w:val="45851176"/>
    <w:rsid w:val="45C63B94"/>
    <w:rsid w:val="460E7DA5"/>
    <w:rsid w:val="46422483"/>
    <w:rsid w:val="46484442"/>
    <w:rsid w:val="4659254A"/>
    <w:rsid w:val="465B0637"/>
    <w:rsid w:val="465E3F0D"/>
    <w:rsid w:val="466A16E6"/>
    <w:rsid w:val="46893F2B"/>
    <w:rsid w:val="46C4686E"/>
    <w:rsid w:val="477B778F"/>
    <w:rsid w:val="47817911"/>
    <w:rsid w:val="478203EC"/>
    <w:rsid w:val="47AB6C00"/>
    <w:rsid w:val="47B025FA"/>
    <w:rsid w:val="47CB7671"/>
    <w:rsid w:val="4809698F"/>
    <w:rsid w:val="4811697D"/>
    <w:rsid w:val="487A3E25"/>
    <w:rsid w:val="488B5503"/>
    <w:rsid w:val="48937E21"/>
    <w:rsid w:val="489A0361"/>
    <w:rsid w:val="48B94FF3"/>
    <w:rsid w:val="48E37AAB"/>
    <w:rsid w:val="48FD4B4C"/>
    <w:rsid w:val="490A68E0"/>
    <w:rsid w:val="491055FE"/>
    <w:rsid w:val="493E4D2A"/>
    <w:rsid w:val="495F5B3E"/>
    <w:rsid w:val="496F77D7"/>
    <w:rsid w:val="497654FD"/>
    <w:rsid w:val="49AD5BE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B4A67"/>
    <w:rsid w:val="4E793892"/>
    <w:rsid w:val="4E800872"/>
    <w:rsid w:val="4EC569ED"/>
    <w:rsid w:val="4ED50EA1"/>
    <w:rsid w:val="4EEC050C"/>
    <w:rsid w:val="4EED1A50"/>
    <w:rsid w:val="4F104EC3"/>
    <w:rsid w:val="4F363A4C"/>
    <w:rsid w:val="4F47354A"/>
    <w:rsid w:val="4F911C54"/>
    <w:rsid w:val="4FE625E0"/>
    <w:rsid w:val="5021480F"/>
    <w:rsid w:val="5026537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D715C"/>
    <w:rsid w:val="522E4CC3"/>
    <w:rsid w:val="5244713B"/>
    <w:rsid w:val="52615633"/>
    <w:rsid w:val="526F4DE4"/>
    <w:rsid w:val="52977FD4"/>
    <w:rsid w:val="52A25790"/>
    <w:rsid w:val="52A96B6F"/>
    <w:rsid w:val="52B45975"/>
    <w:rsid w:val="52D94AA4"/>
    <w:rsid w:val="52EA3A62"/>
    <w:rsid w:val="52F50BB8"/>
    <w:rsid w:val="53097272"/>
    <w:rsid w:val="53271D10"/>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C4958"/>
    <w:rsid w:val="569A6B8C"/>
    <w:rsid w:val="56D4468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E6765"/>
    <w:rsid w:val="5F50072F"/>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AE011A"/>
    <w:rsid w:val="64055776"/>
    <w:rsid w:val="64240056"/>
    <w:rsid w:val="643E143A"/>
    <w:rsid w:val="64491666"/>
    <w:rsid w:val="648B6EEF"/>
    <w:rsid w:val="64C158BF"/>
    <w:rsid w:val="64CE2EAA"/>
    <w:rsid w:val="653C3090"/>
    <w:rsid w:val="65854376"/>
    <w:rsid w:val="658767BE"/>
    <w:rsid w:val="65892531"/>
    <w:rsid w:val="65C14BBC"/>
    <w:rsid w:val="66195831"/>
    <w:rsid w:val="662E75B1"/>
    <w:rsid w:val="66342C2E"/>
    <w:rsid w:val="663E784C"/>
    <w:rsid w:val="66803B38"/>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45FA2"/>
    <w:rsid w:val="69CC2BFF"/>
    <w:rsid w:val="69FD55B8"/>
    <w:rsid w:val="6A0B1C62"/>
    <w:rsid w:val="6A2406C8"/>
    <w:rsid w:val="6ADE0BD1"/>
    <w:rsid w:val="6AE96859"/>
    <w:rsid w:val="6B147746"/>
    <w:rsid w:val="6B24787C"/>
    <w:rsid w:val="6B573233"/>
    <w:rsid w:val="6B5A722E"/>
    <w:rsid w:val="6B5B6274"/>
    <w:rsid w:val="6B935D53"/>
    <w:rsid w:val="6C196F71"/>
    <w:rsid w:val="6C226FCB"/>
    <w:rsid w:val="6C31226F"/>
    <w:rsid w:val="6C552F0B"/>
    <w:rsid w:val="6C8C67B7"/>
    <w:rsid w:val="6C9D744C"/>
    <w:rsid w:val="6CCD38AE"/>
    <w:rsid w:val="6CCF5389"/>
    <w:rsid w:val="6D167928"/>
    <w:rsid w:val="6D26299B"/>
    <w:rsid w:val="6D4772EC"/>
    <w:rsid w:val="6D9078AF"/>
    <w:rsid w:val="6DAA3FEF"/>
    <w:rsid w:val="6DC0172B"/>
    <w:rsid w:val="6DCB690C"/>
    <w:rsid w:val="6DCE236F"/>
    <w:rsid w:val="6DD41A5B"/>
    <w:rsid w:val="6DF43C2E"/>
    <w:rsid w:val="6DF51CA3"/>
    <w:rsid w:val="6E3336F6"/>
    <w:rsid w:val="6E7F06E9"/>
    <w:rsid w:val="6E8335BD"/>
    <w:rsid w:val="6E8E12EF"/>
    <w:rsid w:val="6E972936"/>
    <w:rsid w:val="6ED446C5"/>
    <w:rsid w:val="6F152DFC"/>
    <w:rsid w:val="6F2A7D94"/>
    <w:rsid w:val="6F8331F1"/>
    <w:rsid w:val="6FAE1A09"/>
    <w:rsid w:val="6FD75BF8"/>
    <w:rsid w:val="702F7EED"/>
    <w:rsid w:val="707723D0"/>
    <w:rsid w:val="70F5661B"/>
    <w:rsid w:val="71360107"/>
    <w:rsid w:val="713B688E"/>
    <w:rsid w:val="71D43752"/>
    <w:rsid w:val="71F1796A"/>
    <w:rsid w:val="72154626"/>
    <w:rsid w:val="72262B5D"/>
    <w:rsid w:val="72283FF7"/>
    <w:rsid w:val="722E7212"/>
    <w:rsid w:val="723A0474"/>
    <w:rsid w:val="725923E4"/>
    <w:rsid w:val="72864BF7"/>
    <w:rsid w:val="729023FC"/>
    <w:rsid w:val="72F56D31"/>
    <w:rsid w:val="73C0646E"/>
    <w:rsid w:val="74057AC4"/>
    <w:rsid w:val="742222F5"/>
    <w:rsid w:val="74476126"/>
    <w:rsid w:val="74706664"/>
    <w:rsid w:val="747F3682"/>
    <w:rsid w:val="748E5031"/>
    <w:rsid w:val="749C4185"/>
    <w:rsid w:val="75067759"/>
    <w:rsid w:val="752E6DCD"/>
    <w:rsid w:val="7551380D"/>
    <w:rsid w:val="75600BE5"/>
    <w:rsid w:val="7564475C"/>
    <w:rsid w:val="7583797F"/>
    <w:rsid w:val="75D20F1D"/>
    <w:rsid w:val="75DA2C18"/>
    <w:rsid w:val="75F54412"/>
    <w:rsid w:val="761D08E0"/>
    <w:rsid w:val="765D347C"/>
    <w:rsid w:val="766A50F5"/>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43B6E"/>
    <w:rsid w:val="78A656AB"/>
    <w:rsid w:val="78B2245C"/>
    <w:rsid w:val="78E172CC"/>
    <w:rsid w:val="78EA1D1F"/>
    <w:rsid w:val="78F61EF0"/>
    <w:rsid w:val="7904172F"/>
    <w:rsid w:val="790F7E27"/>
    <w:rsid w:val="791660EE"/>
    <w:rsid w:val="792A231A"/>
    <w:rsid w:val="79316829"/>
    <w:rsid w:val="797E66A9"/>
    <w:rsid w:val="798518A4"/>
    <w:rsid w:val="79A97383"/>
    <w:rsid w:val="79E27E8B"/>
    <w:rsid w:val="79F850CE"/>
    <w:rsid w:val="79FD443C"/>
    <w:rsid w:val="7A1D1975"/>
    <w:rsid w:val="7A3E5150"/>
    <w:rsid w:val="7A4670D6"/>
    <w:rsid w:val="7A534B63"/>
    <w:rsid w:val="7A541141"/>
    <w:rsid w:val="7A615382"/>
    <w:rsid w:val="7A67303B"/>
    <w:rsid w:val="7AAB1D04"/>
    <w:rsid w:val="7AB7745D"/>
    <w:rsid w:val="7ABA4368"/>
    <w:rsid w:val="7AD05746"/>
    <w:rsid w:val="7B257FFD"/>
    <w:rsid w:val="7B273D20"/>
    <w:rsid w:val="7B343476"/>
    <w:rsid w:val="7B4909FD"/>
    <w:rsid w:val="7B5A2978"/>
    <w:rsid w:val="7B5A7E4C"/>
    <w:rsid w:val="7B5E4E76"/>
    <w:rsid w:val="7B615190"/>
    <w:rsid w:val="7B667AF9"/>
    <w:rsid w:val="7B7468F8"/>
    <w:rsid w:val="7BEE0103"/>
    <w:rsid w:val="7C0A0FE4"/>
    <w:rsid w:val="7C254906"/>
    <w:rsid w:val="7C590818"/>
    <w:rsid w:val="7C7C10F6"/>
    <w:rsid w:val="7C853BEA"/>
    <w:rsid w:val="7C881368"/>
    <w:rsid w:val="7CD107E3"/>
    <w:rsid w:val="7CE27788"/>
    <w:rsid w:val="7D0C32F1"/>
    <w:rsid w:val="7D0F408D"/>
    <w:rsid w:val="7D491C6C"/>
    <w:rsid w:val="7D5429C0"/>
    <w:rsid w:val="7D6E6D43"/>
    <w:rsid w:val="7DB57A34"/>
    <w:rsid w:val="7DE60973"/>
    <w:rsid w:val="7DEF0916"/>
    <w:rsid w:val="7E1E5218"/>
    <w:rsid w:val="7E9A4E1F"/>
    <w:rsid w:val="7EA7723A"/>
    <w:rsid w:val="7EEF18BB"/>
    <w:rsid w:val="7EF56FBB"/>
    <w:rsid w:val="7F0768EB"/>
    <w:rsid w:val="7F143BEC"/>
    <w:rsid w:val="7F715AF2"/>
    <w:rsid w:val="7F886E69"/>
    <w:rsid w:val="BB7FA927"/>
    <w:rsid w:val="DFEBE54D"/>
    <w:rsid w:val="F5FFD31F"/>
    <w:rsid w:val="F67D9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8"/>
    <w:autoRedefine/>
    <w:qFormat/>
    <w:uiPriority w:val="0"/>
    <w:pPr>
      <w:shd w:val="clear" w:color="auto" w:fill="000080"/>
    </w:pPr>
  </w:style>
  <w:style w:type="paragraph" w:styleId="19">
    <w:name w:val="annotation text"/>
    <w:basedOn w:val="1"/>
    <w:link w:val="856"/>
    <w:autoRedefine/>
    <w:qFormat/>
    <w:uiPriority w:val="99"/>
    <w:pPr>
      <w:jc w:val="left"/>
    </w:pPr>
  </w:style>
  <w:style w:type="paragraph" w:styleId="20">
    <w:name w:val="Salutation"/>
    <w:basedOn w:val="1"/>
    <w:next w:val="1"/>
    <w:link w:val="816"/>
    <w:autoRedefine/>
    <w:qFormat/>
    <w:uiPriority w:val="0"/>
    <w:rPr>
      <w:rFonts w:ascii="仿宋_GB2312" w:eastAsia="仿宋_GB2312"/>
      <w:sz w:val="28"/>
      <w:szCs w:val="20"/>
    </w:rPr>
  </w:style>
  <w:style w:type="paragraph" w:styleId="21">
    <w:name w:val="Body Text 3"/>
    <w:basedOn w:val="1"/>
    <w:link w:val="84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5"/>
    <w:autoRedefine/>
    <w:qFormat/>
    <w:uiPriority w:val="0"/>
    <w:pPr>
      <w:ind w:firstLine="420"/>
    </w:pPr>
    <w:rPr>
      <w:rFonts w:hAnsi="Calibri" w:cs="Times New Roman"/>
      <w:szCs w:val="20"/>
    </w:rPr>
  </w:style>
  <w:style w:type="paragraph" w:styleId="25">
    <w:name w:val="toc 6"/>
    <w:basedOn w:val="1"/>
    <w:next w:val="1"/>
    <w:autoRedefine/>
    <w:qFormat/>
    <w:uiPriority w:val="0"/>
    <w:pPr>
      <w:ind w:left="2100" w:leftChars="1000"/>
    </w:pPr>
  </w:style>
  <w:style w:type="paragraph" w:styleId="26">
    <w:name w:val="Body Text Indent"/>
    <w:basedOn w:val="1"/>
    <w:link w:val="78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0"/>
    <w:autoRedefine/>
    <w:qFormat/>
    <w:uiPriority w:val="0"/>
    <w:pPr>
      <w:ind w:left="100" w:leftChars="2500"/>
    </w:pPr>
    <w:rPr>
      <w:rFonts w:ascii="宋体"/>
      <w:sz w:val="24"/>
      <w:szCs w:val="21"/>
      <w:lang w:val="zh-CN"/>
    </w:rPr>
  </w:style>
  <w:style w:type="paragraph" w:styleId="38">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1"/>
    <w:autoRedefine/>
    <w:qFormat/>
    <w:uiPriority w:val="0"/>
    <w:rPr>
      <w:lang w:val="zh-CN"/>
    </w:rPr>
  </w:style>
  <w:style w:type="paragraph" w:styleId="40">
    <w:name w:val="Balloon Text"/>
    <w:basedOn w:val="1"/>
    <w:link w:val="717"/>
    <w:autoRedefine/>
    <w:qFormat/>
    <w:uiPriority w:val="0"/>
    <w:rPr>
      <w:sz w:val="18"/>
      <w:szCs w:val="18"/>
    </w:rPr>
  </w:style>
  <w:style w:type="paragraph" w:styleId="41">
    <w:name w:val="footer"/>
    <w:basedOn w:val="1"/>
    <w:link w:val="892"/>
    <w:autoRedefine/>
    <w:qFormat/>
    <w:uiPriority w:val="99"/>
    <w:pPr>
      <w:tabs>
        <w:tab w:val="center" w:pos="4153"/>
        <w:tab w:val="right" w:pos="8306"/>
      </w:tabs>
      <w:snapToGrid w:val="0"/>
      <w:jc w:val="left"/>
    </w:pPr>
    <w:rPr>
      <w:sz w:val="18"/>
      <w:szCs w:val="18"/>
    </w:rPr>
  </w:style>
  <w:style w:type="paragraph" w:styleId="42">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6"/>
    <w:autoRedefine/>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0"/>
    <w:autoRedefine/>
    <w:qFormat/>
    <w:uiPriority w:val="0"/>
    <w:pPr>
      <w:spacing w:after="120" w:line="480" w:lineRule="auto"/>
    </w:pPr>
  </w:style>
  <w:style w:type="paragraph" w:styleId="57">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3"/>
    <w:autoRedefine/>
    <w:qFormat/>
    <w:uiPriority w:val="0"/>
    <w:rPr>
      <w:b/>
      <w:bCs/>
    </w:rPr>
  </w:style>
  <w:style w:type="paragraph" w:styleId="61">
    <w:name w:val="Body Text First Indent 2"/>
    <w:basedOn w:val="26"/>
    <w:next w:val="1"/>
    <w:link w:val="656"/>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表格非标题文字"/>
    <w:link w:val="62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3"/>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1"/>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8"/>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5"/>
    <w:autoRedefine/>
    <w:qFormat/>
    <w:uiPriority w:val="0"/>
    <w:pPr>
      <w:spacing w:before="156" w:line="360" w:lineRule="auto"/>
      <w:ind w:firstLine="510" w:firstLineChars="200"/>
    </w:pPr>
    <w:rPr>
      <w:sz w:val="24"/>
      <w:szCs w:val="20"/>
    </w:rPr>
  </w:style>
  <w:style w:type="paragraph" w:customStyle="1" w:styleId="86">
    <w:name w:val="无间隔1"/>
    <w:link w:val="673"/>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1"/>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1"/>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70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0"/>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6"/>
    <w:autoRedefine/>
    <w:qFormat/>
    <w:uiPriority w:val="0"/>
    <w:pPr>
      <w:ind w:left="0" w:right="466" w:firstLine="288"/>
    </w:pPr>
    <w:rPr>
      <w:rFonts w:hAnsi="宋体"/>
    </w:rPr>
  </w:style>
  <w:style w:type="paragraph" w:customStyle="1" w:styleId="9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8"/>
    <w:autoRedefine/>
    <w:qFormat/>
    <w:uiPriority w:val="0"/>
    <w:pPr>
      <w:adjustRightInd/>
      <w:spacing w:line="360" w:lineRule="auto"/>
      <w:ind w:firstLine="480" w:firstLineChars="200"/>
    </w:pPr>
    <w:rPr>
      <w:kern w:val="0"/>
      <w:sz w:val="24"/>
    </w:rPr>
  </w:style>
  <w:style w:type="paragraph" w:customStyle="1" w:styleId="98">
    <w:name w:val="gf正文1"/>
    <w:basedOn w:val="1"/>
    <w:link w:val="774"/>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9"/>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1"/>
    <w:autoRedefine/>
    <w:qFormat/>
    <w:uiPriority w:val="0"/>
    <w:pPr>
      <w:tabs>
        <w:tab w:val="left" w:pos="2356"/>
      </w:tabs>
    </w:pPr>
  </w:style>
  <w:style w:type="paragraph" w:customStyle="1" w:styleId="103">
    <w:name w:val="样式 标题 4h4H4Fab-4T5Ref Heading 1rh1Heading sqlsect 1.2.3...."/>
    <w:basedOn w:val="6"/>
    <w:link w:val="9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4"/>
    <w:autoRedefine/>
    <w:qFormat/>
    <w:uiPriority w:val="0"/>
    <w:pPr>
      <w:adjustRightInd/>
    </w:pPr>
    <w:rPr>
      <w:rFonts w:ascii="宋体" w:hAnsi="Courier New"/>
      <w:kern w:val="0"/>
      <w:sz w:val="20"/>
      <w:szCs w:val="20"/>
    </w:rPr>
  </w:style>
  <w:style w:type="paragraph" w:customStyle="1" w:styleId="106">
    <w:name w:val="正文说明"/>
    <w:basedOn w:val="1"/>
    <w:link w:val="846"/>
    <w:autoRedefine/>
    <w:qFormat/>
    <w:uiPriority w:val="0"/>
    <w:pPr>
      <w:adjustRightInd/>
      <w:spacing w:line="360" w:lineRule="auto"/>
    </w:pPr>
    <w:rPr>
      <w:kern w:val="0"/>
      <w:sz w:val="24"/>
    </w:rPr>
  </w:style>
  <w:style w:type="paragraph" w:customStyle="1" w:styleId="107">
    <w:name w:val="Table Text"/>
    <w:basedOn w:val="1"/>
    <w:link w:val="852"/>
    <w:autoRedefine/>
    <w:qFormat/>
    <w:uiPriority w:val="0"/>
    <w:pPr>
      <w:widowControl/>
      <w:spacing w:before="60" w:after="60"/>
      <w:jc w:val="left"/>
    </w:pPr>
    <w:rPr>
      <w:kern w:val="0"/>
      <w:sz w:val="24"/>
    </w:rPr>
  </w:style>
  <w:style w:type="paragraph" w:customStyle="1" w:styleId="108">
    <w:name w:val="公文正文"/>
    <w:basedOn w:val="1"/>
    <w:link w:val="864"/>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7"/>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4"/>
    <w:autoRedefine/>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0"/>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312"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autoRedefine/>
    <w:qFormat/>
    <w:uiPriority w:val="0"/>
    <w:rPr>
      <w:rFonts w:ascii="仿宋_GB2312" w:eastAsia="仿宋_GB2312"/>
      <w:b/>
      <w:sz w:val="32"/>
      <w:szCs w:val="32"/>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autoRedefine/>
    <w:qFormat/>
    <w:uiPriority w:val="0"/>
    <w:pPr>
      <w:keepNext/>
      <w:tabs>
        <w:tab w:val="left" w:pos="360"/>
      </w:tabs>
      <w:spacing w:before="0" w:after="0"/>
      <w:outlineLvl w:val="5"/>
    </w:pPr>
  </w:style>
  <w:style w:type="paragraph" w:customStyle="1" w:styleId="157">
    <w:name w:val="5级标题"/>
    <w:basedOn w:val="158"/>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0">
    <w:name w:val="Char2 Char Char"/>
    <w:basedOn w:val="1"/>
    <w:autoRedefine/>
    <w:qFormat/>
    <w:uiPriority w:val="0"/>
    <w:pPr>
      <w:adjustRightInd/>
    </w:pPr>
    <w:rPr>
      <w:rFonts w:ascii="Tahoma" w:hAnsi="Tahoma"/>
      <w:sz w:val="24"/>
      <w:szCs w:val="20"/>
    </w:rPr>
  </w:style>
  <w:style w:type="paragraph" w:customStyle="1" w:styleId="161">
    <w:name w:val="_Style 11"/>
    <w:basedOn w:val="1"/>
    <w:autoRedefine/>
    <w:qFormat/>
    <w:uiPriority w:val="34"/>
    <w:pPr>
      <w:adjustRightInd/>
      <w:ind w:firstLine="420" w:firstLineChars="200"/>
    </w:pPr>
    <w:rPr>
      <w:rFonts w:eastAsia="仿宋_GB2312"/>
      <w:sz w:val="28"/>
    </w:rPr>
  </w:style>
  <w:style w:type="paragraph" w:customStyle="1" w:styleId="16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autoRedefine/>
    <w:qFormat/>
    <w:uiPriority w:val="0"/>
    <w:rPr>
      <w:rFonts w:ascii="Tahoma" w:hAnsi="Tahoma"/>
      <w:sz w:val="24"/>
      <w:szCs w:val="20"/>
    </w:rPr>
  </w:style>
  <w:style w:type="paragraph" w:customStyle="1" w:styleId="164">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2"/>
    <w:autoRedefine/>
    <w:qFormat/>
    <w:uiPriority w:val="99"/>
    <w:rPr>
      <w:szCs w:val="22"/>
    </w:rPr>
  </w:style>
  <w:style w:type="paragraph" w:customStyle="1" w:styleId="16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autoRedefine/>
    <w:qFormat/>
    <w:uiPriority w:val="6"/>
    <w:rPr>
      <w:rFonts w:ascii="Tahoma" w:hAnsi="Tahoma" w:cs="仿宋_GB2312"/>
      <w:sz w:val="24"/>
      <w:szCs w:val="20"/>
    </w:rPr>
  </w:style>
  <w:style w:type="paragraph" w:customStyle="1" w:styleId="16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autoRedefine/>
    <w:qFormat/>
    <w:uiPriority w:val="0"/>
    <w:pPr>
      <w:adjustRightInd/>
    </w:pPr>
  </w:style>
  <w:style w:type="paragraph" w:customStyle="1" w:styleId="174">
    <w:name w:val="Char5"/>
    <w:basedOn w:val="1"/>
    <w:autoRedefine/>
    <w:qFormat/>
    <w:uiPriority w:val="0"/>
    <w:rPr>
      <w:rFonts w:ascii="仿宋_GB2312" w:eastAsia="仿宋_GB2312"/>
      <w:b/>
      <w:sz w:val="32"/>
      <w:szCs w:val="32"/>
    </w:rPr>
  </w:style>
  <w:style w:type="paragraph" w:customStyle="1" w:styleId="17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autoRedefine/>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autoRedefine/>
    <w:qFormat/>
    <w:uiPriority w:val="0"/>
    <w:rPr>
      <w:rFonts w:ascii="仿宋_GB2312" w:eastAsia="仿宋_GB2312"/>
      <w:b/>
      <w:sz w:val="32"/>
      <w:szCs w:val="32"/>
    </w:rPr>
  </w:style>
  <w:style w:type="paragraph" w:customStyle="1" w:styleId="179">
    <w:name w:val="数字标题3"/>
    <w:basedOn w:val="4"/>
    <w:next w:val="1"/>
    <w:autoRedefine/>
    <w:qFormat/>
    <w:uiPriority w:val="0"/>
    <w:pPr>
      <w:spacing w:line="240" w:lineRule="auto"/>
    </w:pPr>
    <w:rPr>
      <w:sz w:val="28"/>
      <w:szCs w:val="28"/>
    </w:rPr>
  </w:style>
  <w:style w:type="paragraph" w:customStyle="1" w:styleId="180">
    <w:name w:val="FA正文"/>
    <w:basedOn w:val="1"/>
    <w:autoRedefine/>
    <w:qFormat/>
    <w:uiPriority w:val="0"/>
    <w:pPr>
      <w:spacing w:line="360" w:lineRule="auto"/>
      <w:ind w:firstLine="480" w:firstLineChars="200"/>
    </w:pPr>
    <w:rPr>
      <w:rFonts w:hAnsi="宋体"/>
      <w:sz w:val="24"/>
      <w:szCs w:val="20"/>
    </w:rPr>
  </w:style>
  <w:style w:type="paragraph" w:customStyle="1" w:styleId="181">
    <w:name w:val="MM Topic 5"/>
    <w:basedOn w:val="7"/>
    <w:autoRedefine/>
    <w:qFormat/>
    <w:uiPriority w:val="0"/>
    <w:pPr>
      <w:tabs>
        <w:tab w:val="left" w:pos="2520"/>
        <w:tab w:val="clear" w:pos="1008"/>
      </w:tabs>
      <w:adjustRightInd/>
      <w:ind w:left="2520" w:hanging="420"/>
    </w:pPr>
  </w:style>
  <w:style w:type="paragraph" w:customStyle="1" w:styleId="182">
    <w:name w:val="Char Char Char Char Char Char Char Char Char Char1"/>
    <w:basedOn w:val="1"/>
    <w:autoRedefine/>
    <w:qFormat/>
    <w:uiPriority w:val="0"/>
    <w:rPr>
      <w:rFonts w:ascii="仿宋_GB2312" w:eastAsia="仿宋_GB2312"/>
      <w:b/>
      <w:sz w:val="32"/>
      <w:szCs w:val="32"/>
    </w:rPr>
  </w:style>
  <w:style w:type="paragraph" w:customStyle="1" w:styleId="18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autoRedefine/>
    <w:qFormat/>
    <w:uiPriority w:val="0"/>
    <w:rPr>
      <w:rFonts w:ascii="仿宋_GB2312" w:eastAsia="仿宋_GB2312"/>
      <w:b/>
      <w:sz w:val="32"/>
      <w:szCs w:val="32"/>
    </w:rPr>
  </w:style>
  <w:style w:type="paragraph" w:customStyle="1" w:styleId="186">
    <w:name w:val="Char2 Char Char Char1"/>
    <w:basedOn w:val="1"/>
    <w:autoRedefine/>
    <w:qFormat/>
    <w:uiPriority w:val="6"/>
    <w:rPr>
      <w:rFonts w:ascii="仿宋_GB2312" w:eastAsia="仿宋_GB2312"/>
      <w:b/>
      <w:sz w:val="32"/>
      <w:szCs w:val="32"/>
    </w:rPr>
  </w:style>
  <w:style w:type="paragraph" w:customStyle="1" w:styleId="187">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autoRedefine/>
    <w:qFormat/>
    <w:uiPriority w:val="0"/>
    <w:pPr>
      <w:tabs>
        <w:tab w:val="left" w:pos="1680"/>
        <w:tab w:val="clear" w:pos="900"/>
      </w:tabs>
      <w:adjustRightInd/>
      <w:ind w:left="1680" w:hanging="420"/>
    </w:pPr>
  </w:style>
  <w:style w:type="paragraph" w:customStyle="1" w:styleId="191">
    <w:name w:val="标准小四"/>
    <w:basedOn w:val="1"/>
    <w:autoRedefine/>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autoRedefine/>
    <w:qFormat/>
    <w:uiPriority w:val="0"/>
    <w:pPr>
      <w:adjustRightInd/>
      <w:snapToGrid w:val="0"/>
      <w:spacing w:line="300" w:lineRule="auto"/>
    </w:pPr>
    <w:rPr>
      <w:rFonts w:eastAsia="仿宋"/>
      <w:szCs w:val="21"/>
    </w:rPr>
  </w:style>
  <w:style w:type="paragraph" w:customStyle="1" w:styleId="19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autoRedefine/>
    <w:qFormat/>
    <w:uiPriority w:val="6"/>
    <w:pPr>
      <w:adjustRightInd/>
    </w:pPr>
    <w:rPr>
      <w:rFonts w:ascii="Tahoma" w:hAnsi="Tahoma"/>
      <w:sz w:val="24"/>
      <w:szCs w:val="20"/>
    </w:rPr>
  </w:style>
  <w:style w:type="paragraph" w:customStyle="1" w:styleId="19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19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autoRedefine/>
    <w:qFormat/>
    <w:uiPriority w:val="0"/>
    <w:pPr>
      <w:adjustRightInd/>
      <w:ind w:firstLine="420" w:firstLineChars="200"/>
    </w:pPr>
    <w:rPr>
      <w:rFonts w:eastAsia="仿宋_GB2312"/>
      <w:sz w:val="28"/>
    </w:rPr>
  </w:style>
  <w:style w:type="paragraph" w:customStyle="1" w:styleId="20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autoRedefine/>
    <w:qFormat/>
    <w:uiPriority w:val="0"/>
    <w:pPr>
      <w:adjustRightInd/>
      <w:ind w:firstLine="200" w:firstLineChars="200"/>
      <w:jc w:val="right"/>
    </w:p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正文1.25"/>
    <w:basedOn w:val="1"/>
    <w:autoRedefine/>
    <w:qFormat/>
    <w:uiPriority w:val="0"/>
    <w:pPr>
      <w:adjustRightInd/>
      <w:spacing w:line="300" w:lineRule="auto"/>
      <w:ind w:firstLine="480" w:firstLineChars="200"/>
    </w:pPr>
    <w:rPr>
      <w:sz w:val="24"/>
      <w:szCs w:val="20"/>
    </w:rPr>
  </w:style>
  <w:style w:type="paragraph" w:customStyle="1" w:styleId="21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autoRedefine/>
    <w:qFormat/>
    <w:uiPriority w:val="6"/>
    <w:rPr>
      <w:rFonts w:ascii="仿宋_GB2312" w:eastAsia="仿宋_GB2312"/>
      <w:b/>
      <w:sz w:val="32"/>
      <w:szCs w:val="20"/>
    </w:rPr>
  </w:style>
  <w:style w:type="paragraph" w:customStyle="1" w:styleId="214">
    <w:name w:val="列出段落2"/>
    <w:basedOn w:val="1"/>
    <w:autoRedefine/>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autoRedefine/>
    <w:qFormat/>
    <w:uiPriority w:val="0"/>
    <w:rPr>
      <w:rFonts w:eastAsia="仿宋_GB2312"/>
      <w:sz w:val="28"/>
      <w:szCs w:val="20"/>
    </w:rPr>
  </w:style>
  <w:style w:type="paragraph" w:customStyle="1" w:styleId="21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autoRedefine/>
    <w:qFormat/>
    <w:uiPriority w:val="0"/>
    <w:pPr>
      <w:widowControl/>
      <w:jc w:val="left"/>
    </w:pPr>
    <w:rPr>
      <w:rFonts w:cs="宋体"/>
      <w:sz w:val="24"/>
      <w:szCs w:val="20"/>
    </w:rPr>
  </w:style>
  <w:style w:type="paragraph" w:customStyle="1" w:styleId="218">
    <w:name w:val="彩色列表 - 强调文字颜色 11"/>
    <w:basedOn w:val="1"/>
    <w:autoRedefine/>
    <w:qFormat/>
    <w:uiPriority w:val="0"/>
    <w:pPr>
      <w:adjustRightInd/>
      <w:ind w:firstLine="420" w:firstLineChars="200"/>
    </w:pPr>
    <w:rPr>
      <w:rFonts w:ascii="Calibri" w:hAnsi="Calibri"/>
      <w:szCs w:val="22"/>
    </w:rPr>
  </w:style>
  <w:style w:type="paragraph" w:customStyle="1" w:styleId="21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autoRedefine/>
    <w:qFormat/>
    <w:uiPriority w:val="6"/>
    <w:rPr>
      <w:szCs w:val="20"/>
    </w:rPr>
  </w:style>
  <w:style w:type="paragraph" w:customStyle="1" w:styleId="22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autoRedefine/>
    <w:qFormat/>
    <w:uiPriority w:val="0"/>
    <w:pPr>
      <w:spacing w:after="68"/>
    </w:pPr>
    <w:rPr>
      <w:rFonts w:ascii="FHLHE E+ Futura Bk" w:eastAsia="FHLHE E+ Futura Bk" w:cs="Times New Roman"/>
      <w:color w:val="auto"/>
    </w:rPr>
  </w:style>
  <w:style w:type="paragraph" w:customStyle="1" w:styleId="22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autoRedefine/>
    <w:qFormat/>
    <w:uiPriority w:val="0"/>
    <w:rPr>
      <w:rFonts w:ascii="宋体" w:eastAsia="宋体" w:cs="Times New Roman"/>
      <w:color w:val="auto"/>
    </w:rPr>
  </w:style>
  <w:style w:type="paragraph" w:customStyle="1" w:styleId="23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autoRedefine/>
    <w:qFormat/>
    <w:uiPriority w:val="0"/>
    <w:rPr>
      <w:rFonts w:ascii="仿宋_GB2312" w:eastAsia="仿宋_GB2312"/>
      <w:b/>
      <w:sz w:val="32"/>
      <w:szCs w:val="32"/>
    </w:rPr>
  </w:style>
  <w:style w:type="paragraph" w:customStyle="1" w:styleId="23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autoRedefine/>
    <w:qFormat/>
    <w:uiPriority w:val="0"/>
    <w:pPr>
      <w:spacing w:line="360" w:lineRule="auto"/>
    </w:pPr>
    <w:rPr>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autoRedefine/>
    <w:qFormat/>
    <w:uiPriority w:val="0"/>
    <w:rPr>
      <w:szCs w:val="20"/>
    </w:rPr>
  </w:style>
  <w:style w:type="paragraph" w:customStyle="1" w:styleId="24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autoRedefine/>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autoRedefine/>
    <w:qFormat/>
    <w:uiPriority w:val="0"/>
    <w:rPr>
      <w:szCs w:val="20"/>
    </w:rPr>
  </w:style>
  <w:style w:type="paragraph" w:customStyle="1" w:styleId="26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autoRedefine/>
    <w:qFormat/>
    <w:uiPriority w:val="0"/>
    <w:rPr>
      <w:rFonts w:ascii="Tahoma" w:hAnsi="Tahoma"/>
      <w:sz w:val="24"/>
      <w:szCs w:val="20"/>
    </w:rPr>
  </w:style>
  <w:style w:type="paragraph" w:customStyle="1" w:styleId="267">
    <w:name w:val="标题五"/>
    <w:basedOn w:val="1"/>
    <w:autoRedefine/>
    <w:qFormat/>
    <w:uiPriority w:val="0"/>
    <w:pPr>
      <w:adjustRightInd/>
      <w:spacing w:before="156" w:beforeLines="50" w:line="360" w:lineRule="auto"/>
    </w:pPr>
    <w:rPr>
      <w:b/>
      <w:sz w:val="24"/>
    </w:rPr>
  </w:style>
  <w:style w:type="paragraph" w:customStyle="1" w:styleId="268">
    <w:name w:val="Char Char1101"/>
    <w:basedOn w:val="1"/>
    <w:autoRedefine/>
    <w:qFormat/>
    <w:uiPriority w:val="0"/>
    <w:pPr>
      <w:spacing w:line="360" w:lineRule="auto"/>
    </w:pPr>
    <w:rPr>
      <w:rFonts w:ascii="Tahoma" w:hAnsi="Tahoma"/>
      <w:sz w:val="24"/>
      <w:szCs w:val="20"/>
    </w:rPr>
  </w:style>
  <w:style w:type="paragraph" w:customStyle="1" w:styleId="269">
    <w:name w:val="Char Char Char Char Char Char Char Char1"/>
    <w:basedOn w:val="1"/>
    <w:autoRedefine/>
    <w:qFormat/>
    <w:uiPriority w:val="0"/>
    <w:pPr>
      <w:tabs>
        <w:tab w:val="left" w:pos="360"/>
      </w:tabs>
    </w:pPr>
    <w:rPr>
      <w:sz w:val="24"/>
      <w:szCs w:val="20"/>
    </w:rPr>
  </w:style>
  <w:style w:type="paragraph" w:customStyle="1" w:styleId="270">
    <w:name w:val="Char Char Char 字元 字元"/>
    <w:basedOn w:val="1"/>
    <w:autoRedefine/>
    <w:qFormat/>
    <w:uiPriority w:val="0"/>
    <w:pPr>
      <w:adjustRightInd/>
      <w:spacing w:line="360" w:lineRule="auto"/>
      <w:ind w:firstLine="200" w:firstLineChars="200"/>
    </w:pPr>
    <w:rPr>
      <w:szCs w:val="20"/>
    </w:rPr>
  </w:style>
  <w:style w:type="paragraph" w:customStyle="1" w:styleId="27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autoRedefine/>
    <w:qFormat/>
    <w:uiPriority w:val="0"/>
    <w:rPr>
      <w:rFonts w:ascii="仿宋_GB2312" w:eastAsia="仿宋_GB2312"/>
      <w:b/>
      <w:sz w:val="32"/>
      <w:szCs w:val="32"/>
    </w:rPr>
  </w:style>
  <w:style w:type="paragraph" w:customStyle="1" w:styleId="27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autoRedefine/>
    <w:qFormat/>
    <w:uiPriority w:val="0"/>
    <w:pPr>
      <w:adjustRightInd/>
    </w:pPr>
    <w:rPr>
      <w:sz w:val="18"/>
      <w:szCs w:val="20"/>
    </w:rPr>
  </w:style>
  <w:style w:type="paragraph" w:customStyle="1" w:styleId="27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autoRedefine/>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autoRedefine/>
    <w:qFormat/>
    <w:uiPriority w:val="0"/>
    <w:pPr>
      <w:snapToGrid w:val="0"/>
      <w:spacing w:line="360" w:lineRule="auto"/>
    </w:pPr>
    <w:rPr>
      <w:rFonts w:ascii="宋体"/>
      <w:b/>
      <w:sz w:val="24"/>
      <w:szCs w:val="20"/>
    </w:rPr>
  </w:style>
  <w:style w:type="paragraph" w:customStyle="1" w:styleId="28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autoRedefine/>
    <w:qFormat/>
    <w:uiPriority w:val="7"/>
    <w:pPr>
      <w:adjustRightInd/>
    </w:pPr>
    <w:rPr>
      <w:rFonts w:ascii="宋体" w:hAnsi="Courier New"/>
    </w:rPr>
  </w:style>
  <w:style w:type="paragraph" w:customStyle="1" w:styleId="291">
    <w:name w:val="Char3"/>
    <w:basedOn w:val="1"/>
    <w:autoRedefine/>
    <w:qFormat/>
    <w:uiPriority w:val="0"/>
    <w:pPr>
      <w:adjustRightInd/>
    </w:pPr>
    <w:rPr>
      <w:rFonts w:ascii="仿宋_GB2312" w:eastAsia="仿宋_GB2312"/>
      <w:b/>
      <w:sz w:val="32"/>
      <w:szCs w:val="32"/>
    </w:rPr>
  </w:style>
  <w:style w:type="paragraph" w:customStyle="1" w:styleId="29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autoRedefine/>
    <w:qFormat/>
    <w:uiPriority w:val="0"/>
    <w:pPr>
      <w:widowControl/>
      <w:adjustRightInd/>
      <w:spacing w:after="160" w:line="240" w:lineRule="exact"/>
      <w:jc w:val="left"/>
    </w:pPr>
    <w:rPr>
      <w:szCs w:val="20"/>
    </w:rPr>
  </w:style>
  <w:style w:type="paragraph" w:customStyle="1" w:styleId="300">
    <w:name w:val="表格标题2"/>
    <w:basedOn w:val="301"/>
    <w:autoRedefine/>
    <w:qFormat/>
    <w:uiPriority w:val="0"/>
    <w:rPr>
      <w:b/>
    </w:rPr>
  </w:style>
  <w:style w:type="paragraph" w:customStyle="1" w:styleId="301">
    <w:name w:val="表格内文"/>
    <w:basedOn w:val="1"/>
    <w:autoRedefine/>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autoRedefine/>
    <w:qFormat/>
    <w:uiPriority w:val="0"/>
    <w:rPr>
      <w:rFonts w:ascii="仿宋_GB2312" w:eastAsia="仿宋_GB2312"/>
      <w:b/>
      <w:sz w:val="32"/>
      <w:szCs w:val="32"/>
    </w:rPr>
  </w:style>
  <w:style w:type="paragraph" w:customStyle="1" w:styleId="30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autoRedefine/>
    <w:qFormat/>
    <w:uiPriority w:val="0"/>
    <w:pPr>
      <w:spacing w:line="360" w:lineRule="auto"/>
    </w:pPr>
    <w:rPr>
      <w:szCs w:val="20"/>
    </w:rPr>
  </w:style>
  <w:style w:type="paragraph" w:customStyle="1" w:styleId="30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8">
    <w:name w:val="MM Topic 1"/>
    <w:basedOn w:val="3"/>
    <w:autoRedefine/>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autoRedefine/>
    <w:qFormat/>
    <w:uiPriority w:val="0"/>
    <w:pPr>
      <w:adjustRightInd/>
      <w:spacing w:line="300" w:lineRule="auto"/>
      <w:jc w:val="center"/>
    </w:pPr>
  </w:style>
  <w:style w:type="paragraph" w:customStyle="1" w:styleId="317">
    <w:name w:val="_Style 6"/>
    <w:basedOn w:val="1"/>
    <w:autoRedefine/>
    <w:qFormat/>
    <w:uiPriority w:val="34"/>
    <w:pPr>
      <w:adjustRightInd/>
      <w:ind w:firstLine="420" w:firstLineChars="200"/>
    </w:pPr>
    <w:rPr>
      <w:rFonts w:eastAsia="仿宋_GB2312"/>
      <w:sz w:val="28"/>
    </w:rPr>
  </w:style>
  <w:style w:type="paragraph" w:customStyle="1" w:styleId="31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autoRedefine/>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autoRedefine/>
    <w:qFormat/>
    <w:uiPriority w:val="0"/>
    <w:rPr>
      <w:rFonts w:ascii="仿宋_GB2312" w:eastAsia="仿宋_GB2312"/>
      <w:b/>
      <w:sz w:val="32"/>
      <w:szCs w:val="20"/>
    </w:rPr>
  </w:style>
  <w:style w:type="paragraph" w:customStyle="1" w:styleId="32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autoRedefine/>
    <w:qFormat/>
    <w:uiPriority w:val="0"/>
    <w:pPr>
      <w:adjustRightInd/>
      <w:ind w:firstLine="200" w:firstLineChars="200"/>
    </w:pPr>
    <w:rPr>
      <w:rFonts w:ascii="Tahoma" w:hAnsi="Tahoma"/>
      <w:sz w:val="24"/>
      <w:szCs w:val="20"/>
    </w:rPr>
  </w:style>
  <w:style w:type="paragraph" w:customStyle="1" w:styleId="330">
    <w:name w:val="a1"/>
    <w:basedOn w:val="1"/>
    <w:autoRedefine/>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autoRedefine/>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autoRedefine/>
    <w:qFormat/>
    <w:uiPriority w:val="0"/>
    <w:pPr>
      <w:adjustRightInd/>
      <w:ind w:firstLine="200" w:firstLineChars="200"/>
    </w:pPr>
    <w:rPr>
      <w:rFonts w:ascii="Tahoma" w:hAnsi="Tahoma"/>
      <w:sz w:val="24"/>
      <w:szCs w:val="20"/>
    </w:rPr>
  </w:style>
  <w:style w:type="paragraph" w:customStyle="1" w:styleId="429">
    <w:name w:val="_标题2"/>
    <w:basedOn w:val="396"/>
    <w:next w:val="39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autoRedefine/>
    <w:qFormat/>
    <w:uiPriority w:val="0"/>
    <w:pPr>
      <w:adjustRightInd/>
      <w:spacing w:line="360" w:lineRule="auto"/>
    </w:pPr>
    <w:rPr>
      <w:rFonts w:ascii="宋体" w:hAnsi="宋体"/>
      <w:szCs w:val="20"/>
    </w:rPr>
  </w:style>
  <w:style w:type="paragraph" w:customStyle="1" w:styleId="43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autoRedefine/>
    <w:qFormat/>
    <w:uiPriority w:val="0"/>
    <w:pPr>
      <w:adjustRightInd/>
    </w:pPr>
    <w:rPr>
      <w:rFonts w:ascii="Tahoma" w:hAnsi="Tahoma"/>
      <w:sz w:val="24"/>
    </w:rPr>
  </w:style>
  <w:style w:type="paragraph" w:customStyle="1" w:styleId="437">
    <w:name w:val="Char Char Char Char11"/>
    <w:basedOn w:val="1"/>
    <w:autoRedefine/>
    <w:qFormat/>
    <w:uiPriority w:val="0"/>
    <w:rPr>
      <w:rFonts w:ascii="Tahoma" w:hAnsi="Tahoma"/>
      <w:sz w:val="24"/>
      <w:szCs w:val="20"/>
    </w:rPr>
  </w:style>
  <w:style w:type="paragraph" w:customStyle="1" w:styleId="4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autoRedefine/>
    <w:qFormat/>
    <w:uiPriority w:val="0"/>
    <w:rPr>
      <w:rFonts w:ascii="Tahoma" w:hAnsi="Tahoma"/>
      <w:sz w:val="24"/>
      <w:szCs w:val="20"/>
    </w:rPr>
  </w:style>
  <w:style w:type="paragraph" w:customStyle="1" w:styleId="44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autoRedefine/>
    <w:qFormat/>
    <w:uiPriority w:val="0"/>
    <w:pPr>
      <w:adjustRightInd/>
    </w:pPr>
    <w:rPr>
      <w:szCs w:val="20"/>
    </w:rPr>
  </w:style>
  <w:style w:type="paragraph" w:customStyle="1" w:styleId="44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autoRedefine/>
    <w:qFormat/>
    <w:uiPriority w:val="34"/>
    <w:pPr>
      <w:adjustRightInd/>
      <w:ind w:firstLine="420" w:firstLineChars="200"/>
    </w:pPr>
    <w:rPr>
      <w:rFonts w:eastAsia="仿宋_GB2312"/>
      <w:sz w:val="28"/>
    </w:rPr>
  </w:style>
  <w:style w:type="paragraph" w:customStyle="1" w:styleId="44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autoRedefine/>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autoRedefine/>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autoRedefine/>
    <w:qFormat/>
    <w:uiPriority w:val="0"/>
    <w:rPr>
      <w:rFonts w:ascii="宋体" w:hAnsi="Times New Roman" w:eastAsia="宋体" w:cs="Times New Roman"/>
      <w:kern w:val="2"/>
      <w:lang w:val="en-US" w:eastAsia="zh-CN" w:bidi="ar-SA"/>
    </w:rPr>
  </w:style>
  <w:style w:type="paragraph" w:customStyle="1" w:styleId="455">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autoRedefine/>
    <w:qFormat/>
    <w:uiPriority w:val="0"/>
    <w:pPr>
      <w:tabs>
        <w:tab w:val="left" w:pos="360"/>
      </w:tabs>
    </w:pPr>
    <w:rPr>
      <w:sz w:val="24"/>
      <w:szCs w:val="20"/>
    </w:rPr>
  </w:style>
  <w:style w:type="paragraph" w:customStyle="1" w:styleId="45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autoRedefine/>
    <w:qFormat/>
    <w:uiPriority w:val="0"/>
    <w:pPr>
      <w:widowControl/>
      <w:adjustRightInd/>
    </w:pPr>
    <w:rPr>
      <w:kern w:val="0"/>
      <w:szCs w:val="21"/>
    </w:rPr>
  </w:style>
  <w:style w:type="paragraph" w:customStyle="1" w:styleId="468">
    <w:name w:val="Char6"/>
    <w:basedOn w:val="1"/>
    <w:autoRedefine/>
    <w:qFormat/>
    <w:uiPriority w:val="0"/>
    <w:rPr>
      <w:rFonts w:ascii="仿宋_GB2312" w:eastAsia="仿宋_GB2312"/>
      <w:b/>
      <w:sz w:val="32"/>
      <w:szCs w:val="32"/>
    </w:rPr>
  </w:style>
  <w:style w:type="paragraph" w:customStyle="1" w:styleId="469">
    <w:name w:val="Char111"/>
    <w:basedOn w:val="1"/>
    <w:autoRedefine/>
    <w:qFormat/>
    <w:uiPriority w:val="0"/>
    <w:rPr>
      <w:rFonts w:ascii="仿宋_GB2312" w:eastAsia="仿宋_GB2312"/>
      <w:b/>
      <w:sz w:val="32"/>
      <w:szCs w:val="32"/>
    </w:rPr>
  </w:style>
  <w:style w:type="paragraph" w:customStyle="1" w:styleId="47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autoRedefine/>
    <w:qFormat/>
    <w:uiPriority w:val="0"/>
    <w:pPr>
      <w:adjustRightInd/>
      <w:ind w:firstLine="200" w:firstLineChars="200"/>
    </w:pPr>
    <w:rPr>
      <w:rFonts w:ascii="Tahoma" w:hAnsi="Tahoma"/>
      <w:sz w:val="24"/>
      <w:szCs w:val="20"/>
    </w:rPr>
  </w:style>
  <w:style w:type="paragraph" w:customStyle="1" w:styleId="47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autoRedefine/>
    <w:qFormat/>
    <w:uiPriority w:val="0"/>
    <w:rPr>
      <w:rFonts w:ascii="仿宋_GB2312" w:eastAsia="仿宋_GB2312"/>
      <w:b/>
      <w:sz w:val="32"/>
      <w:szCs w:val="32"/>
    </w:rPr>
  </w:style>
  <w:style w:type="paragraph" w:customStyle="1" w:styleId="477">
    <w:name w:val="五级条标题"/>
    <w:basedOn w:val="478"/>
    <w:next w:val="323"/>
    <w:autoRedefine/>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autoRedefine/>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autoRedefine/>
    <w:qFormat/>
    <w:uiPriority w:val="0"/>
    <w:rPr>
      <w:rFonts w:ascii="仿宋_GB2312" w:eastAsia="仿宋_GB2312"/>
      <w:b/>
      <w:sz w:val="32"/>
      <w:szCs w:val="32"/>
    </w:rPr>
  </w:style>
  <w:style w:type="paragraph" w:customStyle="1" w:styleId="48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autoRedefine/>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5">
    <w:name w:val="单元格左对齐"/>
    <w:basedOn w:val="1"/>
    <w:autoRedefine/>
    <w:qFormat/>
    <w:uiPriority w:val="0"/>
    <w:pPr>
      <w:adjustRightInd/>
      <w:spacing w:line="360" w:lineRule="auto"/>
    </w:pPr>
    <w:rPr>
      <w:sz w:val="24"/>
    </w:rPr>
  </w:style>
  <w:style w:type="paragraph" w:customStyle="1" w:styleId="486">
    <w:name w:val="正文主体"/>
    <w:basedOn w:val="307"/>
    <w:autoRedefine/>
    <w:qFormat/>
    <w:uiPriority w:val="0"/>
  </w:style>
  <w:style w:type="paragraph" w:customStyle="1" w:styleId="48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autoRedefine/>
    <w:qFormat/>
    <w:uiPriority w:val="0"/>
    <w:pPr>
      <w:adjustRightInd/>
      <w:spacing w:line="360" w:lineRule="auto"/>
      <w:ind w:firstLine="480" w:firstLineChars="200"/>
    </w:pPr>
    <w:rPr>
      <w:sz w:val="24"/>
      <w:szCs w:val="20"/>
    </w:rPr>
  </w:style>
  <w:style w:type="paragraph" w:customStyle="1" w:styleId="491">
    <w:name w:val="P1"/>
    <w:basedOn w:val="1"/>
    <w:autoRedefine/>
    <w:qFormat/>
    <w:uiPriority w:val="0"/>
    <w:pPr>
      <w:adjustRightInd/>
      <w:spacing w:line="288" w:lineRule="auto"/>
      <w:ind w:firstLine="425" w:firstLineChars="200"/>
    </w:pPr>
  </w:style>
  <w:style w:type="paragraph" w:customStyle="1" w:styleId="492">
    <w:name w:val="列表内容"/>
    <w:basedOn w:val="1"/>
    <w:next w:val="1"/>
    <w:autoRedefine/>
    <w:qFormat/>
    <w:uiPriority w:val="0"/>
    <w:pPr>
      <w:widowControl/>
      <w:tabs>
        <w:tab w:val="left" w:pos="840"/>
      </w:tabs>
      <w:ind w:left="840" w:hanging="420"/>
      <w:jc w:val="left"/>
    </w:pPr>
    <w:rPr>
      <w:kern w:val="0"/>
      <w:sz w:val="18"/>
    </w:rPr>
  </w:style>
  <w:style w:type="paragraph" w:customStyle="1" w:styleId="493">
    <w:name w:val="Char Char11 Char Char Char1"/>
    <w:basedOn w:val="1"/>
    <w:autoRedefine/>
    <w:qFormat/>
    <w:uiPriority w:val="6"/>
    <w:pPr>
      <w:spacing w:line="360" w:lineRule="auto"/>
    </w:pPr>
    <w:rPr>
      <w:szCs w:val="20"/>
    </w:rPr>
  </w:style>
  <w:style w:type="paragraph" w:customStyle="1" w:styleId="49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autoRedefine/>
    <w:qFormat/>
    <w:uiPriority w:val="0"/>
    <w:pPr>
      <w:spacing w:line="360" w:lineRule="auto"/>
    </w:pPr>
    <w:rPr>
      <w:szCs w:val="20"/>
    </w:rPr>
  </w:style>
  <w:style w:type="paragraph" w:customStyle="1" w:styleId="50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autoRedefine/>
    <w:qFormat/>
    <w:uiPriority w:val="0"/>
    <w:rPr>
      <w:rFonts w:ascii="仿宋_GB2312" w:eastAsia="仿宋_GB2312"/>
      <w:b/>
      <w:sz w:val="32"/>
      <w:szCs w:val="32"/>
    </w:rPr>
  </w:style>
  <w:style w:type="paragraph" w:customStyle="1" w:styleId="50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6">
    <w:name w:val="Char Char4 Char Char"/>
    <w:basedOn w:val="1"/>
    <w:autoRedefine/>
    <w:qFormat/>
    <w:uiPriority w:val="0"/>
    <w:pPr>
      <w:widowControl/>
      <w:adjustRightInd/>
      <w:spacing w:after="160" w:line="240" w:lineRule="exact"/>
      <w:jc w:val="left"/>
    </w:pPr>
  </w:style>
  <w:style w:type="paragraph" w:customStyle="1" w:styleId="50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autoRedefine/>
    <w:qFormat/>
    <w:uiPriority w:val="0"/>
    <w:pPr>
      <w:spacing w:line="360" w:lineRule="auto"/>
    </w:pPr>
    <w:rPr>
      <w:szCs w:val="20"/>
    </w:rPr>
  </w:style>
  <w:style w:type="paragraph" w:customStyle="1" w:styleId="50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autoRedefine/>
    <w:qFormat/>
    <w:uiPriority w:val="0"/>
    <w:pPr>
      <w:adjustRightInd/>
      <w:ind w:firstLine="200" w:firstLineChars="200"/>
    </w:pPr>
    <w:rPr>
      <w:rFonts w:ascii="Tahoma" w:hAnsi="Tahoma"/>
      <w:sz w:val="24"/>
      <w:szCs w:val="20"/>
    </w:rPr>
  </w:style>
  <w:style w:type="paragraph" w:customStyle="1" w:styleId="516">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autoRedefine/>
    <w:qFormat/>
    <w:uiPriority w:val="0"/>
    <w:pPr>
      <w:tabs>
        <w:tab w:val="left" w:pos="0"/>
      </w:tabs>
      <w:ind w:left="900" w:firstLine="0" w:firstLineChars="0"/>
    </w:pPr>
  </w:style>
  <w:style w:type="paragraph" w:customStyle="1" w:styleId="519">
    <w:name w:val="Bulleted List"/>
    <w:basedOn w:val="1"/>
    <w:autoRedefine/>
    <w:qFormat/>
    <w:uiPriority w:val="0"/>
    <w:pPr>
      <w:tabs>
        <w:tab w:val="left" w:pos="1260"/>
      </w:tabs>
      <w:adjustRightInd/>
      <w:ind w:left="1260" w:hanging="420"/>
    </w:pPr>
  </w:style>
  <w:style w:type="paragraph" w:customStyle="1" w:styleId="520">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autoRedefine/>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autoRedefine/>
    <w:qFormat/>
    <w:uiPriority w:val="0"/>
    <w:rPr>
      <w:rFonts w:ascii="Tahoma" w:hAnsi="Tahoma" w:cs="仿宋_GB2312"/>
      <w:sz w:val="24"/>
      <w:szCs w:val="20"/>
    </w:rPr>
  </w:style>
  <w:style w:type="paragraph" w:customStyle="1" w:styleId="523">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autoRedefine/>
    <w:qFormat/>
    <w:uiPriority w:val="0"/>
    <w:rPr>
      <w:rFonts w:ascii="仿宋_GB2312" w:eastAsia="仿宋_GB2312"/>
      <w:b/>
      <w:sz w:val="32"/>
      <w:szCs w:val="20"/>
    </w:rPr>
  </w:style>
  <w:style w:type="paragraph" w:customStyle="1" w:styleId="52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autoRedefine/>
    <w:qFormat/>
    <w:uiPriority w:val="0"/>
    <w:rPr>
      <w:rFonts w:ascii="仿宋_GB2312" w:eastAsia="仿宋_GB2312"/>
      <w:b/>
      <w:sz w:val="32"/>
      <w:szCs w:val="20"/>
    </w:rPr>
  </w:style>
  <w:style w:type="paragraph" w:customStyle="1" w:styleId="53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autoRedefine/>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autoRedefine/>
    <w:qFormat/>
    <w:uiPriority w:val="0"/>
    <w:pPr>
      <w:widowControl/>
      <w:spacing w:after="160" w:line="240" w:lineRule="exact"/>
      <w:jc w:val="left"/>
    </w:pPr>
    <w:rPr>
      <w:rFonts w:eastAsia="仿宋_GB2312"/>
      <w:sz w:val="28"/>
    </w:rPr>
  </w:style>
  <w:style w:type="paragraph" w:customStyle="1" w:styleId="544">
    <w:name w:val="Char21"/>
    <w:basedOn w:val="1"/>
    <w:autoRedefine/>
    <w:qFormat/>
    <w:uiPriority w:val="0"/>
    <w:pPr>
      <w:adjustRightInd/>
      <w:ind w:firstLine="200" w:firstLineChars="200"/>
    </w:pPr>
    <w:rPr>
      <w:rFonts w:ascii="仿宋_GB2312" w:eastAsia="仿宋_GB2312"/>
      <w:b/>
      <w:sz w:val="32"/>
      <w:szCs w:val="32"/>
    </w:rPr>
  </w:style>
  <w:style w:type="paragraph" w:customStyle="1" w:styleId="545">
    <w:name w:val="列表段落1"/>
    <w:basedOn w:val="1"/>
    <w:autoRedefine/>
    <w:qFormat/>
    <w:uiPriority w:val="34"/>
    <w:pPr>
      <w:adjustRightInd/>
      <w:ind w:right="238" w:firstLine="420"/>
    </w:pPr>
    <w:rPr>
      <w:rFonts w:ascii="Calibri" w:hAnsi="Calibri"/>
      <w:sz w:val="24"/>
    </w:rPr>
  </w:style>
  <w:style w:type="paragraph" w:customStyle="1" w:styleId="546">
    <w:name w:val="Char Char110"/>
    <w:basedOn w:val="1"/>
    <w:autoRedefine/>
    <w:qFormat/>
    <w:uiPriority w:val="6"/>
    <w:pPr>
      <w:spacing w:line="360" w:lineRule="auto"/>
    </w:pPr>
    <w:rPr>
      <w:rFonts w:ascii="Tahoma" w:hAnsi="Tahoma"/>
      <w:sz w:val="24"/>
      <w:szCs w:val="20"/>
    </w:rPr>
  </w:style>
  <w:style w:type="paragraph" w:customStyle="1" w:styleId="54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autoRedefine/>
    <w:qFormat/>
    <w:uiPriority w:val="0"/>
    <w:rPr>
      <w:rFonts w:ascii="Tahoma" w:hAnsi="Tahoma" w:cs="仿宋_GB2312"/>
      <w:sz w:val="24"/>
      <w:szCs w:val="20"/>
    </w:rPr>
  </w:style>
  <w:style w:type="paragraph" w:customStyle="1" w:styleId="55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6">
    <w:name w:val="_Style 12"/>
    <w:basedOn w:val="18"/>
    <w:autoRedefine/>
    <w:qFormat/>
    <w:uiPriority w:val="0"/>
    <w:pPr>
      <w:snapToGrid w:val="0"/>
      <w:spacing w:line="360" w:lineRule="auto"/>
    </w:pPr>
  </w:style>
  <w:style w:type="paragraph" w:customStyle="1" w:styleId="55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autoRedefine/>
    <w:qFormat/>
    <w:uiPriority w:val="0"/>
    <w:pPr>
      <w:outlineLvl w:val="2"/>
    </w:pPr>
  </w:style>
  <w:style w:type="paragraph" w:customStyle="1" w:styleId="56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autoRedefine/>
    <w:qFormat/>
    <w:uiPriority w:val="0"/>
    <w:pPr>
      <w:adjustRightInd/>
      <w:ind w:firstLine="200" w:firstLineChars="200"/>
    </w:pPr>
    <w:rPr>
      <w:rFonts w:ascii="Tahoma" w:hAnsi="Tahoma"/>
      <w:sz w:val="24"/>
      <w:szCs w:val="20"/>
    </w:rPr>
  </w:style>
  <w:style w:type="paragraph" w:customStyle="1" w:styleId="56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7">
    <w:name w:val="MM Empty"/>
    <w:basedOn w:val="1"/>
    <w:autoRedefine/>
    <w:qFormat/>
    <w:uiPriority w:val="0"/>
    <w:pPr>
      <w:adjustRightInd/>
    </w:pPr>
  </w:style>
  <w:style w:type="paragraph" w:customStyle="1" w:styleId="568">
    <w:name w:val="Char24"/>
    <w:basedOn w:val="1"/>
    <w:autoRedefine/>
    <w:qFormat/>
    <w:uiPriority w:val="0"/>
    <w:rPr>
      <w:rFonts w:ascii="仿宋_GB2312" w:eastAsia="仿宋_GB2312"/>
      <w:b/>
      <w:sz w:val="32"/>
      <w:szCs w:val="32"/>
    </w:rPr>
  </w:style>
  <w:style w:type="paragraph" w:customStyle="1" w:styleId="569">
    <w:name w:val="正文箭头"/>
    <w:basedOn w:val="221"/>
    <w:autoRedefine/>
    <w:qFormat/>
    <w:uiPriority w:val="0"/>
  </w:style>
  <w:style w:type="paragraph" w:customStyle="1" w:styleId="570">
    <w:name w:val="U_编号2"/>
    <w:basedOn w:val="1"/>
    <w:autoRedefine/>
    <w:qFormat/>
    <w:uiPriority w:val="0"/>
    <w:pPr>
      <w:tabs>
        <w:tab w:val="left" w:pos="785"/>
      </w:tabs>
      <w:adjustRightInd/>
      <w:spacing w:beforeLines="10" w:afterLines="10" w:line="300" w:lineRule="auto"/>
    </w:pPr>
    <w:rPr>
      <w:sz w:val="24"/>
    </w:rPr>
  </w:style>
  <w:style w:type="paragraph" w:customStyle="1" w:styleId="57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autoRedefine/>
    <w:qFormat/>
    <w:uiPriority w:val="34"/>
    <w:pPr>
      <w:adjustRightInd/>
      <w:ind w:firstLine="420" w:firstLineChars="200"/>
    </w:pPr>
    <w:rPr>
      <w:rFonts w:eastAsia="仿宋_GB2312"/>
      <w:sz w:val="28"/>
    </w:rPr>
  </w:style>
  <w:style w:type="paragraph" w:customStyle="1" w:styleId="576">
    <w:name w:val="表格 内容"/>
    <w:basedOn w:val="412"/>
    <w:autoRedefine/>
    <w:qFormat/>
    <w:uiPriority w:val="0"/>
    <w:rPr>
      <w:b w:val="0"/>
      <w:sz w:val="20"/>
    </w:rPr>
  </w:style>
  <w:style w:type="paragraph" w:customStyle="1" w:styleId="577">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autoRedefine/>
    <w:qFormat/>
    <w:uiPriority w:val="0"/>
    <w:pPr>
      <w:tabs>
        <w:tab w:val="left" w:pos="1080"/>
        <w:tab w:val="clear" w:pos="1008"/>
      </w:tabs>
      <w:ind w:left="1080" w:hanging="1080"/>
    </w:pPr>
  </w:style>
  <w:style w:type="paragraph" w:customStyle="1" w:styleId="580">
    <w:name w:val="数字标题1"/>
    <w:basedOn w:val="3"/>
    <w:next w:val="1"/>
    <w:autoRedefine/>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autoRedefine/>
    <w:qFormat/>
    <w:uiPriority w:val="0"/>
    <w:pPr>
      <w:widowControl/>
    </w:pPr>
    <w:rPr>
      <w:kern w:val="0"/>
      <w:sz w:val="24"/>
      <w:szCs w:val="20"/>
    </w:rPr>
  </w:style>
  <w:style w:type="paragraph" w:customStyle="1" w:styleId="588">
    <w:name w:val="Char Char113"/>
    <w:basedOn w:val="1"/>
    <w:autoRedefine/>
    <w:qFormat/>
    <w:uiPriority w:val="0"/>
    <w:pPr>
      <w:widowControl/>
      <w:spacing w:after="160" w:line="240" w:lineRule="exact"/>
      <w:jc w:val="left"/>
    </w:pPr>
    <w:rPr>
      <w:rFonts w:eastAsia="仿宋_GB2312"/>
      <w:sz w:val="28"/>
    </w:rPr>
  </w:style>
  <w:style w:type="paragraph" w:customStyle="1" w:styleId="5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autoRedefine/>
    <w:qFormat/>
    <w:uiPriority w:val="34"/>
    <w:pPr>
      <w:adjustRightInd/>
      <w:ind w:firstLine="420" w:firstLineChars="200"/>
    </w:pPr>
    <w:rPr>
      <w:rFonts w:eastAsia="仿宋_GB2312"/>
      <w:sz w:val="28"/>
    </w:rPr>
  </w:style>
  <w:style w:type="paragraph" w:customStyle="1" w:styleId="5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autoRedefine/>
    <w:qFormat/>
    <w:uiPriority w:val="6"/>
    <w:pPr>
      <w:widowControl/>
      <w:spacing w:after="160" w:line="240" w:lineRule="exact"/>
      <w:jc w:val="left"/>
    </w:pPr>
    <w:rPr>
      <w:rFonts w:eastAsia="仿宋_GB2312"/>
      <w:sz w:val="28"/>
    </w:rPr>
  </w:style>
  <w:style w:type="paragraph" w:customStyle="1" w:styleId="597">
    <w:name w:val="正文 图"/>
    <w:basedOn w:val="126"/>
    <w:autoRedefine/>
    <w:qFormat/>
    <w:uiPriority w:val="0"/>
    <w:pPr>
      <w:adjustRightInd/>
      <w:spacing w:before="0"/>
      <w:ind w:firstLine="0"/>
      <w:jc w:val="center"/>
    </w:pPr>
    <w:rPr>
      <w:rFonts w:ascii="微软雅黑" w:hAnsi="微软雅黑"/>
    </w:rPr>
  </w:style>
  <w:style w:type="paragraph" w:customStyle="1" w:styleId="59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autoRedefine/>
    <w:qFormat/>
    <w:uiPriority w:val="0"/>
    <w:pPr>
      <w:ind w:left="0"/>
    </w:pPr>
  </w:style>
  <w:style w:type="paragraph" w:customStyle="1" w:styleId="60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autoRedefine/>
    <w:qFormat/>
    <w:uiPriority w:val="0"/>
    <w:pPr>
      <w:adjustRightInd/>
      <w:spacing w:line="360" w:lineRule="auto"/>
      <w:ind w:firstLine="480"/>
    </w:pPr>
    <w:rPr>
      <w:sz w:val="24"/>
    </w:rPr>
  </w:style>
  <w:style w:type="paragraph" w:customStyle="1" w:styleId="604">
    <w:name w:val="列出段落111"/>
    <w:basedOn w:val="1"/>
    <w:autoRedefine/>
    <w:qFormat/>
    <w:uiPriority w:val="34"/>
    <w:pPr>
      <w:ind w:firstLine="420" w:firstLineChars="200"/>
    </w:pPr>
  </w:style>
  <w:style w:type="paragraph" w:customStyle="1" w:styleId="605">
    <w:name w:val="标准文本"/>
    <w:basedOn w:val="1"/>
    <w:link w:val="943"/>
    <w:autoRedefine/>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autoRedefine/>
    <w:qFormat/>
    <w:uiPriority w:val="34"/>
    <w:pPr>
      <w:adjustRightInd/>
      <w:ind w:firstLine="420" w:firstLineChars="200"/>
    </w:pPr>
  </w:style>
  <w:style w:type="paragraph" w:customStyle="1" w:styleId="60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autoRedefine/>
    <w:qFormat/>
    <w:uiPriority w:val="0"/>
    <w:pPr>
      <w:adjustRightInd/>
      <w:jc w:val="left"/>
    </w:pPr>
    <w:rPr>
      <w:rFonts w:ascii="Calibri" w:hAnsi="Calibri"/>
      <w:kern w:val="0"/>
      <w:sz w:val="22"/>
      <w:szCs w:val="22"/>
      <w:lang w:eastAsia="en-US"/>
    </w:rPr>
  </w:style>
  <w:style w:type="paragraph" w:customStyle="1" w:styleId="61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620">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1">
    <w:name w:val="Normal Indent1"/>
    <w:basedOn w:val="1"/>
    <w:autoRedefine/>
    <w:qFormat/>
    <w:uiPriority w:val="0"/>
    <w:pPr>
      <w:ind w:firstLine="420" w:firstLineChars="200"/>
    </w:pPr>
  </w:style>
  <w:style w:type="character" w:customStyle="1" w:styleId="622">
    <w:name w:val="表格非标题文字 Char"/>
    <w:link w:val="80"/>
    <w:autoRedefine/>
    <w:qFormat/>
    <w:uiPriority w:val="0"/>
    <w:rPr>
      <w:rFonts w:ascii="Futura Bk" w:hAnsi="Futura Bk"/>
      <w:kern w:val="2"/>
      <w:sz w:val="18"/>
      <w:szCs w:val="21"/>
      <w:lang w:val="en-US" w:eastAsia="zh-CN" w:bidi="ar-SA"/>
    </w:rPr>
  </w:style>
  <w:style w:type="character" w:customStyle="1" w:styleId="623">
    <w:name w:val="*正文 Char"/>
    <w:link w:val="81"/>
    <w:autoRedefine/>
    <w:qFormat/>
    <w:locked/>
    <w:uiPriority w:val="0"/>
    <w:rPr>
      <w:rFonts w:ascii="宋体" w:hAnsi="宋体"/>
      <w:sz w:val="24"/>
    </w:rPr>
  </w:style>
  <w:style w:type="character" w:customStyle="1" w:styleId="624">
    <w:name w:val="Char Char71"/>
    <w:autoRedefine/>
    <w:semiHidden/>
    <w:qFormat/>
    <w:uiPriority w:val="0"/>
    <w:rPr>
      <w:rFonts w:eastAsia="宋体"/>
      <w:kern w:val="2"/>
      <w:sz w:val="21"/>
      <w:szCs w:val="24"/>
      <w:lang w:val="en-US" w:eastAsia="zh-CN" w:bidi="ar-SA"/>
    </w:rPr>
  </w:style>
  <w:style w:type="character" w:customStyle="1" w:styleId="625">
    <w:name w:val="Char Char6"/>
    <w:autoRedefine/>
    <w:qFormat/>
    <w:uiPriority w:val="0"/>
    <w:rPr>
      <w:rFonts w:eastAsia="宋体"/>
      <w:kern w:val="2"/>
      <w:sz w:val="21"/>
      <w:szCs w:val="24"/>
      <w:lang w:val="en-US" w:eastAsia="zh-CN" w:bidi="ar-SA"/>
    </w:rPr>
  </w:style>
  <w:style w:type="character" w:customStyle="1" w:styleId="626">
    <w:name w:val="正文缩进 Char"/>
    <w:autoRedefine/>
    <w:qFormat/>
    <w:uiPriority w:val="0"/>
    <w:rPr>
      <w:rFonts w:eastAsia="宋体"/>
      <w:kern w:val="2"/>
      <w:sz w:val="21"/>
      <w:lang w:val="en-US" w:eastAsia="zh-CN"/>
    </w:rPr>
  </w:style>
  <w:style w:type="character" w:customStyle="1" w:styleId="6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8">
    <w:name w:val="Char Char28"/>
    <w:autoRedefine/>
    <w:qFormat/>
    <w:uiPriority w:val="6"/>
    <w:rPr>
      <w:rFonts w:ascii="仿宋_GB2312" w:hAnsi="仿宋_GB2312" w:eastAsia="仿宋_GB2312"/>
      <w:kern w:val="1"/>
      <w:sz w:val="28"/>
    </w:rPr>
  </w:style>
  <w:style w:type="character" w:customStyle="1" w:styleId="6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autoRedefine/>
    <w:qFormat/>
    <w:uiPriority w:val="6"/>
    <w:rPr>
      <w:rFonts w:ascii="Times New Roman" w:hAnsi="Times New Roman" w:eastAsia="黑体" w:cs="Times New Roman"/>
      <w:b/>
      <w:kern w:val="0"/>
      <w:sz w:val="24"/>
      <w:szCs w:val="24"/>
    </w:rPr>
  </w:style>
  <w:style w:type="character" w:customStyle="1" w:styleId="631">
    <w:name w:val="U_正文 Char"/>
    <w:link w:val="82"/>
    <w:autoRedefine/>
    <w:qFormat/>
    <w:uiPriority w:val="0"/>
    <w:rPr>
      <w:sz w:val="24"/>
      <w:szCs w:val="24"/>
    </w:rPr>
  </w:style>
  <w:style w:type="character" w:customStyle="1" w:styleId="632">
    <w:name w:val="HTML 地址 Char1"/>
    <w:autoRedefine/>
    <w:qFormat/>
    <w:uiPriority w:val="0"/>
    <w:rPr>
      <w:rFonts w:ascii="Times New Roman" w:hAnsi="Times New Roman" w:eastAsia="宋体" w:cs="Times New Roman"/>
      <w:i/>
      <w:iCs/>
      <w:szCs w:val="24"/>
    </w:rPr>
  </w:style>
  <w:style w:type="character" w:customStyle="1" w:styleId="633">
    <w:name w:val="批注主题 Char1"/>
    <w:link w:val="60"/>
    <w:autoRedefine/>
    <w:qFormat/>
    <w:uiPriority w:val="0"/>
    <w:rPr>
      <w:b/>
      <w:bCs/>
      <w:kern w:val="2"/>
      <w:sz w:val="21"/>
      <w:szCs w:val="24"/>
    </w:rPr>
  </w:style>
  <w:style w:type="character" w:customStyle="1" w:styleId="634">
    <w:name w:val="Char Char51"/>
    <w:autoRedefine/>
    <w:qFormat/>
    <w:uiPriority w:val="0"/>
    <w:rPr>
      <w:rFonts w:ascii="宋体" w:hAnsi="Courier New" w:eastAsia="宋体"/>
      <w:kern w:val="2"/>
      <w:sz w:val="21"/>
      <w:lang w:val="en-US" w:eastAsia="zh-CN"/>
    </w:rPr>
  </w:style>
  <w:style w:type="character" w:customStyle="1" w:styleId="635">
    <w:name w:val="表正文 Char"/>
    <w:autoRedefine/>
    <w:qFormat/>
    <w:uiPriority w:val="0"/>
    <w:rPr>
      <w:rFonts w:ascii="宋体" w:eastAsia="宋体"/>
      <w:snapToGrid w:val="0"/>
      <w:color w:val="000000"/>
      <w:kern w:val="28"/>
      <w:sz w:val="28"/>
      <w:lang w:val="en-US" w:eastAsia="zh-CN" w:bidi="ar-SA"/>
    </w:rPr>
  </w:style>
  <w:style w:type="character" w:customStyle="1" w:styleId="636">
    <w:name w:val="Char Char34"/>
    <w:autoRedefine/>
    <w:qFormat/>
    <w:uiPriority w:val="6"/>
    <w:rPr>
      <w:b/>
      <w:kern w:val="1"/>
      <w:sz w:val="28"/>
      <w:szCs w:val="28"/>
    </w:rPr>
  </w:style>
  <w:style w:type="character" w:customStyle="1" w:styleId="63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3"/>
    <w:autoRedefine/>
    <w:qFormat/>
    <w:uiPriority w:val="0"/>
    <w:rPr>
      <w:rFonts w:ascii="宋体" w:hAnsi="宋体" w:eastAsia="宋体"/>
      <w:kern w:val="2"/>
      <w:sz w:val="24"/>
      <w:lang w:bidi="ar-SA"/>
    </w:rPr>
  </w:style>
  <w:style w:type="character" w:customStyle="1" w:styleId="639">
    <w:name w:val="未处理的提及1"/>
    <w:autoRedefine/>
    <w:qFormat/>
    <w:uiPriority w:val="0"/>
    <w:rPr>
      <w:color w:val="808080"/>
      <w:shd w:val="clear" w:color="auto" w:fill="E6E6E6"/>
    </w:rPr>
  </w:style>
  <w:style w:type="character" w:customStyle="1" w:styleId="640">
    <w:name w:val="txt"/>
    <w:autoRedefine/>
    <w:qFormat/>
    <w:uiPriority w:val="0"/>
    <w:rPr>
      <w:rFonts w:ascii="仿宋_GB2312" w:eastAsia="微软雅黑"/>
      <w:b/>
      <w:kern w:val="2"/>
      <w:sz w:val="32"/>
      <w:szCs w:val="32"/>
      <w:lang w:val="en-US" w:eastAsia="zh-CN" w:bidi="ar-SA"/>
    </w:rPr>
  </w:style>
  <w:style w:type="character" w:customStyle="1" w:styleId="64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2">
    <w:name w:val="Char Char32"/>
    <w:autoRedefine/>
    <w:qFormat/>
    <w:uiPriority w:val="6"/>
    <w:rPr>
      <w:b/>
      <w:kern w:val="1"/>
      <w:sz w:val="24"/>
      <w:szCs w:val="24"/>
    </w:rPr>
  </w:style>
  <w:style w:type="character" w:customStyle="1" w:styleId="643">
    <w:name w:val="PI Char1"/>
    <w:autoRedefine/>
    <w:qFormat/>
    <w:uiPriority w:val="0"/>
    <w:rPr>
      <w:rFonts w:ascii="宋体" w:hAnsi="宋体"/>
      <w:kern w:val="2"/>
      <w:sz w:val="24"/>
      <w:szCs w:val="24"/>
    </w:rPr>
  </w:style>
  <w:style w:type="character" w:customStyle="1" w:styleId="644">
    <w:name w:val="tw4winTerm"/>
    <w:autoRedefine/>
    <w:qFormat/>
    <w:uiPriority w:val="0"/>
    <w:rPr>
      <w:color w:val="0000FF"/>
    </w:rPr>
  </w:style>
  <w:style w:type="character" w:customStyle="1" w:styleId="645">
    <w:name w:val="Footer Char"/>
    <w:autoRedefine/>
    <w:qFormat/>
    <w:locked/>
    <w:uiPriority w:val="0"/>
    <w:rPr>
      <w:rFonts w:eastAsia="宋体"/>
      <w:kern w:val="2"/>
      <w:sz w:val="18"/>
      <w:lang w:val="en-US" w:eastAsia="zh-CN" w:bidi="ar-SA"/>
    </w:rPr>
  </w:style>
  <w:style w:type="character" w:customStyle="1" w:styleId="646">
    <w:name w:val="普通文字 Char Char1"/>
    <w:autoRedefine/>
    <w:qFormat/>
    <w:uiPriority w:val="0"/>
    <w:rPr>
      <w:rFonts w:ascii="宋体" w:hAnsi="Courier New"/>
      <w:kern w:val="2"/>
      <w:sz w:val="21"/>
    </w:rPr>
  </w:style>
  <w:style w:type="character" w:customStyle="1" w:styleId="647">
    <w:name w:val="Char Char101"/>
    <w:autoRedefine/>
    <w:qFormat/>
    <w:uiPriority w:val="6"/>
    <w:rPr>
      <w:rFonts w:ascii="宋体" w:hAnsi="宋体"/>
      <w:kern w:val="2"/>
      <w:sz w:val="21"/>
      <w:szCs w:val="24"/>
      <w:lang w:val="en-US" w:eastAsia="zh-CN"/>
    </w:rPr>
  </w:style>
  <w:style w:type="character" w:customStyle="1" w:styleId="648">
    <w:name w:val="标题 4 Char"/>
    <w:autoRedefine/>
    <w:qFormat/>
    <w:uiPriority w:val="0"/>
    <w:rPr>
      <w:rFonts w:ascii="Arial" w:hAnsi="Arial" w:eastAsia="黑体"/>
      <w:b/>
      <w:kern w:val="2"/>
      <w:sz w:val="28"/>
    </w:rPr>
  </w:style>
  <w:style w:type="character" w:customStyle="1" w:styleId="649">
    <w:name w:val="链接"/>
    <w:autoRedefine/>
    <w:qFormat/>
    <w:uiPriority w:val="0"/>
    <w:rPr>
      <w:color w:val="0000FF"/>
      <w:sz w:val="21"/>
      <w:szCs w:val="21"/>
      <w:u w:val="single"/>
    </w:rPr>
  </w:style>
  <w:style w:type="character" w:customStyle="1" w:styleId="650">
    <w:name w:val="h4 Char"/>
    <w:autoRedefine/>
    <w:qFormat/>
    <w:uiPriority w:val="0"/>
    <w:rPr>
      <w:rFonts w:ascii="Arial" w:hAnsi="Arial" w:eastAsia="黑体"/>
      <w:b/>
      <w:bCs/>
      <w:kern w:val="2"/>
      <w:sz w:val="28"/>
      <w:szCs w:val="28"/>
      <w:lang w:val="zh-CN" w:eastAsia="zh-CN" w:bidi="ar-SA"/>
    </w:rPr>
  </w:style>
  <w:style w:type="character" w:customStyle="1" w:styleId="651">
    <w:name w:val="5正文 Char"/>
    <w:link w:val="84"/>
    <w:autoRedefine/>
    <w:qFormat/>
    <w:uiPriority w:val="0"/>
    <w:rPr>
      <w:rFonts w:ascii="仿宋_GB2312" w:hAnsi="微软雅黑" w:eastAsia="仿宋_GB2312"/>
      <w:sz w:val="28"/>
      <w:szCs w:val="21"/>
    </w:rPr>
  </w:style>
  <w:style w:type="character" w:customStyle="1" w:styleId="652">
    <w:name w:val="标题 3 字符"/>
    <w:autoRedefine/>
    <w:qFormat/>
    <w:uiPriority w:val="9"/>
    <w:rPr>
      <w:b/>
      <w:bCs/>
      <w:kern w:val="2"/>
      <w:sz w:val="32"/>
      <w:szCs w:val="32"/>
    </w:rPr>
  </w:style>
  <w:style w:type="character" w:customStyle="1" w:styleId="653">
    <w:name w:val="样式6 Char"/>
    <w:autoRedefine/>
    <w:qFormat/>
    <w:uiPriority w:val="0"/>
    <w:rPr>
      <w:rFonts w:ascii="仿宋_GB2312" w:hAnsi="宋体" w:eastAsia="仿宋_GB2312"/>
      <w:b/>
      <w:bCs/>
      <w:kern w:val="2"/>
      <w:sz w:val="24"/>
      <w:szCs w:val="24"/>
      <w:lang w:val="en-US" w:eastAsia="zh-CN" w:bidi="ar-SA"/>
    </w:rPr>
  </w:style>
  <w:style w:type="character" w:customStyle="1" w:styleId="654">
    <w:name w:val="Char Char14"/>
    <w:autoRedefine/>
    <w:qFormat/>
    <w:uiPriority w:val="6"/>
    <w:rPr>
      <w:rFonts w:ascii="黑体" w:hAnsi="黑体" w:eastAsia="黑体"/>
    </w:rPr>
  </w:style>
  <w:style w:type="character" w:customStyle="1" w:styleId="655">
    <w:name w:val="Heading 2 Hidden Char"/>
    <w:autoRedefine/>
    <w:qFormat/>
    <w:uiPriority w:val="0"/>
    <w:rPr>
      <w:rFonts w:ascii="仿宋_GB2312" w:eastAsia="仿宋_GB2312"/>
      <w:b/>
      <w:bCs/>
      <w:kern w:val="2"/>
      <w:sz w:val="24"/>
      <w:szCs w:val="24"/>
      <w:lang w:val="zh-CN" w:eastAsia="zh-CN" w:bidi="ar-SA"/>
    </w:rPr>
  </w:style>
  <w:style w:type="character" w:customStyle="1" w:styleId="656">
    <w:name w:val="正文首行缩进 2 Char"/>
    <w:link w:val="61"/>
    <w:autoRedefine/>
    <w:qFormat/>
    <w:uiPriority w:val="0"/>
    <w:rPr>
      <w:rFonts w:ascii="宋体" w:hAnsi="宋体"/>
      <w:kern w:val="2"/>
      <w:sz w:val="21"/>
      <w:szCs w:val="24"/>
    </w:rPr>
  </w:style>
  <w:style w:type="character" w:customStyle="1" w:styleId="657">
    <w:name w:val="font11"/>
    <w:autoRedefine/>
    <w:qFormat/>
    <w:uiPriority w:val="0"/>
    <w:rPr>
      <w:rFonts w:hint="default" w:ascii="Times New Roman" w:hAnsi="Times New Roman" w:cs="Times New Roman"/>
      <w:color w:val="000000"/>
      <w:sz w:val="22"/>
      <w:szCs w:val="22"/>
      <w:u w:val="none"/>
    </w:rPr>
  </w:style>
  <w:style w:type="character" w:customStyle="1" w:styleId="658">
    <w:name w:val="表正文 Char1"/>
    <w:autoRedefine/>
    <w:qFormat/>
    <w:uiPriority w:val="0"/>
    <w:rPr>
      <w:rFonts w:ascii="宋体" w:eastAsia="宋体"/>
      <w:snapToGrid w:val="0"/>
      <w:color w:val="000000"/>
      <w:kern w:val="28"/>
      <w:sz w:val="28"/>
    </w:rPr>
  </w:style>
  <w:style w:type="character" w:customStyle="1" w:styleId="659">
    <w:name w:val="blue1"/>
    <w:basedOn w:val="69"/>
    <w:autoRedefine/>
    <w:qFormat/>
    <w:uiPriority w:val="0"/>
    <w:rPr>
      <w:rFonts w:ascii="Arial" w:hAnsi="Arial" w:eastAsia="黑体" w:cs="Arial"/>
      <w:snapToGrid w:val="0"/>
      <w:kern w:val="0"/>
      <w:szCs w:val="21"/>
    </w:rPr>
  </w:style>
  <w:style w:type="character" w:customStyle="1" w:styleId="660">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61">
    <w:name w:val="标书1 Char"/>
    <w:autoRedefine/>
    <w:qFormat/>
    <w:uiPriority w:val="0"/>
    <w:rPr>
      <w:rFonts w:eastAsia="宋体"/>
      <w:b/>
      <w:bCs/>
      <w:kern w:val="44"/>
      <w:sz w:val="44"/>
      <w:szCs w:val="44"/>
      <w:lang w:val="en-US" w:eastAsia="zh-CN" w:bidi="ar-SA"/>
    </w:rPr>
  </w:style>
  <w:style w:type="character" w:customStyle="1" w:styleId="662">
    <w:name w:val="样式5 Char"/>
    <w:autoRedefine/>
    <w:qFormat/>
    <w:uiPriority w:val="0"/>
    <w:rPr>
      <w:rFonts w:ascii="仿宋_GB2312" w:hAnsi="仿宋" w:eastAsia="仿宋_GB2312"/>
      <w:kern w:val="2"/>
      <w:sz w:val="24"/>
      <w:szCs w:val="24"/>
    </w:rPr>
  </w:style>
  <w:style w:type="character" w:customStyle="1" w:styleId="663">
    <w:name w:val="样式4 Char"/>
    <w:autoRedefine/>
    <w:qFormat/>
    <w:uiPriority w:val="0"/>
    <w:rPr>
      <w:rFonts w:ascii="仿宋_GB2312" w:hAnsi="仿宋" w:eastAsia="仿宋_GB2312"/>
      <w:b/>
      <w:kern w:val="2"/>
      <w:sz w:val="32"/>
      <w:szCs w:val="32"/>
      <w:lang w:bidi="ar-SA"/>
    </w:rPr>
  </w:style>
  <w:style w:type="character" w:customStyle="1" w:styleId="664">
    <w:name w:val="插图说明 Char"/>
    <w:autoRedefine/>
    <w:qFormat/>
    <w:uiPriority w:val="0"/>
    <w:rPr>
      <w:rFonts w:eastAsia="黑体"/>
      <w:sz w:val="24"/>
      <w:lang w:val="en-US" w:eastAsia="zh-CN"/>
    </w:rPr>
  </w:style>
  <w:style w:type="character" w:customStyle="1" w:styleId="665">
    <w:name w:val="正文2 Char Char"/>
    <w:link w:val="85"/>
    <w:autoRedefine/>
    <w:qFormat/>
    <w:uiPriority w:val="0"/>
    <w:rPr>
      <w:rFonts w:eastAsia="宋体"/>
      <w:kern w:val="2"/>
      <w:sz w:val="24"/>
      <w:lang w:val="en-US" w:eastAsia="zh-CN" w:bidi="ar-SA"/>
    </w:rPr>
  </w:style>
  <w:style w:type="character" w:customStyle="1" w:styleId="666">
    <w:name w:val="Char Char24"/>
    <w:autoRedefine/>
    <w:qFormat/>
    <w:uiPriority w:val="6"/>
    <w:rPr>
      <w:kern w:val="1"/>
      <w:sz w:val="21"/>
    </w:rPr>
  </w:style>
  <w:style w:type="character" w:customStyle="1" w:styleId="667">
    <w:name w:val="副标题 Char"/>
    <w:link w:val="48"/>
    <w:autoRedefine/>
    <w:qFormat/>
    <w:uiPriority w:val="0"/>
    <w:rPr>
      <w:rFonts w:ascii="Arial" w:hAnsi="Arial" w:eastAsia="隶书"/>
      <w:b/>
      <w:bCs/>
      <w:kern w:val="28"/>
      <w:sz w:val="44"/>
      <w:szCs w:val="32"/>
      <w:lang w:val="en-US" w:eastAsia="zh-CN" w:bidi="ar-SA"/>
    </w:rPr>
  </w:style>
  <w:style w:type="character" w:customStyle="1" w:styleId="668">
    <w:name w:val="普通文字 Char1 Char"/>
    <w:autoRedefine/>
    <w:qFormat/>
    <w:uiPriority w:val="0"/>
    <w:rPr>
      <w:rFonts w:ascii="宋体" w:hAnsi="Courier New" w:eastAsia="宋体"/>
      <w:kern w:val="2"/>
      <w:sz w:val="21"/>
      <w:szCs w:val="24"/>
      <w:lang w:val="en-US" w:eastAsia="zh-CN" w:bidi="ar-SA"/>
    </w:rPr>
  </w:style>
  <w:style w:type="character" w:customStyle="1" w:styleId="669">
    <w:name w:val="h3 Char1"/>
    <w:autoRedefine/>
    <w:qFormat/>
    <w:uiPriority w:val="0"/>
    <w:rPr>
      <w:rFonts w:eastAsia="宋体"/>
      <w:b/>
      <w:bCs/>
      <w:kern w:val="2"/>
      <w:sz w:val="32"/>
      <w:szCs w:val="32"/>
      <w:lang w:bidi="ar-SA"/>
    </w:rPr>
  </w:style>
  <w:style w:type="character" w:customStyle="1" w:styleId="670">
    <w:name w:val="标题 Char1"/>
    <w:autoRedefine/>
    <w:qFormat/>
    <w:uiPriority w:val="0"/>
    <w:rPr>
      <w:rFonts w:ascii="Cambria" w:hAnsi="Cambria" w:eastAsia="宋体" w:cs="Times New Roman"/>
      <w:b/>
      <w:bCs/>
      <w:sz w:val="32"/>
      <w:szCs w:val="32"/>
      <w:lang w:bidi="ar-SA"/>
    </w:rPr>
  </w:style>
  <w:style w:type="character" w:customStyle="1" w:styleId="671">
    <w:name w:val="gf正文1 Char"/>
    <w:autoRedefine/>
    <w:qFormat/>
    <w:uiPriority w:val="0"/>
    <w:rPr>
      <w:rFonts w:ascii="宋体" w:hAnsi="宋体" w:eastAsia="宋体" w:cs="宋体"/>
      <w:kern w:val="2"/>
      <w:sz w:val="24"/>
      <w:szCs w:val="24"/>
      <w:lang w:val="en-US" w:eastAsia="zh-CN" w:bidi="ar-SA"/>
    </w:rPr>
  </w:style>
  <w:style w:type="character" w:customStyle="1" w:styleId="672">
    <w:name w:val="正文文本缩进 Char1"/>
    <w:autoRedefine/>
    <w:qFormat/>
    <w:uiPriority w:val="0"/>
    <w:rPr>
      <w:rFonts w:ascii="Calibri" w:hAnsi="Calibri"/>
      <w:sz w:val="28"/>
    </w:rPr>
  </w:style>
  <w:style w:type="character" w:customStyle="1" w:styleId="673">
    <w:name w:val="No Spacing Char"/>
    <w:link w:val="86"/>
    <w:autoRedefine/>
    <w:qFormat/>
    <w:uiPriority w:val="1"/>
    <w:rPr>
      <w:sz w:val="22"/>
      <w:szCs w:val="22"/>
      <w:lang w:val="en-US" w:eastAsia="zh-CN" w:bidi="ar-SA"/>
    </w:rPr>
  </w:style>
  <w:style w:type="character" w:customStyle="1" w:styleId="674">
    <w:name w:val="样式7 Char"/>
    <w:autoRedefine/>
    <w:qFormat/>
    <w:uiPriority w:val="0"/>
    <w:rPr>
      <w:rFonts w:ascii="仿宋_GB2312" w:hAnsi="仿宋" w:eastAsia="仿宋_GB2312"/>
      <w:b/>
      <w:kern w:val="2"/>
      <w:sz w:val="24"/>
      <w:szCs w:val="24"/>
    </w:rPr>
  </w:style>
  <w:style w:type="character" w:customStyle="1" w:styleId="675">
    <w:name w:val="font12gray1"/>
    <w:autoRedefine/>
    <w:qFormat/>
    <w:uiPriority w:val="0"/>
    <w:rPr>
      <w:rFonts w:ascii="仿宋_GB2312" w:eastAsia="微软雅黑"/>
      <w:b/>
      <w:spacing w:val="300"/>
      <w:kern w:val="2"/>
      <w:sz w:val="18"/>
      <w:szCs w:val="18"/>
      <w:lang w:val="en-US" w:eastAsia="zh-CN" w:bidi="ar-SA"/>
    </w:rPr>
  </w:style>
  <w:style w:type="character" w:customStyle="1" w:styleId="676">
    <w:name w:val="Char Char7"/>
    <w:autoRedefine/>
    <w:semiHidden/>
    <w:qFormat/>
    <w:uiPriority w:val="0"/>
    <w:rPr>
      <w:rFonts w:eastAsia="宋体"/>
      <w:kern w:val="2"/>
      <w:sz w:val="21"/>
      <w:szCs w:val="24"/>
      <w:lang w:val="en-US" w:eastAsia="zh-CN" w:bidi="ar-SA"/>
    </w:rPr>
  </w:style>
  <w:style w:type="character" w:customStyle="1" w:styleId="677">
    <w:name w:val="表名 Char"/>
    <w:autoRedefine/>
    <w:qFormat/>
    <w:uiPriority w:val="0"/>
    <w:rPr>
      <w:rFonts w:eastAsia="宋体"/>
      <w:b/>
      <w:bCs/>
      <w:kern w:val="2"/>
      <w:sz w:val="24"/>
      <w:szCs w:val="24"/>
      <w:lang w:val="en-US" w:eastAsia="zh-CN" w:bidi="ar-SA"/>
    </w:rPr>
  </w:style>
  <w:style w:type="character" w:customStyle="1" w:styleId="678">
    <w:name w:val="Document Map Char"/>
    <w:autoRedefine/>
    <w:qFormat/>
    <w:locked/>
    <w:uiPriority w:val="0"/>
    <w:rPr>
      <w:rFonts w:eastAsia="宋体"/>
      <w:kern w:val="2"/>
      <w:sz w:val="21"/>
      <w:szCs w:val="24"/>
      <w:lang w:val="en-US" w:eastAsia="zh-CN" w:bidi="ar-SA"/>
    </w:rPr>
  </w:style>
  <w:style w:type="character" w:customStyle="1" w:styleId="679">
    <w:name w:val="font41"/>
    <w:autoRedefine/>
    <w:qFormat/>
    <w:uiPriority w:val="0"/>
    <w:rPr>
      <w:rFonts w:hint="eastAsia" w:ascii="仿宋_GB2312" w:eastAsia="仿宋_GB2312" w:cs="仿宋_GB2312"/>
      <w:color w:val="000000"/>
      <w:sz w:val="22"/>
      <w:szCs w:val="22"/>
      <w:u w:val="none"/>
    </w:rPr>
  </w:style>
  <w:style w:type="character" w:customStyle="1" w:styleId="680">
    <w:name w:val="标题 6 Char"/>
    <w:link w:val="8"/>
    <w:autoRedefine/>
    <w:qFormat/>
    <w:uiPriority w:val="0"/>
    <w:rPr>
      <w:rFonts w:ascii="Arial" w:hAnsi="Arial" w:eastAsia="黑体"/>
      <w:b/>
      <w:bCs/>
      <w:kern w:val="2"/>
      <w:sz w:val="24"/>
      <w:szCs w:val="24"/>
    </w:rPr>
  </w:style>
  <w:style w:type="character" w:customStyle="1" w:styleId="681">
    <w:name w:val="纯文本 Char_0"/>
    <w:link w:val="87"/>
    <w:autoRedefine/>
    <w:qFormat/>
    <w:uiPriority w:val="0"/>
    <w:rPr>
      <w:rFonts w:ascii="宋体" w:hAnsi="Courier New"/>
      <w:kern w:val="2"/>
      <w:sz w:val="21"/>
      <w:szCs w:val="21"/>
      <w:lang w:val="en-US" w:eastAsia="zh-CN"/>
    </w:rPr>
  </w:style>
  <w:style w:type="character" w:customStyle="1" w:styleId="682">
    <w:name w:val="Balloon Text Char"/>
    <w:autoRedefine/>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89"/>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0"/>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1"/>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2"/>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4"/>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5"/>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6"/>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7"/>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8"/>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99"/>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6"/>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1"/>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9"/>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7"/>
    <w:qFormat/>
    <w:uiPriority w:val="0"/>
    <w:rPr>
      <w:rFonts w:ascii="黑体" w:hAnsi="Courier New" w:eastAsia="黑体"/>
    </w:rPr>
  </w:style>
  <w:style w:type="character" w:customStyle="1" w:styleId="820">
    <w:name w:val="正文文本 2 Char1"/>
    <w:link w:val="56"/>
    <w:qFormat/>
    <w:uiPriority w:val="0"/>
    <w:rPr>
      <w:kern w:val="2"/>
      <w:sz w:val="21"/>
      <w:szCs w:val="24"/>
    </w:rPr>
  </w:style>
  <w:style w:type="character" w:customStyle="1" w:styleId="821">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4"/>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5"/>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6"/>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7"/>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8"/>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09"/>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0"/>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1"/>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2"/>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3"/>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4"/>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5"/>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6"/>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6"/>
    <w:qFormat/>
    <w:uiPriority w:val="99"/>
    <w:rPr>
      <w:kern w:val="2"/>
      <w:sz w:val="21"/>
      <w:szCs w:val="22"/>
    </w:rPr>
  </w:style>
  <w:style w:type="character" w:customStyle="1" w:styleId="943">
    <w:name w:val="标准文本 Char Char"/>
    <w:link w:val="605"/>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33180</Words>
  <Characters>35492</Characters>
  <Lines>281</Lines>
  <Paragraphs>79</Paragraphs>
  <TotalTime>68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王小廷</cp:lastModifiedBy>
  <cp:lastPrinted>2021-12-27T19:06:00Z</cp:lastPrinted>
  <dcterms:modified xsi:type="dcterms:W3CDTF">2024-02-07T09:57:30Z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95A24ABF5AC545CBB8FC5E37399BCBFE_13</vt:lpwstr>
  </property>
</Properties>
</file>