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72899806"/>
      <w:bookmarkStart w:id="1" w:name="_Toc288556230"/>
      <w:bookmarkStart w:id="2" w:name="_Toc372899683"/>
      <w:bookmarkStart w:id="3" w:name="_Toc321925366"/>
      <w:bookmarkStart w:id="4" w:name="_Toc382465025"/>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2024 年沙门镇病媒生物防治项目</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玉环市沙门镇人民政府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台州衡一工程咨询有限公司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吴先生</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15557680421</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二O二</w:t>
      </w:r>
      <w:r>
        <w:rPr>
          <w:rFonts w:hint="eastAsia" w:ascii="Times New Roman" w:hAnsi="Times New Roman" w:cs="Times New Roman"/>
          <w:bCs/>
          <w:color w:val="auto"/>
          <w:sz w:val="28"/>
          <w:highlight w:val="none"/>
          <w:lang w:eastAsia="zh-CN"/>
        </w:rPr>
        <w:t>四</w:t>
      </w:r>
      <w:r>
        <w:rPr>
          <w:rFonts w:hint="default" w:ascii="Times New Roman" w:hAnsi="Times New Roman" w:cs="Times New Roman"/>
          <w:bCs/>
          <w:color w:val="auto"/>
          <w:sz w:val="28"/>
          <w:highlight w:val="none"/>
        </w:rPr>
        <w:t>年</w:t>
      </w:r>
      <w:r>
        <w:rPr>
          <w:rFonts w:hint="eastAsia" w:ascii="Times New Roman" w:hAnsi="Times New Roman" w:cs="Times New Roman"/>
          <w:bCs/>
          <w:color w:val="auto"/>
          <w:sz w:val="28"/>
          <w:highlight w:val="none"/>
          <w:lang w:eastAsia="zh-CN"/>
        </w:rPr>
        <w:t>一</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6"/>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14202_WPSOffice_Level1"/>
      <w:bookmarkStart w:id="13" w:name="_Toc20039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4788"/>
      <w:bookmarkStart w:id="15" w:name="_Toc10495"/>
      <w:bookmarkStart w:id="16" w:name="_Toc13216"/>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2024 年沙门镇病媒生物防治项目</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玉环市沙门镇人民政府</w:t>
      </w:r>
      <w:r>
        <w:rPr>
          <w:rFonts w:hint="default" w:ascii="Times New Roman" w:hAnsi="Times New Roman" w:cs="Times New Roman"/>
          <w:color w:val="auto"/>
          <w:kern w:val="21"/>
          <w:sz w:val="21"/>
          <w:szCs w:val="21"/>
          <w:highlight w:val="none"/>
        </w:rPr>
        <w:t>，建设资金来自</w:t>
      </w:r>
      <w:r>
        <w:rPr>
          <w:rFonts w:hint="eastAsia" w:ascii="Times New Roman" w:hAnsi="Times New Roman" w:cs="Times New Roman"/>
          <w:color w:val="auto"/>
          <w:kern w:val="21"/>
          <w:sz w:val="21"/>
          <w:szCs w:val="21"/>
          <w:highlight w:val="none"/>
          <w:lang w:eastAsia="zh-CN"/>
        </w:rPr>
        <w:t>拨款</w:t>
      </w:r>
      <w:r>
        <w:rPr>
          <w:rFonts w:hint="default" w:ascii="Times New Roman" w:hAnsi="Times New Roman" w:cs="Times New Roman"/>
          <w:color w:val="auto"/>
          <w:kern w:val="21"/>
          <w:sz w:val="21"/>
          <w:szCs w:val="21"/>
          <w:highlight w:val="none"/>
        </w:rPr>
        <w:t>，委托</w:t>
      </w:r>
      <w:r>
        <w:rPr>
          <w:rFonts w:hint="eastAsia" w:ascii="Times New Roman" w:hAnsi="Times New Roman" w:cs="Times New Roman"/>
          <w:color w:val="auto"/>
          <w:kern w:val="21"/>
          <w:sz w:val="21"/>
          <w:szCs w:val="21"/>
          <w:highlight w:val="none"/>
          <w:lang w:eastAsia="zh-CN"/>
        </w:rPr>
        <w:t>台州衡一工程咨询有限公司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沙门镇范围内</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1、按照沙门镇“病媒生物防制”工作基本要求来操作，按照沙门“除四害”工作基本要求来操作，总面积5平方公里，行政村18个（8980户），公园3座、公厕</w:t>
      </w:r>
      <w:r>
        <w:rPr>
          <w:rFonts w:hint="eastAsia" w:ascii="Times New Roman" w:hAnsi="Times New Roman" w:cs="Times New Roman"/>
          <w:color w:val="auto"/>
          <w:kern w:val="21"/>
          <w:sz w:val="21"/>
          <w:szCs w:val="21"/>
          <w:highlight w:val="none"/>
          <w:lang w:val="en-US" w:eastAsia="zh-CN"/>
        </w:rPr>
        <w:t>72</w:t>
      </w:r>
      <w:r>
        <w:rPr>
          <w:rFonts w:hint="default" w:ascii="Times New Roman" w:hAnsi="Times New Roman" w:cs="Times New Roman"/>
          <w:color w:val="auto"/>
          <w:kern w:val="21"/>
          <w:sz w:val="21"/>
          <w:szCs w:val="21"/>
          <w:highlight w:val="none"/>
        </w:rPr>
        <w:t>座、店面600余家、学校3所、垃圾中转站24个、中心菜场1个、车站1个、立新塘健康步道、窨井9000平方米、毒饵站1000只、河岩大型水体15000米、绿化10000平方米、垃圾桶500只。</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再另行增加费用）</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eastAsia="宋体" w:cs="Times New Roman"/>
          <w:color w:val="auto"/>
          <w:kern w:val="21"/>
          <w:sz w:val="21"/>
          <w:szCs w:val="21"/>
          <w:highlight w:val="none"/>
          <w:lang w:eastAsia="zh-CN"/>
        </w:rPr>
        <w:t>辖</w:t>
      </w:r>
      <w:r>
        <w:rPr>
          <w:rFonts w:hint="default" w:ascii="Times New Roman" w:hAnsi="Times New Roman" w:eastAsia="宋体" w:cs="Times New Roman"/>
          <w:color w:val="auto"/>
          <w:kern w:val="21"/>
          <w:sz w:val="21"/>
          <w:szCs w:val="21"/>
          <w:highlight w:val="none"/>
        </w:rPr>
        <w:t>区内行政村</w:t>
      </w:r>
      <w:r>
        <w:rPr>
          <w:rFonts w:hint="eastAsia" w:ascii="Times New Roman" w:hAnsi="Times New Roman" w:eastAsia="宋体" w:cs="Times New Roman"/>
          <w:color w:val="auto"/>
          <w:kern w:val="21"/>
          <w:sz w:val="21"/>
          <w:szCs w:val="21"/>
          <w:highlight w:val="none"/>
          <w:lang w:val="en-US" w:eastAsia="zh-CN"/>
        </w:rPr>
        <w:t>18</w:t>
      </w:r>
      <w:r>
        <w:rPr>
          <w:rFonts w:hint="default" w:ascii="Times New Roman" w:hAnsi="Times New Roman" w:eastAsia="宋体" w:cs="Times New Roman"/>
          <w:color w:val="auto"/>
          <w:kern w:val="21"/>
          <w:sz w:val="21"/>
          <w:szCs w:val="21"/>
          <w:highlight w:val="none"/>
        </w:rPr>
        <w:t>个（8980户）居民进行药物集中发放，并由</w:t>
      </w:r>
      <w:r>
        <w:rPr>
          <w:rFonts w:hint="eastAsia" w:ascii="Times New Roman" w:hAnsi="Times New Roman" w:eastAsia="宋体" w:cs="Times New Roman"/>
          <w:color w:val="auto"/>
          <w:kern w:val="0"/>
          <w:szCs w:val="21"/>
          <w:highlight w:val="none"/>
          <w:lang w:val="en-US" w:eastAsia="zh-CN"/>
        </w:rPr>
        <w:t>投标人</w:t>
      </w:r>
      <w:r>
        <w:rPr>
          <w:rFonts w:hint="default" w:ascii="Times New Roman" w:hAnsi="Times New Roman" w:eastAsia="宋体" w:cs="Times New Roman"/>
          <w:color w:val="auto"/>
          <w:kern w:val="21"/>
          <w:sz w:val="21"/>
          <w:szCs w:val="21"/>
          <w:highlight w:val="none"/>
        </w:rPr>
        <w:t>做好药物投放的指导工作。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w:t>
      </w:r>
      <w:r>
        <w:rPr>
          <w:rFonts w:hint="eastAsia" w:ascii="Times New Roman" w:hAnsi="Times New Roman" w:cs="Times New Roman"/>
          <w:color w:val="auto"/>
          <w:kern w:val="21"/>
          <w:sz w:val="21"/>
          <w:szCs w:val="21"/>
          <w:highlight w:val="none"/>
          <w:lang w:eastAsia="zh-CN"/>
        </w:rPr>
        <w:t>至</w:t>
      </w:r>
      <w:r>
        <w:rPr>
          <w:rFonts w:hint="eastAsia" w:ascii="Times New Roman" w:hAnsi="Times New Roman" w:cs="Times New Roman"/>
          <w:color w:val="auto"/>
          <w:kern w:val="21"/>
          <w:sz w:val="21"/>
          <w:szCs w:val="21"/>
          <w:highlight w:val="none"/>
          <w:lang w:val="en-US" w:eastAsia="zh-CN"/>
        </w:rPr>
        <w:t>2024年12月31日为止</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媒生物控制水平标准C级要求。</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4.1凡有意参加投标申请人，请在玉环市公共资源交易中心（（http://ggzyjy.yuhuan.gov.cn/）网站的“乡镇平台交易信息”公告附件处下载招标文件等。</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14292"/>
      <w:bookmarkStart w:id="18" w:name="_Toc6302"/>
      <w:bookmarkStart w:id="19" w:name="_Toc25674"/>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投标文件递交的截止时间（投标截止时间）为20</w:t>
      </w:r>
      <w:r>
        <w:rPr>
          <w:rFonts w:hint="eastAsia" w:ascii="Times New Roman" w:hAnsi="Times New Roman" w:cs="Times New Roman"/>
          <w:color w:val="auto"/>
          <w:kern w:val="21"/>
          <w:sz w:val="21"/>
          <w:szCs w:val="21"/>
          <w:highlight w:val="none"/>
          <w:lang w:val="en-US" w:eastAsia="zh-CN"/>
        </w:rPr>
        <w:t>24</w:t>
      </w:r>
      <w:r>
        <w:rPr>
          <w:rFonts w:hint="default" w:ascii="Times New Roman" w:hAnsi="Times New Roman" w:cs="Times New Roman"/>
          <w:color w:val="auto"/>
          <w:kern w:val="21"/>
          <w:sz w:val="21"/>
          <w:szCs w:val="21"/>
          <w:highlight w:val="none"/>
        </w:rPr>
        <w:t>年</w:t>
      </w:r>
      <w:r>
        <w:rPr>
          <w:rFonts w:hint="eastAsia" w:ascii="Times New Roman" w:hAnsi="Times New Roman" w:cs="Times New Roman"/>
          <w:color w:val="auto"/>
          <w:kern w:val="21"/>
          <w:sz w:val="21"/>
          <w:szCs w:val="21"/>
          <w:highlight w:val="none"/>
          <w:lang w:val="en-US" w:eastAsia="zh-CN"/>
        </w:rPr>
        <w:t>1</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26</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10</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shd w:val="clear" w:color="FFFFFF" w:fill="D9D9D9"/>
          <w:lang w:eastAsia="zh-CN"/>
        </w:rPr>
        <w:t>玉环市沙门镇人民政府一楼会议室</w:t>
      </w:r>
      <w:r>
        <w:rPr>
          <w:rFonts w:hint="default" w:ascii="Times New Roman" w:hAnsi="Times New Roman" w:cs="Times New Roman"/>
          <w:color w:val="auto"/>
          <w:kern w:val="21"/>
          <w:sz w:val="21"/>
          <w:szCs w:val="21"/>
          <w:highlight w:val="none"/>
          <w:shd w:val="clear" w:color="FFFFFF" w:fill="D9D9D9"/>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7222"/>
      <w:bookmarkStart w:id="21" w:name="_Toc32685"/>
      <w:bookmarkStart w:id="22" w:name="_Toc17507"/>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7"/>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29462"/>
      <w:bookmarkStart w:id="24" w:name="_Toc32400"/>
      <w:bookmarkStart w:id="25" w:name="_Toc25227"/>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kern w:val="0"/>
          <w:sz w:val="24"/>
          <w:szCs w:val="24"/>
          <w:highlight w:val="none"/>
          <w:lang w:eastAsia="zh-CN"/>
        </w:rPr>
        <w:t>玉环市沙门镇人民政府</w:t>
      </w:r>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招标代理</w:t>
      </w:r>
      <w:r>
        <w:rPr>
          <w:rFonts w:hint="eastAsia" w:ascii="宋体" w:hAnsi="宋体" w:cs="宋体"/>
          <w:color w:val="auto"/>
          <w:kern w:val="0"/>
          <w:sz w:val="24"/>
          <w:szCs w:val="24"/>
          <w:highlight w:val="none"/>
        </w:rPr>
        <w:t>机构名称：</w:t>
      </w:r>
      <w:r>
        <w:rPr>
          <w:rFonts w:hint="eastAsia" w:ascii="宋体" w:hAnsi="宋体" w:cs="宋体"/>
          <w:color w:val="auto"/>
          <w:kern w:val="0"/>
          <w:sz w:val="24"/>
          <w:szCs w:val="24"/>
          <w:highlight w:val="none"/>
          <w:lang w:eastAsia="zh-CN"/>
        </w:rPr>
        <w:t>台州衡一工程咨询有限公司</w:t>
      </w:r>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吴</w:t>
      </w:r>
      <w:r>
        <w:rPr>
          <w:rFonts w:hint="eastAsia" w:ascii="宋体" w:hAnsi="宋体" w:cs="宋体"/>
          <w:color w:val="auto"/>
          <w:kern w:val="0"/>
          <w:sz w:val="24"/>
          <w:szCs w:val="24"/>
          <w:highlight w:val="none"/>
        </w:rPr>
        <w:t>先生</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eastAsia="zh-CN"/>
        </w:rPr>
        <w:t>15557680421</w:t>
      </w:r>
      <w:bookmarkStart w:id="397" w:name="_GoBack"/>
      <w:bookmarkEnd w:id="397"/>
    </w:p>
    <w:p>
      <w:pPr>
        <w:spacing w:line="440" w:lineRule="exact"/>
        <w:ind w:firstLine="480" w:firstLineChars="200"/>
        <w:rPr>
          <w:rFonts w:hint="default" w:ascii="Times New Roman" w:hAnsi="Times New Roman" w:eastAsia="黑体" w:cs="Times New Roman"/>
          <w:bCs/>
          <w:caps/>
          <w:smallCaps/>
          <w:color w:val="auto"/>
          <w:sz w:val="32"/>
          <w:highlight w:val="none"/>
        </w:rPr>
      </w:pPr>
      <w:r>
        <w:rPr>
          <w:rFonts w:hint="eastAsia" w:ascii="宋体" w:hAnsi="宋体" w:cs="宋体"/>
          <w:color w:val="auto"/>
          <w:kern w:val="0"/>
          <w:sz w:val="24"/>
          <w:szCs w:val="24"/>
          <w:highlight w:val="none"/>
        </w:rPr>
        <w:t>地点：</w:t>
      </w:r>
      <w:r>
        <w:rPr>
          <w:rFonts w:hint="eastAsia" w:ascii="宋体" w:hAnsi="宋体" w:cs="宋体"/>
          <w:color w:val="auto"/>
          <w:kern w:val="0"/>
          <w:sz w:val="24"/>
          <w:highlight w:val="none"/>
          <w:lang w:eastAsia="zh-CN"/>
        </w:rPr>
        <w:t>玉环市玉城街道城中路51-2号402室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427132962"/>
      <w:bookmarkStart w:id="30" w:name="_Toc427131699"/>
      <w:bookmarkStart w:id="31" w:name="_Toc243706986"/>
      <w:bookmarkStart w:id="32" w:name="_Toc5348"/>
      <w:bookmarkStart w:id="33" w:name="_Toc243708827"/>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8"/>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2024 年沙门镇病媒生物防治项目</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沙门镇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沙门镇范围内</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玉环市沙门镇人民政府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林</w:t>
            </w:r>
            <w:r>
              <w:rPr>
                <w:rFonts w:hint="eastAsia" w:ascii="Times New Roman" w:hAnsi="Times New Roman" w:cs="Times New Roman"/>
                <w:color w:val="auto"/>
                <w:szCs w:val="21"/>
                <w:highlight w:val="none"/>
                <w:lang w:val="en-US" w:eastAsia="zh-CN"/>
              </w:rPr>
              <w:t>先生</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13819611979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台州衡一工程咨询有限公司</w:t>
            </w:r>
          </w:p>
          <w:p>
            <w:pPr>
              <w:spacing w:line="320" w:lineRule="exact"/>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w:t>
            </w:r>
            <w:r>
              <w:rPr>
                <w:rFonts w:hint="eastAsia" w:ascii="Times New Roman" w:hAnsi="Times New Roman" w:cs="Times New Roman"/>
                <w:color w:val="auto"/>
                <w:szCs w:val="21"/>
                <w:highlight w:val="none"/>
                <w:lang w:eastAsia="zh-CN"/>
              </w:rPr>
              <w:t>玉环市玉城街道城中路51-2号402室</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吴先生</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15557680421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按照沙门镇“病媒生物防制”工作基本要求来操作，按照沙门“除四害”工作基本要求来操作，总面积5平方公里，行政村18个（8980户），公园3座、公厕</w:t>
            </w:r>
            <w:r>
              <w:rPr>
                <w:rFonts w:hint="eastAsia" w:ascii="Times New Roman" w:hAnsi="Times New Roman" w:cs="Times New Roman"/>
                <w:color w:val="auto"/>
                <w:highlight w:val="none"/>
                <w:lang w:val="en-US" w:eastAsia="zh-CN"/>
              </w:rPr>
              <w:t>72</w:t>
            </w:r>
            <w:r>
              <w:rPr>
                <w:rFonts w:hint="default" w:ascii="Times New Roman" w:hAnsi="Times New Roman" w:cs="Times New Roman"/>
                <w:color w:val="auto"/>
                <w:highlight w:val="none"/>
              </w:rPr>
              <w:t>座、店面600余家、学校3所、垃圾中转站24个、中心菜场1个、车站1个、立新塘健康步道、窨井9000平方米、毒饵站1000只、河岩大型水体15000米、绿化10000平方米、垃圾桶500只。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eastAsia="zh-CN"/>
              </w:rPr>
              <w:t>至</w:t>
            </w:r>
            <w:r>
              <w:rPr>
                <w:rFonts w:hint="eastAsia" w:ascii="Times New Roman" w:hAnsi="Times New Roman" w:cs="Times New Roman"/>
                <w:color w:val="auto"/>
                <w:highlight w:val="none"/>
                <w:lang w:val="en-US" w:eastAsia="zh-CN"/>
              </w:rPr>
              <w:t>2024年12月31日为止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玉环市沙门镇人民政府一楼会议室。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246960</w:t>
            </w:r>
            <w:r>
              <w:rPr>
                <w:rFonts w:hint="default" w:ascii="Times New Roman" w:hAnsi="Times New Roman" w:cs="Times New Roman"/>
                <w:color w:val="auto"/>
                <w:highlight w:val="none"/>
              </w:rPr>
              <w:t>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eastAsia"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r>
              <w:rPr>
                <w:rFonts w:hint="eastAsia" w:ascii="Times New Roman" w:hAnsi="Times New Roman" w:cs="Times New Roman"/>
                <w:bCs/>
                <w:color w:val="auto"/>
                <w:szCs w:val="21"/>
                <w:highlight w:val="none"/>
                <w:lang w:eastAsia="zh-CN"/>
              </w:rPr>
              <w:t>。投标文件的资信技术标正、副本密封在一个包封袋，商务标资信技术标正、副本密封在一个包封袋，相关原件（如有）可以不密封。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玉环市沙门镇人民政府一楼会议室。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20</w:t>
            </w:r>
            <w:r>
              <w:rPr>
                <w:rFonts w:hint="eastAsia" w:ascii="Times New Roman" w:hAnsi="Times New Roman" w:cs="Times New Roman"/>
                <w:color w:val="auto"/>
                <w:highlight w:val="none"/>
                <w:lang w:val="en-US" w:eastAsia="zh-CN"/>
              </w:rPr>
              <w:t>24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26</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23</w:t>
            </w:r>
          </w:p>
        </w:tc>
        <w:tc>
          <w:tcPr>
            <w:tcW w:w="2220" w:type="dxa"/>
            <w:noWrap w:val="0"/>
            <w:vAlign w:val="center"/>
          </w:tcPr>
          <w:p>
            <w:pPr>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代理费</w:t>
            </w:r>
          </w:p>
        </w:tc>
        <w:tc>
          <w:tcPr>
            <w:tcW w:w="6375" w:type="dxa"/>
            <w:noWrap w:val="0"/>
            <w:vAlign w:val="center"/>
          </w:tcPr>
          <w:p>
            <w:pPr>
              <w:rPr>
                <w:rFonts w:hint="eastAsia" w:ascii="Times New Roman" w:hAnsi="Times New Roman" w:eastAsia="宋体" w:cs="Times New Roman"/>
                <w:bCs/>
                <w:color w:val="auto"/>
                <w:szCs w:val="21"/>
                <w:highlight w:val="none"/>
                <w:lang w:eastAsia="zh-CN"/>
              </w:rPr>
            </w:pPr>
            <w:r>
              <w:rPr>
                <w:rFonts w:hint="eastAsia"/>
                <w:color w:val="auto"/>
                <w:lang w:eastAsia="zh-CN"/>
              </w:rPr>
              <w:t>本次招标代理费</w:t>
            </w:r>
            <w:r>
              <w:rPr>
                <w:rFonts w:hint="eastAsia"/>
                <w:color w:val="auto"/>
                <w:lang w:val="en-US" w:eastAsia="zh-CN"/>
              </w:rPr>
              <w:t>5000元</w:t>
            </w:r>
            <w:r>
              <w:rPr>
                <w:rFonts w:hint="eastAsia"/>
                <w:color w:val="auto"/>
              </w:rPr>
              <w:t>由</w:t>
            </w:r>
            <w:r>
              <w:rPr>
                <w:rFonts w:hint="eastAsia"/>
                <w:color w:val="auto"/>
                <w:lang w:eastAsia="zh-CN"/>
              </w:rPr>
              <w:t>中标人</w:t>
            </w:r>
            <w:r>
              <w:rPr>
                <w:rFonts w:hint="eastAsia"/>
                <w:color w:val="auto"/>
              </w:rPr>
              <w:t>支付</w:t>
            </w:r>
            <w:r>
              <w:rPr>
                <w:rFonts w:hint="eastAsia"/>
                <w:color w:val="auto"/>
                <w:lang w:eastAsia="zh-CN"/>
              </w:rPr>
              <w:t>，中标人在领取中标通知书时支付代理费，招标代理费包含在投标总价中，请各投标人在投标报价时综合考虑。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8828"/>
      <w:bookmarkStart w:id="35" w:name="_Toc500208464"/>
      <w:bookmarkStart w:id="36" w:name="_Toc500209413"/>
      <w:bookmarkStart w:id="37" w:name="_Toc243706987"/>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243708829"/>
      <w:bookmarkStart w:id="40" w:name="_Toc427132964"/>
      <w:bookmarkStart w:id="41" w:name="_Toc427131701"/>
      <w:bookmarkStart w:id="42" w:name="_Toc243706988"/>
      <w:bookmarkStart w:id="43" w:name="_Toc243713888"/>
      <w:bookmarkStart w:id="44" w:name="_Toc331149287"/>
      <w:bookmarkStart w:id="45" w:name="_Toc30763"/>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243708830"/>
      <w:bookmarkStart w:id="48" w:name="_Toc3581"/>
      <w:bookmarkStart w:id="49" w:name="_Toc331149288"/>
      <w:bookmarkStart w:id="50" w:name="_Toc243706989"/>
      <w:bookmarkStart w:id="51" w:name="_Toc427132965"/>
      <w:bookmarkStart w:id="52" w:name="_Toc427131702"/>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427132966"/>
      <w:bookmarkStart w:id="55" w:name="_Toc243713890"/>
      <w:bookmarkStart w:id="56" w:name="_Toc243708831"/>
      <w:bookmarkStart w:id="57" w:name="_Toc243706990"/>
      <w:bookmarkStart w:id="58" w:name="_Toc4387"/>
      <w:bookmarkStart w:id="59" w:name="_Toc427131703"/>
      <w:bookmarkStart w:id="60" w:name="_Toc331149289"/>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243706991"/>
      <w:bookmarkStart w:id="62" w:name="_Toc243713891"/>
      <w:bookmarkStart w:id="63" w:name="_Toc26067"/>
      <w:bookmarkStart w:id="64" w:name="_Toc427132967"/>
      <w:bookmarkStart w:id="65" w:name="_Toc243708832"/>
      <w:bookmarkStart w:id="66" w:name="_Toc331149290"/>
      <w:bookmarkStart w:id="67" w:name="_Toc500208466"/>
      <w:bookmarkStart w:id="68" w:name="_Toc427131704"/>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331149291"/>
      <w:bookmarkStart w:id="70" w:name="_Toc243706992"/>
      <w:bookmarkStart w:id="71" w:name="_Toc243713892"/>
      <w:bookmarkStart w:id="72" w:name="_Toc243708833"/>
      <w:bookmarkStart w:id="73" w:name="_Toc427131705"/>
      <w:bookmarkStart w:id="74" w:name="_Toc2446"/>
      <w:bookmarkStart w:id="75" w:name="_Toc427132968"/>
      <w:bookmarkStart w:id="76" w:name="_Toc243713893"/>
      <w:bookmarkStart w:id="77" w:name="_Toc243708834"/>
      <w:bookmarkStart w:id="78" w:name="_Toc243706993"/>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2969"/>
      <w:bookmarkStart w:id="81" w:name="_Toc427131706"/>
      <w:bookmarkStart w:id="82" w:name="_Toc17513"/>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243706994"/>
      <w:bookmarkStart w:id="84" w:name="_Toc16229"/>
      <w:bookmarkStart w:id="85" w:name="_Toc427131707"/>
      <w:bookmarkStart w:id="86" w:name="_Toc243713894"/>
      <w:bookmarkStart w:id="87" w:name="_Toc243708835"/>
      <w:bookmarkStart w:id="88" w:name="_Toc427132970"/>
      <w:bookmarkStart w:id="89" w:name="_Toc331149293"/>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243706995"/>
      <w:bookmarkStart w:id="91" w:name="_Toc427132971"/>
      <w:bookmarkStart w:id="92" w:name="_Toc500208467"/>
      <w:bookmarkStart w:id="93" w:name="_Toc500209414"/>
      <w:bookmarkStart w:id="94" w:name="_Toc243708836"/>
      <w:bookmarkStart w:id="95" w:name="_Toc12987"/>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427131709"/>
      <w:bookmarkStart w:id="97" w:name="_Toc500208468"/>
      <w:bookmarkStart w:id="98" w:name="_Toc14092"/>
      <w:bookmarkStart w:id="99" w:name="_Toc243708837"/>
      <w:bookmarkStart w:id="100" w:name="_Toc243706996"/>
      <w:bookmarkStart w:id="101" w:name="_Toc331149295"/>
      <w:bookmarkStart w:id="102" w:name="_Toc243713896"/>
      <w:bookmarkStart w:id="103" w:name="_Toc427132972"/>
      <w:bookmarkStart w:id="104" w:name="_Toc500208499"/>
      <w:bookmarkStart w:id="105" w:name="_Toc500209421"/>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11658"/>
      <w:bookmarkStart w:id="107" w:name="_Toc331149296"/>
      <w:bookmarkStart w:id="108" w:name="_Toc243706997"/>
      <w:bookmarkStart w:id="109" w:name="_Toc427131710"/>
      <w:bookmarkStart w:id="110" w:name="_Toc500208469"/>
      <w:bookmarkStart w:id="111" w:name="_Toc243713897"/>
      <w:bookmarkStart w:id="112" w:name="_Toc427132973"/>
      <w:bookmarkStart w:id="113" w:name="_Toc243708838"/>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17053"/>
      <w:bookmarkStart w:id="115" w:name="_Toc169487787"/>
      <w:bookmarkStart w:id="116" w:name="_Toc155342539"/>
      <w:bookmarkStart w:id="117" w:name="_Toc331149298"/>
      <w:bookmarkStart w:id="118" w:name="_Toc427131712"/>
      <w:bookmarkStart w:id="119" w:name="_Toc427132975"/>
      <w:bookmarkStart w:id="120" w:name="_Toc500209416"/>
      <w:bookmarkStart w:id="121" w:name="_Toc243708842"/>
      <w:bookmarkStart w:id="122" w:name="_Toc243707001"/>
      <w:bookmarkStart w:id="123" w:name="_Toc500208475"/>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9326"/>
      <w:bookmarkStart w:id="125" w:name="_Toc169487786"/>
      <w:bookmarkStart w:id="126" w:name="_Toc500208470"/>
      <w:bookmarkStart w:id="127" w:name="_Toc155342538"/>
      <w:bookmarkStart w:id="128" w:name="_Toc427132974"/>
      <w:bookmarkStart w:id="129" w:name="_Toc331149297"/>
      <w:bookmarkStart w:id="130" w:name="_Toc427131711"/>
      <w:bookmarkStart w:id="131" w:name="_Toc243706999"/>
      <w:bookmarkStart w:id="132" w:name="_Toc243713899"/>
      <w:bookmarkStart w:id="133" w:name="_Toc243708840"/>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27050"/>
      <w:bookmarkStart w:id="135" w:name="_Toc331149299"/>
      <w:bookmarkStart w:id="136" w:name="_Toc427131713"/>
      <w:bookmarkStart w:id="137" w:name="_Toc155342540"/>
      <w:bookmarkStart w:id="138" w:name="_Toc169487788"/>
      <w:bookmarkStart w:id="139" w:name="_Toc427132976"/>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391"/>
      <w:bookmarkStart w:id="141" w:name="_Toc427132977"/>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8309"/>
      <w:bookmarkStart w:id="143" w:name="_Toc243707002"/>
      <w:bookmarkStart w:id="144" w:name="_Toc427132978"/>
      <w:bookmarkStart w:id="145" w:name="_Toc145388565"/>
      <w:bookmarkStart w:id="146" w:name="_Toc331149301"/>
      <w:bookmarkStart w:id="147" w:name="_Toc243713902"/>
      <w:bookmarkStart w:id="148" w:name="_Toc427131715"/>
      <w:bookmarkStart w:id="149" w:name="_Toc243708843"/>
      <w:bookmarkStart w:id="150" w:name="_Toc500208476"/>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243707003"/>
      <w:bookmarkStart w:id="153" w:name="_Toc427132979"/>
      <w:bookmarkStart w:id="154" w:name="_Toc243708844"/>
      <w:bookmarkStart w:id="155" w:name="_Toc331149302"/>
      <w:bookmarkStart w:id="156" w:name="_Toc3623"/>
      <w:bookmarkStart w:id="157" w:name="_Toc427131716"/>
      <w:bookmarkStart w:id="158" w:name="_Toc243713903"/>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11116"/>
      <w:bookmarkStart w:id="160" w:name="_Toc331149303"/>
      <w:bookmarkStart w:id="161" w:name="_Toc427132980"/>
      <w:bookmarkStart w:id="162" w:name="_Toc243713904"/>
      <w:bookmarkStart w:id="163" w:name="_Toc427131717"/>
      <w:bookmarkStart w:id="164" w:name="_Toc243708845"/>
      <w:bookmarkStart w:id="165" w:name="_Toc243707004"/>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243708846"/>
      <w:bookmarkStart w:id="167" w:name="_Toc55121000"/>
      <w:bookmarkStart w:id="168" w:name="_Toc145388568"/>
      <w:bookmarkStart w:id="169" w:name="_Toc243713905"/>
      <w:bookmarkStart w:id="170" w:name="_Toc243707005"/>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427132981"/>
      <w:bookmarkStart w:id="172" w:name="_Toc427131718"/>
      <w:bookmarkStart w:id="173" w:name="_Toc331149304"/>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427132982"/>
      <w:bookmarkStart w:id="176" w:name="_Toc243708847"/>
      <w:bookmarkStart w:id="177" w:name="_Toc243707006"/>
      <w:bookmarkStart w:id="178" w:name="_Toc331149305"/>
      <w:bookmarkStart w:id="179" w:name="_Toc427131719"/>
      <w:bookmarkStart w:id="180" w:name="_Toc30423"/>
      <w:bookmarkStart w:id="181" w:name="_Toc243713906"/>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13908"/>
      <w:bookmarkStart w:id="184" w:name="_Toc243708849"/>
      <w:bookmarkStart w:id="185" w:name="_Toc331149307"/>
      <w:bookmarkStart w:id="186" w:name="_Toc243707008"/>
      <w:bookmarkStart w:id="187" w:name="_Toc500208479"/>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0185"/>
      <w:bookmarkStart w:id="190" w:name="_Toc19860"/>
      <w:bookmarkStart w:id="191" w:name="_Toc243713907"/>
      <w:bookmarkStart w:id="192" w:name="_Toc393874563"/>
      <w:bookmarkStart w:id="193" w:name="_Toc427132983"/>
      <w:bookmarkStart w:id="194" w:name="_Toc243707007"/>
      <w:bookmarkStart w:id="195" w:name="_Toc393874943"/>
      <w:bookmarkStart w:id="196" w:name="_Toc243708848"/>
      <w:bookmarkStart w:id="197" w:name="_Toc331149306"/>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3251"/>
      <w:bookmarkStart w:id="199" w:name="_Toc427132984"/>
      <w:bookmarkStart w:id="200" w:name="_Toc427131721"/>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500209417"/>
      <w:bookmarkStart w:id="202" w:name="_Toc243707009"/>
      <w:bookmarkStart w:id="203" w:name="_Toc500208480"/>
      <w:bookmarkStart w:id="204" w:name="_Toc31936"/>
      <w:bookmarkStart w:id="205" w:name="_Toc243708850"/>
      <w:bookmarkStart w:id="206" w:name="_Toc427132985"/>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331149309"/>
      <w:bookmarkStart w:id="208" w:name="_Toc500208481"/>
      <w:bookmarkStart w:id="209" w:name="_Toc243708851"/>
      <w:bookmarkStart w:id="210" w:name="_Toc243707010"/>
      <w:bookmarkStart w:id="211" w:name="_Toc243713910"/>
      <w:bookmarkStart w:id="212" w:name="_Toc32265"/>
      <w:bookmarkStart w:id="213" w:name="_Toc427132986"/>
      <w:bookmarkStart w:id="214" w:name="_Toc427131723"/>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427132987"/>
      <w:bookmarkStart w:id="216" w:name="_Toc331149310"/>
      <w:bookmarkStart w:id="217" w:name="_Toc243713911"/>
      <w:bookmarkStart w:id="218" w:name="_Toc14544"/>
      <w:bookmarkStart w:id="219" w:name="_Toc427131724"/>
      <w:bookmarkStart w:id="220" w:name="_Toc155342552"/>
      <w:bookmarkStart w:id="221" w:name="_Toc169487799"/>
      <w:bookmarkStart w:id="222" w:name="_Toc243708852"/>
      <w:bookmarkStart w:id="223" w:name="_Toc243707011"/>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427132988"/>
      <w:bookmarkStart w:id="227" w:name="_Toc169487800"/>
      <w:bookmarkStart w:id="228" w:name="_Toc29641"/>
      <w:bookmarkStart w:id="229" w:name="_Toc243713912"/>
      <w:bookmarkStart w:id="230" w:name="_Toc427131725"/>
      <w:bookmarkStart w:id="231" w:name="_Toc243707012"/>
      <w:bookmarkStart w:id="232" w:name="_Toc331149311"/>
      <w:bookmarkStart w:id="233" w:name="_Toc155342553"/>
      <w:bookmarkStart w:id="234" w:name="_Toc243708853"/>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427131726"/>
      <w:bookmarkStart w:id="236" w:name="_Toc243713913"/>
      <w:bookmarkStart w:id="237" w:name="_Toc243708854"/>
      <w:bookmarkStart w:id="238" w:name="_Toc331149312"/>
      <w:bookmarkStart w:id="239" w:name="_Toc427132989"/>
      <w:bookmarkStart w:id="240" w:name="_Toc243707013"/>
      <w:bookmarkStart w:id="241" w:name="_Toc19294"/>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500208484"/>
      <w:bookmarkStart w:id="243" w:name="_Toc427132990"/>
      <w:bookmarkStart w:id="244" w:name="_Toc243707014"/>
      <w:bookmarkStart w:id="245" w:name="_Toc243708855"/>
      <w:bookmarkStart w:id="246" w:name="_Toc3024"/>
      <w:bookmarkStart w:id="247" w:name="_Toc500209418"/>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07015"/>
      <w:bookmarkStart w:id="249" w:name="_Toc243713915"/>
      <w:bookmarkStart w:id="250" w:name="_Toc243708856"/>
      <w:bookmarkStart w:id="251" w:name="_Toc331149314"/>
      <w:bookmarkStart w:id="252" w:name="_Toc4829"/>
      <w:bookmarkStart w:id="253" w:name="_Toc427132991"/>
      <w:bookmarkStart w:id="254" w:name="_Toc427131728"/>
      <w:bookmarkStart w:id="255" w:name="_Toc500208485"/>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331149315"/>
      <w:bookmarkStart w:id="257" w:name="_Toc427132992"/>
      <w:bookmarkStart w:id="258" w:name="_Toc2747"/>
      <w:bookmarkStart w:id="259" w:name="_Toc243713916"/>
      <w:bookmarkStart w:id="260" w:name="_Toc427131729"/>
      <w:bookmarkStart w:id="261" w:name="_Toc243708857"/>
      <w:bookmarkStart w:id="262" w:name="_Toc243707016"/>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2435"/>
      <w:bookmarkStart w:id="264" w:name="_Toc243707017"/>
      <w:bookmarkStart w:id="265" w:name="_Toc243708858"/>
      <w:bookmarkStart w:id="266" w:name="_Toc500208488"/>
      <w:bookmarkStart w:id="267" w:name="_Toc500209419"/>
      <w:bookmarkStart w:id="268" w:name="_Toc427132993"/>
      <w:bookmarkStart w:id="269" w:name="_Toc500209420"/>
      <w:bookmarkStart w:id="270" w:name="_Toc500208495"/>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29108"/>
      <w:bookmarkStart w:id="272" w:name="_Toc331149317"/>
      <w:bookmarkStart w:id="273" w:name="_Toc500208489"/>
      <w:bookmarkStart w:id="274" w:name="_Toc427132994"/>
      <w:bookmarkStart w:id="275" w:name="_Toc243707018"/>
      <w:bookmarkStart w:id="276" w:name="_Toc243708859"/>
      <w:bookmarkStart w:id="277" w:name="_Toc427131731"/>
      <w:bookmarkStart w:id="278" w:name="_Toc243713918"/>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243707019"/>
      <w:bookmarkStart w:id="280" w:name="_Toc243708860"/>
      <w:bookmarkStart w:id="281" w:name="_Toc427132995"/>
      <w:bookmarkStart w:id="282" w:name="_Toc427131732"/>
      <w:bookmarkStart w:id="283" w:name="_Toc331149318"/>
      <w:bookmarkStart w:id="284" w:name="_Toc243713919"/>
      <w:bookmarkStart w:id="285" w:name="_Toc1141"/>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331149319"/>
      <w:bookmarkStart w:id="287" w:name="_Toc16231"/>
      <w:bookmarkStart w:id="288" w:name="_Toc243713920"/>
      <w:bookmarkStart w:id="289" w:name="_Toc427131733"/>
      <w:bookmarkStart w:id="290" w:name="_Toc243708861"/>
      <w:bookmarkStart w:id="291" w:name="_Toc243707020"/>
      <w:bookmarkStart w:id="292" w:name="_Toc427132996"/>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243707021"/>
      <w:bookmarkStart w:id="294" w:name="_Toc331149320"/>
      <w:bookmarkStart w:id="295" w:name="_Toc427132997"/>
      <w:bookmarkStart w:id="296" w:name="_Toc427131734"/>
      <w:bookmarkStart w:id="297" w:name="_Toc243713921"/>
      <w:bookmarkStart w:id="298" w:name="_Toc243708862"/>
      <w:bookmarkStart w:id="299" w:name="_Toc30049"/>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7602"/>
      <w:bookmarkStart w:id="301" w:name="_Toc243707022"/>
      <w:bookmarkStart w:id="302" w:name="_Toc331149321"/>
      <w:bookmarkStart w:id="303" w:name="_Toc427131735"/>
      <w:bookmarkStart w:id="304" w:name="_Toc243708863"/>
      <w:bookmarkStart w:id="305" w:name="_Toc243713922"/>
      <w:bookmarkStart w:id="306" w:name="_Toc427132998"/>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2545"/>
      <w:bookmarkStart w:id="308" w:name="_Toc243708864"/>
      <w:bookmarkStart w:id="309" w:name="_Toc427131736"/>
      <w:bookmarkStart w:id="310" w:name="_Toc243707023"/>
      <w:bookmarkStart w:id="311" w:name="_Toc243713923"/>
      <w:bookmarkStart w:id="312" w:name="_Toc427132999"/>
      <w:bookmarkStart w:id="313" w:name="_Toc331149322"/>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427133000"/>
      <w:bookmarkStart w:id="315" w:name="_Toc2517"/>
      <w:bookmarkStart w:id="316" w:name="_Toc243707024"/>
      <w:bookmarkStart w:id="317" w:name="_Toc243708865"/>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8113"/>
      <w:bookmarkStart w:id="319" w:name="_Toc427133001"/>
      <w:bookmarkStart w:id="320" w:name="_Toc331149324"/>
      <w:bookmarkStart w:id="321" w:name="_Toc427131738"/>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427133002"/>
      <w:bookmarkStart w:id="324" w:name="_Toc243713926"/>
      <w:bookmarkStart w:id="325" w:name="_Toc243707026"/>
      <w:bookmarkStart w:id="326" w:name="_Toc13105"/>
      <w:bookmarkStart w:id="327" w:name="_Toc331149325"/>
      <w:bookmarkStart w:id="328" w:name="_Toc243708867"/>
      <w:bookmarkStart w:id="329" w:name="_Toc427131739"/>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30825"/>
      <w:bookmarkStart w:id="331" w:name="_Toc243713927"/>
      <w:bookmarkStart w:id="332" w:name="_Toc331149326"/>
      <w:bookmarkStart w:id="333" w:name="_Toc243707027"/>
      <w:bookmarkStart w:id="334" w:name="_Toc243708868"/>
      <w:bookmarkStart w:id="335" w:name="_Toc427131740"/>
      <w:bookmarkStart w:id="336" w:name="_Toc427133003"/>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32673_WPSOffice_Level1"/>
      <w:bookmarkStart w:id="340" w:name="_Toc27851"/>
      <w:bookmarkStart w:id="341" w:name="_Toc30736_WPSOffice_Level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55</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9"/>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资信</w:t>
            </w:r>
            <w:r>
              <w:rPr>
                <w:rFonts w:hint="default" w:ascii="Times New Roman" w:hAnsi="Times New Roman" w:cs="Times New Roman"/>
                <w:color w:val="auto"/>
                <w:sz w:val="21"/>
                <w:szCs w:val="21"/>
                <w:vertAlign w:val="baseline"/>
                <w:lang w:val="en-US" w:eastAsia="zh-CN"/>
              </w:rPr>
              <w:t>信誉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及业绩（1</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分）</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1、投标人具有环境管理体系认证、职业健康体系认证、质量管理体系认证的，每项得1分，最高3分，需提供证书复印件。</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、投标人具有浙江省病媒生物防制服务机构能力等级一级及以上得</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分，二级得</w:t>
            </w: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val="en-US" w:eastAsia="zh-CN"/>
              </w:rPr>
              <w:t>分，三级得0.5，不具备的得0分。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lang w:val="en-US" w:eastAsia="zh-CN"/>
              </w:rPr>
              <w:t>、投标人拟派项目负责人具有有害生物防制职业资格高级证书得</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分，中级证书得</w:t>
            </w: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val="en-US" w:eastAsia="zh-CN"/>
              </w:rPr>
              <w:t>分，需提供职业资格证书复印件。</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4、荣获国家、省、市政府部门或行业协会的荣誉或获奖，好的得2分，一般的得1.5-1分，差的0.5-0分。（横向比较）</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w:t>
            </w:r>
            <w:r>
              <w:rPr>
                <w:rFonts w:hint="default" w:ascii="Times New Roman" w:hAnsi="Times New Roman" w:cs="Times New Roman"/>
                <w:color w:val="auto"/>
                <w:sz w:val="21"/>
                <w:szCs w:val="21"/>
                <w:vertAlign w:val="baseline"/>
                <w:lang w:val="en-US" w:eastAsia="zh-CN"/>
              </w:rPr>
              <w:t>、投标人具有同类（创建卫生城市）除四害创卫项目业绩，每一个合同得1分，本项最多得</w:t>
            </w: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lang w:val="en-US" w:eastAsia="zh-CN"/>
              </w:rPr>
              <w:t>分，需提供项目业绩合同复印件。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项目熟悉程度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9</w:t>
            </w:r>
            <w:r>
              <w:rPr>
                <w:rFonts w:hint="default" w:ascii="Times New Roman" w:hAnsi="Times New Roman" w:cs="Times New Roman"/>
                <w:color w:val="auto"/>
                <w:sz w:val="21"/>
                <w:szCs w:val="21"/>
                <w:vertAlign w:val="baseline"/>
                <w:lang w:val="en-US" w:eastAsia="zh-CN"/>
              </w:rPr>
              <w:t>分</w:t>
            </w:r>
            <w:r>
              <w:rPr>
                <w:rFonts w:hint="default" w:ascii="Times New Roman" w:hAnsi="Times New Roman" w:cs="Times New Roman"/>
                <w:color w:val="auto"/>
                <w:sz w:val="21"/>
                <w:szCs w:val="21"/>
                <w:vertAlign w:val="baseline"/>
                <w:lang w:eastAsia="zh-CN"/>
              </w:rPr>
              <w:t>）</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投标人对本项目环境及了解熟悉程度，描述周到的得</w:t>
            </w: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lang w:val="en-US" w:eastAsia="zh-CN"/>
              </w:rPr>
              <w:t>-7分，描述基本周到的得</w:t>
            </w:r>
            <w:r>
              <w:rPr>
                <w:rFonts w:hint="eastAsia"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lang w:val="en-US" w:eastAsia="zh-CN"/>
              </w:rPr>
              <w:t>-4分，描述不周到的得</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项目技术方案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10</w:t>
            </w:r>
            <w:r>
              <w:rPr>
                <w:rFonts w:hint="default" w:ascii="Times New Roman" w:hAnsi="Times New Roman" w:cs="Times New Roman"/>
                <w:color w:val="auto"/>
                <w:sz w:val="21"/>
                <w:szCs w:val="21"/>
                <w:vertAlign w:val="baseline"/>
                <w:lang w:val="en-US" w:eastAsia="zh-CN"/>
              </w:rPr>
              <w:t>分</w:t>
            </w:r>
            <w:r>
              <w:rPr>
                <w:rFonts w:hint="default" w:ascii="Times New Roman" w:hAnsi="Times New Roman" w:cs="Times New Roman"/>
                <w:color w:val="auto"/>
                <w:sz w:val="21"/>
                <w:szCs w:val="21"/>
                <w:vertAlign w:val="baseline"/>
                <w:lang w:eastAsia="zh-CN"/>
              </w:rPr>
              <w:t>）</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eastAsia="zh-CN"/>
              </w:rPr>
              <w:t>防治对象、种类、孳生地调查、密度监测方法</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全面得5-3.5分，基本全面得3.5-2分，较差得2-0分。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eastAsia="zh-CN"/>
              </w:rPr>
              <w:t>选择药物的合理性和安全性、不同环境采用药物的种类、数量及使用方</w:t>
            </w:r>
            <w:r>
              <w:rPr>
                <w:rFonts w:hint="eastAsia" w:ascii="Times New Roman" w:hAnsi="Times New Roman" w:cs="Times New Roman"/>
                <w:color w:val="auto"/>
                <w:sz w:val="21"/>
                <w:szCs w:val="21"/>
                <w:vertAlign w:val="baseline"/>
                <w:lang w:eastAsia="zh-CN"/>
              </w:rPr>
              <w:t>，全面得5-3.5分，基本全面得3.5-2分，较差得2-0分。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项目实施方案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11</w:t>
            </w:r>
            <w:r>
              <w:rPr>
                <w:rFonts w:hint="default" w:ascii="Times New Roman" w:hAnsi="Times New Roman" w:cs="Times New Roman"/>
                <w:color w:val="auto"/>
                <w:sz w:val="21"/>
                <w:szCs w:val="21"/>
                <w:vertAlign w:val="baseline"/>
                <w:lang w:val="en-US" w:eastAsia="zh-CN"/>
              </w:rPr>
              <w:t>分</w:t>
            </w:r>
            <w:r>
              <w:rPr>
                <w:rFonts w:hint="default" w:ascii="Times New Roman" w:hAnsi="Times New Roman" w:cs="Times New Roman"/>
                <w:color w:val="auto"/>
                <w:sz w:val="21"/>
                <w:szCs w:val="21"/>
                <w:vertAlign w:val="baseline"/>
                <w:lang w:eastAsia="zh-CN"/>
              </w:rPr>
              <w:t>）</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eastAsia="zh-CN"/>
              </w:rPr>
              <w:t>防治工作总体思路的完整性</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全面的得2-1.5分，基本全面的得1.5-1分，较差的得1-0分。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eastAsia="zh-CN"/>
              </w:rPr>
              <w:t>对防治工作周期计划的合理性</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全面的得2-1.5分，基本全面的得1.5-1分，较差的得1-0分。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lang w:eastAsia="zh-CN"/>
              </w:rPr>
              <w:t>对防密度监测计划安排</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全面的得2-1.5分，基本全面的得1.5-1分，较差的得1-0分。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4、</w:t>
            </w:r>
            <w:r>
              <w:rPr>
                <w:rFonts w:hint="default" w:ascii="Times New Roman" w:hAnsi="Times New Roman" w:cs="Times New Roman"/>
                <w:color w:val="auto"/>
                <w:sz w:val="21"/>
                <w:szCs w:val="21"/>
                <w:vertAlign w:val="baseline"/>
                <w:lang w:eastAsia="zh-CN"/>
              </w:rPr>
              <w:t>人员组织配备情况</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全面的得2-1.5分，基本全面的得1.5-1分，较差的得1-0分。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w:t>
            </w:r>
            <w:r>
              <w:rPr>
                <w:rFonts w:hint="default" w:ascii="Times New Roman" w:hAnsi="Times New Roman" w:cs="Times New Roman"/>
                <w:color w:val="auto"/>
                <w:sz w:val="21"/>
                <w:szCs w:val="21"/>
                <w:vertAlign w:val="baseline"/>
                <w:lang w:eastAsia="zh-CN"/>
              </w:rPr>
              <w:t>对防治</w:t>
            </w:r>
            <w:r>
              <w:rPr>
                <w:rFonts w:hint="eastAsia" w:ascii="Times New Roman" w:hAnsi="Times New Roman" w:cs="Times New Roman"/>
                <w:color w:val="auto"/>
                <w:sz w:val="21"/>
                <w:szCs w:val="21"/>
                <w:vertAlign w:val="baseline"/>
                <w:lang w:val="en-US" w:eastAsia="zh-CN"/>
              </w:rPr>
              <w:t>工作的</w:t>
            </w:r>
            <w:r>
              <w:rPr>
                <w:rFonts w:hint="default" w:ascii="Times New Roman" w:hAnsi="Times New Roman" w:cs="Times New Roman"/>
                <w:color w:val="auto"/>
                <w:sz w:val="21"/>
                <w:szCs w:val="21"/>
                <w:vertAlign w:val="baseline"/>
                <w:lang w:eastAsia="zh-CN"/>
              </w:rPr>
              <w:t>“全面培训、宣传方案安排”</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全面的得2-1.5分，基本全面的得1.5-1分，较差的得1-0分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设备、工具配备（</w:t>
            </w: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lang w:val="en-US" w:eastAsia="zh-CN"/>
              </w:rPr>
              <w:t>分）</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left"/>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投标人拟投入本项目设备、工具、器械等，比较</w:t>
            </w:r>
            <w:r>
              <w:rPr>
                <w:rFonts w:hint="eastAsia" w:ascii="Times New Roman" w:hAnsi="Times New Roman" w:cs="Times New Roman"/>
                <w:color w:val="auto"/>
                <w:sz w:val="21"/>
                <w:szCs w:val="21"/>
                <w:vertAlign w:val="baseline"/>
                <w:lang w:val="en-US" w:eastAsia="zh-CN"/>
              </w:rPr>
              <w:t>齐全</w:t>
            </w:r>
            <w:r>
              <w:rPr>
                <w:rFonts w:hint="default" w:ascii="Times New Roman" w:hAnsi="Times New Roman" w:cs="Times New Roman"/>
                <w:color w:val="auto"/>
                <w:sz w:val="21"/>
                <w:szCs w:val="21"/>
                <w:vertAlign w:val="baseline"/>
                <w:lang w:eastAsia="zh-CN"/>
              </w:rPr>
              <w:t>完整的得</w:t>
            </w:r>
            <w:r>
              <w:rPr>
                <w:rFonts w:hint="eastAsia" w:ascii="Times New Roman" w:hAnsi="Times New Roman" w:cs="Times New Roman"/>
                <w:color w:val="auto"/>
                <w:sz w:val="21"/>
                <w:szCs w:val="21"/>
                <w:vertAlign w:val="baseline"/>
                <w:lang w:val="en-US" w:eastAsia="zh-CN"/>
              </w:rPr>
              <w:t>3-2</w:t>
            </w:r>
            <w:r>
              <w:rPr>
                <w:rFonts w:hint="default" w:ascii="Times New Roman" w:hAnsi="Times New Roman" w:cs="Times New Roman"/>
                <w:color w:val="auto"/>
                <w:sz w:val="21"/>
                <w:szCs w:val="21"/>
                <w:vertAlign w:val="baseline"/>
                <w:lang w:val="en-US" w:eastAsia="zh-CN"/>
              </w:rPr>
              <w:t>分，基本完整得2</w:t>
            </w: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val="en-US" w:eastAsia="zh-CN"/>
              </w:rPr>
              <w:t>分，</w:t>
            </w:r>
            <w:r>
              <w:rPr>
                <w:rFonts w:hint="eastAsia" w:ascii="Times New Roman" w:hAnsi="Times New Roman" w:cs="Times New Roman"/>
                <w:color w:val="auto"/>
                <w:sz w:val="21"/>
                <w:szCs w:val="21"/>
                <w:vertAlign w:val="baseline"/>
                <w:lang w:val="en-US" w:eastAsia="zh-CN"/>
              </w:rPr>
              <w:t>不完整</w:t>
            </w:r>
            <w:r>
              <w:rPr>
                <w:rFonts w:hint="default" w:ascii="Times New Roman" w:hAnsi="Times New Roman" w:cs="Times New Roman"/>
                <w:color w:val="auto"/>
                <w:sz w:val="21"/>
                <w:szCs w:val="21"/>
                <w:vertAlign w:val="baseline"/>
                <w:lang w:val="en-US" w:eastAsia="zh-CN"/>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eastAsia="zh-CN"/>
              </w:rPr>
              <w:t>服务能力及承诺</w:t>
            </w: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分）</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eastAsia="zh-CN"/>
              </w:rPr>
              <w:t>投标人服务响应时间</w:t>
            </w:r>
            <w:r>
              <w:rPr>
                <w:rFonts w:hint="eastAsia" w:ascii="Times New Roman" w:hAnsi="Times New Roman" w:cs="Times New Roman"/>
                <w:color w:val="auto"/>
                <w:sz w:val="21"/>
                <w:szCs w:val="21"/>
                <w:vertAlign w:val="baseline"/>
                <w:lang w:val="en-US" w:eastAsia="zh-CN"/>
              </w:rPr>
              <w:t>最短</w:t>
            </w:r>
            <w:r>
              <w:rPr>
                <w:rFonts w:hint="default" w:ascii="Times New Roman" w:hAnsi="Times New Roman" w:cs="Times New Roman"/>
                <w:color w:val="auto"/>
                <w:sz w:val="21"/>
                <w:szCs w:val="21"/>
                <w:vertAlign w:val="baseline"/>
                <w:lang w:val="en-US" w:eastAsia="zh-CN"/>
              </w:rPr>
              <w:t>的得2分，</w:t>
            </w:r>
            <w:r>
              <w:rPr>
                <w:rFonts w:hint="eastAsia" w:ascii="Times New Roman" w:hAnsi="Times New Roman" w:cs="Times New Roman"/>
                <w:color w:val="auto"/>
                <w:sz w:val="21"/>
                <w:szCs w:val="21"/>
                <w:vertAlign w:val="baseline"/>
                <w:lang w:val="en-US" w:eastAsia="zh-CN"/>
              </w:rPr>
              <w:t>其他的</w:t>
            </w:r>
            <w:r>
              <w:rPr>
                <w:rFonts w:hint="default" w:ascii="Times New Roman" w:hAnsi="Times New Roman" w:cs="Times New Roman"/>
                <w:color w:val="auto"/>
                <w:sz w:val="21"/>
                <w:szCs w:val="21"/>
                <w:vertAlign w:val="baseline"/>
                <w:lang w:val="en-US" w:eastAsia="zh-CN"/>
              </w:rPr>
              <w:t>得1分</w:t>
            </w:r>
            <w:r>
              <w:rPr>
                <w:rFonts w:hint="eastAsia" w:ascii="Times New Roman" w:hAnsi="Times New Roman" w:cs="Times New Roman"/>
                <w:color w:val="auto"/>
                <w:sz w:val="21"/>
                <w:szCs w:val="21"/>
                <w:vertAlign w:val="baseline"/>
                <w:lang w:val="en-US" w:eastAsia="zh-CN"/>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应急</w:t>
            </w:r>
            <w:r>
              <w:rPr>
                <w:rFonts w:hint="eastAsia" w:ascii="Times New Roman" w:hAnsi="Times New Roman" w:cs="Times New Roman"/>
                <w:color w:val="auto"/>
                <w:sz w:val="21"/>
                <w:szCs w:val="21"/>
                <w:vertAlign w:val="baseline"/>
                <w:lang w:val="en-US" w:eastAsia="zh-CN"/>
              </w:rPr>
              <w:t>工作及药物处置</w:t>
            </w:r>
            <w:r>
              <w:rPr>
                <w:rFonts w:hint="default" w:ascii="Times New Roman" w:hAnsi="Times New Roman" w:cs="Times New Roman"/>
                <w:color w:val="auto"/>
                <w:sz w:val="21"/>
                <w:szCs w:val="21"/>
                <w:vertAlign w:val="baseline"/>
                <w:lang w:eastAsia="zh-CN"/>
              </w:rPr>
              <w:t>预案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4</w:t>
            </w:r>
            <w:r>
              <w:rPr>
                <w:rFonts w:hint="default" w:ascii="Times New Roman" w:hAnsi="Times New Roman" w:cs="Times New Roman"/>
                <w:color w:val="auto"/>
                <w:sz w:val="21"/>
                <w:szCs w:val="21"/>
                <w:vertAlign w:val="baseline"/>
                <w:lang w:val="en-US" w:eastAsia="zh-CN"/>
              </w:rPr>
              <w:t>分）</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应急工作预案及药物中毒处置预案</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eastAsia="zh-CN"/>
              </w:rPr>
              <w:t>全面可行的得</w:t>
            </w:r>
            <w:r>
              <w:rPr>
                <w:rFonts w:hint="eastAsia" w:ascii="Times New Roman" w:hAnsi="Times New Roman" w:cs="Times New Roman"/>
                <w:color w:val="auto"/>
                <w:sz w:val="21"/>
                <w:szCs w:val="21"/>
                <w:vertAlign w:val="baseline"/>
                <w:lang w:val="en-US" w:eastAsia="zh-CN"/>
              </w:rPr>
              <w:t>4-3</w:t>
            </w:r>
            <w:r>
              <w:rPr>
                <w:rFonts w:hint="default" w:ascii="Times New Roman" w:hAnsi="Times New Roman" w:cs="Times New Roman"/>
                <w:color w:val="auto"/>
                <w:sz w:val="21"/>
                <w:szCs w:val="21"/>
                <w:vertAlign w:val="baseline"/>
                <w:lang w:val="en-US" w:eastAsia="zh-CN"/>
              </w:rPr>
              <w:t>分，基本全面的得</w:t>
            </w: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lang w:val="en-US" w:eastAsia="zh-CN"/>
              </w:rPr>
              <w:t>分，</w:t>
            </w:r>
            <w:r>
              <w:rPr>
                <w:rFonts w:hint="eastAsia" w:ascii="Times New Roman" w:hAnsi="Times New Roman" w:cs="Times New Roman"/>
                <w:color w:val="auto"/>
                <w:sz w:val="21"/>
                <w:szCs w:val="21"/>
                <w:vertAlign w:val="baseline"/>
                <w:lang w:val="en-US" w:eastAsia="zh-CN"/>
              </w:rPr>
              <w:t>较差</w:t>
            </w:r>
            <w:r>
              <w:rPr>
                <w:rFonts w:hint="default" w:ascii="Times New Roman" w:hAnsi="Times New Roman" w:cs="Times New Roman"/>
                <w:color w:val="auto"/>
                <w:sz w:val="21"/>
                <w:szCs w:val="21"/>
                <w:vertAlign w:val="baseline"/>
                <w:lang w:val="en-US" w:eastAsia="zh-CN"/>
              </w:rPr>
              <w:t>的得</w:t>
            </w:r>
            <w:r>
              <w:rPr>
                <w:rFonts w:hint="eastAsia" w:ascii="Times New Roman" w:hAnsi="Times New Roman" w:cs="Times New Roman"/>
                <w:color w:val="auto"/>
                <w:sz w:val="21"/>
                <w:szCs w:val="21"/>
                <w:vertAlign w:val="baseline"/>
                <w:lang w:val="en-US" w:eastAsia="zh-CN"/>
              </w:rPr>
              <w:t>2-1</w:t>
            </w:r>
            <w:r>
              <w:rPr>
                <w:rFonts w:hint="default" w:ascii="Times New Roman" w:hAnsi="Times New Roman" w:cs="Times New Roman"/>
                <w:color w:val="auto"/>
                <w:sz w:val="21"/>
                <w:szCs w:val="21"/>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难点及措施</w:t>
            </w:r>
          </w:p>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4</w:t>
            </w:r>
            <w:r>
              <w:rPr>
                <w:rFonts w:hint="default" w:ascii="Times New Roman" w:hAnsi="Times New Roman" w:cs="Times New Roman"/>
                <w:color w:val="auto"/>
                <w:sz w:val="21"/>
                <w:szCs w:val="21"/>
                <w:vertAlign w:val="baseline"/>
                <w:lang w:val="en-US" w:eastAsia="zh-CN"/>
              </w:rPr>
              <w:t>分）</w:t>
            </w:r>
          </w:p>
        </w:tc>
        <w:tc>
          <w:tcPr>
            <w:tcW w:w="75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eastAsia="zh-CN"/>
              </w:rPr>
              <w:t>针对本项目难点认识及应对措施。全面措施得当的得</w:t>
            </w:r>
            <w:r>
              <w:rPr>
                <w:rFonts w:hint="eastAsia" w:ascii="Times New Roman" w:hAnsi="Times New Roman" w:cs="Times New Roman"/>
                <w:color w:val="auto"/>
                <w:sz w:val="21"/>
                <w:szCs w:val="21"/>
                <w:vertAlign w:val="baseline"/>
                <w:lang w:val="en-US" w:eastAsia="zh-CN"/>
              </w:rPr>
              <w:t>4-3</w:t>
            </w:r>
            <w:r>
              <w:rPr>
                <w:rFonts w:hint="default" w:ascii="Times New Roman" w:hAnsi="Times New Roman" w:cs="Times New Roman"/>
                <w:color w:val="auto"/>
                <w:sz w:val="21"/>
                <w:szCs w:val="21"/>
                <w:vertAlign w:val="baseline"/>
                <w:lang w:val="en-US" w:eastAsia="zh-CN"/>
              </w:rPr>
              <w:t>分，基本全面措施的得</w:t>
            </w:r>
            <w:r>
              <w:rPr>
                <w:rFonts w:hint="eastAsia" w:ascii="Times New Roman" w:hAnsi="Times New Roman" w:cs="Times New Roman"/>
                <w:color w:val="auto"/>
                <w:sz w:val="21"/>
                <w:szCs w:val="21"/>
                <w:vertAlign w:val="baseline"/>
                <w:lang w:val="en-US" w:eastAsia="zh-CN"/>
              </w:rPr>
              <w:t>3-2</w:t>
            </w:r>
            <w:r>
              <w:rPr>
                <w:rFonts w:hint="default" w:ascii="Times New Roman" w:hAnsi="Times New Roman" w:cs="Times New Roman"/>
                <w:color w:val="auto"/>
                <w:sz w:val="21"/>
                <w:szCs w:val="21"/>
                <w:vertAlign w:val="baseline"/>
                <w:lang w:val="en-US" w:eastAsia="zh-CN"/>
              </w:rPr>
              <w:t>分，</w:t>
            </w:r>
            <w:r>
              <w:rPr>
                <w:rFonts w:hint="eastAsia" w:ascii="Times New Roman" w:hAnsi="Times New Roman" w:cs="Times New Roman"/>
                <w:color w:val="auto"/>
                <w:sz w:val="21"/>
                <w:szCs w:val="21"/>
                <w:vertAlign w:val="baseline"/>
                <w:lang w:val="en-US" w:eastAsia="zh-CN"/>
              </w:rPr>
              <w:t>较差</w:t>
            </w:r>
            <w:r>
              <w:rPr>
                <w:rFonts w:hint="default" w:ascii="Times New Roman" w:hAnsi="Times New Roman" w:cs="Times New Roman"/>
                <w:color w:val="auto"/>
                <w:sz w:val="21"/>
                <w:szCs w:val="21"/>
                <w:vertAlign w:val="baseline"/>
                <w:lang w:val="en-US" w:eastAsia="zh-CN"/>
              </w:rPr>
              <w:t>得</w:t>
            </w:r>
            <w:r>
              <w:rPr>
                <w:rFonts w:hint="eastAsia" w:ascii="Times New Roman" w:hAnsi="Times New Roman" w:cs="Times New Roman"/>
                <w:color w:val="auto"/>
                <w:sz w:val="21"/>
                <w:szCs w:val="21"/>
                <w:vertAlign w:val="baseline"/>
                <w:lang w:val="en-US" w:eastAsia="zh-CN"/>
              </w:rPr>
              <w:t>2-1</w:t>
            </w:r>
            <w:r>
              <w:rPr>
                <w:rFonts w:hint="default" w:ascii="Times New Roman" w:hAnsi="Times New Roman" w:cs="Times New Roman"/>
                <w:color w:val="auto"/>
                <w:sz w:val="21"/>
                <w:szCs w:val="21"/>
                <w:vertAlign w:val="baseline"/>
                <w:lang w:val="en-US" w:eastAsia="zh-CN"/>
              </w:rPr>
              <w:t>分</w:t>
            </w:r>
            <w:r>
              <w:rPr>
                <w:rFonts w:hint="eastAsia" w:ascii="Times New Roman" w:hAnsi="Times New Roman" w:cs="Times New Roman"/>
                <w:color w:val="auto"/>
                <w:sz w:val="21"/>
                <w:szCs w:val="21"/>
                <w:vertAlign w:val="baseline"/>
                <w:lang w:val="en-US" w:eastAsia="zh-CN"/>
              </w:rPr>
              <w:t>.</w:t>
            </w:r>
          </w:p>
        </w:tc>
      </w:tr>
    </w:tbl>
    <w:p>
      <w:pPr>
        <w:pStyle w:val="16"/>
        <w:spacing w:before="120" w:beforeLines="50" w:after="120" w:afterLines="50" w:line="440" w:lineRule="exact"/>
        <w:ind w:left="0" w:leftChars="0" w:firstLine="0" w:firstLineChars="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45</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45</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45</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45</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3768_WPSOffice_Level1"/>
      <w:bookmarkStart w:id="347" w:name="_Toc6076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1、按照沙门镇“病媒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”工作基本要求来操作，按照沙门“除四害”工作基本要求来操作，总面积5平方公里，行政村</w:t>
      </w:r>
      <w:r>
        <w:rPr>
          <w:rFonts w:hint="eastAsia"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个（8980户），</w:t>
      </w:r>
      <w:r>
        <w:rPr>
          <w:rFonts w:hint="eastAsia" w:ascii="Times New Roman" w:hAnsi="Times New Roman" w:eastAsia="宋体" w:cs="Times New Roman"/>
          <w:color w:val="auto"/>
          <w:kern w:val="21"/>
          <w:sz w:val="21"/>
          <w:szCs w:val="21"/>
          <w:highlight w:val="none"/>
          <w:lang w:val="en-US" w:eastAsia="zh-CN"/>
        </w:rPr>
        <w:t>公园3座、</w:t>
      </w:r>
      <w:r>
        <w:rPr>
          <w:rFonts w:hint="default" w:ascii="Times New Roman" w:hAnsi="Times New Roman" w:eastAsia="宋体" w:cs="Times New Roman"/>
          <w:color w:val="auto"/>
          <w:kern w:val="0"/>
          <w:szCs w:val="21"/>
          <w:highlight w:val="none"/>
        </w:rPr>
        <w:t>公厕</w:t>
      </w:r>
      <w:r>
        <w:rPr>
          <w:rFonts w:hint="eastAsia" w:ascii="Times New Roman" w:hAnsi="Times New Roman" w:cs="Times New Roman"/>
          <w:color w:val="auto"/>
          <w:kern w:val="0"/>
          <w:szCs w:val="21"/>
          <w:highlight w:val="none"/>
          <w:lang w:val="en-US" w:eastAsia="zh-CN"/>
        </w:rPr>
        <w:t>72</w:t>
      </w:r>
      <w:r>
        <w:rPr>
          <w:rFonts w:hint="default" w:ascii="Times New Roman" w:hAnsi="Times New Roman" w:eastAsia="宋体" w:cs="Times New Roman"/>
          <w:color w:val="auto"/>
          <w:kern w:val="0"/>
          <w:szCs w:val="21"/>
          <w:highlight w:val="none"/>
        </w:rPr>
        <w:t>座、店面</w:t>
      </w:r>
      <w:r>
        <w:rPr>
          <w:rFonts w:hint="eastAsia" w:ascii="Times New Roman" w:hAnsi="Times New Roman" w:eastAsia="宋体" w:cs="Times New Roman"/>
          <w:color w:val="auto"/>
          <w:kern w:val="0"/>
          <w:szCs w:val="21"/>
          <w:highlight w:val="none"/>
          <w:lang w:val="en-US" w:eastAsia="zh-CN"/>
        </w:rPr>
        <w:t>600余</w:t>
      </w:r>
      <w:r>
        <w:rPr>
          <w:rFonts w:hint="default" w:ascii="Times New Roman" w:hAnsi="Times New Roman" w:eastAsia="宋体" w:cs="Times New Roman"/>
          <w:color w:val="auto"/>
          <w:kern w:val="0"/>
          <w:szCs w:val="21"/>
          <w:highlight w:val="none"/>
        </w:rPr>
        <w:t>家、学校3所、</w:t>
      </w:r>
      <w:r>
        <w:rPr>
          <w:rFonts w:hint="eastAsia" w:ascii="Times New Roman" w:hAnsi="Times New Roman" w:eastAsia="宋体" w:cs="Times New Roman"/>
          <w:color w:val="auto"/>
          <w:kern w:val="0"/>
          <w:szCs w:val="21"/>
          <w:highlight w:val="none"/>
          <w:lang w:eastAsia="zh-CN"/>
        </w:rPr>
        <w:t>垃圾中转站</w:t>
      </w:r>
      <w:r>
        <w:rPr>
          <w:rFonts w:hint="default" w:ascii="Times New Roman" w:hAnsi="Times New Roman" w:eastAsia="宋体" w:cs="Times New Roman"/>
          <w:color w:val="auto"/>
          <w:kern w:val="0"/>
          <w:szCs w:val="21"/>
          <w:highlight w:val="none"/>
        </w:rPr>
        <w:t>24个、中心菜场1个、车站1个、</w:t>
      </w:r>
      <w:r>
        <w:rPr>
          <w:rFonts w:hint="eastAsia" w:ascii="Times New Roman" w:hAnsi="Times New Roman" w:eastAsia="宋体" w:cs="Times New Roman"/>
          <w:color w:val="auto"/>
          <w:kern w:val="21"/>
          <w:sz w:val="21"/>
          <w:szCs w:val="21"/>
          <w:highlight w:val="none"/>
          <w:lang w:val="en-US" w:eastAsia="zh-CN"/>
        </w:rPr>
        <w:t>立新塘健康步道、</w:t>
      </w:r>
      <w:r>
        <w:rPr>
          <w:rFonts w:hint="default" w:ascii="Times New Roman" w:hAnsi="Times New Roman" w:eastAsia="宋体" w:cs="Times New Roman"/>
          <w:color w:val="auto"/>
          <w:kern w:val="0"/>
          <w:szCs w:val="21"/>
          <w:highlight w:val="none"/>
        </w:rPr>
        <w:t>窨井9000平方米、毒饵站1000只、河岩大型水体15000米、绿化</w:t>
      </w:r>
      <w:r>
        <w:rPr>
          <w:rFonts w:hint="eastAsia" w:ascii="Times New Roman" w:hAnsi="Times New Roman" w:eastAsia="宋体" w:cs="Times New Roman"/>
          <w:color w:val="auto"/>
          <w:kern w:val="0"/>
          <w:szCs w:val="21"/>
          <w:highlight w:val="none"/>
          <w:lang w:val="en-US" w:eastAsia="zh-CN"/>
        </w:rPr>
        <w:t>10000平方</w:t>
      </w:r>
      <w:r>
        <w:rPr>
          <w:rFonts w:hint="default" w:ascii="Times New Roman" w:hAnsi="Times New Roman" w:eastAsia="宋体" w:cs="Times New Roman"/>
          <w:color w:val="auto"/>
          <w:kern w:val="0"/>
          <w:szCs w:val="21"/>
          <w:highlight w:val="none"/>
        </w:rPr>
        <w:t>米、</w:t>
      </w:r>
      <w:r>
        <w:rPr>
          <w:rFonts w:hint="eastAsia" w:ascii="Times New Roman" w:hAnsi="Times New Roman" w:eastAsia="宋体" w:cs="Times New Roman"/>
          <w:color w:val="auto"/>
          <w:kern w:val="0"/>
          <w:szCs w:val="21"/>
          <w:highlight w:val="none"/>
          <w:lang w:val="en-US" w:eastAsia="zh-CN"/>
        </w:rPr>
        <w:t>垃</w:t>
      </w:r>
      <w:r>
        <w:rPr>
          <w:rFonts w:hint="default" w:ascii="Times New Roman" w:hAnsi="Times New Roman" w:eastAsia="宋体" w:cs="Times New Roman"/>
          <w:color w:val="auto"/>
          <w:kern w:val="0"/>
          <w:szCs w:val="21"/>
          <w:highlight w:val="none"/>
        </w:rPr>
        <w:t>圾桶</w:t>
      </w:r>
      <w:r>
        <w:rPr>
          <w:rFonts w:hint="eastAsia" w:ascii="Times New Roman" w:hAnsi="Times New Roman" w:eastAsia="宋体" w:cs="Times New Roman"/>
          <w:color w:val="auto"/>
          <w:kern w:val="0"/>
          <w:szCs w:val="21"/>
          <w:highlight w:val="none"/>
          <w:lang w:val="en-US" w:eastAsia="zh-CN"/>
        </w:rPr>
        <w:t>500</w:t>
      </w:r>
      <w:r>
        <w:rPr>
          <w:rFonts w:hint="default" w:ascii="Times New Roman" w:hAnsi="Times New Roman" w:eastAsia="宋体"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w:t>
      </w:r>
      <w:r>
        <w:rPr>
          <w:rFonts w:hint="eastAsia" w:ascii="Times New Roman" w:hAnsi="Times New Roman" w:eastAsia="宋体" w:cs="Times New Roman"/>
          <w:color w:val="auto"/>
          <w:kern w:val="0"/>
          <w:szCs w:val="21"/>
          <w:highlight w:val="none"/>
          <w:lang w:eastAsia="zh-CN"/>
        </w:rPr>
        <w:t>不再另行</w:t>
      </w:r>
      <w:r>
        <w:rPr>
          <w:rFonts w:hint="default" w:ascii="Times New Roman" w:hAnsi="Times New Roman" w:eastAsia="宋体" w:cs="Times New Roman"/>
          <w:color w:val="auto"/>
          <w:kern w:val="0"/>
          <w:szCs w:val="21"/>
          <w:highlight w:val="none"/>
        </w:rPr>
        <w:t>增加费用）</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21"/>
          <w:sz w:val="21"/>
          <w:szCs w:val="21"/>
          <w:highlight w:val="none"/>
          <w:lang w:eastAsia="zh-CN"/>
        </w:rPr>
        <w:t>辖</w:t>
      </w:r>
      <w:r>
        <w:rPr>
          <w:rFonts w:hint="default" w:ascii="Times New Roman" w:hAnsi="Times New Roman" w:eastAsia="宋体" w:cs="Times New Roman"/>
          <w:color w:val="auto"/>
          <w:kern w:val="21"/>
          <w:sz w:val="21"/>
          <w:szCs w:val="21"/>
          <w:highlight w:val="none"/>
        </w:rPr>
        <w:t>区内行政村</w:t>
      </w:r>
      <w:r>
        <w:rPr>
          <w:rFonts w:hint="eastAsia" w:ascii="Times New Roman" w:hAnsi="Times New Roman" w:eastAsia="宋体" w:cs="Times New Roman"/>
          <w:color w:val="auto"/>
          <w:kern w:val="21"/>
          <w:sz w:val="21"/>
          <w:szCs w:val="21"/>
          <w:highlight w:val="none"/>
          <w:lang w:val="en-US" w:eastAsia="zh-CN"/>
        </w:rPr>
        <w:t>18</w:t>
      </w:r>
      <w:r>
        <w:rPr>
          <w:rFonts w:hint="default" w:ascii="Times New Roman" w:hAnsi="Times New Roman" w:eastAsia="宋体" w:cs="Times New Roman"/>
          <w:color w:val="auto"/>
          <w:kern w:val="21"/>
          <w:sz w:val="21"/>
          <w:szCs w:val="21"/>
          <w:highlight w:val="none"/>
        </w:rPr>
        <w:t>个（8980户）居民进行药物集中发放，并由</w:t>
      </w:r>
      <w:r>
        <w:rPr>
          <w:rFonts w:hint="eastAsia" w:ascii="Times New Roman" w:hAnsi="Times New Roman" w:eastAsia="宋体" w:cs="Times New Roman"/>
          <w:color w:val="auto"/>
          <w:kern w:val="0"/>
          <w:szCs w:val="21"/>
          <w:highlight w:val="none"/>
          <w:lang w:val="en-US" w:eastAsia="zh-CN"/>
        </w:rPr>
        <w:t>投标人</w:t>
      </w:r>
      <w:r>
        <w:rPr>
          <w:rFonts w:hint="default" w:ascii="Times New Roman" w:hAnsi="Times New Roman" w:eastAsia="宋体"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二</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eastAsia="zh-CN"/>
        </w:rPr>
        <w:t>委托承包工作标准</w:t>
      </w:r>
      <w:r>
        <w:rPr>
          <w:rFonts w:hint="default" w:ascii="Times New Roman" w:hAnsi="Times New Roman" w:eastAsia="宋体"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按照</w:t>
      </w:r>
      <w:r>
        <w:rPr>
          <w:rFonts w:hint="default" w:ascii="Times New Roman" w:hAnsi="Times New Roman" w:eastAsia="宋体"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lang w:eastAsia="zh-CN"/>
        </w:rPr>
        <w:t>蚊蝇密度达到国家标准</w:t>
      </w:r>
      <w:r>
        <w:rPr>
          <w:rFonts w:hint="eastAsia" w:ascii="Times New Roman" w:hAnsi="Times New Roman" w:eastAsia="宋体" w:cs="Times New Roman"/>
          <w:color w:val="auto"/>
          <w:kern w:val="0"/>
          <w:szCs w:val="21"/>
          <w:highlight w:val="none"/>
          <w:lang w:val="en-US" w:eastAsia="zh-CN"/>
        </w:rPr>
        <w:t>3倍以内</w:t>
      </w:r>
      <w:r>
        <w:rPr>
          <w:rFonts w:hint="default" w:ascii="Times New Roman" w:hAnsi="Times New Roman" w:eastAsia="宋体"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lang w:eastAsia="zh-CN"/>
        </w:rPr>
        <w:t>药物发放标准（辖区内约</w:t>
      </w:r>
      <w:r>
        <w:rPr>
          <w:rFonts w:hint="eastAsia" w:ascii="Times New Roman" w:hAnsi="Times New Roman" w:eastAsia="宋体" w:cs="Times New Roman"/>
          <w:color w:val="auto"/>
          <w:kern w:val="0"/>
          <w:szCs w:val="21"/>
          <w:highlight w:val="none"/>
          <w:lang w:val="en-US" w:eastAsia="zh-CN"/>
        </w:rPr>
        <w:t>8980户</w:t>
      </w:r>
      <w:r>
        <w:rPr>
          <w:rFonts w:hint="eastAsia" w:ascii="Times New Roman" w:hAnsi="Times New Roman" w:eastAsia="宋体" w:cs="Times New Roman"/>
          <w:color w:val="auto"/>
          <w:kern w:val="0"/>
          <w:szCs w:val="21"/>
          <w:highlight w:val="none"/>
          <w:lang w:eastAsia="zh-CN"/>
        </w:rPr>
        <w:t>）灭鼠药：需要</w:t>
      </w:r>
      <w:r>
        <w:rPr>
          <w:rFonts w:hint="eastAsia" w:ascii="Times New Roman" w:hAnsi="Times New Roman" w:eastAsia="宋体"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eastAsia="宋体" w:cs="Times New Roman"/>
          <w:color w:val="auto"/>
          <w:kern w:val="0"/>
          <w:szCs w:val="21"/>
          <w:highlight w:val="none"/>
          <w:lang w:val="en-US" w:eastAsia="zh-CN"/>
        </w:rPr>
        <w:t>2014</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4号文件及玉环爱卫办指定的督查考核办法等相关规定</w:t>
      </w:r>
      <w:r>
        <w:rPr>
          <w:rFonts w:hint="default" w:ascii="Times New Roman" w:hAnsi="Times New Roman" w:eastAsia="宋体"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三</w:t>
      </w:r>
      <w:r>
        <w:rPr>
          <w:rFonts w:hint="default" w:ascii="Times New Roman" w:hAnsi="Times New Roman" w:eastAsia="宋体" w:cs="Times New Roman"/>
          <w:color w:val="auto"/>
          <w:kern w:val="0"/>
          <w:szCs w:val="21"/>
          <w:highlight w:val="none"/>
        </w:rPr>
        <w:t>、服务期限：</w:t>
      </w:r>
      <w:r>
        <w:rPr>
          <w:rFonts w:hint="eastAsia" w:ascii="Times New Roman" w:hAnsi="Times New Roman" w:eastAsia="宋体" w:cs="Times New Roman"/>
          <w:color w:val="auto"/>
          <w:kern w:val="0"/>
          <w:szCs w:val="21"/>
          <w:highlight w:val="none"/>
          <w:lang w:val="en-US" w:eastAsia="zh-CN"/>
        </w:rPr>
        <w:t>至202</w:t>
      </w:r>
      <w:r>
        <w:rPr>
          <w:rFonts w:hint="eastAsia" w:ascii="Times New Roman" w:hAnsi="Times New Roman"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val="en-US" w:eastAsia="zh-CN"/>
        </w:rPr>
        <w:t>年12月31日为止</w:t>
      </w:r>
      <w:r>
        <w:rPr>
          <w:rFonts w:hint="eastAsia" w:ascii="Times New Roman" w:hAnsi="Times New Roman" w:cs="Times New Roman"/>
          <w:color w:val="auto"/>
          <w:kern w:val="0"/>
          <w:szCs w:val="21"/>
          <w:highlight w:val="none"/>
          <w:lang w:val="en-US" w:eastAsia="zh-CN"/>
        </w:rPr>
        <w:t>。</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四</w:t>
      </w:r>
      <w:r>
        <w:rPr>
          <w:rFonts w:hint="default" w:ascii="Times New Roman" w:hAnsi="Times New Roman" w:eastAsia="宋体"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1.为更好地开展病媒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（1）项目负责人必须同时具备以下条件：有病媒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从业培训合格证明或有害</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资格证明；有3年以上从事病媒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（2）工作人员必须同时具备以下条件：日常须有常驻具有病媒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培训合格证明或有害</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rPr>
        <w:t>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w:t>
      </w:r>
      <w:r>
        <w:rPr>
          <w:rFonts w:hint="eastAsia" w:ascii="Times New Roman" w:hAnsi="Times New Roman" w:eastAsia="宋体" w:cs="Times New Roman"/>
          <w:color w:val="auto"/>
          <w:kern w:val="0"/>
          <w:szCs w:val="21"/>
          <w:highlight w:val="none"/>
          <w:lang w:eastAsia="zh-CN"/>
        </w:rPr>
        <w:t>日常</w:t>
      </w:r>
      <w:r>
        <w:rPr>
          <w:rFonts w:hint="default" w:ascii="Times New Roman" w:hAnsi="Times New Roman" w:eastAsia="宋体" w:cs="Times New Roman"/>
          <w:color w:val="auto"/>
          <w:kern w:val="0"/>
          <w:szCs w:val="21"/>
          <w:highlight w:val="none"/>
        </w:rPr>
        <w:t>巡查、月例会、季考核等督查考核管理机制。</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7</w:t>
      </w:r>
      <w:r>
        <w:rPr>
          <w:rFonts w:hint="default" w:ascii="Times New Roman" w:hAnsi="Times New Roman" w:eastAsia="宋体"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玉环市沙门镇人民政府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根据特殊行业的卫生要求和相关疾病预防与控制的要求，甲乙双方依照《中华人民共和国民法典》及其他法律和行政法规的规定，遵循平等、自愿、公开和诚实信用的原则，先就沙门镇辖区内消杀蚊虫、苍蝇、蟑螂与灭鼠等工作事宜委托承包给乙方，经甲乙双方协商一致达成以下条款</w:t>
      </w:r>
      <w:r>
        <w:rPr>
          <w:rFonts w:hint="default" w:ascii="Times New Roman" w:hAnsi="Times New Roman" w:eastAsia="宋体" w:cs="Times New Roman"/>
          <w:color w:val="auto"/>
          <w:kern w:val="0"/>
          <w:szCs w:val="21"/>
          <w:highlight w:val="none"/>
          <w:lang w:eastAsia="zh-CN"/>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1、按照沙门镇“病媒</w:t>
      </w:r>
      <w:r>
        <w:rPr>
          <w:rFonts w:hint="eastAsia" w:ascii="Times New Roman" w:hAnsi="Times New Roman" w:eastAsia="宋体" w:cs="Times New Roman"/>
          <w:color w:val="auto"/>
          <w:kern w:val="0"/>
          <w:szCs w:val="21"/>
          <w:highlight w:val="none"/>
          <w:lang w:eastAsia="zh-CN"/>
        </w:rPr>
        <w:t>生物防制</w:t>
      </w:r>
      <w:r>
        <w:rPr>
          <w:rFonts w:hint="default" w:ascii="Times New Roman" w:hAnsi="Times New Roman" w:eastAsia="宋体" w:cs="Times New Roman"/>
          <w:color w:val="auto"/>
          <w:kern w:val="0"/>
          <w:szCs w:val="21"/>
          <w:highlight w:val="none"/>
          <w:lang w:eastAsia="zh-CN"/>
        </w:rPr>
        <w:t>”工作基本要求来操作，按照沙门“除四害”工作基本要求来操作，总面积5平方公里，行政村</w:t>
      </w:r>
      <w:r>
        <w:rPr>
          <w:rFonts w:hint="eastAsia"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lang w:eastAsia="zh-CN"/>
        </w:rPr>
        <w:t>个（8980户），</w:t>
      </w:r>
      <w:r>
        <w:rPr>
          <w:rFonts w:hint="eastAsia" w:ascii="Times New Roman" w:hAnsi="Times New Roman" w:eastAsia="宋体" w:cs="Times New Roman"/>
          <w:color w:val="auto"/>
          <w:kern w:val="0"/>
          <w:szCs w:val="21"/>
          <w:highlight w:val="none"/>
          <w:lang w:val="en-US" w:eastAsia="zh-CN"/>
        </w:rPr>
        <w:t>公园3座、</w:t>
      </w:r>
      <w:r>
        <w:rPr>
          <w:rFonts w:hint="default" w:ascii="Times New Roman" w:hAnsi="Times New Roman" w:eastAsia="宋体" w:cs="Times New Roman"/>
          <w:color w:val="auto"/>
          <w:kern w:val="0"/>
          <w:szCs w:val="21"/>
          <w:highlight w:val="none"/>
          <w:lang w:eastAsia="zh-CN"/>
        </w:rPr>
        <w:t>公厕</w:t>
      </w:r>
      <w:r>
        <w:rPr>
          <w:rFonts w:hint="eastAsia" w:ascii="Times New Roman" w:hAnsi="Times New Roman" w:cs="Times New Roman"/>
          <w:color w:val="auto"/>
          <w:kern w:val="0"/>
          <w:szCs w:val="21"/>
          <w:highlight w:val="none"/>
          <w:lang w:val="en-US" w:eastAsia="zh-CN"/>
        </w:rPr>
        <w:t>72</w:t>
      </w:r>
      <w:r>
        <w:rPr>
          <w:rFonts w:hint="default" w:ascii="Times New Roman" w:hAnsi="Times New Roman" w:eastAsia="宋体" w:cs="Times New Roman"/>
          <w:color w:val="auto"/>
          <w:kern w:val="0"/>
          <w:szCs w:val="21"/>
          <w:highlight w:val="none"/>
          <w:lang w:eastAsia="zh-CN"/>
        </w:rPr>
        <w:t>座、店面</w:t>
      </w:r>
      <w:r>
        <w:rPr>
          <w:rFonts w:hint="eastAsia" w:ascii="Times New Roman" w:hAnsi="Times New Roman" w:eastAsia="宋体" w:cs="Times New Roman"/>
          <w:color w:val="auto"/>
          <w:kern w:val="0"/>
          <w:szCs w:val="21"/>
          <w:highlight w:val="none"/>
          <w:lang w:val="en-US" w:eastAsia="zh-CN"/>
        </w:rPr>
        <w:t>600余</w:t>
      </w:r>
      <w:r>
        <w:rPr>
          <w:rFonts w:hint="default" w:ascii="Times New Roman" w:hAnsi="Times New Roman" w:eastAsia="宋体" w:cs="Times New Roman"/>
          <w:color w:val="auto"/>
          <w:kern w:val="0"/>
          <w:szCs w:val="21"/>
          <w:highlight w:val="none"/>
          <w:lang w:eastAsia="zh-CN"/>
        </w:rPr>
        <w:t>家、学校3所、</w:t>
      </w:r>
      <w:r>
        <w:rPr>
          <w:rFonts w:hint="eastAsia" w:ascii="Times New Roman" w:hAnsi="Times New Roman" w:eastAsia="宋体" w:cs="Times New Roman"/>
          <w:color w:val="auto"/>
          <w:kern w:val="0"/>
          <w:szCs w:val="21"/>
          <w:highlight w:val="none"/>
          <w:lang w:eastAsia="zh-CN"/>
        </w:rPr>
        <w:t>垃圾中转站</w:t>
      </w:r>
      <w:r>
        <w:rPr>
          <w:rFonts w:hint="default" w:ascii="Times New Roman" w:hAnsi="Times New Roman" w:eastAsia="宋体" w:cs="Times New Roman"/>
          <w:color w:val="auto"/>
          <w:kern w:val="0"/>
          <w:szCs w:val="21"/>
          <w:highlight w:val="none"/>
          <w:lang w:eastAsia="zh-CN"/>
        </w:rPr>
        <w:t>24个、中心菜场1个、车站1个、</w:t>
      </w:r>
      <w:r>
        <w:rPr>
          <w:rFonts w:hint="eastAsia" w:ascii="Times New Roman" w:hAnsi="Times New Roman" w:eastAsia="宋体" w:cs="Times New Roman"/>
          <w:color w:val="auto"/>
          <w:kern w:val="0"/>
          <w:szCs w:val="21"/>
          <w:highlight w:val="none"/>
          <w:lang w:val="en-US" w:eastAsia="zh-CN"/>
        </w:rPr>
        <w:t>立新塘健康步道、</w:t>
      </w:r>
      <w:r>
        <w:rPr>
          <w:rFonts w:hint="default" w:ascii="Times New Roman" w:hAnsi="Times New Roman" w:eastAsia="宋体" w:cs="Times New Roman"/>
          <w:color w:val="auto"/>
          <w:kern w:val="0"/>
          <w:szCs w:val="21"/>
          <w:highlight w:val="none"/>
          <w:lang w:eastAsia="zh-CN"/>
        </w:rPr>
        <w:t>窨井9000平方米、毒饵站1000只、河岩大型水体15000米、绿化</w:t>
      </w:r>
      <w:r>
        <w:rPr>
          <w:rFonts w:hint="eastAsia" w:ascii="Times New Roman" w:hAnsi="Times New Roman" w:eastAsia="宋体" w:cs="Times New Roman"/>
          <w:color w:val="auto"/>
          <w:kern w:val="0"/>
          <w:szCs w:val="21"/>
          <w:highlight w:val="none"/>
          <w:lang w:val="en-US" w:eastAsia="zh-CN"/>
        </w:rPr>
        <w:t>10000平方</w:t>
      </w:r>
      <w:r>
        <w:rPr>
          <w:rFonts w:hint="default" w:ascii="Times New Roman" w:hAnsi="Times New Roman" w:eastAsia="宋体" w:cs="Times New Roman"/>
          <w:color w:val="auto"/>
          <w:kern w:val="0"/>
          <w:szCs w:val="21"/>
          <w:highlight w:val="none"/>
          <w:lang w:eastAsia="zh-CN"/>
        </w:rPr>
        <w:t>米、</w:t>
      </w:r>
      <w:r>
        <w:rPr>
          <w:rFonts w:hint="eastAsia" w:ascii="Times New Roman" w:hAnsi="Times New Roman" w:eastAsia="宋体" w:cs="Times New Roman"/>
          <w:color w:val="auto"/>
          <w:kern w:val="0"/>
          <w:szCs w:val="21"/>
          <w:highlight w:val="none"/>
          <w:lang w:val="en-US" w:eastAsia="zh-CN"/>
        </w:rPr>
        <w:t>垃</w:t>
      </w:r>
      <w:r>
        <w:rPr>
          <w:rFonts w:hint="default" w:ascii="Times New Roman" w:hAnsi="Times New Roman" w:eastAsia="宋体" w:cs="Times New Roman"/>
          <w:color w:val="auto"/>
          <w:kern w:val="0"/>
          <w:szCs w:val="21"/>
          <w:highlight w:val="none"/>
          <w:lang w:eastAsia="zh-CN"/>
        </w:rPr>
        <w:t>圾桶</w:t>
      </w:r>
      <w:r>
        <w:rPr>
          <w:rFonts w:hint="eastAsia" w:ascii="Times New Roman" w:hAnsi="Times New Roman" w:eastAsia="宋体" w:cs="Times New Roman"/>
          <w:color w:val="auto"/>
          <w:kern w:val="0"/>
          <w:szCs w:val="21"/>
          <w:highlight w:val="none"/>
          <w:lang w:val="en-US" w:eastAsia="zh-CN"/>
        </w:rPr>
        <w:t>500</w:t>
      </w:r>
      <w:r>
        <w:rPr>
          <w:rFonts w:hint="default" w:ascii="Times New Roman" w:hAnsi="Times New Roman" w:eastAsia="宋体" w:cs="Times New Roman"/>
          <w:color w:val="auto"/>
          <w:kern w:val="0"/>
          <w:szCs w:val="21"/>
          <w:highlight w:val="none"/>
          <w:lang w:eastAsia="zh-CN"/>
        </w:rPr>
        <w:t>只。</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2、按创建卫生文明城镇要求，全部统一开展公共外环境投药及消杀。全年共消18次。（如因实际需要业主要求增加消杀次数，承包人必须无条件配合，费用由承包人在报价时综合考虑风险，已含在合同价内，</w:t>
      </w:r>
      <w:r>
        <w:rPr>
          <w:rFonts w:hint="eastAsia" w:ascii="Times New Roman" w:hAnsi="Times New Roman" w:eastAsia="宋体" w:cs="Times New Roman"/>
          <w:color w:val="auto"/>
          <w:kern w:val="0"/>
          <w:szCs w:val="21"/>
          <w:highlight w:val="none"/>
          <w:lang w:eastAsia="zh-CN"/>
        </w:rPr>
        <w:t>不再另行</w:t>
      </w:r>
      <w:r>
        <w:rPr>
          <w:rFonts w:hint="default" w:ascii="Times New Roman" w:hAnsi="Times New Roman" w:eastAsia="宋体" w:cs="Times New Roman"/>
          <w:color w:val="auto"/>
          <w:kern w:val="0"/>
          <w:szCs w:val="21"/>
          <w:highlight w:val="none"/>
          <w:lang w:eastAsia="zh-CN"/>
        </w:rPr>
        <w:t>增加费用）</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3、</w:t>
      </w:r>
      <w:r>
        <w:rPr>
          <w:rFonts w:hint="eastAsia" w:ascii="Times New Roman" w:hAnsi="Times New Roman" w:eastAsia="宋体" w:cs="Times New Roman"/>
          <w:color w:val="auto"/>
          <w:kern w:val="0"/>
          <w:szCs w:val="21"/>
          <w:highlight w:val="none"/>
          <w:lang w:eastAsia="zh-CN"/>
        </w:rPr>
        <w:t>辖</w:t>
      </w:r>
      <w:r>
        <w:rPr>
          <w:rFonts w:hint="default" w:ascii="Times New Roman" w:hAnsi="Times New Roman" w:eastAsia="宋体" w:cs="Times New Roman"/>
          <w:color w:val="auto"/>
          <w:kern w:val="0"/>
          <w:szCs w:val="21"/>
          <w:highlight w:val="none"/>
          <w:lang w:eastAsia="zh-CN"/>
        </w:rPr>
        <w:t>区内行政村</w:t>
      </w:r>
      <w:r>
        <w:rPr>
          <w:rFonts w:hint="eastAsia"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lang w:eastAsia="zh-CN"/>
        </w:rPr>
        <w:t>个（8980户）居民进行药物集中发放，并由</w:t>
      </w:r>
      <w:r>
        <w:rPr>
          <w:rFonts w:hint="eastAsia" w:ascii="Times New Roman" w:hAnsi="Times New Roman" w:eastAsia="宋体" w:cs="Times New Roman"/>
          <w:color w:val="auto"/>
          <w:kern w:val="0"/>
          <w:szCs w:val="21"/>
          <w:highlight w:val="none"/>
          <w:lang w:val="en-US" w:eastAsia="zh-CN"/>
        </w:rPr>
        <w:t>投标人</w:t>
      </w:r>
      <w:r>
        <w:rPr>
          <w:rFonts w:hint="default" w:ascii="Times New Roman" w:hAnsi="Times New Roman" w:eastAsia="宋体" w:cs="Times New Roman"/>
          <w:color w:val="auto"/>
          <w:kern w:val="0"/>
          <w:szCs w:val="21"/>
          <w:highlight w:val="none"/>
          <w:lang w:eastAsia="zh-CN"/>
        </w:rPr>
        <w:t>做好药物投放的指导工作。</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二</w:t>
      </w:r>
      <w:r>
        <w:rPr>
          <w:rFonts w:hint="default"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eastAsia="zh-CN"/>
        </w:rPr>
        <w:t>委托承包工作标准</w:t>
      </w:r>
      <w:r>
        <w:rPr>
          <w:rFonts w:hint="default" w:ascii="Times New Roman" w:hAnsi="Times New Roman" w:eastAsia="宋体" w:cs="Times New Roman"/>
          <w:color w:val="auto"/>
          <w:kern w:val="0"/>
          <w:szCs w:val="21"/>
          <w:highlight w:val="none"/>
          <w:lang w:eastAsia="zh-CN"/>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1.按照《国家卫生城市标准（2021版）》、全国爱卫会《病媒生物预防控制管理规定》、中华人民共和国国家标准《病媒生物综合管理技术规范城镇（GB/T27775-2011）》、《病媒生物密度监测方法》（GB/T23795）》、《病媒生物密度监测方法》（GB/T23796）》、《病媒生物密度监测方法》（GB/T23797）》、《病媒生物密度监测方法》（GB/T23798）》、《病媒生物密度控制水平（GB/T27770）》、《病媒生物密度控制水平（GB/T27771）》、《病媒</w:t>
      </w:r>
    </w:p>
    <w:p>
      <w:pPr>
        <w:widowControl/>
        <w:adjustRightInd w:val="0"/>
        <w:snapToGrid w:val="0"/>
        <w:spacing w:line="520" w:lineRule="exact"/>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生物密度控制水平（GB/T27772）》、《病媒生物密度控制水平（GB/T27773）》等标准规范要求。</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2.</w:t>
      </w:r>
      <w:r>
        <w:rPr>
          <w:rFonts w:hint="eastAsia" w:ascii="Times New Roman" w:hAnsi="Times New Roman" w:eastAsia="宋体"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3.</w:t>
      </w:r>
      <w:r>
        <w:rPr>
          <w:rFonts w:hint="eastAsia" w:ascii="Times New Roman" w:hAnsi="Times New Roman" w:eastAsia="宋体" w:cs="Times New Roman"/>
          <w:color w:val="auto"/>
          <w:kern w:val="0"/>
          <w:szCs w:val="21"/>
          <w:highlight w:val="none"/>
          <w:lang w:eastAsia="zh-CN"/>
        </w:rPr>
        <w:t>蚊蝇密度达到国家标准</w:t>
      </w:r>
      <w:r>
        <w:rPr>
          <w:rFonts w:hint="eastAsia" w:ascii="Times New Roman" w:hAnsi="Times New Roman" w:eastAsia="宋体" w:cs="Times New Roman"/>
          <w:color w:val="auto"/>
          <w:kern w:val="0"/>
          <w:szCs w:val="21"/>
          <w:highlight w:val="none"/>
          <w:lang w:val="en-US" w:eastAsia="zh-CN"/>
        </w:rPr>
        <w:t>3倍以内</w:t>
      </w:r>
      <w:r>
        <w:rPr>
          <w:rFonts w:hint="default" w:ascii="Times New Roman" w:hAnsi="Times New Roman" w:eastAsia="宋体" w:cs="Times New Roman"/>
          <w:color w:val="auto"/>
          <w:kern w:val="0"/>
          <w:szCs w:val="21"/>
          <w:highlight w:val="none"/>
          <w:lang w:eastAsia="zh-CN"/>
        </w:rPr>
        <w:t>。</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4.</w:t>
      </w:r>
      <w:r>
        <w:rPr>
          <w:rFonts w:hint="eastAsia" w:ascii="Times New Roman" w:hAnsi="Times New Roman" w:eastAsia="宋体" w:cs="Times New Roman"/>
          <w:color w:val="auto"/>
          <w:kern w:val="0"/>
          <w:szCs w:val="21"/>
          <w:highlight w:val="none"/>
          <w:lang w:eastAsia="zh-CN"/>
        </w:rPr>
        <w:t>药物发放标准（辖区内约</w:t>
      </w:r>
      <w:r>
        <w:rPr>
          <w:rFonts w:hint="eastAsia" w:ascii="Times New Roman" w:hAnsi="Times New Roman" w:eastAsia="宋体" w:cs="Times New Roman"/>
          <w:color w:val="auto"/>
          <w:kern w:val="0"/>
          <w:szCs w:val="21"/>
          <w:highlight w:val="none"/>
          <w:lang w:val="en-US" w:eastAsia="zh-CN"/>
        </w:rPr>
        <w:t>8980户</w:t>
      </w:r>
      <w:r>
        <w:rPr>
          <w:rFonts w:hint="eastAsia" w:ascii="Times New Roman" w:hAnsi="Times New Roman" w:eastAsia="宋体" w:cs="Times New Roman"/>
          <w:color w:val="auto"/>
          <w:kern w:val="0"/>
          <w:szCs w:val="21"/>
          <w:highlight w:val="none"/>
          <w:lang w:eastAsia="zh-CN"/>
        </w:rPr>
        <w:t>）灭鼠药：需要</w:t>
      </w:r>
      <w:r>
        <w:rPr>
          <w:rFonts w:hint="eastAsia" w:ascii="Times New Roman" w:hAnsi="Times New Roman" w:eastAsia="宋体"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eastAsia="宋体" w:cs="Times New Roman"/>
          <w:color w:val="auto"/>
          <w:kern w:val="0"/>
          <w:szCs w:val="21"/>
          <w:highlight w:val="none"/>
          <w:lang w:eastAsia="zh-CN"/>
        </w:rPr>
        <w:t>。</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lang w:eastAsia="zh-CN"/>
        </w:rPr>
        <w:t>消杀效果评估：根据《国家卫生城市标准（2021版）》，《关于病媒生物预防控制效果现场评估的指导意见》浙爱卫（2014）4号文件及玉环爱卫办指定的督查考核办法等相关规定。</w:t>
      </w:r>
    </w:p>
    <w:p>
      <w:pPr>
        <w:widowControl/>
        <w:adjustRightInd w:val="0"/>
        <w:snapToGrid w:val="0"/>
        <w:spacing w:line="38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三</w:t>
      </w:r>
      <w:r>
        <w:rPr>
          <w:rFonts w:hint="default" w:ascii="Times New Roman" w:hAnsi="Times New Roman" w:eastAsia="宋体" w:cs="Times New Roman"/>
          <w:color w:val="auto"/>
          <w:kern w:val="0"/>
          <w:szCs w:val="21"/>
          <w:highlight w:val="none"/>
        </w:rPr>
        <w:t>、服务期限：</w:t>
      </w:r>
      <w:r>
        <w:rPr>
          <w:rFonts w:hint="eastAsia" w:ascii="Times New Roman" w:hAnsi="Times New Roman" w:eastAsia="宋体" w:cs="Times New Roman"/>
          <w:color w:val="auto"/>
          <w:kern w:val="0"/>
          <w:szCs w:val="21"/>
          <w:highlight w:val="none"/>
          <w:lang w:val="en-US" w:eastAsia="zh-CN"/>
        </w:rPr>
        <w:t>至202</w:t>
      </w:r>
      <w:r>
        <w:rPr>
          <w:rFonts w:hint="eastAsia" w:ascii="Times New Roman" w:hAnsi="Times New Roman"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val="en-US" w:eastAsia="zh-CN"/>
        </w:rPr>
        <w:t>年12月31日为止</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四</w:t>
      </w:r>
      <w:r>
        <w:rPr>
          <w:rFonts w:hint="default" w:ascii="Times New Roman" w:hAnsi="Times New Roman" w:eastAsia="宋体"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服务承包费总计</w:t>
      </w:r>
      <w:r>
        <w:rPr>
          <w:rFonts w:hint="eastAsia" w:ascii="Times New Roman" w:hAnsi="Times New Roman" w:eastAsia="宋体" w:cs="Times New Roman"/>
          <w:color w:val="auto"/>
          <w:kern w:val="0"/>
          <w:szCs w:val="21"/>
          <w:highlight w:val="none"/>
          <w:lang w:eastAsia="zh-CN"/>
        </w:rPr>
        <w:t>人民币</w:t>
      </w:r>
      <w:r>
        <w:rPr>
          <w:rFonts w:hint="eastAsia" w:ascii="Times New Roman" w:hAnsi="Times New Roman" w:eastAsia="宋体" w:cs="Times New Roman"/>
          <w:color w:val="auto"/>
          <w:kern w:val="0"/>
          <w:szCs w:val="21"/>
          <w:highlight w:val="none"/>
          <w:u w:val="single"/>
          <w:lang w:val="en-US" w:eastAsia="zh-CN"/>
        </w:rPr>
        <w:t xml:space="preserve">            元 </w:t>
      </w:r>
      <w:r>
        <w:rPr>
          <w:rFonts w:hint="eastAsia" w:ascii="Times New Roman" w:hAnsi="Times New Roman" w:eastAsia="宋体" w:cs="Times New Roman"/>
          <w:color w:val="auto"/>
          <w:kern w:val="0"/>
          <w:szCs w:val="21"/>
          <w:highlight w:val="none"/>
          <w:u w:val="none"/>
          <w:lang w:val="en-US" w:eastAsia="zh-CN"/>
        </w:rPr>
        <w:t>（￥          元，含税）包括药物、器械等材料费、检测费、人工费、运输费等一切费用</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eastAsia="zh-CN"/>
        </w:rPr>
        <w:t>付款方式：按季度支付，每季应支付的费用=合同金额/4，经甲方考核验收合格后，在本月支付上季度费用，工程全部工作完成后经甲方验收合格后，支付末季费用，乙方须开具正式发票，甲方在收到正式发票后一个星期内支付</w:t>
      </w:r>
      <w:r>
        <w:rPr>
          <w:rFonts w:hint="eastAsia" w:ascii="Times New Roman" w:hAnsi="Times New Roman" w:eastAsia="宋体" w:cs="Times New Roman"/>
          <w:color w:val="auto"/>
          <w:kern w:val="0"/>
          <w:szCs w:val="21"/>
          <w:highlight w:val="none"/>
          <w:lang w:val="en-US" w:eastAsia="zh-CN"/>
        </w:rPr>
        <w:t>，并同时退还履约担保金额</w:t>
      </w:r>
      <w:r>
        <w:rPr>
          <w:rFonts w:hint="eastAsia" w:ascii="Times New Roman" w:hAnsi="Times New Roman" w:eastAsia="宋体" w:cs="Times New Roman"/>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lang w:val="en-US" w:eastAsia="zh-CN"/>
        </w:rPr>
        <w:t>元</w:t>
      </w:r>
      <w:r>
        <w:rPr>
          <w:rFonts w:hint="eastAsia" w:ascii="Times New Roman" w:hAnsi="Times New Roman" w:cs="Times New Roman"/>
          <w:color w:val="auto"/>
          <w:kern w:val="0"/>
          <w:szCs w:val="21"/>
          <w:highlight w:val="none"/>
          <w:lang w:val="en-US" w:eastAsia="zh-CN"/>
        </w:rPr>
        <w:t>。</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eastAsia="zh-CN"/>
        </w:rPr>
        <w:t>服务期内</w:t>
      </w:r>
      <w:r>
        <w:rPr>
          <w:rFonts w:hint="default" w:ascii="Times New Roman" w:hAnsi="Times New Roman" w:eastAsia="宋体" w:cs="Times New Roman"/>
          <w:color w:val="auto"/>
          <w:kern w:val="0"/>
          <w:szCs w:val="21"/>
          <w:highlight w:val="none"/>
          <w:lang w:eastAsia="zh-CN"/>
        </w:rPr>
        <w:t>全年共消18次</w:t>
      </w:r>
      <w:r>
        <w:rPr>
          <w:rFonts w:hint="eastAsia" w:ascii="Times New Roman" w:hAnsi="Times New Roman" w:eastAsia="宋体" w:cs="Times New Roman"/>
          <w:color w:val="auto"/>
          <w:kern w:val="0"/>
          <w:szCs w:val="21"/>
          <w:highlight w:val="none"/>
          <w:lang w:eastAsia="zh-CN"/>
        </w:rPr>
        <w:t>，若未通过甲方考核的，合同价款扣除服务承包费</w:t>
      </w:r>
      <w:r>
        <w:rPr>
          <w:rFonts w:hint="eastAsia" w:ascii="Times New Roman" w:hAnsi="Times New Roman" w:eastAsia="宋体"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eastAsia="zh-CN"/>
        </w:rPr>
        <w:t>本项目履约保证金为</w:t>
      </w:r>
      <w:r>
        <w:rPr>
          <w:rFonts w:hint="eastAsia" w:ascii="Times New Roman" w:hAnsi="Times New Roman" w:eastAsia="宋体" w:cs="Times New Roman"/>
          <w:color w:val="auto"/>
          <w:kern w:val="0"/>
          <w:szCs w:val="21"/>
          <w:highlight w:val="none"/>
          <w:u w:val="single"/>
          <w:lang w:val="en-US" w:eastAsia="zh-CN"/>
        </w:rPr>
        <w:t xml:space="preserve">           </w:t>
      </w:r>
      <w:r>
        <w:rPr>
          <w:rFonts w:hint="default" w:ascii="Times New Roman" w:hAnsi="Times New Roman" w:eastAsia="宋体" w:cs="Times New Roman"/>
          <w:color w:val="auto"/>
          <w:kern w:val="0"/>
          <w:szCs w:val="21"/>
          <w:highlight w:val="none"/>
          <w:lang w:eastAsia="zh-CN"/>
        </w:rPr>
        <w:t>元，乙方须在合同签订之前交纳本项目履约保证金。</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五、甲方</w:t>
      </w:r>
      <w:r>
        <w:rPr>
          <w:rFonts w:hint="eastAsia" w:ascii="Times New Roman" w:hAnsi="Times New Roman" w:eastAsia="宋体"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lang w:eastAsia="zh-CN"/>
        </w:rPr>
        <w:t>组织开展警察的除四害宣传教育工作，组织辖区内单位和居民开展病媒生物防制活动，消除四害滋生地</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六</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eastAsia="zh-CN"/>
        </w:rPr>
        <w:t>乙</w:t>
      </w:r>
      <w:r>
        <w:rPr>
          <w:rFonts w:hint="default" w:ascii="Times New Roman" w:hAnsi="Times New Roman" w:eastAsia="宋体" w:cs="Times New Roman"/>
          <w:color w:val="auto"/>
          <w:kern w:val="0"/>
          <w:szCs w:val="21"/>
          <w:highlight w:val="none"/>
        </w:rPr>
        <w:t>方</w:t>
      </w:r>
      <w:r>
        <w:rPr>
          <w:rFonts w:hint="eastAsia" w:ascii="Times New Roman" w:hAnsi="Times New Roman" w:eastAsia="宋体"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要求在协议期内，“病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2．药物与器械采购、运输、投放、操作等及人工的使用均由乙方具体负责</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5、确保在202</w:t>
      </w:r>
      <w:r>
        <w:rPr>
          <w:rFonts w:hint="eastAsia" w:ascii="Times New Roman" w:hAnsi="Times New Roman"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val="en-US" w:eastAsia="zh-CN"/>
        </w:rPr>
        <w:t>年度内，沙门镇通过国家级卫生城镇评审规定的考核标准。鼠、蚊、蝇、蟑螂等病媒生物得到有效控制。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七、违约责任</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1、乙方必须随时接受甲方以及其他相关部门的监督、检查和指导，必须无条件、无报酬服从甲方组织全民清洁活动、爱卫活动、卫生检查，节假日、台风、水灾、疫情和突发性事件等突击任务，建立突击应急方案，如接受县级迎检活动中由于乙方工作不到位造成迎检项目不合格，扣减5%的承包费，连续二次迎检因工作不到位造成迎检项目不合格，甲方有权单方面终止合同而无需支付服务费用给乙方，并对乙方处承包价20%违约金。</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2、由于不可抗力（如台风、暴雨导致内涝，发生疫情等）的原因需要乙方即时消杀、消毒作业的，乙方应在接到甲方通知后半小时内组织人员到达现场进行消杀，涉及到的相关费用按实结算，未按要求及时完成消杀消毒作业的，扣减总承包费的10%。</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3、合同期内，乙方必须根据承包合同中的各项条款履行各项职责，如发现乙方组织措施不当、计划不落实、管理不严而造成除“四害”质量达不到规定标准的，情况严重的，甲方有权单方面终止合同。</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4、乙方必须落实安全生产和防中毒措施，加强对员工的安全意识教育。乙方必须认真负责并注意安全操作，如发生任何意外，乙方负责事故的全部责任和所有费用。</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5、乙方应严格遵守国家法律、法规的规定，做好社会综合治理和计划生育工作，不得违反国家法律、法规的规定。如乙方员工有任何违法乱纪行为，乙方承担一切法律责任和经济责任。</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6、乙方必须随时随地接受广大市民的监督，若受市民投诉，经调查认定情况属实的，视情节轻重予以罚款；造成恶劣影响的，采购人有权单方面终止合同而无须赔偿乙方。</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7、由采购人对乙方所承包的各项工作进行定期和不定期检查、监督，凡达不到标准要求的，发整改通知书，扣减承包费，具体标准比例如下：</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（1）在迎检中未达到考核要求（合格标准）的，则扣除总中标价的20%。</w:t>
      </w:r>
    </w:p>
    <w:p>
      <w:pPr>
        <w:widowControl/>
        <w:numPr>
          <w:ilvl w:val="0"/>
          <w:numId w:val="0"/>
        </w:numPr>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八、其他</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2．其他未尽事宜，经由双方另行共同协商</w:t>
      </w:r>
      <w:r>
        <w:rPr>
          <w:rFonts w:hint="default" w:ascii="Times New Roman" w:hAnsi="Times New Roman" w:eastAsia="宋体"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eastAsia="zh-CN"/>
        </w:rPr>
        <w:t>本协议书一式陆份，甲执贰份，乙方叁份，招标代理机构壹份</w:t>
      </w:r>
      <w:r>
        <w:rPr>
          <w:rFonts w:hint="default" w:ascii="Times New Roman" w:hAnsi="Times New Roman" w:eastAsia="宋体" w:cs="Times New Roman"/>
          <w:color w:val="auto"/>
          <w:kern w:val="0"/>
          <w:szCs w:val="21"/>
          <w:highlight w:val="none"/>
        </w:rPr>
        <w:t>。</w:t>
      </w:r>
    </w:p>
    <w:p>
      <w:pPr>
        <w:widowControl w:val="0"/>
        <w:numPr>
          <w:ilvl w:val="0"/>
          <w:numId w:val="0"/>
        </w:numPr>
        <w:tabs>
          <w:tab w:val="left" w:pos="574"/>
        </w:tabs>
        <w:spacing w:line="288" w:lineRule="auto"/>
        <w:jc w:val="both"/>
        <w:rPr>
          <w:rFonts w:hint="eastAsia" w:ascii="宋体" w:hAnsi="宋体" w:eastAsia="宋体" w:cs="Times New Roman"/>
          <w:color w:val="auto"/>
          <w:kern w:val="2"/>
          <w:sz w:val="21"/>
          <w:szCs w:val="20"/>
          <w:highlight w:val="none"/>
          <w:lang w:val="en-US" w:eastAsia="zh-CN" w:bidi="ar-SA"/>
        </w:rPr>
      </w:pPr>
    </w:p>
    <w:p>
      <w:pPr>
        <w:widowControl/>
        <w:adjustRightInd w:val="0"/>
        <w:snapToGrid w:val="0"/>
        <w:spacing w:line="520" w:lineRule="exact"/>
        <w:ind w:firstLine="420" w:firstLineChars="200"/>
        <w:jc w:val="left"/>
        <w:rPr>
          <w:rFonts w:hint="default" w:ascii="Times New Roman" w:hAnsi="Times New Roman" w:eastAsia="宋体" w:cs="Times New Roman"/>
          <w:color w:val="auto"/>
          <w:kern w:val="0"/>
          <w:szCs w:val="21"/>
          <w:highlight w:val="none"/>
        </w:rPr>
      </w:pPr>
    </w:p>
    <w:p>
      <w:pPr>
        <w:widowControl w:val="0"/>
        <w:tabs>
          <w:tab w:val="left" w:pos="574"/>
        </w:tabs>
        <w:spacing w:line="288" w:lineRule="auto"/>
        <w:jc w:val="both"/>
        <w:rPr>
          <w:rFonts w:hint="default" w:ascii="Times New Roman" w:hAnsi="Times New Roman" w:eastAsia="宋体" w:cs="Times New Roman"/>
          <w:color w:val="auto"/>
          <w:kern w:val="0"/>
          <w:sz w:val="21"/>
          <w:szCs w:val="21"/>
          <w:highlight w:val="none"/>
          <w:lang w:val="en-US" w:eastAsia="zh-CN" w:bidi="ar-SA"/>
        </w:rPr>
      </w:pPr>
    </w:p>
    <w:p>
      <w:pPr>
        <w:tabs>
          <w:tab w:val="center" w:pos="4153"/>
        </w:tabs>
        <w:spacing w:line="700" w:lineRule="exact"/>
        <w:ind w:firstLine="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甲方单位（盖章）：</w:t>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法人代表（签字）：</w:t>
      </w:r>
      <w:r>
        <w:rPr>
          <w:rFonts w:hint="default" w:ascii="Times New Roman" w:hAnsi="Times New Roman" w:eastAsia="宋体" w:cs="Times New Roman"/>
          <w:bCs/>
          <w:color w:val="auto"/>
          <w:kern w:val="0"/>
          <w:szCs w:val="21"/>
          <w:highlight w:val="none"/>
        </w:rPr>
        <w:tab/>
      </w:r>
      <w:r>
        <w:rPr>
          <w:rFonts w:hint="default" w:ascii="Times New Roman" w:hAnsi="Times New Roman" w:eastAsia="宋体"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宋体" w:cs="Times New Roman"/>
          <w:bCs/>
          <w:color w:val="auto"/>
          <w:kern w:val="0"/>
          <w:szCs w:val="21"/>
          <w:highlight w:val="none"/>
        </w:rPr>
        <w:t>日    期：</w:t>
      </w:r>
      <w:r>
        <w:rPr>
          <w:rFonts w:hint="default" w:ascii="Times New Roman" w:hAnsi="Times New Roman" w:eastAsia="宋体" w:cs="Times New Roman"/>
          <w:bCs/>
          <w:color w:val="auto"/>
          <w:kern w:val="0"/>
          <w:szCs w:val="21"/>
          <w:highlight w:val="none"/>
        </w:rPr>
        <w:tab/>
      </w:r>
      <w:r>
        <w:rPr>
          <w:rFonts w:hint="default" w:ascii="Times New Roman" w:hAnsi="Times New Roman" w:eastAsia="宋体" w:cs="Times New Roman"/>
          <w:bCs/>
          <w:color w:val="auto"/>
          <w:kern w:val="0"/>
          <w:szCs w:val="21"/>
          <w:highlight w:val="none"/>
        </w:rPr>
        <w:t xml:space="preserve">               </w:t>
      </w:r>
      <w:r>
        <w:rPr>
          <w:rFonts w:hint="default" w:ascii="Times New Roman" w:hAnsi="Times New Roman" w:eastAsia="宋体" w:cs="Times New Roman"/>
          <w:bCs/>
          <w:color w:val="auto"/>
          <w:kern w:val="0"/>
          <w:szCs w:val="21"/>
          <w:highlight w:val="none"/>
          <w:lang w:val="en-US" w:eastAsia="zh-CN"/>
        </w:rPr>
        <w:t xml:space="preserve">        </w:t>
      </w:r>
      <w:r>
        <w:rPr>
          <w:rFonts w:hint="default" w:ascii="Times New Roman" w:hAnsi="Times New Roman" w:eastAsia="宋体"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2024 年沙门镇病媒生物防治项目</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沙门镇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玉环市沙门镇人民政府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63027431"/>
      <w:bookmarkStart w:id="350" w:name="_Toc106012814"/>
      <w:bookmarkStart w:id="351" w:name="_Toc288213723"/>
      <w:bookmarkStart w:id="352" w:name="_Toc184620115"/>
      <w:r>
        <w:rPr>
          <w:rFonts w:hint="default" w:ascii="Times New Roman" w:hAnsi="Times New Roman" w:cs="Times New Roman"/>
          <w:b/>
          <w:bCs/>
          <w:color w:val="auto"/>
          <w:sz w:val="28"/>
          <w:szCs w:val="28"/>
          <w:highlight w:val="none"/>
        </w:rPr>
        <w:br w:type="page"/>
      </w:r>
      <w:bookmarkStart w:id="353" w:name="_Toc427131743"/>
      <w:bookmarkStart w:id="354" w:name="_Toc427133006"/>
    </w:p>
    <w:p>
      <w:pPr>
        <w:pStyle w:val="3"/>
        <w:numPr>
          <w:ilvl w:val="0"/>
          <w:numId w:val="0"/>
        </w:numPr>
        <w:spacing w:line="288" w:lineRule="auto"/>
        <w:jc w:val="center"/>
        <w:rPr>
          <w:rFonts w:hint="default" w:ascii="Times New Roman" w:hAnsi="Times New Roman" w:cs="Times New Roman"/>
          <w:color w:val="auto"/>
          <w:highlight w:val="none"/>
        </w:rPr>
      </w:pPr>
      <w:bookmarkStart w:id="355" w:name="_Toc25592_WPSOffice_Level1"/>
      <w:bookmarkStart w:id="356" w:name="_Toc14837"/>
      <w:bookmarkStart w:id="357" w:name="_Toc21104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169487824"/>
      <w:bookmarkStart w:id="359" w:name="_Toc364328387"/>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eastAsia="宋体"/>
          <w:color w:val="auto"/>
          <w:szCs w:val="21"/>
          <w:highlight w:val="none"/>
          <w:lang w:eastAsia="zh-CN"/>
        </w:rPr>
      </w:pPr>
      <w:bookmarkStart w:id="360" w:name="_Toc13178_WPSOffice_Level1"/>
      <w:bookmarkStart w:id="361" w:name="_Toc12343"/>
      <w:bookmarkStart w:id="362" w:name="_Toc26708_WPSOffice_Level1"/>
      <w:r>
        <w:rPr>
          <w:rFonts w:hint="eastAsia" w:cs="Arial"/>
          <w:color w:val="auto"/>
          <w:sz w:val="32"/>
          <w:szCs w:val="32"/>
          <w:highlight w:val="none"/>
          <w:u w:val="single"/>
          <w:lang w:eastAsia="zh-CN"/>
        </w:rPr>
        <w:t>2024 年沙门镇病媒生物防治项目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2024 年沙门镇病媒生物防治项目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玉环市沙门镇人民政府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2024 年沙门镇病媒生物防治项目</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184620118"/>
      <w:bookmarkStart w:id="364" w:name="_Toc163027432"/>
      <w:bookmarkStart w:id="365" w:name="_Toc243708873"/>
      <w:bookmarkStart w:id="366" w:name="_Toc288213725"/>
      <w:bookmarkStart w:id="367" w:name="_Toc243713932"/>
      <w:bookmarkStart w:id="368" w:name="_Toc243713933"/>
      <w:bookmarkStart w:id="369" w:name="_Toc184620117"/>
      <w:bookmarkStart w:id="370" w:name="_Toc427131744"/>
      <w:bookmarkStart w:id="371" w:name="_Toc427133007"/>
      <w:bookmarkStart w:id="372" w:name="_Toc268120606"/>
      <w:bookmarkStart w:id="373" w:name="_Toc243707032"/>
      <w:bookmarkStart w:id="374" w:name="_Toc331149331"/>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cs="Times New Roman"/>
          <w:b/>
          <w:bCs/>
          <w:color w:val="auto"/>
          <w:sz w:val="28"/>
          <w:szCs w:val="28"/>
          <w:highlight w:val="none"/>
          <w:lang w:eastAsia="zh-CN"/>
        </w:rPr>
      </w:pPr>
    </w:p>
    <w:p>
      <w:pPr>
        <w:pStyle w:val="36"/>
        <w:spacing w:before="0" w:after="0" w:line="240" w:lineRule="exact"/>
        <w:jc w:val="both"/>
        <w:rPr>
          <w:rFonts w:hint="default" w:ascii="Times New Roman" w:hAnsi="Times New Roman" w:cs="Times New Roman"/>
          <w:b w:val="0"/>
          <w:bCs w:val="0"/>
          <w:color w:val="auto"/>
          <w:sz w:val="21"/>
          <w:szCs w:val="21"/>
          <w:highlight w:val="none"/>
        </w:rPr>
      </w:pPr>
    </w:p>
    <w:tbl>
      <w:tblPr>
        <w:tblStyle w:val="38"/>
        <w:tblpPr w:leftFromText="180" w:rightFromText="180" w:vertAnchor="text" w:horzAnchor="page" w:tblpX="1165" w:tblpY="232"/>
        <w:tblOverlap w:val="never"/>
        <w:tblW w:w="146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725"/>
        <w:gridCol w:w="1965"/>
        <w:gridCol w:w="1410"/>
        <w:gridCol w:w="1110"/>
        <w:gridCol w:w="1170"/>
        <w:gridCol w:w="1230"/>
        <w:gridCol w:w="3930"/>
        <w:gridCol w:w="1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序号</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w:t>
            </w:r>
          </w:p>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内容</w:t>
            </w:r>
          </w:p>
        </w:tc>
        <w:tc>
          <w:tcPr>
            <w:tcW w:w="1965"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采购内容</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型号及规格</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数量</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单价</w:t>
            </w: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金额（元）</w:t>
            </w:r>
          </w:p>
        </w:tc>
        <w:tc>
          <w:tcPr>
            <w:tcW w:w="3930"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说</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明</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1725" w:type="dxa"/>
            <w:vMerge w:val="restart"/>
            <w:tcBorders>
              <w:top w:val="single" w:color="auto" w:sz="6" w:space="0"/>
              <w:left w:val="single" w:color="auto" w:sz="6" w:space="0"/>
              <w:right w:val="single" w:color="auto" w:sz="6" w:space="0"/>
            </w:tcBorders>
            <w:noWrap/>
            <w:vAlign w:val="center"/>
          </w:tcPr>
          <w:p>
            <w:pPr>
              <w:spacing w:line="240" w:lineRule="exact"/>
              <w:ind w:right="42" w:rightChars="20"/>
              <w:rPr>
                <w:rFonts w:ascii="Times New Roman" w:hAnsi="Times New Roman" w:eastAsia="宋体" w:cs="Times New Roman"/>
                <w:color w:val="auto"/>
                <w:szCs w:val="21"/>
              </w:rPr>
            </w:pPr>
            <w:r>
              <w:rPr>
                <w:rFonts w:hint="eastAsia" w:ascii="Times New Roman" w:hAnsi="Times New Roman" w:eastAsia="宋体" w:cs="Times New Roman"/>
                <w:color w:val="auto"/>
                <w:szCs w:val="21"/>
              </w:rPr>
              <w:t>外环境灭鼠药投放，居民住户、重点单位重点场所、有关沿街十小单位鼠药、蟑螂药发放，建城区内灭鼠毒饵站安装</w:t>
            </w:r>
          </w:p>
        </w:tc>
        <w:tc>
          <w:tcPr>
            <w:tcW w:w="1965"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0.005%溴鼠灵饵剂</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颗粒剂100克/包</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4.6</w:t>
            </w:r>
            <w:r>
              <w:rPr>
                <w:rFonts w:ascii="Times New Roman" w:hAnsi="Times New Roman" w:eastAsia="宋体" w:cs="Times New Roman"/>
                <w:color w:val="auto"/>
                <w:szCs w:val="21"/>
              </w:rPr>
              <w:t>吨</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第二代抗凝血超高效杀鼠剂，适口性好，用量少，杀鼠速度适宜，适口性良好，防霉防腐蚀，有特效解毒剂维生素K1</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外环境投药、</w:t>
            </w:r>
            <w:r>
              <w:rPr>
                <w:rFonts w:hint="eastAsia" w:ascii="Times New Roman" w:hAnsi="Times New Roman" w:eastAsia="宋体" w:cs="Times New Roman"/>
                <w:color w:val="auto"/>
                <w:szCs w:val="21"/>
              </w:rPr>
              <w:t>居民户春秋季两季发药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5"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1725" w:type="dxa"/>
            <w:vMerge w:val="continue"/>
            <w:tcBorders>
              <w:left w:val="single" w:color="auto" w:sz="6" w:space="0"/>
              <w:right w:val="single" w:color="auto" w:sz="6" w:space="0"/>
            </w:tcBorders>
            <w:noWrap/>
            <w:vAlign w:val="center"/>
          </w:tcPr>
          <w:p>
            <w:pPr>
              <w:spacing w:line="240" w:lineRule="exact"/>
              <w:ind w:right="42" w:rightChars="20"/>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1.5%残杀威杀蟑饵剂</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颗粒剂10克/包</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80</w:t>
            </w:r>
            <w:r>
              <w:rPr>
                <w:rFonts w:hint="eastAsia" w:ascii="Times New Roman" w:hAnsi="Times New Roman" w:eastAsia="宋体" w:cs="Times New Roman"/>
                <w:color w:val="auto"/>
                <w:szCs w:val="21"/>
              </w:rPr>
              <w:t>00</w:t>
            </w:r>
            <w:r>
              <w:rPr>
                <w:rFonts w:ascii="Times New Roman" w:hAnsi="Times New Roman" w:eastAsia="宋体" w:cs="Times New Roman"/>
                <w:color w:val="auto"/>
                <w:szCs w:val="21"/>
              </w:rPr>
              <w:t>包</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灭效高，经济、方便的灭蟑毒饵</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rPr>
              <w:t>000</w:t>
            </w:r>
            <w:r>
              <w:rPr>
                <w:rFonts w:ascii="Times New Roman" w:hAnsi="Times New Roman" w:eastAsia="宋体" w:cs="Times New Roman"/>
                <w:color w:val="auto"/>
                <w:szCs w:val="21"/>
              </w:rPr>
              <w:t>户药物发放</w:t>
            </w:r>
            <w:r>
              <w:rPr>
                <w:rFonts w:hint="eastAsia" w:ascii="Times New Roman" w:hAnsi="Times New Roman" w:eastAsia="宋体" w:cs="Times New Roman"/>
                <w:color w:val="auto"/>
                <w:szCs w:val="21"/>
              </w:rPr>
              <w:t>，每户2包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1725" w:type="dxa"/>
            <w:vMerge w:val="continue"/>
            <w:tcBorders>
              <w:left w:val="single" w:color="auto" w:sz="6" w:space="0"/>
              <w:right w:val="single" w:color="auto" w:sz="6" w:space="0"/>
            </w:tcBorders>
            <w:noWrap/>
            <w:vAlign w:val="center"/>
          </w:tcPr>
          <w:p>
            <w:pPr>
              <w:spacing w:line="240" w:lineRule="exact"/>
              <w:ind w:right="42" w:rightChars="20"/>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陶瓷毒鼠站</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300*115*110mm</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1000</w:t>
            </w:r>
            <w:r>
              <w:rPr>
                <w:rFonts w:ascii="Times New Roman" w:hAnsi="Times New Roman" w:eastAsia="宋体" w:cs="Times New Roman"/>
                <w:color w:val="auto"/>
                <w:szCs w:val="21"/>
              </w:rPr>
              <w:t>只</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侧面直角扇形，用于重点单位、外环境安装</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包括安装与维护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3" w:hRule="atLeast"/>
        </w:trPr>
        <w:tc>
          <w:tcPr>
            <w:tcW w:w="771" w:type="dxa"/>
            <w:tcBorders>
              <w:top w:val="single" w:color="auto" w:sz="6" w:space="0"/>
              <w:left w:val="single" w:color="auto" w:sz="6" w:space="0"/>
              <w:bottom w:val="single" w:color="auto" w:sz="4"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1725" w:type="dxa"/>
            <w:vMerge w:val="continue"/>
            <w:tcBorders>
              <w:left w:val="single" w:color="auto" w:sz="6" w:space="0"/>
              <w:right w:val="single" w:color="auto" w:sz="6" w:space="0"/>
            </w:tcBorders>
            <w:noWrap/>
            <w:vAlign w:val="center"/>
          </w:tcPr>
          <w:p>
            <w:pPr>
              <w:spacing w:line="240" w:lineRule="exact"/>
              <w:ind w:right="42" w:rightChars="20"/>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0.005%溴鼠灵</w:t>
            </w:r>
            <w:r>
              <w:rPr>
                <w:rFonts w:hint="eastAsia" w:ascii="Times New Roman" w:hAnsi="Times New Roman" w:eastAsia="宋体" w:cs="Times New Roman"/>
                <w:color w:val="auto"/>
                <w:szCs w:val="21"/>
              </w:rPr>
              <w:t>饵剂</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蜡丸、蜡块500克/袋</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吨</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both"/>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有效成分抗凝血杀鼠剂溴鼠灵含量0.005%，适口性良好，防霉防虫，浸泡水中8小时不分解，颗粒结实不松散</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1725" w:type="dxa"/>
            <w:vMerge w:val="restart"/>
            <w:tcBorders>
              <w:top w:val="single" w:color="auto" w:sz="4" w:space="0"/>
              <w:left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外环境、</w:t>
            </w:r>
            <w:r>
              <w:rPr>
                <w:rFonts w:ascii="Times New Roman" w:hAnsi="Times New Roman" w:eastAsia="宋体" w:cs="Times New Roman"/>
                <w:color w:val="auto"/>
                <w:szCs w:val="21"/>
              </w:rPr>
              <w:t>下水道热烟雾灭蟑</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灭蚊、蝇消杀</w:t>
            </w:r>
          </w:p>
        </w:tc>
        <w:tc>
          <w:tcPr>
            <w:tcW w:w="1965" w:type="dxa"/>
            <w:tcBorders>
              <w:top w:val="single" w:color="auto" w:sz="6" w:space="0"/>
              <w:left w:val="single" w:color="auto" w:sz="6" w:space="0"/>
              <w:bottom w:val="single" w:color="auto" w:sz="6" w:space="0"/>
              <w:right w:val="single" w:color="auto" w:sz="6"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color w:val="auto"/>
                <w:szCs w:val="21"/>
                <w:lang w:val="en-US" w:eastAsia="zh-CN"/>
              </w:rPr>
            </w:pPr>
            <w:r>
              <w:rPr>
                <w:rStyle w:val="98"/>
                <w:color w:val="auto"/>
                <w:lang w:val="en-US" w:eastAsia="zh-CN" w:bidi="ar"/>
              </w:rPr>
              <w:t>104</w:t>
            </w:r>
            <w:r>
              <w:rPr>
                <w:rStyle w:val="99"/>
                <w:color w:val="auto"/>
                <w:lang w:val="en-US" w:eastAsia="zh-CN" w:bidi="ar"/>
              </w:rPr>
              <w:t xml:space="preserve">克/升氯菊·S-生物稀炳菊酯 </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水乳剂</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120</w:t>
            </w:r>
            <w:r>
              <w:rPr>
                <w:rFonts w:ascii="Times New Roman" w:hAnsi="Times New Roman" w:eastAsia="宋体" w:cs="Times New Roman"/>
                <w:color w:val="auto"/>
                <w:szCs w:val="21"/>
              </w:rPr>
              <w:t>公斤</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用于灭蚊。</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c>
          <w:tcPr>
            <w:tcW w:w="1725" w:type="dxa"/>
            <w:vMerge w:val="continue"/>
            <w:tcBorders>
              <w:top w:val="single" w:color="auto" w:sz="4" w:space="0"/>
              <w:left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color w:val="auto"/>
                <w:szCs w:val="21"/>
                <w:lang w:eastAsia="zh-CN"/>
              </w:rPr>
            </w:pPr>
            <w:r>
              <w:rPr>
                <w:rStyle w:val="98"/>
                <w:color w:val="auto"/>
                <w:lang w:val="en-US" w:eastAsia="zh-CN" w:bidi="ar"/>
              </w:rPr>
              <w:t>7%</w:t>
            </w:r>
            <w:r>
              <w:rPr>
                <w:rStyle w:val="99"/>
                <w:color w:val="auto"/>
                <w:lang w:val="en-US" w:eastAsia="zh-CN" w:bidi="ar"/>
              </w:rPr>
              <w:t xml:space="preserve">高效氯氰菊酯·甲基嘧啶磷 </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水乳剂</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120</w:t>
            </w:r>
            <w:r>
              <w:rPr>
                <w:rFonts w:hint="eastAsia" w:ascii="Times New Roman" w:hAnsi="Times New Roman" w:eastAsia="宋体" w:cs="Times New Roman"/>
                <w:color w:val="auto"/>
                <w:szCs w:val="21"/>
              </w:rPr>
              <w:t>公斤</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用于灭蚊、蝇。</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p>
        </w:tc>
        <w:tc>
          <w:tcPr>
            <w:tcW w:w="1725" w:type="dxa"/>
            <w:vMerge w:val="continue"/>
            <w:tcBorders>
              <w:left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Style w:val="98"/>
                <w:color w:val="auto"/>
                <w:lang w:val="en-US" w:eastAsia="zh-CN" w:bidi="ar"/>
              </w:rPr>
              <w:t>10</w:t>
            </w:r>
            <w:r>
              <w:rPr>
                <w:rStyle w:val="99"/>
                <w:color w:val="auto"/>
                <w:lang w:val="en-US" w:eastAsia="zh-CN" w:bidi="ar"/>
              </w:rPr>
              <w:t xml:space="preserve">%残杀威·高产氯氰菊酯 </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悬浮剂</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90</w:t>
            </w:r>
            <w:r>
              <w:rPr>
                <w:rFonts w:ascii="Times New Roman" w:hAnsi="Times New Roman" w:eastAsia="宋体" w:cs="Times New Roman"/>
                <w:color w:val="auto"/>
                <w:szCs w:val="21"/>
              </w:rPr>
              <w:t>公斤</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用于灭蚊、蝇、蜚蠊</w:t>
            </w:r>
            <w:r>
              <w:rPr>
                <w:rFonts w:hint="eastAsia" w:ascii="宋体" w:hAnsi="宋体" w:eastAsia="宋体" w:cs="宋体"/>
                <w:i w:val="0"/>
                <w:iCs w:val="0"/>
                <w:color w:val="auto"/>
                <w:kern w:val="0"/>
                <w:sz w:val="21"/>
                <w:szCs w:val="21"/>
                <w:u w:val="none"/>
                <w:lang w:val="en-US" w:eastAsia="zh-CN" w:bidi="ar"/>
              </w:rPr>
              <w:t xml:space="preserve"> </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8</w:t>
            </w:r>
          </w:p>
        </w:tc>
        <w:tc>
          <w:tcPr>
            <w:tcW w:w="1725" w:type="dxa"/>
            <w:vMerge w:val="continue"/>
            <w:tcBorders>
              <w:left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Style w:val="98"/>
                <w:color w:val="auto"/>
                <w:lang w:val="en-US" w:eastAsia="zh-CN" w:bidi="ar"/>
              </w:rPr>
              <w:t>5%</w:t>
            </w:r>
            <w:r>
              <w:rPr>
                <w:rStyle w:val="99"/>
                <w:color w:val="auto"/>
                <w:lang w:val="en-US" w:eastAsia="zh-CN" w:bidi="ar"/>
              </w:rPr>
              <w:t>倍硫磷颗粒剂</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缓释颗粒剂500克*20包</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105</w:t>
            </w:r>
            <w:r>
              <w:rPr>
                <w:rFonts w:ascii="Times New Roman" w:hAnsi="Times New Roman" w:eastAsia="宋体" w:cs="Times New Roman"/>
                <w:color w:val="auto"/>
                <w:szCs w:val="21"/>
              </w:rPr>
              <w:t>公斤</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both"/>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外环境杀蚊幼虫</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p>
        </w:tc>
        <w:tc>
          <w:tcPr>
            <w:tcW w:w="1725" w:type="dxa"/>
            <w:vMerge w:val="continue"/>
            <w:tcBorders>
              <w:left w:val="single" w:color="auto" w:sz="6" w:space="0"/>
              <w:bottom w:val="single" w:color="auto" w:sz="6" w:space="0"/>
              <w:right w:val="single" w:color="auto" w:sz="6" w:space="0"/>
            </w:tcBorders>
            <w:noWrap/>
            <w:vAlign w:val="center"/>
          </w:tcPr>
          <w:p>
            <w:pPr>
              <w:spacing w:line="240" w:lineRule="exact"/>
              <w:rPr>
                <w:rFonts w:ascii="Times New Roman" w:hAnsi="Times New Roman" w:eastAsia="宋体" w:cs="Times New Roman"/>
                <w:color w:val="auto"/>
                <w:szCs w:val="21"/>
              </w:rPr>
            </w:pPr>
          </w:p>
        </w:tc>
        <w:tc>
          <w:tcPr>
            <w:tcW w:w="1965" w:type="dxa"/>
            <w:tcBorders>
              <w:top w:val="single" w:color="auto" w:sz="6" w:space="0"/>
              <w:left w:val="single" w:color="auto" w:sz="6" w:space="0"/>
              <w:bottom w:val="single" w:color="auto" w:sz="6" w:space="0"/>
              <w:right w:val="single" w:color="auto" w:sz="6"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Style w:val="98"/>
                <w:color w:val="auto"/>
                <w:lang w:val="en-US" w:eastAsia="zh-CN" w:bidi="ar"/>
              </w:rPr>
              <w:t>1%</w:t>
            </w:r>
            <w:r>
              <w:rPr>
                <w:rStyle w:val="99"/>
                <w:color w:val="auto"/>
                <w:lang w:val="en-US" w:eastAsia="zh-CN" w:bidi="ar"/>
              </w:rPr>
              <w:t>高效氯氰菊酯热雾剂</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杀蟑热雾剂</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110公斤</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用于灭蜚蠊</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10</w:t>
            </w:r>
          </w:p>
        </w:tc>
        <w:tc>
          <w:tcPr>
            <w:tcW w:w="3690" w:type="dxa"/>
            <w:gridSpan w:val="2"/>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灭蝇条、纸</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钱潮日化</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1000张</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用于菜场、</w:t>
            </w:r>
            <w:r>
              <w:rPr>
                <w:rFonts w:hint="eastAsia" w:ascii="宋体" w:hAnsi="宋体" w:eastAsia="宋体" w:cs="宋体"/>
                <w:i w:val="0"/>
                <w:iCs w:val="0"/>
                <w:color w:val="auto"/>
                <w:kern w:val="0"/>
                <w:sz w:val="21"/>
                <w:szCs w:val="21"/>
                <w:u w:val="none"/>
                <w:lang w:val="en-US" w:eastAsia="zh-CN" w:bidi="ar"/>
              </w:rPr>
              <w:t>十小单位等重点场所灭蝇</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11</w:t>
            </w:r>
          </w:p>
        </w:tc>
        <w:tc>
          <w:tcPr>
            <w:tcW w:w="3690" w:type="dxa"/>
            <w:gridSpan w:val="2"/>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捕蝇笼</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广州</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100只</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ind w:firstLine="105" w:firstLineChars="50"/>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用于公厕、垃圾中转站、垃圾收集点、菜市场、单位食堂、超市等重点场所灭蝇</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w:t>
            </w:r>
          </w:p>
        </w:tc>
        <w:tc>
          <w:tcPr>
            <w:tcW w:w="3690" w:type="dxa"/>
            <w:gridSpan w:val="2"/>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粘蟑盒</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杭州萧山</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00张</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用于厨房、餐厅、食品原料库等特殊环境灭鼠</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13</w:t>
            </w:r>
          </w:p>
        </w:tc>
        <w:tc>
          <w:tcPr>
            <w:tcW w:w="3690" w:type="dxa"/>
            <w:gridSpan w:val="2"/>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粘鼠板</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杭州萧山</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00张</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keepNext w:val="0"/>
              <w:keepLines w:val="0"/>
              <w:widowControl/>
              <w:suppressLineNumbers w:val="0"/>
              <w:jc w:val="left"/>
              <w:textAlignment w:val="center"/>
              <w:rPr>
                <w:rFonts w:ascii="Times New Roman" w:hAnsi="Times New Roman"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用于厨房、餐厅、食品原料库等特殊环境灭鼠</w:t>
            </w: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771"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14</w:t>
            </w:r>
          </w:p>
        </w:tc>
        <w:tc>
          <w:tcPr>
            <w:tcW w:w="3690" w:type="dxa"/>
            <w:gridSpan w:val="2"/>
            <w:tcBorders>
              <w:top w:val="single" w:color="auto" w:sz="6" w:space="0"/>
              <w:left w:val="single" w:color="auto" w:sz="6" w:space="0"/>
              <w:bottom w:val="single" w:color="auto" w:sz="6" w:space="0"/>
              <w:right w:val="single" w:color="auto" w:sz="6" w:space="0"/>
            </w:tcBorders>
            <w:noWrap/>
            <w:vAlign w:val="center"/>
          </w:tcPr>
          <w:p>
            <w:pPr>
              <w:spacing w:line="240" w:lineRule="exact"/>
              <w:ind w:right="60"/>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病媒生物密度</w:t>
            </w:r>
            <w:r>
              <w:rPr>
                <w:rFonts w:hint="eastAsia" w:ascii="Times New Roman" w:hAnsi="Times New Roman" w:eastAsia="宋体" w:cs="Times New Roman"/>
                <w:color w:val="auto"/>
                <w:szCs w:val="21"/>
                <w:lang w:eastAsia="zh-CN"/>
              </w:rPr>
              <w:t>监测</w:t>
            </w:r>
          </w:p>
        </w:tc>
        <w:tc>
          <w:tcPr>
            <w:tcW w:w="14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东南西北中五个监测点</w:t>
            </w:r>
          </w:p>
        </w:tc>
        <w:tc>
          <w:tcPr>
            <w:tcW w:w="1110" w:type="dxa"/>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5个</w:t>
            </w:r>
          </w:p>
        </w:tc>
        <w:tc>
          <w:tcPr>
            <w:tcW w:w="1170" w:type="dxa"/>
            <w:tcBorders>
              <w:top w:val="single" w:color="auto" w:sz="6" w:space="0"/>
              <w:left w:val="single" w:color="auto" w:sz="6"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12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ascii="Times New Roman" w:hAnsi="Times New Roman" w:eastAsia="宋体" w:cs="Times New Roman"/>
                <w:color w:val="auto"/>
                <w:szCs w:val="21"/>
              </w:rPr>
            </w:pPr>
          </w:p>
        </w:tc>
        <w:tc>
          <w:tcPr>
            <w:tcW w:w="3930" w:type="dxa"/>
            <w:tcBorders>
              <w:top w:val="single" w:color="auto" w:sz="6" w:space="0"/>
              <w:left w:val="single" w:color="auto" w:sz="4" w:space="0"/>
              <w:bottom w:val="single" w:color="auto" w:sz="6" w:space="0"/>
              <w:right w:val="single" w:color="auto" w:sz="4" w:space="0"/>
            </w:tcBorders>
            <w:noWrap/>
            <w:vAlign w:val="center"/>
          </w:tcPr>
          <w:p>
            <w:pPr>
              <w:spacing w:line="240" w:lineRule="exact"/>
              <w:jc w:val="left"/>
              <w:rPr>
                <w:rFonts w:ascii="Times New Roman" w:hAnsi="Times New Roman" w:eastAsia="宋体" w:cs="Times New Roman"/>
                <w:color w:val="auto"/>
                <w:szCs w:val="21"/>
              </w:rPr>
            </w:pPr>
          </w:p>
        </w:tc>
        <w:tc>
          <w:tcPr>
            <w:tcW w:w="1350" w:type="dxa"/>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661" w:type="dxa"/>
            <w:gridSpan w:val="9"/>
            <w:tcBorders>
              <w:top w:val="single" w:color="auto" w:sz="6" w:space="0"/>
              <w:left w:val="single" w:color="auto" w:sz="6" w:space="0"/>
              <w:bottom w:val="single" w:color="auto" w:sz="6" w:space="0"/>
              <w:right w:val="single" w:color="auto" w:sz="6" w:space="0"/>
            </w:tcBorders>
            <w:noWrap/>
            <w:vAlign w:val="center"/>
          </w:tcPr>
          <w:p>
            <w:pPr>
              <w:spacing w:line="240" w:lineRule="exact"/>
              <w:jc w:val="both"/>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人工费：</w:t>
            </w:r>
            <w:r>
              <w:rPr>
                <w:rFonts w:hint="eastAsia" w:ascii="Times New Roman" w:hAnsi="Times New Roman" w:eastAsia="宋体" w:cs="Times New Roman"/>
                <w:color w:val="auto"/>
                <w:szCs w:val="21"/>
                <w:lang w:val="en-US" w:eastAsia="zh-CN"/>
              </w:rPr>
              <w:t>（90）工×（    ）元=（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14661" w:type="dxa"/>
            <w:gridSpan w:val="9"/>
            <w:tcBorders>
              <w:top w:val="single" w:color="auto" w:sz="6" w:space="0"/>
              <w:left w:val="single" w:color="auto" w:sz="6" w:space="0"/>
              <w:bottom w:val="single" w:color="auto" w:sz="6" w:space="0"/>
              <w:right w:val="single" w:color="auto" w:sz="6" w:space="0"/>
            </w:tcBorders>
            <w:noWrap/>
            <w:vAlign w:val="center"/>
          </w:tcPr>
          <w:p>
            <w:pPr>
              <w:spacing w:line="240" w:lineRule="exac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合计：</w:t>
            </w:r>
            <w:r>
              <w:rPr>
                <w:rFonts w:hint="eastAsia" w:ascii="Times New Roman" w:hAnsi="Times New Roman" w:eastAsia="宋体" w:cs="Times New Roman"/>
                <w:color w:val="auto"/>
                <w:szCs w:val="21"/>
                <w:lang w:val="en-US" w:eastAsia="zh-CN"/>
              </w:rPr>
              <w:t>（    ）</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（含税）</w:t>
            </w: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3、辖区内行政村18个（约8980户）居民。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6840" w:h="11907" w:orient="landscape"/>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jc w:val="center"/>
        <w:rPr>
          <w:rFonts w:hint="eastAsia" w:ascii="宋体" w:hAnsi="宋体" w:eastAsia="宋体"/>
          <w:color w:val="auto"/>
          <w:szCs w:val="21"/>
          <w:highlight w:val="none"/>
          <w:lang w:eastAsia="zh-CN"/>
        </w:rPr>
      </w:pPr>
      <w:bookmarkStart w:id="376" w:name="_Toc12024_WPSOffice_Level1"/>
      <w:bookmarkStart w:id="377" w:name="_Toc6657"/>
      <w:bookmarkStart w:id="378" w:name="_Toc12805_WPSOffice_Level1"/>
      <w:bookmarkStart w:id="379" w:name="_Toc106553077"/>
      <w:r>
        <w:rPr>
          <w:rFonts w:hint="eastAsia" w:cs="Arial"/>
          <w:color w:val="auto"/>
          <w:sz w:val="32"/>
          <w:szCs w:val="32"/>
          <w:highlight w:val="none"/>
          <w:u w:val="single"/>
          <w:lang w:eastAsia="zh-CN"/>
        </w:rPr>
        <w:t>2024 年沙门镇病媒生物防治项目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68120612"/>
      <w:bookmarkStart w:id="381" w:name="_Toc288213731"/>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2024 年沙门镇病媒生物防治项目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1749"/>
      <w:bookmarkStart w:id="384" w:name="_Toc427133012"/>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4400"/>
      <w:bookmarkStart w:id="386" w:name="_Toc15768_WPSOffice_Level1"/>
      <w:bookmarkStart w:id="387" w:name="_Toc12934_WPSOffice_Level1"/>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2024 年沙门镇病媒生物防治项目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8"/>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noWrap w:val="0"/>
            <w:vAlign w:val="center"/>
          </w:tcPr>
          <w:p>
            <w:pPr>
              <w:pStyle w:val="48"/>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8"/>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8"/>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8"/>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8"/>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rPr>
                <w:rFonts w:hint="default" w:ascii="Times New Roman" w:hAnsi="Times New Roman" w:cs="Times New Roman"/>
                <w:color w:val="auto"/>
                <w:sz w:val="20"/>
                <w:highlight w:val="none"/>
              </w:rPr>
            </w:pPr>
          </w:p>
        </w:tc>
        <w:tc>
          <w:tcPr>
            <w:tcW w:w="2025" w:type="dxa"/>
            <w:noWrap w:val="0"/>
            <w:vAlign w:val="top"/>
          </w:tcPr>
          <w:p>
            <w:pPr>
              <w:pStyle w:val="48"/>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8"/>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ind w:right="506"/>
              <w:jc w:val="right"/>
              <w:rPr>
                <w:rFonts w:hint="default" w:ascii="Times New Roman" w:hAnsi="Times New Roman" w:cs="Times New Roman"/>
                <w:color w:val="auto"/>
                <w:highlight w:val="none"/>
              </w:rPr>
            </w:pPr>
          </w:p>
        </w:tc>
        <w:tc>
          <w:tcPr>
            <w:tcW w:w="2025" w:type="dxa"/>
            <w:noWrap w:val="0"/>
            <w:vAlign w:val="top"/>
          </w:tcPr>
          <w:p>
            <w:pPr>
              <w:pStyle w:val="48"/>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ind w:right="506"/>
              <w:jc w:val="right"/>
              <w:rPr>
                <w:rFonts w:hint="default" w:ascii="Times New Roman" w:hAnsi="Times New Roman" w:cs="Times New Roman"/>
                <w:color w:val="auto"/>
                <w:highlight w:val="none"/>
              </w:rPr>
            </w:pPr>
          </w:p>
        </w:tc>
        <w:tc>
          <w:tcPr>
            <w:tcW w:w="2025" w:type="dxa"/>
            <w:noWrap w:val="0"/>
            <w:vAlign w:val="top"/>
          </w:tcPr>
          <w:p>
            <w:pPr>
              <w:pStyle w:val="48"/>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8"/>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spacing w:before="1"/>
              <w:ind w:right="506"/>
              <w:jc w:val="right"/>
              <w:rPr>
                <w:rFonts w:hint="default" w:ascii="Times New Roman" w:hAnsi="Times New Roman" w:cs="Times New Roman"/>
                <w:color w:val="auto"/>
                <w:highlight w:val="none"/>
              </w:rPr>
            </w:pPr>
          </w:p>
        </w:tc>
        <w:tc>
          <w:tcPr>
            <w:tcW w:w="2025" w:type="dxa"/>
            <w:noWrap w:val="0"/>
            <w:vAlign w:val="top"/>
          </w:tcPr>
          <w:p>
            <w:pPr>
              <w:pStyle w:val="48"/>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spacing w:before="1"/>
              <w:ind w:right="506"/>
              <w:jc w:val="right"/>
              <w:rPr>
                <w:rFonts w:hint="default" w:ascii="Times New Roman" w:hAnsi="Times New Roman" w:cs="Times New Roman"/>
                <w:color w:val="auto"/>
                <w:highlight w:val="none"/>
              </w:rPr>
            </w:pPr>
          </w:p>
        </w:tc>
        <w:tc>
          <w:tcPr>
            <w:tcW w:w="2025" w:type="dxa"/>
            <w:noWrap w:val="0"/>
            <w:vAlign w:val="top"/>
          </w:tcPr>
          <w:p>
            <w:pPr>
              <w:pStyle w:val="48"/>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ind w:right="506"/>
              <w:jc w:val="right"/>
              <w:rPr>
                <w:rFonts w:hint="default" w:ascii="Times New Roman" w:hAnsi="Times New Roman" w:cs="Times New Roman"/>
                <w:color w:val="auto"/>
                <w:highlight w:val="none"/>
              </w:rPr>
            </w:pPr>
          </w:p>
        </w:tc>
        <w:tc>
          <w:tcPr>
            <w:tcW w:w="2025" w:type="dxa"/>
            <w:noWrap w:val="0"/>
            <w:vAlign w:val="top"/>
          </w:tcPr>
          <w:p>
            <w:pPr>
              <w:pStyle w:val="48"/>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ind w:right="506"/>
              <w:jc w:val="right"/>
              <w:rPr>
                <w:rFonts w:hint="default" w:ascii="Times New Roman" w:hAnsi="Times New Roman" w:cs="Times New Roman"/>
                <w:color w:val="auto"/>
                <w:highlight w:val="none"/>
              </w:rPr>
            </w:pPr>
          </w:p>
        </w:tc>
        <w:tc>
          <w:tcPr>
            <w:tcW w:w="2025" w:type="dxa"/>
            <w:noWrap w:val="0"/>
            <w:vAlign w:val="top"/>
          </w:tcPr>
          <w:p>
            <w:pPr>
              <w:pStyle w:val="48"/>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8"/>
              <w:ind w:left="172" w:right="156"/>
              <w:jc w:val="center"/>
              <w:rPr>
                <w:rFonts w:hint="default" w:ascii="Times New Roman" w:hAnsi="Times New Roman" w:cs="Times New Roman"/>
                <w:color w:val="auto"/>
                <w:highlight w:val="none"/>
              </w:rPr>
            </w:pP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ind w:right="506"/>
              <w:jc w:val="right"/>
              <w:rPr>
                <w:rFonts w:hint="default" w:ascii="Times New Roman" w:hAnsi="Times New Roman" w:cs="Times New Roman"/>
                <w:color w:val="auto"/>
                <w:highlight w:val="none"/>
              </w:rPr>
            </w:pPr>
          </w:p>
        </w:tc>
        <w:tc>
          <w:tcPr>
            <w:tcW w:w="2025" w:type="dxa"/>
            <w:noWrap w:val="0"/>
            <w:vAlign w:val="top"/>
          </w:tcPr>
          <w:p>
            <w:pPr>
              <w:pStyle w:val="48"/>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8"/>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noWrap w:val="0"/>
            <w:vAlign w:val="top"/>
          </w:tcPr>
          <w:p>
            <w:pPr>
              <w:pStyle w:val="48"/>
              <w:spacing w:before="12"/>
              <w:rPr>
                <w:rFonts w:hint="default" w:ascii="Times New Roman" w:hAnsi="Times New Roman" w:cs="Times New Roman"/>
                <w:color w:val="auto"/>
                <w:sz w:val="20"/>
                <w:highlight w:val="none"/>
              </w:rPr>
            </w:pPr>
          </w:p>
          <w:p>
            <w:pPr>
              <w:pStyle w:val="48"/>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8"/>
              <w:rPr>
                <w:rFonts w:hint="default" w:ascii="Times New Roman" w:hAnsi="Times New Roman" w:cs="Times New Roman"/>
                <w:color w:val="auto"/>
                <w:sz w:val="20"/>
                <w:highlight w:val="none"/>
              </w:rPr>
            </w:pPr>
          </w:p>
        </w:tc>
        <w:tc>
          <w:tcPr>
            <w:tcW w:w="1980" w:type="dxa"/>
            <w:noWrap w:val="0"/>
            <w:vAlign w:val="top"/>
          </w:tcPr>
          <w:p>
            <w:pPr>
              <w:pStyle w:val="48"/>
              <w:rPr>
                <w:rFonts w:hint="default" w:ascii="Times New Roman" w:hAnsi="Times New Roman" w:cs="Times New Roman"/>
                <w:color w:val="auto"/>
                <w:sz w:val="20"/>
                <w:highlight w:val="none"/>
              </w:rPr>
            </w:pPr>
          </w:p>
        </w:tc>
        <w:tc>
          <w:tcPr>
            <w:tcW w:w="2025" w:type="dxa"/>
            <w:noWrap w:val="0"/>
            <w:vAlign w:val="top"/>
          </w:tcPr>
          <w:p>
            <w:pPr>
              <w:pStyle w:val="48"/>
              <w:rPr>
                <w:rFonts w:hint="default" w:ascii="Times New Roman" w:hAnsi="Times New Roman" w:cs="Times New Roman"/>
                <w:color w:val="auto"/>
                <w:sz w:val="20"/>
                <w:highlight w:val="none"/>
              </w:rPr>
            </w:pPr>
          </w:p>
        </w:tc>
        <w:tc>
          <w:tcPr>
            <w:tcW w:w="1320" w:type="dxa"/>
            <w:noWrap w:val="0"/>
            <w:vAlign w:val="top"/>
          </w:tcPr>
          <w:p>
            <w:pPr>
              <w:pStyle w:val="48"/>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5817"/>
      <w:bookmarkStart w:id="390" w:name="_Toc12608_WPSOffice_Level1"/>
      <w:bookmarkStart w:id="391" w:name="_Toc2091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2024 年沙门镇病媒生物防治项目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8"/>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0590_WPSOffice_Level1"/>
      <w:bookmarkStart w:id="393" w:name="_Toc1794"/>
      <w:bookmarkStart w:id="394" w:name="_Toc1914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21683_WPSOffice_Level1"/>
      <w:bookmarkStart w:id="396" w:name="_Toc341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玉环市沙门镇人民政府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2024 年沙门镇病媒生物防治项目</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2024 年沙门镇病媒生物防治项目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mJkMDkwMWM2YTkxODkzY2IzNzhjMGYzNTc1NjIifQ=="/>
  </w:docVars>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35B4338"/>
    <w:rsid w:val="045F21A4"/>
    <w:rsid w:val="04746D93"/>
    <w:rsid w:val="048E2516"/>
    <w:rsid w:val="04984407"/>
    <w:rsid w:val="04E03953"/>
    <w:rsid w:val="065A01CE"/>
    <w:rsid w:val="06CC0936"/>
    <w:rsid w:val="083A2907"/>
    <w:rsid w:val="085579D2"/>
    <w:rsid w:val="091D5546"/>
    <w:rsid w:val="099D0C2E"/>
    <w:rsid w:val="09A241CD"/>
    <w:rsid w:val="09F02910"/>
    <w:rsid w:val="0A784078"/>
    <w:rsid w:val="0AD1181B"/>
    <w:rsid w:val="0BAA1521"/>
    <w:rsid w:val="0D081081"/>
    <w:rsid w:val="0E5A7C9B"/>
    <w:rsid w:val="0EC606EF"/>
    <w:rsid w:val="0F593AA0"/>
    <w:rsid w:val="0FF50F4D"/>
    <w:rsid w:val="11493D02"/>
    <w:rsid w:val="1244185F"/>
    <w:rsid w:val="13067B27"/>
    <w:rsid w:val="149B6DA5"/>
    <w:rsid w:val="14D46A4B"/>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1975C3E"/>
    <w:rsid w:val="232D3A73"/>
    <w:rsid w:val="23E373D2"/>
    <w:rsid w:val="2451251D"/>
    <w:rsid w:val="246B6176"/>
    <w:rsid w:val="25876A89"/>
    <w:rsid w:val="259A3822"/>
    <w:rsid w:val="25F84832"/>
    <w:rsid w:val="27CB3914"/>
    <w:rsid w:val="27EF1537"/>
    <w:rsid w:val="2ABA1490"/>
    <w:rsid w:val="2ADD2813"/>
    <w:rsid w:val="2B150D2C"/>
    <w:rsid w:val="2B4B2119"/>
    <w:rsid w:val="2CD91A3F"/>
    <w:rsid w:val="2DF87B22"/>
    <w:rsid w:val="2E1A25F6"/>
    <w:rsid w:val="2E28661A"/>
    <w:rsid w:val="30F95A65"/>
    <w:rsid w:val="31144A24"/>
    <w:rsid w:val="32A0641C"/>
    <w:rsid w:val="35665C86"/>
    <w:rsid w:val="358151BB"/>
    <w:rsid w:val="35C120FA"/>
    <w:rsid w:val="36A25744"/>
    <w:rsid w:val="36B755A8"/>
    <w:rsid w:val="37313A59"/>
    <w:rsid w:val="381539F1"/>
    <w:rsid w:val="389135DE"/>
    <w:rsid w:val="38C771F0"/>
    <w:rsid w:val="3BB75D55"/>
    <w:rsid w:val="3C2F2F90"/>
    <w:rsid w:val="3DA03521"/>
    <w:rsid w:val="3DFC2B02"/>
    <w:rsid w:val="3E85776B"/>
    <w:rsid w:val="3EEE792E"/>
    <w:rsid w:val="400A65C8"/>
    <w:rsid w:val="41BA4F3B"/>
    <w:rsid w:val="42893910"/>
    <w:rsid w:val="45F33175"/>
    <w:rsid w:val="46270654"/>
    <w:rsid w:val="48BC0362"/>
    <w:rsid w:val="497D7D94"/>
    <w:rsid w:val="49A23F4E"/>
    <w:rsid w:val="4AD50BDF"/>
    <w:rsid w:val="4B001D3D"/>
    <w:rsid w:val="4CC2690C"/>
    <w:rsid w:val="4ED23CB2"/>
    <w:rsid w:val="507E145A"/>
    <w:rsid w:val="53714F98"/>
    <w:rsid w:val="53CC114B"/>
    <w:rsid w:val="54F80FF4"/>
    <w:rsid w:val="554717C6"/>
    <w:rsid w:val="56553086"/>
    <w:rsid w:val="580C7B4E"/>
    <w:rsid w:val="58A82638"/>
    <w:rsid w:val="59BF05D6"/>
    <w:rsid w:val="59EE4E13"/>
    <w:rsid w:val="5A3D057A"/>
    <w:rsid w:val="5ABD185D"/>
    <w:rsid w:val="5BB27ED2"/>
    <w:rsid w:val="5CF57DCF"/>
    <w:rsid w:val="5F240413"/>
    <w:rsid w:val="602E68D0"/>
    <w:rsid w:val="609C5207"/>
    <w:rsid w:val="612965A9"/>
    <w:rsid w:val="62675B6E"/>
    <w:rsid w:val="62B82149"/>
    <w:rsid w:val="64703048"/>
    <w:rsid w:val="64EC4598"/>
    <w:rsid w:val="656F3EA7"/>
    <w:rsid w:val="65CA4B62"/>
    <w:rsid w:val="65FE0EE6"/>
    <w:rsid w:val="672D6ED6"/>
    <w:rsid w:val="67465B86"/>
    <w:rsid w:val="678A6B64"/>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3734666"/>
    <w:rsid w:val="74240CD1"/>
    <w:rsid w:val="747263AE"/>
    <w:rsid w:val="74AF745C"/>
    <w:rsid w:val="75960A6A"/>
    <w:rsid w:val="75E764D7"/>
    <w:rsid w:val="783A670F"/>
    <w:rsid w:val="785446BA"/>
    <w:rsid w:val="788022BD"/>
    <w:rsid w:val="79206F31"/>
    <w:rsid w:val="793509B9"/>
    <w:rsid w:val="799E3EAC"/>
    <w:rsid w:val="7A77475D"/>
    <w:rsid w:val="7AFE649F"/>
    <w:rsid w:val="7AFE74D4"/>
    <w:rsid w:val="7B8C6B05"/>
    <w:rsid w:val="7CD15917"/>
    <w:rsid w:val="7D7948B5"/>
    <w:rsid w:val="7E5B0901"/>
    <w:rsid w:val="7ED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autoRedefine/>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6"/>
    <w:autoRedefine/>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8"/>
    <w:autoRedefine/>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3"/>
    <w:autoRedefine/>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3"/>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7"/>
    <w:autoRedefine/>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5"/>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6"/>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qFormat/>
    <w:uiPriority w:val="0"/>
  </w:style>
  <w:style w:type="table" w:default="1" w:styleId="3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79"/>
    <w:autoRedefine/>
    <w:qFormat/>
    <w:uiPriority w:val="0"/>
    <w:pPr>
      <w:tabs>
        <w:tab w:val="left" w:pos="574"/>
      </w:tabs>
      <w:spacing w:line="288" w:lineRule="auto"/>
    </w:pPr>
    <w:rPr>
      <w:rFonts w:ascii="宋体" w:hAnsi="宋体"/>
      <w:szCs w:val="20"/>
    </w:rPr>
  </w:style>
  <w:style w:type="paragraph" w:styleId="6">
    <w:name w:val="Normal Indent"/>
    <w:basedOn w:val="1"/>
    <w:link w:val="69"/>
    <w:autoRedefine/>
    <w:qFormat/>
    <w:uiPriority w:val="0"/>
    <w:pPr>
      <w:ind w:firstLine="420"/>
    </w:pPr>
    <w:rPr>
      <w:rFonts w:eastAsia="仿宋_GB2312"/>
      <w:kern w:val="0"/>
      <w:sz w:val="32"/>
      <w:szCs w:val="20"/>
    </w:rPr>
  </w:style>
  <w:style w:type="paragraph" w:styleId="13">
    <w:name w:val="toc 7"/>
    <w:basedOn w:val="1"/>
    <w:next w:val="1"/>
    <w:autoRedefine/>
    <w:unhideWhenUsed/>
    <w:qFormat/>
    <w:uiPriority w:val="0"/>
    <w:pPr>
      <w:ind w:left="2520" w:leftChars="1200"/>
    </w:pPr>
    <w:rPr>
      <w:rFonts w:ascii="Calibri" w:hAnsi="Calibri"/>
      <w:szCs w:val="22"/>
    </w:rPr>
  </w:style>
  <w:style w:type="paragraph" w:styleId="14">
    <w:name w:val="annotation text"/>
    <w:basedOn w:val="1"/>
    <w:link w:val="65"/>
    <w:autoRedefine/>
    <w:qFormat/>
    <w:uiPriority w:val="0"/>
    <w:pPr>
      <w:jc w:val="left"/>
    </w:pPr>
    <w:rPr>
      <w:rFonts w:ascii="宋体" w:hAnsi="宋体"/>
    </w:rPr>
  </w:style>
  <w:style w:type="paragraph" w:styleId="15">
    <w:name w:val="Body Text 3"/>
    <w:basedOn w:val="1"/>
    <w:link w:val="87"/>
    <w:autoRedefine/>
    <w:qFormat/>
    <w:uiPriority w:val="0"/>
    <w:pPr>
      <w:spacing w:line="360" w:lineRule="auto"/>
      <w:jc w:val="center"/>
    </w:pPr>
    <w:rPr>
      <w:rFonts w:ascii="宋体" w:hAnsi="宋体"/>
      <w:bCs/>
      <w:iCs/>
      <w:szCs w:val="28"/>
    </w:rPr>
  </w:style>
  <w:style w:type="paragraph" w:styleId="16">
    <w:name w:val="Body Text Indent"/>
    <w:basedOn w:val="1"/>
    <w:link w:val="83"/>
    <w:autoRedefine/>
    <w:qFormat/>
    <w:uiPriority w:val="0"/>
    <w:pPr>
      <w:ind w:firstLine="600"/>
    </w:pPr>
    <w:rPr>
      <w:rFonts w:eastAsia="仿宋_GB2312"/>
      <w:sz w:val="30"/>
      <w:szCs w:val="20"/>
    </w:rPr>
  </w:style>
  <w:style w:type="paragraph" w:styleId="17">
    <w:name w:val="toc 5"/>
    <w:basedOn w:val="1"/>
    <w:next w:val="1"/>
    <w:autoRedefine/>
    <w:unhideWhenUsed/>
    <w:qFormat/>
    <w:uiPriority w:val="0"/>
    <w:pPr>
      <w:ind w:left="1680" w:leftChars="800"/>
    </w:pPr>
    <w:rPr>
      <w:rFonts w:ascii="Calibri" w:hAnsi="Calibri"/>
      <w:szCs w:val="22"/>
    </w:rPr>
  </w:style>
  <w:style w:type="paragraph" w:styleId="18">
    <w:name w:val="toc 3"/>
    <w:basedOn w:val="1"/>
    <w:next w:val="1"/>
    <w:autoRedefine/>
    <w:qFormat/>
    <w:uiPriority w:val="0"/>
    <w:pPr>
      <w:ind w:left="840" w:leftChars="400"/>
    </w:pPr>
    <w:rPr>
      <w:rFonts w:eastAsia="仿宋_GB2312"/>
      <w:sz w:val="32"/>
      <w:szCs w:val="20"/>
    </w:rPr>
  </w:style>
  <w:style w:type="paragraph" w:styleId="19">
    <w:name w:val="Plain Text"/>
    <w:basedOn w:val="1"/>
    <w:link w:val="92"/>
    <w:autoRedefine/>
    <w:qFormat/>
    <w:uiPriority w:val="0"/>
    <w:rPr>
      <w:rFonts w:ascii="宋体" w:hAnsi="Courier New"/>
      <w:szCs w:val="20"/>
    </w:rPr>
  </w:style>
  <w:style w:type="paragraph" w:styleId="20">
    <w:name w:val="toc 8"/>
    <w:basedOn w:val="1"/>
    <w:next w:val="1"/>
    <w:autoRedefine/>
    <w:qFormat/>
    <w:uiPriority w:val="0"/>
    <w:pPr>
      <w:ind w:left="2940" w:leftChars="1400"/>
    </w:pPr>
    <w:rPr>
      <w:rFonts w:eastAsia="仿宋_GB2312"/>
      <w:sz w:val="32"/>
      <w:szCs w:val="20"/>
    </w:rPr>
  </w:style>
  <w:style w:type="paragraph" w:styleId="21">
    <w:name w:val="Date"/>
    <w:basedOn w:val="1"/>
    <w:next w:val="1"/>
    <w:link w:val="94"/>
    <w:autoRedefine/>
    <w:unhideWhenUsed/>
    <w:qFormat/>
    <w:uiPriority w:val="0"/>
    <w:pPr>
      <w:ind w:left="100" w:leftChars="2500"/>
    </w:pPr>
  </w:style>
  <w:style w:type="paragraph" w:styleId="22">
    <w:name w:val="Body Text Indent 2"/>
    <w:basedOn w:val="1"/>
    <w:link w:val="77"/>
    <w:autoRedefine/>
    <w:qFormat/>
    <w:uiPriority w:val="0"/>
    <w:pPr>
      <w:ind w:firstLine="600"/>
    </w:pPr>
    <w:rPr>
      <w:rFonts w:eastAsia="仿宋_GB2312"/>
      <w:color w:val="000080"/>
      <w:sz w:val="30"/>
      <w:szCs w:val="20"/>
    </w:rPr>
  </w:style>
  <w:style w:type="paragraph" w:styleId="23">
    <w:name w:val="Balloon Text"/>
    <w:basedOn w:val="1"/>
    <w:link w:val="78"/>
    <w:autoRedefine/>
    <w:qFormat/>
    <w:uiPriority w:val="0"/>
    <w:rPr>
      <w:rFonts w:eastAsia="仿宋_GB2312"/>
      <w:sz w:val="18"/>
      <w:szCs w:val="18"/>
    </w:rPr>
  </w:style>
  <w:style w:type="paragraph" w:styleId="24">
    <w:name w:val="footer"/>
    <w:basedOn w:val="1"/>
    <w:link w:val="90"/>
    <w:autoRedefine/>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4"/>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autoRedefine/>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autoRedefine/>
    <w:qFormat/>
    <w:uiPriority w:val="0"/>
    <w:pPr>
      <w:ind w:left="1260" w:leftChars="600"/>
    </w:pPr>
    <w:rPr>
      <w:rFonts w:eastAsia="仿宋_GB2312"/>
      <w:sz w:val="32"/>
      <w:szCs w:val="20"/>
    </w:rPr>
  </w:style>
  <w:style w:type="paragraph" w:styleId="28">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2"/>
    <w:autoRedefine/>
    <w:semiHidden/>
    <w:qFormat/>
    <w:uiPriority w:val="0"/>
    <w:pPr>
      <w:snapToGrid w:val="0"/>
      <w:jc w:val="left"/>
    </w:pPr>
    <w:rPr>
      <w:rFonts w:eastAsia="仿宋_GB2312"/>
      <w:sz w:val="18"/>
      <w:szCs w:val="20"/>
    </w:rPr>
  </w:style>
  <w:style w:type="paragraph" w:styleId="30">
    <w:name w:val="toc 6"/>
    <w:basedOn w:val="1"/>
    <w:next w:val="1"/>
    <w:autoRedefine/>
    <w:unhideWhenUsed/>
    <w:qFormat/>
    <w:uiPriority w:val="0"/>
    <w:pPr>
      <w:ind w:left="2100" w:leftChars="1000"/>
    </w:pPr>
    <w:rPr>
      <w:rFonts w:ascii="Calibri" w:hAnsi="Calibri"/>
      <w:szCs w:val="22"/>
    </w:rPr>
  </w:style>
  <w:style w:type="paragraph" w:styleId="31">
    <w:name w:val="Body Text Indent 3"/>
    <w:basedOn w:val="1"/>
    <w:link w:val="91"/>
    <w:autoRedefine/>
    <w:qFormat/>
    <w:uiPriority w:val="0"/>
    <w:pPr>
      <w:ind w:firstLine="600"/>
    </w:pPr>
    <w:rPr>
      <w:rFonts w:eastAsia="仿宋_GB2312"/>
      <w:sz w:val="28"/>
      <w:szCs w:val="20"/>
    </w:rPr>
  </w:style>
  <w:style w:type="paragraph" w:styleId="32">
    <w:name w:val="toc 2"/>
    <w:basedOn w:val="1"/>
    <w:next w:val="1"/>
    <w:autoRedefine/>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autoRedefine/>
    <w:unhideWhenUsed/>
    <w:qFormat/>
    <w:uiPriority w:val="0"/>
    <w:pPr>
      <w:ind w:left="3360" w:leftChars="1600"/>
    </w:pPr>
    <w:rPr>
      <w:rFonts w:ascii="Calibri" w:hAnsi="Calibri"/>
      <w:szCs w:val="22"/>
    </w:rPr>
  </w:style>
  <w:style w:type="paragraph" w:styleId="34">
    <w:name w:val="Body Text 2"/>
    <w:basedOn w:val="1"/>
    <w:link w:val="88"/>
    <w:autoRedefine/>
    <w:qFormat/>
    <w:uiPriority w:val="0"/>
    <w:pPr>
      <w:jc w:val="center"/>
    </w:pPr>
    <w:rPr>
      <w:b/>
      <w:bCs/>
      <w:sz w:val="28"/>
      <w:szCs w:val="20"/>
    </w:rPr>
  </w:style>
  <w:style w:type="paragraph" w:styleId="35">
    <w:name w:val="Normal (Web)"/>
    <w:basedOn w:val="1"/>
    <w:next w:val="19"/>
    <w:autoRedefine/>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9"/>
    <w:autoRedefine/>
    <w:qFormat/>
    <w:uiPriority w:val="0"/>
    <w:pPr>
      <w:spacing w:before="240" w:after="60"/>
      <w:jc w:val="center"/>
      <w:outlineLvl w:val="0"/>
    </w:pPr>
    <w:rPr>
      <w:rFonts w:ascii="Arial" w:hAnsi="Arial" w:cs="Arial"/>
      <w:b/>
      <w:bCs/>
      <w:sz w:val="32"/>
      <w:szCs w:val="32"/>
    </w:rPr>
  </w:style>
  <w:style w:type="paragraph" w:styleId="37">
    <w:name w:val="Body Text First Indent 2"/>
    <w:basedOn w:val="16"/>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autoRedefine/>
    <w:qFormat/>
    <w:uiPriority w:val="0"/>
    <w:rPr>
      <w:rFonts w:ascii="Calibri" w:hAnsi="Calibri" w:eastAsia="宋体" w:cs="Times New Roman"/>
    </w:rPr>
  </w:style>
  <w:style w:type="character" w:styleId="42">
    <w:name w:val="FollowedHyperlink"/>
    <w:basedOn w:val="40"/>
    <w:autoRedefine/>
    <w:qFormat/>
    <w:uiPriority w:val="0"/>
    <w:rPr>
      <w:rFonts w:ascii="Calibri" w:hAnsi="Calibri" w:eastAsia="宋体" w:cs="Times New Roman"/>
      <w:color w:val="000000"/>
      <w:u w:val="none"/>
    </w:rPr>
  </w:style>
  <w:style w:type="character" w:styleId="43">
    <w:name w:val="Hyperlink"/>
    <w:basedOn w:val="40"/>
    <w:autoRedefine/>
    <w:qFormat/>
    <w:uiPriority w:val="0"/>
    <w:rPr>
      <w:rFonts w:ascii="Calibri" w:hAnsi="Calibri" w:eastAsia="宋体" w:cs="Times New Roman"/>
      <w:color w:val="000000"/>
      <w:u w:val="none"/>
    </w:rPr>
  </w:style>
  <w:style w:type="character" w:styleId="44">
    <w:name w:val="annotation reference"/>
    <w:basedOn w:val="40"/>
    <w:autoRedefine/>
    <w:qFormat/>
    <w:uiPriority w:val="0"/>
    <w:rPr>
      <w:rFonts w:ascii="Calibri" w:hAnsi="Calibri" w:eastAsia="宋体" w:cs="Times New Roman"/>
      <w:sz w:val="21"/>
      <w:szCs w:val="21"/>
    </w:rPr>
  </w:style>
  <w:style w:type="paragraph" w:customStyle="1" w:styleId="45">
    <w:name w:val=" Char1"/>
    <w:basedOn w:val="1"/>
    <w:autoRedefine/>
    <w:qFormat/>
    <w:uiPriority w:val="0"/>
    <w:pPr>
      <w:jc w:val="center"/>
    </w:pPr>
  </w:style>
  <w:style w:type="paragraph" w:customStyle="1" w:styleId="46">
    <w:name w:val="WPSOffice手动目录 1"/>
    <w:autoRedefine/>
    <w:qFormat/>
    <w:uiPriority w:val="0"/>
    <w:rPr>
      <w:rFonts w:ascii="Calibri" w:hAnsi="Calibri" w:eastAsia="宋体" w:cs="Times New Roman"/>
      <w:lang w:val="en-US" w:eastAsia="zh-CN" w:bidi="ar-SA"/>
    </w:rPr>
  </w:style>
  <w:style w:type="paragraph" w:customStyle="1" w:styleId="47">
    <w:name w:val="标题4"/>
    <w:basedOn w:val="1"/>
    <w:autoRedefine/>
    <w:qFormat/>
    <w:uiPriority w:val="0"/>
    <w:rPr>
      <w:rFonts w:eastAsia="仿宋_GB2312"/>
      <w:sz w:val="32"/>
      <w:szCs w:val="20"/>
    </w:rPr>
  </w:style>
  <w:style w:type="paragraph" w:customStyle="1" w:styleId="48">
    <w:name w:val="Table Paragraph"/>
    <w:basedOn w:val="1"/>
    <w:autoRedefine/>
    <w:qFormat/>
    <w:uiPriority w:val="1"/>
    <w:rPr>
      <w:rFonts w:ascii="宋体" w:hAnsi="宋体" w:eastAsia="宋体" w:cs="宋体"/>
      <w:lang w:val="zh-CN" w:eastAsia="zh-CN" w:bidi="zh-CN"/>
    </w:rPr>
  </w:style>
  <w:style w:type="paragraph" w:customStyle="1" w:styleId="49">
    <w:name w:val="Char"/>
    <w:basedOn w:val="1"/>
    <w:autoRedefine/>
    <w:qFormat/>
    <w:uiPriority w:val="0"/>
    <w:rPr>
      <w:sz w:val="24"/>
    </w:rPr>
  </w:style>
  <w:style w:type="paragraph" w:customStyle="1" w:styleId="50">
    <w:name w:val=" Char"/>
    <w:basedOn w:val="1"/>
    <w:autoRedefine/>
    <w:qFormat/>
    <w:uiPriority w:val="0"/>
    <w:rPr>
      <w:rFonts w:eastAsia="仿宋_GB2312"/>
      <w:sz w:val="32"/>
      <w:szCs w:val="20"/>
    </w:rPr>
  </w:style>
  <w:style w:type="paragraph" w:customStyle="1" w:styleId="51">
    <w:name w:val="样式 标题 2 + Times New Roman 四号 非加粗 段前: 5 磅 段后: 0 磅 行距: 固定值 20..."/>
    <w:basedOn w:val="4"/>
    <w:next w:val="1"/>
    <w:autoRedefine/>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2">
    <w:name w:val="简单回函地址"/>
    <w:basedOn w:val="1"/>
    <w:autoRedefine/>
    <w:qFormat/>
    <w:uiPriority w:val="0"/>
    <w:rPr>
      <w:rFonts w:eastAsia="仿宋_GB2312"/>
      <w:sz w:val="32"/>
      <w:szCs w:val="20"/>
    </w:rPr>
  </w:style>
  <w:style w:type="paragraph" w:customStyle="1" w:styleId="53">
    <w:name w:val="Char1"/>
    <w:basedOn w:val="1"/>
    <w:autoRedefine/>
    <w:qFormat/>
    <w:uiPriority w:val="0"/>
    <w:pPr>
      <w:jc w:val="center"/>
    </w:pPr>
    <w:rPr>
      <w:rFonts w:ascii="仿宋_GB2312" w:eastAsia="仿宋_GB2312"/>
      <w:b/>
      <w:kern w:val="0"/>
      <w:sz w:val="32"/>
      <w:szCs w:val="32"/>
      <w:lang w:val="en-GB"/>
    </w:rPr>
  </w:style>
  <w:style w:type="paragraph" w:customStyle="1" w:styleId="54">
    <w:name w:val="WPSOffice手动目录 2"/>
    <w:autoRedefine/>
    <w:qFormat/>
    <w:uiPriority w:val="0"/>
    <w:pPr>
      <w:ind w:leftChars="200"/>
    </w:pPr>
    <w:rPr>
      <w:rFonts w:ascii="Calibri" w:hAnsi="Calibri" w:eastAsia="宋体" w:cs="Times New Roman"/>
      <w:lang w:val="en-US" w:eastAsia="zh-CN" w:bidi="ar-SA"/>
    </w:rPr>
  </w:style>
  <w:style w:type="paragraph" w:customStyle="1" w:styleId="55">
    <w:name w:val="Char2"/>
    <w:basedOn w:val="1"/>
    <w:autoRedefine/>
    <w:qFormat/>
    <w:uiPriority w:val="0"/>
    <w:rPr>
      <w:rFonts w:ascii="仿宋_GB2312" w:eastAsia="仿宋_GB2312"/>
      <w:b/>
      <w:sz w:val="32"/>
      <w:szCs w:val="32"/>
    </w:rPr>
  </w:style>
  <w:style w:type="paragraph" w:styleId="56">
    <w:name w:val="List Paragraph"/>
    <w:basedOn w:val="1"/>
    <w:autoRedefine/>
    <w:qFormat/>
    <w:uiPriority w:val="0"/>
    <w:pPr>
      <w:ind w:firstLine="420" w:firstLineChars="200"/>
    </w:pPr>
    <w:rPr>
      <w:rFonts w:ascii="Calibri" w:hAnsi="Calibri"/>
      <w:szCs w:val="22"/>
    </w:rPr>
  </w:style>
  <w:style w:type="paragraph" w:customStyle="1" w:styleId="57">
    <w:name w:val="标题2"/>
    <w:basedOn w:val="36"/>
    <w:autoRedefine/>
    <w:qFormat/>
    <w:uiPriority w:val="0"/>
    <w:pPr>
      <w:spacing w:after="240"/>
      <w:jc w:val="left"/>
    </w:pPr>
    <w:rPr>
      <w:rFonts w:ascii="Cambria" w:hAnsi="Cambria" w:cs="Times New Roman"/>
      <w:sz w:val="30"/>
      <w:szCs w:val="24"/>
    </w:rPr>
  </w:style>
  <w:style w:type="character" w:customStyle="1" w:styleId="58">
    <w:name w:val="first-child"/>
    <w:basedOn w:val="40"/>
    <w:autoRedefine/>
    <w:qFormat/>
    <w:uiPriority w:val="0"/>
    <w:rPr>
      <w:rFonts w:ascii="Calibri" w:hAnsi="Calibri" w:eastAsia="宋体" w:cs="Times New Roman"/>
    </w:rPr>
  </w:style>
  <w:style w:type="character" w:customStyle="1" w:styleId="59">
    <w:name w:val="lawsitemtext"/>
    <w:basedOn w:val="40"/>
    <w:autoRedefine/>
    <w:qFormat/>
    <w:uiPriority w:val="0"/>
    <w:rPr>
      <w:rFonts w:ascii="Calibri" w:hAnsi="Calibri" w:eastAsia="宋体" w:cs="Times New Roman"/>
    </w:rPr>
  </w:style>
  <w:style w:type="character" w:customStyle="1" w:styleId="60">
    <w:name w:val="标题 1 Char"/>
    <w:link w:val="3"/>
    <w:autoRedefine/>
    <w:qFormat/>
    <w:uiPriority w:val="0"/>
    <w:rPr>
      <w:rFonts w:ascii="黑体" w:hAnsi="宋体" w:eastAsia="黑体" w:cs="Times New Roman"/>
      <w:b/>
      <w:kern w:val="44"/>
      <w:sz w:val="32"/>
      <w:szCs w:val="32"/>
    </w:rPr>
  </w:style>
  <w:style w:type="character" w:customStyle="1" w:styleId="61">
    <w:name w:val="标题 4 Char"/>
    <w:link w:val="7"/>
    <w:autoRedefine/>
    <w:qFormat/>
    <w:uiPriority w:val="0"/>
    <w:rPr>
      <w:rFonts w:ascii="Arial" w:hAnsi="Arial" w:eastAsia="黑体" w:cs="Times New Roman"/>
      <w:b/>
      <w:bCs/>
      <w:kern w:val="2"/>
      <w:sz w:val="28"/>
      <w:szCs w:val="28"/>
      <w:lang w:val="en-US" w:eastAsia="zh-CN" w:bidi="ar-SA"/>
    </w:rPr>
  </w:style>
  <w:style w:type="character" w:customStyle="1" w:styleId="62">
    <w:name w:val="脚注文本 Char"/>
    <w:link w:val="29"/>
    <w:autoRedefine/>
    <w:semiHidden/>
    <w:qFormat/>
    <w:uiPriority w:val="0"/>
    <w:rPr>
      <w:rFonts w:ascii="Calibri" w:hAnsi="Calibri" w:eastAsia="仿宋_GB2312" w:cs="Times New Roman"/>
      <w:kern w:val="2"/>
      <w:sz w:val="18"/>
      <w:lang w:val="en-US" w:eastAsia="zh-CN" w:bidi="ar-SA"/>
    </w:rPr>
  </w:style>
  <w:style w:type="character" w:customStyle="1" w:styleId="63">
    <w:name w:val="标题 6 Char"/>
    <w:link w:val="9"/>
    <w:autoRedefine/>
    <w:qFormat/>
    <w:uiPriority w:val="0"/>
    <w:rPr>
      <w:rFonts w:ascii="Arial" w:hAnsi="Arial" w:eastAsia="黑体" w:cs="Times New Roman"/>
      <w:b/>
      <w:bCs/>
      <w:kern w:val="2"/>
      <w:sz w:val="24"/>
      <w:szCs w:val="24"/>
      <w:lang w:val="en-US" w:eastAsia="zh-CN" w:bidi="ar-SA"/>
    </w:rPr>
  </w:style>
  <w:style w:type="character" w:customStyle="1" w:styleId="64">
    <w:name w:val="页眉 Char"/>
    <w:link w:val="25"/>
    <w:autoRedefine/>
    <w:qFormat/>
    <w:uiPriority w:val="99"/>
    <w:rPr>
      <w:rFonts w:ascii="Calibri" w:hAnsi="Calibri" w:eastAsia="宋体" w:cs="Times New Roman"/>
      <w:kern w:val="2"/>
      <w:sz w:val="18"/>
      <w:szCs w:val="18"/>
      <w:lang w:val="en-US" w:eastAsia="zh-CN" w:bidi="ar-SA"/>
    </w:rPr>
  </w:style>
  <w:style w:type="character" w:customStyle="1" w:styleId="65">
    <w:name w:val="批注文字 Char"/>
    <w:link w:val="14"/>
    <w:autoRedefine/>
    <w:qFormat/>
    <w:uiPriority w:val="0"/>
    <w:rPr>
      <w:rFonts w:ascii="宋体" w:hAnsi="宋体" w:eastAsia="宋体" w:cs="Times New Roman"/>
      <w:kern w:val="2"/>
      <w:sz w:val="21"/>
      <w:szCs w:val="24"/>
    </w:rPr>
  </w:style>
  <w:style w:type="character" w:customStyle="1" w:styleId="66">
    <w:name w:val="标题 9 Char"/>
    <w:link w:val="12"/>
    <w:autoRedefine/>
    <w:qFormat/>
    <w:uiPriority w:val="0"/>
    <w:rPr>
      <w:rFonts w:ascii="Arial" w:hAnsi="Arial" w:eastAsia="黑体" w:cs="Times New Roman"/>
      <w:kern w:val="2"/>
      <w:sz w:val="21"/>
      <w:szCs w:val="21"/>
      <w:lang w:val="en-US" w:eastAsia="zh-CN" w:bidi="ar-SA"/>
    </w:rPr>
  </w:style>
  <w:style w:type="character" w:customStyle="1" w:styleId="67">
    <w:name w:val="标题 7 Char"/>
    <w:link w:val="10"/>
    <w:autoRedefine/>
    <w:qFormat/>
    <w:uiPriority w:val="0"/>
    <w:rPr>
      <w:rFonts w:ascii="Calibri" w:hAnsi="Calibri" w:eastAsia="仿宋_GB2312" w:cs="Times New Roman"/>
      <w:b/>
      <w:bCs/>
      <w:kern w:val="2"/>
      <w:sz w:val="24"/>
      <w:szCs w:val="24"/>
      <w:lang w:val="en-US" w:eastAsia="zh-CN" w:bidi="ar-SA"/>
    </w:rPr>
  </w:style>
  <w:style w:type="character" w:customStyle="1" w:styleId="68">
    <w:name w:val="标题 3 Char"/>
    <w:link w:val="5"/>
    <w:autoRedefine/>
    <w:qFormat/>
    <w:uiPriority w:val="0"/>
    <w:rPr>
      <w:rFonts w:ascii="黑体" w:hAnsi="宋体" w:eastAsia="黑体" w:cs="Times New Roman"/>
      <w:b/>
      <w:kern w:val="2"/>
      <w:sz w:val="21"/>
      <w:lang w:val="en-US" w:eastAsia="zh-CN" w:bidi="ar-SA"/>
    </w:rPr>
  </w:style>
  <w:style w:type="character" w:customStyle="1" w:styleId="69">
    <w:name w:val="正文缩进 Char"/>
    <w:link w:val="6"/>
    <w:autoRedefine/>
    <w:qFormat/>
    <w:uiPriority w:val="0"/>
    <w:rPr>
      <w:rFonts w:ascii="Calibri" w:hAnsi="Calibri" w:eastAsia="仿宋_GB2312" w:cs="Times New Roman"/>
      <w:sz w:val="32"/>
      <w:lang w:bidi="ar-SA"/>
    </w:rPr>
  </w:style>
  <w:style w:type="character" w:customStyle="1" w:styleId="70">
    <w:name w:val="publishtime"/>
    <w:basedOn w:val="40"/>
    <w:autoRedefine/>
    <w:qFormat/>
    <w:uiPriority w:val="0"/>
    <w:rPr>
      <w:rFonts w:ascii="Calibri" w:hAnsi="Calibri" w:eastAsia="宋体" w:cs="Times New Roman"/>
      <w:color w:val="666666"/>
    </w:rPr>
  </w:style>
  <w:style w:type="character" w:customStyle="1" w:styleId="71">
    <w:name w:val="批注文字 Char1"/>
    <w:autoRedefine/>
    <w:qFormat/>
    <w:uiPriority w:val="0"/>
    <w:rPr>
      <w:rFonts w:ascii="Calibri" w:hAnsi="Calibri" w:eastAsia="宋体" w:cs="Times New Roman"/>
      <w:kern w:val="2"/>
      <w:sz w:val="21"/>
      <w:szCs w:val="24"/>
    </w:rPr>
  </w:style>
  <w:style w:type="character" w:customStyle="1" w:styleId="72">
    <w:name w:val="text-overflow1"/>
    <w:basedOn w:val="40"/>
    <w:autoRedefine/>
    <w:qFormat/>
    <w:uiPriority w:val="0"/>
    <w:rPr>
      <w:rFonts w:ascii="Calibri" w:hAnsi="Calibri" w:eastAsia="宋体" w:cs="Times New Roman"/>
    </w:rPr>
  </w:style>
  <w:style w:type="character" w:customStyle="1" w:styleId="73">
    <w:name w:val="focus2"/>
    <w:basedOn w:val="40"/>
    <w:autoRedefine/>
    <w:qFormat/>
    <w:uiPriority w:val="0"/>
    <w:rPr>
      <w:rFonts w:ascii="Calibri" w:hAnsi="Calibri" w:eastAsia="宋体" w:cs="Times New Roman"/>
      <w:color w:val="23527C"/>
      <w:shd w:val="clear" w:color="auto" w:fill="EEEEEE"/>
    </w:rPr>
  </w:style>
  <w:style w:type="character" w:customStyle="1" w:styleId="74">
    <w:name w:val="second-line"/>
    <w:basedOn w:val="40"/>
    <w:autoRedefine/>
    <w:qFormat/>
    <w:uiPriority w:val="0"/>
    <w:rPr>
      <w:rFonts w:ascii="Calibri" w:hAnsi="Calibri" w:eastAsia="宋体" w:cs="Times New Roman"/>
      <w:color w:val="727272"/>
    </w:rPr>
  </w:style>
  <w:style w:type="character" w:customStyle="1" w:styleId="75">
    <w:name w:val="hover8"/>
    <w:basedOn w:val="40"/>
    <w:autoRedefine/>
    <w:qFormat/>
    <w:uiPriority w:val="0"/>
    <w:rPr>
      <w:rFonts w:ascii="Calibri" w:hAnsi="Calibri" w:eastAsia="宋体" w:cs="Times New Roman"/>
      <w:color w:val="23527C"/>
      <w:shd w:val="clear" w:color="auto" w:fill="EEEEEE"/>
    </w:rPr>
  </w:style>
  <w:style w:type="character" w:customStyle="1" w:styleId="76">
    <w:name w:val="focus3"/>
    <w:basedOn w:val="40"/>
    <w:autoRedefine/>
    <w:qFormat/>
    <w:uiPriority w:val="0"/>
    <w:rPr>
      <w:rFonts w:ascii="Calibri" w:hAnsi="Calibri" w:eastAsia="宋体" w:cs="Times New Roman"/>
      <w:color w:val="777777"/>
      <w:shd w:val="clear" w:color="auto" w:fill="FFFFFF"/>
    </w:rPr>
  </w:style>
  <w:style w:type="character" w:customStyle="1" w:styleId="77">
    <w:name w:val="正文文本缩进 2 Char"/>
    <w:link w:val="22"/>
    <w:autoRedefine/>
    <w:qFormat/>
    <w:uiPriority w:val="0"/>
    <w:rPr>
      <w:rFonts w:ascii="Calibri" w:hAnsi="Calibri" w:eastAsia="仿宋_GB2312" w:cs="Times New Roman"/>
      <w:color w:val="000080"/>
      <w:kern w:val="2"/>
      <w:sz w:val="30"/>
      <w:lang w:val="en-US" w:eastAsia="zh-CN" w:bidi="ar-SA"/>
    </w:rPr>
  </w:style>
  <w:style w:type="character" w:customStyle="1" w:styleId="78">
    <w:name w:val="批注框文本 Char"/>
    <w:link w:val="23"/>
    <w:autoRedefine/>
    <w:qFormat/>
    <w:uiPriority w:val="0"/>
    <w:rPr>
      <w:rFonts w:ascii="Calibri" w:hAnsi="Calibri" w:eastAsia="仿宋_GB2312" w:cs="Times New Roman"/>
      <w:kern w:val="2"/>
      <w:sz w:val="18"/>
      <w:szCs w:val="18"/>
      <w:lang w:val="en-US" w:eastAsia="zh-CN" w:bidi="ar-SA"/>
    </w:rPr>
  </w:style>
  <w:style w:type="character" w:customStyle="1" w:styleId="79">
    <w:name w:val="正文文本 Char"/>
    <w:link w:val="2"/>
    <w:autoRedefine/>
    <w:qFormat/>
    <w:uiPriority w:val="0"/>
    <w:rPr>
      <w:rFonts w:ascii="宋体" w:hAnsi="宋体" w:eastAsia="宋体" w:cs="Times New Roman"/>
      <w:kern w:val="2"/>
      <w:sz w:val="21"/>
      <w:lang w:val="en-US" w:eastAsia="zh-CN" w:bidi="ar-SA"/>
    </w:rPr>
  </w:style>
  <w:style w:type="character" w:customStyle="1" w:styleId="80">
    <w:name w:val="标题 2 Char1"/>
    <w:autoRedefine/>
    <w:qFormat/>
    <w:uiPriority w:val="0"/>
    <w:rPr>
      <w:rFonts w:ascii="黑体" w:hAnsi="宋体" w:eastAsia="黑体" w:cs="Times New Roman"/>
      <w:b/>
      <w:bCs/>
      <w:snapToGrid w:val="0"/>
      <w:color w:val="000000"/>
      <w:spacing w:val="-6"/>
      <w:kern w:val="0"/>
      <w:sz w:val="44"/>
      <w:szCs w:val="44"/>
    </w:rPr>
  </w:style>
  <w:style w:type="character" w:customStyle="1" w:styleId="81">
    <w:name w:val="lawsitemtitle1"/>
    <w:autoRedefine/>
    <w:qFormat/>
    <w:uiPriority w:val="0"/>
    <w:rPr>
      <w:rFonts w:ascii="Calibri" w:hAnsi="Calibri" w:eastAsia="宋体" w:cs="Times New Roman"/>
      <w:b/>
      <w:bCs/>
      <w:color w:val="FF0000"/>
      <w:sz w:val="27"/>
      <w:szCs w:val="27"/>
    </w:rPr>
  </w:style>
  <w:style w:type="character" w:customStyle="1" w:styleId="82">
    <w:name w:val="text-overflow"/>
    <w:basedOn w:val="40"/>
    <w:autoRedefine/>
    <w:qFormat/>
    <w:uiPriority w:val="0"/>
    <w:rPr>
      <w:rFonts w:ascii="Calibri" w:hAnsi="Calibri" w:eastAsia="宋体" w:cs="Times New Roman"/>
    </w:rPr>
  </w:style>
  <w:style w:type="character" w:customStyle="1" w:styleId="83">
    <w:name w:val="正文文本缩进 Char"/>
    <w:link w:val="16"/>
    <w:autoRedefine/>
    <w:qFormat/>
    <w:uiPriority w:val="0"/>
    <w:rPr>
      <w:rFonts w:ascii="Calibri" w:hAnsi="Calibri" w:eastAsia="仿宋_GB2312" w:cs="Times New Roman"/>
      <w:kern w:val="2"/>
      <w:sz w:val="30"/>
      <w:lang w:val="en-US" w:eastAsia="zh-CN" w:bidi="ar-SA"/>
    </w:rPr>
  </w:style>
  <w:style w:type="character" w:customStyle="1" w:styleId="84">
    <w:name w:val="副标题 Char"/>
    <w:link w:val="28"/>
    <w:autoRedefine/>
    <w:qFormat/>
    <w:uiPriority w:val="0"/>
    <w:rPr>
      <w:rFonts w:ascii="Cambria" w:hAnsi="Cambria" w:eastAsia="宋体" w:cs="Times New Roman"/>
      <w:b/>
      <w:bCs/>
      <w:kern w:val="28"/>
      <w:sz w:val="32"/>
      <w:szCs w:val="32"/>
      <w:lang w:val="en-US" w:eastAsia="zh-CN" w:bidi="ar-SA"/>
    </w:rPr>
  </w:style>
  <w:style w:type="character" w:customStyle="1" w:styleId="85">
    <w:name w:val="标题 8 Char"/>
    <w:link w:val="11"/>
    <w:autoRedefine/>
    <w:qFormat/>
    <w:uiPriority w:val="0"/>
    <w:rPr>
      <w:rFonts w:ascii="Arial" w:hAnsi="Arial" w:eastAsia="黑体" w:cs="Times New Roman"/>
      <w:kern w:val="2"/>
      <w:sz w:val="24"/>
      <w:szCs w:val="24"/>
      <w:lang w:val="en-US" w:eastAsia="zh-CN" w:bidi="ar-SA"/>
    </w:rPr>
  </w:style>
  <w:style w:type="character" w:customStyle="1" w:styleId="86">
    <w:name w:val="time"/>
    <w:basedOn w:val="40"/>
    <w:autoRedefine/>
    <w:qFormat/>
    <w:uiPriority w:val="0"/>
    <w:rPr>
      <w:rFonts w:ascii="Calibri" w:hAnsi="Calibri" w:eastAsia="宋体" w:cs="Times New Roman"/>
      <w:sz w:val="21"/>
      <w:szCs w:val="21"/>
    </w:rPr>
  </w:style>
  <w:style w:type="character" w:customStyle="1" w:styleId="87">
    <w:name w:val="正文文本 3 Char"/>
    <w:link w:val="15"/>
    <w:autoRedefine/>
    <w:qFormat/>
    <w:uiPriority w:val="0"/>
    <w:rPr>
      <w:rFonts w:ascii="宋体" w:hAnsi="宋体" w:eastAsia="宋体" w:cs="Times New Roman"/>
      <w:bCs/>
      <w:iCs/>
      <w:kern w:val="2"/>
      <w:sz w:val="21"/>
      <w:szCs w:val="28"/>
      <w:lang w:val="en-US" w:eastAsia="zh-CN" w:bidi="ar-SA"/>
    </w:rPr>
  </w:style>
  <w:style w:type="character" w:customStyle="1" w:styleId="88">
    <w:name w:val="正文文本 2 Char"/>
    <w:link w:val="34"/>
    <w:autoRedefine/>
    <w:qFormat/>
    <w:uiPriority w:val="0"/>
    <w:rPr>
      <w:rFonts w:ascii="Calibri" w:hAnsi="Calibri" w:eastAsia="宋体" w:cs="Times New Roman"/>
      <w:b/>
      <w:bCs/>
      <w:kern w:val="2"/>
      <w:sz w:val="28"/>
      <w:lang w:val="en-US" w:eastAsia="zh-CN" w:bidi="ar-SA"/>
    </w:rPr>
  </w:style>
  <w:style w:type="character" w:customStyle="1" w:styleId="89">
    <w:name w:val="标题 Char"/>
    <w:link w:val="36"/>
    <w:autoRedefine/>
    <w:qFormat/>
    <w:uiPriority w:val="0"/>
    <w:rPr>
      <w:rFonts w:ascii="Arial" w:hAnsi="Arial" w:eastAsia="宋体" w:cs="Arial"/>
      <w:b/>
      <w:bCs/>
      <w:kern w:val="2"/>
      <w:sz w:val="32"/>
      <w:szCs w:val="32"/>
      <w:lang w:val="en-US" w:eastAsia="zh-CN" w:bidi="ar-SA"/>
    </w:rPr>
  </w:style>
  <w:style w:type="character" w:customStyle="1" w:styleId="90">
    <w:name w:val="页脚 Char"/>
    <w:link w:val="24"/>
    <w:autoRedefine/>
    <w:qFormat/>
    <w:uiPriority w:val="0"/>
    <w:rPr>
      <w:rFonts w:ascii="Calibri" w:hAnsi="Calibri" w:eastAsia="宋体" w:cs="Times New Roman"/>
      <w:kern w:val="2"/>
      <w:sz w:val="18"/>
      <w:szCs w:val="18"/>
      <w:lang w:val="en-US" w:eastAsia="zh-CN" w:bidi="ar-SA"/>
    </w:rPr>
  </w:style>
  <w:style w:type="character" w:customStyle="1" w:styleId="91">
    <w:name w:val="正文文本缩进 3 Char"/>
    <w:link w:val="31"/>
    <w:autoRedefine/>
    <w:qFormat/>
    <w:uiPriority w:val="0"/>
    <w:rPr>
      <w:rFonts w:ascii="Calibri" w:hAnsi="Calibri" w:eastAsia="仿宋_GB2312" w:cs="Times New Roman"/>
      <w:kern w:val="2"/>
      <w:sz w:val="28"/>
      <w:lang w:val="en-US" w:eastAsia="zh-CN" w:bidi="ar-SA"/>
    </w:rPr>
  </w:style>
  <w:style w:type="character" w:customStyle="1" w:styleId="92">
    <w:name w:val="纯文本 Char"/>
    <w:link w:val="19"/>
    <w:autoRedefine/>
    <w:qFormat/>
    <w:uiPriority w:val="0"/>
    <w:rPr>
      <w:rFonts w:ascii="宋体" w:hAnsi="Courier New" w:eastAsia="宋体" w:cs="Times New Roman"/>
      <w:kern w:val="2"/>
      <w:sz w:val="21"/>
      <w:lang w:val="en-US" w:eastAsia="zh-CN" w:bidi="ar-SA"/>
    </w:rPr>
  </w:style>
  <w:style w:type="character" w:customStyle="1" w:styleId="93">
    <w:name w:val="标题 5 Char"/>
    <w:link w:val="8"/>
    <w:autoRedefine/>
    <w:qFormat/>
    <w:uiPriority w:val="0"/>
    <w:rPr>
      <w:rFonts w:ascii="Calibri" w:hAnsi="Calibri" w:eastAsia="仿宋_GB2312" w:cs="Times New Roman"/>
      <w:b/>
      <w:bCs/>
      <w:kern w:val="2"/>
      <w:sz w:val="28"/>
      <w:szCs w:val="28"/>
      <w:lang w:val="en-US" w:eastAsia="zh-CN" w:bidi="ar-SA"/>
    </w:rPr>
  </w:style>
  <w:style w:type="character" w:customStyle="1" w:styleId="94">
    <w:name w:val="日期 Char"/>
    <w:link w:val="21"/>
    <w:autoRedefine/>
    <w:semiHidden/>
    <w:qFormat/>
    <w:uiPriority w:val="0"/>
    <w:rPr>
      <w:rFonts w:ascii="Calibri" w:hAnsi="Calibri" w:eastAsia="宋体" w:cs="Times New Roman"/>
      <w:kern w:val="2"/>
      <w:sz w:val="21"/>
      <w:szCs w:val="24"/>
      <w:lang w:val="en-US" w:eastAsia="zh-CN" w:bidi="ar-SA"/>
    </w:rPr>
  </w:style>
  <w:style w:type="character" w:customStyle="1" w:styleId="95">
    <w:name w:val="hover9"/>
    <w:basedOn w:val="40"/>
    <w:autoRedefine/>
    <w:qFormat/>
    <w:uiPriority w:val="0"/>
    <w:rPr>
      <w:rFonts w:ascii="Calibri" w:hAnsi="Calibri" w:eastAsia="宋体" w:cs="Times New Roman"/>
      <w:color w:val="777777"/>
      <w:shd w:val="clear" w:color="auto" w:fill="FFFFFF"/>
    </w:rPr>
  </w:style>
  <w:style w:type="character" w:customStyle="1" w:styleId="96">
    <w:name w:val="标题 2 Char"/>
    <w:link w:val="4"/>
    <w:autoRedefine/>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7">
    <w:name w:val="publishtime1"/>
    <w:basedOn w:val="40"/>
    <w:autoRedefine/>
    <w:qFormat/>
    <w:uiPriority w:val="0"/>
    <w:rPr>
      <w:rFonts w:ascii="Calibri" w:hAnsi="Calibri" w:eastAsia="宋体" w:cs="Times New Roman"/>
      <w:color w:val="666666"/>
    </w:rPr>
  </w:style>
  <w:style w:type="character" w:customStyle="1" w:styleId="98">
    <w:name w:val="font01"/>
    <w:basedOn w:val="40"/>
    <w:autoRedefine/>
    <w:qFormat/>
    <w:uiPriority w:val="0"/>
    <w:rPr>
      <w:rFonts w:hint="eastAsia" w:ascii="宋体" w:hAnsi="宋体" w:eastAsia="宋体" w:cs="宋体"/>
      <w:color w:val="000000"/>
      <w:sz w:val="22"/>
      <w:szCs w:val="22"/>
      <w:u w:val="none"/>
    </w:rPr>
  </w:style>
  <w:style w:type="character" w:customStyle="1" w:styleId="99">
    <w:name w:val="font21"/>
    <w:basedOn w:val="4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Ta们很有话说的过去</cp:lastModifiedBy>
  <cp:lastPrinted>2019-04-28T08:40:00Z</cp:lastPrinted>
  <dcterms:modified xsi:type="dcterms:W3CDTF">2024-01-19T08:18:55Z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E73DCD2FC09F40E79A9A6DE23B415763_12</vt:lpwstr>
  </property>
</Properties>
</file>