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 w:rightChars="20"/>
        <w:jc w:val="center"/>
        <w:rPr>
          <w:rFonts w:asciiTheme="minorEastAsia" w:hAnsiTheme="minorEastAsia" w:eastAsiaTheme="minorEastAsia"/>
          <w:b/>
          <w:bCs/>
          <w:color w:val="auto"/>
          <w:sz w:val="36"/>
          <w:szCs w:val="36"/>
          <w:highlight w:val="none"/>
        </w:rPr>
      </w:pPr>
    </w:p>
    <w:p>
      <w:pPr>
        <w:spacing w:line="360" w:lineRule="auto"/>
        <w:ind w:right="42" w:rightChars="20"/>
        <w:jc w:val="center"/>
        <w:rPr>
          <w:rFonts w:hint="eastAsia" w:asciiTheme="minorEastAsia" w:hAnsiTheme="minorEastAsia" w:eastAsiaTheme="minorEastAsia"/>
          <w:b/>
          <w:bCs/>
          <w:color w:val="auto"/>
          <w:sz w:val="36"/>
          <w:szCs w:val="36"/>
          <w:highlight w:val="none"/>
          <w:lang w:eastAsia="zh-CN"/>
        </w:rPr>
      </w:pPr>
      <w:r>
        <w:rPr>
          <w:rFonts w:hint="eastAsia" w:asciiTheme="minorEastAsia" w:hAnsiTheme="minorEastAsia" w:eastAsiaTheme="minorEastAsia"/>
          <w:b/>
          <w:bCs/>
          <w:color w:val="auto"/>
          <w:sz w:val="36"/>
          <w:szCs w:val="36"/>
          <w:highlight w:val="none"/>
          <w:lang w:eastAsia="zh-CN"/>
        </w:rPr>
        <w:t>秀洲区2024年度白蚁等害堤动物防治项目</w:t>
      </w:r>
    </w:p>
    <w:p>
      <w:pPr>
        <w:spacing w:line="360" w:lineRule="auto"/>
        <w:ind w:right="42" w:rightChars="20"/>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b/>
          <w:bCs/>
          <w:color w:val="auto"/>
          <w:sz w:val="36"/>
          <w:szCs w:val="36"/>
          <w:highlight w:val="none"/>
        </w:rPr>
        <w:t>（线上电子招投标）</w:t>
      </w:r>
    </w:p>
    <w:p>
      <w:pPr>
        <w:pStyle w:val="95"/>
        <w:spacing w:line="360" w:lineRule="auto"/>
        <w:ind w:right="42" w:rightChars="20"/>
        <w:rPr>
          <w:rFonts w:asciiTheme="minorEastAsia" w:hAnsiTheme="minorEastAsia" w:eastAsiaTheme="minorEastAsia"/>
          <w:color w:val="auto"/>
          <w:highlight w:val="none"/>
        </w:rPr>
      </w:pP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公</w:t>
      </w: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开</w:t>
      </w: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招</w:t>
      </w: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标</w:t>
      </w: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文</w:t>
      </w:r>
    </w:p>
    <w:p>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件</w:t>
      </w:r>
    </w:p>
    <w:p>
      <w:pPr>
        <w:pStyle w:val="95"/>
        <w:spacing w:line="360" w:lineRule="auto"/>
        <w:ind w:right="42" w:rightChars="20"/>
        <w:rPr>
          <w:rFonts w:asciiTheme="minorEastAsia" w:hAnsiTheme="minorEastAsia" w:eastAsiaTheme="minorEastAsia"/>
          <w:color w:val="auto"/>
          <w:highlight w:val="none"/>
        </w:rPr>
      </w:pPr>
    </w:p>
    <w:p>
      <w:pPr>
        <w:pStyle w:val="19"/>
        <w:spacing w:after="0" w:line="360" w:lineRule="auto"/>
        <w:ind w:right="42" w:rightChars="20"/>
        <w:rPr>
          <w:rFonts w:asciiTheme="minorEastAsia" w:hAnsiTheme="minorEastAsia" w:eastAsiaTheme="minorEastAsia"/>
          <w:color w:val="auto"/>
          <w:sz w:val="28"/>
          <w:szCs w:val="28"/>
          <w:highlight w:val="none"/>
        </w:rPr>
      </w:pPr>
    </w:p>
    <w:p>
      <w:pPr>
        <w:pStyle w:val="25"/>
        <w:spacing w:line="360" w:lineRule="auto"/>
        <w:ind w:right="42" w:rightChars="20" w:firstLine="1068" w:firstLineChars="400"/>
        <w:jc w:val="left"/>
        <w:rPr>
          <w:rFonts w:hint="eastAsia" w:asciiTheme="minorEastAsia" w:hAnsiTheme="minorEastAsia" w:eastAsiaTheme="minorEastAsia"/>
          <w:b/>
          <w:bCs/>
          <w:color w:val="auto"/>
          <w:w w:val="95"/>
          <w:sz w:val="28"/>
          <w:szCs w:val="28"/>
          <w:highlight w:val="none"/>
          <w:lang w:eastAsia="zh-CN"/>
        </w:rPr>
      </w:pPr>
      <w:r>
        <w:rPr>
          <w:rFonts w:hint="eastAsia" w:asciiTheme="minorEastAsia" w:hAnsiTheme="minorEastAsia" w:eastAsiaTheme="minorEastAsia"/>
          <w:b/>
          <w:bCs/>
          <w:color w:val="auto"/>
          <w:w w:val="95"/>
          <w:sz w:val="28"/>
          <w:szCs w:val="28"/>
          <w:highlight w:val="none"/>
        </w:rPr>
        <w:t>招标编号：</w:t>
      </w:r>
      <w:r>
        <w:rPr>
          <w:rFonts w:hint="eastAsia" w:asciiTheme="minorEastAsia" w:hAnsiTheme="minorEastAsia" w:eastAsiaTheme="minorEastAsia"/>
          <w:b/>
          <w:color w:val="auto"/>
          <w:sz w:val="28"/>
          <w:szCs w:val="28"/>
          <w:highlight w:val="none"/>
          <w:lang w:eastAsia="zh-CN"/>
        </w:rPr>
        <w:t>大地-DDZX-JX（2024）第1号</w:t>
      </w:r>
    </w:p>
    <w:p>
      <w:pPr>
        <w:pStyle w:val="25"/>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采购单位：</w:t>
      </w:r>
      <w:r>
        <w:rPr>
          <w:rFonts w:hint="eastAsia" w:asciiTheme="minorEastAsia" w:hAnsiTheme="minorEastAsia" w:eastAsiaTheme="minorEastAsia"/>
          <w:b/>
          <w:color w:val="auto"/>
          <w:sz w:val="28"/>
          <w:szCs w:val="28"/>
          <w:highlight w:val="none"/>
        </w:rPr>
        <w:t xml:space="preserve">嘉兴市秀洲区农业农村和水利局  </w:t>
      </w:r>
    </w:p>
    <w:p>
      <w:pPr>
        <w:pStyle w:val="25"/>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代理机构：大地工程咨询有限公司</w:t>
      </w:r>
    </w:p>
    <w:p>
      <w:pPr>
        <w:pStyle w:val="25"/>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备案单位：嘉兴市秀洲区财政局</w:t>
      </w:r>
    </w:p>
    <w:p>
      <w:pPr>
        <w:pStyle w:val="25"/>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p>
    <w:p>
      <w:pPr>
        <w:spacing w:line="360" w:lineRule="auto"/>
        <w:ind w:right="42" w:rightChars="20" w:firstLine="534" w:firstLineChars="200"/>
        <w:jc w:val="center"/>
        <w:rPr>
          <w:rFonts w:asciiTheme="minorEastAsia" w:hAnsiTheme="minorEastAsia" w:eastAsiaTheme="minorEastAsia"/>
          <w:b/>
          <w:bCs/>
          <w:color w:val="auto"/>
          <w:w w:val="95"/>
          <w:sz w:val="28"/>
          <w:szCs w:val="28"/>
          <w:highlight w:val="none"/>
        </w:rPr>
      </w:pPr>
      <w:bookmarkStart w:id="0" w:name="_Toc427915753"/>
      <w:bookmarkStart w:id="1" w:name="_Toc50012812"/>
      <w:bookmarkStart w:id="2" w:name="_Toc493511539"/>
      <w:r>
        <w:rPr>
          <w:rFonts w:hint="eastAsia"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4</w:t>
      </w:r>
      <w:r>
        <w:rPr>
          <w:rFonts w:hint="eastAsia" w:asciiTheme="minorEastAsia" w:hAnsiTheme="minorEastAsia" w:eastAsiaTheme="minorEastAsia"/>
          <w:b/>
          <w:bCs/>
          <w:color w:val="auto"/>
          <w:w w:val="95"/>
          <w:sz w:val="28"/>
          <w:szCs w:val="28"/>
          <w:highlight w:val="none"/>
        </w:rPr>
        <w:t>年</w:t>
      </w:r>
      <w:bookmarkEnd w:id="0"/>
      <w:bookmarkEnd w:id="1"/>
      <w:bookmarkEnd w:id="2"/>
      <w:r>
        <w:rPr>
          <w:rFonts w:hint="eastAsia" w:asciiTheme="minorEastAsia" w:hAnsiTheme="minorEastAsia" w:eastAsiaTheme="minorEastAsia"/>
          <w:b/>
          <w:bCs/>
          <w:color w:val="auto"/>
          <w:w w:val="95"/>
          <w:sz w:val="28"/>
          <w:szCs w:val="28"/>
          <w:highlight w:val="none"/>
          <w:lang w:val="en-US" w:eastAsia="zh-CN"/>
        </w:rPr>
        <w:t>1</w:t>
      </w:r>
      <w:r>
        <w:rPr>
          <w:rFonts w:hint="eastAsia" w:asciiTheme="minorEastAsia" w:hAnsiTheme="minorEastAsia" w:eastAsiaTheme="minorEastAsia"/>
          <w:b/>
          <w:bCs/>
          <w:color w:val="auto"/>
          <w:w w:val="95"/>
          <w:sz w:val="28"/>
          <w:szCs w:val="28"/>
          <w:highlight w:val="none"/>
        </w:rPr>
        <w:t>月</w:t>
      </w:r>
    </w:p>
    <w:p>
      <w:pPr>
        <w:pStyle w:val="4"/>
        <w:rPr>
          <w:color w:val="auto"/>
          <w:highlight w:val="none"/>
        </w:rPr>
      </w:pPr>
    </w:p>
    <w:p>
      <w:pPr>
        <w:pStyle w:val="143"/>
        <w:spacing w:before="0" w:line="360" w:lineRule="auto"/>
        <w:ind w:right="42" w:rightChars="20" w:firstLine="422" w:firstLineChars="200"/>
        <w:rPr>
          <w:rFonts w:asciiTheme="minorEastAsia" w:hAnsiTheme="minorEastAsia" w:eastAsiaTheme="minorEastAsia"/>
          <w:color w:val="auto"/>
          <w:sz w:val="21"/>
          <w:szCs w:val="21"/>
          <w:highlight w:val="none"/>
          <w:lang w:val="zh-CN"/>
        </w:rPr>
        <w:sectPr>
          <w:footerReference r:id="rId3" w:type="default"/>
          <w:pgSz w:w="11906" w:h="16838"/>
          <w:pgMar w:top="1474" w:right="1842" w:bottom="1247" w:left="1797" w:header="851" w:footer="851" w:gutter="0"/>
          <w:cols w:space="720" w:num="1"/>
          <w:docGrid w:linePitch="312" w:charSpace="0"/>
        </w:sectPr>
      </w:pPr>
    </w:p>
    <w:p>
      <w:pPr>
        <w:spacing w:line="360" w:lineRule="auto"/>
        <w:ind w:right="42" w:rightChars="20"/>
        <w:rPr>
          <w:rFonts w:asciiTheme="minorEastAsia" w:hAnsiTheme="minorEastAsia" w:eastAsiaTheme="minorEastAsia"/>
          <w:color w:val="auto"/>
          <w:highlight w:val="none"/>
        </w:rPr>
      </w:pPr>
    </w:p>
    <w:p>
      <w:pPr>
        <w:pStyle w:val="143"/>
        <w:spacing w:before="0" w:line="360" w:lineRule="auto"/>
        <w:ind w:right="42" w:rightChars="20" w:firstLine="422" w:firstLineChars="200"/>
        <w:jc w:val="center"/>
        <w:rPr>
          <w:rFonts w:asciiTheme="minorEastAsia" w:hAnsiTheme="minorEastAsia" w:eastAsiaTheme="minorEastAsia"/>
          <w:color w:val="auto"/>
          <w:sz w:val="21"/>
          <w:szCs w:val="21"/>
          <w:highlight w:val="none"/>
        </w:rPr>
      </w:pPr>
      <w:bookmarkStart w:id="3" w:name="_Toc28810"/>
      <w:r>
        <w:rPr>
          <w:rFonts w:asciiTheme="minorEastAsia" w:hAnsiTheme="minorEastAsia" w:eastAsiaTheme="minorEastAsia"/>
          <w:color w:val="auto"/>
          <w:sz w:val="21"/>
          <w:szCs w:val="21"/>
          <w:highlight w:val="none"/>
          <w:lang w:val="zh-CN"/>
        </w:rPr>
        <w:t>目录</w:t>
      </w:r>
      <w:bookmarkEnd w:id="3"/>
    </w:p>
    <w:p>
      <w:pPr>
        <w:pStyle w:val="32"/>
        <w:tabs>
          <w:tab w:val="right" w:leader="dot" w:pos="8312"/>
        </w:tabs>
        <w:spacing w:line="360" w:lineRule="auto"/>
        <w:ind w:right="42" w:rightChars="20"/>
        <w:rPr>
          <w:rFonts w:cs="微软雅黑" w:asciiTheme="minorEastAsia" w:hAnsiTheme="minorEastAsia" w:eastAsiaTheme="minorEastAsia"/>
          <w:color w:val="auto"/>
          <w:highlight w:val="none"/>
        </w:rPr>
      </w:pP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TOC \o "1-3" \h \z \u </w:instrText>
      </w:r>
      <w:r>
        <w:rPr>
          <w:rFonts w:hint="eastAsia" w:cs="微软雅黑" w:asciiTheme="minorEastAsia" w:hAnsiTheme="minorEastAsia" w:eastAsiaTheme="minorEastAsia"/>
          <w:color w:val="auto"/>
          <w:szCs w:val="21"/>
          <w:highlight w:val="none"/>
        </w:rPr>
        <w:fldChar w:fldCharType="separate"/>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cs="微软雅黑" w:asciiTheme="minorEastAsia" w:hAnsiTheme="minorEastAsia" w:eastAsiaTheme="minorEastAsia"/>
          <w:color w:val="auto"/>
          <w:highlight w:val="none"/>
        </w:rPr>
        <w:t>第一章  公开招标采购公告</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_Toc3494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"_Toc3892" </w:instrText>
      </w:r>
      <w:r>
        <w:rPr>
          <w:color w:val="auto"/>
          <w:highlight w:val="none"/>
        </w:rPr>
        <w:fldChar w:fldCharType="separate"/>
      </w:r>
      <w:r>
        <w:rPr>
          <w:rFonts w:hint="eastAsia" w:cs="微软雅黑" w:asciiTheme="minorEastAsia" w:hAnsiTheme="minorEastAsia" w:eastAsiaTheme="minorEastAsia"/>
          <w:color w:val="auto"/>
          <w:highlight w:val="none"/>
        </w:rPr>
        <w:t>第二章  采购需求</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_Toc3892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"_Toc31093" </w:instrText>
      </w:r>
      <w:r>
        <w:rPr>
          <w:color w:val="auto"/>
          <w:highlight w:val="none"/>
        </w:rPr>
        <w:fldChar w:fldCharType="separate"/>
      </w:r>
      <w:r>
        <w:rPr>
          <w:rFonts w:hint="eastAsia" w:cs="微软雅黑" w:asciiTheme="minorEastAsia" w:hAnsiTheme="minorEastAsia" w:eastAsiaTheme="minorEastAsia"/>
          <w:color w:val="auto"/>
          <w:highlight w:val="none"/>
        </w:rPr>
        <w:t>第三章  投标人须知</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_Toc31093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"_Toc27157" </w:instrText>
      </w:r>
      <w:r>
        <w:rPr>
          <w:color w:val="auto"/>
          <w:highlight w:val="none"/>
        </w:rPr>
        <w:fldChar w:fldCharType="separate"/>
      </w:r>
      <w:r>
        <w:rPr>
          <w:rFonts w:hint="eastAsia" w:cs="微软雅黑" w:asciiTheme="minorEastAsia" w:hAnsiTheme="minorEastAsia" w:eastAsiaTheme="minorEastAsia"/>
          <w:color w:val="auto"/>
          <w:highlight w:val="none"/>
        </w:rPr>
        <w:t>第四章  评标办法及评</w:t>
      </w:r>
      <w:bookmarkStart w:id="4" w:name="_Hlt58947582"/>
      <w:bookmarkStart w:id="5" w:name="_Hlt58947581"/>
      <w:r>
        <w:rPr>
          <w:rFonts w:hint="eastAsia" w:cs="微软雅黑" w:asciiTheme="minorEastAsia" w:hAnsiTheme="minorEastAsia" w:eastAsiaTheme="minorEastAsia"/>
          <w:color w:val="auto"/>
          <w:highlight w:val="none"/>
        </w:rPr>
        <w:t>分</w:t>
      </w:r>
      <w:bookmarkEnd w:id="4"/>
      <w:bookmarkEnd w:id="5"/>
      <w:r>
        <w:rPr>
          <w:rFonts w:hint="eastAsia" w:cs="微软雅黑" w:asciiTheme="minorEastAsia" w:hAnsiTheme="minorEastAsia" w:eastAsiaTheme="minorEastAsia"/>
          <w:color w:val="auto"/>
          <w:highlight w:val="none"/>
        </w:rPr>
        <w:t>标准</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_Toc27157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30</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cs="微软雅黑" w:asciiTheme="minorEastAsia" w:hAnsiTheme="minorEastAsia" w:eastAsiaTheme="minorEastAsia"/>
          <w:color w:val="auto"/>
          <w:highlight w:val="none"/>
        </w:rPr>
        <w:t>第五章  政府采购合同</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_Toc28829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31</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pStyle w:val="4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"_Toc5531" </w:instrText>
      </w:r>
      <w:r>
        <w:rPr>
          <w:color w:val="auto"/>
          <w:highlight w:val="none"/>
        </w:rPr>
        <w:fldChar w:fldCharType="separate"/>
      </w:r>
      <w:r>
        <w:rPr>
          <w:rFonts w:hint="eastAsia" w:cs="微软雅黑" w:asciiTheme="minorEastAsia" w:hAnsiTheme="minorEastAsia" w:eastAsiaTheme="minorEastAsia"/>
          <w:color w:val="auto"/>
          <w:highlight w:val="none"/>
        </w:rPr>
        <w:t>第六章　投标文件相关格式</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_Toc5531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fldChar w:fldCharType="end"/>
      </w:r>
    </w:p>
    <w:p>
      <w:pPr>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158"/>
        <w:ind w:right="42" w:rightChars="20"/>
        <w:rPr>
          <w:rFonts w:asciiTheme="minorEastAsia" w:hAnsiTheme="minorEastAsia" w:eastAsiaTheme="minorEastAsia"/>
          <w:b w:val="0"/>
          <w:color w:val="auto"/>
          <w:highlight w:val="none"/>
        </w:rPr>
      </w:pPr>
      <w:bookmarkStart w:id="6" w:name="_Toc493511540"/>
      <w:r>
        <w:rPr>
          <w:rFonts w:hint="eastAsia" w:asciiTheme="minorEastAsia" w:hAnsiTheme="minorEastAsia" w:eastAsiaTheme="minorEastAsia"/>
          <w:color w:val="auto"/>
          <w:highlight w:val="none"/>
        </w:rPr>
        <w:br w:type="page"/>
      </w:r>
      <w:bookmarkStart w:id="7" w:name="_Toc3494"/>
      <w:r>
        <w:rPr>
          <w:rStyle w:val="64"/>
          <w:rFonts w:hint="eastAsia" w:cs="微软雅黑" w:asciiTheme="minorEastAsia" w:hAnsiTheme="minorEastAsia" w:eastAsiaTheme="minorEastAsia"/>
          <w:b/>
          <w:color w:val="auto"/>
          <w:highlight w:val="none"/>
        </w:rPr>
        <w:t>第一章  公开招标采购公告</w:t>
      </w:r>
      <w:bookmarkEnd w:id="6"/>
      <w:bookmarkEnd w:id="7"/>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i w:val="0"/>
          <w:iCs w:val="0"/>
          <w:caps w:val="0"/>
          <w:color w:val="000000"/>
          <w:spacing w:val="0"/>
          <w:sz w:val="21"/>
          <w:szCs w:val="21"/>
        </w:rPr>
      </w:pPr>
      <w:bookmarkStart w:id="8" w:name="_Toc3892"/>
      <w:bookmarkStart w:id="9" w:name="_Toc493511541"/>
      <w:bookmarkStart w:id="10" w:name="_Toc177870534"/>
      <w:r>
        <w:rPr>
          <w:rFonts w:hint="eastAsia" w:cs="宋体" w:asciiTheme="minorEastAsia" w:hAnsiTheme="minorEastAsia" w:eastAsiaTheme="minorEastAsia"/>
          <w:color w:val="auto"/>
          <w:sz w:val="18"/>
          <w:szCs w:val="18"/>
          <w:highlight w:val="none"/>
        </w:rPr>
        <w:t> </w:t>
      </w:r>
      <w:r>
        <w:rPr>
          <w:rFonts w:ascii="仿宋" w:hAnsi="仿宋" w:eastAsia="仿宋" w:cs="仿宋"/>
          <w:color w:val="auto"/>
          <w:sz w:val="27"/>
          <w:szCs w:val="27"/>
          <w:highlight w:val="none"/>
        </w:rPr>
        <w:t>         </w:t>
      </w:r>
      <w:r>
        <w:rPr>
          <w:rFonts w:hint="eastAsia" w:asciiTheme="minorEastAsia" w:hAnsiTheme="minorEastAsia" w:eastAsiaTheme="minorEastAsia" w:cstheme="minorEastAsia"/>
          <w:color w:val="auto"/>
          <w:sz w:val="21"/>
          <w:szCs w:val="21"/>
          <w:highlight w:val="none"/>
        </w:rPr>
        <w:t xml:space="preserve"> </w:t>
      </w:r>
      <w:r>
        <w:rPr>
          <w:rFonts w:ascii="仿宋" w:hAnsi="仿宋" w:eastAsia="仿宋" w:cs="仿宋"/>
          <w:i w:val="0"/>
          <w:iCs w:val="0"/>
          <w:caps w:val="0"/>
          <w:color w:val="000000"/>
          <w:spacing w:val="0"/>
          <w:sz w:val="27"/>
          <w:szCs w:val="27"/>
        </w:rPr>
        <w:t xml:space="preserve">  </w:t>
      </w:r>
      <w:r>
        <w:rPr>
          <w:rFonts w:hint="eastAsia" w:ascii="宋体" w:hAnsi="宋体" w:eastAsia="宋体" w:cs="宋体"/>
          <w:i w:val="0"/>
          <w:iCs w:val="0"/>
          <w:caps w:val="0"/>
          <w:color w:val="000000"/>
          <w:spacing w:val="0"/>
          <w:sz w:val="21"/>
          <w:szCs w:val="21"/>
        </w:rPr>
        <w:t>  项目概况</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秀洲区2024年度白蚁等害堤动物防治项目招标项目的潜在投标人应在</w:t>
      </w:r>
      <w:r>
        <w:rPr>
          <w:rFonts w:hint="eastAsia" w:ascii="宋体" w:hAnsi="宋体" w:eastAsia="宋体" w:cs="宋体"/>
          <w:i w:val="0"/>
          <w:iCs w:val="0"/>
          <w:caps w:val="0"/>
          <w:color w:val="000000"/>
          <w:spacing w:val="0"/>
          <w:sz w:val="21"/>
          <w:szCs w:val="21"/>
          <w:u w:val="none"/>
        </w:rPr>
        <w:t>政采云平台线上获取</w:t>
      </w:r>
      <w:r>
        <w:rPr>
          <w:rFonts w:hint="eastAsia" w:ascii="宋体" w:hAnsi="宋体" w:eastAsia="宋体" w:cs="宋体"/>
          <w:i w:val="0"/>
          <w:iCs w:val="0"/>
          <w:caps w:val="0"/>
          <w:color w:val="000000"/>
          <w:spacing w:val="0"/>
          <w:sz w:val="21"/>
          <w:szCs w:val="21"/>
        </w:rPr>
        <w:t>获取（下载）招标文件，并于 2024年02月04日 14:00（北京时间）前递交（上传）投标文件。                             </w:t>
      </w:r>
    </w:p>
    <w:p>
      <w:pPr>
        <w:pStyle w:val="44"/>
        <w:keepNext w:val="0"/>
        <w:keepLines w:val="0"/>
        <w:pageBreakBefore w:val="0"/>
        <w:widowControl/>
        <w:numPr>
          <w:ilvl w:val="0"/>
          <w:numId w:val="2"/>
        </w:numPr>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Style w:val="53"/>
          <w:rFonts w:hint="eastAsia" w:ascii="宋体" w:hAnsi="宋体" w:eastAsia="宋体" w:cs="宋体"/>
          <w:i w:val="0"/>
          <w:iCs w:val="0"/>
          <w:caps w:val="0"/>
          <w:color w:val="000000"/>
          <w:spacing w:val="0"/>
          <w:sz w:val="21"/>
          <w:szCs w:val="21"/>
        </w:rPr>
      </w:pPr>
      <w:r>
        <w:rPr>
          <w:rStyle w:val="53"/>
          <w:rFonts w:hint="eastAsia" w:ascii="宋体" w:hAnsi="宋体" w:eastAsia="宋体" w:cs="宋体"/>
          <w:i w:val="0"/>
          <w:iCs w:val="0"/>
          <w:caps w:val="0"/>
          <w:color w:val="000000"/>
          <w:spacing w:val="0"/>
          <w:sz w:val="21"/>
          <w:szCs w:val="21"/>
        </w:rPr>
        <w:t>项目基本情况</w:t>
      </w:r>
    </w:p>
    <w:p>
      <w:pPr>
        <w:pStyle w:val="44"/>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360" w:lineRule="auto"/>
        <w:ind w:right="0" w:rightChars="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项目编号：大地-DDZX-JX（2024）第1号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项目名称：秀洲区2024年度白蚁等害堤动物防治项目</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预算金额（元）：640000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最高限价（元）：640000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标项名称: 秀洲区2024年度白蚁等害堤动物防治项目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数量: 不限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预算金额（元）: 640000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简要规格描述或项目基本概况介绍、用途：总计510.8公里的圩区由42处堤防组成，分布区洪合镇、油车港镇、新塍镇、王江泾镇、王店镇和高新区。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备注：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1，2024年5月20日前完成所有工作</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本项目（否）接受联合体投标。</w:t>
      </w:r>
    </w:p>
    <w:p>
      <w:pPr>
        <w:pStyle w:val="44"/>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二、申请人的资格要求：</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2.落实政府采购政策需满足的资格要求：标项1：本项目专门面向中小企业招标（投标时须提供中小企业声明函）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3.本项目的特定资格要求：无 </w:t>
      </w:r>
    </w:p>
    <w:p>
      <w:pPr>
        <w:pStyle w:val="4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时间：/至2024年02月04日 ，每天上午00:00至12:00 ，下午12:00至23:59（北京时间，线上获取法定节假日均可，线下获取文件法定节假日除外）</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地点（网址）：政采云平台线上获取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方式：供应商登录政采云平台https://www.zcygov.cn/在线申请获取采购文件（进入“项目采购”应用，在获取采购文件菜单中选择项目，申请获取采购文件）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 </w:t>
      </w:r>
    </w:p>
    <w:p>
      <w:pPr>
        <w:pStyle w:val="4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四、提交投标文件截止时间、开标时间和地点</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提交投标文件截止时间：2024年02月04日 14:00（北京时间）</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投标地点（网址）：请登录政采云投标客户端投标 </w:t>
      </w: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开标时间：2024年02月04日 14:00</w:t>
      </w: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开标地点（网址）：“政采云”平台电子投标（线上）</w:t>
      </w: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自本公告发布之日起5个工作日。</w:t>
      </w:r>
    </w:p>
    <w:p>
      <w:pPr>
        <w:pStyle w:val="4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六、其他补充事宜</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4.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https://jinrong.zcygov.cn/finance-service/#/home。</w:t>
      </w:r>
    </w:p>
    <w:p>
      <w:pPr>
        <w:pStyle w:val="4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3"/>
          <w:rFonts w:hint="eastAsia" w:ascii="宋体" w:hAnsi="宋体" w:eastAsia="宋体" w:cs="宋体"/>
          <w:i w:val="0"/>
          <w:iCs w:val="0"/>
          <w:caps w:val="0"/>
          <w:color w:val="000000"/>
          <w:spacing w:val="0"/>
          <w:sz w:val="21"/>
          <w:szCs w:val="21"/>
        </w:rPr>
        <w:t>七、对本次采购提出询问、质疑、投诉，请按以下方式联系</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称：嘉兴市秀洲区农业农村和水利局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址：嘉兴市三塔路239号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项目联系人（询问）：刘峥嵘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项目联系方式（询问）：0573-82071021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质疑联系人：赵淑媛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质疑联系方式：0573-83675837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称：大地工程咨询有限公司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址：嘉兴市洪波路1200号万豪广场12楼1204号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项目联系人（询问）：杨丽莉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项目联系方式（询问）：0573-82133572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质疑联系人：吴斌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质疑联系方式：0573-82133572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w:t>
      </w:r>
      <w:r>
        <w:rPr>
          <w:rStyle w:val="59"/>
          <w:rFonts w:hint="eastAsia" w:ascii="宋体" w:hAnsi="宋体" w:eastAsia="宋体" w:cs="宋体"/>
          <w:i w:val="0"/>
          <w:iCs w:val="0"/>
          <w:caps w:val="0"/>
          <w:color w:val="000000"/>
          <w:spacing w:val="0"/>
          <w:sz w:val="21"/>
          <w:szCs w:val="21"/>
        </w:rPr>
        <w:t>同级政府采购监督管理部门</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称：嘉兴市秀洲区财政局</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址：嘉兴市秀洲区新城街道洪兴西路1765号</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联 系 人：宋工</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监督投诉电话：0573-82720085</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pPr>
        <w:pStyle w:val="4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CA问题联系电话（人工）：汇信CA 400-888-4636；天谷CA 400-087-8198。</w:t>
      </w:r>
    </w:p>
    <w:p>
      <w:pPr>
        <w:pStyle w:val="4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widowControl/>
        <w:spacing w:line="360" w:lineRule="auto"/>
        <w:jc w:val="left"/>
        <w:rPr>
          <w:rFonts w:asciiTheme="minorEastAsia" w:hAnsiTheme="minorEastAsia" w:eastAsiaTheme="minorEastAsia" w:cstheme="minorEastAsia"/>
          <w:color w:val="auto"/>
          <w:szCs w:val="21"/>
          <w:highlight w:val="none"/>
        </w:rPr>
      </w:pPr>
      <w:r>
        <w:rPr>
          <w:rFonts w:hint="default" w:ascii="sans-serif" w:hAnsi="sans-serif" w:eastAsia="sans-serif" w:cs="sans-serif"/>
          <w:i w:val="0"/>
          <w:iCs w:val="0"/>
          <w:caps w:val="0"/>
          <w:color w:val="000000"/>
          <w:spacing w:val="0"/>
          <w:sz w:val="24"/>
          <w:szCs w:val="24"/>
        </w:rPr>
        <w:t>    </w:t>
      </w:r>
    </w:p>
    <w:p>
      <w:pPr>
        <w:widowControl/>
        <w:spacing w:line="360" w:lineRule="auto"/>
        <w:jc w:val="left"/>
        <w:rPr>
          <w:rFonts w:asciiTheme="minorEastAsia" w:hAnsiTheme="minorEastAsia" w:eastAsiaTheme="minorEastAsia" w:cstheme="minorEastAsia"/>
          <w:color w:val="auto"/>
          <w:szCs w:val="21"/>
          <w:highlight w:val="none"/>
        </w:rPr>
      </w:pPr>
    </w:p>
    <w:p>
      <w:pPr>
        <w:pStyle w:val="44"/>
        <w:spacing w:before="75" w:beforeAutospacing="0" w:after="75" w:afterAutospacing="0"/>
        <w:rPr>
          <w:color w:val="auto"/>
          <w:highlight w:val="none"/>
        </w:rPr>
      </w:pPr>
    </w:p>
    <w:bookmarkEnd w:id="8"/>
    <w:bookmarkEnd w:id="9"/>
    <w:p>
      <w:pPr>
        <w:pStyle w:val="44"/>
        <w:numPr>
          <w:ilvl w:val="0"/>
          <w:numId w:val="3"/>
        </w:numPr>
        <w:spacing w:before="0" w:beforeAutospacing="0" w:after="0" w:afterAutospacing="0" w:line="360" w:lineRule="auto"/>
        <w:ind w:right="42" w:rightChars="20"/>
        <w:jc w:val="center"/>
        <w:rPr>
          <w:rFonts w:asciiTheme="minorEastAsia" w:hAnsiTheme="minorEastAsia" w:eastAsiaTheme="minorEastAsia"/>
          <w:b/>
          <w:bCs/>
          <w:color w:val="auto"/>
          <w:kern w:val="2"/>
          <w:szCs w:val="52"/>
          <w:highlight w:val="none"/>
        </w:rPr>
      </w:pPr>
      <w:bookmarkStart w:id="11" w:name="_Toc31093"/>
      <w:bookmarkStart w:id="12" w:name="_Toc493511542"/>
      <w:r>
        <w:rPr>
          <w:rFonts w:hint="eastAsia" w:asciiTheme="minorEastAsia" w:hAnsiTheme="minorEastAsia" w:eastAsiaTheme="minorEastAsia"/>
          <w:b/>
          <w:bCs/>
          <w:color w:val="auto"/>
          <w:kern w:val="2"/>
          <w:szCs w:val="52"/>
          <w:highlight w:val="none"/>
        </w:rPr>
        <w:t xml:space="preserve"> 采购需求</w:t>
      </w:r>
    </w:p>
    <w:p>
      <w:pPr>
        <w:pStyle w:val="4"/>
        <w:widowControl/>
        <w:numPr>
          <w:ilvl w:val="0"/>
          <w:numId w:val="4"/>
        </w:numPr>
        <w:tabs>
          <w:tab w:val="left" w:pos="576"/>
        </w:tabs>
        <w:spacing w:before="0" w:after="0" w:line="420" w:lineRule="atLeast"/>
        <w:ind w:left="420"/>
        <w:jc w:val="left"/>
        <w:rPr>
          <w:rFonts w:hint="eastAsia" w:asciiTheme="minorEastAsia" w:hAnsiTheme="minorEastAsia" w:eastAsiaTheme="minorEastAsia" w:cstheme="minorEastAsia"/>
          <w:b/>
          <w:bCs/>
          <w:color w:val="auto"/>
          <w:sz w:val="21"/>
          <w:szCs w:val="21"/>
          <w:highlight w:val="none"/>
          <w:lang w:bidi="ar"/>
        </w:rPr>
      </w:pPr>
      <w:bookmarkStart w:id="13" w:name="_Toc500021587"/>
      <w:r>
        <w:rPr>
          <w:rFonts w:hint="eastAsia" w:asciiTheme="minorEastAsia" w:hAnsiTheme="minorEastAsia" w:eastAsiaTheme="minorEastAsia" w:cstheme="minorEastAsia"/>
          <w:b/>
          <w:bCs/>
          <w:color w:val="auto"/>
          <w:sz w:val="21"/>
          <w:szCs w:val="21"/>
          <w:highlight w:val="none"/>
          <w:lang w:bidi="ar"/>
        </w:rPr>
        <w:t>项目</w:t>
      </w:r>
      <w:bookmarkEnd w:id="13"/>
      <w:r>
        <w:rPr>
          <w:rFonts w:hint="eastAsia" w:asciiTheme="minorEastAsia" w:hAnsiTheme="minorEastAsia" w:eastAsiaTheme="minorEastAsia" w:cstheme="minorEastAsia"/>
          <w:b/>
          <w:bCs/>
          <w:color w:val="auto"/>
          <w:sz w:val="21"/>
          <w:szCs w:val="21"/>
          <w:highlight w:val="none"/>
          <w:lang w:bidi="ar"/>
        </w:rPr>
        <w:t>概述</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秀洲区圩区堤防是保护浙江省嘉兴市及杭嘉湖平原人民生命财产安全的重点水利工程，总计510.8公里的圩区由42处堤防组成，分布区洪合镇、油车港镇、新塍镇、王江泾镇、王店镇和高新区。该项目涉及范围广、里程长、河网交错、路况环境复杂。</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为响应</w:t>
      </w:r>
      <w:r>
        <w:rPr>
          <w:rFonts w:hint="eastAsia" w:ascii="宋体" w:hAnsi="宋体" w:eastAsia="宋体" w:cs="宋体"/>
          <w:color w:val="auto"/>
          <w:szCs w:val="21"/>
          <w:highlight w:val="none"/>
          <w:lang w:bidi="ar"/>
        </w:rPr>
        <w:t>《水利部办公厅关于做好水利工程白蚁等害堤动物隐患应急整治工作的通知》（办运管〔2023〕119号）</w:t>
      </w:r>
      <w:r>
        <w:rPr>
          <w:rFonts w:hint="eastAsia" w:ascii="宋体" w:hAnsi="宋体" w:eastAsia="宋体" w:cs="宋体"/>
          <w:color w:val="auto"/>
          <w:szCs w:val="21"/>
          <w:highlight w:val="none"/>
          <w:lang w:val="en-US" w:eastAsia="zh-CN" w:bidi="ar"/>
        </w:rPr>
        <w:t>和</w:t>
      </w:r>
      <w:r>
        <w:rPr>
          <w:rFonts w:hint="eastAsia" w:ascii="宋体" w:hAnsi="宋体" w:eastAsia="宋体" w:cs="宋体"/>
          <w:color w:val="auto"/>
          <w:szCs w:val="21"/>
          <w:highlight w:val="none"/>
          <w:lang w:bidi="ar"/>
        </w:rPr>
        <w:t>《浙江省水利工程白蚁等害堤动物隐患应急整治专项工作方案》</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及时消除</w:t>
      </w:r>
      <w:r>
        <w:rPr>
          <w:rFonts w:hint="eastAsia" w:ascii="宋体" w:hAnsi="宋体" w:eastAsia="宋体" w:cs="宋体"/>
          <w:color w:val="auto"/>
          <w:szCs w:val="21"/>
          <w:highlight w:val="none"/>
          <w:lang w:val="en-US" w:eastAsia="zh-CN" w:bidi="ar"/>
        </w:rPr>
        <w:t>白蚁</w:t>
      </w:r>
      <w:r>
        <w:rPr>
          <w:rFonts w:hint="eastAsia" w:ascii="宋体" w:hAnsi="宋体" w:eastAsia="宋体" w:cs="宋体"/>
          <w:color w:val="auto"/>
          <w:szCs w:val="21"/>
          <w:highlight w:val="none"/>
          <w:lang w:bidi="ar"/>
        </w:rPr>
        <w:t>隐患，确保堤防等水利工程</w:t>
      </w:r>
      <w:r>
        <w:rPr>
          <w:rFonts w:hint="eastAsia" w:ascii="宋体" w:hAnsi="宋体" w:eastAsia="宋体" w:cs="宋体"/>
          <w:color w:val="auto"/>
          <w:szCs w:val="21"/>
          <w:highlight w:val="none"/>
          <w:lang w:eastAsia="zh-CN" w:bidi="ar"/>
        </w:rPr>
        <w:t>安全</w:t>
      </w:r>
      <w:r>
        <w:rPr>
          <w:rFonts w:hint="eastAsia" w:ascii="宋体" w:hAnsi="宋体" w:eastAsia="宋体" w:cs="宋体"/>
          <w:color w:val="auto"/>
          <w:szCs w:val="21"/>
          <w:highlight w:val="none"/>
          <w:lang w:bidi="ar"/>
        </w:rPr>
        <w:t>运行</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按照</w:t>
      </w:r>
      <w:r>
        <w:rPr>
          <w:rFonts w:hint="eastAsia" w:ascii="宋体" w:hAnsi="宋体" w:eastAsia="宋体" w:cs="宋体"/>
          <w:color w:val="auto"/>
          <w:szCs w:val="21"/>
          <w:highlight w:val="none"/>
          <w:lang w:eastAsia="zh-CN" w:bidi="ar"/>
        </w:rPr>
        <w:t>上级</w:t>
      </w:r>
      <w:r>
        <w:rPr>
          <w:rFonts w:hint="eastAsia" w:ascii="宋体" w:hAnsi="宋体" w:eastAsia="宋体" w:cs="宋体"/>
          <w:color w:val="auto"/>
          <w:szCs w:val="21"/>
          <w:highlight w:val="none"/>
          <w:lang w:bidi="ar"/>
        </w:rPr>
        <w:t>关于水利工程白蚁等害堤动物隐患应急整治专项工作要求</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在全面开展白蚁危害专项排查工作的基础上，进一步为白蚁危害防治工作建立完善的预警机制，需建立长效化、实时化的白蚁预警监测系统。</w:t>
      </w:r>
    </w:p>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 xml:space="preserve"> 本项目预算为64万元整（其中中央财政资金为58万元，地方财政资金为6万元整）</w:t>
      </w:r>
      <w:r>
        <w:rPr>
          <w:rFonts w:hint="eastAsia" w:ascii="宋体" w:hAnsi="宋体" w:cs="宋体"/>
          <w:color w:val="auto"/>
          <w:szCs w:val="21"/>
          <w:highlight w:val="none"/>
          <w:lang w:val="en-US" w:eastAsia="zh-CN" w:bidi="ar"/>
        </w:rPr>
        <w:t>。</w:t>
      </w:r>
    </w:p>
    <w:p>
      <w:pPr>
        <w:tabs>
          <w:tab w:val="left" w:pos="0"/>
        </w:tabs>
        <w:adjustRightInd w:val="0"/>
        <w:snapToGrid w:val="0"/>
        <w:spacing w:line="420" w:lineRule="atLeast"/>
        <w:ind w:firstLine="420" w:firstLineChars="200"/>
        <w:rPr>
          <w:rFonts w:ascii="宋体" w:hAnsi="宋体" w:cs="宋体"/>
          <w:b/>
          <w:bCs/>
          <w:color w:val="auto"/>
          <w:szCs w:val="21"/>
          <w:highlight w:val="none"/>
          <w:lang w:bidi="ar"/>
        </w:rPr>
      </w:pPr>
      <w:r>
        <w:rPr>
          <w:rFonts w:hint="eastAsia" w:ascii="宋体" w:hAnsi="宋体" w:cs="宋体"/>
          <w:color w:val="auto"/>
          <w:szCs w:val="21"/>
          <w:highlight w:val="none"/>
          <w:lang w:val="en-US" w:eastAsia="zh-CN" w:bidi="ar"/>
        </w:rPr>
        <w:t xml:space="preserve"> </w:t>
      </w:r>
      <w:r>
        <w:rPr>
          <w:rFonts w:hint="eastAsia" w:ascii="宋体" w:hAnsi="宋体" w:cs="宋体"/>
          <w:b/>
          <w:bCs/>
          <w:color w:val="auto"/>
          <w:szCs w:val="21"/>
          <w:highlight w:val="none"/>
          <w:lang w:bidi="ar"/>
        </w:rPr>
        <w:t>二、工作内容</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1、对总长510.8公里的圩区全面开展白蚁隐患普查工作。（详见下表）</w:t>
      </w:r>
    </w:p>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cs="宋体"/>
          <w:color w:val="auto"/>
          <w:szCs w:val="21"/>
          <w:highlight w:val="none"/>
          <w:lang w:val="en-US" w:eastAsia="zh-CN" w:bidi="ar"/>
        </w:rPr>
        <w:t>全智能白蚁监测系统</w:t>
      </w:r>
      <w:r>
        <w:rPr>
          <w:rFonts w:hint="eastAsia" w:ascii="宋体" w:hAnsi="宋体" w:eastAsia="宋体" w:cs="宋体"/>
          <w:color w:val="auto"/>
          <w:szCs w:val="21"/>
          <w:highlight w:val="none"/>
          <w:lang w:val="en-US" w:eastAsia="zh-CN" w:bidi="ar"/>
        </w:rPr>
        <w:t>的安装。</w:t>
      </w:r>
    </w:p>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w:t>
      </w:r>
      <w:r>
        <w:rPr>
          <w:rFonts w:hint="eastAsia" w:ascii="宋体" w:hAnsi="宋体" w:cs="宋体"/>
          <w:color w:val="auto"/>
          <w:szCs w:val="21"/>
          <w:highlight w:val="none"/>
          <w:lang w:val="en-US" w:eastAsia="zh-CN" w:bidi="ar"/>
        </w:rPr>
        <w:t>全智能白蚁监测系统</w:t>
      </w:r>
      <w:r>
        <w:rPr>
          <w:rFonts w:hint="eastAsia" w:ascii="宋体" w:hAnsi="宋体" w:eastAsia="宋体" w:cs="宋体"/>
          <w:color w:val="auto"/>
          <w:szCs w:val="21"/>
          <w:highlight w:val="none"/>
          <w:lang w:val="en-US" w:eastAsia="zh-CN" w:bidi="ar"/>
        </w:rPr>
        <w:t>以白蚁诱杀理论为基础，充分利用移动通信、物联网、云计算、大数据等前沿信息化技术为支撑</w:t>
      </w:r>
      <w:r>
        <w:rPr>
          <w:rFonts w:hint="eastAsia" w:ascii="宋体" w:hAnsi="宋体" w:cs="宋体"/>
          <w:color w:val="auto"/>
          <w:szCs w:val="21"/>
          <w:highlight w:val="none"/>
          <w:lang w:val="en-US" w:eastAsia="zh-CN" w:bidi="ar"/>
        </w:rPr>
        <w:t>，特制的白蚁引诱饵剂能有效吸引白蚁取食，</w:t>
      </w:r>
      <w:r>
        <w:rPr>
          <w:rFonts w:hint="default" w:ascii="宋体" w:hAnsi="宋体" w:eastAsia="宋体" w:cs="宋体"/>
          <w:color w:val="auto"/>
          <w:szCs w:val="21"/>
          <w:highlight w:val="none"/>
          <w:lang w:val="en-US" w:eastAsia="zh-CN" w:bidi="ar"/>
        </w:rPr>
        <w:t>实现有白蚁活动第一时间发出预警</w:t>
      </w:r>
      <w:r>
        <w:rPr>
          <w:rFonts w:hint="eastAsia" w:ascii="宋体" w:hAnsi="宋体" w:cs="宋体"/>
          <w:color w:val="auto"/>
          <w:szCs w:val="21"/>
          <w:highlight w:val="none"/>
          <w:lang w:val="en-US" w:eastAsia="zh-CN" w:bidi="ar"/>
        </w:rPr>
        <w:t>。</w:t>
      </w:r>
      <w:r>
        <w:rPr>
          <w:rFonts w:hint="default" w:ascii="宋体" w:hAnsi="宋体" w:eastAsia="宋体" w:cs="宋体"/>
          <w:color w:val="auto"/>
          <w:szCs w:val="21"/>
          <w:highlight w:val="none"/>
          <w:lang w:val="en-US" w:eastAsia="zh-CN" w:bidi="ar"/>
        </w:rPr>
        <w:t>白蚁危害、施工处理等数据同步存储，无纸化存档</w:t>
      </w:r>
      <w:r>
        <w:rPr>
          <w:rFonts w:hint="eastAsia" w:ascii="宋体" w:hAnsi="宋体" w:cs="宋体"/>
          <w:color w:val="auto"/>
          <w:szCs w:val="21"/>
          <w:highlight w:val="none"/>
          <w:lang w:val="en-US" w:eastAsia="zh-CN" w:bidi="ar"/>
        </w:rPr>
        <w:t>。</w:t>
      </w:r>
      <w:r>
        <w:rPr>
          <w:rFonts w:hint="default" w:ascii="宋体" w:hAnsi="宋体" w:eastAsia="宋体" w:cs="宋体"/>
          <w:color w:val="auto"/>
          <w:szCs w:val="21"/>
          <w:highlight w:val="none"/>
          <w:lang w:val="en-US" w:eastAsia="zh-CN" w:bidi="ar"/>
        </w:rPr>
        <w:t>工程信息同步，消除信息差，可实现有效监管</w:t>
      </w:r>
    </w:p>
    <w:tbl>
      <w:tblPr>
        <w:tblStyle w:val="49"/>
        <w:tblW w:w="8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3971"/>
        <w:gridCol w:w="1760"/>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205" w:type="dxa"/>
            <w:gridSpan w:val="4"/>
            <w:tcBorders>
              <w:top w:val="nil"/>
              <w:left w:val="nil"/>
              <w:bottom w:val="nil"/>
              <w:right w:val="nil"/>
            </w:tcBorders>
            <w:shd w:val="clear" w:color="auto" w:fill="auto"/>
            <w:noWrap/>
            <w:vAlign w:val="center"/>
          </w:tcPr>
          <w:p>
            <w:pPr>
              <w:tabs>
                <w:tab w:val="left" w:pos="0"/>
              </w:tabs>
              <w:adjustRightInd w:val="0"/>
              <w:snapToGrid w:val="0"/>
              <w:spacing w:line="420" w:lineRule="atLeast"/>
              <w:ind w:firstLine="420" w:firstLineChars="200"/>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秀洲区2024年度白蚁等害堤动物防治项目堤防明细表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序号</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default" w:ascii="宋体" w:hAnsi="宋体" w:eastAsia="宋体" w:cs="宋体"/>
                <w:color w:val="auto"/>
                <w:szCs w:val="21"/>
                <w:highlight w:val="none"/>
                <w:lang w:val="en-US" w:eastAsia="zh-CN" w:bidi="ar"/>
              </w:rPr>
              <w:t>名称</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镇（高新区）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长度（m）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新王桥圩区堤防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洪合镇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王凝圩区（油车港）堤防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麦家圩区堤防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油车港集镇圩区堤防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w:t>
            </w:r>
          </w:p>
        </w:tc>
        <w:tc>
          <w:tcPr>
            <w:tcW w:w="3971" w:type="dxa"/>
            <w:tcBorders>
              <w:top w:val="single" w:color="000000" w:sz="4" w:space="0"/>
              <w:left w:val="nil"/>
              <w:bottom w:val="single" w:color="000000" w:sz="4" w:space="0"/>
              <w:right w:val="single" w:color="000000" w:sz="4" w:space="0"/>
            </w:tcBorders>
            <w:shd w:val="clear" w:color="auto" w:fill="F5F7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冯家港圩区堤防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6</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千金寺圩区堤防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池湾圩区堤防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栖北圩区堤防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9</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附宿圩区堤防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10</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上睦圩区堤防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11</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栖南圩区堤防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12</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双阳圩区堤防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13</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新塘圩区堤防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14</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王油圩区堤防（杨溪）</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15</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王油圩区堤防（上睦）</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16</w:t>
            </w:r>
          </w:p>
        </w:tc>
        <w:tc>
          <w:tcPr>
            <w:tcW w:w="3971" w:type="dxa"/>
            <w:tcBorders>
              <w:top w:val="single" w:color="000000" w:sz="4" w:space="0"/>
              <w:left w:val="nil"/>
              <w:bottom w:val="single" w:color="000000" w:sz="4" w:space="0"/>
              <w:right w:val="single" w:color="000000" w:sz="4" w:space="0"/>
            </w:tcBorders>
            <w:shd w:val="clear" w:color="auto" w:fill="F5F7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王油圩区堤防（合心）</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油车港镇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17</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富云圩区堤防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18</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沙马圩区堤防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19</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康和桥圩区堤防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20</w:t>
            </w:r>
          </w:p>
        </w:tc>
        <w:tc>
          <w:tcPr>
            <w:tcW w:w="3971" w:type="dxa"/>
            <w:tcBorders>
              <w:top w:val="single" w:color="000000" w:sz="4" w:space="0"/>
              <w:left w:val="nil"/>
              <w:bottom w:val="single" w:color="000000" w:sz="4" w:space="0"/>
              <w:right w:val="single" w:color="000000" w:sz="4" w:space="0"/>
            </w:tcBorders>
            <w:shd w:val="clear" w:color="auto" w:fill="F5F7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洛东圩区堤防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21</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本山桥圩区堤防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22</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西吴圩区堤防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23</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万民圩区堤防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24</w:t>
            </w:r>
          </w:p>
        </w:tc>
        <w:tc>
          <w:tcPr>
            <w:tcW w:w="3971" w:type="dxa"/>
            <w:tcBorders>
              <w:top w:val="single" w:color="000000" w:sz="4" w:space="0"/>
              <w:left w:val="nil"/>
              <w:bottom w:val="single" w:color="000000" w:sz="4" w:space="0"/>
              <w:right w:val="single" w:color="000000" w:sz="4" w:space="0"/>
            </w:tcBorders>
            <w:shd w:val="clear" w:color="auto" w:fill="F5F7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潘家浜大通圩区堤防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25</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王新圩区（三期）堤防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17780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26</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钱家湾圩区堤防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27</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庄西圩区堤防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28</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天福圩区堤防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29</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庙云桥圩区堤防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新塍镇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30</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双西圩区堤防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31</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沈家桥圩区堤防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32</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丁家浜圩区堤防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33</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王凝圩区（秀洲片）堤防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34</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王新圩区（一期）堤防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35</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王新圩区（二期）堤防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36</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腾范圩区堤防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37</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大坝圩区堤防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38</w:t>
            </w:r>
          </w:p>
        </w:tc>
        <w:tc>
          <w:tcPr>
            <w:tcW w:w="3971" w:type="dxa"/>
            <w:tcBorders>
              <w:top w:val="single" w:color="000000" w:sz="4" w:space="0"/>
              <w:left w:val="nil"/>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王油圩区堤防（太平村）</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39</w:t>
            </w:r>
          </w:p>
        </w:tc>
        <w:tc>
          <w:tcPr>
            <w:tcW w:w="3971" w:type="dxa"/>
            <w:tcBorders>
              <w:top w:val="single" w:color="000000" w:sz="4" w:space="0"/>
              <w:left w:val="nil"/>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王油圩区堤防（洪典村）</w:t>
            </w:r>
          </w:p>
        </w:tc>
        <w:tc>
          <w:tcPr>
            <w:tcW w:w="1760" w:type="dxa"/>
            <w:tcBorders>
              <w:top w:val="single" w:color="000000" w:sz="4" w:space="0"/>
              <w:left w:val="single" w:color="000000" w:sz="4" w:space="0"/>
              <w:bottom w:val="single" w:color="000000" w:sz="4" w:space="0"/>
              <w:right w:val="single" w:color="000000" w:sz="4" w:space="0"/>
            </w:tcBorders>
            <w:shd w:val="clear" w:color="auto" w:fill="FAFAFA"/>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王江泾镇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nil"/>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40</w:t>
            </w:r>
          </w:p>
        </w:tc>
        <w:tc>
          <w:tcPr>
            <w:tcW w:w="3971" w:type="dxa"/>
            <w:tcBorders>
              <w:top w:val="single" w:color="000000" w:sz="4" w:space="0"/>
              <w:left w:val="nil"/>
              <w:bottom w:val="nil"/>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城西圩区堤防</w:t>
            </w:r>
          </w:p>
        </w:tc>
        <w:tc>
          <w:tcPr>
            <w:tcW w:w="1760" w:type="dxa"/>
            <w:tcBorders>
              <w:top w:val="single" w:color="000000" w:sz="4" w:space="0"/>
              <w:left w:val="single" w:color="000000" w:sz="4" w:space="0"/>
              <w:bottom w:val="nil"/>
              <w:right w:val="single" w:color="000000" w:sz="4" w:space="0"/>
            </w:tcBorders>
            <w:shd w:val="clear" w:color="auto" w:fill="FFFFFF"/>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高新区</w:t>
            </w:r>
          </w:p>
        </w:tc>
        <w:tc>
          <w:tcPr>
            <w:tcW w:w="1418" w:type="dxa"/>
            <w:tcBorders>
              <w:top w:val="single" w:color="000000" w:sz="4" w:space="0"/>
              <w:left w:val="single" w:color="000000" w:sz="4" w:space="0"/>
              <w:bottom w:val="nil"/>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nil"/>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41</w:t>
            </w:r>
          </w:p>
        </w:tc>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镇东圩区堤防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王店镇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6" w:type="dxa"/>
            <w:tcBorders>
              <w:top w:val="single" w:color="000000" w:sz="4" w:space="0"/>
              <w:left w:val="single" w:color="000000" w:sz="4" w:space="0"/>
              <w:bottom w:val="nil"/>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42</w:t>
            </w:r>
          </w:p>
        </w:tc>
        <w:tc>
          <w:tcPr>
            <w:tcW w:w="3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泾桥圩区堤防</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洪合镇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合计</w:t>
            </w:r>
          </w:p>
        </w:tc>
        <w:tc>
          <w:tcPr>
            <w:tcW w:w="3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2" w:firstLineChars="200"/>
              <w:rPr>
                <w:rFonts w:hint="default"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42处堤防</w:t>
            </w:r>
          </w:p>
        </w:tc>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abs>
                <w:tab w:val="left" w:pos="0"/>
              </w:tabs>
              <w:adjustRightInd w:val="0"/>
              <w:snapToGrid w:val="0"/>
              <w:spacing w:line="420" w:lineRule="atLeast"/>
              <w:ind w:firstLine="422" w:firstLineChars="200"/>
              <w:rPr>
                <w:rFonts w:hint="eastAsia" w:ascii="宋体" w:hAnsi="宋体" w:eastAsia="宋体" w:cs="宋体"/>
                <w:b/>
                <w:bCs/>
                <w:color w:val="auto"/>
                <w:szCs w:val="21"/>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adjustRightInd w:val="0"/>
              <w:snapToGrid w:val="0"/>
              <w:spacing w:line="420" w:lineRule="atLeast"/>
              <w:ind w:firstLine="422" w:firstLineChars="200"/>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510800</w:t>
            </w:r>
          </w:p>
        </w:tc>
      </w:tr>
    </w:tbl>
    <w:p>
      <w:pPr>
        <w:tabs>
          <w:tab w:val="left" w:pos="0"/>
        </w:tabs>
        <w:adjustRightInd w:val="0"/>
        <w:snapToGrid w:val="0"/>
        <w:spacing w:line="360" w:lineRule="auto"/>
        <w:ind w:firstLine="422" w:firstLineChars="200"/>
        <w:rPr>
          <w:rFonts w:hint="eastAsia" w:ascii="宋体" w:hAnsi="宋体" w:cs="宋体"/>
          <w:b/>
          <w:bCs/>
          <w:color w:val="auto"/>
          <w:szCs w:val="21"/>
          <w:highlight w:val="none"/>
          <w:lang w:bidi="ar"/>
        </w:rPr>
      </w:pPr>
    </w:p>
    <w:p>
      <w:pPr>
        <w:tabs>
          <w:tab w:val="left" w:pos="0"/>
        </w:tabs>
        <w:adjustRightInd w:val="0"/>
        <w:snapToGrid w:val="0"/>
        <w:spacing w:line="360" w:lineRule="auto"/>
        <w:ind w:firstLine="422" w:firstLineChars="200"/>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三、工作要求：</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val="en-US" w:eastAsia="zh-CN" w:bidi="ar"/>
        </w:rPr>
        <w:t>1、全面开展白蚁隐患普查工作</w:t>
      </w:r>
      <w:r>
        <w:rPr>
          <w:rFonts w:hint="eastAsia" w:ascii="宋体" w:hAnsi="宋体" w:eastAsia="宋体" w:cs="宋体"/>
          <w:color w:val="auto"/>
          <w:szCs w:val="21"/>
          <w:highlight w:val="none"/>
          <w:lang w:bidi="ar"/>
        </w:rPr>
        <w:t>，统计危害情况、危害位置、</w:t>
      </w:r>
      <w:r>
        <w:rPr>
          <w:rFonts w:hint="eastAsia" w:ascii="宋体" w:hAnsi="宋体" w:eastAsia="宋体" w:cs="宋体"/>
          <w:color w:val="auto"/>
          <w:szCs w:val="21"/>
          <w:highlight w:val="none"/>
          <w:lang w:val="en-US" w:eastAsia="zh-CN" w:bidi="ar"/>
        </w:rPr>
        <w:t>蚁害</w:t>
      </w:r>
      <w:r>
        <w:rPr>
          <w:rFonts w:hint="eastAsia" w:ascii="宋体" w:hAnsi="宋体" w:eastAsia="宋体" w:cs="宋体"/>
          <w:color w:val="auto"/>
          <w:szCs w:val="21"/>
          <w:highlight w:val="none"/>
          <w:lang w:bidi="ar"/>
        </w:rPr>
        <w:t>种类等数据</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确保普查成果真实准确。逐渐使辖区内的水利工程白蚁综合治理工作形成常态化、长期化、日常化趋势。按照浙江省水利厅《水利部办公厅关于开展水利工程白蚁等害堤动物危害及防治情况普查的通知》（</w:t>
      </w:r>
      <w:r>
        <w:rPr>
          <w:rFonts w:hint="eastAsia" w:ascii="宋体" w:hAnsi="宋体" w:eastAsia="宋体" w:cs="宋体"/>
          <w:color w:val="auto"/>
          <w:szCs w:val="21"/>
          <w:highlight w:val="none"/>
          <w:lang w:bidi="ar"/>
        </w:rPr>
        <w:t>办运管〔2023〕1</w:t>
      </w:r>
      <w:r>
        <w:rPr>
          <w:rFonts w:hint="eastAsia" w:ascii="宋体" w:hAnsi="宋体" w:eastAsia="宋体" w:cs="宋体"/>
          <w:color w:val="auto"/>
          <w:szCs w:val="21"/>
          <w:highlight w:val="none"/>
          <w:lang w:val="en-US" w:eastAsia="zh-CN" w:bidi="ar"/>
        </w:rPr>
        <w:t>36</w:t>
      </w:r>
      <w:r>
        <w:rPr>
          <w:rFonts w:hint="eastAsia" w:ascii="宋体" w:hAnsi="宋体" w:eastAsia="宋体" w:cs="宋体"/>
          <w:color w:val="auto"/>
          <w:szCs w:val="21"/>
          <w:highlight w:val="none"/>
          <w:lang w:bidi="ar"/>
        </w:rPr>
        <w:t>号）</w:t>
      </w:r>
      <w:r>
        <w:rPr>
          <w:rFonts w:hint="eastAsia" w:ascii="宋体" w:hAnsi="宋体" w:eastAsia="宋体" w:cs="宋体"/>
          <w:color w:val="auto"/>
          <w:szCs w:val="21"/>
          <w:highlight w:val="none"/>
          <w:lang w:eastAsia="zh-CN" w:bidi="ar"/>
        </w:rPr>
        <w:t>进行日常巡查台账的编制。</w:t>
      </w:r>
    </w:p>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cs="宋体"/>
          <w:color w:val="auto"/>
          <w:szCs w:val="21"/>
          <w:highlight w:val="none"/>
          <w:lang w:val="en-US" w:eastAsia="zh-CN" w:bidi="ar"/>
        </w:rPr>
        <w:t>全智能白蚁监测系统按照规范要求安装，安装区域按照每公里2套计算，即项目安装数量要求不低于1022套，能达到预防和监测的预期效果</w:t>
      </w:r>
      <w:r>
        <w:rPr>
          <w:rFonts w:hint="eastAsia" w:ascii="宋体" w:hAnsi="宋体" w:eastAsia="宋体" w:cs="宋体"/>
          <w:color w:val="auto"/>
          <w:szCs w:val="21"/>
          <w:highlight w:val="none"/>
          <w:lang w:val="en-US" w:eastAsia="zh-CN" w:bidi="ar"/>
        </w:rPr>
        <w:t>。</w:t>
      </w:r>
    </w:p>
    <w:p>
      <w:pPr>
        <w:tabs>
          <w:tab w:val="left" w:pos="0"/>
        </w:tabs>
        <w:adjustRightInd w:val="0"/>
        <w:snapToGrid w:val="0"/>
        <w:spacing w:line="420" w:lineRule="atLeast"/>
        <w:ind w:firstLine="420" w:firstLineChars="200"/>
        <w:rPr>
          <w:rFonts w:hint="eastAsia" w:ascii="宋体" w:hAnsi="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w:t>
      </w:r>
      <w:r>
        <w:rPr>
          <w:rFonts w:hint="eastAsia" w:ascii="宋体" w:hAnsi="宋体" w:cs="宋体"/>
          <w:color w:val="auto"/>
          <w:szCs w:val="21"/>
          <w:highlight w:val="none"/>
          <w:lang w:val="en-US" w:eastAsia="zh-CN" w:bidi="ar"/>
        </w:rPr>
        <w:t>为项目提供的全智能白蚁监测系统，通过白蚁“监测-灭治-再监测”循环监测和灭治的物联网系统，</w:t>
      </w:r>
      <w:r>
        <w:rPr>
          <w:rFonts w:hint="eastAsia" w:ascii="宋体" w:hAnsi="宋体" w:eastAsia="宋体" w:cs="宋体"/>
          <w:color w:val="auto"/>
          <w:szCs w:val="21"/>
          <w:highlight w:val="none"/>
          <w:lang w:val="en-US" w:eastAsia="zh-CN" w:bidi="ar"/>
        </w:rPr>
        <w:t>构建形成一套数字化水利工程白蚁防治和白蚁危害动态管理平台</w:t>
      </w:r>
      <w:r>
        <w:rPr>
          <w:rFonts w:hint="eastAsia" w:ascii="宋体" w:hAnsi="宋体" w:cs="宋体"/>
          <w:color w:val="auto"/>
          <w:szCs w:val="21"/>
          <w:highlight w:val="none"/>
          <w:lang w:val="en-US" w:eastAsia="zh-CN" w:bidi="ar"/>
        </w:rPr>
        <w:t>。</w:t>
      </w:r>
      <w:r>
        <w:rPr>
          <w:rFonts w:hint="eastAsia" w:ascii="宋体" w:hAnsi="宋体" w:eastAsia="宋体" w:cs="宋体"/>
          <w:color w:val="auto"/>
          <w:szCs w:val="21"/>
          <w:highlight w:val="none"/>
          <w:lang w:val="en-US" w:eastAsia="zh-CN" w:bidi="ar"/>
        </w:rPr>
        <w:t>实现监测状态和监测结果的数字化储存、显示及运用，能在蚁害发生的第一时间准确获取信息。</w:t>
      </w:r>
      <w:r>
        <w:rPr>
          <w:rFonts w:hint="eastAsia" w:ascii="宋体" w:hAnsi="宋体" w:cs="宋体"/>
          <w:color w:val="auto"/>
          <w:szCs w:val="21"/>
          <w:highlight w:val="none"/>
          <w:lang w:val="en-US" w:eastAsia="zh-CN" w:bidi="ar"/>
        </w:rPr>
        <w:t>并且系统可接入采购方管理平台，通过数据可视化展示所有监测点的信息。</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4、通过日常白蚁</w:t>
      </w:r>
      <w:r>
        <w:rPr>
          <w:rFonts w:hint="eastAsia" w:ascii="宋体" w:hAnsi="宋体" w:cs="宋体"/>
          <w:color w:val="auto"/>
          <w:szCs w:val="21"/>
          <w:highlight w:val="none"/>
          <w:lang w:val="en-US" w:eastAsia="zh-CN" w:bidi="ar"/>
        </w:rPr>
        <w:t>普查</w:t>
      </w:r>
      <w:r>
        <w:rPr>
          <w:rFonts w:hint="eastAsia" w:ascii="宋体" w:hAnsi="宋体" w:eastAsia="宋体" w:cs="宋体"/>
          <w:color w:val="auto"/>
          <w:szCs w:val="21"/>
          <w:highlight w:val="none"/>
          <w:lang w:val="en-US" w:eastAsia="zh-CN" w:bidi="ar"/>
        </w:rPr>
        <w:t>，对蚁患区进行记录上报并进行</w:t>
      </w:r>
      <w:r>
        <w:rPr>
          <w:rFonts w:hint="eastAsia" w:ascii="宋体" w:hAnsi="宋体" w:cs="宋体"/>
          <w:color w:val="auto"/>
          <w:szCs w:val="21"/>
          <w:highlight w:val="none"/>
          <w:lang w:val="en-US" w:eastAsia="zh-CN" w:bidi="ar"/>
        </w:rPr>
        <w:t>诱杀</w:t>
      </w:r>
      <w:r>
        <w:rPr>
          <w:rFonts w:hint="eastAsia" w:ascii="宋体" w:hAnsi="宋体" w:eastAsia="宋体" w:cs="宋体"/>
          <w:color w:val="auto"/>
          <w:szCs w:val="21"/>
          <w:highlight w:val="none"/>
          <w:lang w:val="en-US" w:eastAsia="zh-CN" w:bidi="ar"/>
        </w:rPr>
        <w:t>处理，包括</w:t>
      </w:r>
      <w:r>
        <w:rPr>
          <w:rFonts w:hint="eastAsia" w:ascii="宋体" w:hAnsi="宋体" w:cs="宋体"/>
          <w:color w:val="auto"/>
          <w:szCs w:val="21"/>
          <w:highlight w:val="none"/>
          <w:lang w:val="en-US" w:eastAsia="zh-CN" w:bidi="ar"/>
        </w:rPr>
        <w:t>诱杀包</w:t>
      </w:r>
      <w:r>
        <w:rPr>
          <w:rFonts w:hint="eastAsia" w:ascii="宋体" w:hAnsi="宋体" w:eastAsia="宋体" w:cs="宋体"/>
          <w:color w:val="auto"/>
          <w:szCs w:val="21"/>
          <w:highlight w:val="none"/>
          <w:lang w:val="en-US" w:eastAsia="zh-CN" w:bidi="ar"/>
        </w:rPr>
        <w:t>的投放。</w:t>
      </w:r>
    </w:p>
    <w:p>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5、为项目提供的</w:t>
      </w:r>
      <w:r>
        <w:rPr>
          <w:rFonts w:hint="eastAsia" w:ascii="宋体" w:hAnsi="宋体" w:cs="宋体"/>
          <w:color w:val="auto"/>
          <w:szCs w:val="21"/>
          <w:highlight w:val="none"/>
          <w:lang w:val="en-US" w:eastAsia="zh-CN" w:bidi="ar"/>
        </w:rPr>
        <w:t>全</w:t>
      </w:r>
      <w:r>
        <w:rPr>
          <w:rFonts w:hint="eastAsia" w:ascii="宋体" w:hAnsi="宋体" w:eastAsia="宋体" w:cs="宋体"/>
          <w:color w:val="auto"/>
          <w:szCs w:val="21"/>
          <w:highlight w:val="none"/>
          <w:lang w:val="en-US" w:eastAsia="zh-CN" w:bidi="ar"/>
        </w:rPr>
        <w:t>智能白蚁监测系统的饵料，</w:t>
      </w:r>
      <w:r>
        <w:rPr>
          <w:rFonts w:hint="eastAsia" w:ascii="宋体" w:hAnsi="宋体" w:cs="宋体"/>
          <w:color w:val="auto"/>
          <w:szCs w:val="21"/>
          <w:highlight w:val="none"/>
          <w:lang w:val="en-US" w:eastAsia="zh-CN" w:bidi="ar"/>
        </w:rPr>
        <w:t>需经提交</w:t>
      </w:r>
      <w:r>
        <w:rPr>
          <w:rFonts w:hint="eastAsia" w:ascii="宋体" w:hAnsi="宋体" w:eastAsia="宋体" w:cs="宋体"/>
          <w:color w:val="auto"/>
          <w:szCs w:val="21"/>
          <w:highlight w:val="none"/>
          <w:lang w:val="en-US" w:eastAsia="zh-CN" w:bidi="ar"/>
        </w:rPr>
        <w:t>喜食性和防腐防霉性</w:t>
      </w:r>
      <w:r>
        <w:rPr>
          <w:rFonts w:hint="eastAsia" w:ascii="宋体" w:hAnsi="宋体" w:cs="宋体"/>
          <w:color w:val="auto"/>
          <w:szCs w:val="21"/>
          <w:highlight w:val="none"/>
          <w:lang w:val="en-US" w:eastAsia="zh-CN" w:bidi="ar"/>
        </w:rPr>
        <w:t>的监测报告</w:t>
      </w:r>
      <w:r>
        <w:rPr>
          <w:rFonts w:hint="eastAsia" w:ascii="宋体" w:hAnsi="宋体" w:eastAsia="宋体" w:cs="宋体"/>
          <w:color w:val="auto"/>
          <w:szCs w:val="21"/>
          <w:highlight w:val="none"/>
          <w:lang w:val="en-US" w:eastAsia="zh-CN" w:bidi="ar"/>
        </w:rPr>
        <w:t>。</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6</w:t>
      </w:r>
      <w:r>
        <w:rPr>
          <w:rFonts w:hint="eastAsia" w:ascii="宋体" w:hAnsi="宋体" w:eastAsia="宋体" w:cs="宋体"/>
          <w:color w:val="auto"/>
          <w:szCs w:val="21"/>
          <w:highlight w:val="none"/>
          <w:lang w:val="en-US" w:eastAsia="zh-CN" w:bidi="ar"/>
        </w:rPr>
        <w:t>、质量标准。本项目白蚁防治作业应符合现行各种规范、规程、规章。根据水利部实行的《白蚁防治技术指南》和《浙江省堤坝白蚁防治技术导则》的有关规定要求，结合水利部办公厅《浙江省水利厅关于加强水利工程蚁患防治工作的意见》，开展水利工程白蚁防治工作。</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7</w:t>
      </w:r>
      <w:r>
        <w:rPr>
          <w:rFonts w:hint="eastAsia" w:ascii="宋体" w:hAnsi="宋体" w:eastAsia="宋体" w:cs="宋体"/>
          <w:color w:val="auto"/>
          <w:szCs w:val="21"/>
          <w:highlight w:val="none"/>
          <w:lang w:val="en-US" w:eastAsia="zh-CN" w:bidi="ar"/>
        </w:rPr>
        <w:t>、档案管理。白蚁防治档案包括设计资料、普查资料、施工资料、防治措施、验收资料、回访复查资料、检查记录、防治工作总结等文字资料和图片、视频等音像资料。</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8</w:t>
      </w:r>
      <w:r>
        <w:rPr>
          <w:rFonts w:hint="eastAsia" w:ascii="宋体" w:hAnsi="宋体" w:eastAsia="宋体" w:cs="宋体"/>
          <w:color w:val="auto"/>
          <w:szCs w:val="21"/>
          <w:highlight w:val="none"/>
          <w:lang w:val="en-US" w:eastAsia="zh-CN" w:bidi="ar"/>
        </w:rPr>
        <w:t>、其他要求。</w:t>
      </w:r>
    </w:p>
    <w:p>
      <w:pPr>
        <w:tabs>
          <w:tab w:val="left" w:pos="0"/>
        </w:tabs>
        <w:adjustRightInd w:val="0"/>
        <w:snapToGrid w:val="0"/>
        <w:spacing w:line="420" w:lineRule="atLeast"/>
        <w:ind w:left="420" w:leftChars="200" w:firstLine="0" w:firstLineChars="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（1）出现紧急情况时，供应商立即响应，在</w:t>
      </w:r>
      <w:r>
        <w:rPr>
          <w:rFonts w:hint="eastAsia" w:ascii="宋体" w:hAnsi="宋体" w:cs="宋体"/>
          <w:color w:val="auto"/>
          <w:szCs w:val="21"/>
          <w:highlight w:val="none"/>
          <w:lang w:val="en-US" w:eastAsia="zh-CN" w:bidi="ar"/>
        </w:rPr>
        <w:t>48小时</w:t>
      </w:r>
      <w:r>
        <w:rPr>
          <w:rFonts w:hint="eastAsia" w:ascii="宋体" w:hAnsi="宋体" w:eastAsia="宋体" w:cs="宋体"/>
          <w:color w:val="auto"/>
          <w:szCs w:val="21"/>
          <w:highlight w:val="none"/>
          <w:lang w:val="en-US" w:eastAsia="zh-CN" w:bidi="ar"/>
        </w:rPr>
        <w:t>内到达事发地点，排除蚁害险情。（2）白蚁防治实施过程中，发现中标人未按规定要求配备人员、场地、机构设备的或查实弄虚作假的，采购人有权利终止合同并</w:t>
      </w:r>
      <w:r>
        <w:rPr>
          <w:rFonts w:hint="eastAsia" w:ascii="宋体" w:hAnsi="宋体" w:cs="宋体"/>
          <w:color w:val="auto"/>
          <w:szCs w:val="21"/>
          <w:highlight w:val="none"/>
          <w:lang w:val="en-US" w:eastAsia="zh-CN" w:bidi="ar"/>
        </w:rPr>
        <w:t>作相应处罚</w:t>
      </w:r>
      <w:r>
        <w:rPr>
          <w:rFonts w:hint="eastAsia" w:ascii="宋体" w:hAnsi="宋体" w:eastAsia="宋体" w:cs="宋体"/>
          <w:color w:val="auto"/>
          <w:szCs w:val="21"/>
          <w:highlight w:val="none"/>
          <w:lang w:val="en-US" w:eastAsia="zh-CN" w:bidi="ar"/>
        </w:rPr>
        <w:t>。</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（3）对工作质量检查中存在问题，采购人以书面形式责令限期整改，如果中标人不整改或达不到整改要求的超过两次及以上的，采购人有权利终止合同并</w:t>
      </w:r>
      <w:r>
        <w:rPr>
          <w:rFonts w:hint="eastAsia" w:ascii="宋体" w:hAnsi="宋体" w:cs="宋体"/>
          <w:color w:val="auto"/>
          <w:szCs w:val="21"/>
          <w:highlight w:val="none"/>
          <w:lang w:val="en-US" w:eastAsia="zh-CN" w:bidi="ar"/>
        </w:rPr>
        <w:t>作相应处罚</w:t>
      </w:r>
      <w:r>
        <w:rPr>
          <w:rFonts w:hint="eastAsia" w:ascii="宋体" w:hAnsi="宋体" w:eastAsia="宋体" w:cs="宋体"/>
          <w:color w:val="auto"/>
          <w:szCs w:val="21"/>
          <w:highlight w:val="none"/>
          <w:lang w:val="en-US" w:eastAsia="zh-CN" w:bidi="ar"/>
        </w:rPr>
        <w:t>。</w:t>
      </w:r>
    </w:p>
    <w:p>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（4）如发现拟中标人使用药剂影响水体安全的，采购人有权利终止合同并</w:t>
      </w:r>
      <w:r>
        <w:rPr>
          <w:rFonts w:hint="eastAsia" w:ascii="宋体" w:hAnsi="宋体" w:cs="宋体"/>
          <w:color w:val="auto"/>
          <w:szCs w:val="21"/>
          <w:highlight w:val="none"/>
          <w:lang w:val="en-US" w:eastAsia="zh-CN" w:bidi="ar"/>
        </w:rPr>
        <w:t>作相应处罚</w:t>
      </w:r>
      <w:r>
        <w:rPr>
          <w:rFonts w:hint="eastAsia" w:ascii="宋体" w:hAnsi="宋体" w:eastAsia="宋体" w:cs="宋体"/>
          <w:color w:val="auto"/>
          <w:szCs w:val="21"/>
          <w:highlight w:val="none"/>
          <w:lang w:val="en-US" w:eastAsia="zh-CN" w:bidi="ar"/>
        </w:rPr>
        <w:t>，并追究相关责任。</w:t>
      </w:r>
    </w:p>
    <w:p>
      <w:pPr>
        <w:tabs>
          <w:tab w:val="left" w:pos="0"/>
        </w:tabs>
        <w:adjustRightInd w:val="0"/>
        <w:snapToGrid w:val="0"/>
        <w:spacing w:line="360" w:lineRule="auto"/>
        <w:ind w:firstLine="422" w:firstLineChars="200"/>
        <w:rPr>
          <w:rFonts w:hint="eastAsia" w:ascii="宋体" w:hAnsi="宋体" w:cs="宋体"/>
          <w:b/>
          <w:bCs/>
          <w:color w:val="auto"/>
          <w:szCs w:val="21"/>
          <w:highlight w:val="none"/>
          <w:lang w:bidi="ar"/>
        </w:rPr>
      </w:pPr>
    </w:p>
    <w:p>
      <w:pPr>
        <w:tabs>
          <w:tab w:val="left" w:pos="0"/>
        </w:tabs>
        <w:adjustRightInd w:val="0"/>
        <w:snapToGrid w:val="0"/>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四、商务要求</w:t>
      </w:r>
    </w:p>
    <w:p>
      <w:pPr>
        <w:pStyle w:val="44"/>
        <w:spacing w:before="75" w:beforeAutospacing="0" w:after="75" w:afterAutospacing="0" w:line="360" w:lineRule="auto"/>
        <w:ind w:firstLine="482" w:firstLineChars="200"/>
        <w:rPr>
          <w:rFonts w:hint="default" w:ascii="宋体" w:hAnsi="宋体" w:eastAsia="宋体" w:cs="宋体"/>
          <w:color w:val="auto"/>
          <w:szCs w:val="21"/>
          <w:highlight w:val="none"/>
          <w:lang w:val="en-US" w:eastAsia="zh-CN" w:bidi="ar"/>
        </w:rPr>
      </w:pPr>
      <w:r>
        <w:rPr>
          <w:rFonts w:hint="eastAsia" w:ascii="宋体" w:hAnsi="宋体" w:cs="宋体"/>
          <w:b/>
          <w:bCs/>
          <w:color w:val="auto"/>
          <w:szCs w:val="21"/>
          <w:highlight w:val="none"/>
          <w:lang w:bidi="ar"/>
        </w:rPr>
        <w:t>1.服务期</w:t>
      </w:r>
      <w:r>
        <w:rPr>
          <w:rFonts w:hint="eastAsia" w:ascii="宋体" w:hAnsi="宋体" w:cs="宋体"/>
          <w:b/>
          <w:bCs/>
          <w:color w:val="auto"/>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2024年5月20日前完成所有工作</w:t>
      </w:r>
      <w:r>
        <w:rPr>
          <w:rFonts w:hint="eastAsia" w:ascii="宋体" w:hAnsi="宋体" w:eastAsia="宋体" w:cs="宋体"/>
          <w:color w:val="auto"/>
          <w:szCs w:val="21"/>
          <w:highlight w:val="none"/>
          <w:lang w:val="en-US" w:eastAsia="zh-CN" w:bidi="ar"/>
        </w:rPr>
        <w:t>。</w:t>
      </w:r>
    </w:p>
    <w:p>
      <w:pPr>
        <w:tabs>
          <w:tab w:val="left" w:pos="0"/>
        </w:tabs>
        <w:adjustRightInd w:val="0"/>
        <w:snapToGrid w:val="0"/>
        <w:spacing w:line="420" w:lineRule="atLeast"/>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2.付款</w:t>
      </w:r>
    </w:p>
    <w:p>
      <w:pPr>
        <w:tabs>
          <w:tab w:val="left" w:pos="0"/>
        </w:tabs>
        <w:adjustRightInd w:val="0"/>
        <w:snapToGrid w:val="0"/>
        <w:spacing w:line="420" w:lineRule="atLeast"/>
        <w:ind w:firstLine="420" w:firstLineChars="200"/>
        <w:rPr>
          <w:color w:val="auto"/>
          <w:highlight w:val="none"/>
        </w:rPr>
      </w:pPr>
      <w:r>
        <w:rPr>
          <w:rFonts w:hint="eastAsia" w:ascii="宋体" w:hAnsi="宋体" w:cs="宋体"/>
          <w:color w:val="auto"/>
          <w:szCs w:val="21"/>
          <w:highlight w:val="none"/>
          <w:lang w:bidi="ar"/>
        </w:rPr>
        <w:t>2.1 合同生效、具备实施条件且财政资金下达后7个工作日内，采购人向中标人支付合同金额的</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0%作为预付款；</w:t>
      </w:r>
    </w:p>
    <w:p>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 xml:space="preserve">2.2 </w:t>
      </w:r>
      <w:r>
        <w:rPr>
          <w:rFonts w:hint="eastAsia" w:ascii="宋体" w:hAnsi="宋体" w:cs="宋体"/>
          <w:color w:val="auto"/>
          <w:szCs w:val="21"/>
          <w:highlight w:val="none"/>
          <w:lang w:val="en-US" w:eastAsia="zh-CN" w:bidi="ar"/>
        </w:rPr>
        <w:t>完成项目并经验收后支付余款</w:t>
      </w:r>
      <w:r>
        <w:rPr>
          <w:rFonts w:hint="eastAsia" w:ascii="宋体" w:hAnsi="宋体" w:cs="宋体"/>
          <w:color w:val="auto"/>
          <w:szCs w:val="21"/>
          <w:highlight w:val="none"/>
          <w:lang w:bidi="ar"/>
        </w:rPr>
        <w:t>。</w:t>
      </w:r>
    </w:p>
    <w:p>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注：关于预付款的说明：</w:t>
      </w:r>
    </w:p>
    <w:p>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根据《浙江省财政厅关于进一步发挥政府采购政策功能全力推动经济稳进提质的通知》[浙财采监【2022】3号]规定：</w:t>
      </w:r>
    </w:p>
    <w:p>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采购人式采购的，预付款从其相关规定。</w:t>
      </w:r>
    </w:p>
    <w:p>
      <w:pPr>
        <w:tabs>
          <w:tab w:val="left" w:pos="0"/>
        </w:tabs>
        <w:adjustRightInd w:val="0"/>
        <w:snapToGrid w:val="0"/>
        <w:spacing w:line="420" w:lineRule="atLeast"/>
        <w:ind w:firstLine="422" w:firstLineChars="200"/>
        <w:rPr>
          <w:rFonts w:ascii="宋体" w:hAnsi="宋体" w:cs="宋体"/>
          <w:color w:val="auto"/>
          <w:szCs w:val="21"/>
          <w:highlight w:val="none"/>
          <w:lang w:bidi="ar"/>
        </w:rPr>
      </w:pPr>
      <w:r>
        <w:rPr>
          <w:rFonts w:hint="eastAsia" w:ascii="宋体" w:hAnsi="宋体" w:cs="宋体"/>
          <w:b/>
          <w:bCs/>
          <w:color w:val="auto"/>
          <w:szCs w:val="21"/>
          <w:highlight w:val="none"/>
          <w:lang w:bidi="ar"/>
        </w:rPr>
        <w:t>3.服务地点：</w:t>
      </w:r>
      <w:r>
        <w:rPr>
          <w:rFonts w:hint="eastAsia" w:ascii="宋体" w:hAnsi="宋体" w:cs="宋体"/>
          <w:color w:val="auto"/>
          <w:szCs w:val="21"/>
          <w:highlight w:val="none"/>
          <w:lang w:bidi="ar"/>
        </w:rPr>
        <w:t>嘉兴市秀洲区。</w:t>
      </w:r>
    </w:p>
    <w:p>
      <w:pPr>
        <w:tabs>
          <w:tab w:val="left" w:pos="0"/>
        </w:tabs>
        <w:adjustRightInd w:val="0"/>
        <w:snapToGrid w:val="0"/>
        <w:spacing w:line="420" w:lineRule="atLeast"/>
        <w:ind w:firstLine="422" w:firstLineChars="200"/>
        <w:rPr>
          <w:rFonts w:hint="default" w:ascii="宋体" w:hAnsi="宋体" w:eastAsia="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4.质保期：</w:t>
      </w:r>
      <w:r>
        <w:rPr>
          <w:rFonts w:hint="eastAsia" w:ascii="宋体" w:hAnsi="宋体" w:cs="宋体"/>
          <w:color w:val="auto"/>
          <w:szCs w:val="21"/>
          <w:highlight w:val="none"/>
          <w:lang w:val="en-US" w:eastAsia="zh-CN" w:bidi="ar"/>
        </w:rPr>
        <w:t>验收后服务期不少于2年。</w:t>
      </w:r>
    </w:p>
    <w:p>
      <w:pPr>
        <w:tabs>
          <w:tab w:val="left" w:pos="0"/>
        </w:tabs>
        <w:adjustRightInd w:val="0"/>
        <w:snapToGrid w:val="0"/>
        <w:spacing w:line="420" w:lineRule="atLeast"/>
        <w:ind w:firstLine="422" w:firstLineChars="200"/>
        <w:rPr>
          <w:rFonts w:ascii="宋体" w:hAnsi="宋体" w:cs="宋体"/>
          <w:color w:val="auto"/>
          <w:szCs w:val="21"/>
          <w:highlight w:val="none"/>
          <w:lang w:bidi="ar"/>
        </w:rPr>
      </w:pP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bidi="ar"/>
        </w:rPr>
        <w:t>. 验收方案：</w:t>
      </w:r>
      <w:r>
        <w:rPr>
          <w:rFonts w:hint="eastAsia" w:ascii="宋体" w:hAnsi="宋体" w:cs="宋体"/>
          <w:color w:val="auto"/>
          <w:szCs w:val="21"/>
          <w:highlight w:val="none"/>
          <w:lang w:bidi="ar"/>
        </w:rPr>
        <w:t>严格根据采购文件、响应文件以及国家相关规定、标准进行验收，在规定期限内提供服务，且完全满足采购文件技术要求。</w:t>
      </w:r>
    </w:p>
    <w:p>
      <w:pPr>
        <w:tabs>
          <w:tab w:val="left" w:pos="0"/>
        </w:tabs>
        <w:adjustRightInd w:val="0"/>
        <w:snapToGrid w:val="0"/>
        <w:spacing w:line="420" w:lineRule="atLeast"/>
        <w:ind w:firstLine="420" w:firstLineChars="200"/>
        <w:rPr>
          <w:rFonts w:ascii="宋体" w:hAnsi="宋体" w:cs="宋体"/>
          <w:color w:val="auto"/>
          <w:szCs w:val="21"/>
          <w:highlight w:val="none"/>
          <w:lang w:bidi="ar"/>
        </w:rPr>
        <w:sectPr>
          <w:pgSz w:w="11906" w:h="16838"/>
          <w:pgMar w:top="1440" w:right="1800" w:bottom="1440" w:left="1800" w:header="851" w:footer="992" w:gutter="0"/>
          <w:cols w:space="720" w:num="1"/>
          <w:docGrid w:type="lines" w:linePitch="312" w:charSpace="0"/>
        </w:sectPr>
      </w:pPr>
    </w:p>
    <w:p>
      <w:pPr>
        <w:pStyle w:val="158"/>
        <w:ind w:right="42" w:rightChars="20"/>
        <w:rPr>
          <w:rFonts w:cs="微软雅黑" w:asciiTheme="minorEastAsia" w:hAnsiTheme="minorEastAsia" w:eastAsiaTheme="minorEastAsia"/>
          <w:color w:val="auto"/>
          <w:sz w:val="36"/>
          <w:highlight w:val="none"/>
        </w:rPr>
      </w:pPr>
      <w:r>
        <w:rPr>
          <w:rFonts w:hint="eastAsia" w:asciiTheme="minorEastAsia" w:hAnsiTheme="minorEastAsia" w:eastAsiaTheme="minorEastAsia"/>
          <w:color w:val="auto"/>
          <w:highlight w:val="none"/>
        </w:rPr>
        <w:t>第三章  投标人须知</w:t>
      </w:r>
      <w:bookmarkEnd w:id="10"/>
      <w:bookmarkEnd w:id="11"/>
      <w:bookmarkEnd w:id="12"/>
    </w:p>
    <w:p>
      <w:pPr>
        <w:spacing w:line="360" w:lineRule="auto"/>
        <w:ind w:right="42" w:rightChars="20" w:firstLine="562" w:firstLineChars="200"/>
        <w:jc w:val="center"/>
        <w:rPr>
          <w:rFonts w:asciiTheme="minorEastAsia" w:hAnsiTheme="minorEastAsia" w:eastAsiaTheme="minorEastAsia"/>
          <w:b/>
          <w:bCs/>
          <w:color w:val="auto"/>
          <w:sz w:val="28"/>
          <w:szCs w:val="28"/>
          <w:highlight w:val="none"/>
        </w:rPr>
      </w:pPr>
      <w:bookmarkStart w:id="14" w:name="_Toc17413"/>
      <w:bookmarkStart w:id="15" w:name="_Toc177870535"/>
      <w:bookmarkStart w:id="16" w:name="_Toc50012816"/>
      <w:bookmarkStart w:id="17" w:name="_Toc493511543"/>
      <w:r>
        <w:rPr>
          <w:rFonts w:hint="eastAsia" w:cs="宋体" w:asciiTheme="minorEastAsia" w:hAnsiTheme="minorEastAsia" w:eastAsiaTheme="minorEastAsia"/>
          <w:b/>
          <w:bCs/>
          <w:color w:val="auto"/>
          <w:sz w:val="28"/>
          <w:szCs w:val="28"/>
          <w:highlight w:val="none"/>
        </w:rPr>
        <w:t>电子交易注意事项</w:t>
      </w:r>
    </w:p>
    <w:p>
      <w:pPr>
        <w:spacing w:line="360" w:lineRule="auto"/>
        <w:ind w:right="42" w:rightChars="20" w:firstLine="210" w:firstLineChars="100"/>
        <w:jc w:val="left"/>
        <w:rPr>
          <w:rFonts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pPr>
        <w:spacing w:line="360" w:lineRule="auto"/>
        <w:ind w:right="42" w:rightChars="20" w:firstLine="210" w:firstLineChars="1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1.集中采购机构按照招标文件规定的时间通过电子交易平台组织开标、开启投标文件、开启报价文件，所有投标人均应当准时在线参加，直至评审结束。</w:t>
      </w:r>
    </w:p>
    <w:p>
      <w:pPr>
        <w:pStyle w:val="44"/>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2. 投标文件未按时解密，投标人如提供备份投标文件的，以符合要求的备份投标文件作为依据，否则视为投标文件撤回。投标文件已按时解密的，备份投标文件自动失效。</w:t>
      </w:r>
    </w:p>
    <w:p>
      <w:pPr>
        <w:pStyle w:val="44"/>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3. 采购过程中出现以下情形，导致电子交易平台无法正常运行，或者无法保证电子交易的公平、公正和安全时，集中采购机构可中止电子交易活动：</w:t>
      </w:r>
    </w:p>
    <w:p>
      <w:pPr>
        <w:pStyle w:val="44"/>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（一）电子交易平台发生故障而无法登录访问的； </w:t>
      </w:r>
    </w:p>
    <w:p>
      <w:pPr>
        <w:pStyle w:val="44"/>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（二）电子交易平台应用或数据库出现错误，不能进行正常操作的；</w:t>
      </w:r>
    </w:p>
    <w:p>
      <w:pPr>
        <w:pStyle w:val="44"/>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（三）电子交易平台发现严重安全漏洞，有潜在泄密危险的；</w:t>
      </w:r>
    </w:p>
    <w:p>
      <w:pPr>
        <w:pStyle w:val="44"/>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（四）病毒发作导致不能进行正常操作的； </w:t>
      </w:r>
    </w:p>
    <w:p>
      <w:pPr>
        <w:pStyle w:val="44"/>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（五）其他无法保证电子交易的公平、公正和安全的情况。</w:t>
      </w:r>
    </w:p>
    <w:p>
      <w:pPr>
        <w:pStyle w:val="44"/>
        <w:spacing w:beforeAutospacing="0" w:afterAutospacing="0" w:line="360" w:lineRule="auto"/>
        <w:ind w:right="42" w:rightChars="20" w:firstLine="21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spacing w:line="360" w:lineRule="auto"/>
        <w:ind w:right="42" w:rightChars="20" w:firstLine="420"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4.评审中需要投标人对投标文件作出澄清、说明或者补正的，评审小组和投标人应当通过电子交易平台交换数据电文。投标人需在半小时内提交澄清说明或补正，投标人已经明确表示澄清说明或补正完毕的除外。</w:t>
      </w:r>
    </w:p>
    <w:p>
      <w:pPr>
        <w:spacing w:line="360" w:lineRule="auto"/>
        <w:ind w:right="42" w:rightChars="20" w:firstLine="422"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ascii="微软雅黑" w:hAnsi="微软雅黑" w:cs="宋体"/>
          <w:b/>
          <w:color w:val="auto"/>
          <w:kern w:val="0"/>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pPr>
        <w:pStyle w:val="95"/>
        <w:spacing w:line="360" w:lineRule="auto"/>
        <w:ind w:right="42" w:rightChars="20"/>
        <w:rPr>
          <w:rFonts w:asciiTheme="minorEastAsia" w:hAnsiTheme="minorEastAsia" w:eastAsiaTheme="minorEastAsia"/>
          <w:color w:val="auto"/>
          <w:highlight w:val="none"/>
        </w:rPr>
      </w:pPr>
    </w:p>
    <w:p>
      <w:pPr>
        <w:pStyle w:val="95"/>
        <w:ind w:right="42" w:rightChars="20"/>
        <w:rPr>
          <w:rFonts w:asciiTheme="minorEastAsia" w:hAnsiTheme="minorEastAsia" w:eastAsiaTheme="minorEastAsia"/>
          <w:color w:val="auto"/>
          <w:highlight w:val="none"/>
        </w:rPr>
      </w:pPr>
    </w:p>
    <w:p>
      <w:pPr>
        <w:pStyle w:val="95"/>
        <w:ind w:right="42" w:rightChars="20"/>
        <w:rPr>
          <w:rFonts w:asciiTheme="minorEastAsia" w:hAnsiTheme="minorEastAsia" w:eastAsiaTheme="minorEastAsia"/>
          <w:color w:val="auto"/>
          <w:highlight w:val="none"/>
        </w:rPr>
      </w:pPr>
    </w:p>
    <w:p>
      <w:pPr>
        <w:spacing w:line="360" w:lineRule="auto"/>
        <w:ind w:right="42" w:rightChars="20" w:firstLine="422" w:firstLineChars="200"/>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前附表</w:t>
      </w:r>
      <w:bookmarkEnd w:id="14"/>
      <w:bookmarkEnd w:id="15"/>
      <w:bookmarkEnd w:id="16"/>
      <w:bookmarkEnd w:id="17"/>
    </w:p>
    <w:tbl>
      <w:tblPr>
        <w:tblStyle w:val="49"/>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7"/>
        <w:gridCol w:w="8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8"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序号</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项目名称：</w:t>
            </w:r>
            <w:r>
              <w:rPr>
                <w:rFonts w:hint="eastAsia" w:cs="微软雅黑" w:asciiTheme="minorEastAsia" w:hAnsiTheme="minorEastAsia" w:eastAsiaTheme="minorEastAsia"/>
                <w:b/>
                <w:color w:val="auto"/>
                <w:szCs w:val="21"/>
                <w:highlight w:val="none"/>
              </w:rPr>
              <w:t>秀洲区</w:t>
            </w:r>
            <w:r>
              <w:rPr>
                <w:rFonts w:hint="eastAsia" w:cs="微软雅黑" w:asciiTheme="minorEastAsia" w:hAnsiTheme="minorEastAsia" w:eastAsiaTheme="minorEastAsia"/>
                <w:b/>
                <w:color w:val="auto"/>
                <w:szCs w:val="21"/>
                <w:highlight w:val="none"/>
                <w:lang w:eastAsia="zh-CN"/>
              </w:rPr>
              <w:t>秀洲区2024年度白蚁等害堤动物防治项目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招标编号：</w:t>
            </w:r>
            <w:r>
              <w:rPr>
                <w:rFonts w:hint="eastAsia" w:cs="微软雅黑" w:asciiTheme="minorEastAsia" w:hAnsiTheme="minorEastAsia" w:eastAsiaTheme="minorEastAsia"/>
                <w:color w:val="auto"/>
                <w:szCs w:val="21"/>
                <w:highlight w:val="none"/>
                <w:lang w:eastAsia="zh-CN"/>
              </w:rPr>
              <w:t>大地-DDZX-JX（2024）第1号</w:t>
            </w:r>
            <w:r>
              <w:rPr>
                <w:rFonts w:hint="eastAsia" w:cs="微软雅黑" w:asciiTheme="minorEastAsia" w:hAnsiTheme="minorEastAsia" w:eastAsiaTheme="minorEastAsia"/>
                <w:color w:val="auto"/>
                <w:szCs w:val="21"/>
                <w:highlight w:val="none"/>
              </w:rPr>
              <w:t xml:space="preserve">   采购计划文号：</w:t>
            </w: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HYPERLINK "https://pay.zcygov.cn/purchaseplan_front/" \l "/plan/list/detail?id=1000000000013125589&amp;encrypt=0aea1e0c082e9100146fb553f668db62&amp;_app_=zcy.procurement" \o "临[2024]9号" \t "https://www.zcygov.cn/bid-inviting/_procurement_/purchaseFileMake/announcementInfo/_blank" </w:instrText>
            </w:r>
            <w:r>
              <w:rPr>
                <w:rFonts w:hint="eastAsia" w:cs="微软雅黑" w:asciiTheme="minorEastAsia" w:hAnsiTheme="minorEastAsia" w:eastAsiaTheme="minorEastAsia"/>
                <w:color w:val="auto"/>
                <w:szCs w:val="21"/>
                <w:highlight w:val="none"/>
              </w:rPr>
              <w:fldChar w:fldCharType="separate"/>
            </w:r>
            <w:r>
              <w:rPr>
                <w:rFonts w:hint="eastAsia" w:cs="微软雅黑" w:asciiTheme="minorEastAsia" w:hAnsiTheme="minorEastAsia" w:eastAsiaTheme="minorEastAsia"/>
                <w:color w:val="auto"/>
                <w:szCs w:val="21"/>
                <w:highlight w:val="none"/>
              </w:rPr>
              <w:t>临[2024]9号</w:t>
            </w:r>
            <w:r>
              <w:rPr>
                <w:rFonts w:hint="eastAsia" w:cs="微软雅黑" w:asciiTheme="minorEastAsia" w:hAnsiTheme="minorEastAsia" w:eastAsiaTheme="minorEastAsia"/>
                <w:color w:val="auto"/>
                <w:szCs w:val="21"/>
                <w:highlight w:val="none"/>
              </w:rPr>
              <w:fldChar w:fldCharType="end"/>
            </w:r>
            <w:r>
              <w:rPr>
                <w:rFonts w:hint="eastAsia" w:cs="微软雅黑" w:asciiTheme="minorEastAsia" w:hAnsiTheme="minorEastAsia" w:eastAsia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4</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预算金额：</w:t>
            </w:r>
            <w:r>
              <w:rPr>
                <w:rFonts w:hint="eastAsia" w:asciiTheme="minorEastAsia" w:hAnsiTheme="minorEastAsia" w:eastAsiaTheme="minorEastAsia"/>
                <w:b/>
                <w:bCs/>
                <w:color w:val="auto"/>
                <w:szCs w:val="21"/>
                <w:highlight w:val="none"/>
                <w:lang w:val="en-US" w:eastAsia="zh-CN"/>
              </w:rPr>
              <w:t>640000</w:t>
            </w:r>
            <w:r>
              <w:rPr>
                <w:rFonts w:hint="eastAsia" w:asciiTheme="minorEastAsia" w:hAnsiTheme="minorEastAsia" w:eastAsiaTheme="minorEastAsia"/>
                <w:b/>
                <w:bCs/>
                <w:color w:val="auto"/>
                <w:szCs w:val="21"/>
                <w:highlight w:val="none"/>
              </w:rPr>
              <w:t>元</w:t>
            </w:r>
            <w:r>
              <w:rPr>
                <w:rFonts w:hint="eastAsia" w:asciiTheme="minorEastAsia" w:hAnsiTheme="minorEastAsia" w:eastAsiaTheme="minorEastAsia"/>
                <w:b/>
                <w:bCs/>
                <w:color w:val="auto"/>
                <w:szCs w:val="21"/>
                <w:highlight w:val="none"/>
                <w:lang w:val="en-US" w:eastAsia="zh-CN"/>
              </w:rPr>
              <w:t>（其中中央财政资金为580000元，地方财政资金为60000元整）。</w:t>
            </w:r>
            <w:r>
              <w:rPr>
                <w:rFonts w:hint="eastAsia" w:asciiTheme="minorEastAsia" w:hAnsiTheme="minorEastAsia" w:eastAsiaTheme="minorEastAsia"/>
                <w:b/>
                <w:bCs/>
                <w:color w:val="auto"/>
                <w:szCs w:val="21"/>
                <w:highlight w:val="none"/>
              </w:rPr>
              <w:t>投标报价超过预算价的作无效标处理</w:t>
            </w:r>
            <w:r>
              <w:rPr>
                <w:rFonts w:hint="eastAsia" w:asciiTheme="minorEastAsia" w:hAnsiTheme="minorEastAsia" w:eastAsiaTheme="minorEastAsia"/>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5</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6</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9"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7</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演示及样品：</w:t>
            </w:r>
            <w:r>
              <w:rPr>
                <w:rFonts w:hint="eastAsia" w:ascii="宋体" w:hAnsi="宋体" w:cs="微软雅黑"/>
                <w:color w:val="auto"/>
                <w:szCs w:val="21"/>
                <w:highlight w:val="none"/>
              </w:rPr>
              <w:t>无</w:t>
            </w:r>
          </w:p>
          <w:p>
            <w:pPr>
              <w:snapToGrid w:val="0"/>
              <w:spacing w:line="360" w:lineRule="auto"/>
              <w:ind w:right="42" w:rightChars="20"/>
              <w:rPr>
                <w:rFonts w:cs="微软雅黑" w:asciiTheme="minorEastAsia" w:hAnsiTheme="minorEastAsia"/>
                <w:color w:val="auto"/>
                <w:szCs w:val="21"/>
                <w:highlight w:val="none"/>
              </w:rPr>
            </w:pPr>
            <w:r>
              <w:rPr>
                <w:rFonts w:hint="eastAsia" w:ascii="宋体" w:hAnsi="宋体" w:cs="微软雅黑"/>
                <w:color w:val="auto"/>
                <w:szCs w:val="21"/>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8</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9</w:t>
            </w:r>
          </w:p>
        </w:tc>
        <w:tc>
          <w:tcPr>
            <w:tcW w:w="8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投标文件组成：</w:t>
            </w:r>
            <w:r>
              <w:rPr>
                <w:rFonts w:hint="eastAsia" w:cs="微软雅黑" w:asciiTheme="minorEastAsia" w:hAnsiTheme="minorEastAsia" w:eastAsiaTheme="minorEastAsia"/>
                <w:bCs/>
                <w:color w:val="auto"/>
                <w:szCs w:val="21"/>
                <w:highlight w:val="none"/>
              </w:rPr>
              <w:t>完整的《投标文件》由</w:t>
            </w:r>
            <w:r>
              <w:rPr>
                <w:rFonts w:hint="eastAsia" w:cs="微软雅黑" w:asciiTheme="minorEastAsia" w:hAnsiTheme="minorEastAsia" w:eastAsiaTheme="minorEastAsia"/>
                <w:b/>
                <w:color w:val="auto"/>
                <w:szCs w:val="21"/>
                <w:highlight w:val="none"/>
              </w:rPr>
              <w:t>资格投标文件、商务技术文件、报价文件三部份组成</w:t>
            </w:r>
            <w:r>
              <w:rPr>
                <w:rFonts w:hint="eastAsia" w:cs="微软雅黑" w:asciiTheme="minorEastAsia" w:hAnsiTheme="minorEastAsia" w:eastAsiaTheme="minorEastAsia"/>
                <w:bCs/>
                <w:color w:val="auto"/>
                <w:szCs w:val="21"/>
                <w:highlight w:val="none"/>
              </w:rPr>
              <w:t>。样品要求详见第二章采购需求。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10</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投标文件的编制：投标人应先安装“政采云电子交易客户端”，并按照本招标文件和“政府采购云平台”的要求，通过“政采云电子交易客户端”编制并加密投标文件。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11</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12</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color w:val="auto"/>
                <w:szCs w:val="21"/>
                <w:highlight w:val="none"/>
              </w:rPr>
              <w:t>投标文件的形式：</w:t>
            </w:r>
            <w:r>
              <w:rPr>
                <w:rFonts w:hint="eastAsia" w:ascii="MS Mincho" w:hAnsi="MS Mincho" w:eastAsia="MS Mincho" w:cs="MS Mincho"/>
                <w:bCs/>
                <w:color w:val="auto"/>
                <w:szCs w:val="21"/>
                <w:highlight w:val="none"/>
              </w:rPr>
              <w:t>☑</w:t>
            </w:r>
            <w:r>
              <w:rPr>
                <w:rFonts w:hint="eastAsia" w:ascii="宋体" w:hAnsi="宋体" w:cs="宋体"/>
                <w:bCs/>
                <w:color w:val="auto"/>
                <w:szCs w:val="21"/>
                <w:highlight w:val="none"/>
              </w:rPr>
              <w:t>电子投标文件（包括“电子加密投标文件”和“备份投标文件”，在投标文件编制完成后同时生成）；</w:t>
            </w:r>
          </w:p>
          <w:p>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（1）“电子加密投标文件”是指通过“政采云电子交易客户端”完成投标文件编制后生成并加密的数据电文形式的投标文件。</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13</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投标文件份数：</w:t>
            </w:r>
            <w:r>
              <w:rPr>
                <w:rFonts w:hint="eastAsia" w:cs="微软雅黑" w:asciiTheme="minorEastAsia" w:hAnsiTheme="minorEastAsia" w:eastAsiaTheme="minorEastAsia"/>
                <w:bCs/>
                <w:color w:val="auto"/>
                <w:szCs w:val="21"/>
                <w:highlight w:val="none"/>
              </w:rPr>
              <w:t>（1）“电子加密投标文件”：在线上传递交、一份。（2）“备份投标文件”：密封包装后（邮寄形式）投标截止时间前递交一份（邮寄地址：嘉兴市洪波路1200号万豪广场12楼1204号大地工程咨询有限公司（杨丽莉  电话：0573-82133572）。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14</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投标文件的上传和递交：</w:t>
            </w:r>
          </w:p>
          <w:p>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（1）“电子加密投标文件”的上传、递交：</w:t>
            </w:r>
          </w:p>
          <w:p>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a.投标人应在投标截止时间前将“电子加密投标文件”成功上传递交至“政府采购云平台”，否则投标无效。</w:t>
            </w:r>
          </w:p>
          <w:p>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b.“电子加密投标文件”成功上传递交后，投标人可自行打印投标文件接收回执。</w:t>
            </w:r>
          </w:p>
          <w:p>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（2）“备份投标文件”的密封包装、递交：</w:t>
            </w:r>
          </w:p>
          <w:p>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a.投标人在“政府采购云平台”完成“电子加密投标文件”的上传递交后，还可以（邮寄形式）在投标截止时间前递交以介质（U盘）存储的 “备份投标文件”（一份）；</w:t>
            </w:r>
          </w:p>
          <w:p>
            <w:pPr>
              <w:spacing w:line="360" w:lineRule="auto"/>
              <w:ind w:right="42" w:rightChars="20" w:firstLine="422" w:firstLineChars="200"/>
              <w:jc w:val="left"/>
              <w:rPr>
                <w:rFonts w:cs="微软雅黑" w:asciiTheme="minorEastAsia" w:hAnsiTheme="minorEastAsia" w:eastAsiaTheme="minorEastAsia"/>
                <w:b/>
                <w:bCs/>
                <w:color w:val="auto"/>
                <w:szCs w:val="21"/>
                <w:highlight w:val="none"/>
              </w:rPr>
            </w:pPr>
            <w:r>
              <w:rPr>
                <w:rFonts w:hint="eastAsia" w:cs="微软雅黑" w:asciiTheme="minorEastAsia" w:hAnsiTheme="minorEastAsia" w:eastAsiaTheme="minorEastAsia"/>
                <w:b/>
                <w:bCs/>
                <w:color w:val="auto"/>
                <w:szCs w:val="21"/>
                <w:highlight w:val="none"/>
              </w:rPr>
              <w:t>b.“备份投标文件”应当密封包装，并在包装上标注投标项目名称、投标单位名称并加盖公章。没有密封包装或者逾期邮寄送达至上述邮寄地点的“备份投标文件”将不予接收；（非强制递交）</w:t>
            </w:r>
          </w:p>
          <w:p>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15</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电子加密投标文件的解密和异常情况处理：</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（1）开标后，采购组织机构将向各投标人发出“电子加密投标文件”的解密通知，各投标人代表应当在接到解密通知后30分钟内自行完成“电子加密投标文件”的在线解密。</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16</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投标截止时间及地点：</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 xml:space="preserve">                     政采云线上投标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17</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开标时间及地点： </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0</w:t>
            </w:r>
          </w:p>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开标地点（线下）：嘉兴市洪波路1200号万豪广场12楼1204号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18</w:t>
            </w:r>
          </w:p>
        </w:tc>
        <w:tc>
          <w:tcPr>
            <w:tcW w:w="8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right="42" w:rightChars="20"/>
              <w:jc w:val="left"/>
              <w:textAlignment w:val="bottom"/>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color w:val="auto"/>
                <w:szCs w:val="21"/>
                <w:highlight w:val="none"/>
              </w:rPr>
              <w:t>投标费用：</w:t>
            </w:r>
            <w:r>
              <w:rPr>
                <w:rFonts w:hint="eastAsia"/>
                <w:color w:val="auto"/>
                <w:highlight w:val="none"/>
              </w:rPr>
              <w:t>本项目招标代理费由中标人支付，本项目招标代理费以成交金额为基数按计价格(2002)1980号收费标准60%计取，不足3000元，按3000元计取，中标人在领取成交通知书时一次性交纳给采购代理机构。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19</w:t>
            </w:r>
          </w:p>
        </w:tc>
        <w:tc>
          <w:tcPr>
            <w:tcW w:w="8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20</w:t>
            </w:r>
          </w:p>
        </w:tc>
        <w:tc>
          <w:tcPr>
            <w:tcW w:w="8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right="42" w:rightChars="20"/>
              <w:jc w:val="left"/>
              <w:textAlignment w:val="bottom"/>
              <w:rPr>
                <w:rFonts w:hint="eastAsia" w:cs="微软雅黑"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履约保证金的收取及退还：</w:t>
            </w:r>
            <w:r>
              <w:rPr>
                <w:rFonts w:hint="eastAsia" w:asciiTheme="minorEastAsia" w:hAnsiTheme="minorEastAsia" w:eastAsiaTheme="minorEastAsia"/>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21</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投标文件有效期：</w:t>
            </w:r>
            <w:r>
              <w:rPr>
                <w:rFonts w:hint="eastAsia" w:cs="微软雅黑" w:asciiTheme="minorEastAsia" w:hAnsiTheme="minorEastAsia" w:eastAsiaTheme="minorEastAsia"/>
                <w:color w:val="auto"/>
                <w:szCs w:val="21"/>
                <w:highlight w:val="none"/>
                <w:u w:val="single"/>
              </w:rPr>
              <w:t>60</w:t>
            </w:r>
            <w:r>
              <w:rPr>
                <w:rFonts w:hint="eastAsia" w:cs="微软雅黑" w:asciiTheme="minorEastAsia" w:hAnsiTheme="minorEastAsia" w:eastAsiaTheme="minor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22</w:t>
            </w:r>
          </w:p>
        </w:tc>
        <w:tc>
          <w:tcPr>
            <w:tcW w:w="8511" w:type="dxa"/>
            <w:tcBorders>
              <w:top w:val="single" w:color="auto" w:sz="4" w:space="0"/>
              <w:left w:val="single" w:color="auto" w:sz="4" w:space="0"/>
              <w:bottom w:val="single" w:color="auto" w:sz="4" w:space="0"/>
              <w:right w:val="single" w:color="auto" w:sz="4" w:space="0"/>
            </w:tcBorders>
            <w:vAlign w:val="center"/>
          </w:tcPr>
          <w:p>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kern w:val="0"/>
                <w:szCs w:val="21"/>
                <w:highlight w:val="none"/>
              </w:rPr>
              <w:t>网上注册：</w:t>
            </w:r>
            <w:r>
              <w:rPr>
                <w:rFonts w:hint="eastAsia" w:cs="微软雅黑" w:asciiTheme="minorEastAsia" w:hAnsiTheme="minorEastAsia" w:eastAsiaTheme="minorEastAsia"/>
                <w:color w:val="auto"/>
                <w:kern w:val="0"/>
                <w:szCs w:val="21"/>
                <w:highlight w:val="none"/>
              </w:rPr>
              <w:br w:type="textWrapping"/>
            </w:r>
            <w:r>
              <w:rPr>
                <w:rFonts w:hint="eastAsia" w:cs="微软雅黑" w:asciiTheme="minorEastAsia" w:hAnsiTheme="minorEastAsia" w:eastAsiaTheme="minorEastAsia"/>
                <w:color w:val="auto"/>
                <w:kern w:val="0"/>
                <w:szCs w:val="21"/>
                <w:highlight w:val="none"/>
              </w:rPr>
              <w:t>本项目不接受现场报名，须注册后进行网上报名。在浙江政府采购网进行投标人注册后完成报名；（详情请见第一章公告报名及招标文件的获取）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23</w:t>
            </w:r>
          </w:p>
        </w:tc>
        <w:tc>
          <w:tcPr>
            <w:tcW w:w="85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信用记录：符合浙财采监【2013】24号《关于规范政府采购投标人资格设定及资格审查的通知》规定,且未被“信用中国”（www.creditchina.gov.cn）和中国政府采购网（www.ccgp.gov.cn）列入失信被执行人、重大税收违法案件当事人名单、政府采购严重违法失信行为记录名单。提供承诺（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24</w:t>
            </w:r>
          </w:p>
        </w:tc>
        <w:tc>
          <w:tcPr>
            <w:tcW w:w="8511" w:type="dxa"/>
            <w:tcBorders>
              <w:top w:val="single" w:color="auto" w:sz="4" w:space="0"/>
              <w:left w:val="single" w:color="auto" w:sz="4" w:space="0"/>
              <w:bottom w:val="single" w:color="auto" w:sz="4" w:space="0"/>
              <w:right w:val="single" w:color="auto" w:sz="4" w:space="0"/>
            </w:tcBorders>
            <w:vAlign w:val="center"/>
          </w:tcPr>
          <w:p>
            <w:pPr>
              <w:spacing w:line="500" w:lineRule="exact"/>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本项目为服务类采购，所属行业为其他未列明行业。</w:t>
            </w:r>
          </w:p>
          <w:p>
            <w:pPr>
              <w:spacing w:line="500" w:lineRule="exact"/>
              <w:rPr>
                <w:color w:val="auto"/>
                <w:highlight w:val="none"/>
              </w:rPr>
            </w:pPr>
            <w:r>
              <w:rPr>
                <w:rFonts w:hint="eastAsia"/>
                <w:color w:val="auto"/>
                <w:highlight w:val="none"/>
              </w:rPr>
              <w:t>一、说明</w:t>
            </w:r>
          </w:p>
          <w:p>
            <w:pPr>
              <w:spacing w:line="500" w:lineRule="exact"/>
              <w:rPr>
                <w:color w:val="auto"/>
                <w:highlight w:val="none"/>
              </w:rPr>
            </w:pPr>
            <w:r>
              <w:rPr>
                <w:rFonts w:hint="eastAsia"/>
                <w:color w:val="auto"/>
                <w:highlight w:val="none"/>
              </w:rPr>
              <w:t>中小企业</w:t>
            </w:r>
          </w:p>
          <w:p>
            <w:pPr>
              <w:spacing w:line="500" w:lineRule="exact"/>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500" w:lineRule="exact"/>
              <w:rPr>
                <w:color w:val="auto"/>
                <w:highlight w:val="none"/>
              </w:rPr>
            </w:pPr>
            <w:r>
              <w:rPr>
                <w:rFonts w:hint="eastAsia"/>
                <w:color w:val="auto"/>
                <w:highlight w:val="none"/>
              </w:rPr>
              <w:t>符合中小企业划分标准的个体工商户，在政府采购活动中视同中小企业。</w:t>
            </w:r>
          </w:p>
          <w:p>
            <w:pPr>
              <w:spacing w:line="500" w:lineRule="exact"/>
              <w:rPr>
                <w:color w:val="auto"/>
                <w:highlight w:val="none"/>
              </w:rPr>
            </w:pPr>
            <w:r>
              <w:rPr>
                <w:rFonts w:hint="eastAsia"/>
                <w:color w:val="auto"/>
                <w:highlight w:val="none"/>
              </w:rPr>
              <w:t>在政府采购活动中，供应商提供的货物、工程或者服务符合下列情形的，享受本办法规定的中小企业扶持政策：</w:t>
            </w:r>
          </w:p>
          <w:p>
            <w:pPr>
              <w:spacing w:line="500" w:lineRule="exact"/>
              <w:rPr>
                <w:color w:val="auto"/>
                <w:highlight w:val="none"/>
              </w:rPr>
            </w:pPr>
            <w:r>
              <w:rPr>
                <w:rFonts w:hint="eastAsia"/>
                <w:color w:val="auto"/>
                <w:highlight w:val="none"/>
              </w:rPr>
              <w:t>(一)在货物采购项目中，货物由中小企业制造，即货物由中小企业生产且使用该中小企业商号或者注册商标；</w:t>
            </w:r>
          </w:p>
          <w:p>
            <w:pPr>
              <w:spacing w:line="500" w:lineRule="exact"/>
              <w:rPr>
                <w:color w:val="auto"/>
                <w:highlight w:val="none"/>
              </w:rPr>
            </w:pPr>
            <w:r>
              <w:rPr>
                <w:rFonts w:hint="eastAsia"/>
                <w:color w:val="auto"/>
                <w:highlight w:val="none"/>
              </w:rPr>
              <w:t>(二)在工程采购项目中，工程由中小企业承建，即工程施工单位为中小企业；</w:t>
            </w:r>
          </w:p>
          <w:p>
            <w:pPr>
              <w:spacing w:line="500" w:lineRule="exact"/>
              <w:rPr>
                <w:color w:val="auto"/>
                <w:highlight w:val="none"/>
              </w:rPr>
            </w:pPr>
            <w:r>
              <w:rPr>
                <w:rFonts w:hint="eastAsia"/>
                <w:color w:val="auto"/>
                <w:highlight w:val="none"/>
              </w:rPr>
              <w:t>(三)在服务采购项目中，服务由中小企业承接，即提供服务的人员为中小企业依照《中华人民共和国民法典》订立劳动合同的从业人员。</w:t>
            </w:r>
          </w:p>
          <w:p>
            <w:pPr>
              <w:spacing w:line="500" w:lineRule="exact"/>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pPr>
              <w:spacing w:line="500" w:lineRule="exac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pacing w:line="500" w:lineRule="exact"/>
              <w:rPr>
                <w:color w:val="auto"/>
                <w:highlight w:val="none"/>
              </w:rPr>
            </w:pPr>
            <w:r>
              <w:rPr>
                <w:rFonts w:hint="eastAsia"/>
                <w:color w:val="auto"/>
                <w:highlight w:val="none"/>
              </w:rPr>
              <w:t>残疾人福利性单位</w:t>
            </w:r>
          </w:p>
          <w:p>
            <w:pPr>
              <w:spacing w:line="500" w:lineRule="exact"/>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spacing w:line="500" w:lineRule="exact"/>
              <w:rPr>
                <w:color w:val="auto"/>
                <w:highlight w:val="none"/>
              </w:rPr>
            </w:pPr>
            <w:r>
              <w:rPr>
                <w:rFonts w:hint="eastAsia"/>
                <w:color w:val="auto"/>
                <w:highlight w:val="none"/>
              </w:rPr>
              <w:t>监狱企业</w:t>
            </w:r>
          </w:p>
          <w:p>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25</w:t>
            </w:r>
          </w:p>
        </w:tc>
        <w:tc>
          <w:tcPr>
            <w:tcW w:w="85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解释：本招标文件的解释权属于招标采购单位。</w:t>
            </w:r>
          </w:p>
        </w:tc>
      </w:tr>
    </w:tbl>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8" w:name="_Toc177870536"/>
      <w:bookmarkStart w:id="19" w:name="_Toc493511580"/>
      <w:bookmarkStart w:id="20" w:name="_Toc50012817"/>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1" w:name="_Toc2096"/>
      <w:r>
        <w:rPr>
          <w:rFonts w:hint="eastAsia" w:asciiTheme="minorEastAsia" w:hAnsiTheme="minorEastAsia" w:eastAsiaTheme="minorEastAsia"/>
          <w:b/>
          <w:color w:val="auto"/>
          <w:szCs w:val="21"/>
          <w:highlight w:val="none"/>
        </w:rPr>
        <w:t>一、总  则</w:t>
      </w:r>
      <w:bookmarkEnd w:id="18"/>
      <w:bookmarkEnd w:id="19"/>
      <w:bookmarkEnd w:id="20"/>
      <w:bookmarkEnd w:id="21"/>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2" w:name="_Toc177824872"/>
      <w:bookmarkStart w:id="23" w:name="_Toc177825120"/>
      <w:bookmarkStart w:id="24" w:name="_Toc493511581"/>
      <w:bookmarkStart w:id="25" w:name="_Toc50012818"/>
      <w:bookmarkStart w:id="26" w:name="_Toc8394"/>
      <w:bookmarkStart w:id="27" w:name="_Toc177870537"/>
      <w:bookmarkStart w:id="28" w:name="_Toc427915759"/>
      <w:bookmarkStart w:id="29" w:name="_Toc177824939"/>
      <w:r>
        <w:rPr>
          <w:rFonts w:hint="eastAsia" w:asciiTheme="minorEastAsia" w:hAnsiTheme="minorEastAsia" w:eastAsiaTheme="minorEastAsia"/>
          <w:color w:val="auto"/>
          <w:szCs w:val="21"/>
          <w:highlight w:val="none"/>
        </w:rPr>
        <w:t>1、 适用范围</w:t>
      </w:r>
      <w:bookmarkEnd w:id="22"/>
      <w:bookmarkEnd w:id="23"/>
      <w:bookmarkEnd w:id="24"/>
      <w:bookmarkEnd w:id="25"/>
      <w:bookmarkEnd w:id="26"/>
      <w:bookmarkEnd w:id="27"/>
      <w:bookmarkEnd w:id="28"/>
      <w:bookmarkEnd w:id="29"/>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0" w:name="_Toc493511582"/>
      <w:bookmarkStart w:id="31" w:name="_Toc30106"/>
      <w:bookmarkStart w:id="32" w:name="_Toc50012819"/>
      <w:r>
        <w:rPr>
          <w:rFonts w:hint="eastAsia" w:asciiTheme="minorEastAsia" w:hAnsiTheme="minorEastAsia" w:eastAsiaTheme="minorEastAsia"/>
          <w:color w:val="auto"/>
          <w:szCs w:val="21"/>
          <w:highlight w:val="none"/>
        </w:rPr>
        <w:t>1.1、本招标文件适用于本次所述项目的招标。</w:t>
      </w:r>
      <w:bookmarkEnd w:id="30"/>
      <w:bookmarkEnd w:id="31"/>
      <w:bookmarkEnd w:id="32"/>
      <w:bookmarkStart w:id="33" w:name="_Toc427915760"/>
      <w:bookmarkStart w:id="34" w:name="_Toc177824873"/>
      <w:bookmarkStart w:id="35" w:name="_Toc177825121"/>
      <w:bookmarkStart w:id="36" w:name="_Toc177824940"/>
      <w:bookmarkStart w:id="37" w:name="_Toc177870538"/>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8" w:name="_Toc493511583"/>
      <w:bookmarkStart w:id="39" w:name="_Toc29052"/>
      <w:bookmarkStart w:id="40" w:name="_Toc50012820"/>
      <w:r>
        <w:rPr>
          <w:rFonts w:hint="eastAsia" w:asciiTheme="minorEastAsia" w:hAnsiTheme="minorEastAsia" w:eastAsiaTheme="minorEastAsia"/>
          <w:color w:val="auto"/>
          <w:szCs w:val="21"/>
          <w:highlight w:val="none"/>
        </w:rPr>
        <w:t>2、定义</w:t>
      </w:r>
      <w:bookmarkEnd w:id="33"/>
      <w:bookmarkEnd w:id="34"/>
      <w:bookmarkEnd w:id="35"/>
      <w:bookmarkEnd w:id="36"/>
      <w:bookmarkEnd w:id="37"/>
      <w:bookmarkEnd w:id="38"/>
      <w:bookmarkEnd w:id="39"/>
      <w:bookmarkEnd w:id="40"/>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1" w:name="_Toc50012821"/>
      <w:bookmarkStart w:id="42" w:name="_Toc19542"/>
      <w:bookmarkStart w:id="43" w:name="_Toc493511584"/>
      <w:r>
        <w:rPr>
          <w:rFonts w:hint="eastAsia" w:asciiTheme="minorEastAsia" w:hAnsiTheme="minorEastAsia" w:eastAsiaTheme="minorEastAsia"/>
          <w:color w:val="auto"/>
          <w:szCs w:val="21"/>
          <w:highlight w:val="none"/>
        </w:rPr>
        <w:t>2.1、“招标人”系指组织本次招标的代理机构或采购人。</w:t>
      </w:r>
      <w:bookmarkEnd w:id="41"/>
      <w:bookmarkEnd w:id="42"/>
      <w:bookmarkEnd w:id="43"/>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4" w:name="_Toc22525"/>
      <w:bookmarkStart w:id="45" w:name="_Toc50012822"/>
      <w:bookmarkStart w:id="46" w:name="_Toc493511585"/>
      <w:r>
        <w:rPr>
          <w:rFonts w:hint="eastAsia" w:asciiTheme="minorEastAsia" w:hAnsiTheme="minorEastAsia" w:eastAsiaTheme="minorEastAsia"/>
          <w:color w:val="auto"/>
          <w:szCs w:val="21"/>
          <w:highlight w:val="none"/>
        </w:rPr>
        <w:t>2.2、“投标人”系指向采购人提交投标文件的投标人。</w:t>
      </w:r>
      <w:bookmarkEnd w:id="44"/>
      <w:bookmarkEnd w:id="45"/>
      <w:bookmarkEnd w:id="46"/>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7" w:name="_Toc2392"/>
      <w:bookmarkStart w:id="48" w:name="_Toc50012823"/>
      <w:bookmarkStart w:id="49" w:name="_Toc493511586"/>
      <w:r>
        <w:rPr>
          <w:rFonts w:hint="eastAsia" w:asciiTheme="minorEastAsia" w:hAnsiTheme="minorEastAsia" w:eastAsiaTheme="minorEastAsia"/>
          <w:color w:val="auto"/>
          <w:szCs w:val="21"/>
          <w:highlight w:val="none"/>
        </w:rPr>
        <w:t>2.3、“产品”系指供方按招标文件规定，须向采购人提供的一切设备、保险、税金、备品备件、工具、手册及其它有关技术资料和材料。</w:t>
      </w:r>
      <w:bookmarkEnd w:id="47"/>
      <w:bookmarkEnd w:id="48"/>
      <w:bookmarkEnd w:id="49"/>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0" w:name="_Toc50012824"/>
      <w:bookmarkStart w:id="51" w:name="_Toc15752"/>
      <w:bookmarkStart w:id="52" w:name="_Toc493511587"/>
      <w:r>
        <w:rPr>
          <w:rFonts w:hint="eastAsia" w:asciiTheme="minorEastAsia" w:hAnsiTheme="minorEastAsia" w:eastAsiaTheme="minorEastAsia"/>
          <w:color w:val="auto"/>
          <w:szCs w:val="21"/>
          <w:highlight w:val="none"/>
        </w:rPr>
        <w:t>2.4、“服务”系指招标文件规定投标人须承担的安装、调试、技术协助、校准、培训、技术指导以及其他类似的义务。</w:t>
      </w:r>
      <w:bookmarkEnd w:id="50"/>
      <w:bookmarkEnd w:id="51"/>
      <w:bookmarkEnd w:id="52"/>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3" w:name="_Toc50012825"/>
      <w:bookmarkStart w:id="54" w:name="_Toc493511588"/>
      <w:bookmarkStart w:id="55" w:name="_Toc14499"/>
      <w:r>
        <w:rPr>
          <w:rFonts w:hint="eastAsia" w:asciiTheme="minorEastAsia" w:hAnsiTheme="minorEastAsia" w:eastAsiaTheme="minorEastAsia"/>
          <w:color w:val="auto"/>
          <w:szCs w:val="21"/>
          <w:highlight w:val="none"/>
        </w:rPr>
        <w:t>2.5、“项目”系指投标人按招标文件规定向采购人提供的产品和服务。</w:t>
      </w:r>
      <w:bookmarkEnd w:id="53"/>
      <w:bookmarkEnd w:id="54"/>
      <w:bookmarkEnd w:id="55"/>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6" w:name="_Toc493511589"/>
      <w:bookmarkStart w:id="57" w:name="_Toc50012826"/>
      <w:bookmarkStart w:id="58" w:name="_Toc28414"/>
      <w:r>
        <w:rPr>
          <w:rFonts w:hint="eastAsia" w:asciiTheme="minorEastAsia" w:hAnsiTheme="minorEastAsia" w:eastAsiaTheme="minorEastAsia"/>
          <w:color w:val="auto"/>
          <w:szCs w:val="21"/>
          <w:highlight w:val="none"/>
        </w:rPr>
        <w:t>2.6、“书面形式”包括信函、传真、电报、电子文档等。</w:t>
      </w:r>
      <w:bookmarkEnd w:id="56"/>
      <w:bookmarkEnd w:id="57"/>
      <w:bookmarkEnd w:id="58"/>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9" w:name="_Toc50012827"/>
      <w:bookmarkStart w:id="60" w:name="_Toc493511590"/>
      <w:bookmarkStart w:id="61" w:name="_Toc18649"/>
      <w:r>
        <w:rPr>
          <w:rFonts w:hint="eastAsia" w:asciiTheme="minorEastAsia" w:hAnsiTheme="minorEastAsia" w:eastAsiaTheme="minorEastAsia"/>
          <w:color w:val="auto"/>
          <w:szCs w:val="21"/>
          <w:highlight w:val="none"/>
        </w:rPr>
        <w:t>2.7、“▲”系指实质性要求条款。</w:t>
      </w:r>
      <w:bookmarkEnd w:id="59"/>
      <w:bookmarkEnd w:id="60"/>
      <w:bookmarkEnd w:id="61"/>
      <w:bookmarkStart w:id="62" w:name="_Toc427915761"/>
      <w:bookmarkStart w:id="63" w:name="_Toc177870539"/>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4" w:name="_Toc10422"/>
      <w:bookmarkStart w:id="65" w:name="_Toc493511591"/>
      <w:bookmarkStart w:id="66" w:name="_Toc50012828"/>
      <w:r>
        <w:rPr>
          <w:rFonts w:hint="eastAsia" w:asciiTheme="minorEastAsia" w:hAnsiTheme="minorEastAsia" w:eastAsiaTheme="minorEastAsia"/>
          <w:color w:val="auto"/>
          <w:szCs w:val="21"/>
          <w:highlight w:val="none"/>
        </w:rPr>
        <w:t>3、采购人式</w:t>
      </w:r>
      <w:bookmarkEnd w:id="62"/>
      <w:bookmarkEnd w:id="63"/>
      <w:bookmarkEnd w:id="64"/>
      <w:bookmarkEnd w:id="65"/>
      <w:bookmarkEnd w:id="66"/>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7" w:name="_Toc21572"/>
      <w:bookmarkStart w:id="68" w:name="_Toc493511592"/>
      <w:bookmarkStart w:id="69" w:name="_Toc50012829"/>
      <w:r>
        <w:rPr>
          <w:rFonts w:hint="eastAsia" w:asciiTheme="minorEastAsia" w:hAnsiTheme="minorEastAsia" w:eastAsiaTheme="minorEastAsia"/>
          <w:color w:val="auto"/>
          <w:szCs w:val="21"/>
          <w:highlight w:val="none"/>
        </w:rPr>
        <w:t>3.1、本次招标采用公开采购人式进行。</w:t>
      </w:r>
      <w:bookmarkEnd w:id="67"/>
      <w:bookmarkEnd w:id="68"/>
      <w:bookmarkEnd w:id="69"/>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0" w:name="_Toc30170"/>
      <w:bookmarkStart w:id="71" w:name="_Toc493511593"/>
      <w:bookmarkStart w:id="72" w:name="_Toc50012830"/>
      <w:r>
        <w:rPr>
          <w:rFonts w:hint="eastAsia" w:asciiTheme="minorEastAsia" w:hAnsiTheme="minorEastAsia" w:eastAsiaTheme="minorEastAsia"/>
          <w:color w:val="auto"/>
          <w:szCs w:val="21"/>
          <w:highlight w:val="none"/>
        </w:rPr>
        <w:t>3.2、本次招标设定上限价为预算价。</w:t>
      </w:r>
      <w:bookmarkEnd w:id="70"/>
      <w:bookmarkEnd w:id="71"/>
      <w:bookmarkEnd w:id="72"/>
      <w:bookmarkStart w:id="73" w:name="_Toc427915762"/>
      <w:bookmarkStart w:id="74" w:name="_Toc177825122"/>
      <w:bookmarkStart w:id="75" w:name="_Toc177870540"/>
      <w:bookmarkStart w:id="76" w:name="_Toc177824874"/>
      <w:bookmarkStart w:id="77" w:name="_Toc177824941"/>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8" w:name="_Toc50012831"/>
      <w:bookmarkStart w:id="79" w:name="_Toc493511594"/>
      <w:bookmarkStart w:id="80" w:name="_Toc21323"/>
      <w:r>
        <w:rPr>
          <w:rFonts w:hint="eastAsia" w:asciiTheme="minorEastAsia" w:hAnsiTheme="minorEastAsia" w:eastAsiaTheme="minorEastAsia"/>
          <w:color w:val="auto"/>
          <w:szCs w:val="21"/>
          <w:highlight w:val="none"/>
        </w:rPr>
        <w:t>4、投标委托</w:t>
      </w:r>
      <w:bookmarkEnd w:id="73"/>
      <w:bookmarkEnd w:id="74"/>
      <w:bookmarkEnd w:id="75"/>
      <w:bookmarkEnd w:id="76"/>
      <w:bookmarkEnd w:id="77"/>
      <w:bookmarkEnd w:id="78"/>
      <w:bookmarkEnd w:id="79"/>
      <w:bookmarkEnd w:id="80"/>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1" w:name="_Toc493511595"/>
      <w:bookmarkStart w:id="82" w:name="_Toc10126"/>
      <w:bookmarkStart w:id="83" w:name="_Toc50012832"/>
      <w:r>
        <w:rPr>
          <w:rFonts w:hint="eastAsia" w:asciiTheme="minorEastAsia" w:hAnsiTheme="minorEastAsia" w:eastAsiaTheme="minorEastAsia"/>
          <w:color w:val="auto"/>
          <w:szCs w:val="21"/>
          <w:highlight w:val="none"/>
        </w:rPr>
        <w:t>投标人代表须携带居民身份证。如投标人代表不是法定代表人，须有法定代表人出具的授权委托书。（正本用原件，副本可用复印件，格式见第六部分）。</w:t>
      </w:r>
      <w:bookmarkEnd w:id="81"/>
      <w:bookmarkEnd w:id="82"/>
      <w:bookmarkEnd w:id="83"/>
      <w:bookmarkStart w:id="84" w:name="_Toc177825123"/>
      <w:bookmarkStart w:id="85" w:name="_Toc427915763"/>
      <w:bookmarkStart w:id="86" w:name="_Toc177870541"/>
      <w:bookmarkStart w:id="87" w:name="_Toc177824875"/>
      <w:bookmarkStart w:id="88" w:name="_Toc177824942"/>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9" w:name="_Toc2927"/>
      <w:bookmarkStart w:id="90" w:name="_Toc50012833"/>
      <w:bookmarkStart w:id="91" w:name="_Toc493511596"/>
      <w:r>
        <w:rPr>
          <w:rFonts w:hint="eastAsia" w:asciiTheme="minorEastAsia" w:hAnsiTheme="minorEastAsia" w:eastAsiaTheme="minorEastAsia"/>
          <w:color w:val="auto"/>
          <w:szCs w:val="21"/>
          <w:highlight w:val="none"/>
        </w:rPr>
        <w:t>5、投标费用</w:t>
      </w:r>
      <w:bookmarkEnd w:id="84"/>
      <w:bookmarkEnd w:id="85"/>
      <w:bookmarkEnd w:id="86"/>
      <w:bookmarkEnd w:id="87"/>
      <w:bookmarkEnd w:id="88"/>
      <w:bookmarkEnd w:id="89"/>
      <w:bookmarkEnd w:id="90"/>
      <w:bookmarkEnd w:id="91"/>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2" w:name="_Toc50012834"/>
      <w:bookmarkStart w:id="93" w:name="_Toc2682"/>
      <w:bookmarkStart w:id="94" w:name="_Toc493511597"/>
      <w:r>
        <w:rPr>
          <w:rFonts w:hint="eastAsia" w:asciiTheme="minorEastAsia" w:hAnsiTheme="minorEastAsia" w:eastAsiaTheme="minorEastAsia"/>
          <w:color w:val="auto"/>
          <w:szCs w:val="21"/>
          <w:highlight w:val="none"/>
        </w:rPr>
        <w:t>不论投标结果如何，投标人均应自行承担所有与投标有关的全部费用。</w:t>
      </w:r>
      <w:bookmarkEnd w:id="92"/>
      <w:bookmarkEnd w:id="93"/>
      <w:bookmarkEnd w:id="94"/>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5" w:name="_Toc26432"/>
      <w:bookmarkStart w:id="96" w:name="_Toc493511598"/>
      <w:bookmarkStart w:id="97" w:name="_Toc50012835"/>
      <w:r>
        <w:rPr>
          <w:rFonts w:hint="eastAsia" w:asciiTheme="minorEastAsia" w:hAnsiTheme="minorEastAsia" w:eastAsiaTheme="minorEastAsia"/>
          <w:color w:val="auto"/>
          <w:szCs w:val="21"/>
          <w:highlight w:val="none"/>
        </w:rPr>
        <w:t>6、联合体投标</w:t>
      </w:r>
      <w:bookmarkEnd w:id="95"/>
      <w:bookmarkEnd w:id="96"/>
      <w:bookmarkEnd w:id="97"/>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8" w:name="_Toc30057"/>
      <w:bookmarkStart w:id="99" w:name="_Toc493511599"/>
      <w:bookmarkStart w:id="100" w:name="_Toc50012836"/>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接受联合体投标。</w:t>
      </w:r>
      <w:bookmarkEnd w:id="98"/>
      <w:bookmarkEnd w:id="99"/>
      <w:bookmarkEnd w:id="100"/>
      <w:bookmarkStart w:id="101" w:name="_Toc177870544"/>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2" w:name="_Toc1772"/>
      <w:bookmarkStart w:id="103" w:name="_Toc50012837"/>
      <w:r>
        <w:rPr>
          <w:rFonts w:hint="eastAsia" w:asciiTheme="minorEastAsia" w:hAnsiTheme="minorEastAsia" w:eastAsiaTheme="minorEastAsia"/>
          <w:b/>
          <w:color w:val="auto"/>
          <w:szCs w:val="21"/>
          <w:highlight w:val="none"/>
        </w:rPr>
        <w:t>7.转包与分包</w:t>
      </w:r>
      <w:bookmarkEnd w:id="102"/>
      <w:bookmarkEnd w:id="103"/>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04" w:name="_Toc25115"/>
      <w:bookmarkStart w:id="105" w:name="_Toc50012838"/>
      <w:r>
        <w:rPr>
          <w:rFonts w:hint="eastAsia" w:asciiTheme="minorEastAsia" w:hAnsiTheme="minorEastAsia" w:eastAsiaTheme="minorEastAsia"/>
          <w:color w:val="auto"/>
          <w:szCs w:val="21"/>
          <w:highlight w:val="none"/>
        </w:rPr>
        <w:t>7.1本项目不允许转包；</w:t>
      </w:r>
      <w:bookmarkEnd w:id="104"/>
      <w:bookmarkEnd w:id="105"/>
    </w:p>
    <w:p>
      <w:pPr>
        <w:snapToGrid w:val="0"/>
        <w:spacing w:line="360" w:lineRule="auto"/>
        <w:ind w:right="42" w:rightChars="20" w:firstLine="420" w:firstLineChars="200"/>
        <w:jc w:val="left"/>
        <w:outlineLvl w:val="1"/>
        <w:rPr>
          <w:rFonts w:cs="宋体" w:asciiTheme="minorEastAsia" w:hAnsiTheme="minorEastAsia" w:eastAsiaTheme="minorEastAsia"/>
          <w:color w:val="auto"/>
          <w:kern w:val="0"/>
          <w:szCs w:val="21"/>
          <w:highlight w:val="none"/>
        </w:rPr>
      </w:pPr>
      <w:bookmarkStart w:id="106" w:name="_Toc5717"/>
      <w:bookmarkStart w:id="107" w:name="_Toc50012839"/>
      <w:r>
        <w:rPr>
          <w:rFonts w:hint="eastAsia" w:cs="宋体" w:asciiTheme="minorEastAsia" w:hAnsiTheme="minorEastAsia" w:eastAsiaTheme="minorEastAsia"/>
          <w:color w:val="auto"/>
          <w:kern w:val="0"/>
          <w:szCs w:val="21"/>
          <w:highlight w:val="none"/>
        </w:rPr>
        <w:t>7.2</w:t>
      </w:r>
      <w:r>
        <w:rPr>
          <w:rFonts w:hint="eastAsia" w:asciiTheme="minorEastAsia" w:hAnsiTheme="minorEastAsia" w:eastAsiaTheme="minorEastAsia"/>
          <w:color w:val="auto"/>
          <w:szCs w:val="21"/>
          <w:highlight w:val="none"/>
        </w:rPr>
        <w:t>本项目不允许分包</w:t>
      </w:r>
      <w:r>
        <w:rPr>
          <w:rFonts w:hint="eastAsia" w:cs="宋体" w:asciiTheme="minorEastAsia" w:hAnsiTheme="minorEastAsia" w:eastAsiaTheme="minorEastAsia"/>
          <w:color w:val="auto"/>
          <w:kern w:val="0"/>
          <w:szCs w:val="21"/>
          <w:highlight w:val="none"/>
        </w:rPr>
        <w:t>。</w:t>
      </w:r>
      <w:bookmarkEnd w:id="106"/>
      <w:bookmarkEnd w:id="107"/>
      <w:bookmarkStart w:id="108" w:name="_Toc430786267"/>
      <w:bookmarkStart w:id="109" w:name="_Toc177870542"/>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0" w:name="_Toc50012840"/>
      <w:bookmarkStart w:id="111" w:name="_Toc2435"/>
      <w:r>
        <w:rPr>
          <w:rFonts w:hint="eastAsia" w:asciiTheme="minorEastAsia" w:hAnsiTheme="minorEastAsia" w:eastAsiaTheme="minorEastAsia"/>
          <w:b/>
          <w:color w:val="auto"/>
          <w:szCs w:val="21"/>
          <w:highlight w:val="none"/>
        </w:rPr>
        <w:t>8.特别说明：</w:t>
      </w:r>
      <w:bookmarkEnd w:id="108"/>
      <w:bookmarkEnd w:id="109"/>
      <w:bookmarkEnd w:id="110"/>
      <w:bookmarkEnd w:id="111"/>
    </w:p>
    <w:p>
      <w:pPr>
        <w:pStyle w:val="2"/>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bookmarkStart w:id="112" w:name="_Toc177870543"/>
      <w:bookmarkStart w:id="113" w:name="_Toc430786268"/>
      <w:bookmarkStart w:id="114" w:name="_Toc495603533"/>
      <w:r>
        <w:rPr>
          <w:rFonts w:hint="eastAsia" w:asciiTheme="minorEastAsia" w:hAnsiTheme="minorEastAsia" w:eastAsiaTheme="minorEastAsia"/>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5" w:name="_Toc7381"/>
      <w:bookmarkStart w:id="116" w:name="_Toc50012841"/>
      <w:r>
        <w:rPr>
          <w:rFonts w:hint="eastAsia" w:asciiTheme="minorEastAsia" w:hAnsiTheme="minorEastAsia" w:eastAsiaTheme="minorEastAsia"/>
          <w:b/>
          <w:color w:val="auto"/>
          <w:szCs w:val="21"/>
          <w:highlight w:val="none"/>
        </w:rPr>
        <w:t>9.质疑</w:t>
      </w:r>
      <w:bookmarkEnd w:id="112"/>
      <w:bookmarkEnd w:id="113"/>
      <w:bookmarkEnd w:id="114"/>
      <w:bookmarkEnd w:id="115"/>
      <w:bookmarkEnd w:id="116"/>
    </w:p>
    <w:p>
      <w:pPr>
        <w:pStyle w:val="25"/>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7" w:name="_Toc495603534"/>
      <w:bookmarkStart w:id="118" w:name="_Toc1791"/>
      <w:bookmarkStart w:id="119" w:name="_Toc50012842"/>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投标人认为招标文件、招标过程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中标结果使自己的合法权益受到损害的，应当在知道或者应知其权益受到损害之日起七个工作日内，以书面形式向采购人、</w:t>
      </w:r>
      <w:r>
        <w:rPr>
          <w:rFonts w:hint="eastAsia" w:asciiTheme="minorEastAsia" w:hAnsiTheme="minorEastAsia" w:eastAsiaTheme="minorEastAsia"/>
          <w:b/>
          <w:color w:val="auto"/>
          <w:szCs w:val="21"/>
          <w:highlight w:val="none"/>
        </w:rPr>
        <w:t>代理机构</w:t>
      </w:r>
      <w:r>
        <w:rPr>
          <w:rFonts w:asciiTheme="minorEastAsia" w:hAnsiTheme="minorEastAsia" w:eastAsiaTheme="minorEastAsia"/>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117"/>
      <w:bookmarkEnd w:id="118"/>
      <w:bookmarkEnd w:id="119"/>
      <w:bookmarkStart w:id="120" w:name="_Toc495603535"/>
    </w:p>
    <w:p>
      <w:pPr>
        <w:pStyle w:val="25"/>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1" w:name="_Toc23570"/>
      <w:bookmarkStart w:id="122" w:name="_Toc50012843"/>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质疑、投诉应当采用书面形式，质疑书、投诉书均应明确阐述招标文件、招标过程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b/>
          <w:color w:val="auto"/>
          <w:szCs w:val="21"/>
          <w:highlight w:val="none"/>
        </w:rPr>
        <w:t>。</w:t>
      </w:r>
      <w:bookmarkEnd w:id="120"/>
      <w:bookmarkEnd w:id="121"/>
      <w:bookmarkEnd w:id="122"/>
    </w:p>
    <w:p>
      <w:pPr>
        <w:pStyle w:val="25"/>
        <w:spacing w:line="360" w:lineRule="auto"/>
        <w:ind w:right="42" w:rightChars="20" w:firstLine="422" w:firstLineChars="200"/>
        <w:jc w:val="left"/>
        <w:outlineLvl w:val="1"/>
        <w:rPr>
          <w:rFonts w:asciiTheme="minorEastAsia" w:hAnsiTheme="minorEastAsia" w:eastAsiaTheme="minorEastAsia"/>
          <w:b/>
          <w:color w:val="auto"/>
          <w:szCs w:val="21"/>
          <w:highlight w:val="none"/>
        </w:rPr>
      </w:pPr>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3" w:name="_Toc50012844"/>
      <w:bookmarkStart w:id="124" w:name="_Toc25169"/>
      <w:bookmarkStart w:id="125" w:name="_Toc493511613"/>
      <w:r>
        <w:rPr>
          <w:rFonts w:hint="eastAsia" w:asciiTheme="minorEastAsia" w:hAnsiTheme="minorEastAsia" w:eastAsiaTheme="minorEastAsia"/>
          <w:b/>
          <w:color w:val="auto"/>
          <w:szCs w:val="21"/>
          <w:highlight w:val="none"/>
        </w:rPr>
        <w:t>二 、招标文件</w:t>
      </w:r>
      <w:bookmarkEnd w:id="101"/>
      <w:bookmarkEnd w:id="123"/>
      <w:bookmarkEnd w:id="124"/>
      <w:bookmarkEnd w:id="125"/>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6" w:name="_Toc493511614"/>
      <w:bookmarkStart w:id="127" w:name="_Toc50012845"/>
      <w:bookmarkStart w:id="128" w:name="_Toc16026"/>
      <w:r>
        <w:rPr>
          <w:rFonts w:hint="eastAsia" w:asciiTheme="minorEastAsia" w:hAnsiTheme="minorEastAsia" w:eastAsiaTheme="minorEastAsia"/>
          <w:b/>
          <w:color w:val="auto"/>
          <w:szCs w:val="21"/>
          <w:highlight w:val="none"/>
        </w:rPr>
        <w:t>1、招标文件的构成</w:t>
      </w:r>
      <w:bookmarkEnd w:id="126"/>
      <w:bookmarkEnd w:id="127"/>
      <w:bookmarkEnd w:id="128"/>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29" w:name="_Toc50012846"/>
      <w:bookmarkStart w:id="130" w:name="_Toc7778"/>
      <w:bookmarkStart w:id="131" w:name="_Toc493511615"/>
      <w:r>
        <w:rPr>
          <w:rFonts w:hint="eastAsia" w:asciiTheme="minorEastAsia" w:hAnsiTheme="minorEastAsia" w:eastAsiaTheme="minorEastAsia"/>
          <w:color w:val="auto"/>
          <w:szCs w:val="21"/>
          <w:highlight w:val="none"/>
        </w:rPr>
        <w:t>1.1、公开招标采购公告</w:t>
      </w:r>
      <w:bookmarkEnd w:id="129"/>
      <w:bookmarkEnd w:id="130"/>
      <w:bookmarkEnd w:id="131"/>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2" w:name="_Toc493511616"/>
      <w:bookmarkStart w:id="133" w:name="_Toc7186"/>
      <w:bookmarkStart w:id="134" w:name="_Toc50012847"/>
      <w:r>
        <w:rPr>
          <w:rFonts w:hint="eastAsia" w:asciiTheme="minorEastAsia" w:hAnsiTheme="minorEastAsia" w:eastAsiaTheme="minorEastAsia"/>
          <w:color w:val="auto"/>
          <w:szCs w:val="21"/>
          <w:highlight w:val="none"/>
        </w:rPr>
        <w:t>1.2、采购需求</w:t>
      </w:r>
      <w:bookmarkEnd w:id="132"/>
      <w:bookmarkEnd w:id="133"/>
      <w:bookmarkEnd w:id="134"/>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5" w:name="_Toc493511617"/>
      <w:bookmarkStart w:id="136" w:name="_Toc50012848"/>
      <w:bookmarkStart w:id="137" w:name="_Toc6933"/>
      <w:r>
        <w:rPr>
          <w:rFonts w:hint="eastAsia" w:asciiTheme="minorEastAsia" w:hAnsiTheme="minorEastAsia" w:eastAsiaTheme="minorEastAsia"/>
          <w:color w:val="auto"/>
          <w:szCs w:val="21"/>
          <w:highlight w:val="none"/>
        </w:rPr>
        <w:t>1.3、投标人须知</w:t>
      </w:r>
      <w:bookmarkEnd w:id="135"/>
      <w:bookmarkEnd w:id="136"/>
      <w:bookmarkEnd w:id="137"/>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8" w:name="_Toc493511618"/>
      <w:bookmarkStart w:id="139" w:name="_Toc50012849"/>
      <w:bookmarkStart w:id="140" w:name="_Toc2119"/>
      <w:r>
        <w:rPr>
          <w:rFonts w:hint="eastAsia" w:asciiTheme="minorEastAsia" w:hAnsiTheme="minorEastAsia" w:eastAsiaTheme="minorEastAsia"/>
          <w:color w:val="auto"/>
          <w:szCs w:val="21"/>
          <w:highlight w:val="none"/>
        </w:rPr>
        <w:t>1.4、评标办法</w:t>
      </w:r>
      <w:bookmarkEnd w:id="138"/>
      <w:bookmarkEnd w:id="139"/>
      <w:bookmarkEnd w:id="140"/>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1" w:name="_Toc50012850"/>
      <w:bookmarkStart w:id="142" w:name="_Toc493511619"/>
      <w:bookmarkStart w:id="143" w:name="_Toc19120"/>
      <w:r>
        <w:rPr>
          <w:rFonts w:hint="eastAsia" w:asciiTheme="minorEastAsia" w:hAnsiTheme="minorEastAsia" w:eastAsiaTheme="minorEastAsia"/>
          <w:color w:val="auto"/>
          <w:szCs w:val="21"/>
          <w:highlight w:val="none"/>
        </w:rPr>
        <w:t>1.5、政府采购合同</w:t>
      </w:r>
      <w:bookmarkEnd w:id="141"/>
      <w:bookmarkEnd w:id="142"/>
      <w:bookmarkEnd w:id="143"/>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4" w:name="_Toc493511620"/>
      <w:bookmarkStart w:id="145" w:name="_Toc19300"/>
      <w:bookmarkStart w:id="146" w:name="_Toc50012851"/>
      <w:r>
        <w:rPr>
          <w:rFonts w:hint="eastAsia" w:asciiTheme="minorEastAsia" w:hAnsiTheme="minorEastAsia" w:eastAsiaTheme="minorEastAsia"/>
          <w:color w:val="auto"/>
          <w:szCs w:val="21"/>
          <w:highlight w:val="none"/>
        </w:rPr>
        <w:t>1.6、投标文件相关文件格式</w:t>
      </w:r>
      <w:bookmarkEnd w:id="144"/>
      <w:bookmarkEnd w:id="145"/>
      <w:bookmarkEnd w:id="146"/>
      <w:bookmarkStart w:id="147" w:name="_Toc482363722"/>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8" w:name="_Toc32687"/>
      <w:bookmarkStart w:id="149" w:name="_Toc50012852"/>
      <w:bookmarkStart w:id="150" w:name="_Toc493511621"/>
      <w:r>
        <w:rPr>
          <w:rFonts w:asciiTheme="minorEastAsia" w:hAnsiTheme="minorEastAsia" w:eastAsiaTheme="minorEastAsia"/>
          <w:color w:val="auto"/>
          <w:szCs w:val="21"/>
          <w:highlight w:val="none"/>
        </w:rPr>
        <w:t>1.7、本项目招标文件的澄清、答复、修改、补充的内容（所有内容将以电子文档形式上传于浙江省政府采购网网站（https://zfcg.czt.zj.gov.cn/）。澄清、答复、修改、补充的内容均作为招标文件的组成部分，具有约束作用。投标人必须自行下载。）</w:t>
      </w:r>
      <w:bookmarkEnd w:id="147"/>
      <w:bookmarkEnd w:id="148"/>
      <w:bookmarkEnd w:id="149"/>
      <w:bookmarkEnd w:id="150"/>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1" w:name="_Toc50012853"/>
      <w:bookmarkStart w:id="152" w:name="_Toc493511622"/>
      <w:bookmarkStart w:id="153" w:name="_Toc21770"/>
      <w:r>
        <w:rPr>
          <w:rFonts w:hint="eastAsia" w:asciiTheme="minorEastAsia" w:hAnsiTheme="minorEastAsia" w:eastAsiaTheme="minorEastAsia"/>
          <w:b/>
          <w:color w:val="auto"/>
          <w:szCs w:val="21"/>
          <w:highlight w:val="none"/>
        </w:rPr>
        <w:t>2、存在的风险</w:t>
      </w:r>
      <w:bookmarkEnd w:id="151"/>
      <w:bookmarkEnd w:id="152"/>
      <w:bookmarkEnd w:id="153"/>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4" w:name="_Toc32245"/>
      <w:bookmarkStart w:id="155" w:name="_Toc493511623"/>
      <w:bookmarkStart w:id="156" w:name="_Toc50012854"/>
      <w:r>
        <w:rPr>
          <w:rFonts w:hint="eastAsia" w:asciiTheme="minorEastAsia" w:hAnsiTheme="minorEastAsia" w:eastAsiaTheme="minorEastAsia"/>
          <w:color w:val="auto"/>
          <w:szCs w:val="21"/>
          <w:highlight w:val="none"/>
        </w:rPr>
        <w:t>投标人没有按照招标文件要求提供全部资料，或者投标人没有对招标文件在各方面作出实质性响应是投标人的风险，并可能导致其投标无效。</w:t>
      </w:r>
      <w:bookmarkEnd w:id="154"/>
      <w:bookmarkEnd w:id="155"/>
      <w:bookmarkEnd w:id="156"/>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7" w:name="_Toc493511624"/>
      <w:bookmarkStart w:id="158" w:name="_Toc18736"/>
      <w:bookmarkStart w:id="159" w:name="_Toc50012855"/>
      <w:r>
        <w:rPr>
          <w:rFonts w:hint="eastAsia" w:asciiTheme="minorEastAsia" w:hAnsiTheme="minorEastAsia" w:eastAsiaTheme="minorEastAsia"/>
          <w:b/>
          <w:color w:val="auto"/>
          <w:szCs w:val="21"/>
          <w:highlight w:val="none"/>
        </w:rPr>
        <w:t>3、招标文件的澄清与修改</w:t>
      </w:r>
      <w:bookmarkEnd w:id="157"/>
      <w:bookmarkEnd w:id="158"/>
      <w:bookmarkEnd w:id="159"/>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0" w:name="_Toc4790"/>
      <w:bookmarkStart w:id="161" w:name="_Toc493511625"/>
      <w:bookmarkStart w:id="162" w:name="_Toc50012856"/>
      <w:r>
        <w:rPr>
          <w:rFonts w:hint="eastAsia" w:asciiTheme="minorEastAsia" w:hAnsiTheme="minorEastAsia" w:eastAsiaTheme="minorEastAsia"/>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160"/>
      <w:bookmarkEnd w:id="161"/>
      <w:bookmarkEnd w:id="162"/>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3" w:name="_Toc31984"/>
      <w:bookmarkStart w:id="164" w:name="_Toc50012857"/>
      <w:bookmarkStart w:id="165" w:name="_Toc493511626"/>
      <w:r>
        <w:rPr>
          <w:rFonts w:hint="eastAsia" w:asciiTheme="minorEastAsia" w:hAnsiTheme="minorEastAsia" w:eastAsiaTheme="minorEastAsia"/>
          <w:color w:val="auto"/>
          <w:szCs w:val="21"/>
          <w:highlight w:val="none"/>
        </w:rPr>
        <w:t>3.2、采购代理机构必须以书面形式答复所有购买招标文件的投标人（答复中不包含问题的来源）要求澄清的问题，同时认定其他澄清方式为无效。</w:t>
      </w:r>
      <w:bookmarkEnd w:id="163"/>
      <w:bookmarkEnd w:id="164"/>
      <w:bookmarkEnd w:id="165"/>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6" w:name="_Toc493511627"/>
      <w:bookmarkStart w:id="167" w:name="_Toc20629"/>
      <w:bookmarkStart w:id="168" w:name="_Toc50012858"/>
      <w:r>
        <w:rPr>
          <w:rFonts w:hint="eastAsia" w:asciiTheme="minorEastAsia" w:hAnsiTheme="minorEastAsia" w:eastAsiaTheme="minorEastAsia"/>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66"/>
      <w:bookmarkEnd w:id="167"/>
      <w:bookmarkEnd w:id="168"/>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9" w:name="_Toc493511628"/>
      <w:bookmarkStart w:id="170" w:name="_Toc50012859"/>
      <w:bookmarkStart w:id="171" w:name="_Toc10910"/>
      <w:r>
        <w:rPr>
          <w:rFonts w:hint="eastAsia" w:asciiTheme="minorEastAsia" w:hAnsiTheme="minorEastAsia" w:eastAsiaTheme="minorEastAsia"/>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69"/>
      <w:bookmarkEnd w:id="170"/>
      <w:bookmarkEnd w:id="171"/>
    </w:p>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72" w:name="_Toc14791"/>
      <w:bookmarkStart w:id="173" w:name="_Toc493511629"/>
      <w:bookmarkStart w:id="174" w:name="_Toc50012860"/>
      <w:r>
        <w:rPr>
          <w:rFonts w:hint="eastAsia" w:asciiTheme="minorEastAsia" w:hAnsiTheme="minorEastAsia" w:eastAsiaTheme="minorEastAsia"/>
          <w:color w:val="auto"/>
          <w:szCs w:val="21"/>
          <w:highlight w:val="none"/>
        </w:rPr>
        <w:t>3.5、招标文件的澄清或者修改都应该通过本代理机构以法定形式发布，采购人非通过本机构，不得擅自澄清或者修改招标文件。</w:t>
      </w:r>
      <w:bookmarkEnd w:id="172"/>
      <w:bookmarkEnd w:id="173"/>
      <w:bookmarkEnd w:id="174"/>
    </w:p>
    <w:p>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5" w:name="_Toc50012861"/>
      <w:bookmarkStart w:id="176" w:name="_Toc493511630"/>
      <w:bookmarkStart w:id="177" w:name="_Toc8175"/>
      <w:bookmarkStart w:id="178" w:name="_Toc177870545"/>
      <w:r>
        <w:rPr>
          <w:rFonts w:hint="eastAsia" w:asciiTheme="minorEastAsia" w:hAnsiTheme="minorEastAsia" w:eastAsiaTheme="minorEastAsia"/>
          <w:b/>
          <w:color w:val="auto"/>
          <w:szCs w:val="21"/>
          <w:highlight w:val="none"/>
        </w:rPr>
        <w:t>三、 投标文件的编制</w:t>
      </w:r>
      <w:bookmarkEnd w:id="175"/>
      <w:bookmarkEnd w:id="176"/>
      <w:bookmarkEnd w:id="177"/>
      <w:bookmarkEnd w:id="178"/>
    </w:p>
    <w:p>
      <w:pPr>
        <w:ind w:firstLine="422" w:firstLineChars="200"/>
        <w:rPr>
          <w:rFonts w:ascii="宋体" w:hAnsi="宋体"/>
          <w:b/>
          <w:bCs/>
          <w:color w:val="auto"/>
          <w:highlight w:val="none"/>
        </w:rPr>
      </w:pPr>
      <w:bookmarkStart w:id="179" w:name="_Toc493511643"/>
      <w:bookmarkStart w:id="180" w:name="_Toc177824944"/>
      <w:bookmarkStart w:id="181" w:name="_Toc177824877"/>
      <w:bookmarkStart w:id="182" w:name="_Toc177870547"/>
      <w:bookmarkStart w:id="183" w:name="_Toc177825125"/>
      <w:r>
        <w:rPr>
          <w:rFonts w:hint="eastAsia" w:ascii="宋体" w:hAnsi="宋体"/>
          <w:b/>
          <w:bCs/>
          <w:color w:val="auto"/>
          <w:highlight w:val="none"/>
        </w:rPr>
        <w:t>本项目所涉投标文件格式请详见第六章，未给出的格式请自拟。商务、资信及其他及技术文件中不得出现报价，否则投标文件将被视为无效。</w:t>
      </w:r>
      <w:r>
        <w:rPr>
          <w:rFonts w:hint="eastAsia" w:ascii="宋体" w:hAnsi="宋体"/>
          <w:b/>
          <w:bCs/>
          <w:color w:val="auto"/>
          <w:highlight w:val="none"/>
        </w:rPr>
        <w:br w:type="textWrapping"/>
      </w:r>
      <w:r>
        <w:rPr>
          <w:rFonts w:hint="eastAsia" w:ascii="宋体" w:hAnsi="宋体"/>
          <w:b/>
          <w:bCs/>
          <w:color w:val="auto"/>
          <w:highlight w:val="none"/>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ind w:firstLine="422" w:firstLineChars="200"/>
        <w:rPr>
          <w:rFonts w:ascii="宋体" w:hAnsi="宋体"/>
          <w:b/>
          <w:bCs/>
          <w:color w:val="auto"/>
          <w:highlight w:val="none"/>
        </w:rPr>
      </w:pPr>
      <w:r>
        <w:rPr>
          <w:rFonts w:hint="eastAsia" w:ascii="宋体" w:hAnsi="宋体"/>
          <w:b/>
          <w:bCs/>
          <w:color w:val="auto"/>
          <w:highlight w:val="none"/>
        </w:rPr>
        <w:t>路径：浙江省“项目采购电子交易系统/不见面开评标”学习专题-操作指南-供应商</w:t>
      </w:r>
    </w:p>
    <w:p>
      <w:pPr>
        <w:spacing w:line="360" w:lineRule="auto"/>
        <w:ind w:firstLine="422" w:firstLineChars="200"/>
        <w:rPr>
          <w:rFonts w:cs="宋体" w:asciiTheme="minorEastAsia" w:hAnsiTheme="minorEastAsia" w:eastAsiaTheme="minorEastAsia"/>
          <w:b/>
          <w:color w:val="auto"/>
          <w:szCs w:val="21"/>
          <w:highlight w:val="none"/>
        </w:rPr>
      </w:pPr>
      <w:r>
        <w:rPr>
          <w:rFonts w:hint="eastAsia" w:ascii="宋体" w:hAnsi="宋体"/>
          <w:b/>
          <w:bCs/>
          <w:color w:val="auto"/>
          <w:highlight w:val="none"/>
        </w:rPr>
        <w:t>网址：</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宋体" w:hAnsi="宋体"/>
          <w:b/>
          <w:bCs/>
          <w:color w:val="auto"/>
          <w:highlight w:val="none"/>
        </w:rPr>
        <w:t>https://edu.zcygov.cn/luban/e-biding</w:t>
      </w:r>
      <w:r>
        <w:rPr>
          <w:rFonts w:hint="eastAsia" w:ascii="宋体" w:hAnsi="宋体"/>
          <w:b/>
          <w:bCs/>
          <w:color w:val="auto"/>
          <w:highlight w:val="none"/>
        </w:rPr>
        <w:fldChar w:fldCharType="end"/>
      </w:r>
    </w:p>
    <w:p>
      <w:pPr>
        <w:pStyle w:val="25"/>
        <w:snapToGrid w:val="0"/>
        <w:spacing w:line="360" w:lineRule="auto"/>
        <w:ind w:right="42" w:rightChars="20" w:firstLine="422" w:firstLineChars="200"/>
        <w:jc w:val="left"/>
        <w:outlineLvl w:val="1"/>
        <w:rPr>
          <w:rFonts w:cs="宋体" w:asciiTheme="minorEastAsia" w:hAnsiTheme="minorEastAsia" w:eastAsiaTheme="minorEastAsia"/>
          <w:b/>
          <w:color w:val="auto"/>
          <w:szCs w:val="21"/>
          <w:highlight w:val="none"/>
        </w:rPr>
      </w:pPr>
      <w:bookmarkStart w:id="184" w:name="_Toc32243"/>
      <w:bookmarkStart w:id="185" w:name="_Toc50012863"/>
      <w:bookmarkStart w:id="186" w:name="_Toc33535357"/>
      <w:r>
        <w:rPr>
          <w:rFonts w:hint="eastAsia" w:cs="宋体" w:asciiTheme="minorEastAsia" w:hAnsiTheme="minorEastAsia" w:eastAsiaTheme="minorEastAsia"/>
          <w:b/>
          <w:color w:val="auto"/>
          <w:szCs w:val="21"/>
          <w:highlight w:val="none"/>
        </w:rPr>
        <w:t>总体要求：</w:t>
      </w:r>
      <w:bookmarkEnd w:id="184"/>
      <w:bookmarkEnd w:id="185"/>
      <w:bookmarkEnd w:id="186"/>
    </w:p>
    <w:p>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w:t>
      </w:r>
      <w:r>
        <w:rPr>
          <w:rFonts w:asciiTheme="minorEastAsia" w:hAnsiTheme="minorEastAsia" w:eastAsiaTheme="minorEastAsia"/>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2、投标文件及投标人与采购有关的来往通知，函件和文件均应使用中文。</w:t>
      </w:r>
    </w:p>
    <w:p>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3、投标人应按本文件中提供的文件格式、内容和要求制作投标文件。</w:t>
      </w:r>
    </w:p>
    <w:p>
      <w:pPr>
        <w:spacing w:line="360" w:lineRule="auto"/>
        <w:ind w:right="42" w:rightChars="20" w:firstLine="422" w:firstLineChars="200"/>
        <w:jc w:val="left"/>
        <w:rPr>
          <w:rFonts w:cs="宋体"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4、投标文件的效力：投标文件的启用，按先后顺位分别为电子投标文件、电子</w:t>
      </w:r>
      <w:r>
        <w:rPr>
          <w:rFonts w:hint="eastAsia" w:cs="宋体" w:asciiTheme="minorEastAsia" w:hAnsiTheme="minorEastAsia" w:eastAsiaTheme="minorEastAsia"/>
          <w:bCs/>
          <w:color w:val="auto"/>
          <w:szCs w:val="21"/>
          <w:highlight w:val="none"/>
        </w:rPr>
        <w:t>备份投标文件</w:t>
      </w:r>
      <w:r>
        <w:rPr>
          <w:rFonts w:hint="eastAsia" w:asciiTheme="minorEastAsia" w:hAnsiTheme="minorEastAsia" w:eastAsiaTheme="minorEastAsia"/>
          <w:b/>
          <w:color w:val="auto"/>
          <w:szCs w:val="21"/>
          <w:highlight w:val="none"/>
        </w:rPr>
        <w:t>。</w:t>
      </w:r>
      <w:r>
        <w:rPr>
          <w:rFonts w:hint="eastAsia" w:cs="宋体" w:asciiTheme="minorEastAsia" w:hAnsiTheme="minorEastAsia" w:eastAsiaTheme="minorEastAsia"/>
          <w:bCs/>
          <w:color w:val="auto"/>
          <w:szCs w:val="21"/>
          <w:highlight w:val="none"/>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87" w:name="_Toc50012864"/>
      <w:bookmarkStart w:id="188" w:name="_Toc33535358"/>
      <w:bookmarkStart w:id="189" w:name="_Toc1053"/>
      <w:bookmarkStart w:id="190" w:name="_Toc406402988"/>
      <w:bookmarkStart w:id="191" w:name="_Toc406402944"/>
      <w:r>
        <w:rPr>
          <w:rFonts w:hint="eastAsia" w:asciiTheme="minorEastAsia" w:hAnsiTheme="minorEastAsia" w:eastAsiaTheme="minorEastAsia"/>
          <w:b/>
          <w:color w:val="auto"/>
          <w:szCs w:val="21"/>
          <w:highlight w:val="none"/>
        </w:rPr>
        <w:t>（一）投标文件的组成</w:t>
      </w:r>
      <w:bookmarkEnd w:id="187"/>
      <w:bookmarkEnd w:id="188"/>
      <w:bookmarkEnd w:id="189"/>
      <w:bookmarkEnd w:id="190"/>
      <w:bookmarkEnd w:id="191"/>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包括电子投标文件和电子</w:t>
      </w:r>
      <w:r>
        <w:rPr>
          <w:rFonts w:hint="eastAsia" w:cs="宋体" w:asciiTheme="minorEastAsia" w:hAnsiTheme="minorEastAsia" w:eastAsiaTheme="minorEastAsia"/>
          <w:bCs/>
          <w:color w:val="auto"/>
          <w:szCs w:val="21"/>
          <w:highlight w:val="none"/>
        </w:rPr>
        <w:t>备份投标文件（选送）</w:t>
      </w:r>
      <w:r>
        <w:rPr>
          <w:rFonts w:hint="eastAsia" w:asciiTheme="minorEastAsia" w:hAnsiTheme="minorEastAsia" w:eastAsiaTheme="minorEastAsia"/>
          <w:b/>
          <w:color w:val="auto"/>
          <w:szCs w:val="21"/>
          <w:highlight w:val="none"/>
        </w:rPr>
        <w:t>，均由资格投标文件、商务技术文件及投标报价文件三部份组成。其中电子投标文件中所须加盖公章部分均采用CA签章。</w:t>
      </w:r>
    </w:p>
    <w:p>
      <w:pPr>
        <w:numPr>
          <w:ilvl w:val="0"/>
          <w:numId w:val="5"/>
        </w:numPr>
        <w:snapToGrid w:val="0"/>
        <w:spacing w:line="360" w:lineRule="auto"/>
        <w:ind w:left="0"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资格投标文件：</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）也没有因违反《浙江省政府采购投标人注册及诚信管理暂行办法》被列入“黑名单”，正在处罚有效期（详见格式）的承诺书；</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w:t>
      </w:r>
    </w:p>
    <w:p>
      <w:pPr>
        <w:pStyle w:val="19"/>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1.3联合体协议书（如为联合体投标的，则需提供联合体授权书）</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1.4、中小企业声明函、残疾人福利性单位声明函及其他符合政策性条件的承诺函。</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r>
        <w:rPr>
          <w:rFonts w:hint="eastAsia"/>
          <w:color w:val="auto"/>
          <w:highlight w:val="none"/>
        </w:rPr>
        <w:t>投标人符合特定条件的相关证明文件（如有）；</w:t>
      </w:r>
    </w:p>
    <w:p>
      <w:pPr>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2、商务技术文件</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2.1、投标声明书；</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2、类似案例成功的业绩</w:t>
      </w:r>
      <w:r>
        <w:rPr>
          <w:rFonts w:hint="eastAsia" w:asciiTheme="minorEastAsia" w:hAnsiTheme="minorEastAsia" w:eastAsiaTheme="minorEastAsia"/>
          <w:b/>
          <w:color w:val="auto"/>
          <w:szCs w:val="21"/>
          <w:highlight w:val="none"/>
        </w:rPr>
        <w:t>（合同复印件并CA签章）</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3、与本项目实施相关的投标人各类资质证书、认证证书、许可证等（如信誉荣誉、本地化服务等。</w:t>
      </w:r>
      <w:r>
        <w:rPr>
          <w:rFonts w:hint="eastAsia" w:asciiTheme="minorEastAsia" w:hAnsiTheme="minorEastAsia" w:eastAsiaTheme="minorEastAsia"/>
          <w:b/>
          <w:color w:val="auto"/>
          <w:szCs w:val="21"/>
          <w:highlight w:val="none"/>
        </w:rPr>
        <w:t>提供复印件并CA签章）（如有）</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2.4、投标人情况介绍；</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2.5、商务、技术响应表；</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r>
        <w:rPr>
          <w:rFonts w:asciiTheme="minorEastAsia" w:hAnsiTheme="minorEastAsia" w:eastAsiaTheme="minorEastAsia"/>
          <w:color w:val="auto"/>
          <w:szCs w:val="21"/>
          <w:highlight w:val="none"/>
        </w:rPr>
        <w:t>项目实施人员一览表</w:t>
      </w:r>
      <w:r>
        <w:rPr>
          <w:rFonts w:hint="eastAsia" w:asciiTheme="minorEastAsia" w:hAnsiTheme="minorEastAsia" w:eastAsiaTheme="minorEastAsia"/>
          <w:color w:val="auto"/>
          <w:szCs w:val="21"/>
          <w:highlight w:val="none"/>
        </w:rPr>
        <w:t>、距采购人最近或者能为本项目提供最优服务的网点情况表</w:t>
      </w:r>
    </w:p>
    <w:p>
      <w:pPr>
        <w:snapToGrid w:val="0"/>
        <w:spacing w:line="360" w:lineRule="auto"/>
        <w:ind w:right="42" w:rightChars="20"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（格式见附件）</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r>
        <w:rPr>
          <w:rFonts w:asciiTheme="minorEastAsia" w:hAnsiTheme="minorEastAsia" w:eastAsiaTheme="minorEastAsia"/>
          <w:color w:val="auto"/>
          <w:szCs w:val="21"/>
          <w:highlight w:val="none"/>
        </w:rPr>
        <w:t>对招标项目的理解</w:t>
      </w:r>
      <w:r>
        <w:rPr>
          <w:rFonts w:hint="eastAsia" w:asciiTheme="minorEastAsia" w:hAnsiTheme="minorEastAsia" w:eastAsiaTheme="minorEastAsia"/>
          <w:color w:val="auto"/>
          <w:szCs w:val="21"/>
          <w:highlight w:val="none"/>
        </w:rPr>
        <w:t>；（格式自拟）</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2.8、工作的实施方案；（根据实际情况拟定，结合评分内容编制，格式自拟）</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r>
        <w:rPr>
          <w:rFonts w:asciiTheme="minorEastAsia" w:hAnsiTheme="minorEastAsia" w:eastAsiaTheme="minorEastAsia"/>
          <w:color w:val="auto"/>
          <w:szCs w:val="21"/>
          <w:highlight w:val="none"/>
        </w:rPr>
        <w:t>进度安排</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保障</w:t>
      </w:r>
      <w:r>
        <w:rPr>
          <w:rFonts w:hint="eastAsia" w:asciiTheme="minorEastAsia" w:hAnsiTheme="minorEastAsia" w:eastAsiaTheme="minorEastAsia"/>
          <w:color w:val="auto"/>
          <w:szCs w:val="21"/>
          <w:highlight w:val="none"/>
        </w:rPr>
        <w:t>、服务保障；（格式自拟）</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2.10、拟投入实施设备、备品备件耗材、备机（如需）；（格式自拟，包含品牌、型号、功能等）</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2.12、投标人截止投标时间前三年内的奖惩情况说明，格式自拟.</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2.13、投标单位对本项目的合理化建议和改进措施；</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2.14、</w:t>
      </w:r>
      <w:r>
        <w:rPr>
          <w:rFonts w:asciiTheme="minorEastAsia" w:hAnsiTheme="minorEastAsia" w:eastAsiaTheme="minorEastAsia"/>
          <w:color w:val="auto"/>
          <w:szCs w:val="21"/>
          <w:highlight w:val="none"/>
        </w:rPr>
        <w:t>投标人需要说明的其他文件和说明（格式</w:t>
      </w:r>
      <w:r>
        <w:rPr>
          <w:rFonts w:hint="eastAsia" w:asciiTheme="minorEastAsia" w:hAnsiTheme="minorEastAsia" w:eastAsiaTheme="minorEastAsia"/>
          <w:color w:val="auto"/>
          <w:szCs w:val="21"/>
          <w:highlight w:val="none"/>
        </w:rPr>
        <w:t>自拟</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2.15、未尽事宜请各投标人按评分细则制作。</w:t>
      </w:r>
    </w:p>
    <w:p>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3、投标报价文件：</w:t>
      </w:r>
    </w:p>
    <w:p>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3.1、投标函； </w:t>
      </w:r>
    </w:p>
    <w:p>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3.2、开标一览表；</w:t>
      </w:r>
    </w:p>
    <w:p>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3.3、</w:t>
      </w:r>
      <w:r>
        <w:rPr>
          <w:rFonts w:hint="eastAsia" w:asciiTheme="minorEastAsia" w:hAnsiTheme="minorEastAsia" w:eastAsiaTheme="minorEastAsia"/>
          <w:bCs/>
          <w:color w:val="auto"/>
          <w:szCs w:val="21"/>
          <w:highlight w:val="none"/>
        </w:rPr>
        <w:t>分项报价明细表；</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3.4、投标人针对报价需要说明的其他文件和说明。</w:t>
      </w:r>
    </w:p>
    <w:bookmarkEnd w:id="179"/>
    <w:p>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92" w:name="_Toc50012865"/>
      <w:bookmarkStart w:id="193" w:name="_Toc8745"/>
      <w:bookmarkStart w:id="194" w:name="_Toc493511656"/>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注：法定代表人授权委托书、投标声明书、投标函、开标一览表必须由法定代表人</w:t>
      </w:r>
      <w:r>
        <w:rPr>
          <w:rFonts w:hint="eastAsia" w:asciiTheme="minorEastAsia" w:hAnsiTheme="minorEastAsia" w:eastAsiaTheme="minorEastAsia"/>
          <w:color w:val="auto"/>
          <w:szCs w:val="21"/>
          <w:highlight w:val="none"/>
        </w:rPr>
        <w:t>或负责人或授权代表</w:t>
      </w:r>
      <w:r>
        <w:rPr>
          <w:rFonts w:asciiTheme="minorEastAsia" w:hAnsiTheme="minorEastAsia" w:eastAsiaTheme="minorEastAsia"/>
          <w:color w:val="auto"/>
          <w:szCs w:val="21"/>
          <w:highlight w:val="none"/>
        </w:rPr>
        <w:t>签名并加盖单位公章。</w:t>
      </w:r>
      <w:bookmarkEnd w:id="192"/>
      <w:bookmarkEnd w:id="193"/>
      <w:bookmarkEnd w:id="194"/>
    </w:p>
    <w:bookmarkEnd w:id="180"/>
    <w:bookmarkEnd w:id="181"/>
    <w:bookmarkEnd w:id="182"/>
    <w:bookmarkEnd w:id="183"/>
    <w:p>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95" w:name="_Toc31513"/>
      <w:bookmarkStart w:id="196" w:name="_Toc385854146"/>
      <w:bookmarkStart w:id="197" w:name="_Toc406402946"/>
      <w:bookmarkStart w:id="198" w:name="_Toc402963084"/>
      <w:bookmarkStart w:id="199" w:name="_Toc402963117"/>
      <w:bookmarkStart w:id="200" w:name="_Toc385854100"/>
      <w:bookmarkStart w:id="201" w:name="_Toc33535360"/>
      <w:bookmarkStart w:id="202" w:name="_Toc50012866"/>
      <w:bookmarkStart w:id="203" w:name="_Toc406402990"/>
      <w:bookmarkStart w:id="204" w:name="_Toc493511751"/>
      <w:r>
        <w:rPr>
          <w:rFonts w:hint="eastAsia" w:asciiTheme="minorEastAsia" w:hAnsiTheme="minorEastAsia" w:eastAsiaTheme="minorEastAsia"/>
          <w:b/>
          <w:color w:val="auto"/>
          <w:szCs w:val="21"/>
          <w:highlight w:val="none"/>
        </w:rPr>
        <w:t>（二）投标文件的语言及计量</w:t>
      </w:r>
      <w:bookmarkEnd w:id="195"/>
      <w:bookmarkEnd w:id="196"/>
      <w:bookmarkEnd w:id="197"/>
      <w:bookmarkEnd w:id="198"/>
      <w:bookmarkEnd w:id="199"/>
      <w:bookmarkEnd w:id="200"/>
      <w:bookmarkEnd w:id="201"/>
      <w:bookmarkEnd w:id="202"/>
      <w:bookmarkEnd w:id="203"/>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就有关投标事宜的所有来往函电，均应以中文汉语书写。除签名、盖章、专用名称等特殊情形外，以中文汉语以外的文字表述的投标文件视同未提供。</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05" w:name="_Toc406402947"/>
      <w:bookmarkStart w:id="206" w:name="_Toc385854101"/>
      <w:bookmarkStart w:id="207" w:name="_Toc50012867"/>
      <w:bookmarkStart w:id="208" w:name="_Toc406402991"/>
      <w:bookmarkStart w:id="209" w:name="_Toc33535361"/>
      <w:bookmarkStart w:id="210" w:name="_Toc402963085"/>
      <w:bookmarkStart w:id="211" w:name="_Toc402963118"/>
      <w:bookmarkStart w:id="212" w:name="_Toc385854147"/>
      <w:bookmarkStart w:id="213" w:name="_Toc18686"/>
      <w:r>
        <w:rPr>
          <w:rFonts w:hint="eastAsia" w:asciiTheme="minorEastAsia" w:hAnsiTheme="minorEastAsia" w:eastAsiaTheme="minorEastAsia"/>
          <w:b/>
          <w:color w:val="auto"/>
          <w:szCs w:val="21"/>
          <w:highlight w:val="none"/>
        </w:rPr>
        <w:t>（三）投标报价</w:t>
      </w:r>
      <w:bookmarkEnd w:id="205"/>
      <w:bookmarkEnd w:id="206"/>
      <w:bookmarkEnd w:id="207"/>
      <w:bookmarkEnd w:id="208"/>
      <w:bookmarkEnd w:id="209"/>
      <w:bookmarkEnd w:id="210"/>
      <w:bookmarkEnd w:id="211"/>
      <w:bookmarkEnd w:id="212"/>
      <w:bookmarkEnd w:id="213"/>
    </w:p>
    <w:p>
      <w:pPr>
        <w:pStyle w:val="25"/>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w:t>
      </w:r>
    </w:p>
    <w:p>
      <w:pPr>
        <w:widowControl/>
        <w:spacing w:line="360" w:lineRule="auto"/>
        <w:ind w:right="42" w:rightChars="20" w:firstLine="480"/>
        <w:contextualSpacing/>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、投标报价应包括为本项目服务内容可能发生的所有费用，包括但不限于工作、生活、交通、通讯、设备（仪器）、劳力、利润、税收等一切费用。</w:t>
      </w:r>
    </w:p>
    <w:p>
      <w:pPr>
        <w:pStyle w:val="25"/>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pStyle w:val="13"/>
        <w:widowControl w:val="0"/>
        <w:tabs>
          <w:tab w:val="clear" w:pos="454"/>
        </w:tabs>
        <w:snapToGrid w:val="0"/>
        <w:spacing w:afterLines="0" w:line="360" w:lineRule="auto"/>
        <w:ind w:left="0" w:right="42" w:rightChars="20" w:firstLine="422" w:firstLineChars="200"/>
        <w:contextualSpacing/>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60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pPr>
        <w:pStyle w:val="13"/>
        <w:widowControl w:val="0"/>
        <w:tabs>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可与投标人协商延长投标书的有效期，这种要求和答复均以书面形式进行。</w:t>
      </w:r>
    </w:p>
    <w:p>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14" w:name="_Toc406402992"/>
      <w:bookmarkStart w:id="215" w:name="_Toc50012868"/>
      <w:bookmarkStart w:id="216" w:name="_Toc33535362"/>
      <w:bookmarkStart w:id="217" w:name="_Toc402963119"/>
      <w:bookmarkStart w:id="218" w:name="_Toc385854102"/>
      <w:bookmarkStart w:id="219" w:name="_Toc406402948"/>
      <w:bookmarkStart w:id="220" w:name="_Toc385854148"/>
      <w:bookmarkStart w:id="221" w:name="_Toc402963086"/>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投标人可拒绝接受延期要求。同意延长有效期的投标人不能修改投标文件。</w:t>
      </w:r>
      <w:bookmarkEnd w:id="214"/>
      <w:bookmarkEnd w:id="215"/>
      <w:bookmarkEnd w:id="216"/>
      <w:bookmarkEnd w:id="217"/>
      <w:bookmarkEnd w:id="218"/>
      <w:bookmarkEnd w:id="219"/>
      <w:bookmarkEnd w:id="220"/>
      <w:bookmarkEnd w:id="221"/>
    </w:p>
    <w:p>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22" w:name="_Toc402963120"/>
      <w:bookmarkStart w:id="223" w:name="_Toc385854149"/>
      <w:bookmarkStart w:id="224" w:name="_Toc33535363"/>
      <w:bookmarkStart w:id="225" w:name="_Toc50012869"/>
      <w:bookmarkStart w:id="226" w:name="_Toc406402993"/>
      <w:bookmarkStart w:id="227" w:name="_Toc402963087"/>
      <w:bookmarkStart w:id="228" w:name="_Toc406402949"/>
      <w:bookmarkStart w:id="229" w:name="_Toc385854103"/>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中标人的投标文件自开标之日起至合同履行完毕止均应保持有效。</w:t>
      </w:r>
      <w:bookmarkEnd w:id="222"/>
      <w:bookmarkEnd w:id="223"/>
      <w:bookmarkEnd w:id="224"/>
      <w:bookmarkEnd w:id="225"/>
      <w:bookmarkEnd w:id="226"/>
      <w:bookmarkEnd w:id="227"/>
      <w:bookmarkEnd w:id="228"/>
      <w:bookmarkEnd w:id="229"/>
    </w:p>
    <w:p>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30" w:name="_Toc406402951"/>
      <w:bookmarkStart w:id="231" w:name="_Toc385854105"/>
      <w:bookmarkStart w:id="232" w:name="_Toc406402995"/>
      <w:bookmarkStart w:id="233" w:name="_Toc385854151"/>
      <w:bookmarkStart w:id="234" w:name="_Toc402963122"/>
      <w:bookmarkStart w:id="235" w:name="_Toc33535364"/>
      <w:bookmarkStart w:id="236" w:name="_Toc16226"/>
      <w:bookmarkStart w:id="237" w:name="_Toc50012870"/>
      <w:bookmarkStart w:id="238" w:name="_Toc402963089"/>
      <w:r>
        <w:rPr>
          <w:rFonts w:hint="eastAsia" w:asciiTheme="minorEastAsia" w:hAnsiTheme="minorEastAsia" w:eastAsiaTheme="minorEastAsia"/>
          <w:b/>
          <w:color w:val="auto"/>
          <w:szCs w:val="21"/>
          <w:highlight w:val="none"/>
        </w:rPr>
        <w:t>（五）投标文件的签署和份数</w:t>
      </w:r>
      <w:bookmarkEnd w:id="230"/>
      <w:bookmarkEnd w:id="231"/>
      <w:bookmarkEnd w:id="232"/>
      <w:bookmarkEnd w:id="233"/>
      <w:bookmarkEnd w:id="234"/>
      <w:bookmarkEnd w:id="235"/>
      <w:bookmarkEnd w:id="236"/>
      <w:bookmarkEnd w:id="237"/>
      <w:bookmarkEnd w:id="238"/>
    </w:p>
    <w:p>
      <w:pPr>
        <w:snapToGrid w:val="0"/>
        <w:spacing w:line="360" w:lineRule="auto"/>
        <w:ind w:right="42" w:rightChars="20" w:firstLine="420" w:firstLineChars="200"/>
        <w:contextualSpacing/>
        <w:jc w:val="left"/>
        <w:outlineLvl w:val="0"/>
        <w:rPr>
          <w:rFonts w:cs="微软雅黑" w:asciiTheme="minorEastAsia" w:hAnsiTheme="minorEastAsia" w:eastAsiaTheme="minorEastAsia"/>
          <w:b/>
          <w:bCs/>
          <w:color w:val="auto"/>
          <w:szCs w:val="21"/>
          <w:highlight w:val="none"/>
        </w:rPr>
      </w:pPr>
      <w:bookmarkStart w:id="239" w:name="_Toc50012871"/>
      <w:bookmarkStart w:id="240" w:name="_Toc15727"/>
      <w:r>
        <w:rPr>
          <w:rFonts w:hint="eastAsia" w:cs="宋体" w:asciiTheme="minorEastAsia" w:hAnsiTheme="minorEastAsia" w:eastAsiaTheme="minorEastAsia"/>
          <w:color w:val="auto"/>
          <w:szCs w:val="21"/>
          <w:highlight w:val="none"/>
        </w:rPr>
        <w:t>投标文件的形式：</w:t>
      </w:r>
      <w:r>
        <w:rPr>
          <w:rFonts w:hint="eastAsia" w:eastAsia="MS Mincho" w:cs="MS Mincho" w:asciiTheme="minorEastAsia" w:hAnsiTheme="minorEastAsia"/>
          <w:b/>
          <w:bCs/>
          <w:color w:val="auto"/>
          <w:szCs w:val="21"/>
          <w:highlight w:val="none"/>
        </w:rPr>
        <w:t>☑</w:t>
      </w:r>
      <w:r>
        <w:rPr>
          <w:rFonts w:hint="eastAsia" w:cs="微软雅黑" w:asciiTheme="minorEastAsia" w:hAnsiTheme="minorEastAsia" w:eastAsiaTheme="minorEastAsia"/>
          <w:b/>
          <w:bCs/>
          <w:color w:val="auto"/>
          <w:szCs w:val="21"/>
          <w:highlight w:val="none"/>
        </w:rPr>
        <w:t>电子投标文件（包括“电子加密投标文件”和“备份投标文件”，在投标文件编制完成后同时生成）；</w:t>
      </w:r>
      <w:bookmarkEnd w:id="239"/>
      <w:bookmarkEnd w:id="240"/>
    </w:p>
    <w:p>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1" w:name="_Toc23368"/>
      <w:bookmarkStart w:id="242" w:name="_Toc50012872"/>
      <w:r>
        <w:rPr>
          <w:rFonts w:hint="eastAsia" w:cs="宋体" w:asciiTheme="minorEastAsia" w:hAnsiTheme="minorEastAsia" w:eastAsiaTheme="minorEastAsia"/>
          <w:b/>
          <w:bCs/>
          <w:color w:val="auto"/>
          <w:szCs w:val="21"/>
          <w:highlight w:val="none"/>
        </w:rPr>
        <w:t>（1）“电子加密投标文件”是指通过“政采云电子交易客户端”完成投标文件编制后生成并加密的数据电文形式的投标文件。</w:t>
      </w:r>
      <w:bookmarkEnd w:id="241"/>
      <w:bookmarkEnd w:id="242"/>
    </w:p>
    <w:p>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3" w:name="_Toc18098"/>
      <w:bookmarkStart w:id="244" w:name="_Toc50012873"/>
      <w:r>
        <w:rPr>
          <w:rFonts w:hint="eastAsia" w:cs="宋体" w:asciiTheme="minorEastAsia" w:hAnsiTheme="minorEastAsia" w:eastAsiaTheme="minorEastAsia"/>
          <w:b/>
          <w:bCs/>
          <w:color w:val="auto"/>
          <w:szCs w:val="21"/>
          <w:highlight w:val="none"/>
        </w:rPr>
        <w:t>（2）“备份投标文件”是指与“电子加密投标文件”同时生成的数据电文形式的电子文件（备份标书），其他方式编制的备份投标文件视为无效备份投标文件。</w:t>
      </w:r>
      <w:bookmarkEnd w:id="243"/>
      <w:bookmarkEnd w:id="244"/>
    </w:p>
    <w:p>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5" w:name="_Toc20165"/>
      <w:bookmarkStart w:id="246" w:name="_Toc50012874"/>
      <w:r>
        <w:rPr>
          <w:rFonts w:hint="eastAsia" w:cs="宋体" w:asciiTheme="minorEastAsia" w:hAnsiTheme="minorEastAsia" w:eastAsiaTheme="minorEastAsia"/>
          <w:b/>
          <w:bCs/>
          <w:color w:val="auto"/>
          <w:szCs w:val="21"/>
          <w:highlight w:val="none"/>
        </w:rPr>
        <w:t>（六）</w:t>
      </w:r>
      <w:bookmarkStart w:id="247" w:name="_Toc33535368"/>
      <w:r>
        <w:rPr>
          <w:rFonts w:hint="eastAsia" w:cs="宋体" w:asciiTheme="minorEastAsia" w:hAnsiTheme="minorEastAsia" w:eastAsiaTheme="minorEastAsia"/>
          <w:b/>
          <w:bCs/>
          <w:color w:val="auto"/>
          <w:szCs w:val="21"/>
          <w:highlight w:val="none"/>
        </w:rPr>
        <w:t>投标文件的上传和递交：</w:t>
      </w:r>
      <w:bookmarkEnd w:id="245"/>
      <w:bookmarkEnd w:id="246"/>
    </w:p>
    <w:p>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8" w:name="_Toc19460"/>
      <w:bookmarkStart w:id="249" w:name="_Toc50012875"/>
      <w:r>
        <w:rPr>
          <w:rFonts w:hint="eastAsia" w:cs="宋体" w:asciiTheme="minorEastAsia" w:hAnsiTheme="minorEastAsia" w:eastAsiaTheme="minorEastAsia"/>
          <w:b/>
          <w:bCs/>
          <w:color w:val="auto"/>
          <w:szCs w:val="21"/>
          <w:highlight w:val="none"/>
        </w:rPr>
        <w:t>（1）“电子加密投标文件”的上传、递交：</w:t>
      </w:r>
      <w:bookmarkEnd w:id="248"/>
      <w:bookmarkEnd w:id="249"/>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0" w:name="_Toc50012876"/>
      <w:bookmarkStart w:id="251" w:name="_Toc30349"/>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、投标人应在投标截止时间前将“电子加密投标文件”成功上传递交至“政府采购云平台”，否则投标无效。</w:t>
      </w:r>
      <w:bookmarkEnd w:id="250"/>
      <w:bookmarkEnd w:id="251"/>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2" w:name="_Toc50012877"/>
      <w:bookmarkStart w:id="253" w:name="_Toc1026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、“电子加密投标文件”成功上传递交后，投标人可自行打印投标文件接收回执。</w:t>
      </w:r>
      <w:bookmarkEnd w:id="252"/>
      <w:bookmarkEnd w:id="253"/>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4" w:name="_Toc30797"/>
      <w:bookmarkStart w:id="255" w:name="_Toc50012878"/>
      <w:r>
        <w:rPr>
          <w:rFonts w:hint="eastAsia" w:cs="宋体" w:asciiTheme="minorEastAsia" w:hAnsiTheme="minorEastAsia" w:eastAsiaTheme="minorEastAsia"/>
          <w:b/>
          <w:bCs/>
          <w:color w:val="auto"/>
          <w:szCs w:val="21"/>
          <w:highlight w:val="none"/>
        </w:rPr>
        <w:t>（2）“备份投标文件”的密封包装、递交：</w:t>
      </w:r>
      <w:bookmarkEnd w:id="254"/>
      <w:bookmarkEnd w:id="255"/>
      <w:r>
        <w:rPr>
          <w:rFonts w:hint="eastAsia" w:cs="宋体" w:asciiTheme="minorEastAsia" w:hAnsiTheme="minorEastAsia" w:eastAsiaTheme="minorEastAsia"/>
          <w:b/>
          <w:bCs/>
          <w:color w:val="auto"/>
          <w:szCs w:val="21"/>
          <w:highlight w:val="none"/>
        </w:rPr>
        <w:t>（备份文件非强制）</w:t>
      </w:r>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6" w:name="_Toc12452"/>
      <w:bookmarkStart w:id="257" w:name="_Toc50012879"/>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、投标人在“政府采购云平台”完成“电子加密投标文件”的上传递交后，还可以（邮寄形式）在投标截止时间前递交以介质（U盘）存储的 “备份投标文件”（一份）；</w:t>
      </w:r>
      <w:bookmarkEnd w:id="256"/>
      <w:bookmarkEnd w:id="257"/>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8" w:name="_Toc17991"/>
      <w:bookmarkStart w:id="259" w:name="_Toc5001288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258"/>
      <w:bookmarkEnd w:id="259"/>
    </w:p>
    <w:p>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60" w:name="_Toc23640"/>
      <w:bookmarkStart w:id="261" w:name="_Toc50012881"/>
      <w:r>
        <w:rPr>
          <w:rFonts w:cs="宋体" w:asciiTheme="minorEastAsia" w:hAnsiTheme="minorEastAsia" w:eastAsiaTheme="minorEastAsia"/>
          <w:b/>
          <w:bCs/>
          <w:color w:val="auto"/>
          <w:szCs w:val="21"/>
          <w:highlight w:val="none"/>
        </w:rPr>
        <w:t>C</w:t>
      </w:r>
      <w:r>
        <w:rPr>
          <w:rFonts w:hint="eastAsia" w:cs="宋体" w:asciiTheme="minorEastAsia" w:hAnsiTheme="minorEastAsia" w:eastAsiaTheme="minorEastAsia"/>
          <w:b/>
          <w:bCs/>
          <w:color w:val="auto"/>
          <w:szCs w:val="21"/>
          <w:highlight w:val="none"/>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260"/>
      <w:bookmarkEnd w:id="261"/>
    </w:p>
    <w:p>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262" w:name="_Toc50012882"/>
      <w:bookmarkStart w:id="263" w:name="_Toc7277"/>
      <w:r>
        <w:rPr>
          <w:rFonts w:hint="eastAsia" w:asciiTheme="minorEastAsia" w:hAnsiTheme="minorEastAsia" w:eastAsiaTheme="minorEastAsia"/>
          <w:b/>
          <w:color w:val="auto"/>
          <w:szCs w:val="21"/>
          <w:highlight w:val="none"/>
        </w:rPr>
        <w:t>（七）投标无效的情形</w:t>
      </w:r>
      <w:bookmarkEnd w:id="247"/>
      <w:bookmarkEnd w:id="262"/>
      <w:bookmarkEnd w:id="263"/>
    </w:p>
    <w:p>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4" w:name="_Toc32709"/>
      <w:bookmarkStart w:id="265" w:name="_Toc50012883"/>
      <w:r>
        <w:rPr>
          <w:rFonts w:hint="eastAsia" w:asciiTheme="minorEastAsia" w:hAnsiTheme="minorEastAsia" w:eastAsiaTheme="minorEastAsia"/>
          <w:color w:val="auto"/>
          <w:szCs w:val="21"/>
          <w:highlight w:val="none"/>
        </w:rPr>
        <w:t>根据《政府采购货物和服务招标投标管理办法》有下列情形之一的，视为投标人串通投标，其投标无效：</w:t>
      </w:r>
      <w:bookmarkEnd w:id="264"/>
      <w:bookmarkEnd w:id="265"/>
    </w:p>
    <w:p>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6" w:name="_Toc50012884"/>
      <w:bookmarkStart w:id="267" w:name="_Toc11171"/>
      <w:r>
        <w:rPr>
          <w:rFonts w:hint="eastAsia" w:asciiTheme="minorEastAsia" w:hAnsiTheme="minorEastAsia" w:eastAsiaTheme="minorEastAsia"/>
          <w:color w:val="auto"/>
          <w:szCs w:val="21"/>
          <w:highlight w:val="none"/>
        </w:rPr>
        <w:t>(一)不同投标人的投标文件由同一单位或者个人编制;</w:t>
      </w:r>
      <w:bookmarkEnd w:id="266"/>
      <w:bookmarkEnd w:id="267"/>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(二)不同投标人委托同一单位或者个人办理投标事宜;</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(三)不同投标人的投标文件载明的项目管理成员或者联系人员为同一人;</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(四)不同投标人的投标文件异常一致或者投标报价呈规律性差异;</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(五)不同投标人的投标文件相互混装;</w:t>
      </w:r>
    </w:p>
    <w:p>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asciiTheme="minorEastAsia" w:hAnsiTheme="minorEastAsia" w:eastAsiaTheme="minorEastAsia"/>
          <w:b/>
          <w:bCs/>
          <w:color w:val="auto"/>
          <w:szCs w:val="21"/>
          <w:highlight w:val="none"/>
        </w:rPr>
        <w:t>电子投标文件解密失败的，且未在规定时间内提交备份投标文件的</w:t>
      </w:r>
      <w:r>
        <w:rPr>
          <w:rFonts w:hint="eastAsia" w:asciiTheme="minorEastAsia" w:hAnsiTheme="minorEastAsia" w:eastAsiaTheme="minorEastAsia"/>
          <w:b/>
          <w:bCs/>
          <w:color w:val="auto"/>
          <w:szCs w:val="21"/>
          <w:highlight w:val="none"/>
        </w:rPr>
        <w:t>。</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、没有通过资格审查的，</w:t>
      </w:r>
      <w:r>
        <w:rPr>
          <w:rFonts w:asciiTheme="minorEastAsia" w:hAnsiTheme="minorEastAsia" w:eastAsiaTheme="minorEastAsia"/>
          <w:b/>
          <w:bCs/>
          <w:color w:val="auto"/>
          <w:szCs w:val="21"/>
          <w:highlight w:val="none"/>
        </w:rPr>
        <w:t>投标文件将被视为无效。</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3</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在符合性审查和商务评审时，如发现下列情形之一的，投标文件将被视为无效：</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color w:val="auto"/>
          <w:szCs w:val="21"/>
          <w:highlight w:val="none"/>
        </w:rPr>
        <w:t>电子投标文件未按规定要求提供电子签章的</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在资信商务技术文件中出现报价的；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）资格证明文件不全的，或者不符合招标文件标明的资格要求的</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）投标文件无法定代表人签字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,或未</w:t>
      </w:r>
      <w:r>
        <w:rPr>
          <w:rFonts w:hint="eastAsia" w:asciiTheme="minorEastAsia" w:hAnsiTheme="minorEastAsia" w:eastAsiaTheme="minorEastAsia"/>
          <w:bCs/>
          <w:color w:val="auto"/>
          <w:kern w:val="0"/>
          <w:szCs w:val="21"/>
          <w:highlight w:val="none"/>
        </w:rPr>
        <w:t>提供法定代表人授权委托书、投标声明书或者填写项目不齐全的；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5</w:t>
      </w:r>
      <w:r>
        <w:rPr>
          <w:rFonts w:asciiTheme="minorEastAsia" w:hAnsiTheme="minorEastAsia" w:eastAsiaTheme="minorEastAsia"/>
          <w:snapToGrid w:val="0"/>
          <w:color w:val="auto"/>
          <w:szCs w:val="21"/>
          <w:highlight w:val="none"/>
        </w:rPr>
        <w:t>）</w:t>
      </w:r>
      <w:r>
        <w:rPr>
          <w:rFonts w:asciiTheme="minorEastAsia" w:hAnsiTheme="minorEastAsia" w:eastAsiaTheme="minorEastAsia"/>
          <w:color w:val="auto"/>
          <w:szCs w:val="21"/>
          <w:highlight w:val="none"/>
        </w:rPr>
        <w:t>投标文件格式不规范、项目不齐全或者内容虚假的；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color w:val="auto"/>
          <w:szCs w:val="21"/>
          <w:highlight w:val="none"/>
        </w:rPr>
        <w:t>并</w:t>
      </w:r>
      <w:r>
        <w:rPr>
          <w:rFonts w:asciiTheme="minorEastAsia" w:hAnsiTheme="minorEastAsia" w:eastAsiaTheme="minorEastAsia"/>
          <w:color w:val="auto"/>
          <w:szCs w:val="21"/>
          <w:highlight w:val="none"/>
        </w:rPr>
        <w:t>允许其当场更正的笔误除外）</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snapToGrid w:val="0"/>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7</w:t>
      </w:r>
      <w:r>
        <w:rPr>
          <w:rFonts w:asciiTheme="minorEastAsia" w:hAnsiTheme="minorEastAsia" w:eastAsiaTheme="minorEastAsia"/>
          <w:snapToGrid w:val="0"/>
          <w:color w:val="auto"/>
          <w:szCs w:val="21"/>
          <w:highlight w:val="none"/>
        </w:rPr>
        <w:t>）投标有效期、交货时间、质保期等商务条款不能满足招标文件要求的；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未实质性</w:t>
      </w:r>
      <w:r>
        <w:rPr>
          <w:rFonts w:asciiTheme="minorEastAsia" w:hAnsiTheme="minorEastAsia" w:eastAsiaTheme="minorEastAsia"/>
          <w:color w:val="auto"/>
          <w:szCs w:val="21"/>
          <w:highlight w:val="none"/>
        </w:rPr>
        <w:t>响应招标文件要求或者投标文件有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（9）不符合本招标文件中的实质性要求条款。</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r>
        <w:rPr>
          <w:rFonts w:asciiTheme="minorEastAsia" w:hAnsiTheme="minorEastAsia" w:eastAsiaTheme="minorEastAsia"/>
          <w:b/>
          <w:bCs/>
          <w:color w:val="auto"/>
          <w:szCs w:val="21"/>
          <w:highlight w:val="none"/>
        </w:rPr>
        <w:t>在技术评审时，如发现下列情形之一的，投标文件将被视为无效：</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（1）未提供或未如实提供投标货物的技术参数，或者投标文件标明的响应或偏离与事实不符或虚假投标的；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asciiTheme="minorEastAsia" w:hAnsiTheme="minorEastAsia" w:eastAsiaTheme="minorEastAsia"/>
          <w:snapToGrid w:val="0"/>
          <w:color w:val="auto"/>
          <w:szCs w:val="21"/>
          <w:highlight w:val="none"/>
        </w:rPr>
        <w:t>明显不符合招标文件</w:t>
      </w:r>
      <w:r>
        <w:rPr>
          <w:rFonts w:hint="eastAsia" w:asciiTheme="minorEastAsia" w:hAnsiTheme="minorEastAsia" w:eastAsiaTheme="minorEastAsia"/>
          <w:snapToGrid w:val="0"/>
          <w:color w:val="auto"/>
          <w:szCs w:val="21"/>
          <w:highlight w:val="none"/>
        </w:rPr>
        <w:t>要求</w:t>
      </w:r>
      <w:r>
        <w:rPr>
          <w:rFonts w:asciiTheme="minorEastAsia" w:hAnsiTheme="minorEastAsia" w:eastAsiaTheme="minorEastAsia"/>
          <w:snapToGrid w:val="0"/>
          <w:color w:val="auto"/>
          <w:szCs w:val="21"/>
          <w:highlight w:val="none"/>
        </w:rPr>
        <w:t>的规格型号、质量标准，或者</w:t>
      </w:r>
      <w:r>
        <w:rPr>
          <w:rFonts w:hint="eastAsia" w:asciiTheme="minorEastAsia" w:hAnsiTheme="minorEastAsia" w:eastAsiaTheme="minorEastAsia"/>
          <w:snapToGrid w:val="0"/>
          <w:color w:val="auto"/>
          <w:szCs w:val="21"/>
          <w:highlight w:val="none"/>
        </w:rPr>
        <w:t>与</w:t>
      </w:r>
      <w:r>
        <w:rPr>
          <w:rFonts w:asciiTheme="minorEastAsia" w:hAnsiTheme="minorEastAsia" w:eastAsiaTheme="minorEastAsia"/>
          <w:color w:val="auto"/>
          <w:szCs w:val="21"/>
          <w:highlight w:val="none"/>
        </w:rPr>
        <w:t>招标文件中标“▲”的技术指标、主要功能项目发生实质性偏离的；</w:t>
      </w:r>
    </w:p>
    <w:p>
      <w:pPr>
        <w:pStyle w:val="2"/>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snapToGrid w:val="0"/>
          <w:color w:val="auto"/>
          <w:sz w:val="21"/>
          <w:szCs w:val="21"/>
          <w:highlight w:val="none"/>
        </w:rPr>
        <w:t>（</w:t>
      </w:r>
      <w:r>
        <w:rPr>
          <w:rFonts w:hint="eastAsia" w:asciiTheme="minorEastAsia" w:hAnsiTheme="minorEastAsia" w:eastAsiaTheme="minorEastAsia"/>
          <w:snapToGrid w:val="0"/>
          <w:color w:val="auto"/>
          <w:sz w:val="21"/>
          <w:szCs w:val="21"/>
          <w:highlight w:val="none"/>
        </w:rPr>
        <w:t>3</w:t>
      </w:r>
      <w:r>
        <w:rPr>
          <w:rFonts w:asciiTheme="minorEastAsia" w:hAnsiTheme="minorEastAsia" w:eastAsiaTheme="minorEastAsia"/>
          <w:snapToGrid w:val="0"/>
          <w:color w:val="auto"/>
          <w:sz w:val="21"/>
          <w:szCs w:val="21"/>
          <w:highlight w:val="none"/>
        </w:rPr>
        <w:t>）</w:t>
      </w:r>
      <w:r>
        <w:rPr>
          <w:rFonts w:asciiTheme="minorEastAsia" w:hAnsiTheme="minorEastAsia" w:eastAsiaTheme="minorEastAsia"/>
          <w:color w:val="auto"/>
          <w:sz w:val="21"/>
          <w:szCs w:val="21"/>
          <w:highlight w:val="none"/>
        </w:rPr>
        <w:t>投标技术方案不明确，存在一个或一个以上备选（替代）投标方案的；</w:t>
      </w:r>
    </w:p>
    <w:p>
      <w:pPr>
        <w:pStyle w:val="2"/>
        <w:snapToGrid w:val="0"/>
        <w:spacing w:line="360" w:lineRule="auto"/>
        <w:ind w:right="42" w:rightChars="20" w:firstLine="406" w:firstLineChars="200"/>
        <w:jc w:val="left"/>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4、</w:t>
      </w:r>
      <w:r>
        <w:rPr>
          <w:rFonts w:asciiTheme="minorEastAsia" w:hAnsiTheme="minorEastAsia" w:eastAsiaTheme="minorEastAsia"/>
          <w:b/>
          <w:bCs/>
          <w:color w:val="auto"/>
          <w:sz w:val="21"/>
          <w:szCs w:val="21"/>
          <w:highlight w:val="none"/>
        </w:rPr>
        <w:t>在报价评审时，如发现下列情形之一的，投标文件将被视为无效：</w:t>
      </w:r>
    </w:p>
    <w:p>
      <w:pPr>
        <w:pStyle w:val="2"/>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电子投标文件未按规定要求提供电子签章的</w:t>
      </w:r>
    </w:p>
    <w:p>
      <w:pPr>
        <w:pStyle w:val="2"/>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（2）未采用人民币报价或者未按照招标文件标明的币种报价的；</w:t>
      </w:r>
    </w:p>
    <w:p>
      <w:pPr>
        <w:pStyle w:val="2"/>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）报价</w:t>
      </w:r>
      <w:r>
        <w:rPr>
          <w:rFonts w:hint="eastAsia" w:asciiTheme="minorEastAsia" w:hAnsiTheme="minorEastAsia" w:eastAsiaTheme="minorEastAsia"/>
          <w:color w:val="auto"/>
          <w:sz w:val="21"/>
          <w:szCs w:val="21"/>
          <w:highlight w:val="none"/>
        </w:rPr>
        <w:t>（单价或总价）</w:t>
      </w:r>
      <w:r>
        <w:rPr>
          <w:rFonts w:asciiTheme="minorEastAsia" w:hAnsiTheme="minorEastAsia" w:eastAsiaTheme="minorEastAsia"/>
          <w:color w:val="auto"/>
          <w:sz w:val="21"/>
          <w:szCs w:val="21"/>
          <w:highlight w:val="none"/>
        </w:rPr>
        <w:t>超出最高限价</w:t>
      </w:r>
      <w:r>
        <w:rPr>
          <w:rFonts w:hint="eastAsia" w:asciiTheme="minorEastAsia" w:hAnsiTheme="minorEastAsia" w:eastAsiaTheme="minorEastAsia"/>
          <w:color w:val="auto"/>
          <w:sz w:val="21"/>
          <w:szCs w:val="21"/>
          <w:highlight w:val="none"/>
        </w:rPr>
        <w:t>；</w:t>
      </w:r>
    </w:p>
    <w:p>
      <w:pPr>
        <w:pStyle w:val="2"/>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（4）投标报价具有选择性，或者开标价格与投标文件承诺的优惠（折扣）价格不一致的。                                                                                            </w:t>
      </w:r>
    </w:p>
    <w:p>
      <w:pPr>
        <w:pStyle w:val="2"/>
        <w:snapToGrid w:val="0"/>
        <w:spacing w:line="360" w:lineRule="auto"/>
        <w:ind w:right="42" w:rightChars="20" w:firstLine="406" w:firstLineChars="200"/>
        <w:jc w:val="left"/>
        <w:rPr>
          <w:rFonts w:asciiTheme="minorEastAsia" w:hAnsiTheme="minorEastAsia" w:eastAsiaTheme="minorEastAsia"/>
          <w:b/>
          <w:snapToGrid w:val="0"/>
          <w:color w:val="auto"/>
          <w:sz w:val="21"/>
          <w:szCs w:val="21"/>
          <w:highlight w:val="none"/>
        </w:rPr>
      </w:pPr>
      <w:r>
        <w:rPr>
          <w:rFonts w:hint="eastAsia" w:asciiTheme="minorEastAsia" w:hAnsiTheme="minorEastAsia" w:eastAsiaTheme="minorEastAsia"/>
          <w:b/>
          <w:color w:val="auto"/>
          <w:sz w:val="21"/>
          <w:szCs w:val="21"/>
          <w:highlight w:val="none"/>
        </w:rPr>
        <w:t>5、</w:t>
      </w:r>
      <w:r>
        <w:rPr>
          <w:rFonts w:asciiTheme="minorEastAsia" w:hAnsiTheme="minorEastAsia" w:eastAsiaTheme="minorEastAsia"/>
          <w:b/>
          <w:color w:val="auto"/>
          <w:sz w:val="21"/>
          <w:szCs w:val="21"/>
          <w:highlight w:val="none"/>
        </w:rPr>
        <w:t>被拒绝的投标文件为无效。</w:t>
      </w:r>
    </w:p>
    <w:p>
      <w:pPr>
        <w:pStyle w:val="2"/>
        <w:snapToGrid w:val="0"/>
        <w:spacing w:line="360" w:lineRule="auto"/>
        <w:ind w:right="42" w:rightChars="20" w:firstLine="406" w:firstLineChars="200"/>
        <w:jc w:val="left"/>
        <w:outlineLvl w:val="1"/>
        <w:rPr>
          <w:rFonts w:asciiTheme="minorEastAsia" w:hAnsiTheme="minorEastAsia" w:eastAsiaTheme="minorEastAsia"/>
          <w:b/>
          <w:snapToGrid w:val="0"/>
          <w:color w:val="auto"/>
          <w:sz w:val="21"/>
          <w:szCs w:val="21"/>
          <w:highlight w:val="none"/>
        </w:rPr>
      </w:pPr>
      <w:bookmarkStart w:id="268" w:name="_Toc33535369"/>
      <w:bookmarkStart w:id="269" w:name="_Toc9286"/>
      <w:bookmarkStart w:id="270" w:name="_Toc50012885"/>
      <w:r>
        <w:rPr>
          <w:rFonts w:hint="eastAsia" w:asciiTheme="minorEastAsia" w:hAnsiTheme="minorEastAsia" w:eastAsiaTheme="minorEastAsia"/>
          <w:b/>
          <w:color w:val="auto"/>
          <w:sz w:val="21"/>
          <w:szCs w:val="21"/>
          <w:highlight w:val="none"/>
        </w:rPr>
        <w:t>四、开标</w:t>
      </w:r>
      <w:bookmarkEnd w:id="268"/>
      <w:bookmarkEnd w:id="269"/>
      <w:bookmarkEnd w:id="270"/>
    </w:p>
    <w:p>
      <w:pPr>
        <w:pStyle w:val="25"/>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（一）开标准备</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1、开标的准备工作由采购组织机构负责落实；</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25"/>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 ) 采购人或者采购代理机构职责</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采购人或者采购代理机构负责组织评标工作，并履行下列职责：</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1、核对评审专家身份和采购人代表授权函，对评审专家在政府采购活动中的职责履行情况予以记录，并及时将有关违法违规行为向财政部门报告;</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2、宣布评标纪律;</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3、公布投标人名单，告知评审专家应当回避的情形;</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4、组织评标委员会推选评标组长，采购人代表不得担任组长;</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5、在评标期间采取必要的通讯管理措施，保证评标活动不受外界干扰;</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6、根据评标委员会的要求介绍政府采购相关政策法规、招标文件;</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7、维护评标秩序，监督评标委员会依照招标文件规定的评标程序、方法和标准进行独立评审，及时制止和纠正采购人代表、评审专家的倾向性言论或者违法违规行为;</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9、评审工作完成后，按照规定向评审专家支付劳务报酬和异地评审差旅费，不得向评审专家以外的其他人员支付评审劳务报酬;</w:t>
      </w:r>
    </w:p>
    <w:p>
      <w:pPr>
        <w:pStyle w:val="25"/>
        <w:snapToGrid w:val="0"/>
        <w:spacing w:line="360" w:lineRule="auto"/>
        <w:ind w:right="42" w:rightChars="20" w:firstLine="404" w:firstLineChars="200"/>
        <w:jc w:val="left"/>
        <w:rPr>
          <w:rFonts w:asciiTheme="minorEastAsia" w:hAnsiTheme="minorEastAsia" w:eastAsiaTheme="minorEastAsia"/>
          <w:color w:val="auto"/>
          <w:spacing w:val="-4"/>
          <w:szCs w:val="21"/>
          <w:highlight w:val="none"/>
        </w:rPr>
      </w:pPr>
      <w:r>
        <w:rPr>
          <w:rFonts w:hint="eastAsia" w:asciiTheme="minorEastAsia" w:hAnsiTheme="minorEastAsia" w:eastAsiaTheme="minorEastAsia"/>
          <w:color w:val="auto"/>
          <w:spacing w:val="-4"/>
          <w:szCs w:val="21"/>
          <w:highlight w:val="none"/>
        </w:rPr>
        <w:t>10、处理与评标有关的其他事项。</w:t>
      </w:r>
    </w:p>
    <w:p>
      <w:pPr>
        <w:pStyle w:val="25"/>
        <w:snapToGrid w:val="0"/>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三</w:t>
      </w: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开标流程（两阶段）</w:t>
      </w:r>
    </w:p>
    <w:p>
      <w:pPr>
        <w:pStyle w:val="2"/>
        <w:snapToGrid w:val="0"/>
        <w:spacing w:line="360" w:lineRule="auto"/>
        <w:ind w:right="42" w:rightChars="20" w:firstLine="406"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1、开标第一阶段</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（2）投标文件解密，解密成功后，招标代理将与投标人建立钉钉联系请各投标单位在投标截止时间前注册完成钉钉联系方式，</w:t>
      </w:r>
      <w:r>
        <w:rPr>
          <w:rFonts w:hint="eastAsia" w:cs="宋体" w:asciiTheme="minorEastAsia" w:hAnsiTheme="minorEastAsia" w:eastAsiaTheme="minorEastAsia"/>
          <w:b/>
          <w:bCs/>
          <w:color w:val="auto"/>
          <w:kern w:val="0"/>
          <w:szCs w:val="21"/>
          <w:highlight w:val="none"/>
        </w:rPr>
        <w:t>各供应商将政府采购活动现场确认声明书传给代理公司</w:t>
      </w:r>
      <w:r>
        <w:rPr>
          <w:rFonts w:hint="eastAsia" w:cs="宋体" w:asciiTheme="minorEastAsia" w:hAnsiTheme="minorEastAsia" w:eastAsiaTheme="minorEastAsia"/>
          <w:color w:val="auto"/>
          <w:kern w:val="0"/>
          <w:szCs w:val="21"/>
          <w:highlight w:val="none"/>
        </w:rPr>
        <w:t>；（评审时如需要建立钉钉联系方式则建立）</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（3）开启投标文件，进入资格审查；</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（4）开启资格审查通过的投标人的商务技术文件进入符合性审查、商务技术评审；</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（5）第一阶段开标结束。</w:t>
      </w:r>
    </w:p>
    <w:p>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2、开标大会第二阶段</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（1）符合性审查、商务技术评审结束后，举行开标大会第二阶段会议。</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（3）评审结束后，通过政采云方式公布中标（成交）候选供应商名单，及采购人最终确定中标或中标人名单的时间和公告方式等。</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特别说明：如遇“政府采购云平台”电子化开标或评审程序调整的，按调整后程序执行。</w:t>
      </w:r>
    </w:p>
    <w:p>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71" w:name="_Toc24550037"/>
      <w:bookmarkStart w:id="272" w:name="_Toc33194393"/>
      <w:r>
        <w:rPr>
          <w:rFonts w:hint="eastAsia" w:asciiTheme="minorEastAsia" w:hAnsiTheme="minorEastAsia" w:eastAsiaTheme="minorEastAsia"/>
          <w:b/>
          <w:color w:val="auto"/>
          <w:szCs w:val="21"/>
          <w:highlight w:val="none"/>
        </w:rPr>
        <w:t>（四）投标人资格审查</w:t>
      </w:r>
      <w:bookmarkEnd w:id="271"/>
      <w:bookmarkEnd w:id="272"/>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开标大会第一阶段结束后，采购人或采购代理机构首先依法对各投标人的资格进行审查，审查各投标人的资格是否满足招标文件的要求。采购人或采购代理机构对投标人所提交的资格证明材料仅负审核的责任。如发现投标人所提交的资格证明材料不合法或与事实不符，采购人可取消其中标资格并追究投标人的法律责任。</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3、单位负责人为同一人或者存在直接控股、管理关系的不同投标人参加同一合同项下的政府采购活动的，相关投标人均作资格无效处理。</w:t>
      </w:r>
    </w:p>
    <w:p>
      <w:pPr>
        <w:pStyle w:val="25"/>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3" w:name="_Toc3032"/>
      <w:bookmarkStart w:id="274" w:name="_Toc33535370"/>
      <w:bookmarkStart w:id="275" w:name="_Toc50012886"/>
      <w:r>
        <w:rPr>
          <w:rFonts w:hint="eastAsia" w:asciiTheme="minorEastAsia" w:hAnsiTheme="minorEastAsia" w:eastAsiaTheme="minorEastAsia"/>
          <w:b/>
          <w:color w:val="auto"/>
          <w:szCs w:val="21"/>
          <w:highlight w:val="none"/>
        </w:rPr>
        <w:t>五、评标</w:t>
      </w:r>
      <w:bookmarkEnd w:id="273"/>
      <w:bookmarkEnd w:id="274"/>
      <w:bookmarkEnd w:id="275"/>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（一）组建评标委员会</w:t>
      </w:r>
    </w:p>
    <w:p>
      <w:pPr>
        <w:pStyle w:val="25"/>
        <w:snapToGrid w:val="0"/>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评标委员会由采购人代表和评审专家组成，</w:t>
      </w:r>
      <w:r>
        <w:rPr>
          <w:rFonts w:asciiTheme="minorEastAsia" w:hAnsiTheme="minorEastAsia" w:eastAsiaTheme="minorEastAsia"/>
          <w:color w:val="auto"/>
          <w:szCs w:val="21"/>
          <w:highlight w:val="none"/>
        </w:rPr>
        <w:t>政府采购评审专家</w:t>
      </w:r>
      <w:r>
        <w:rPr>
          <w:rFonts w:hint="eastAsia" w:asciiTheme="minorEastAsia" w:hAnsiTheme="minorEastAsia" w:eastAsiaTheme="minorEastAsia"/>
          <w:color w:val="auto"/>
          <w:szCs w:val="21"/>
          <w:highlight w:val="none"/>
          <w:u w:val="single"/>
          <w:lang w:val="en-US" w:eastAsia="zh-CN"/>
        </w:rPr>
        <w:t>4</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lang w:val="en-US" w:eastAsia="zh-CN"/>
        </w:rPr>
        <w:t>及业主代表</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lang w:val="en-US" w:eastAsia="zh-CN"/>
        </w:rPr>
        <w:t>人共</w:t>
      </w:r>
      <w:r>
        <w:rPr>
          <w:rFonts w:hint="eastAsia" w:asciiTheme="minorEastAsia" w:hAnsiTheme="minorEastAsia" w:eastAsiaTheme="minorEastAsia"/>
          <w:color w:val="auto"/>
          <w:szCs w:val="21"/>
          <w:highlight w:val="none"/>
          <w:u w:val="single"/>
          <w:lang w:val="en-US" w:eastAsia="zh-CN"/>
        </w:rPr>
        <w:t>5</w:t>
      </w:r>
      <w:r>
        <w:rPr>
          <w:rFonts w:hint="eastAsia" w:asciiTheme="minorEastAsia" w:hAnsiTheme="minorEastAsia" w:eastAsiaTheme="minorEastAsia"/>
          <w:color w:val="auto"/>
          <w:szCs w:val="21"/>
          <w:highlight w:val="none"/>
          <w:lang w:val="en-US" w:eastAsia="zh-CN"/>
        </w:rPr>
        <w:t>人</w:t>
      </w:r>
      <w:r>
        <w:rPr>
          <w:rFonts w:asciiTheme="minorEastAsia" w:hAnsiTheme="minorEastAsia" w:eastAsiaTheme="minorEastAsia"/>
          <w:color w:val="auto"/>
          <w:szCs w:val="21"/>
          <w:highlight w:val="none"/>
        </w:rPr>
        <w:t>组成。</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2、要求投标人对投标文件有关事项作出澄清或者说明;</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5、向采购人、采购代理机构或者有关部门报告评标中发现的违法行为。</w:t>
      </w:r>
    </w:p>
    <w:p>
      <w:pPr>
        <w:widowControl/>
        <w:shd w:val="clear" w:color="auto" w:fill="FFFFFF"/>
        <w:spacing w:line="360" w:lineRule="auto"/>
        <w:ind w:right="42" w:rightChars="20" w:firstLine="422" w:firstLineChars="200"/>
        <w:jc w:val="lef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除采购人代表、评标现场组织人员外，采购人的其他工作人员以及与评标工作无关的人员不得进入评标现场。</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（二）评标的方式</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本项目采用不公开方式评标，评标的依据为招标文件和投标文件。</w:t>
      </w:r>
    </w:p>
    <w:p>
      <w:pPr>
        <w:pStyle w:val="25"/>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color w:val="auto"/>
          <w:szCs w:val="21"/>
          <w:highlight w:val="none"/>
        </w:rPr>
        <w:t>（三）</w:t>
      </w:r>
      <w:r>
        <w:rPr>
          <w:rFonts w:asciiTheme="minorEastAsia" w:hAnsiTheme="minorEastAsia" w:eastAsiaTheme="minorEastAsia"/>
          <w:b/>
          <w:bCs/>
          <w:color w:val="auto"/>
          <w:szCs w:val="21"/>
          <w:highlight w:val="none"/>
        </w:rPr>
        <w:t>评标程序</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包括资格审查（除符合性审查以外的关于投标人资格条件等内容）和符合性审查，即对投标人的资格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投标文件形式审查未通过的投标人，其投标文件将不再评审。</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2）评标委员会将根据投标人的投标文件进行审查、核对,如有疑问,将对投标人进行询标,投标人要向评标委员会澄清有关问题,并最终以书面形式进行答复。</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时，投标人代表未到场或者拒绝澄清或者澄清的内容改变了投标文件的实质性内容的，评标委员会有权对该投标文件作出不利于投标人的评判。</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3）各投标人的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采购代理机构工作人员协助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计算各投标人的商务报价得分</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投标人的澄清、说明或者补正应当采用书面（或通过“政府采购云平台”在线答复）形式提交，并加盖CA签章，或者由法定代表人或其授权的代表签字或盖章。投标人的澄清、说明或者补正不得超出投标文件的范围或者改变投标文件的实质性内容。</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投标文件如果出现计算或表达上的错误，修正错误的原则如下：</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投标文件的大写金额和小写金额不一致的，以大写金额为准；</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总价金额与按单价汇总金额不一致的，以单价金额计算结果为准；</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对不同文字文本投标文件的解释发生异议的，以中文文本为准。</w:t>
      </w:r>
    </w:p>
    <w:p>
      <w:pPr>
        <w:pStyle w:val="25"/>
        <w:tabs>
          <w:tab w:val="left" w:pos="630"/>
        </w:tabs>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（六）评标原则和评标办法</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评标办法。本项目评标办法是</w:t>
      </w:r>
      <w:r>
        <w:rPr>
          <w:rFonts w:hint="eastAsia" w:asciiTheme="minorEastAsia" w:hAnsiTheme="minorEastAsia" w:eastAsiaTheme="minorEastAsia"/>
          <w:color w:val="auto"/>
          <w:szCs w:val="21"/>
          <w:highlight w:val="none"/>
        </w:rPr>
        <w:t xml:space="preserve"> 综合评标法</w:t>
      </w:r>
      <w:r>
        <w:rPr>
          <w:rFonts w:asciiTheme="minorEastAsia" w:hAnsiTheme="minorEastAsia" w:eastAsiaTheme="minorEastAsia"/>
          <w:color w:val="auto"/>
          <w:szCs w:val="21"/>
          <w:highlight w:val="none"/>
        </w:rPr>
        <w:t xml:space="preserve"> ，具体评标内容及评分标准等详见《第四章：评标办法及评分标准》。</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本项目评标过程实行全程录音、录像监控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pStyle w:val="25"/>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6" w:name="_Toc19997"/>
      <w:bookmarkStart w:id="277" w:name="_Toc50012887"/>
      <w:bookmarkStart w:id="278" w:name="_Toc33535371"/>
      <w:r>
        <w:rPr>
          <w:rFonts w:hint="eastAsia" w:asciiTheme="minorEastAsia" w:hAnsiTheme="minorEastAsia" w:eastAsiaTheme="minorEastAsia"/>
          <w:b/>
          <w:color w:val="auto"/>
          <w:szCs w:val="21"/>
          <w:highlight w:val="none"/>
        </w:rPr>
        <w:t>六、定标</w:t>
      </w:r>
      <w:bookmarkEnd w:id="276"/>
      <w:bookmarkEnd w:id="277"/>
      <w:bookmarkEnd w:id="278"/>
    </w:p>
    <w:p>
      <w:pPr>
        <w:pStyle w:val="25"/>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（一）确定中标人。</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在公告中标结果的同时，采购代理机构向中标人发出中标通知书。</w:t>
      </w:r>
    </w:p>
    <w:p>
      <w:pPr>
        <w:pStyle w:val="25"/>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9" w:name="_Toc5136"/>
      <w:bookmarkStart w:id="280" w:name="_Toc33535372"/>
      <w:bookmarkStart w:id="281" w:name="_Toc50012888"/>
      <w:r>
        <w:rPr>
          <w:rFonts w:hint="eastAsia" w:asciiTheme="minorEastAsia" w:hAnsiTheme="minorEastAsia" w:eastAsiaTheme="minorEastAsia"/>
          <w:b/>
          <w:color w:val="auto"/>
          <w:szCs w:val="21"/>
          <w:highlight w:val="none"/>
        </w:rPr>
        <w:t>七、合同授予</w:t>
      </w:r>
      <w:bookmarkEnd w:id="279"/>
      <w:bookmarkEnd w:id="280"/>
      <w:bookmarkEnd w:id="281"/>
    </w:p>
    <w:p>
      <w:pPr>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（一）签订合同</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当在中标公示发出之日起30日内签订政府采购合同。同时，采购机构对合同内容进行审查，如发现与采购结果和投标承诺内容不一致的，将予以纠正。</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pPr>
        <w:pStyle w:val="25"/>
        <w:snapToGrid w:val="0"/>
        <w:spacing w:line="360" w:lineRule="auto"/>
        <w:ind w:right="42" w:rightChars="20" w:firstLine="422" w:firstLineChars="200"/>
        <w:jc w:val="left"/>
        <w:rPr>
          <w:rFonts w:hint="eastAsia" w:asciiTheme="minorEastAsia" w:hAnsiTheme="minorEastAsia" w:eastAsiaTheme="minorEastAsia"/>
          <w:color w:val="auto"/>
          <w:szCs w:val="21"/>
          <w:highlight w:val="none"/>
          <w:lang w:val="en-US" w:eastAsia="zh-CN"/>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color w:val="auto"/>
          <w:szCs w:val="21"/>
          <w:highlight w:val="none"/>
        </w:rPr>
        <w:t>履约保证金的收取及退还：</w:t>
      </w:r>
      <w:r>
        <w:rPr>
          <w:rFonts w:hint="eastAsia" w:asciiTheme="minorEastAsia" w:hAnsiTheme="minorEastAsia" w:eastAsiaTheme="minorEastAsia"/>
          <w:color w:val="auto"/>
          <w:szCs w:val="21"/>
          <w:highlight w:val="none"/>
          <w:lang w:val="en-US" w:eastAsia="zh-CN"/>
        </w:rPr>
        <w:t>无</w:t>
      </w:r>
    </w:p>
    <w:bookmarkEnd w:id="204"/>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bookmarkStart w:id="282" w:name="_Toc27157"/>
      <w:bookmarkStart w:id="283" w:name="_Toc493511776"/>
      <w:bookmarkStart w:id="284" w:name="_Toc170792807"/>
      <w:bookmarkStart w:id="285" w:name="_Toc177870559"/>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158"/>
        <w:ind w:right="42" w:rightChars="20"/>
        <w:rPr>
          <w:rFonts w:asciiTheme="minorEastAsia" w:hAnsiTheme="minorEastAsia" w:eastAsiaTheme="minorEastAsia"/>
          <w:b w:val="0"/>
          <w:color w:val="auto"/>
          <w:highlight w:val="none"/>
        </w:rPr>
      </w:pPr>
      <w:r>
        <w:rPr>
          <w:rStyle w:val="64"/>
          <w:rFonts w:hint="eastAsia" w:cs="微软雅黑" w:asciiTheme="minorEastAsia" w:hAnsiTheme="minorEastAsia" w:eastAsiaTheme="minorEastAsia"/>
          <w:b/>
          <w:color w:val="auto"/>
          <w:highlight w:val="none"/>
        </w:rPr>
        <w:t>第四章  评标办法及评分标准</w:t>
      </w:r>
      <w:bookmarkEnd w:id="282"/>
      <w:bookmarkEnd w:id="283"/>
    </w:p>
    <w:p>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bookmarkEnd w:id="284"/>
    <w:bookmarkEnd w:id="285"/>
    <w:p>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86" w:name="_Toc170792802"/>
      <w:r>
        <w:rPr>
          <w:rFonts w:hint="eastAsia" w:asciiTheme="minorEastAsia" w:hAnsiTheme="minorEastAsia" w:eastAsiaTheme="minorEastAsia"/>
          <w:b/>
          <w:color w:val="auto"/>
          <w:szCs w:val="21"/>
          <w:highlight w:val="none"/>
        </w:rPr>
        <w:t>一、总则</w:t>
      </w:r>
    </w:p>
    <w:p>
      <w:pPr>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次评标采用综合评分法，总分为100分，其中价格分10分，技术资信及商务分90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Theme="minorEastAsia" w:hAnsiTheme="minorEastAsia" w:eastAsiaTheme="minorEastAsia"/>
          <w:b/>
          <w:color w:val="auto"/>
          <w:szCs w:val="21"/>
          <w:highlight w:val="none"/>
        </w:rPr>
        <w:t>第一</w:t>
      </w:r>
      <w:r>
        <w:rPr>
          <w:rFonts w:hint="eastAsia" w:asciiTheme="minorEastAsia" w:hAnsiTheme="minorEastAsia" w:eastAsiaTheme="minorEastAsia"/>
          <w:color w:val="auto"/>
          <w:szCs w:val="21"/>
          <w:highlight w:val="none"/>
        </w:rPr>
        <w:t>的投标人为中标候选人，排名第二的投标人为候补中标候选人……其他投标人中标候选资格依此类推。</w:t>
      </w:r>
      <w:r>
        <w:rPr>
          <w:rFonts w:hint="eastAsia" w:asciiTheme="minorEastAsia" w:hAnsiTheme="minorEastAsia" w:eastAsiaTheme="minorEastAsia"/>
          <w:bCs/>
          <w:color w:val="auto"/>
          <w:szCs w:val="21"/>
          <w:highlight w:val="none"/>
        </w:rPr>
        <w:t>评分过程中采用四舍五入法，并保留小数2位。</w:t>
      </w:r>
    </w:p>
    <w:p>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w:t>
      </w:r>
      <w:r>
        <w:rPr>
          <w:rFonts w:hint="eastAsia" w:asciiTheme="minorEastAsia" w:hAnsiTheme="minorEastAsia" w:eastAsiaTheme="minorEastAsia"/>
          <w:bCs/>
          <w:color w:val="auto"/>
          <w:szCs w:val="21"/>
          <w:highlight w:val="none"/>
        </w:rPr>
        <w:t>综合得分=价格分+(技术分+资信、商务及其他分)</w:t>
      </w:r>
    </w:p>
    <w:p>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pPr>
        <w:pStyle w:val="25"/>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（一）价格分（10分）</w:t>
      </w:r>
    </w:p>
    <w:p>
      <w:pPr>
        <w:pStyle w:val="25"/>
        <w:tabs>
          <w:tab w:val="left" w:pos="630"/>
        </w:tabs>
        <w:spacing w:line="360" w:lineRule="auto"/>
        <w:ind w:right="42" w:rightChars="20" w:firstLine="420" w:firstLineChars="200"/>
        <w:jc w:val="left"/>
        <w:rPr>
          <w:rFonts w:hAnsi="宋体" w:cs="宋体"/>
          <w:color w:val="auto"/>
          <w:highlight w:val="none"/>
          <w:lang w:val="zh-CN"/>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w:t>
      </w:r>
      <w:r>
        <w:rPr>
          <w:rFonts w:hint="eastAsia" w:hAnsi="宋体" w:cs="宋体"/>
          <w:color w:val="auto"/>
          <w:highlight w:val="none"/>
          <w:lang w:val="zh-CN"/>
        </w:rPr>
        <w:t>，其价格分为满分。其他的报价分统一按下列公式计算：</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hAnsi="宋体" w:cs="宋体"/>
          <w:color w:val="auto"/>
          <w:highlight w:val="none"/>
          <w:lang w:val="zh-CN"/>
        </w:rPr>
        <w:t>投标报价得分=(评标基准价／投标报价)×价格权值（</w:t>
      </w:r>
      <w:r>
        <w:rPr>
          <w:rFonts w:hint="eastAsia" w:hAnsi="宋体" w:cs="宋体"/>
          <w:color w:val="auto"/>
          <w:highlight w:val="none"/>
        </w:rPr>
        <w:t>10</w:t>
      </w:r>
      <w:r>
        <w:rPr>
          <w:rFonts w:hint="eastAsia" w:hAnsi="宋体" w:cs="宋体"/>
          <w:color w:val="auto"/>
          <w:highlight w:val="none"/>
          <w:lang w:val="zh-CN"/>
        </w:rPr>
        <w:t>%）×100。</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2、投标人的投标报价超过采购人设定的最高限价（总价及单价），将作为无效标。</w:t>
      </w:r>
    </w:p>
    <w:p>
      <w:pPr>
        <w:pStyle w:val="25"/>
        <w:tabs>
          <w:tab w:val="left" w:pos="630"/>
        </w:tabs>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auto"/>
          <w:szCs w:val="21"/>
          <w:highlight w:val="none"/>
        </w:rPr>
        <w:t>其报价合理性的，评标委员会应当将其作为无效投标处理。</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4、扶持政策说明：</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（1）本次采购为专门面向中小企业预留采购份额的采购项目。</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（2）本项目对应的中小企业划分标准所属行业：</w:t>
      </w:r>
      <w:r>
        <w:rPr>
          <w:rFonts w:hint="eastAsia" w:cs="微软雅黑" w:asciiTheme="minorEastAsia" w:hAnsiTheme="minorEastAsia" w:eastAsiaTheme="minorEastAsia"/>
          <w:color w:val="auto"/>
          <w:kern w:val="0"/>
          <w:szCs w:val="21"/>
          <w:highlight w:val="none"/>
        </w:rPr>
        <w:t>其他未列明行业</w:t>
      </w:r>
      <w:r>
        <w:rPr>
          <w:rFonts w:hint="eastAsia" w:asciiTheme="minorEastAsia" w:hAnsiTheme="minorEastAsia" w:eastAsiaTheme="minorEastAsia"/>
          <w:color w:val="auto"/>
          <w:szCs w:val="21"/>
          <w:highlight w:val="none"/>
        </w:rPr>
        <w:t>。</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5"/>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pPr>
        <w:pStyle w:val="25"/>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5"/>
        <w:tabs>
          <w:tab w:val="left" w:pos="630"/>
        </w:tabs>
        <w:spacing w:line="360" w:lineRule="auto"/>
        <w:ind w:right="42" w:rightChars="20" w:firstLine="422" w:firstLineChars="200"/>
        <w:jc w:val="left"/>
        <w:rPr>
          <w:rFonts w:asciiTheme="minorEastAsia" w:hAnsiTheme="minorEastAsia" w:eastAsiaTheme="minorEastAsia"/>
          <w:b/>
          <w:bCs/>
          <w:color w:val="auto"/>
          <w:szCs w:val="21"/>
          <w:highlight w:val="none"/>
        </w:rPr>
      </w:pPr>
    </w:p>
    <w:p>
      <w:pPr>
        <w:numPr>
          <w:ilvl w:val="0"/>
          <w:numId w:val="6"/>
        </w:numPr>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技术资信分：</w:t>
      </w:r>
      <w:bookmarkStart w:id="287" w:name="_Toc416422800"/>
      <w:bookmarkStart w:id="288" w:name="_Toc493511826"/>
      <w:bookmarkStart w:id="289" w:name="_Toc417992896"/>
      <w:bookmarkStart w:id="290" w:name="_Toc28829"/>
      <w:r>
        <w:rPr>
          <w:rFonts w:hint="eastAsia" w:asciiTheme="minorEastAsia" w:hAnsiTheme="minorEastAsia" w:eastAsiaTheme="minorEastAsia"/>
          <w:b/>
          <w:bCs/>
          <w:color w:val="auto"/>
          <w:szCs w:val="21"/>
          <w:highlight w:val="none"/>
        </w:rPr>
        <w:t>（90分）</w:t>
      </w:r>
    </w:p>
    <w:p>
      <w:pPr>
        <w:pStyle w:val="14"/>
        <w:rPr>
          <w:color w:val="auto"/>
          <w:highlight w:val="none"/>
        </w:rPr>
      </w:pPr>
    </w:p>
    <w:tbl>
      <w:tblPr>
        <w:tblStyle w:val="49"/>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6"/>
        <w:gridCol w:w="5062"/>
        <w:gridCol w:w="85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1486"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评审内容</w:t>
            </w:r>
          </w:p>
        </w:tc>
        <w:tc>
          <w:tcPr>
            <w:tcW w:w="5062"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评审细则</w:t>
            </w:r>
          </w:p>
        </w:tc>
        <w:tc>
          <w:tcPr>
            <w:tcW w:w="850"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75"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486" w:type="dxa"/>
            <w:vMerge w:val="restart"/>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资信分（</w:t>
            </w:r>
            <w:r>
              <w:rPr>
                <w:rFonts w:hint="eastAsia" w:asciiTheme="minorEastAsia" w:hAnsiTheme="minorEastAsia" w:eastAsiaTheme="minorEastAsia"/>
                <w:b/>
                <w:bCs/>
                <w:color w:val="auto"/>
                <w:highlight w:val="none"/>
                <w:lang w:val="en-US" w:eastAsia="zh-CN"/>
              </w:rPr>
              <w:t>10</w:t>
            </w:r>
            <w:r>
              <w:rPr>
                <w:rFonts w:hint="eastAsia" w:asciiTheme="minorEastAsia" w:hAnsiTheme="minorEastAsia" w:eastAsiaTheme="minorEastAsia"/>
                <w:b/>
                <w:bCs/>
                <w:color w:val="auto"/>
                <w:highlight w:val="none"/>
              </w:rPr>
              <w:t>分）</w:t>
            </w:r>
          </w:p>
        </w:tc>
        <w:tc>
          <w:tcPr>
            <w:tcW w:w="5062" w:type="dxa"/>
            <w:vAlign w:val="center"/>
          </w:tcPr>
          <w:p>
            <w:pPr>
              <w:pStyle w:val="95"/>
              <w:spacing w:line="360" w:lineRule="auto"/>
              <w:rPr>
                <w:rFonts w:asciiTheme="minorEastAsia" w:hAnsiTheme="minorEastAsia" w:eastAsiaTheme="minorEastAsia"/>
                <w:color w:val="auto"/>
                <w:highlight w:val="none"/>
              </w:rPr>
            </w:pPr>
            <w:r>
              <w:rPr>
                <w:rFonts w:hint="eastAsia" w:ascii="宋体" w:hAnsi="宋体" w:cs="宋体"/>
                <w:color w:val="auto"/>
                <w:szCs w:val="21"/>
                <w:highlight w:val="none"/>
                <w:lang w:bidi="ar"/>
              </w:rPr>
              <w:t>投标人自202</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年1月1日以来具有类似</w:t>
            </w:r>
            <w:r>
              <w:rPr>
                <w:rFonts w:hint="eastAsia" w:ascii="宋体" w:hAnsi="宋体" w:cs="宋体"/>
                <w:color w:val="auto"/>
                <w:szCs w:val="21"/>
                <w:highlight w:val="none"/>
                <w:lang w:val="en-US" w:eastAsia="zh-CN" w:bidi="ar"/>
              </w:rPr>
              <w:t>本</w:t>
            </w:r>
            <w:r>
              <w:rPr>
                <w:rFonts w:hint="eastAsia" w:ascii="宋体" w:hAnsi="宋体" w:cs="宋体"/>
                <w:color w:val="auto"/>
                <w:szCs w:val="21"/>
                <w:highlight w:val="none"/>
                <w:lang w:bidi="ar"/>
              </w:rPr>
              <w:t>项目</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水利工程类</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案例的每个得0.5分，最高得1分。</w:t>
            </w:r>
            <w:r>
              <w:rPr>
                <w:rFonts w:hint="eastAsia" w:asciiTheme="minorEastAsia" w:hAnsiTheme="minorEastAsia" w:eastAsiaTheme="minorEastAsia" w:cstheme="minorEastAsia"/>
                <w:b/>
                <w:color w:val="auto"/>
                <w:szCs w:val="21"/>
                <w:highlight w:val="none"/>
              </w:rPr>
              <w:t>（是否属于有效的类似项目业绩由评委根据供应商提供的业绩合同业务内容、技术特点等方面与本项目的类似程度进行认定，投标文件中提供合同复印件并CA签章，若合同中无法反应业务内容、技术特点的则提供业主证明资料（业主证明资料需加盖业主公章））</w:t>
            </w:r>
          </w:p>
        </w:tc>
        <w:tc>
          <w:tcPr>
            <w:tcW w:w="850"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0-1分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pPr>
              <w:pStyle w:val="95"/>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w:t>
            </w:r>
          </w:p>
        </w:tc>
        <w:tc>
          <w:tcPr>
            <w:tcW w:w="1486" w:type="dxa"/>
            <w:vMerge w:val="continue"/>
            <w:vAlign w:val="center"/>
          </w:tcPr>
          <w:p>
            <w:pPr>
              <w:pStyle w:val="95"/>
              <w:spacing w:line="360" w:lineRule="auto"/>
              <w:rPr>
                <w:rFonts w:hint="eastAsia" w:asciiTheme="minorEastAsia" w:hAnsiTheme="minorEastAsia" w:eastAsiaTheme="minorEastAsia"/>
                <w:b/>
                <w:bCs/>
                <w:color w:val="auto"/>
                <w:highlight w:val="none"/>
              </w:rPr>
            </w:pPr>
          </w:p>
        </w:tc>
        <w:tc>
          <w:tcPr>
            <w:tcW w:w="5062" w:type="dxa"/>
            <w:vAlign w:val="center"/>
          </w:tcPr>
          <w:p>
            <w:pPr>
              <w:pStyle w:val="95"/>
              <w:spacing w:line="360" w:lineRule="auto"/>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投标人具有有效期内的质量体系认证证书的得1分。</w:t>
            </w:r>
            <w:r>
              <w:rPr>
                <w:rFonts w:hint="eastAsia" w:asciiTheme="minorEastAsia" w:hAnsiTheme="minorEastAsia" w:eastAsiaTheme="minorEastAsia"/>
                <w:b/>
                <w:color w:val="auto"/>
                <w:szCs w:val="21"/>
                <w:highlight w:val="none"/>
              </w:rPr>
              <w:t>（投标文件中提供证书复印件并CA 签章）</w:t>
            </w:r>
          </w:p>
        </w:tc>
        <w:tc>
          <w:tcPr>
            <w:tcW w:w="850"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0-1分</w:t>
            </w:r>
          </w:p>
        </w:tc>
        <w:tc>
          <w:tcPr>
            <w:tcW w:w="913"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675" w:type="dxa"/>
            <w:vAlign w:val="center"/>
          </w:tcPr>
          <w:p>
            <w:pPr>
              <w:pStyle w:val="95"/>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3</w:t>
            </w:r>
          </w:p>
        </w:tc>
        <w:tc>
          <w:tcPr>
            <w:tcW w:w="1486" w:type="dxa"/>
            <w:vMerge w:val="continue"/>
            <w:vAlign w:val="center"/>
          </w:tcPr>
          <w:p>
            <w:pPr>
              <w:pStyle w:val="95"/>
              <w:spacing w:line="360" w:lineRule="auto"/>
              <w:rPr>
                <w:rFonts w:hint="eastAsia" w:asciiTheme="minorEastAsia" w:hAnsiTheme="minorEastAsia" w:eastAsiaTheme="minorEastAsia"/>
                <w:b/>
                <w:bCs/>
                <w:color w:val="auto"/>
                <w:highlight w:val="none"/>
              </w:rPr>
            </w:pPr>
          </w:p>
        </w:tc>
        <w:tc>
          <w:tcPr>
            <w:tcW w:w="5062" w:type="dxa"/>
            <w:vAlign w:val="center"/>
          </w:tcPr>
          <w:p>
            <w:pPr>
              <w:pStyle w:val="95"/>
              <w:spacing w:line="360" w:lineRule="auto"/>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投标人自有或租赁白蚁探测仪的1台得1分，最多得2分。</w:t>
            </w:r>
            <w:r>
              <w:rPr>
                <w:rFonts w:hint="eastAsia" w:ascii="宋体" w:hAnsi="宋体" w:cs="宋体"/>
                <w:b/>
                <w:bCs/>
                <w:color w:val="auto"/>
                <w:szCs w:val="21"/>
                <w:highlight w:val="none"/>
                <w:lang w:val="en-US" w:eastAsia="zh-CN" w:bidi="ar"/>
              </w:rPr>
              <w:t>（投标文件中提供设备购置发票及照片，若为租赁的提供租赁合同及照片并CA签章）</w:t>
            </w:r>
          </w:p>
        </w:tc>
        <w:tc>
          <w:tcPr>
            <w:tcW w:w="850"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0-</w:t>
            </w: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分</w:t>
            </w:r>
          </w:p>
        </w:tc>
        <w:tc>
          <w:tcPr>
            <w:tcW w:w="913"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4</w:t>
            </w:r>
          </w:p>
        </w:tc>
        <w:tc>
          <w:tcPr>
            <w:tcW w:w="1486" w:type="dxa"/>
            <w:vMerge w:val="continue"/>
            <w:vAlign w:val="center"/>
          </w:tcPr>
          <w:p>
            <w:pPr>
              <w:pStyle w:val="95"/>
              <w:spacing w:line="360" w:lineRule="auto"/>
              <w:rPr>
                <w:rFonts w:hint="eastAsia" w:asciiTheme="minorEastAsia" w:hAnsiTheme="minorEastAsia" w:eastAsiaTheme="minorEastAsia"/>
                <w:b/>
                <w:bCs/>
                <w:color w:val="auto"/>
                <w:highlight w:val="none"/>
              </w:rPr>
            </w:pPr>
          </w:p>
        </w:tc>
        <w:tc>
          <w:tcPr>
            <w:tcW w:w="5062" w:type="dxa"/>
            <w:vAlign w:val="center"/>
          </w:tcPr>
          <w:p>
            <w:pPr>
              <w:pStyle w:val="95"/>
              <w:spacing w:line="360" w:lineRule="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投标人提供1辆常驻白蚁防治巡查工作车辆的</w:t>
            </w:r>
            <w:r>
              <w:rPr>
                <w:rFonts w:hint="eastAsia" w:cs="Times New Roman" w:asciiTheme="minorEastAsia" w:hAnsiTheme="minorEastAsia" w:eastAsiaTheme="minorEastAsia"/>
                <w:color w:val="auto"/>
                <w:szCs w:val="22"/>
                <w:highlight w:val="none"/>
                <w:lang w:val="en-US" w:eastAsia="zh-CN"/>
              </w:rPr>
              <w:t>（车身须喷涂“白蚁防治”“白蚁监测”等字样标识）的得1.5分，每增加1辆的得1.5分，本项最高得3分。</w:t>
            </w:r>
            <w:r>
              <w:rPr>
                <w:rFonts w:hint="eastAsia" w:ascii="宋体" w:hAnsi="宋体" w:cs="宋体"/>
                <w:b/>
                <w:bCs/>
                <w:color w:val="auto"/>
                <w:szCs w:val="21"/>
                <w:highlight w:val="none"/>
                <w:lang w:val="en-US" w:eastAsia="zh-CN" w:bidi="ar"/>
              </w:rPr>
              <w:t>（投标文件中提供车辆购置发票及照片，若为租赁的提供租赁合同及照片并CA签章）</w:t>
            </w:r>
          </w:p>
        </w:tc>
        <w:tc>
          <w:tcPr>
            <w:tcW w:w="850"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0-</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分</w:t>
            </w:r>
          </w:p>
        </w:tc>
        <w:tc>
          <w:tcPr>
            <w:tcW w:w="913"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5</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pStyle w:val="95"/>
              <w:spacing w:line="360" w:lineRule="auto"/>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人员</w:t>
            </w:r>
          </w:p>
          <w:p>
            <w:pPr>
              <w:pStyle w:val="95"/>
              <w:numPr>
                <w:ilvl w:val="0"/>
                <w:numId w:val="7"/>
              </w:numPr>
              <w:spacing w:line="360" w:lineRule="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拟派本项目负责人具有白蚁防治类专业高级职称的得2分，具有中级职称的得1分，具有初级职称的得0.5分。</w:t>
            </w:r>
          </w:p>
          <w:p>
            <w:pPr>
              <w:pStyle w:val="95"/>
              <w:numPr>
                <w:ilvl w:val="0"/>
                <w:numId w:val="7"/>
              </w:numPr>
              <w:spacing w:line="360" w:lineRule="auto"/>
              <w:ind w:left="0" w:leftChars="0" w:firstLine="0" w:firstLineChars="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拟派本项目成员（除项目负责人外）具有白蚁防治类专业中级或以上职称的得1分，初级职称的得0.5分。本项最高得1分。</w:t>
            </w:r>
          </w:p>
          <w:p>
            <w:pPr>
              <w:pStyle w:val="95"/>
              <w:numPr>
                <w:ilvl w:val="0"/>
                <w:numId w:val="0"/>
              </w:numPr>
              <w:spacing w:line="360" w:lineRule="auto"/>
              <w:ind w:leftChars="0"/>
              <w:rPr>
                <w:rFonts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lang w:val="en-US" w:eastAsia="zh-CN"/>
              </w:rPr>
              <w:t>序号（1）、（2）</w:t>
            </w:r>
            <w:r>
              <w:rPr>
                <w:rFonts w:hint="eastAsia" w:asciiTheme="minorEastAsia" w:hAnsiTheme="minorEastAsia" w:eastAsiaTheme="minorEastAsia"/>
                <w:b/>
                <w:color w:val="auto"/>
                <w:szCs w:val="21"/>
                <w:highlight w:val="none"/>
              </w:rPr>
              <w:t>投标文件中提供证书复印件并CA 签章）</w:t>
            </w:r>
          </w:p>
        </w:tc>
        <w:tc>
          <w:tcPr>
            <w:tcW w:w="850"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6</w:t>
            </w:r>
          </w:p>
        </w:tc>
        <w:tc>
          <w:tcPr>
            <w:tcW w:w="1486" w:type="dxa"/>
            <w:vMerge w:val="restart"/>
            <w:vAlign w:val="center"/>
          </w:tcPr>
          <w:p>
            <w:pPr>
              <w:pStyle w:val="95"/>
              <w:spacing w:line="360" w:lineRule="auto"/>
              <w:rPr>
                <w:rFonts w:asciiTheme="minorEastAsia" w:hAnsiTheme="minorEastAsia"/>
                <w:color w:val="auto"/>
                <w:highlight w:val="none"/>
              </w:rPr>
            </w:pPr>
            <w:r>
              <w:rPr>
                <w:rFonts w:hint="eastAsia" w:asciiTheme="minorEastAsia" w:hAnsiTheme="minorEastAsia" w:eastAsiaTheme="minorEastAsia"/>
                <w:b/>
                <w:bCs/>
                <w:color w:val="auto"/>
                <w:highlight w:val="none"/>
              </w:rPr>
              <w:t>项目需求分析及</w:t>
            </w:r>
            <w:r>
              <w:rPr>
                <w:rFonts w:hint="eastAsia" w:asciiTheme="minorEastAsia" w:hAnsiTheme="minorEastAsia" w:eastAsiaTheme="minorEastAsia"/>
                <w:b/>
                <w:bCs/>
                <w:color w:val="auto"/>
                <w:highlight w:val="none"/>
                <w:lang w:val="en-US" w:eastAsia="zh-CN"/>
              </w:rPr>
              <w:t>实施</w:t>
            </w:r>
            <w:r>
              <w:rPr>
                <w:rFonts w:hint="eastAsia" w:asciiTheme="minorEastAsia" w:hAnsiTheme="minorEastAsia" w:eastAsiaTheme="minorEastAsia"/>
                <w:b/>
                <w:bCs/>
                <w:color w:val="auto"/>
                <w:highlight w:val="none"/>
              </w:rPr>
              <w:t>方案（</w:t>
            </w:r>
            <w:r>
              <w:rPr>
                <w:rFonts w:hint="eastAsia" w:asciiTheme="minorEastAsia" w:hAnsiTheme="minorEastAsia" w:eastAsiaTheme="minorEastAsia"/>
                <w:b/>
                <w:bCs/>
                <w:color w:val="auto"/>
                <w:highlight w:val="none"/>
                <w:lang w:val="en-US" w:eastAsia="zh-CN"/>
              </w:rPr>
              <w:t>29</w:t>
            </w:r>
            <w:r>
              <w:rPr>
                <w:rFonts w:hint="eastAsia" w:asciiTheme="minorEastAsia" w:hAnsiTheme="minorEastAsia" w:eastAsiaTheme="minorEastAsia"/>
                <w:b/>
                <w:bCs/>
                <w:color w:val="auto"/>
                <w:highlight w:val="none"/>
              </w:rPr>
              <w:t>分）</w:t>
            </w:r>
          </w:p>
        </w:tc>
        <w:tc>
          <w:tcPr>
            <w:tcW w:w="5062" w:type="dxa"/>
            <w:vAlign w:val="center"/>
          </w:tcPr>
          <w:p>
            <w:pPr>
              <w:snapToGrid w:val="0"/>
              <w:spacing w:line="360" w:lineRule="auto"/>
              <w:jc w:val="left"/>
              <w:rPr>
                <w:rFonts w:hint="default" w:asciiTheme="minorEastAsia" w:hAnsiTheme="minorEastAsia" w:eastAsiaTheme="minorEastAsia"/>
                <w:color w:val="auto"/>
                <w:szCs w:val="22"/>
                <w:highlight w:val="none"/>
                <w:lang w:val="en-US"/>
              </w:rPr>
            </w:pPr>
            <w:r>
              <w:rPr>
                <w:rFonts w:hint="eastAsia" w:asciiTheme="minorEastAsia" w:hAnsiTheme="minorEastAsia" w:eastAsiaTheme="minorEastAsia"/>
                <w:color w:val="auto"/>
                <w:szCs w:val="22"/>
                <w:highlight w:val="none"/>
                <w:lang w:val="en-US" w:eastAsia="zh-CN"/>
              </w:rPr>
              <w:t>投标人针对本项目白蚁危害现状及需求的了解情况，准确把握本项目白蚁防治要求和解决思路的得2-4分，基本描述的得1-2分，未描述的得0分</w:t>
            </w:r>
          </w:p>
        </w:tc>
        <w:tc>
          <w:tcPr>
            <w:tcW w:w="850" w:type="dxa"/>
            <w:vAlign w:val="center"/>
          </w:tcPr>
          <w:p>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7</w:t>
            </w:r>
          </w:p>
        </w:tc>
        <w:tc>
          <w:tcPr>
            <w:tcW w:w="1486" w:type="dxa"/>
            <w:vMerge w:val="continue"/>
            <w:vAlign w:val="center"/>
          </w:tcPr>
          <w:p>
            <w:pPr>
              <w:pStyle w:val="95"/>
              <w:spacing w:line="360" w:lineRule="auto"/>
              <w:rPr>
                <w:rFonts w:hint="eastAsia" w:asciiTheme="minorEastAsia" w:hAnsiTheme="minorEastAsia" w:eastAsiaTheme="minorEastAsia"/>
                <w:b/>
                <w:bCs/>
                <w:color w:val="auto"/>
                <w:highlight w:val="none"/>
              </w:rPr>
            </w:pPr>
          </w:p>
        </w:tc>
        <w:tc>
          <w:tcPr>
            <w:tcW w:w="5062" w:type="dxa"/>
            <w:vAlign w:val="center"/>
          </w:tcPr>
          <w:p>
            <w:pPr>
              <w:snapToGrid w:val="0"/>
              <w:spacing w:line="360" w:lineRule="auto"/>
              <w:jc w:val="left"/>
              <w:rPr>
                <w:rFonts w:hint="eastAsia"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投标人白蚁排查方案，排查方式合理性0-3分；排查进度、时效安排合理性0-3分；排查成果的真实性、准确性控制措施0-3分。</w:t>
            </w:r>
          </w:p>
          <w:p>
            <w:pPr>
              <w:snapToGrid w:val="0"/>
              <w:spacing w:line="360" w:lineRule="auto"/>
              <w:jc w:val="left"/>
              <w:rPr>
                <w:rFonts w:hint="default" w:asciiTheme="minorEastAsia" w:hAnsiTheme="minorEastAsia" w:eastAsiaTheme="minorEastAsia"/>
                <w:color w:val="auto"/>
                <w:szCs w:val="22"/>
                <w:highlight w:val="none"/>
                <w:lang w:val="en-US" w:eastAsia="zh-CN"/>
              </w:rPr>
            </w:pPr>
            <w:r>
              <w:rPr>
                <w:rFonts w:hint="eastAsia" w:ascii="宋体" w:hAnsi="宋体" w:cs="宋体" w:eastAsiaTheme="minorEastAsia"/>
                <w:color w:val="auto"/>
                <w:kern w:val="0"/>
                <w:szCs w:val="21"/>
                <w:highlight w:val="none"/>
                <w:lang w:val="en-US" w:eastAsia="zh-CN"/>
              </w:rPr>
              <w:t>（每项0-3分，其中内容完整有效的得1-3分，内容基本完整有效的得1分，未描述的得0分）</w:t>
            </w:r>
          </w:p>
        </w:tc>
        <w:tc>
          <w:tcPr>
            <w:tcW w:w="850" w:type="dxa"/>
            <w:vAlign w:val="center"/>
          </w:tcPr>
          <w:p>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9</w:t>
            </w:r>
            <w:r>
              <w:rPr>
                <w:rFonts w:hint="eastAsia" w:asciiTheme="minorEastAsia" w:hAnsiTheme="minorEastAsia" w:eastAsiaTheme="minorEastAsia"/>
                <w:color w:val="auto"/>
                <w:szCs w:val="21"/>
                <w:highlight w:val="none"/>
              </w:rPr>
              <w:t>分</w:t>
            </w:r>
          </w:p>
        </w:tc>
        <w:tc>
          <w:tcPr>
            <w:tcW w:w="913"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val="en-US" w:eastAsia="zh-CN"/>
              </w:rPr>
              <w:t>8</w:t>
            </w:r>
          </w:p>
        </w:tc>
        <w:tc>
          <w:tcPr>
            <w:tcW w:w="1486" w:type="dxa"/>
            <w:vMerge w:val="continue"/>
            <w:vAlign w:val="center"/>
          </w:tcPr>
          <w:p>
            <w:pPr>
              <w:pStyle w:val="95"/>
              <w:spacing w:line="360" w:lineRule="auto"/>
              <w:rPr>
                <w:rFonts w:asciiTheme="minorEastAsia" w:hAnsiTheme="minorEastAsia" w:eastAsiaTheme="minorEastAsia"/>
                <w:b/>
                <w:bCs/>
                <w:color w:val="auto"/>
                <w:highlight w:val="none"/>
              </w:rPr>
            </w:pPr>
          </w:p>
        </w:tc>
        <w:tc>
          <w:tcPr>
            <w:tcW w:w="5062" w:type="dxa"/>
            <w:vAlign w:val="center"/>
          </w:tcPr>
          <w:p>
            <w:pPr>
              <w:snapToGrid w:val="0"/>
              <w:spacing w:line="360" w:lineRule="auto"/>
              <w:jc w:val="left"/>
              <w:rPr>
                <w:rFonts w:hint="eastAsia"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lang w:val="en-US" w:eastAsia="zh-CN"/>
              </w:rPr>
              <w:t>根据投标人提供的白蚁治理技术方案和措施</w:t>
            </w:r>
            <w:r>
              <w:rPr>
                <w:rFonts w:hint="eastAsia"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lang w:val="en-US" w:eastAsia="zh-CN"/>
              </w:rPr>
              <w:t>方案合理性0-2分；措施有效性0-2分</w:t>
            </w:r>
            <w:r>
              <w:rPr>
                <w:rFonts w:hint="eastAsia" w:asciiTheme="minorEastAsia" w:hAnsiTheme="minorEastAsia" w:eastAsiaTheme="minorEastAsia"/>
                <w:color w:val="auto"/>
                <w:szCs w:val="22"/>
                <w:highlight w:val="none"/>
              </w:rPr>
              <w:t>。</w:t>
            </w:r>
          </w:p>
          <w:p>
            <w:pPr>
              <w:snapToGrid w:val="0"/>
              <w:spacing w:line="360" w:lineRule="auto"/>
              <w:jc w:val="left"/>
              <w:rPr>
                <w:rFonts w:hint="eastAsia" w:asciiTheme="minorEastAsia" w:hAnsiTheme="minorEastAsia" w:eastAsiaTheme="minorEastAsia"/>
                <w:color w:val="auto"/>
                <w:szCs w:val="22"/>
                <w:highlight w:val="none"/>
                <w:lang w:eastAsia="zh-CN"/>
              </w:rPr>
            </w:pPr>
            <w:r>
              <w:rPr>
                <w:rFonts w:hint="eastAsia" w:ascii="宋体" w:hAnsi="宋体" w:cs="宋体" w:eastAsiaTheme="minorEastAsia"/>
                <w:color w:val="auto"/>
                <w:kern w:val="0"/>
                <w:szCs w:val="21"/>
                <w:highlight w:val="none"/>
                <w:lang w:val="en-US" w:eastAsia="zh-CN"/>
              </w:rPr>
              <w:t>（每项0-2分，其中内容完整有效的得1-2分，内容基本完整有效的得1分，未描述的得0分）</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9</w:t>
            </w:r>
          </w:p>
        </w:tc>
        <w:tc>
          <w:tcPr>
            <w:tcW w:w="1486" w:type="dxa"/>
            <w:vMerge w:val="continue"/>
            <w:vAlign w:val="center"/>
          </w:tcPr>
          <w:p>
            <w:pPr>
              <w:pStyle w:val="95"/>
              <w:spacing w:line="360" w:lineRule="auto"/>
              <w:rPr>
                <w:rFonts w:asciiTheme="minorEastAsia" w:hAnsiTheme="minorEastAsia" w:eastAsiaTheme="minorEastAsia"/>
                <w:b/>
                <w:bCs/>
                <w:color w:val="auto"/>
                <w:highlight w:val="none"/>
              </w:rPr>
            </w:pPr>
          </w:p>
        </w:tc>
        <w:tc>
          <w:tcPr>
            <w:tcW w:w="5062" w:type="dxa"/>
            <w:vAlign w:val="center"/>
          </w:tcPr>
          <w:p>
            <w:pPr>
              <w:snapToGrid w:val="0"/>
              <w:spacing w:line="360" w:lineRule="auto"/>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根据投标人提供的设备配备情况，从采用的全智能白蚁监控系统的先进性、有效性、安全性进行综合评分。</w:t>
            </w:r>
          </w:p>
          <w:p>
            <w:pPr>
              <w:snapToGrid w:val="0"/>
              <w:spacing w:line="360" w:lineRule="auto"/>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 xml:space="preserve"> 1、投标人提供的智能白蚁监控系统如具备以下功能的，满足一项得1分，共3分：</w:t>
            </w:r>
          </w:p>
          <w:p>
            <w:pPr>
              <w:snapToGrid w:val="0"/>
              <w:spacing w:line="360" w:lineRule="auto"/>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（1）系统具备自动生成并显示报警数统计功能的得1分；</w:t>
            </w:r>
          </w:p>
          <w:p>
            <w:pPr>
              <w:snapToGrid w:val="0"/>
              <w:spacing w:line="360" w:lineRule="auto"/>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（2）系统具备自动生成并显示白蚁危害率和灭治率的功能的得1分；</w:t>
            </w:r>
          </w:p>
          <w:p>
            <w:pPr>
              <w:snapToGrid w:val="0"/>
              <w:spacing w:line="360" w:lineRule="auto"/>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（3）单个智能装置即可报警，不需要中继设备的得1分；</w:t>
            </w:r>
          </w:p>
          <w:p>
            <w:pPr>
              <w:snapToGrid w:val="0"/>
              <w:spacing w:line="360" w:lineRule="auto"/>
              <w:ind w:firstLine="210" w:firstLineChars="100"/>
              <w:jc w:val="left"/>
              <w:rPr>
                <w:rFonts w:hint="eastAsia" w:cs="Times New Roman" w:asciiTheme="minorEastAsia" w:hAnsiTheme="minorEastAsia" w:eastAsiaTheme="minorEastAsia"/>
                <w:color w:val="auto"/>
                <w:szCs w:val="22"/>
                <w:highlight w:val="none"/>
                <w:lang w:val="en-US" w:eastAsia="zh-CN"/>
              </w:rPr>
            </w:pPr>
            <w:r>
              <w:rPr>
                <w:rFonts w:hint="eastAsia" w:cs="Times New Roman" w:asciiTheme="minorEastAsia" w:hAnsiTheme="minorEastAsia" w:eastAsiaTheme="minorEastAsia"/>
                <w:color w:val="auto"/>
                <w:szCs w:val="22"/>
                <w:highlight w:val="none"/>
                <w:lang w:val="en-US" w:eastAsia="zh-CN"/>
              </w:rPr>
              <w:t>（提供证明材料并配图说明并CA签章，图片需清晰反应功能否则将影响评分。）</w:t>
            </w:r>
          </w:p>
          <w:p>
            <w:pPr>
              <w:snapToGrid w:val="0"/>
              <w:spacing w:line="360" w:lineRule="auto"/>
              <w:jc w:val="left"/>
              <w:rPr>
                <w:rFonts w:hint="default" w:ascii="宋体" w:hAnsi="宋体" w:cs="宋体" w:eastAsiaTheme="minorEastAsia"/>
                <w:color w:val="auto"/>
                <w:kern w:val="0"/>
                <w:szCs w:val="21"/>
                <w:highlight w:val="none"/>
                <w:lang w:val="en-US" w:eastAsia="zh-CN"/>
              </w:rPr>
            </w:pPr>
            <w:r>
              <w:rPr>
                <w:rFonts w:hint="eastAsia" w:cs="Times New Roman" w:asciiTheme="minorEastAsia" w:hAnsiTheme="minorEastAsia" w:eastAsiaTheme="minorEastAsia"/>
                <w:color w:val="auto"/>
                <w:szCs w:val="22"/>
                <w:highlight w:val="none"/>
                <w:lang w:val="en-US" w:eastAsia="zh-CN"/>
              </w:rPr>
              <w:t>2、评标委员会根据投标人提供的全智能白蚁监控系统情况，从先进性、有效性、安全性进行评分，满足一项得1分，共3分。</w:t>
            </w:r>
          </w:p>
        </w:tc>
        <w:tc>
          <w:tcPr>
            <w:tcW w:w="850" w:type="dxa"/>
            <w:vAlign w:val="center"/>
          </w:tcPr>
          <w:p>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913" w:type="dxa"/>
            <w:vAlign w:val="center"/>
          </w:tcPr>
          <w:p>
            <w:pPr>
              <w:pStyle w:val="95"/>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10</w:t>
            </w:r>
          </w:p>
        </w:tc>
        <w:tc>
          <w:tcPr>
            <w:tcW w:w="1486" w:type="dxa"/>
            <w:vMerge w:val="continue"/>
            <w:vAlign w:val="center"/>
          </w:tcPr>
          <w:p>
            <w:pPr>
              <w:pStyle w:val="95"/>
              <w:spacing w:line="360" w:lineRule="auto"/>
              <w:rPr>
                <w:rFonts w:asciiTheme="minorEastAsia" w:hAnsiTheme="minorEastAsia" w:eastAsiaTheme="minorEastAsia"/>
                <w:b/>
                <w:bCs/>
                <w:color w:val="auto"/>
                <w:highlight w:val="none"/>
              </w:rPr>
            </w:pPr>
          </w:p>
        </w:tc>
        <w:tc>
          <w:tcPr>
            <w:tcW w:w="5062" w:type="dxa"/>
            <w:vAlign w:val="center"/>
          </w:tcPr>
          <w:p>
            <w:pPr>
              <w:snapToGrid w:val="0"/>
              <w:spacing w:line="360" w:lineRule="auto"/>
              <w:jc w:val="left"/>
              <w:rPr>
                <w:rFonts w:hint="eastAsia"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投标人拟投入本项目防治及治理药物、药包的有效性0-2分；环保性0-2分；经济性0-2分。</w:t>
            </w:r>
          </w:p>
          <w:p>
            <w:pPr>
              <w:snapToGrid w:val="0"/>
              <w:spacing w:line="360" w:lineRule="auto"/>
              <w:jc w:val="left"/>
              <w:rPr>
                <w:rFonts w:hint="default" w:asciiTheme="minorEastAsia" w:hAnsiTheme="minorEastAsia" w:eastAsiaTheme="minorEastAsia"/>
                <w:color w:val="auto"/>
                <w:szCs w:val="22"/>
                <w:highlight w:val="none"/>
                <w:lang w:val="en-US" w:eastAsia="zh-CN"/>
              </w:rPr>
            </w:pPr>
            <w:r>
              <w:rPr>
                <w:rFonts w:hint="eastAsia" w:ascii="宋体" w:hAnsi="宋体" w:cs="宋体" w:eastAsiaTheme="minorEastAsia"/>
                <w:color w:val="auto"/>
                <w:kern w:val="0"/>
                <w:szCs w:val="21"/>
                <w:highlight w:val="none"/>
                <w:lang w:val="en-US" w:eastAsia="zh-CN"/>
              </w:rPr>
              <w:t>（每项0-2分，其中内容完整有效的得1-2分，内容基本完整有效的得1分，未描述的得0分）</w:t>
            </w:r>
          </w:p>
        </w:tc>
        <w:tc>
          <w:tcPr>
            <w:tcW w:w="850" w:type="dxa"/>
            <w:vAlign w:val="center"/>
          </w:tcPr>
          <w:p>
            <w:pPr>
              <w:snapToGrid w:val="0"/>
              <w:spacing w:line="360" w:lineRule="auto"/>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0-6分</w:t>
            </w:r>
          </w:p>
        </w:tc>
        <w:tc>
          <w:tcPr>
            <w:tcW w:w="913" w:type="dxa"/>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11</w:t>
            </w:r>
          </w:p>
        </w:tc>
        <w:tc>
          <w:tcPr>
            <w:tcW w:w="1486" w:type="dxa"/>
            <w:vMerge w:val="restart"/>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lang w:val="en-US" w:eastAsia="zh-CN"/>
              </w:rPr>
              <w:t>服务</w:t>
            </w:r>
            <w:r>
              <w:rPr>
                <w:rFonts w:hint="eastAsia" w:asciiTheme="minorEastAsia" w:hAnsiTheme="minorEastAsia" w:eastAsiaTheme="minorEastAsia"/>
                <w:b/>
                <w:bCs/>
                <w:color w:val="auto"/>
                <w:highlight w:val="none"/>
              </w:rPr>
              <w:t>方案（</w:t>
            </w:r>
            <w:r>
              <w:rPr>
                <w:rFonts w:hint="eastAsia" w:asciiTheme="minorEastAsia" w:hAnsiTheme="minorEastAsia" w:eastAsiaTheme="minorEastAsia"/>
                <w:b/>
                <w:bCs/>
                <w:color w:val="auto"/>
                <w:highlight w:val="none"/>
                <w:lang w:val="en-US" w:eastAsia="zh-CN"/>
              </w:rPr>
              <w:t>14</w:t>
            </w:r>
            <w:r>
              <w:rPr>
                <w:rFonts w:hint="eastAsia" w:asciiTheme="minorEastAsia" w:hAnsiTheme="minorEastAsia" w:eastAsiaTheme="minorEastAsia"/>
                <w:b/>
                <w:bCs/>
                <w:color w:val="auto"/>
                <w:highlight w:val="none"/>
              </w:rPr>
              <w:t>分）</w:t>
            </w:r>
          </w:p>
        </w:tc>
        <w:tc>
          <w:tcPr>
            <w:tcW w:w="5062" w:type="dxa"/>
            <w:vAlign w:val="center"/>
          </w:tcPr>
          <w:p>
            <w:pPr>
              <w:snapToGrid w:val="0"/>
              <w:spacing w:line="360" w:lineRule="auto"/>
              <w:jc w:val="left"/>
              <w:rPr>
                <w:rFonts w:hint="eastAsia" w:asciiTheme="minorEastAsia" w:hAnsiTheme="minorEastAsia" w:eastAsiaTheme="minorEastAsia"/>
                <w:color w:val="auto"/>
                <w:szCs w:val="22"/>
                <w:highlight w:val="none"/>
                <w:lang w:eastAsia="zh-CN"/>
              </w:rPr>
            </w:pPr>
            <w:r>
              <w:rPr>
                <w:rFonts w:hint="eastAsia" w:asciiTheme="minorEastAsia" w:hAnsiTheme="minorEastAsia" w:eastAsiaTheme="minorEastAsia"/>
                <w:color w:val="auto"/>
                <w:szCs w:val="22"/>
                <w:highlight w:val="none"/>
              </w:rPr>
              <w:t>投标人</w:t>
            </w:r>
            <w:r>
              <w:rPr>
                <w:rFonts w:hint="eastAsia" w:asciiTheme="minorEastAsia" w:hAnsiTheme="minorEastAsia" w:eastAsiaTheme="minorEastAsia"/>
                <w:color w:val="auto"/>
                <w:szCs w:val="21"/>
                <w:highlight w:val="none"/>
              </w:rPr>
              <w:t>时间响应程度</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包含远程响应时间</w:t>
            </w:r>
            <w:r>
              <w:rPr>
                <w:rFonts w:hint="eastAsia" w:asciiTheme="minorEastAsia" w:hAnsiTheme="minorEastAsia" w:eastAsiaTheme="minorEastAsia"/>
                <w:color w:val="auto"/>
                <w:szCs w:val="21"/>
                <w:highlight w:val="none"/>
                <w:lang w:val="en-US" w:eastAsia="zh-CN"/>
              </w:rPr>
              <w:t>:0-2分；</w:t>
            </w:r>
            <w:r>
              <w:rPr>
                <w:rFonts w:hint="eastAsia" w:asciiTheme="minorEastAsia" w:hAnsiTheme="minorEastAsia" w:eastAsiaTheme="minorEastAsia"/>
                <w:color w:val="auto"/>
                <w:szCs w:val="21"/>
                <w:highlight w:val="none"/>
              </w:rPr>
              <w:t>不同等级解决问题时间</w:t>
            </w:r>
            <w:r>
              <w:rPr>
                <w:rFonts w:hint="eastAsia" w:asciiTheme="minorEastAsia" w:hAnsiTheme="minorEastAsia" w:eastAsiaTheme="minorEastAsia"/>
                <w:color w:val="auto"/>
                <w:szCs w:val="21"/>
                <w:highlight w:val="none"/>
                <w:lang w:val="en-US" w:eastAsia="zh-CN"/>
              </w:rPr>
              <w:t>0-2分；</w:t>
            </w:r>
            <w:r>
              <w:rPr>
                <w:rFonts w:hint="eastAsia" w:asciiTheme="minorEastAsia" w:hAnsiTheme="minorEastAsia" w:eastAsiaTheme="minorEastAsia"/>
                <w:color w:val="auto"/>
                <w:szCs w:val="21"/>
                <w:highlight w:val="none"/>
              </w:rPr>
              <w:t>到达现场</w:t>
            </w:r>
            <w:r>
              <w:rPr>
                <w:rFonts w:hint="eastAsia" w:asciiTheme="minorEastAsia" w:hAnsiTheme="minorEastAsia" w:eastAsiaTheme="minorEastAsia"/>
                <w:color w:val="auto"/>
                <w:szCs w:val="21"/>
                <w:highlight w:val="none"/>
                <w:lang w:val="en-US" w:eastAsia="zh-CN"/>
              </w:rPr>
              <w:t>解决问题</w:t>
            </w: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lang w:val="en-US" w:eastAsia="zh-CN"/>
              </w:rPr>
              <w:t>0-3分</w:t>
            </w:r>
            <w:r>
              <w:rPr>
                <w:rFonts w:hint="eastAsia" w:asciiTheme="minorEastAsia" w:hAnsiTheme="minorEastAsia" w:eastAsiaTheme="minorEastAsia"/>
                <w:color w:val="auto"/>
                <w:szCs w:val="21"/>
                <w:highlight w:val="none"/>
                <w:lang w:eastAsia="zh-CN"/>
              </w:rPr>
              <w:t>。</w:t>
            </w:r>
            <w:r>
              <w:rPr>
                <w:rFonts w:hint="eastAsia" w:ascii="宋体" w:hAnsi="宋体" w:cs="宋体" w:eastAsiaTheme="minorEastAsia"/>
                <w:color w:val="auto"/>
                <w:kern w:val="0"/>
                <w:szCs w:val="21"/>
                <w:highlight w:val="none"/>
                <w:lang w:val="en-US" w:eastAsia="zh-CN"/>
              </w:rPr>
              <w:t>（第1.2项0-2分，其中时效性强的得1-2分，内容时效基本合理的得1分，未描述的得0分；第3项0-3分，其中时效性强的得2-3分，时效基本合理的得1-2分，未描述的得0分）</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12</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安全方案：</w:t>
            </w:r>
          </w:p>
          <w:p>
            <w:pPr>
              <w:numPr>
                <w:ilvl w:val="0"/>
                <w:numId w:val="8"/>
              </w:numPr>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数据安全：</w:t>
            </w:r>
            <w:r>
              <w:rPr>
                <w:rFonts w:hint="eastAsia" w:ascii="宋体" w:hAnsi="宋体" w:cs="宋体"/>
                <w:color w:val="auto"/>
                <w:szCs w:val="21"/>
                <w:highlight w:val="none"/>
              </w:rPr>
              <w:t>投标人应建立健全数据安全管理制度、制定数据安全保障措施，保障数据安全，方案完整详细可行的得</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分，</w:t>
            </w:r>
            <w:r>
              <w:rPr>
                <w:rFonts w:hint="eastAsia" w:ascii="宋体" w:hAnsi="宋体" w:cs="宋体"/>
                <w:color w:val="auto"/>
                <w:kern w:val="0"/>
                <w:szCs w:val="21"/>
                <w:highlight w:val="none"/>
              </w:rPr>
              <w:t>基本描述的得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kern w:val="0"/>
                <w:szCs w:val="21"/>
                <w:highlight w:val="none"/>
              </w:rPr>
              <w:t>，未表述</w:t>
            </w:r>
            <w:r>
              <w:rPr>
                <w:rFonts w:hint="eastAsia" w:ascii="宋体" w:hAnsi="宋体" w:cs="宋体"/>
                <w:color w:val="auto"/>
                <w:kern w:val="0"/>
                <w:szCs w:val="21"/>
                <w:highlight w:val="none"/>
                <w:lang w:val="en-US" w:eastAsia="zh-CN"/>
              </w:rPr>
              <w:t>的得0分</w:t>
            </w:r>
            <w:r>
              <w:rPr>
                <w:rFonts w:hint="eastAsia" w:ascii="宋体" w:hAnsi="宋体" w:cs="宋体"/>
                <w:color w:val="auto"/>
                <w:kern w:val="0"/>
                <w:szCs w:val="21"/>
                <w:highlight w:val="none"/>
              </w:rPr>
              <w:t>。</w:t>
            </w:r>
          </w:p>
          <w:p>
            <w:pPr>
              <w:numPr>
                <w:ilvl w:val="0"/>
                <w:numId w:val="0"/>
              </w:numPr>
              <w:snapToGrid w:val="0"/>
              <w:spacing w:line="360" w:lineRule="auto"/>
              <w:jc w:val="left"/>
              <w:rPr>
                <w:rFonts w:hint="default" w:ascii="宋体" w:hAnsi="宋体" w:eastAsia="宋体" w:cs="宋体"/>
                <w:color w:val="auto"/>
                <w:szCs w:val="22"/>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人员安全：</w:t>
            </w:r>
            <w:r>
              <w:rPr>
                <w:rFonts w:hint="default" w:ascii="Calibri" w:hAnsi="Calibri" w:cs="Calibri"/>
                <w:color w:val="auto"/>
                <w:kern w:val="0"/>
                <w:szCs w:val="21"/>
                <w:highlight w:val="none"/>
                <w:lang w:val="en-US" w:eastAsia="zh-CN"/>
              </w:rPr>
              <w:t>①</w:t>
            </w:r>
            <w:r>
              <w:rPr>
                <w:rFonts w:hint="eastAsia" w:ascii="宋体" w:hAnsi="宋体" w:cs="宋体"/>
                <w:color w:val="auto"/>
                <w:kern w:val="0"/>
                <w:szCs w:val="21"/>
                <w:highlight w:val="none"/>
                <w:lang w:val="en-US" w:eastAsia="zh-CN"/>
              </w:rPr>
              <w:t>投标人对人员治理安全管理措施，具有规范的现场操作流程、完善的安全制度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分，</w:t>
            </w:r>
            <w:r>
              <w:rPr>
                <w:rFonts w:hint="eastAsia" w:ascii="宋体" w:hAnsi="宋体" w:cs="宋体"/>
                <w:color w:val="auto"/>
                <w:kern w:val="0"/>
                <w:szCs w:val="21"/>
                <w:highlight w:val="none"/>
              </w:rPr>
              <w:t>基本描述的得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kern w:val="0"/>
                <w:szCs w:val="21"/>
                <w:highlight w:val="none"/>
              </w:rPr>
              <w:t>，未表述</w:t>
            </w:r>
            <w:r>
              <w:rPr>
                <w:rFonts w:hint="eastAsia" w:ascii="宋体" w:hAnsi="宋体" w:cs="宋体"/>
                <w:color w:val="auto"/>
                <w:kern w:val="0"/>
                <w:szCs w:val="21"/>
                <w:highlight w:val="none"/>
                <w:lang w:val="en-US" w:eastAsia="zh-CN"/>
              </w:rPr>
              <w:t>的得0分</w:t>
            </w:r>
            <w:r>
              <w:rPr>
                <w:rFonts w:hint="eastAsia" w:ascii="宋体" w:hAnsi="宋体" w:cs="宋体"/>
                <w:color w:val="auto"/>
                <w:kern w:val="0"/>
                <w:szCs w:val="21"/>
                <w:highlight w:val="none"/>
              </w:rPr>
              <w:t>。</w:t>
            </w:r>
            <w:r>
              <w:rPr>
                <w:rFonts w:hint="default" w:ascii="Calibri" w:hAnsi="Calibri" w:cs="Calibri"/>
                <w:color w:val="auto"/>
                <w:kern w:val="0"/>
                <w:szCs w:val="21"/>
                <w:highlight w:val="none"/>
              </w:rPr>
              <w:t>②</w:t>
            </w:r>
            <w:r>
              <w:rPr>
                <w:rFonts w:hint="eastAsia" w:ascii="宋体" w:hAnsi="宋体" w:cs="宋体"/>
                <w:color w:val="auto"/>
                <w:kern w:val="0"/>
                <w:szCs w:val="21"/>
                <w:highlight w:val="none"/>
                <w:lang w:val="en-US" w:eastAsia="zh-CN"/>
              </w:rPr>
              <w:t>对团队成员提供有效期内的意外伤害保险及职业责任保险的或承诺项目实施前购买以上保险的得1分（若已购买的提供保单复印件或承诺书并CA签章）</w:t>
            </w:r>
          </w:p>
        </w:tc>
        <w:tc>
          <w:tcPr>
            <w:tcW w:w="850" w:type="dxa"/>
            <w:vAlign w:val="center"/>
          </w:tcPr>
          <w:p>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13</w:t>
            </w:r>
          </w:p>
        </w:tc>
        <w:tc>
          <w:tcPr>
            <w:tcW w:w="1486" w:type="dxa"/>
            <w:vMerge w:val="restart"/>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项目服务方案（</w:t>
            </w:r>
            <w:r>
              <w:rPr>
                <w:rFonts w:hint="eastAsia" w:asciiTheme="minorEastAsia" w:hAnsiTheme="minorEastAsia" w:eastAsiaTheme="minorEastAsia"/>
                <w:b/>
                <w:bCs/>
                <w:color w:val="auto"/>
                <w:highlight w:val="none"/>
                <w:lang w:val="en-US" w:eastAsia="zh-CN"/>
              </w:rPr>
              <w:t>26</w:t>
            </w:r>
            <w:r>
              <w:rPr>
                <w:rFonts w:hint="eastAsia" w:asciiTheme="minorEastAsia" w:hAnsiTheme="minorEastAsia" w:eastAsiaTheme="minorEastAsia"/>
                <w:b/>
                <w:bCs/>
                <w:color w:val="auto"/>
                <w:highlight w:val="none"/>
              </w:rPr>
              <w:t>分）</w:t>
            </w:r>
          </w:p>
        </w:tc>
        <w:tc>
          <w:tcPr>
            <w:tcW w:w="5062" w:type="dxa"/>
            <w:vAlign w:val="center"/>
          </w:tcPr>
          <w:p>
            <w:pPr>
              <w:snapToGrid w:val="0"/>
              <w:spacing w:line="360" w:lineRule="auto"/>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制定日常</w:t>
            </w:r>
            <w:r>
              <w:rPr>
                <w:rFonts w:hint="eastAsia" w:asciiTheme="minorEastAsia" w:hAnsiTheme="minorEastAsia" w:eastAsiaTheme="minorEastAsia"/>
                <w:color w:val="auto"/>
                <w:szCs w:val="22"/>
                <w:highlight w:val="none"/>
                <w:lang w:val="en-US" w:eastAsia="zh-CN"/>
              </w:rPr>
              <w:t>现场</w:t>
            </w:r>
            <w:r>
              <w:rPr>
                <w:rFonts w:hint="eastAsia" w:asciiTheme="minorEastAsia" w:hAnsiTheme="minorEastAsia" w:eastAsiaTheme="minorEastAsia"/>
                <w:color w:val="auto"/>
                <w:szCs w:val="22"/>
                <w:highlight w:val="none"/>
              </w:rPr>
              <w:t>、系统巡检方案，方案覆盖全面、技术路线合理的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w:t>
            </w:r>
            <w:r>
              <w:rPr>
                <w:rFonts w:hint="eastAsia" w:ascii="宋体" w:hAnsi="宋体" w:cs="宋体"/>
                <w:color w:val="auto"/>
                <w:kern w:val="0"/>
                <w:szCs w:val="21"/>
                <w:highlight w:val="none"/>
              </w:rPr>
              <w:t>基本描述的得</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kern w:val="0"/>
                <w:szCs w:val="21"/>
                <w:highlight w:val="none"/>
              </w:rPr>
              <w:t>，未表述</w:t>
            </w:r>
            <w:r>
              <w:rPr>
                <w:rFonts w:hint="eastAsia" w:ascii="宋体" w:hAnsi="宋体" w:cs="宋体"/>
                <w:color w:val="auto"/>
                <w:kern w:val="0"/>
                <w:szCs w:val="21"/>
                <w:highlight w:val="none"/>
                <w:lang w:val="en-US" w:eastAsia="zh-CN"/>
              </w:rPr>
              <w:t>的得0分</w:t>
            </w:r>
            <w:r>
              <w:rPr>
                <w:rFonts w:hint="eastAsia" w:ascii="宋体" w:hAnsi="宋体" w:cs="宋体"/>
                <w:color w:val="auto"/>
                <w:kern w:val="0"/>
                <w:szCs w:val="21"/>
                <w:highlight w:val="none"/>
              </w:rPr>
              <w:t>。</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14</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ascii="Arial" w:hAnsi="Arial" w:cs="Arial"/>
                <w:color w:val="auto"/>
                <w:szCs w:val="21"/>
                <w:highlight w:val="none"/>
              </w:rPr>
            </w:pPr>
            <w:r>
              <w:rPr>
                <w:rFonts w:hint="eastAsia" w:ascii="Arial" w:hAnsi="Arial" w:cs="Arial"/>
                <w:color w:val="auto"/>
                <w:szCs w:val="21"/>
                <w:highlight w:val="none"/>
              </w:rPr>
              <w:t>拟投入本项目人员结构合理、</w:t>
            </w:r>
            <w:r>
              <w:rPr>
                <w:rFonts w:hint="eastAsia" w:ascii="Arial" w:hAnsi="Arial" w:cs="Arial"/>
                <w:color w:val="auto"/>
                <w:szCs w:val="21"/>
                <w:highlight w:val="none"/>
                <w:lang w:val="en-US" w:eastAsia="zh-CN"/>
              </w:rPr>
              <w:t>人员专业水平、</w:t>
            </w:r>
            <w:r>
              <w:rPr>
                <w:rFonts w:hint="eastAsia" w:ascii="Arial" w:hAnsi="Arial" w:cs="Arial"/>
                <w:color w:val="auto"/>
                <w:szCs w:val="21"/>
                <w:highlight w:val="none"/>
              </w:rPr>
              <w:t>具有外部技术支持，技术力量、专业性、针对性强的得</w:t>
            </w:r>
            <w:r>
              <w:rPr>
                <w:rFonts w:hint="eastAsia" w:ascii="宋体" w:hAnsi="宋体" w:cs="宋体"/>
                <w:color w:val="auto"/>
                <w:szCs w:val="21"/>
                <w:highlight w:val="none"/>
                <w:lang w:val="en-US" w:eastAsia="zh-CN"/>
              </w:rPr>
              <w:t>2-3</w:t>
            </w:r>
            <w:r>
              <w:rPr>
                <w:rFonts w:hint="eastAsia" w:ascii="Arial" w:hAnsi="Arial" w:cs="Arial"/>
                <w:color w:val="auto"/>
                <w:szCs w:val="21"/>
                <w:highlight w:val="none"/>
              </w:rPr>
              <w:t>分，基本配备的</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Arial" w:hAnsi="Arial" w:cs="Arial"/>
                <w:color w:val="auto"/>
                <w:szCs w:val="21"/>
                <w:highlight w:val="none"/>
              </w:rPr>
              <w:t>分，未提供的</w:t>
            </w:r>
            <w:r>
              <w:rPr>
                <w:rFonts w:hint="eastAsia" w:ascii="Arial" w:hAnsi="Arial" w:cs="Arial"/>
                <w:color w:val="auto"/>
                <w:szCs w:val="21"/>
                <w:highlight w:val="none"/>
                <w:lang w:val="en-US" w:eastAsia="zh-CN"/>
              </w:rPr>
              <w:t>得0分</w:t>
            </w:r>
            <w:r>
              <w:rPr>
                <w:rFonts w:hint="eastAsia" w:ascii="Arial" w:hAnsi="Arial" w:cs="Arial"/>
                <w:color w:val="auto"/>
                <w:szCs w:val="21"/>
                <w:highlight w:val="none"/>
              </w:rPr>
              <w:t>。</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en-US" w:eastAsia="zh-CN"/>
              </w:rPr>
              <w:t>5</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台账及档案机制</w:t>
            </w:r>
          </w:p>
          <w:p>
            <w:pPr>
              <w:numPr>
                <w:ilvl w:val="0"/>
                <w:numId w:val="9"/>
              </w:numPr>
              <w:snapToGrid w:val="0"/>
              <w:spacing w:line="360" w:lineRule="auto"/>
              <w:jc w:val="left"/>
              <w:rPr>
                <w:rFonts w:hint="eastAsia" w:asciiTheme="minorEastAsia" w:hAnsiTheme="minorEastAsia" w:eastAsiaTheme="minorEastAsia"/>
                <w:color w:val="auto"/>
                <w:szCs w:val="22"/>
                <w:highlight w:val="none"/>
              </w:rPr>
            </w:pPr>
            <w:r>
              <w:rPr>
                <w:rFonts w:hint="eastAsia" w:ascii="Arial" w:hAnsi="Arial" w:cs="Arial"/>
                <w:color w:val="auto"/>
                <w:szCs w:val="21"/>
                <w:highlight w:val="none"/>
              </w:rPr>
              <w:t>投标人具有健全的内控及台账制度，对日常工作记录并形成台账便于采购人管理，制度健全、合理、经济、有效的</w:t>
            </w:r>
            <w:r>
              <w:rPr>
                <w:rFonts w:hint="eastAsia" w:asciiTheme="minorEastAsia" w:hAnsiTheme="minorEastAsia" w:eastAsiaTheme="minorEastAsia"/>
                <w:color w:val="auto"/>
                <w:szCs w:val="22"/>
                <w:highlight w:val="none"/>
              </w:rPr>
              <w:t>得</w:t>
            </w:r>
            <w:r>
              <w:rPr>
                <w:rFonts w:hint="eastAsia" w:asciiTheme="minorEastAsia" w:hAnsiTheme="minorEastAsia" w:eastAsiaTheme="minorEastAsia"/>
                <w:color w:val="auto"/>
                <w:szCs w:val="22"/>
                <w:highlight w:val="none"/>
                <w:lang w:val="en-US" w:eastAsia="zh-CN"/>
              </w:rPr>
              <w:t>2-4</w:t>
            </w:r>
            <w:r>
              <w:rPr>
                <w:rFonts w:hint="eastAsia" w:asciiTheme="minorEastAsia" w:hAnsiTheme="minorEastAsia" w:eastAsiaTheme="minorEastAsia"/>
                <w:color w:val="auto"/>
                <w:szCs w:val="22"/>
                <w:highlight w:val="none"/>
              </w:rPr>
              <w:t>分，基本制定的得</w:t>
            </w:r>
            <w:r>
              <w:rPr>
                <w:rFonts w:hint="eastAsia" w:asciiTheme="minorEastAsia" w:hAnsiTheme="minorEastAsia" w:eastAsiaTheme="minorEastAsia"/>
                <w:color w:val="auto"/>
                <w:szCs w:val="22"/>
                <w:highlight w:val="none"/>
                <w:lang w:val="en-US" w:eastAsia="zh-CN"/>
              </w:rPr>
              <w:t>1-2</w:t>
            </w:r>
            <w:r>
              <w:rPr>
                <w:rFonts w:hint="eastAsia" w:asciiTheme="minorEastAsia" w:hAnsiTheme="minorEastAsia" w:eastAsiaTheme="minorEastAsia"/>
                <w:color w:val="auto"/>
                <w:szCs w:val="22"/>
                <w:highlight w:val="none"/>
              </w:rPr>
              <w:t>分，未描述的得0分。</w:t>
            </w:r>
          </w:p>
          <w:p>
            <w:pPr>
              <w:numPr>
                <w:ilvl w:val="0"/>
                <w:numId w:val="0"/>
              </w:numPr>
              <w:snapToGrid w:val="0"/>
              <w:spacing w:line="360" w:lineRule="auto"/>
              <w:jc w:val="left"/>
              <w:rPr>
                <w:rFonts w:hint="default" w:ascii="Arial" w:hAnsi="Arial" w:cs="Arial" w:eastAsiaTheme="minorEastAsia"/>
                <w:color w:val="auto"/>
                <w:szCs w:val="21"/>
                <w:highlight w:val="none"/>
                <w:lang w:val="en-US" w:eastAsia="zh-CN"/>
              </w:rPr>
            </w:pP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lang w:val="en-US" w:eastAsia="zh-CN"/>
              </w:rPr>
              <w:t>2</w:t>
            </w: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lang w:val="en-US" w:eastAsia="zh-CN"/>
              </w:rPr>
              <w:t>投标人具有完善的档案管理制度、设置专职档案管理人员，对本项目全过程制定全面的档案管理方案、资料齐全完善、真实有效的</w:t>
            </w:r>
            <w:r>
              <w:rPr>
                <w:rFonts w:hint="eastAsia" w:asciiTheme="minorEastAsia" w:hAnsiTheme="minorEastAsia" w:eastAsiaTheme="minorEastAsia"/>
                <w:color w:val="auto"/>
                <w:szCs w:val="22"/>
                <w:highlight w:val="none"/>
              </w:rPr>
              <w:t>得</w:t>
            </w:r>
            <w:r>
              <w:rPr>
                <w:rFonts w:hint="eastAsia" w:asciiTheme="minorEastAsia" w:hAnsiTheme="minorEastAsia" w:eastAsiaTheme="minorEastAsia"/>
                <w:color w:val="auto"/>
                <w:szCs w:val="22"/>
                <w:highlight w:val="none"/>
                <w:lang w:val="en-US" w:eastAsia="zh-CN"/>
              </w:rPr>
              <w:t>2-4</w:t>
            </w:r>
            <w:r>
              <w:rPr>
                <w:rFonts w:hint="eastAsia" w:asciiTheme="minorEastAsia" w:hAnsiTheme="minorEastAsia" w:eastAsiaTheme="minorEastAsia"/>
                <w:color w:val="auto"/>
                <w:szCs w:val="22"/>
                <w:highlight w:val="none"/>
              </w:rPr>
              <w:t>分，基本制定的得</w:t>
            </w:r>
            <w:r>
              <w:rPr>
                <w:rFonts w:hint="eastAsia" w:asciiTheme="minorEastAsia" w:hAnsiTheme="minorEastAsia" w:eastAsiaTheme="minorEastAsia"/>
                <w:color w:val="auto"/>
                <w:szCs w:val="22"/>
                <w:highlight w:val="none"/>
                <w:lang w:val="en-US" w:eastAsia="zh-CN"/>
              </w:rPr>
              <w:t>1-2</w:t>
            </w:r>
            <w:r>
              <w:rPr>
                <w:rFonts w:hint="eastAsia" w:asciiTheme="minorEastAsia" w:hAnsiTheme="minorEastAsia" w:eastAsiaTheme="minorEastAsia"/>
                <w:color w:val="auto"/>
                <w:szCs w:val="22"/>
                <w:highlight w:val="none"/>
              </w:rPr>
              <w:t>分，未描述的得0分。</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en-US" w:eastAsia="zh-CN"/>
              </w:rPr>
              <w:t>6</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ascii="Arial" w:hAnsi="Arial" w:cs="Arial"/>
                <w:color w:val="auto"/>
                <w:szCs w:val="21"/>
                <w:highlight w:val="none"/>
              </w:rPr>
            </w:pPr>
            <w:r>
              <w:rPr>
                <w:rFonts w:hint="eastAsia" w:ascii="Arial" w:hAnsi="Arial" w:cs="Arial"/>
                <w:color w:val="auto"/>
                <w:szCs w:val="21"/>
                <w:highlight w:val="none"/>
              </w:rPr>
              <w:t>针对本项目的培训方案，培训内容全面、合理、针对性强的</w:t>
            </w:r>
            <w:r>
              <w:rPr>
                <w:rFonts w:hint="eastAsia" w:asciiTheme="minorEastAsia" w:hAnsiTheme="minorEastAsia" w:eastAsiaTheme="minorEastAsia"/>
                <w:color w:val="auto"/>
                <w:szCs w:val="22"/>
                <w:highlight w:val="none"/>
              </w:rPr>
              <w:t>得</w:t>
            </w:r>
            <w:r>
              <w:rPr>
                <w:rFonts w:hint="eastAsia" w:asciiTheme="minorEastAsia" w:hAnsiTheme="minorEastAsia" w:eastAsiaTheme="minorEastAsia"/>
                <w:color w:val="auto"/>
                <w:szCs w:val="22"/>
                <w:highlight w:val="none"/>
                <w:lang w:val="en-US" w:eastAsia="zh-CN"/>
              </w:rPr>
              <w:t>2-3</w:t>
            </w:r>
            <w:r>
              <w:rPr>
                <w:rFonts w:hint="eastAsia" w:asciiTheme="minorEastAsia" w:hAnsiTheme="minorEastAsia" w:eastAsiaTheme="minorEastAsia"/>
                <w:color w:val="auto"/>
                <w:szCs w:val="22"/>
                <w:highlight w:val="none"/>
              </w:rPr>
              <w:t>分，基本提供的得</w:t>
            </w:r>
            <w:r>
              <w:rPr>
                <w:rFonts w:hint="eastAsia" w:asciiTheme="minorEastAsia" w:hAnsiTheme="minorEastAsia" w:eastAsiaTheme="minorEastAsia"/>
                <w:color w:val="auto"/>
                <w:szCs w:val="22"/>
                <w:highlight w:val="none"/>
                <w:lang w:val="en-US" w:eastAsia="zh-CN"/>
              </w:rPr>
              <w:t>1-2</w:t>
            </w:r>
            <w:r>
              <w:rPr>
                <w:rFonts w:hint="eastAsia" w:asciiTheme="minorEastAsia" w:hAnsiTheme="minorEastAsia" w:eastAsiaTheme="minorEastAsia"/>
                <w:color w:val="auto"/>
                <w:szCs w:val="22"/>
                <w:highlight w:val="none"/>
              </w:rPr>
              <w:t>分，未描述的得0分。</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en-US" w:eastAsia="zh-CN"/>
              </w:rPr>
              <w:t>7</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hint="eastAsia" w:cs="Times New Roman" w:asciiTheme="minorEastAsia" w:hAnsiTheme="minorEastAsia" w:eastAsiaTheme="minorEastAsia"/>
                <w:color w:val="auto"/>
                <w:szCs w:val="22"/>
                <w:highlight w:val="none"/>
                <w:lang w:val="zh-CN" w:eastAsia="zh-CN"/>
              </w:rPr>
            </w:pPr>
            <w:r>
              <w:rPr>
                <w:rFonts w:hint="eastAsia" w:cs="Times New Roman" w:asciiTheme="minorEastAsia" w:hAnsiTheme="minorEastAsia" w:eastAsiaTheme="minorEastAsia"/>
                <w:color w:val="auto"/>
                <w:szCs w:val="22"/>
                <w:highlight w:val="none"/>
                <w:lang w:val="zh-CN" w:eastAsia="zh-CN"/>
              </w:rPr>
              <w:t>根据投标人提供的售后服务方案</w:t>
            </w:r>
            <w:r>
              <w:rPr>
                <w:rFonts w:hint="eastAsia" w:cs="Times New Roman" w:asciiTheme="minorEastAsia" w:hAnsiTheme="minorEastAsia" w:eastAsiaTheme="minorEastAsia"/>
                <w:color w:val="auto"/>
                <w:szCs w:val="22"/>
                <w:highlight w:val="none"/>
                <w:lang w:val="en-US" w:eastAsia="zh-CN"/>
              </w:rPr>
              <w:t>0-2分；</w:t>
            </w:r>
            <w:r>
              <w:rPr>
                <w:rFonts w:hint="eastAsia" w:cs="Times New Roman" w:asciiTheme="minorEastAsia" w:hAnsiTheme="minorEastAsia" w:eastAsiaTheme="minorEastAsia"/>
                <w:color w:val="auto"/>
                <w:szCs w:val="22"/>
                <w:highlight w:val="none"/>
                <w:lang w:val="zh-CN" w:eastAsia="zh-CN"/>
              </w:rPr>
              <w:t>服务响应时间</w:t>
            </w:r>
            <w:r>
              <w:rPr>
                <w:rFonts w:hint="eastAsia" w:cs="Times New Roman" w:asciiTheme="minorEastAsia" w:hAnsiTheme="minorEastAsia" w:eastAsiaTheme="minorEastAsia"/>
                <w:color w:val="auto"/>
                <w:szCs w:val="22"/>
                <w:highlight w:val="none"/>
                <w:lang w:val="en-US" w:eastAsia="zh-CN"/>
              </w:rPr>
              <w:t>0-2分；</w:t>
            </w:r>
            <w:r>
              <w:rPr>
                <w:rFonts w:hint="eastAsia" w:cs="Times New Roman" w:asciiTheme="minorEastAsia" w:hAnsiTheme="minorEastAsia" w:eastAsiaTheme="minorEastAsia"/>
                <w:color w:val="auto"/>
                <w:szCs w:val="22"/>
                <w:highlight w:val="none"/>
                <w:lang w:val="zh-CN" w:eastAsia="zh-CN"/>
              </w:rPr>
              <w:t>售后服务承诺的可行性、完整性以及服务承诺落实的保障措施</w:t>
            </w:r>
            <w:r>
              <w:rPr>
                <w:rFonts w:hint="eastAsia" w:cs="Times New Roman" w:asciiTheme="minorEastAsia" w:hAnsiTheme="minorEastAsia" w:eastAsiaTheme="minorEastAsia"/>
                <w:color w:val="auto"/>
                <w:szCs w:val="22"/>
                <w:highlight w:val="none"/>
                <w:lang w:val="en-US" w:eastAsia="zh-CN"/>
              </w:rPr>
              <w:t>0-2分；</w:t>
            </w:r>
            <w:r>
              <w:rPr>
                <w:rFonts w:hint="eastAsia" w:cs="Times New Roman" w:asciiTheme="minorEastAsia" w:hAnsiTheme="minorEastAsia" w:eastAsiaTheme="minorEastAsia"/>
                <w:color w:val="auto"/>
                <w:szCs w:val="22"/>
                <w:highlight w:val="none"/>
                <w:lang w:val="zh-CN" w:eastAsia="zh-CN"/>
              </w:rPr>
              <w:t>在项目实施有效期内的后续技术支持能力</w:t>
            </w:r>
            <w:r>
              <w:rPr>
                <w:rFonts w:hint="eastAsia" w:cs="Times New Roman" w:asciiTheme="minorEastAsia" w:hAnsiTheme="minorEastAsia" w:eastAsiaTheme="minorEastAsia"/>
                <w:color w:val="auto"/>
                <w:szCs w:val="22"/>
                <w:highlight w:val="none"/>
                <w:lang w:val="en-US" w:eastAsia="zh-CN"/>
              </w:rPr>
              <w:t>0-2分</w:t>
            </w:r>
            <w:r>
              <w:rPr>
                <w:rFonts w:hint="eastAsia" w:cs="Times New Roman" w:asciiTheme="minorEastAsia" w:hAnsiTheme="minorEastAsia" w:eastAsiaTheme="minorEastAsia"/>
                <w:color w:val="auto"/>
                <w:szCs w:val="22"/>
                <w:highlight w:val="none"/>
                <w:lang w:val="zh-CN" w:eastAsia="zh-CN"/>
              </w:rPr>
              <w:t>。</w:t>
            </w:r>
          </w:p>
          <w:p>
            <w:pPr>
              <w:snapToGrid w:val="0"/>
              <w:spacing w:line="360" w:lineRule="auto"/>
              <w:jc w:val="left"/>
              <w:rPr>
                <w:rFonts w:asciiTheme="minorEastAsia" w:hAnsiTheme="minorEastAsia" w:eastAsiaTheme="minorEastAsia"/>
                <w:color w:val="auto"/>
                <w:szCs w:val="22"/>
                <w:highlight w:val="none"/>
              </w:rPr>
            </w:pPr>
            <w:r>
              <w:rPr>
                <w:rFonts w:hint="eastAsia" w:ascii="宋体" w:hAnsi="宋体" w:cs="宋体" w:eastAsiaTheme="minorEastAsia"/>
                <w:color w:val="auto"/>
                <w:kern w:val="0"/>
                <w:szCs w:val="21"/>
                <w:highlight w:val="none"/>
                <w:lang w:val="en-US" w:eastAsia="zh-CN"/>
              </w:rPr>
              <w:t>（每项0-2分，其中内容完整有效的得1-2分，内容基本完整有效的得1分，未描述的得0分）</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en-US" w:eastAsia="zh-CN"/>
              </w:rPr>
              <w:t>8</w:t>
            </w:r>
          </w:p>
        </w:tc>
        <w:tc>
          <w:tcPr>
            <w:tcW w:w="1486" w:type="dxa"/>
            <w:vMerge w:val="restart"/>
            <w:vAlign w:val="center"/>
          </w:tcPr>
          <w:p>
            <w:pPr>
              <w:pStyle w:val="95"/>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质量保证方案（</w:t>
            </w:r>
            <w:r>
              <w:rPr>
                <w:rFonts w:hint="eastAsia" w:asciiTheme="minorEastAsia" w:hAnsiTheme="minorEastAsia" w:eastAsiaTheme="minorEastAsia"/>
                <w:b/>
                <w:bCs/>
                <w:color w:val="auto"/>
                <w:highlight w:val="none"/>
                <w:lang w:val="en-US" w:eastAsia="zh-CN"/>
              </w:rPr>
              <w:t>8</w:t>
            </w:r>
            <w:r>
              <w:rPr>
                <w:rFonts w:hint="eastAsia" w:asciiTheme="minorEastAsia" w:hAnsiTheme="minorEastAsia" w:eastAsiaTheme="minorEastAsia"/>
                <w:b/>
                <w:bCs/>
                <w:color w:val="auto"/>
                <w:highlight w:val="none"/>
              </w:rPr>
              <w:t>分）</w:t>
            </w:r>
          </w:p>
        </w:tc>
        <w:tc>
          <w:tcPr>
            <w:tcW w:w="5062" w:type="dxa"/>
            <w:vAlign w:val="center"/>
          </w:tcPr>
          <w:p>
            <w:pPr>
              <w:snapToGrid w:val="0"/>
              <w:spacing w:line="360" w:lineRule="auto"/>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根据投标人提供的保证项目质量的技术力量，针对性强、科学合理的得</w:t>
            </w:r>
            <w:r>
              <w:rPr>
                <w:rFonts w:hint="eastAsia" w:asciiTheme="minorEastAsia" w:hAnsiTheme="minorEastAsia" w:eastAsiaTheme="minorEastAsia"/>
                <w:color w:val="auto"/>
                <w:szCs w:val="22"/>
                <w:highlight w:val="none"/>
                <w:lang w:val="en-US" w:eastAsia="zh-CN"/>
              </w:rPr>
              <w:t>2-4</w:t>
            </w:r>
            <w:r>
              <w:rPr>
                <w:rFonts w:hint="eastAsia" w:asciiTheme="minorEastAsia" w:hAnsiTheme="minorEastAsia" w:eastAsiaTheme="minorEastAsia"/>
                <w:color w:val="auto"/>
                <w:szCs w:val="22"/>
                <w:highlight w:val="none"/>
              </w:rPr>
              <w:t>分，基本合理的</w:t>
            </w:r>
            <w:r>
              <w:rPr>
                <w:rFonts w:hint="eastAsia" w:asciiTheme="minorEastAsia" w:hAnsiTheme="minorEastAsia" w:eastAsiaTheme="minorEastAsia"/>
                <w:color w:val="auto"/>
                <w:szCs w:val="22"/>
                <w:highlight w:val="none"/>
                <w:lang w:val="en-US" w:eastAsia="zh-CN"/>
              </w:rPr>
              <w:t>1-2分</w:t>
            </w:r>
            <w:r>
              <w:rPr>
                <w:rFonts w:hint="eastAsia" w:asciiTheme="minorEastAsia" w:hAnsiTheme="minorEastAsia" w:eastAsiaTheme="minorEastAsia"/>
                <w:color w:val="auto"/>
                <w:szCs w:val="22"/>
                <w:highlight w:val="none"/>
              </w:rPr>
              <w:t>，未提供的</w:t>
            </w:r>
            <w:r>
              <w:rPr>
                <w:rFonts w:hint="eastAsia" w:asciiTheme="minorEastAsia" w:hAnsiTheme="minorEastAsia" w:eastAsiaTheme="minorEastAsia"/>
                <w:color w:val="auto"/>
                <w:szCs w:val="22"/>
                <w:highlight w:val="none"/>
                <w:lang w:val="en-US" w:eastAsia="zh-CN"/>
              </w:rPr>
              <w:t>得0分</w:t>
            </w:r>
            <w:r>
              <w:rPr>
                <w:rFonts w:hint="eastAsia" w:asciiTheme="minorEastAsia" w:hAnsiTheme="minorEastAsia" w:eastAsiaTheme="minorEastAsia"/>
                <w:color w:val="auto"/>
                <w:szCs w:val="22"/>
                <w:highlight w:val="none"/>
              </w:rPr>
              <w:t>。</w:t>
            </w:r>
          </w:p>
        </w:tc>
        <w:tc>
          <w:tcPr>
            <w:tcW w:w="850" w:type="dxa"/>
            <w:vAlign w:val="center"/>
          </w:tcPr>
          <w:p>
            <w:pPr>
              <w:snapToGrid w:val="0"/>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en-US" w:eastAsia="zh-CN"/>
              </w:rPr>
              <w:t>9</w:t>
            </w:r>
          </w:p>
        </w:tc>
        <w:tc>
          <w:tcPr>
            <w:tcW w:w="1486" w:type="dxa"/>
            <w:vMerge w:val="continue"/>
            <w:vAlign w:val="center"/>
          </w:tcPr>
          <w:p>
            <w:pPr>
              <w:pStyle w:val="95"/>
              <w:spacing w:line="360" w:lineRule="auto"/>
              <w:rPr>
                <w:rFonts w:asciiTheme="minorEastAsia" w:hAnsiTheme="minorEastAsia" w:eastAsiaTheme="minorEastAsia"/>
                <w:color w:val="auto"/>
                <w:highlight w:val="none"/>
              </w:rPr>
            </w:pPr>
          </w:p>
        </w:tc>
        <w:tc>
          <w:tcPr>
            <w:tcW w:w="5062" w:type="dxa"/>
            <w:vAlign w:val="center"/>
          </w:tcPr>
          <w:p>
            <w:pPr>
              <w:snapToGrid w:val="0"/>
              <w:spacing w:line="360" w:lineRule="auto"/>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根据投标人提供的拟投入的应急方案</w:t>
            </w: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lang w:val="en-US" w:eastAsia="zh-CN"/>
              </w:rPr>
              <w:t>包含自然灾害等</w:t>
            </w:r>
            <w:r>
              <w:rPr>
                <w:rFonts w:hint="eastAsia"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2"/>
                <w:highlight w:val="none"/>
              </w:rPr>
              <w:t>方面进行评审，针对性强、科学合理的得</w:t>
            </w:r>
            <w:r>
              <w:rPr>
                <w:rFonts w:hint="eastAsia" w:asciiTheme="minorEastAsia" w:hAnsiTheme="minorEastAsia" w:eastAsiaTheme="minorEastAsia"/>
                <w:color w:val="auto"/>
                <w:szCs w:val="22"/>
                <w:highlight w:val="none"/>
                <w:lang w:val="en-US" w:eastAsia="zh-CN"/>
              </w:rPr>
              <w:t>2-4</w:t>
            </w:r>
            <w:r>
              <w:rPr>
                <w:rFonts w:hint="eastAsia" w:asciiTheme="minorEastAsia" w:hAnsiTheme="minorEastAsia" w:eastAsiaTheme="minorEastAsia"/>
                <w:color w:val="auto"/>
                <w:szCs w:val="22"/>
                <w:highlight w:val="none"/>
              </w:rPr>
              <w:t>分，基本合理的</w:t>
            </w:r>
            <w:r>
              <w:rPr>
                <w:rFonts w:hint="eastAsia" w:asciiTheme="minorEastAsia" w:hAnsiTheme="minorEastAsia" w:eastAsiaTheme="minorEastAsia"/>
                <w:color w:val="auto"/>
                <w:szCs w:val="22"/>
                <w:highlight w:val="none"/>
                <w:lang w:val="en-US" w:eastAsia="zh-CN"/>
              </w:rPr>
              <w:t>1-2分</w:t>
            </w:r>
            <w:r>
              <w:rPr>
                <w:rFonts w:hint="eastAsia" w:asciiTheme="minorEastAsia" w:hAnsiTheme="minorEastAsia" w:eastAsiaTheme="minorEastAsia"/>
                <w:color w:val="auto"/>
                <w:szCs w:val="22"/>
                <w:highlight w:val="none"/>
              </w:rPr>
              <w:t>，未提供的</w:t>
            </w:r>
            <w:r>
              <w:rPr>
                <w:rFonts w:hint="eastAsia" w:asciiTheme="minorEastAsia" w:hAnsiTheme="minorEastAsia" w:eastAsiaTheme="minorEastAsia"/>
                <w:color w:val="auto"/>
                <w:szCs w:val="22"/>
                <w:highlight w:val="none"/>
                <w:lang w:val="en-US" w:eastAsia="zh-CN"/>
              </w:rPr>
              <w:t>得0分</w:t>
            </w:r>
            <w:r>
              <w:rPr>
                <w:rFonts w:hint="eastAsia" w:asciiTheme="minorEastAsia" w:hAnsiTheme="minorEastAsia" w:eastAsiaTheme="minorEastAsia"/>
                <w:color w:val="auto"/>
                <w:szCs w:val="22"/>
                <w:highlight w:val="none"/>
              </w:rPr>
              <w:t>。</w:t>
            </w:r>
          </w:p>
        </w:tc>
        <w:tc>
          <w:tcPr>
            <w:tcW w:w="850" w:type="dxa"/>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20</w:t>
            </w:r>
          </w:p>
        </w:tc>
        <w:tc>
          <w:tcPr>
            <w:tcW w:w="1486" w:type="dxa"/>
            <w:vAlign w:val="center"/>
          </w:tcPr>
          <w:p>
            <w:pPr>
              <w:pStyle w:val="95"/>
              <w:spacing w:line="360" w:lineRule="auto"/>
              <w:rPr>
                <w:rFonts w:hint="default" w:asciiTheme="minorEastAsia" w:hAnsiTheme="minorEastAsia" w:eastAsiaTheme="minorEastAsia"/>
                <w:color w:val="auto"/>
                <w:highlight w:val="none"/>
                <w:lang w:val="en-US" w:eastAsia="zh-CN"/>
              </w:rPr>
            </w:pPr>
            <w:r>
              <w:rPr>
                <w:rFonts w:hint="eastAsia" w:cs="Times New Roman" w:asciiTheme="minorEastAsia" w:hAnsiTheme="minorEastAsia" w:eastAsiaTheme="minorEastAsia"/>
                <w:b/>
                <w:bCs/>
                <w:color w:val="auto"/>
                <w:highlight w:val="none"/>
                <w:lang w:val="en-US" w:eastAsia="zh-CN"/>
              </w:rPr>
              <w:t>合理化建议及措施（3分）</w:t>
            </w:r>
          </w:p>
        </w:tc>
        <w:tc>
          <w:tcPr>
            <w:tcW w:w="5062" w:type="dxa"/>
            <w:vAlign w:val="center"/>
          </w:tcPr>
          <w:p>
            <w:pPr>
              <w:snapToGrid w:val="0"/>
              <w:spacing w:line="360" w:lineRule="auto"/>
              <w:jc w:val="left"/>
              <w:rPr>
                <w:rFonts w:hint="default"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针对本项目投标人具有合理化建议及解决措施的，评标委员会根据可行性、有效性打分，每采纳一条得1分，本项最高得3分</w:t>
            </w:r>
          </w:p>
        </w:tc>
        <w:tc>
          <w:tcPr>
            <w:tcW w:w="850" w:type="dxa"/>
            <w:vAlign w:val="center"/>
          </w:tcPr>
          <w:p>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p>
        </w:tc>
        <w:tc>
          <w:tcPr>
            <w:tcW w:w="913" w:type="dxa"/>
            <w:vAlign w:val="center"/>
          </w:tcPr>
          <w:p>
            <w:pPr>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bl>
    <w:p>
      <w:pPr>
        <w:rPr>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注：评标委员会独立打分，保留小数点后2位小数，所有有效评分的平均分作为对应投标人的技术资信得分。</w:t>
      </w:r>
      <w:r>
        <w:rPr>
          <w:rFonts w:hint="eastAsia" w:hAnsi="宋体"/>
          <w:bCs/>
          <w:color w:val="auto"/>
          <w:szCs w:val="21"/>
          <w:highlight w:val="none"/>
        </w:rPr>
        <w:t>建议在制作投标书时，在目录后附一个评分索引表，方便查找。</w:t>
      </w: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158"/>
        <w:ind w:right="42" w:rightChars="20"/>
        <w:rPr>
          <w:rFonts w:asciiTheme="minorEastAsia" w:hAnsiTheme="minorEastAsia" w:eastAsiaTheme="minorEastAsia"/>
          <w:color w:val="auto"/>
          <w:highlight w:val="none"/>
        </w:rPr>
      </w:pPr>
      <w:r>
        <w:rPr>
          <w:rStyle w:val="64"/>
          <w:rFonts w:hint="eastAsia" w:cs="微软雅黑" w:asciiTheme="minorEastAsia" w:hAnsiTheme="minorEastAsia" w:eastAsiaTheme="minorEastAsia"/>
          <w:b w:val="0"/>
          <w:color w:val="auto"/>
          <w:highlight w:val="none"/>
        </w:rPr>
        <w:t>第五章  政府采购合同</w:t>
      </w:r>
      <w:bookmarkEnd w:id="287"/>
      <w:bookmarkEnd w:id="288"/>
      <w:bookmarkEnd w:id="289"/>
      <w:bookmarkEnd w:id="290"/>
    </w:p>
    <w:p>
      <w:pPr>
        <w:pStyle w:val="34"/>
        <w:spacing w:before="0" w:after="0" w:line="360" w:lineRule="auto"/>
        <w:ind w:right="42" w:rightChars="20" w:firstLine="422" w:firstLineChars="200"/>
        <w:outlineLvl w:val="0"/>
        <w:rPr>
          <w:rFonts w:asciiTheme="minorEastAsia" w:hAnsiTheme="minorEastAsia" w:eastAsiaTheme="minorEastAsia"/>
          <w:color w:val="auto"/>
          <w:sz w:val="21"/>
          <w:szCs w:val="21"/>
          <w:highlight w:val="none"/>
        </w:rPr>
      </w:pPr>
      <w:bookmarkStart w:id="291" w:name="_Toc416422466"/>
      <w:bookmarkStart w:id="292" w:name="_Toc427915780"/>
      <w:bookmarkStart w:id="293" w:name="_Toc417992897"/>
      <w:bookmarkStart w:id="294" w:name="_Toc416422801"/>
      <w:bookmarkStart w:id="295" w:name="_Toc493511827"/>
      <w:bookmarkStart w:id="296" w:name="_Toc50012906"/>
      <w:bookmarkStart w:id="297" w:name="_Toc24052"/>
      <w:r>
        <w:rPr>
          <w:rFonts w:hint="eastAsia" w:asciiTheme="minorEastAsia" w:hAnsiTheme="minorEastAsia" w:eastAsiaTheme="minorEastAsia"/>
          <w:color w:val="auto"/>
          <w:sz w:val="21"/>
          <w:szCs w:val="21"/>
          <w:highlight w:val="none"/>
        </w:rPr>
        <w:t>政府采购合同</w:t>
      </w:r>
      <w:bookmarkEnd w:id="291"/>
      <w:bookmarkEnd w:id="292"/>
      <w:bookmarkEnd w:id="293"/>
      <w:bookmarkEnd w:id="294"/>
      <w:bookmarkEnd w:id="295"/>
      <w:bookmarkEnd w:id="296"/>
      <w:bookmarkEnd w:id="297"/>
    </w:p>
    <w:p>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一、通用必备条款部份</w:t>
      </w:r>
    </w:p>
    <w:p>
      <w:pPr>
        <w:pStyle w:val="25"/>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合同</w:t>
      </w:r>
      <w:r>
        <w:rPr>
          <w:rFonts w:asciiTheme="minorEastAsia" w:hAnsiTheme="minorEastAsia" w:eastAsiaTheme="minorEastAsia"/>
          <w:b/>
          <w:color w:val="auto"/>
          <w:szCs w:val="21"/>
          <w:highlight w:val="none"/>
        </w:rPr>
        <w:t>编号：</w:t>
      </w:r>
    </w:p>
    <w:p>
      <w:pPr>
        <w:pStyle w:val="25"/>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 xml:space="preserve">政府采购计划（预算）确认号： </w:t>
      </w:r>
      <w:r>
        <w:rPr>
          <w:rFonts w:hint="eastAsia" w:asciiTheme="minorEastAsia" w:hAnsiTheme="minorEastAsia" w:eastAsiaTheme="minorEastAsia"/>
          <w:b/>
          <w:color w:val="auto"/>
          <w:szCs w:val="21"/>
          <w:highlight w:val="none"/>
        </w:rPr>
        <w:fldChar w:fldCharType="begin"/>
      </w:r>
      <w:r>
        <w:rPr>
          <w:rFonts w:hint="eastAsia" w:asciiTheme="minorEastAsia" w:hAnsiTheme="minorEastAsia" w:eastAsiaTheme="minorEastAsia"/>
          <w:b/>
          <w:color w:val="auto"/>
          <w:szCs w:val="21"/>
          <w:highlight w:val="none"/>
        </w:rPr>
        <w:instrText xml:space="preserve"> HYPERLINK "https://pay.zcygov.cn/purchaseplan_front/" \l "/plan/list/detail?id=1000000000013125589&amp;encrypt=0aea1e0c082e9100146fb553f668db62&amp;_app_=zcy.procurement" \o "临[2024]9号" \t "https://www.zcygov.cn/bid-inviting/_procurement_/purchaseFileMake/announcementInfo/_blank" </w:instrText>
      </w:r>
      <w:r>
        <w:rPr>
          <w:rFonts w:hint="eastAsia" w:asciiTheme="minorEastAsia" w:hAnsiTheme="minorEastAsia" w:eastAsiaTheme="minorEastAsia"/>
          <w:b/>
          <w:color w:val="auto"/>
          <w:szCs w:val="21"/>
          <w:highlight w:val="none"/>
        </w:rPr>
        <w:fldChar w:fldCharType="separate"/>
      </w:r>
      <w:r>
        <w:rPr>
          <w:rFonts w:hint="eastAsia" w:asciiTheme="minorEastAsia" w:hAnsiTheme="minorEastAsia" w:eastAsiaTheme="minorEastAsia"/>
          <w:b/>
          <w:color w:val="auto"/>
          <w:szCs w:val="21"/>
          <w:highlight w:val="none"/>
        </w:rPr>
        <w:t>临[2024]9号</w:t>
      </w:r>
      <w:r>
        <w:rPr>
          <w:rFonts w:hint="eastAsia" w:asciiTheme="minorEastAsia" w:hAnsiTheme="minorEastAsia" w:eastAsiaTheme="minorEastAsia"/>
          <w:b/>
          <w:color w:val="auto"/>
          <w:szCs w:val="21"/>
          <w:highlight w:val="none"/>
        </w:rPr>
        <w:fldChar w:fldCharType="end"/>
      </w:r>
    </w:p>
    <w:p>
      <w:pPr>
        <w:pStyle w:val="25"/>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预算金额</w:t>
      </w:r>
      <w:r>
        <w:rPr>
          <w:rFonts w:hint="eastAsia" w:asciiTheme="minorEastAsia" w:hAnsiTheme="minorEastAsia" w:eastAsiaTheme="minorEastAsia"/>
          <w:color w:val="auto"/>
          <w:szCs w:val="21"/>
          <w:highlight w:val="none"/>
        </w:rPr>
        <w:t xml:space="preserve">： </w:t>
      </w:r>
    </w:p>
    <w:p>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采购人（以下称甲方）：</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投标人（以下称乙方）：</w:t>
      </w:r>
    </w:p>
    <w:p>
      <w:pPr>
        <w:pStyle w:val="25"/>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采购代理机构：</w:t>
      </w:r>
    </w:p>
    <w:p>
      <w:pPr>
        <w:pStyle w:val="25"/>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Tahoma" w:asciiTheme="minorEastAsia" w:hAnsiTheme="minorEastAsia" w:eastAsiaTheme="minorEastAsia"/>
          <w:bCs/>
          <w:color w:val="auto"/>
          <w:kern w:val="36"/>
          <w:szCs w:val="21"/>
          <w:highlight w:val="none"/>
        </w:rPr>
        <w:t>项目</w:t>
      </w:r>
      <w:r>
        <w:rPr>
          <w:rFonts w:hint="eastAsia" w:asciiTheme="minorEastAsia" w:hAnsiTheme="minorEastAsia" w:eastAsiaTheme="minorEastAsia"/>
          <w:color w:val="auto"/>
          <w:szCs w:val="21"/>
          <w:highlight w:val="none"/>
        </w:rPr>
        <w:t>采购结果签订本合同。</w:t>
      </w:r>
    </w:p>
    <w:p>
      <w:pPr>
        <w:shd w:val="clear" w:color="auto" w:fill="FFFFFF"/>
        <w:tabs>
          <w:tab w:val="left" w:pos="916"/>
          <w:tab w:val="left" w:pos="1832"/>
          <w:tab w:val="left" w:pos="2748"/>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第一条 合同组成</w:t>
      </w:r>
      <w:r>
        <w:rPr>
          <w:rFonts w:asciiTheme="minorEastAsia" w:hAnsiTheme="minorEastAsia" w:eastAsiaTheme="minorEastAsia"/>
          <w:b/>
          <w:color w:val="auto"/>
          <w:szCs w:val="21"/>
          <w:highlight w:val="none"/>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2、采购文件与采购投标文件；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第二条 合同标的与相关属性</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1、本次采购的是</w:t>
      </w:r>
      <w:r>
        <w:rPr>
          <w:rFonts w:hint="eastAsia" w:asciiTheme="minorEastAsia" w:hAnsiTheme="minorEastAsia" w:eastAsiaTheme="minorEastAsia"/>
          <w:color w:val="auto"/>
          <w:szCs w:val="21"/>
          <w:highlight w:val="none"/>
          <w:u w:val="single"/>
        </w:rPr>
        <w:t xml:space="preserve">                    </w:t>
      </w:r>
      <w:r>
        <w:rPr>
          <w:rFonts w:hint="eastAsia" w:cs="Tahoma" w:asciiTheme="minorEastAsia" w:hAnsiTheme="minorEastAsia" w:eastAsiaTheme="minorEastAsia"/>
          <w:bCs/>
          <w:color w:val="auto"/>
          <w:kern w:val="36"/>
          <w:szCs w:val="21"/>
          <w:highlight w:val="none"/>
        </w:rPr>
        <w:t>项目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1、本合同项下总价款为（大写）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人民币，分项价款见“价格清单”（如有）”。</w:t>
      </w:r>
    </w:p>
    <w:p>
      <w:pPr>
        <w:widowControl/>
        <w:spacing w:line="460" w:lineRule="exact"/>
        <w:ind w:right="42" w:rightChars="20"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2、本合同总价款含所有 (</w:t>
      </w:r>
      <w:r>
        <w:rPr>
          <w:rFonts w:hint="eastAsia" w:asciiTheme="minorEastAsia" w:hAnsiTheme="minorEastAsia" w:eastAsiaTheme="minorEastAsia"/>
          <w:b/>
          <w:color w:val="auto"/>
          <w:szCs w:val="21"/>
          <w:highlight w:val="none"/>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r>
        <w:rPr>
          <w:rFonts w:hint="eastAsia" w:asciiTheme="minorEastAsia" w:hAnsiTheme="minorEastAsia" w:eastAsiaTheme="minorEastAsia"/>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3、本合同付款方式为以下第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（1）本合同项下的采购资金系甲方自行支付，付款程序为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（2）本合同项下的采购资金须财政直接支付，付款程序为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（3）其他方式：</w:t>
      </w:r>
      <w:r>
        <w:rPr>
          <w:rFonts w:hint="eastAsia" w:asciiTheme="minorEastAsia" w:hAnsiTheme="minorEastAsia" w:eastAsiaTheme="minorEastAsia"/>
          <w:color w:val="auto"/>
          <w:szCs w:val="21"/>
          <w:highlight w:val="none"/>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4、本合同项下的采购资金付款进度按招投标文件规定，未规定时按以下第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（1）一次性付款：乙方合同履行达到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（2）分期付款</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时支付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1、本项目设置履约保证金，乙方应于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（时间）向甲方提交履约保证金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元（不得高于本合同金额的1%）。履约保证金在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（2）向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本合同一式五份，甲乙双方各执二份，一份送招标代理机构存档。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二、特殊专用条款部份</w:t>
      </w:r>
    </w:p>
    <w:p>
      <w:pPr>
        <w:numPr>
          <w:ilvl w:val="0"/>
          <w:numId w:val="10"/>
        </w:numPr>
        <w:autoSpaceDE w:val="0"/>
        <w:autoSpaceDN w:val="0"/>
        <w:adjustRightInd w:val="0"/>
        <w:spacing w:line="360" w:lineRule="auto"/>
        <w:ind w:left="0" w:right="42" w:rightChars="20" w:firstLine="422" w:firstLineChars="200"/>
        <w:jc w:val="left"/>
        <w:rPr>
          <w:rFonts w:asciiTheme="minorEastAsia" w:hAnsiTheme="minorEastAsia" w:eastAsiaTheme="minorEastAsia"/>
          <w:b/>
          <w:color w:val="auto"/>
          <w:kern w:val="36"/>
          <w:szCs w:val="21"/>
          <w:highlight w:val="none"/>
        </w:rPr>
      </w:pPr>
      <w:r>
        <w:rPr>
          <w:rFonts w:hint="eastAsia" w:asciiTheme="minorEastAsia" w:hAnsiTheme="minorEastAsia" w:eastAsiaTheme="minorEastAsia"/>
          <w:b/>
          <w:color w:val="auto"/>
          <w:kern w:val="36"/>
          <w:szCs w:val="21"/>
          <w:highlight w:val="none"/>
        </w:rPr>
        <w:t>服务内容</w:t>
      </w:r>
    </w:p>
    <w:p>
      <w:pPr>
        <w:autoSpaceDE w:val="0"/>
        <w:autoSpaceDN w:val="0"/>
        <w:adjustRightInd w:val="0"/>
        <w:spacing w:line="360" w:lineRule="auto"/>
        <w:ind w:right="42" w:rightChars="20" w:firstLine="422" w:firstLineChars="200"/>
        <w:jc w:val="left"/>
        <w:rPr>
          <w:rFonts w:asciiTheme="minorEastAsia" w:hAnsiTheme="minorEastAsia" w:eastAsiaTheme="minorEastAsia"/>
          <w:b/>
          <w:color w:val="auto"/>
          <w:kern w:val="36"/>
          <w:szCs w:val="21"/>
          <w:highlight w:val="none"/>
        </w:rPr>
      </w:pPr>
      <w:r>
        <w:rPr>
          <w:rFonts w:asciiTheme="minorEastAsia" w:hAnsiTheme="minorEastAsia" w:eastAsiaTheme="minorEastAsia"/>
          <w:b/>
          <w:color w:val="auto"/>
          <w:kern w:val="36"/>
          <w:szCs w:val="21"/>
          <w:highlight w:val="none"/>
        </w:rPr>
        <w:t>……</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第二条 </w:t>
      </w:r>
      <w:r>
        <w:rPr>
          <w:rFonts w:asciiTheme="minorEastAsia" w:hAnsiTheme="minorEastAsia" w:eastAsiaTheme="minorEastAsia"/>
          <w:b/>
          <w:color w:val="auto"/>
          <w:szCs w:val="21"/>
          <w:highlight w:val="none"/>
        </w:rPr>
        <w:t>合同履行时间、履行方式及履行地点</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履行时间</w:t>
      </w:r>
      <w:r>
        <w:rPr>
          <w:rFonts w:asciiTheme="minorEastAsia" w:hAnsiTheme="minorEastAsia" w:eastAsiaTheme="minorEastAsia"/>
          <w:bCs/>
          <w:color w:val="auto"/>
          <w:szCs w:val="21"/>
          <w:highlight w:val="none"/>
        </w:rPr>
        <w:t>：</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履行方式</w:t>
      </w:r>
      <w:r>
        <w:rPr>
          <w:rFonts w:asciiTheme="minorEastAsia" w:hAnsiTheme="minorEastAsia" w:eastAsiaTheme="minorEastAsia"/>
          <w:bCs/>
          <w:color w:val="auto"/>
          <w:szCs w:val="21"/>
          <w:highlight w:val="none"/>
        </w:rPr>
        <w:t>：</w:t>
      </w:r>
    </w:p>
    <w:p>
      <w:pPr>
        <w:pStyle w:val="25"/>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履行地点</w:t>
      </w:r>
      <w:r>
        <w:rPr>
          <w:rFonts w:asciiTheme="minorEastAsia" w:hAnsiTheme="minorEastAsia" w:eastAsiaTheme="minorEastAsia"/>
          <w:bCs/>
          <w:color w:val="auto"/>
          <w:szCs w:val="21"/>
          <w:highlight w:val="none"/>
        </w:rPr>
        <w:t>：</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技术资料</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四</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知识产权</w:t>
      </w:r>
    </w:p>
    <w:p>
      <w:pPr>
        <w:pStyle w:val="25"/>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乙方应保证提供服务过程中不会侵犯任何第三方的</w:t>
      </w:r>
      <w:r>
        <w:rPr>
          <w:rFonts w:asciiTheme="minorEastAsia" w:hAnsiTheme="minorEastAsia" w:eastAsiaTheme="minorEastAsia"/>
          <w:b/>
          <w:color w:val="auto"/>
          <w:szCs w:val="21"/>
          <w:highlight w:val="none"/>
        </w:rPr>
        <w:t>知识产权</w:t>
      </w:r>
      <w:r>
        <w:rPr>
          <w:rFonts w:asciiTheme="minorEastAsia" w:hAnsiTheme="minorEastAsia" w:eastAsiaTheme="minorEastAsia"/>
          <w:b/>
          <w:bCs/>
          <w:color w:val="auto"/>
          <w:szCs w:val="21"/>
          <w:highlight w:val="none"/>
        </w:rPr>
        <w:t>。</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第五条 </w:t>
      </w:r>
      <w:r>
        <w:rPr>
          <w:rFonts w:asciiTheme="minorEastAsia" w:hAnsiTheme="minorEastAsia" w:eastAsiaTheme="minorEastAsia"/>
          <w:b/>
          <w:color w:val="auto"/>
          <w:szCs w:val="21"/>
          <w:highlight w:val="none"/>
        </w:rPr>
        <w:t>履约保证金</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税费</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第七条 </w:t>
      </w:r>
      <w:r>
        <w:rPr>
          <w:rFonts w:asciiTheme="minorEastAsia" w:hAnsiTheme="minorEastAsia" w:eastAsiaTheme="minorEastAsia"/>
          <w:b/>
          <w:color w:val="auto"/>
          <w:szCs w:val="21"/>
          <w:highlight w:val="none"/>
        </w:rPr>
        <w:t>违约责任</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甲方无正当理由拒收接受服务的，甲方向乙方偿付合同款项百分之五作为违约金。</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甲方无故逾期验收和办理款项支付手续的,甲方应按逾期付款总额每日万分之五向乙方支付违约金。</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期提供服务的，每日向甲方支付</w:t>
      </w:r>
      <w:r>
        <w:rPr>
          <w:rFonts w:hint="eastAsia" w:asciiTheme="minorEastAsia" w:hAnsiTheme="minorEastAsia" w:eastAsiaTheme="minorEastAsia"/>
          <w:color w:val="auto"/>
          <w:szCs w:val="21"/>
          <w:highlight w:val="none"/>
        </w:rPr>
        <w:t>合同款项的</w:t>
      </w:r>
      <w:r>
        <w:rPr>
          <w:rFonts w:asciiTheme="minorEastAsia" w:hAnsiTheme="minorEastAsia" w:eastAsiaTheme="minorEastAsia"/>
          <w:color w:val="auto"/>
          <w:szCs w:val="21"/>
          <w:highlight w:val="none"/>
        </w:rPr>
        <w:t>千分之六</w:t>
      </w:r>
      <w:r>
        <w:rPr>
          <w:rFonts w:hint="eastAsia" w:asciiTheme="minorEastAsia" w:hAnsiTheme="minorEastAsia" w:eastAsiaTheme="minorEastAsia"/>
          <w:color w:val="auto"/>
          <w:szCs w:val="21"/>
          <w:highlight w:val="none"/>
        </w:rPr>
        <w:t>作为</w:t>
      </w:r>
      <w:r>
        <w:rPr>
          <w:rFonts w:asciiTheme="minorEastAsia" w:hAnsiTheme="minorEastAsia" w:eastAsiaTheme="minorEastAsia"/>
          <w:color w:val="auto"/>
          <w:szCs w:val="21"/>
          <w:highlight w:val="none"/>
        </w:rPr>
        <w:t>违约金。乙方超过约定日期10个工作日</w:t>
      </w:r>
      <w:r>
        <w:rPr>
          <w:rFonts w:hint="eastAsia" w:asciiTheme="minorEastAsia" w:hAnsiTheme="minorEastAsia" w:eastAsiaTheme="minorEastAsia"/>
          <w:color w:val="auto"/>
          <w:szCs w:val="21"/>
          <w:highlight w:val="none"/>
        </w:rPr>
        <w:t>仍</w:t>
      </w:r>
      <w:r>
        <w:rPr>
          <w:rFonts w:asciiTheme="minorEastAsia" w:hAnsiTheme="minorEastAsia" w:eastAsiaTheme="minorEastAsia"/>
          <w:color w:val="auto"/>
          <w:szCs w:val="21"/>
          <w:highlight w:val="none"/>
        </w:rPr>
        <w:t>不能</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的，甲方可解除本合同。乙方因</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 xml:space="preserve">期提供服务或因其他违约行为导致甲方解除合同的，乙方应向甲方支付合同总值5%的违约金，如造成甲方损失超过违约金的，超出部分由乙方继续承担赔偿责任。 </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第八条 </w:t>
      </w:r>
      <w:r>
        <w:rPr>
          <w:rFonts w:asciiTheme="minorEastAsia" w:hAnsiTheme="minorEastAsia" w:eastAsiaTheme="minorEastAsia"/>
          <w:b/>
          <w:color w:val="auto"/>
          <w:szCs w:val="21"/>
          <w:highlight w:val="none"/>
        </w:rPr>
        <w:t>不可抗力事件处理</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在合同有效期内，任何一方因不可抗力事件导致不能履行合同，则合同履行期可延长，其延长期与不可抗力影响期相同。</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可抗力事件发生后，应立即通知对方，并寄送有关权威机构出具的证明。</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不可抗力事件延续120天以上，双方应通过友好协商，确定是否继续履行合同。</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第九条 </w:t>
      </w:r>
      <w:r>
        <w:rPr>
          <w:rFonts w:asciiTheme="minorEastAsia" w:hAnsiTheme="minorEastAsia" w:eastAsiaTheme="minorEastAsia"/>
          <w:b/>
          <w:color w:val="auto"/>
          <w:szCs w:val="21"/>
          <w:highlight w:val="none"/>
        </w:rPr>
        <w:t>诉讼</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双方在执行合同中所发生的一切争议，应通过协商解决。如协商不成，可向</w:t>
      </w:r>
      <w:r>
        <w:rPr>
          <w:rFonts w:hint="eastAsia" w:asciiTheme="minorEastAsia" w:hAnsiTheme="minorEastAsia" w:eastAsiaTheme="minorEastAsia"/>
          <w:color w:val="auto"/>
          <w:szCs w:val="21"/>
          <w:highlight w:val="none"/>
        </w:rPr>
        <w:t>甲方所在</w:t>
      </w:r>
      <w:r>
        <w:rPr>
          <w:rFonts w:asciiTheme="minorEastAsia" w:hAnsiTheme="minorEastAsia" w:eastAsiaTheme="minorEastAsia"/>
          <w:color w:val="auto"/>
          <w:szCs w:val="21"/>
          <w:highlight w:val="none"/>
        </w:rPr>
        <w:t>地法院起诉。</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w:t>
      </w:r>
      <w:r>
        <w:rPr>
          <w:rFonts w:asciiTheme="minorEastAsia" w:hAnsiTheme="minorEastAsia" w:eastAsiaTheme="minorEastAsia"/>
          <w:b/>
          <w:color w:val="auto"/>
          <w:szCs w:val="21"/>
          <w:highlight w:val="none"/>
        </w:rPr>
        <w:t>合同生效及其它</w:t>
      </w:r>
    </w:p>
    <w:p>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合同经双方法定代表人或授权委托代理人签字并加盖单位公章后生效。</w:t>
      </w:r>
    </w:p>
    <w:p>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本合同未尽事宜，遵照《</w:t>
      </w:r>
      <w:r>
        <w:rPr>
          <w:rFonts w:asciiTheme="minorEastAsia" w:hAnsiTheme="minorEastAsia" w:eastAsiaTheme="minorEastAsia"/>
          <w:color w:val="auto"/>
          <w:kern w:val="0"/>
          <w:szCs w:val="21"/>
          <w:highlight w:val="none"/>
        </w:rPr>
        <w:t>中华人民共和国</w:t>
      </w:r>
      <w:r>
        <w:rPr>
          <w:rFonts w:hint="eastAsia" w:asciiTheme="minorEastAsia" w:hAnsiTheme="minorEastAsia" w:eastAsiaTheme="minorEastAsia"/>
          <w:color w:val="auto"/>
          <w:kern w:val="0"/>
          <w:szCs w:val="21"/>
          <w:highlight w:val="none"/>
          <w:lang w:val="en-US" w:eastAsia="zh-CN"/>
        </w:rPr>
        <w:t>民法典</w:t>
      </w:r>
      <w:r>
        <w:rPr>
          <w:rFonts w:asciiTheme="minorEastAsia" w:hAnsiTheme="minorEastAsia" w:eastAsiaTheme="minorEastAsia"/>
          <w:color w:val="auto"/>
          <w:szCs w:val="21"/>
          <w:highlight w:val="none"/>
        </w:rPr>
        <w:t>》有关条文执行。</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甲方：             乙方： </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地址：           地址： </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联系电话：</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开户银行：</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银行账号：</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年  月  日 签</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日期：   年  月  日</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鉴证单位：</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年  月  日</w:t>
      </w:r>
    </w:p>
    <w:p>
      <w:pPr>
        <w:pStyle w:val="158"/>
        <w:ind w:right="42" w:rightChars="2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End w:id="286"/>
      <w:bookmarkStart w:id="298" w:name="_Toc493511828"/>
    </w:p>
    <w:p>
      <w:pPr>
        <w:pStyle w:val="4"/>
        <w:ind w:right="42" w:rightChars="20"/>
        <w:rPr>
          <w:rFonts w:cs="微软雅黑" w:asciiTheme="minorEastAsia" w:hAnsiTheme="minorEastAsia" w:eastAsiaTheme="minorEastAsia"/>
          <w:color w:val="auto"/>
          <w:highlight w:val="none"/>
        </w:rPr>
      </w:pPr>
      <w:bookmarkStart w:id="299" w:name="_Toc5531"/>
      <w:r>
        <w:rPr>
          <w:rFonts w:hint="eastAsia" w:cs="微软雅黑" w:asciiTheme="minorEastAsia" w:hAnsiTheme="minorEastAsia" w:eastAsiaTheme="minorEastAsia"/>
          <w:color w:val="auto"/>
          <w:highlight w:val="none"/>
        </w:rPr>
        <w:t>第六章　投标文件相关格式</w:t>
      </w:r>
      <w:bookmarkEnd w:id="298"/>
      <w:bookmarkEnd w:id="299"/>
    </w:p>
    <w:p>
      <w:pPr>
        <w:spacing w:line="360" w:lineRule="auto"/>
        <w:ind w:right="42" w:rightChars="20" w:firstLine="420" w:firstLineChars="200"/>
        <w:jc w:val="left"/>
        <w:rPr>
          <w:rFonts w:asciiTheme="minorEastAsia" w:hAnsiTheme="minorEastAsia" w:eastAsiaTheme="minorEastAsia"/>
          <w:color w:val="auto"/>
          <w:szCs w:val="21"/>
          <w:highlight w:val="none"/>
        </w:rPr>
      </w:pPr>
    </w:p>
    <w:p>
      <w:pPr>
        <w:spacing w:line="360" w:lineRule="auto"/>
        <w:ind w:right="42" w:rightChars="20"/>
        <w:jc w:val="center"/>
        <w:rPr>
          <w:rFonts w:hint="eastAsia" w:asciiTheme="minorEastAsia" w:hAnsiTheme="minorEastAsia" w:eastAsiaTheme="minorEastAsia"/>
          <w:b/>
          <w:color w:val="auto"/>
          <w:highlight w:val="none"/>
          <w:lang w:eastAsia="zh-CN"/>
        </w:rPr>
      </w:pPr>
      <w:bookmarkStart w:id="300" w:name="_Toc50012909"/>
      <w:bookmarkStart w:id="301" w:name="_Toc430786287"/>
      <w:r>
        <w:rPr>
          <w:rFonts w:hint="eastAsia" w:asciiTheme="minorEastAsia" w:hAnsiTheme="minorEastAsia" w:eastAsiaTheme="minorEastAsia"/>
          <w:b/>
          <w:color w:val="auto"/>
          <w:highlight w:val="none"/>
          <w:lang w:eastAsia="zh-CN"/>
        </w:rPr>
        <w:t>秀洲区2024年度白蚁等害堤动物防治项目</w:t>
      </w:r>
    </w:p>
    <w:p>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资格投标文件/商务技术文件/报价文件</w:t>
      </w:r>
      <w:bookmarkEnd w:id="300"/>
    </w:p>
    <w:p>
      <w:pPr>
        <w:spacing w:line="360" w:lineRule="auto"/>
        <w:ind w:right="42" w:rightChars="20"/>
        <w:jc w:val="center"/>
        <w:rPr>
          <w:rFonts w:asciiTheme="minorEastAsia" w:hAnsiTheme="minorEastAsia" w:eastAsiaTheme="minorEastAsia"/>
          <w:b/>
          <w:color w:val="auto"/>
          <w:szCs w:val="21"/>
          <w:highlight w:val="none"/>
        </w:rPr>
      </w:pPr>
      <w:bookmarkStart w:id="302" w:name="_Toc50012910"/>
      <w:r>
        <w:rPr>
          <w:rFonts w:hint="eastAsia" w:asciiTheme="minorEastAsia" w:hAnsiTheme="minorEastAsia" w:eastAsiaTheme="minorEastAsia"/>
          <w:b/>
          <w:color w:val="auto"/>
          <w:szCs w:val="21"/>
          <w:highlight w:val="none"/>
        </w:rPr>
        <w:t>项目编号：</w:t>
      </w:r>
      <w:bookmarkEnd w:id="302"/>
    </w:p>
    <w:p>
      <w:pPr>
        <w:spacing w:line="360" w:lineRule="auto"/>
        <w:ind w:right="42" w:rightChars="20"/>
        <w:jc w:val="center"/>
        <w:rPr>
          <w:rFonts w:asciiTheme="minorEastAsia" w:hAnsiTheme="minorEastAsia" w:eastAsiaTheme="minorEastAsia"/>
          <w:b/>
          <w:color w:val="auto"/>
          <w:szCs w:val="21"/>
          <w:highlight w:val="none"/>
        </w:rPr>
      </w:pPr>
    </w:p>
    <w:p>
      <w:pPr>
        <w:spacing w:line="360" w:lineRule="auto"/>
        <w:ind w:right="42" w:rightChars="20"/>
        <w:jc w:val="center"/>
        <w:rPr>
          <w:rFonts w:asciiTheme="minorEastAsia" w:hAnsiTheme="minorEastAsia" w:eastAsiaTheme="minorEastAsia"/>
          <w:b/>
          <w:color w:val="auto"/>
          <w:szCs w:val="21"/>
          <w:highlight w:val="none"/>
        </w:rPr>
      </w:pPr>
    </w:p>
    <w:p>
      <w:pPr>
        <w:spacing w:line="360" w:lineRule="auto"/>
        <w:ind w:right="42" w:rightChars="20"/>
        <w:jc w:val="center"/>
        <w:rPr>
          <w:rFonts w:asciiTheme="minorEastAsia" w:hAnsiTheme="minorEastAsia" w:eastAsiaTheme="minorEastAsia"/>
          <w:b/>
          <w:color w:val="auto"/>
          <w:szCs w:val="21"/>
          <w:highlight w:val="none"/>
        </w:rPr>
      </w:pPr>
      <w:bookmarkStart w:id="303" w:name="_Toc50012911"/>
      <w:r>
        <w:rPr>
          <w:rFonts w:hint="eastAsia" w:asciiTheme="minorEastAsia" w:hAnsiTheme="minorEastAsia" w:eastAsiaTheme="minorEastAsia"/>
          <w:b/>
          <w:color w:val="auto"/>
          <w:szCs w:val="21"/>
          <w:highlight w:val="none"/>
        </w:rPr>
        <w:t>投</w:t>
      </w:r>
      <w:bookmarkEnd w:id="303"/>
    </w:p>
    <w:p>
      <w:pPr>
        <w:spacing w:line="360" w:lineRule="auto"/>
        <w:ind w:right="42" w:rightChars="20"/>
        <w:jc w:val="center"/>
        <w:rPr>
          <w:rFonts w:asciiTheme="minorEastAsia" w:hAnsiTheme="minorEastAsia" w:eastAsiaTheme="minorEastAsia"/>
          <w:b/>
          <w:color w:val="auto"/>
          <w:szCs w:val="21"/>
          <w:highlight w:val="none"/>
        </w:rPr>
      </w:pPr>
      <w:bookmarkStart w:id="304" w:name="_Toc50012912"/>
      <w:r>
        <w:rPr>
          <w:rFonts w:hint="eastAsia" w:asciiTheme="minorEastAsia" w:hAnsiTheme="minorEastAsia" w:eastAsiaTheme="minorEastAsia"/>
          <w:b/>
          <w:color w:val="auto"/>
          <w:szCs w:val="21"/>
          <w:highlight w:val="none"/>
        </w:rPr>
        <w:t>标</w:t>
      </w:r>
      <w:bookmarkEnd w:id="304"/>
    </w:p>
    <w:p>
      <w:pPr>
        <w:spacing w:line="360" w:lineRule="auto"/>
        <w:ind w:right="42" w:rightChars="20"/>
        <w:jc w:val="center"/>
        <w:rPr>
          <w:rFonts w:asciiTheme="minorEastAsia" w:hAnsiTheme="minorEastAsia" w:eastAsiaTheme="minorEastAsia"/>
          <w:b/>
          <w:color w:val="auto"/>
          <w:szCs w:val="21"/>
          <w:highlight w:val="none"/>
        </w:rPr>
      </w:pPr>
      <w:bookmarkStart w:id="305" w:name="_Toc50012913"/>
      <w:r>
        <w:rPr>
          <w:rFonts w:hint="eastAsia" w:asciiTheme="minorEastAsia" w:hAnsiTheme="minorEastAsia" w:eastAsiaTheme="minorEastAsia"/>
          <w:b/>
          <w:color w:val="auto"/>
          <w:szCs w:val="21"/>
          <w:highlight w:val="none"/>
        </w:rPr>
        <w:t>文</w:t>
      </w:r>
      <w:bookmarkEnd w:id="305"/>
    </w:p>
    <w:p>
      <w:pPr>
        <w:spacing w:line="360" w:lineRule="auto"/>
        <w:ind w:right="42" w:rightChars="20"/>
        <w:jc w:val="center"/>
        <w:rPr>
          <w:rFonts w:asciiTheme="minorEastAsia" w:hAnsiTheme="minorEastAsia" w:eastAsiaTheme="minorEastAsia"/>
          <w:b/>
          <w:color w:val="auto"/>
          <w:szCs w:val="21"/>
          <w:highlight w:val="none"/>
        </w:rPr>
      </w:pPr>
      <w:bookmarkStart w:id="306" w:name="_Toc50012914"/>
      <w:r>
        <w:rPr>
          <w:rFonts w:hint="eastAsia" w:asciiTheme="minorEastAsia" w:hAnsiTheme="minorEastAsia" w:eastAsiaTheme="minorEastAsia"/>
          <w:b/>
          <w:color w:val="auto"/>
          <w:szCs w:val="21"/>
          <w:highlight w:val="none"/>
        </w:rPr>
        <w:t>件</w:t>
      </w:r>
      <w:bookmarkEnd w:id="306"/>
    </w:p>
    <w:p>
      <w:pPr>
        <w:spacing w:line="360" w:lineRule="auto"/>
        <w:ind w:right="42" w:rightChars="20"/>
        <w:rPr>
          <w:rFonts w:asciiTheme="minorEastAsia" w:hAnsiTheme="minorEastAsia" w:eastAsiaTheme="minorEastAsia"/>
          <w:b/>
          <w:color w:val="auto"/>
          <w:szCs w:val="21"/>
          <w:highlight w:val="none"/>
        </w:rPr>
      </w:pPr>
    </w:p>
    <w:p>
      <w:pPr>
        <w:spacing w:line="360" w:lineRule="auto"/>
        <w:ind w:right="42" w:rightChars="20"/>
        <w:rPr>
          <w:rFonts w:asciiTheme="minorEastAsia" w:hAnsiTheme="minorEastAsia" w:eastAsiaTheme="minorEastAsia"/>
          <w:b/>
          <w:color w:val="auto"/>
          <w:szCs w:val="21"/>
          <w:highlight w:val="none"/>
        </w:rPr>
      </w:pPr>
    </w:p>
    <w:p>
      <w:pPr>
        <w:spacing w:line="360" w:lineRule="auto"/>
        <w:ind w:right="42" w:rightChars="20"/>
        <w:rPr>
          <w:rFonts w:asciiTheme="minorEastAsia" w:hAnsiTheme="minorEastAsia" w:eastAsiaTheme="minorEastAsia"/>
          <w:b/>
          <w:color w:val="auto"/>
          <w:szCs w:val="21"/>
          <w:highlight w:val="none"/>
        </w:rPr>
      </w:pPr>
    </w:p>
    <w:p>
      <w:pPr>
        <w:spacing w:line="360" w:lineRule="auto"/>
        <w:ind w:right="42" w:rightChars="20" w:firstLine="2319" w:firstLineChars="1100"/>
        <w:rPr>
          <w:rFonts w:asciiTheme="minorEastAsia" w:hAnsiTheme="minorEastAsia" w:eastAsiaTheme="minorEastAsia"/>
          <w:b/>
          <w:color w:val="auto"/>
          <w:szCs w:val="21"/>
          <w:highlight w:val="none"/>
        </w:rPr>
      </w:pPr>
      <w:bookmarkStart w:id="307" w:name="_Toc50012915"/>
      <w:r>
        <w:rPr>
          <w:rFonts w:hint="eastAsia" w:asciiTheme="minorEastAsia" w:hAnsiTheme="minorEastAsia" w:eastAsiaTheme="minorEastAsia"/>
          <w:b/>
          <w:color w:val="auto"/>
          <w:szCs w:val="21"/>
          <w:highlight w:val="none"/>
        </w:rPr>
        <w:t>投标人全称：（加盖单位公章）</w:t>
      </w:r>
      <w:bookmarkEnd w:id="307"/>
    </w:p>
    <w:p>
      <w:pPr>
        <w:spacing w:line="360" w:lineRule="auto"/>
        <w:ind w:right="42" w:rightChars="20"/>
        <w:rPr>
          <w:rFonts w:asciiTheme="minorEastAsia" w:hAnsiTheme="minorEastAsia" w:eastAsiaTheme="minorEastAsia"/>
          <w:b/>
          <w:color w:val="auto"/>
          <w:szCs w:val="21"/>
          <w:highlight w:val="none"/>
        </w:rPr>
      </w:pPr>
    </w:p>
    <w:p>
      <w:pPr>
        <w:spacing w:line="360" w:lineRule="auto"/>
        <w:ind w:right="42" w:rightChars="20"/>
        <w:jc w:val="center"/>
        <w:rPr>
          <w:rFonts w:asciiTheme="minorEastAsia" w:hAnsiTheme="minorEastAsia" w:eastAsiaTheme="minorEastAsia"/>
          <w:b/>
          <w:color w:val="auto"/>
          <w:szCs w:val="21"/>
          <w:highlight w:val="none"/>
        </w:rPr>
      </w:pPr>
      <w:bookmarkStart w:id="308" w:name="_Toc50012916"/>
      <w:r>
        <w:rPr>
          <w:rFonts w:hint="eastAsia" w:asciiTheme="minorEastAsia" w:hAnsiTheme="minorEastAsia" w:eastAsiaTheme="minorEastAsia"/>
          <w:b/>
          <w:color w:val="auto"/>
          <w:szCs w:val="21"/>
          <w:highlight w:val="none"/>
        </w:rPr>
        <w:t>年   月   日</w:t>
      </w:r>
      <w:bookmarkEnd w:id="308"/>
    </w:p>
    <w:bookmarkEnd w:id="301"/>
    <w:p>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ind w:right="42" w:rightChars="20" w:firstLine="422" w:firstLineChars="200"/>
        <w:jc w:val="center"/>
        <w:rPr>
          <w:rFonts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政府</w:t>
      </w:r>
      <w:r>
        <w:rPr>
          <w:rFonts w:cs="方正小标宋简体" w:asciiTheme="minorEastAsia" w:hAnsiTheme="minorEastAsia" w:eastAsiaTheme="minorEastAsia"/>
          <w:b/>
          <w:color w:val="auto"/>
          <w:szCs w:val="21"/>
          <w:highlight w:val="none"/>
        </w:rPr>
        <w:t>采购活动现场确认声明书</w:t>
      </w:r>
    </w:p>
    <w:p>
      <w:pPr>
        <w:pStyle w:val="162"/>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p>
    <w:p>
      <w:pPr>
        <w:pStyle w:val="162"/>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t>（要求</w:t>
      </w:r>
      <w:r>
        <w:rPr>
          <w:rFonts w:hint="eastAsia" w:cs="宋体" w:asciiTheme="minorEastAsia" w:hAnsiTheme="minorEastAsia" w:eastAsiaTheme="minorEastAsia"/>
          <w:b/>
          <w:color w:val="auto"/>
          <w:sz w:val="21"/>
          <w:szCs w:val="21"/>
          <w:highlight w:val="none"/>
        </w:rPr>
        <w:t>在电子投标文件解密后，代理公司会向系统中投标人的联系电话发送钉钉申请，请投标人在开标前自行下载钉钉程序，开标后接受钉钉好友申请并将以下表格填写完成后，在通过钉钉将照片传给代理公司</w:t>
      </w:r>
      <w:r>
        <w:rPr>
          <w:rFonts w:cs="宋体" w:asciiTheme="minorEastAsia" w:hAnsiTheme="minorEastAsia" w:eastAsiaTheme="minorEastAsia"/>
          <w:b/>
          <w:color w:val="auto"/>
          <w:sz w:val="21"/>
          <w:szCs w:val="21"/>
          <w:highlight w:val="none"/>
        </w:rPr>
        <w:t>，不要封存于投标文件里）</w:t>
      </w:r>
    </w:p>
    <w:p>
      <w:pPr>
        <w:pStyle w:val="162"/>
        <w:snapToGrid w:val="0"/>
        <w:spacing w:line="360" w:lineRule="auto"/>
        <w:ind w:right="42" w:rightChars="20"/>
        <w:jc w:val="left"/>
        <w:rPr>
          <w:rFonts w:asciiTheme="minorEastAsia" w:hAnsiTheme="minorEastAsia" w:eastAsiaTheme="minorEastAsia"/>
          <w:b/>
          <w:color w:val="auto"/>
          <w:sz w:val="21"/>
          <w:szCs w:val="21"/>
          <w:highlight w:val="none"/>
        </w:rPr>
      </w:pPr>
      <w:r>
        <w:rPr>
          <w:rFonts w:hint="eastAsia" w:cs="Arial" w:asciiTheme="minorEastAsia" w:hAnsiTheme="minorEastAsia" w:eastAsiaTheme="minorEastAsia"/>
          <w:b/>
          <w:color w:val="auto"/>
          <w:kern w:val="0"/>
          <w:sz w:val="21"/>
          <w:szCs w:val="21"/>
          <w:highlight w:val="none"/>
          <w:u w:val="single"/>
        </w:rPr>
        <w:t xml:space="preserve">嘉兴市秀洲区农业农村和水利局  </w:t>
      </w:r>
      <w:r>
        <w:rPr>
          <w:rFonts w:asciiTheme="minorEastAsia" w:hAnsiTheme="minorEastAsia" w:eastAsiaTheme="minorEastAsia"/>
          <w:color w:val="auto"/>
          <w:kern w:val="0"/>
          <w:sz w:val="21"/>
          <w:szCs w:val="21"/>
          <w:highlight w:val="none"/>
        </w:rPr>
        <w:t>：</w:t>
      </w:r>
    </w:p>
    <w:p>
      <w:pPr>
        <w:pStyle w:val="162"/>
        <w:snapToGrid w:val="0"/>
        <w:spacing w:line="360" w:lineRule="auto"/>
        <w:ind w:right="42" w:rightChars="20" w:firstLine="444" w:firstLineChars="200"/>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本人经由</w:t>
      </w:r>
      <w:r>
        <w:rPr>
          <w:rFonts w:asciiTheme="minorEastAsia" w:hAnsiTheme="minorEastAsia" w:eastAsiaTheme="minorEastAsia"/>
          <w:color w:val="auto"/>
          <w:spacing w:val="6"/>
          <w:sz w:val="21"/>
          <w:szCs w:val="21"/>
          <w:highlight w:val="none"/>
          <w:u w:val="single"/>
        </w:rPr>
        <w:t xml:space="preserve">                  （单位）</w:t>
      </w:r>
      <w:r>
        <w:rPr>
          <w:rFonts w:asciiTheme="minorEastAsia" w:hAnsiTheme="minorEastAsia" w:eastAsiaTheme="minorEastAsia"/>
          <w:color w:val="auto"/>
          <w:spacing w:val="6"/>
          <w:sz w:val="21"/>
          <w:szCs w:val="21"/>
          <w:highlight w:val="none"/>
        </w:rPr>
        <w:t>负责人</w:t>
      </w:r>
      <w:r>
        <w:rPr>
          <w:rFonts w:asciiTheme="minorEastAsia" w:hAnsiTheme="minorEastAsia" w:eastAsiaTheme="minorEastAsia"/>
          <w:color w:val="auto"/>
          <w:spacing w:val="6"/>
          <w:sz w:val="21"/>
          <w:szCs w:val="21"/>
          <w:highlight w:val="none"/>
          <w:u w:val="single"/>
        </w:rPr>
        <w:t xml:space="preserve">        （姓名）</w:t>
      </w:r>
      <w:r>
        <w:rPr>
          <w:rFonts w:asciiTheme="minorEastAsia" w:hAnsiTheme="minorEastAsia" w:eastAsiaTheme="minorEastAsia"/>
          <w:color w:val="auto"/>
          <w:spacing w:val="6"/>
          <w:sz w:val="21"/>
          <w:szCs w:val="21"/>
          <w:highlight w:val="none"/>
        </w:rPr>
        <w:t>合法授权参加</w:t>
      </w:r>
      <w:r>
        <w:rPr>
          <w:rFonts w:hint="eastAsia" w:asciiTheme="minorEastAsia" w:hAnsiTheme="minorEastAsia" w:eastAsiaTheme="minorEastAsia"/>
          <w:b/>
          <w:color w:val="auto"/>
          <w:spacing w:val="6"/>
          <w:sz w:val="21"/>
          <w:szCs w:val="21"/>
          <w:highlight w:val="none"/>
          <w:u w:val="single"/>
          <w:lang w:eastAsia="zh-CN"/>
        </w:rPr>
        <w:t>秀洲区2024年度白蚁等害堤动物防治项目</w:t>
      </w:r>
      <w:r>
        <w:rPr>
          <w:rFonts w:asciiTheme="minorEastAsia" w:hAnsiTheme="minorEastAsia" w:eastAsiaTheme="minorEastAsia"/>
          <w:color w:val="auto"/>
          <w:spacing w:val="6"/>
          <w:sz w:val="21"/>
          <w:szCs w:val="21"/>
          <w:highlight w:val="none"/>
        </w:rPr>
        <w:t>（编号：</w:t>
      </w:r>
      <w:r>
        <w:rPr>
          <w:rFonts w:hint="eastAsia" w:asciiTheme="minorEastAsia" w:hAnsiTheme="minorEastAsia" w:eastAsiaTheme="minorEastAsia"/>
          <w:color w:val="auto"/>
          <w:spacing w:val="6"/>
          <w:sz w:val="21"/>
          <w:szCs w:val="21"/>
          <w:highlight w:val="none"/>
          <w:u w:val="single"/>
          <w:lang w:eastAsia="zh-CN"/>
        </w:rPr>
        <w:t>大地-DDZX-JX（2024）第1号</w:t>
      </w:r>
      <w:r>
        <w:rPr>
          <w:rFonts w:asciiTheme="minorEastAsia" w:hAnsiTheme="minorEastAsia" w:eastAsiaTheme="minorEastAsia"/>
          <w:color w:val="auto"/>
          <w:spacing w:val="6"/>
          <w:sz w:val="21"/>
          <w:szCs w:val="21"/>
          <w:highlight w:val="none"/>
        </w:rPr>
        <w:t xml:space="preserve">）政府采购活动，经与本单位法人代表（负责人）联系确认，现就有关公平竞争事项郑重声明如下： </w:t>
      </w:r>
    </w:p>
    <w:p>
      <w:pPr>
        <w:pStyle w:val="156"/>
        <w:widowControl/>
        <w:numPr>
          <w:ilvl w:val="0"/>
          <w:numId w:val="11"/>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本单位与采购人之间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pPr>
        <w:pStyle w:val="156"/>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pPr>
        <w:pStyle w:val="156"/>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 xml:space="preserve">（如有，请如实说明）                 </w:t>
      </w:r>
      <w:r>
        <w:rPr>
          <w:rFonts w:asciiTheme="minorEastAsia" w:hAnsiTheme="minorEastAsia" w:eastAsiaTheme="minorEastAsia"/>
          <w:color w:val="auto"/>
          <w:kern w:val="0"/>
          <w:szCs w:val="21"/>
          <w:highlight w:val="none"/>
        </w:rPr>
        <w:t>。</w:t>
      </w:r>
    </w:p>
    <w:p>
      <w:pPr>
        <w:pStyle w:val="156"/>
        <w:widowControl/>
        <w:snapToGrid w:val="0"/>
        <w:spacing w:line="360" w:lineRule="auto"/>
        <w:ind w:right="42" w:rightChars="20" w:firstLine="444"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 xml:space="preserve">  二、</w:t>
      </w:r>
      <w:r>
        <w:rPr>
          <w:rFonts w:asciiTheme="minorEastAsia" w:hAnsiTheme="minorEastAsia" w:eastAsiaTheme="minorEastAsia"/>
          <w:color w:val="auto"/>
          <w:kern w:val="0"/>
          <w:szCs w:val="21"/>
          <w:highlight w:val="none"/>
        </w:rPr>
        <w:t xml:space="preserve">现已清楚知道参加本项目采购活动的其他所有投标人名称，本单位 </w:t>
      </w:r>
      <w:r>
        <w:rPr>
          <w:rFonts w:cs="宋体" w:asciiTheme="minorEastAsia" w:hAnsiTheme="minorEastAsia" w:eastAsiaTheme="minorEastAsia"/>
          <w:color w:val="auto"/>
          <w:kern w:val="0"/>
          <w:szCs w:val="21"/>
          <w:highlight w:val="none"/>
        </w:rPr>
        <w:t>□与其他所有投标人之间均</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（投标人名称）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pPr>
        <w:pStyle w:val="162"/>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A.法定代表人或负责人或实际控制人是同一人</w:t>
      </w:r>
    </w:p>
    <w:p>
      <w:pPr>
        <w:pStyle w:val="162"/>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B.法定代表人或负责人或实际控制人是夫妻关系</w:t>
      </w:r>
    </w:p>
    <w:p>
      <w:pPr>
        <w:pStyle w:val="162"/>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C.法定代表人或负责人或实际控制人是直系血亲关系</w:t>
      </w:r>
    </w:p>
    <w:p>
      <w:pPr>
        <w:pStyle w:val="162"/>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D.法定代表人或负责人或实际控制人存在三代以内旁系血亲关系</w:t>
      </w:r>
    </w:p>
    <w:p>
      <w:pPr>
        <w:pStyle w:val="162"/>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E.法定代表人或负责人或实际控制人存在近姻亲关系</w:t>
      </w:r>
    </w:p>
    <w:p>
      <w:pPr>
        <w:pStyle w:val="162"/>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F.法定代表人或负责人或实际控制人存在股份控制或实际控制关系</w:t>
      </w:r>
    </w:p>
    <w:p>
      <w:pPr>
        <w:pStyle w:val="162"/>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G.存在共同直接或间接投资设立子公司、联营企业和合营企业情况</w:t>
      </w: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0"/>
          <w:sz w:val="21"/>
          <w:szCs w:val="21"/>
          <w:highlight w:val="none"/>
        </w:rPr>
        <w:t xml:space="preserve">  H.存在分级代理或代销关系、同一生产制造商关系、</w:t>
      </w:r>
      <w:r>
        <w:rPr>
          <w:rFonts w:asciiTheme="minorEastAsia" w:hAnsiTheme="minorEastAsia" w:eastAsiaTheme="minorEastAsia"/>
          <w:color w:val="auto"/>
          <w:sz w:val="21"/>
          <w:szCs w:val="21"/>
          <w:highlight w:val="none"/>
        </w:rPr>
        <w:t>管理关系、重要业务（占主营业务收入50%以上）或重要财务往来关系（如融资）等其他实质性控制关系</w:t>
      </w:r>
    </w:p>
    <w:p>
      <w:pPr>
        <w:pStyle w:val="162"/>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z w:val="21"/>
          <w:szCs w:val="21"/>
          <w:highlight w:val="none"/>
        </w:rPr>
        <w:t xml:space="preserve">    I</w:t>
      </w:r>
      <w:r>
        <w:rPr>
          <w:rFonts w:asciiTheme="minorEastAsia" w:hAnsiTheme="minorEastAsia" w:eastAsiaTheme="minorEastAsia"/>
          <w:color w:val="auto"/>
          <w:kern w:val="0"/>
          <w:sz w:val="21"/>
          <w:szCs w:val="21"/>
          <w:highlight w:val="none"/>
        </w:rPr>
        <w:t>.</w:t>
      </w:r>
      <w:r>
        <w:rPr>
          <w:rFonts w:asciiTheme="minorEastAsia" w:hAnsiTheme="minorEastAsia" w:eastAsiaTheme="minorEastAsia"/>
          <w:color w:val="auto"/>
          <w:sz w:val="21"/>
          <w:szCs w:val="21"/>
          <w:highlight w:val="none"/>
        </w:rPr>
        <w:t>其他利害关系情况</w:t>
      </w:r>
      <w:r>
        <w:rPr>
          <w:rFonts w:asciiTheme="minorEastAsia" w:hAnsiTheme="minorEastAsia" w:eastAsiaTheme="minorEastAsia"/>
          <w:color w:val="auto"/>
          <w:kern w:val="0"/>
          <w:sz w:val="21"/>
          <w:szCs w:val="21"/>
          <w:highlight w:val="none"/>
        </w:rPr>
        <w:t>。</w:t>
      </w:r>
    </w:p>
    <w:p>
      <w:pPr>
        <w:pStyle w:val="156"/>
        <w:widowControl/>
        <w:numPr>
          <w:ilvl w:val="0"/>
          <w:numId w:val="12"/>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pPr>
        <w:pStyle w:val="156"/>
        <w:widowControl/>
        <w:numPr>
          <w:ilvl w:val="0"/>
          <w:numId w:val="12"/>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我发现投标人之间存在或可能存在上述第二条第项利害关系。</w:t>
      </w: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年  月  日</w:t>
      </w:r>
    </w:p>
    <w:p>
      <w:pPr>
        <w:pStyle w:val="14"/>
        <w:rPr>
          <w:color w:val="auto"/>
          <w:highlight w:val="none"/>
        </w:rPr>
      </w:pPr>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投标声明书格式：</w:t>
      </w:r>
    </w:p>
    <w:p>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嘉兴市秀洲区农业农村和水利局  </w:t>
      </w:r>
      <w:r>
        <w:rPr>
          <w:rFonts w:hint="eastAsia" w:asciiTheme="minorEastAsia" w:hAnsiTheme="minorEastAsia" w:eastAsiaTheme="minorEastAsia"/>
          <w:color w:val="auto"/>
          <w:szCs w:val="21"/>
          <w:highlight w:val="none"/>
        </w:rPr>
        <w:t>（招标采购单位名称）：</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系中华人民共和国合法企业，经营地址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的法定代表人，我方愿意参加贵方组织的项目的投标，为便于贵方公正、择优地确定中标人及其投标产品和服务，我方就本次投标有关事项郑重声明如下：</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我方向贵方提交的所有投标文件、资料都是准确的和真实的</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我方不是采购人的附属机构；在获知本项目采购信息后，与采购人聘请的为此项目提供咨询服务的公司及其附属机构没有任何联系。</w:t>
      </w:r>
    </w:p>
    <w:p>
      <w:pPr>
        <w:snapToGrid w:val="0"/>
        <w:spacing w:line="360" w:lineRule="auto"/>
        <w:ind w:right="42" w:rightChars="20" w:firstLine="48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pacing w:val="15"/>
          <w:kern w:val="0"/>
          <w:szCs w:val="21"/>
          <w:highlight w:val="none"/>
        </w:rPr>
        <w:t>3</w:t>
      </w:r>
      <w:r>
        <w:rPr>
          <w:rFonts w:hint="eastAsia" w:asciiTheme="minorEastAsia" w:hAnsiTheme="minorEastAsia" w:eastAsiaTheme="minorEastAsia"/>
          <w:color w:val="auto"/>
          <w:spacing w:val="15"/>
          <w:kern w:val="0"/>
          <w:szCs w:val="21"/>
          <w:highlight w:val="none"/>
        </w:rPr>
        <w:t>、</w:t>
      </w:r>
      <w:r>
        <w:rPr>
          <w:rFonts w:asciiTheme="minorEastAsia" w:hAnsiTheme="minorEastAsia" w:eastAsiaTheme="minorEastAsia"/>
          <w:color w:val="auto"/>
          <w:spacing w:val="15"/>
          <w:kern w:val="0"/>
          <w:szCs w:val="21"/>
          <w:highlight w:val="none"/>
        </w:rPr>
        <w:t>我方此次向贵方提供的</w:t>
      </w:r>
      <w:r>
        <w:rPr>
          <w:rFonts w:hint="eastAsia" w:asciiTheme="minorEastAsia" w:hAnsiTheme="minorEastAsia" w:eastAsiaTheme="minorEastAsia"/>
          <w:color w:val="auto"/>
          <w:spacing w:val="15"/>
          <w:kern w:val="0"/>
          <w:szCs w:val="21"/>
          <w:highlight w:val="none"/>
        </w:rPr>
        <w:t>服务内容为</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我方诚意提请贵方关注：</w:t>
      </w:r>
      <w:r>
        <w:rPr>
          <w:rFonts w:hint="eastAsia" w:asciiTheme="minorEastAsia" w:hAnsiTheme="minorEastAsia" w:eastAsiaTheme="minorEastAsia"/>
          <w:color w:val="auto"/>
          <w:szCs w:val="21"/>
          <w:highlight w:val="none"/>
        </w:rPr>
        <w:t>近期</w:t>
      </w:r>
      <w:r>
        <w:rPr>
          <w:rFonts w:asciiTheme="minorEastAsia" w:hAnsiTheme="minorEastAsia" w:eastAsiaTheme="minorEastAsia"/>
          <w:color w:val="auto"/>
          <w:szCs w:val="21"/>
          <w:highlight w:val="none"/>
        </w:rPr>
        <w:t>有关</w:t>
      </w:r>
      <w:r>
        <w:rPr>
          <w:rFonts w:hint="eastAsia" w:asciiTheme="minorEastAsia" w:hAnsiTheme="minorEastAsia" w:eastAsiaTheme="minorEastAsia"/>
          <w:color w:val="auto"/>
          <w:szCs w:val="21"/>
          <w:highlight w:val="none"/>
        </w:rPr>
        <w:t>项目的售后服务等方面的重大决策和事项有：</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、我方及由本人担任法定代表人的其他机构</w:t>
      </w:r>
      <w:r>
        <w:rPr>
          <w:rFonts w:asciiTheme="minorEastAsia" w:hAnsiTheme="minorEastAsia" w:eastAsiaTheme="minorEastAsia"/>
          <w:color w:val="auto"/>
          <w:szCs w:val="21"/>
          <w:highlight w:val="none"/>
        </w:rPr>
        <w:t>最近三年内被</w:t>
      </w:r>
      <w:r>
        <w:rPr>
          <w:rFonts w:hint="eastAsia" w:asciiTheme="minorEastAsia" w:hAnsiTheme="minorEastAsia" w:eastAsiaTheme="minorEastAsia"/>
          <w:color w:val="auto"/>
          <w:szCs w:val="21"/>
          <w:highlight w:val="none"/>
        </w:rPr>
        <w:t>通报或者被处罚的</w:t>
      </w:r>
      <w:r>
        <w:rPr>
          <w:rFonts w:asciiTheme="minorEastAsia" w:hAnsiTheme="minorEastAsia" w:eastAsiaTheme="minorEastAsia"/>
          <w:color w:val="auto"/>
          <w:szCs w:val="21"/>
          <w:highlight w:val="none"/>
        </w:rPr>
        <w:t>违法行为有：</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6、以上事项如有虚假或隐瞒，我方愿意承担一切后果，并不再寻求任何旨在减轻或免除法律责任的辩解。</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年    月    日</w:t>
      </w:r>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法定代表人授权委托书格式：</w:t>
      </w:r>
    </w:p>
    <w:p>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w:t>
      </w:r>
    </w:p>
    <w:p>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嘉兴市秀洲区农业农村和水利局  </w:t>
      </w:r>
      <w:r>
        <w:rPr>
          <w:rFonts w:hint="eastAsia" w:asciiTheme="minorEastAsia" w:hAnsiTheme="minorEastAsia" w:eastAsiaTheme="minorEastAsia"/>
          <w:color w:val="auto"/>
          <w:szCs w:val="21"/>
          <w:highlight w:val="none"/>
        </w:rPr>
        <w:t>（招标采购单位名称）：</w:t>
      </w:r>
    </w:p>
    <w:p>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val="zh-CN"/>
        </w:rPr>
        <w:t xml:space="preserve"> 兹委派我公司</w:t>
      </w:r>
      <w:r>
        <w:rPr>
          <w:rFonts w:hint="eastAsia" w:cs="宋体" w:asciiTheme="minorEastAsia" w:hAnsiTheme="minorEastAsia" w:eastAsiaTheme="minorEastAsia"/>
          <w:color w:val="auto"/>
          <w:kern w:val="0"/>
          <w:szCs w:val="21"/>
          <w:highlight w:val="none"/>
          <w:u w:val="single"/>
          <w:lang w:val="zh-CN"/>
        </w:rPr>
        <w:t>先生/女士</w:t>
      </w:r>
      <w:r>
        <w:rPr>
          <w:rFonts w:hint="eastAsia" w:cs="宋体" w:asciiTheme="minorEastAsia" w:hAnsiTheme="minorEastAsia" w:eastAsiaTheme="minorEastAsia"/>
          <w:color w:val="auto"/>
          <w:kern w:val="0"/>
          <w:szCs w:val="21"/>
          <w:highlight w:val="none"/>
          <w:lang w:val="zh-CN"/>
        </w:rPr>
        <w:t>(其在本公司的职务是：</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，联系电话：</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手机：</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传真：</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)，代表我公司全权处理</w:t>
      </w:r>
      <w:r>
        <w:rPr>
          <w:rFonts w:hint="eastAsia" w:asciiTheme="minorEastAsia" w:hAnsiTheme="minorEastAsia" w:eastAsiaTheme="minorEastAsia"/>
          <w:b/>
          <w:bCs/>
          <w:color w:val="auto"/>
          <w:szCs w:val="21"/>
          <w:highlight w:val="none"/>
          <w:u w:val="single"/>
          <w:lang w:val="zh-CN"/>
        </w:rPr>
        <w:t>秀洲区2024年度白蚁等害堤动物防治项目</w:t>
      </w:r>
      <w:r>
        <w:rPr>
          <w:rFonts w:hint="eastAsia" w:cs="宋体" w:asciiTheme="minorEastAsia" w:hAnsiTheme="minorEastAsia" w:eastAsiaTheme="minorEastAsia"/>
          <w:color w:val="auto"/>
          <w:szCs w:val="21"/>
          <w:highlight w:val="none"/>
        </w:rPr>
        <w:t>(编号：</w:t>
      </w:r>
      <w:r>
        <w:rPr>
          <w:rFonts w:hint="eastAsia" w:cs="宋体" w:asciiTheme="minorEastAsia" w:hAnsiTheme="minorEastAsia" w:eastAsiaTheme="minorEastAsia"/>
          <w:color w:val="auto"/>
          <w:szCs w:val="21"/>
          <w:highlight w:val="none"/>
          <w:lang w:eastAsia="zh-CN"/>
        </w:rPr>
        <w:t>大地-DDZX-JX（2024）第1号</w:t>
      </w:r>
      <w:r>
        <w:rPr>
          <w:rFonts w:hint="eastAsia" w:cs="宋体" w:asciiTheme="minorEastAsia" w:hAnsiTheme="minorEastAsia" w:eastAsiaTheme="minorEastAsia"/>
          <w:color w:val="auto"/>
          <w:szCs w:val="21"/>
          <w:highlight w:val="none"/>
        </w:rPr>
        <w:t>)政府采购投标的一切事项</w:t>
      </w:r>
      <w:r>
        <w:rPr>
          <w:rFonts w:hint="eastAsia" w:cs="宋体" w:asciiTheme="minorEastAsia" w:hAnsiTheme="minorEastAsia" w:eastAsiaTheme="minorEastAsia"/>
          <w:color w:val="auto"/>
          <w:kern w:val="0"/>
          <w:szCs w:val="21"/>
          <w:highlight w:val="none"/>
          <w:lang w:val="zh-CN"/>
        </w:rPr>
        <w:t>。</w:t>
      </w:r>
    </w:p>
    <w:p>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 xml:space="preserve">    特此告知。</w:t>
      </w:r>
    </w:p>
    <w:p>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p>
    <w:p>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lang w:val="zh-CN"/>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被授权人签字（或盖章）：法定代表人签字（或盖章）：</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职务：职务：</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被授权人身份证号码：</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p>
    <w:p>
      <w:pPr>
        <w:pStyle w:val="19"/>
        <w:rPr>
          <w:rFonts w:asciiTheme="minorEastAsia" w:hAnsiTheme="minorEastAsia" w:eastAsiaTheme="minorEastAsia"/>
          <w:color w:val="auto"/>
          <w:szCs w:val="21"/>
          <w:highlight w:val="none"/>
        </w:rPr>
      </w:pPr>
    </w:p>
    <w:p>
      <w:pPr>
        <w:pStyle w:val="47"/>
        <w:ind w:firstLine="210"/>
        <w:rPr>
          <w:rFonts w:asciiTheme="minorEastAsia" w:hAnsiTheme="minorEastAsia" w:eastAsiaTheme="minorEastAsia"/>
          <w:color w:val="auto"/>
          <w:szCs w:val="21"/>
          <w:highlight w:val="none"/>
        </w:rPr>
      </w:pPr>
    </w:p>
    <w:p>
      <w:pPr>
        <w:autoSpaceDE w:val="0"/>
        <w:autoSpaceDN w:val="0"/>
        <w:spacing w:line="360" w:lineRule="auto"/>
        <w:jc w:val="center"/>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t>联合协议（如为联合体投标的，则需提供联合体授权书）</w:t>
      </w:r>
    </w:p>
    <w:p>
      <w:pPr>
        <w:pStyle w:val="4"/>
        <w:spacing w:line="240" w:lineRule="auto"/>
        <w:rPr>
          <w:color w:val="auto"/>
          <w:highlight w:val="none"/>
          <w:lang w:val="zh-CN"/>
        </w:rPr>
      </w:pPr>
    </w:p>
    <w:p>
      <w:pPr>
        <w:widowControl/>
        <w:spacing w:line="360" w:lineRule="auto"/>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（联合体所有成员名称）</w:t>
      </w:r>
      <w:r>
        <w:rPr>
          <w:rFonts w:hint="eastAsia" w:asciiTheme="minorEastAsia" w:hAnsiTheme="minorEastAsia" w:eastAsiaTheme="minorEastAsia" w:cstheme="minorEastAsia"/>
          <w:color w:val="auto"/>
          <w:kern w:val="0"/>
          <w:szCs w:val="21"/>
          <w:highlight w:val="none"/>
        </w:rPr>
        <w:t>自愿</w:t>
      </w:r>
      <w:r>
        <w:rPr>
          <w:rFonts w:hint="eastAsia" w:asciiTheme="minorEastAsia" w:hAnsiTheme="minorEastAsia" w:eastAsiaTheme="minorEastAsia" w:cstheme="minorEastAsia"/>
          <w:color w:val="auto"/>
          <w:kern w:val="0"/>
          <w:szCs w:val="21"/>
          <w:highlight w:val="none"/>
          <w:lang w:val="zh-CN"/>
        </w:rPr>
        <w:t>组成一个联合体，以一个投标人的身份</w:t>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szCs w:val="21"/>
          <w:highlight w:val="none"/>
        </w:rPr>
        <w:t>（项目名称）【招标编号：（采购编号）】</w:t>
      </w:r>
      <w:r>
        <w:rPr>
          <w:rFonts w:hint="eastAsia" w:asciiTheme="minorEastAsia" w:hAnsiTheme="minorEastAsia" w:eastAsiaTheme="minorEastAsia" w:cstheme="minorEastAsia"/>
          <w:color w:val="auto"/>
          <w:kern w:val="0"/>
          <w:szCs w:val="21"/>
          <w:highlight w:val="none"/>
          <w:lang w:val="zh-CN"/>
        </w:rPr>
        <w:t xml:space="preserve">投标。 </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一、各方一致决定，</w:t>
      </w:r>
      <w:r>
        <w:rPr>
          <w:rFonts w:hint="eastAsia" w:asciiTheme="minorEastAsia" w:hAnsiTheme="minorEastAsia" w:eastAsiaTheme="minorEastAsia" w:cstheme="minorEastAsia"/>
          <w:color w:val="auto"/>
          <w:kern w:val="0"/>
          <w:szCs w:val="21"/>
          <w:highlight w:val="none"/>
          <w:u w:val="single"/>
        </w:rPr>
        <w:t>（某联合体成员名称）</w:t>
      </w:r>
      <w:r>
        <w:rPr>
          <w:rFonts w:hint="eastAsia" w:asciiTheme="minorEastAsia" w:hAnsiTheme="minorEastAsia" w:eastAsiaTheme="minorEastAsia" w:cstheme="minorEastAsia"/>
          <w:color w:val="auto"/>
          <w:kern w:val="0"/>
          <w:szCs w:val="21"/>
          <w:highlight w:val="none"/>
        </w:rPr>
        <w:t>为联合体</w:t>
      </w:r>
      <w:r>
        <w:rPr>
          <w:rFonts w:hint="eastAsia" w:asciiTheme="minorEastAsia" w:hAnsiTheme="minorEastAsia" w:eastAsiaTheme="minorEastAsia" w:cstheme="minorEastAsia"/>
          <w:color w:val="auto"/>
          <w:kern w:val="0"/>
          <w:szCs w:val="21"/>
          <w:highlight w:val="none"/>
          <w:lang w:val="zh-CN"/>
        </w:rPr>
        <w:t>牵头人</w:t>
      </w:r>
      <w:r>
        <w:rPr>
          <w:rFonts w:hint="eastAsia" w:asciiTheme="minorEastAsia" w:hAnsiTheme="minorEastAsia" w:eastAsiaTheme="minorEastAsia" w:cstheme="minorEastAsia"/>
          <w:color w:val="auto"/>
          <w:szCs w:val="21"/>
          <w:highlight w:val="none"/>
        </w:rPr>
        <w:t>，代表所有联合体成员负责投标和合同实施阶段的主办、协调工作</w:t>
      </w:r>
      <w:r>
        <w:rPr>
          <w:rFonts w:hint="eastAsia" w:asciiTheme="minorEastAsia" w:hAnsiTheme="minorEastAsia" w:eastAsiaTheme="minorEastAsia" w:cstheme="minorEastAsia"/>
          <w:color w:val="auto"/>
          <w:kern w:val="0"/>
          <w:szCs w:val="21"/>
          <w:highlight w:val="none"/>
          <w:lang w:val="zh-CN"/>
        </w:rPr>
        <w:t>。</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二、</w:t>
      </w:r>
      <w:r>
        <w:rPr>
          <w:rFonts w:hint="eastAsia" w:asciiTheme="minorEastAsia" w:hAnsiTheme="minorEastAsia" w:eastAsiaTheme="minorEastAsia" w:cstheme="minorEastAsia"/>
          <w:color w:val="auto"/>
          <w:szCs w:val="21"/>
          <w:highlight w:val="none"/>
        </w:rPr>
        <w:t>所有联合体成员各方签署授权书，授权书载明的</w:t>
      </w:r>
      <w:r>
        <w:rPr>
          <w:rFonts w:hint="eastAsia" w:asciiTheme="minorEastAsia" w:hAnsiTheme="minorEastAsia" w:eastAsiaTheme="minorEastAsia" w:cstheme="minorEastAsia"/>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三、本次联合投标中，分工如下：</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（联合体成员1）</w:t>
      </w:r>
      <w:r>
        <w:rPr>
          <w:rFonts w:hint="eastAsia" w:asciiTheme="minorEastAsia" w:hAnsiTheme="minorEastAsia" w:eastAsiaTheme="minorEastAsia" w:cstheme="minorEastAsia"/>
          <w:color w:val="auto"/>
          <w:kern w:val="0"/>
          <w:szCs w:val="21"/>
          <w:highlight w:val="none"/>
          <w:lang w:val="zh-CN"/>
        </w:rPr>
        <w:t>承担的工作和义务为：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lang w:val="zh-CN"/>
        </w:rPr>
        <w:t>；</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（联合体成员2）</w:t>
      </w:r>
      <w:r>
        <w:rPr>
          <w:rFonts w:hint="eastAsia" w:asciiTheme="minorEastAsia" w:hAnsiTheme="minorEastAsia" w:eastAsiaTheme="minorEastAsia" w:cstheme="minorEastAsia"/>
          <w:color w:val="auto"/>
          <w:kern w:val="0"/>
          <w:szCs w:val="21"/>
          <w:highlight w:val="none"/>
          <w:lang w:val="zh-CN"/>
        </w:rPr>
        <w:t>承担的工作和义务为：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lang w:val="zh-CN"/>
        </w:rPr>
        <w:t>；</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四、联合体成员中小企业合同份额。</w:t>
      </w:r>
    </w:p>
    <w:p>
      <w:pPr>
        <w:snapToGrid w:val="0"/>
        <w:spacing w:line="360" w:lineRule="auto"/>
        <w:ind w:firstLine="576"/>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u w:val="single"/>
        </w:rPr>
        <w:t>（</w:t>
      </w:r>
      <w:bookmarkStart w:id="309" w:name="_Hlk101131882"/>
      <w:r>
        <w:rPr>
          <w:rFonts w:hint="eastAsia" w:asciiTheme="minorEastAsia" w:hAnsiTheme="minorEastAsia" w:eastAsiaTheme="minorEastAsia" w:cstheme="minorEastAsia"/>
          <w:color w:val="auto"/>
          <w:kern w:val="0"/>
          <w:szCs w:val="21"/>
          <w:highlight w:val="none"/>
          <w:u w:val="single"/>
        </w:rPr>
        <w:t>联合体成员X,……</w:t>
      </w:r>
      <w:bookmarkEnd w:id="309"/>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提供的服务由小微企业承接，其合同份额占到合同总金额</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%以上</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b/>
          <w:color w:val="auto"/>
          <w:kern w:val="0"/>
          <w:szCs w:val="21"/>
          <w:highlight w:val="none"/>
          <w:lang w:val="zh-CN"/>
        </w:rPr>
        <w:t>（</w:t>
      </w:r>
      <w:bookmarkStart w:id="310" w:name="_Hlk101133598"/>
      <w:r>
        <w:rPr>
          <w:rFonts w:hint="eastAsia" w:asciiTheme="minorEastAsia" w:hAnsiTheme="minorEastAsia" w:eastAsiaTheme="minorEastAsia" w:cstheme="minorEastAsia"/>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Cs w:val="21"/>
          <w:highlight w:val="none"/>
        </w:rPr>
        <w:t>拟享受以上价格扣除政策的，填写有关内容。</w:t>
      </w:r>
      <w:bookmarkEnd w:id="310"/>
      <w:r>
        <w:rPr>
          <w:rFonts w:hint="eastAsia" w:asciiTheme="minorEastAsia" w:hAnsiTheme="minorEastAsia" w:eastAsiaTheme="minorEastAsia" w:cstheme="minorEastAsia"/>
          <w:b/>
          <w:color w:val="auto"/>
          <w:kern w:val="0"/>
          <w:szCs w:val="21"/>
          <w:highlight w:val="none"/>
          <w:lang w:val="zh-CN"/>
        </w:rPr>
        <w:t>）</w:t>
      </w:r>
    </w:p>
    <w:p>
      <w:pPr>
        <w:spacing w:line="360" w:lineRule="auto"/>
        <w:ind w:firstLine="420" w:firstLineChars="200"/>
        <w:rPr>
          <w:rFonts w:asciiTheme="minorEastAsia" w:hAnsiTheme="minorEastAsia" w:eastAsiaTheme="minorEastAsia" w:cstheme="minorEastAsia"/>
          <w:b/>
          <w:bCs/>
          <w:color w:val="auto"/>
          <w:kern w:val="0"/>
          <w:szCs w:val="21"/>
          <w:highlight w:val="none"/>
          <w:lang w:val="zh-CN"/>
        </w:rPr>
      </w:pPr>
      <w:r>
        <w:rPr>
          <w:rFonts w:hint="eastAsia" w:asciiTheme="minorEastAsia" w:hAnsiTheme="minorEastAsia" w:eastAsiaTheme="minorEastAsia" w:cstheme="minorEastAsia"/>
          <w:color w:val="auto"/>
          <w:szCs w:val="21"/>
          <w:highlight w:val="none"/>
        </w:rPr>
        <w:t>2、</w:t>
      </w:r>
      <w:bookmarkStart w:id="311" w:name="_Hlk101133173"/>
      <w:r>
        <w:rPr>
          <w:rFonts w:hint="eastAsia" w:asciiTheme="minorEastAsia" w:hAnsiTheme="minorEastAsia" w:eastAsiaTheme="minorEastAsia" w:cstheme="minorEastAsia"/>
          <w:color w:val="auto"/>
          <w:szCs w:val="21"/>
          <w:highlight w:val="none"/>
        </w:rPr>
        <w:t>中小企业合同金额达到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%，小微企业合同金额达到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Cs w:val="21"/>
          <w:highlight w:val="none"/>
          <w:lang w:val="zh-CN"/>
        </w:rPr>
        <w:t>）</w:t>
      </w:r>
      <w:bookmarkEnd w:id="311"/>
      <w:bookmarkStart w:id="387" w:name="_GoBack"/>
      <w:bookmarkEnd w:id="387"/>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五、如果中标，</w:t>
      </w:r>
      <w:r>
        <w:rPr>
          <w:rFonts w:hint="eastAsia" w:asciiTheme="minorEastAsia" w:hAnsiTheme="minorEastAsia" w:eastAsiaTheme="minorEastAsia" w:cstheme="minorEastAsia"/>
          <w:color w:val="auto"/>
          <w:szCs w:val="21"/>
          <w:highlight w:val="none"/>
        </w:rPr>
        <w:t>联合体各成员方共同与采购人签订合同，并就采购合同约定的事项对采购人承担连带责任。</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六、有关本次联合投标的其他事宜：</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联合体成员名称(公章)：</w:t>
      </w:r>
    </w:p>
    <w:p>
      <w:pPr>
        <w:snapToGrid w:val="0"/>
        <w:spacing w:line="360" w:lineRule="auto"/>
        <w:ind w:firstLine="4410" w:firstLineChars="21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联合体成员名称(公章)：</w:t>
      </w:r>
    </w:p>
    <w:p>
      <w:pPr>
        <w:snapToGrid w:val="0"/>
        <w:spacing w:line="360" w:lineRule="auto"/>
        <w:ind w:right="960"/>
        <w:jc w:val="center"/>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 xml:space="preserve">                   ……</w:t>
      </w:r>
    </w:p>
    <w:p>
      <w:pPr>
        <w:snapToGrid w:val="0"/>
        <w:spacing w:line="360" w:lineRule="auto"/>
        <w:jc w:val="right"/>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日期：  年  月   日</w:t>
      </w:r>
    </w:p>
    <w:p>
      <w:pPr>
        <w:spacing w:line="360" w:lineRule="auto"/>
        <w:ind w:righ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注：按本格式和要求提供。</w:t>
      </w:r>
    </w:p>
    <w:p>
      <w:pPr>
        <w:pStyle w:val="25"/>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pPr>
        <w:pStyle w:val="19"/>
        <w:spacing w:line="360" w:lineRule="auto"/>
        <w:rPr>
          <w:rFonts w:asciiTheme="minorEastAsia" w:hAnsiTheme="minorEastAsia" w:eastAsiaTheme="minorEastAsia" w:cstheme="minorEastAsia"/>
          <w:b/>
          <w:color w:val="auto"/>
          <w:szCs w:val="21"/>
          <w:highlight w:val="none"/>
        </w:rPr>
      </w:pPr>
    </w:p>
    <w:p>
      <w:pPr>
        <w:rPr>
          <w:color w:val="auto"/>
          <w:highlight w:val="none"/>
        </w:rPr>
      </w:pPr>
    </w:p>
    <w:p>
      <w:pPr>
        <w:pStyle w:val="19"/>
        <w:rPr>
          <w:color w:val="auto"/>
          <w:highlight w:val="none"/>
        </w:rPr>
      </w:pPr>
    </w:p>
    <w:p>
      <w:pPr>
        <w:pStyle w:val="47"/>
        <w:ind w:firstLine="210"/>
        <w:rPr>
          <w:color w:val="auto"/>
          <w:highlight w:val="none"/>
        </w:rPr>
      </w:pPr>
    </w:p>
    <w:p>
      <w:pPr>
        <w:rPr>
          <w:color w:val="auto"/>
          <w:highlight w:val="none"/>
        </w:rPr>
      </w:pPr>
    </w:p>
    <w:p>
      <w:pPr>
        <w:pStyle w:val="19"/>
        <w:rPr>
          <w:color w:val="auto"/>
          <w:highlight w:val="none"/>
        </w:rPr>
      </w:pPr>
    </w:p>
    <w:p>
      <w:pPr>
        <w:pStyle w:val="47"/>
        <w:ind w:firstLine="210"/>
        <w:rPr>
          <w:color w:val="auto"/>
          <w:highlight w:val="none"/>
        </w:rPr>
      </w:pPr>
    </w:p>
    <w:p>
      <w:pPr>
        <w:rPr>
          <w:color w:val="auto"/>
          <w:highlight w:val="none"/>
        </w:rPr>
      </w:pPr>
    </w:p>
    <w:p>
      <w:pPr>
        <w:pStyle w:val="25"/>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60"/>
        <w:rPr>
          <w:rFonts w:asciiTheme="minorEastAsia" w:hAnsiTheme="minorEastAsia" w:eastAsiaTheme="minorEastAsia"/>
          <w:color w:val="auto"/>
          <w:szCs w:val="21"/>
          <w:highlight w:val="none"/>
        </w:rPr>
      </w:pPr>
    </w:p>
    <w:p>
      <w:pPr>
        <w:pStyle w:val="19"/>
        <w:rPr>
          <w:color w:val="auto"/>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widowControl/>
        <w:ind w:firstLine="420"/>
        <w:jc w:val="center"/>
        <w:rPr>
          <w:rFonts w:ascii="微软雅黑" w:hAnsi="微软雅黑"/>
          <w:b/>
          <w:color w:val="auto"/>
          <w:szCs w:val="21"/>
          <w:highlight w:val="none"/>
        </w:rPr>
      </w:pPr>
      <w:r>
        <w:rPr>
          <w:rFonts w:hint="eastAsia" w:ascii="微软雅黑" w:hAnsi="微软雅黑"/>
          <w:b/>
          <w:color w:val="auto"/>
          <w:szCs w:val="21"/>
          <w:highlight w:val="none"/>
        </w:rPr>
        <w:t>中小企业声明函（工程、服务）</w:t>
      </w:r>
    </w:p>
    <w:p>
      <w:pPr>
        <w:widowControl/>
        <w:spacing w:line="400" w:lineRule="exact"/>
        <w:jc w:val="center"/>
        <w:rPr>
          <w:rFonts w:ascii="楷体_GB2312" w:eastAsia="楷体_GB2312"/>
          <w:b/>
          <w:color w:val="auto"/>
          <w:sz w:val="36"/>
          <w:szCs w:val="36"/>
          <w:highlight w:val="none"/>
        </w:rPr>
      </w:pPr>
    </w:p>
    <w:p>
      <w:pPr>
        <w:widowControl/>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 xml:space="preserve">本公司（联合体）郑重声明，根据《政府采购促进中小企业发展管理办法》（财库﹝2020﹞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46 号）的规定，本公司 （联合体）参加 </w:t>
      </w:r>
      <w:r>
        <w:rPr>
          <w:rFonts w:hint="eastAsia" w:ascii="宋体" w:hAnsi="宋体" w:cs="宋体"/>
          <w:color w:val="auto"/>
          <w:kern w:val="0"/>
          <w:szCs w:val="21"/>
          <w:highlight w:val="none"/>
          <w:u w:val="single"/>
        </w:rPr>
        <w:t xml:space="preserve">  （单位名称）  </w:t>
      </w:r>
      <w:r>
        <w:rPr>
          <w:rFonts w:hint="eastAsia" w:ascii="宋体" w:hAnsi="宋体" w:cs="宋体"/>
          <w:color w:val="auto"/>
          <w:kern w:val="0"/>
          <w:szCs w:val="21"/>
          <w:highlight w:val="none"/>
        </w:rPr>
        <w:t xml:space="preserve">的 </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xml:space="preserve">采购活动，工程的施工单位全部为符合政策要求的中小企业（或者：服务全部由符合政策要求的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中小企业承接）。相关企业 （含联合体中的中小企业、签订分包意向协议的中小企业） 的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具体情况如下： </w:t>
      </w:r>
    </w:p>
    <w:p>
      <w:pPr>
        <w:widowControl/>
        <w:spacing w:line="360" w:lineRule="auto"/>
        <w:ind w:firstLine="420" w:firstLineChars="200"/>
        <w:jc w:val="left"/>
        <w:rPr>
          <w:color w:val="auto"/>
          <w:szCs w:val="21"/>
          <w:highlight w:val="none"/>
          <w:u w:val="singl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u w:val="single"/>
        </w:rPr>
        <w:t xml:space="preserve">（标的名称） </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Cs w:val="21"/>
          <w:highlight w:val="none"/>
        </w:rPr>
        <w:t>；承建（承接）企业为</w:t>
      </w:r>
      <w:r>
        <w:rPr>
          <w:rFonts w:hint="eastAsia" w:ascii="宋体" w:hAnsi="宋体" w:cs="宋体"/>
          <w:color w:val="auto"/>
          <w:kern w:val="0"/>
          <w:szCs w:val="21"/>
          <w:highlight w:val="none"/>
          <w:u w:val="single"/>
        </w:rPr>
        <w:t xml:space="preserve">（企 </w:t>
      </w:r>
    </w:p>
    <w:p>
      <w:pPr>
        <w:widowControl/>
        <w:spacing w:line="360" w:lineRule="auto"/>
        <w:jc w:val="left"/>
        <w:rPr>
          <w:color w:val="auto"/>
          <w:szCs w:val="21"/>
          <w:highlight w:val="none"/>
        </w:rPr>
      </w:pPr>
      <w:r>
        <w:rPr>
          <w:rFonts w:hint="eastAsia" w:ascii="宋体" w:hAnsi="宋体" w:cs="宋体"/>
          <w:color w:val="auto"/>
          <w:kern w:val="0"/>
          <w:szCs w:val="21"/>
          <w:highlight w:val="none"/>
          <w:u w:val="single"/>
        </w:rPr>
        <w:t>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pPr>
        <w:widowControl/>
        <w:spacing w:line="360" w:lineRule="auto"/>
        <w:ind w:firstLine="420" w:firstLineChars="200"/>
        <w:jc w:val="left"/>
        <w:rPr>
          <w:color w:val="auto"/>
          <w:szCs w:val="21"/>
          <w:highlight w:val="none"/>
          <w:u w:val="single"/>
        </w:rPr>
      </w:pP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u w:val="single"/>
        </w:rPr>
        <w:t xml:space="preserve">（标的名称） </w:t>
      </w:r>
      <w:r>
        <w:rPr>
          <w:rFonts w:hint="eastAsia" w:ascii="宋体" w:hAnsi="宋体" w:cs="宋体"/>
          <w:color w:val="auto"/>
          <w:kern w:val="0"/>
          <w:szCs w:val="21"/>
          <w:highlight w:val="none"/>
        </w:rPr>
        <w:t>，属于（采购文件中明确的所属行业）行业；承建（承接）企业为</w:t>
      </w:r>
      <w:r>
        <w:rPr>
          <w:rFonts w:hint="eastAsia" w:ascii="宋体" w:hAnsi="宋体" w:cs="宋体"/>
          <w:color w:val="auto"/>
          <w:kern w:val="0"/>
          <w:szCs w:val="21"/>
          <w:highlight w:val="none"/>
          <w:u w:val="single"/>
        </w:rPr>
        <w:t xml:space="preserve">（企 </w:t>
      </w:r>
    </w:p>
    <w:p>
      <w:pPr>
        <w:widowControl/>
        <w:spacing w:line="360" w:lineRule="auto"/>
        <w:jc w:val="left"/>
        <w:rPr>
          <w:color w:val="auto"/>
          <w:szCs w:val="21"/>
          <w:highlight w:val="none"/>
        </w:rPr>
      </w:pPr>
      <w:r>
        <w:rPr>
          <w:rFonts w:hint="eastAsia" w:ascii="宋体" w:hAnsi="宋体" w:cs="宋体"/>
          <w:color w:val="auto"/>
          <w:kern w:val="0"/>
          <w:szCs w:val="21"/>
          <w:highlight w:val="none"/>
          <w:u w:val="single"/>
        </w:rPr>
        <w:t xml:space="preserve">业名称）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pPr>
        <w:widowControl/>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 xml:space="preserve">....... </w:t>
      </w:r>
    </w:p>
    <w:p>
      <w:pPr>
        <w:widowControl/>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 xml:space="preserve">以上企业，不属于大企业的分支机构，不存在控股股东为大企业的情形，也不存在与大 </w:t>
      </w:r>
    </w:p>
    <w:p>
      <w:pPr>
        <w:widowControl/>
        <w:spacing w:line="360" w:lineRule="auto"/>
        <w:jc w:val="left"/>
        <w:rPr>
          <w:color w:val="auto"/>
          <w:szCs w:val="21"/>
          <w:highlight w:val="none"/>
        </w:rPr>
      </w:pPr>
      <w:r>
        <w:rPr>
          <w:rFonts w:hint="eastAsia" w:ascii="宋体" w:hAnsi="宋体" w:cs="宋体"/>
          <w:color w:val="auto"/>
          <w:kern w:val="0"/>
          <w:szCs w:val="21"/>
          <w:highlight w:val="none"/>
        </w:rPr>
        <w:t xml:space="preserve">企业的负责人为同一人的情形。 </w:t>
      </w:r>
    </w:p>
    <w:p>
      <w:pPr>
        <w:spacing w:line="360" w:lineRule="auto"/>
        <w:rPr>
          <w:rFonts w:ascii="宋体" w:hAnsi="宋体"/>
          <w:b/>
          <w:color w:val="auto"/>
          <w:szCs w:val="21"/>
          <w:highlight w:val="none"/>
        </w:rPr>
      </w:pPr>
      <w:r>
        <w:rPr>
          <w:rFonts w:hint="eastAsia" w:ascii="宋体" w:hAnsi="宋体" w:cs="宋体"/>
          <w:color w:val="auto"/>
          <w:kern w:val="0"/>
          <w:szCs w:val="21"/>
          <w:highlight w:val="none"/>
        </w:rPr>
        <w:t>本企业对上述声明内容的真实性负责。如有虚假，将依法承担相应责任。</w:t>
      </w:r>
    </w:p>
    <w:p>
      <w:pPr>
        <w:spacing w:line="360" w:lineRule="auto"/>
        <w:rPr>
          <w:color w:val="auto"/>
          <w:szCs w:val="21"/>
          <w:highlight w:val="none"/>
        </w:rPr>
      </w:pPr>
    </w:p>
    <w:p>
      <w:pPr>
        <w:spacing w:line="360" w:lineRule="auto"/>
        <w:rPr>
          <w:color w:val="auto"/>
          <w:szCs w:val="21"/>
          <w:highlight w:val="none"/>
        </w:rPr>
      </w:pPr>
    </w:p>
    <w:p>
      <w:pPr>
        <w:pStyle w:val="2"/>
        <w:spacing w:line="360" w:lineRule="auto"/>
        <w:rPr>
          <w:color w:val="auto"/>
          <w:sz w:val="21"/>
          <w:szCs w:val="21"/>
          <w:highlight w:val="none"/>
        </w:rPr>
      </w:pPr>
    </w:p>
    <w:p>
      <w:pPr>
        <w:pStyle w:val="19"/>
        <w:spacing w:line="360" w:lineRule="auto"/>
        <w:rPr>
          <w:color w:val="auto"/>
          <w:szCs w:val="21"/>
          <w:highlight w:val="none"/>
        </w:rPr>
      </w:pPr>
    </w:p>
    <w:p>
      <w:pPr>
        <w:pStyle w:val="19"/>
        <w:spacing w:line="360" w:lineRule="auto"/>
        <w:rPr>
          <w:color w:val="auto"/>
          <w:szCs w:val="21"/>
          <w:highlight w:val="none"/>
        </w:rPr>
      </w:pPr>
    </w:p>
    <w:p>
      <w:pPr>
        <w:pStyle w:val="19"/>
        <w:spacing w:line="360" w:lineRule="auto"/>
        <w:rPr>
          <w:color w:val="auto"/>
          <w:szCs w:val="21"/>
          <w:highlight w:val="none"/>
        </w:rPr>
      </w:pP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投标人（CA签章）:</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日 期：    年  月  日</w:t>
      </w: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ind w:firstLine="420"/>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pPr>
        <w:widowControl/>
        <w:ind w:firstLine="420"/>
        <w:rPr>
          <w:rFonts w:ascii="微软雅黑" w:hAnsi="微软雅黑"/>
          <w:b/>
          <w:color w:val="auto"/>
          <w:szCs w:val="21"/>
          <w:highlight w:val="none"/>
        </w:rPr>
      </w:pPr>
    </w:p>
    <w:p>
      <w:pPr>
        <w:widowControl/>
        <w:ind w:firstLine="420"/>
        <w:jc w:val="center"/>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pPr>
        <w:widowControl/>
        <w:ind w:firstLine="420"/>
        <w:rPr>
          <w:rFonts w:ascii="微软雅黑" w:hAnsi="微软雅黑"/>
          <w:color w:val="auto"/>
          <w:szCs w:val="21"/>
          <w:highlight w:val="none"/>
        </w:rPr>
      </w:pPr>
      <w:r>
        <w:rPr>
          <w:rFonts w:hint="eastAsia" w:ascii="微软雅黑" w:hAnsi="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本单位对上述声明的真实性负责。如有虚假，将依法承担相应责任。</w:t>
      </w:r>
    </w:p>
    <w:p>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w:t>
      </w:r>
      <w:r>
        <w:rPr>
          <w:rFonts w:hint="eastAsia" w:ascii="宋体" w:hAnsi="宋体"/>
          <w:color w:val="auto"/>
          <w:szCs w:val="21"/>
          <w:highlight w:val="none"/>
        </w:rPr>
        <w:t>供应商（CA签章）</w:t>
      </w:r>
      <w:r>
        <w:rPr>
          <w:rFonts w:ascii="宋体" w:hAnsi="宋体"/>
          <w:color w:val="auto"/>
          <w:szCs w:val="21"/>
          <w:highlight w:val="none"/>
        </w:rPr>
        <w:t>：</w:t>
      </w:r>
    </w:p>
    <w:p>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日 期：</w:t>
      </w:r>
    </w:p>
    <w:p>
      <w:pPr>
        <w:ind w:firstLine="420"/>
        <w:rPr>
          <w:color w:val="auto"/>
          <w:highlight w:val="none"/>
        </w:rPr>
        <w:sectPr>
          <w:pgSz w:w="11906" w:h="16838"/>
          <w:pgMar w:top="1440" w:right="1800" w:bottom="1440" w:left="1800" w:header="851" w:footer="992" w:gutter="0"/>
          <w:cols w:space="720" w:num="1"/>
          <w:docGrid w:type="lines" w:linePitch="312" w:charSpace="0"/>
        </w:sectPr>
      </w:pPr>
    </w:p>
    <w:p>
      <w:pPr>
        <w:ind w:firstLine="420"/>
        <w:rPr>
          <w:color w:val="auto"/>
          <w:highlight w:val="none"/>
        </w:rPr>
      </w:pPr>
      <w:r>
        <w:rPr>
          <w:rFonts w:hint="eastAsia"/>
          <w:color w:val="auto"/>
          <w:highlight w:val="none"/>
        </w:rPr>
        <w:t>监狱企业证明文件</w:t>
      </w:r>
    </w:p>
    <w:p>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监狱企业证明文件</w:t>
      </w:r>
    </w:p>
    <w:tbl>
      <w:tblPr>
        <w:tblStyle w:val="49"/>
        <w:tblW w:w="7533"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7533"/>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7533" w:type="dxa"/>
            <w:vAlign w:val="center"/>
          </w:tcPr>
          <w:p>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pPr>
              <w:ind w:firstLine="420"/>
              <w:jc w:val="center"/>
              <w:rPr>
                <w:rFonts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复印件加盖投标供应商公章）</w:t>
            </w:r>
          </w:p>
        </w:tc>
      </w:tr>
    </w:tbl>
    <w:p>
      <w:pPr>
        <w:ind w:firstLine="420"/>
        <w:rPr>
          <w:rFonts w:ascii="微软雅黑" w:hAnsi="微软雅黑" w:cs="Arial"/>
          <w:i/>
          <w:color w:val="auto"/>
          <w:szCs w:val="21"/>
          <w:highlight w:val="none"/>
        </w:rPr>
      </w:pPr>
    </w:p>
    <w:p>
      <w:pPr>
        <w:snapToGrid w:val="0"/>
        <w:rPr>
          <w:rFonts w:ascii="微软雅黑" w:hAnsi="微软雅黑"/>
          <w:color w:val="auto"/>
          <w:szCs w:val="21"/>
          <w:highlight w:val="none"/>
          <w:u w:val="single"/>
        </w:rPr>
      </w:pPr>
      <w:r>
        <w:rPr>
          <w:rFonts w:hint="eastAsia" w:ascii="宋体" w:hAnsi="宋体"/>
          <w:color w:val="auto"/>
          <w:szCs w:val="21"/>
          <w:highlight w:val="none"/>
        </w:rPr>
        <w:t>供应商（CA签章）</w:t>
      </w:r>
      <w:r>
        <w:rPr>
          <w:rFonts w:hint="eastAsia" w:ascii="微软雅黑" w:hAnsi="微软雅黑"/>
          <w:color w:val="auto"/>
          <w:szCs w:val="21"/>
          <w:highlight w:val="none"/>
          <w:shd w:val="clear" w:color="auto" w:fill="FFFFFF"/>
        </w:rPr>
        <w:t>：</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投标日期： 年 月 日</w:t>
      </w:r>
    </w:p>
    <w:p>
      <w:pPr>
        <w:pStyle w:val="95"/>
        <w:rPr>
          <w:rFonts w:ascii="微软雅黑" w:hAnsi="微软雅黑" w:eastAsia="微软雅黑"/>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pStyle w:val="25"/>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spacing w:line="360" w:lineRule="auto"/>
        <w:ind w:right="42" w:rightChars="20" w:firstLine="422" w:firstLineChars="200"/>
        <w:jc w:val="left"/>
        <w:rPr>
          <w:rFonts w:asciiTheme="minorEastAsia" w:hAnsiTheme="minorEastAsia" w:eastAsiaTheme="minorEastAsia"/>
          <w:b/>
          <w:color w:val="auto"/>
          <w:szCs w:val="21"/>
          <w:highlight w:val="none"/>
        </w:rPr>
      </w:pPr>
    </w:p>
    <w:p>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承诺函</w:t>
      </w:r>
    </w:p>
    <w:p>
      <w:pPr>
        <w:spacing w:line="360" w:lineRule="auto"/>
        <w:ind w:right="42" w:rightChars="2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szCs w:val="21"/>
          <w:highlight w:val="none"/>
          <w:u w:val="single"/>
        </w:rPr>
        <w:t xml:space="preserve">嘉兴市秀洲区农业农村和水利局  </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shd w:val="clear" w:color="auto" w:fill="FFFFFF"/>
        </w:rPr>
      </w:pPr>
    </w:p>
    <w:p>
      <w:pPr>
        <w:snapToGrid w:val="0"/>
        <w:spacing w:line="360" w:lineRule="auto"/>
        <w:ind w:right="42" w:rightChars="2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本公司（公司名称）参加</w:t>
      </w:r>
      <w:r>
        <w:rPr>
          <w:rFonts w:hint="eastAsia" w:asciiTheme="minorEastAsia" w:hAnsiTheme="minorEastAsia" w:eastAsiaTheme="minorEastAsia"/>
          <w:b/>
          <w:color w:val="auto"/>
          <w:highlight w:val="none"/>
          <w:lang w:eastAsia="zh-CN"/>
        </w:rPr>
        <w:t>秀洲区2024年度白蚁等害堤动物防治项目</w:t>
      </w:r>
      <w:r>
        <w:rPr>
          <w:rFonts w:hint="eastAsia" w:asciiTheme="minorEastAsia" w:hAnsiTheme="minorEastAsia" w:eastAsiaTheme="minorEastAsia"/>
          <w:color w:val="auto"/>
          <w:szCs w:val="21"/>
          <w:highlight w:val="none"/>
          <w:shd w:val="clear" w:color="auto" w:fill="FFFFFF"/>
        </w:rPr>
        <w:t>投标活动，现承诺如下：</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（1）提供具有独立承担民事责任的能力；</w:t>
      </w:r>
    </w:p>
    <w:p>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（2）具有良好的商业信誉和健全的财务会计制度；</w:t>
      </w:r>
    </w:p>
    <w:p>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（3）具有履行合同所必需的设备和专业技术能力；</w:t>
      </w:r>
    </w:p>
    <w:p>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（4）有依法缴纳税收和社会保障资金的良好记录；</w:t>
      </w:r>
    </w:p>
    <w:p>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w:t>
      </w:r>
    </w:p>
    <w:p>
      <w:pPr>
        <w:pStyle w:val="19"/>
        <w:rPr>
          <w:color w:val="auto"/>
          <w:highlight w:val="none"/>
        </w:rPr>
      </w:pPr>
      <w:r>
        <w:rPr>
          <w:rFonts w:hint="eastAsia" w:asciiTheme="minorEastAsia" w:hAnsiTheme="minorEastAsia" w:eastAsiaTheme="minorEastAsia"/>
          <w:color w:val="auto"/>
          <w:szCs w:val="21"/>
          <w:highlight w:val="none"/>
        </w:rPr>
        <w:t>（6）</w:t>
      </w:r>
      <w:r>
        <w:rPr>
          <w:rFonts w:hint="eastAsia" w:ascii="宋体" w:hAnsi="宋体" w:cs="宋体"/>
          <w:color w:val="auto"/>
          <w:szCs w:val="21"/>
          <w:highlight w:val="none"/>
          <w:lang w:bidi="ar"/>
        </w:rPr>
        <w:t>若中标后无法满足</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bidi="ar"/>
        </w:rPr>
        <w:t>项的视为虚假应标并自愿赔偿业主相关损失，采购人有权上报财政部门。</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如违反以上承诺，本公司愿承担一切法律责任。</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法定代表人或其授权代表签字（或盖章）</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投标日期： 年 月 日</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br w:type="page"/>
      </w:r>
    </w:p>
    <w:p>
      <w:pPr>
        <w:snapToGrid w:val="0"/>
        <w:ind w:right="42" w:rightChars="20" w:firstLine="420" w:firstLineChars="200"/>
        <w:jc w:val="left"/>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廉政承诺书格式：</w:t>
      </w:r>
    </w:p>
    <w:p>
      <w:pPr>
        <w:pStyle w:val="4"/>
        <w:ind w:right="42" w:rightChars="2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廉政承诺书</w:t>
      </w:r>
    </w:p>
    <w:p>
      <w:pPr>
        <w:autoSpaceDE w:val="0"/>
        <w:autoSpaceDN w:val="0"/>
        <w:adjustRightInd w:val="0"/>
        <w:spacing w:line="360" w:lineRule="auto"/>
        <w:ind w:right="42" w:rightChars="20"/>
        <w:contextualSpacing/>
        <w:rPr>
          <w:rFonts w:ascii="宋体" w:hAnsi="宋体" w:cs="宋体"/>
          <w:color w:val="auto"/>
          <w:kern w:val="0"/>
          <w:szCs w:val="21"/>
          <w:highlight w:val="none"/>
          <w:lang w:val="zh-CN"/>
        </w:rPr>
      </w:pPr>
      <w:r>
        <w:rPr>
          <w:rFonts w:hint="eastAsia" w:ascii="宋体" w:hAnsi="宋体" w:cs="宋体"/>
          <w:color w:val="auto"/>
          <w:szCs w:val="21"/>
          <w:highlight w:val="none"/>
        </w:rPr>
        <w:t>致：（招标采购单位名称）</w:t>
      </w:r>
    </w:p>
    <w:p>
      <w:pPr>
        <w:autoSpaceDE w:val="0"/>
        <w:autoSpaceDN w:val="0"/>
        <w:adjustRightInd w:val="0"/>
        <w:spacing w:line="360" w:lineRule="auto"/>
        <w:ind w:right="42" w:rightChars="20"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我单位响应项目采购要求参加投标。在这次投标过程中和中标后，我们将严格遵守国家法律法规的要求，并郑重承诺：</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一、不向项目有关人员及部门赠送礼金礼物、有价证券、回扣以及中介费、介绍费、咨询费等好处费；    </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二、不为项目有关人员及部门报销应由你方单位或个人支付的费用；    </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三、不向项目有关人员及部门提供有可能影响公正的宴请和健身娱乐等活动；    </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四、不为项目有关人员及部门出国（境）、旅游等提供方便；    </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五、不为项目有关人员个人装修住房、婚丧嫁娶、配偶子女工作安排等提供好处；    </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六、严格遵守政府采购法、招标投标法、合同法等法律，诚实守信，合法经营，坚决抵制各种违法违纪行为。</w:t>
      </w:r>
    </w:p>
    <w:p>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如违反上述承诺，你单位有权立即取消我单位投标、中标或在建项目的建设资格，有权拒绝我单位在一定时期内进入你单位进行项目建设或其他经营活动，并通报政府采购监督管理部门。由此引起的相应损失均由我单位承担。</w:t>
      </w:r>
    </w:p>
    <w:p>
      <w:pPr>
        <w:tabs>
          <w:tab w:val="left" w:pos="1418"/>
        </w:tabs>
        <w:spacing w:line="360" w:lineRule="auto"/>
        <w:ind w:right="42" w:rightChars="20"/>
        <w:contextualSpacing/>
        <w:rPr>
          <w:rFonts w:ascii="宋体" w:hAnsi="宋体"/>
          <w:color w:val="auto"/>
          <w:szCs w:val="21"/>
          <w:highlight w:val="none"/>
        </w:rPr>
      </w:pPr>
    </w:p>
    <w:p>
      <w:pPr>
        <w:pStyle w:val="162"/>
        <w:snapToGrid w:val="0"/>
        <w:spacing w:line="360" w:lineRule="auto"/>
        <w:ind w:right="42" w:rightChars="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tabs>
          <w:tab w:val="left" w:pos="1418"/>
        </w:tabs>
        <w:spacing w:line="360" w:lineRule="auto"/>
        <w:ind w:right="42" w:rightChars="20"/>
        <w:contextualSpacing/>
        <w:rPr>
          <w:rFonts w:ascii="宋体" w:hAnsi="宋体"/>
          <w:color w:val="auto"/>
          <w:szCs w:val="21"/>
          <w:highlight w:val="none"/>
        </w:rPr>
      </w:pPr>
    </w:p>
    <w:p>
      <w:pPr>
        <w:tabs>
          <w:tab w:val="left" w:pos="1418"/>
        </w:tabs>
        <w:spacing w:line="360" w:lineRule="auto"/>
        <w:ind w:right="42" w:rightChars="20"/>
        <w:contextualSpacing/>
        <w:rPr>
          <w:rFonts w:ascii="宋体" w:hAnsi="宋体"/>
          <w:color w:val="auto"/>
          <w:szCs w:val="21"/>
          <w:highlight w:val="none"/>
        </w:rPr>
      </w:pPr>
      <w:r>
        <w:rPr>
          <w:rFonts w:hint="eastAsia" w:ascii="宋体" w:hAnsi="宋体"/>
          <w:color w:val="auto"/>
          <w:szCs w:val="21"/>
          <w:highlight w:val="none"/>
        </w:rPr>
        <w:t>投 标 人（</w:t>
      </w:r>
      <w:r>
        <w:rPr>
          <w:rFonts w:hint="eastAsia" w:asciiTheme="minorEastAsia" w:hAnsiTheme="minorEastAsia" w:eastAsiaTheme="minorEastAsia"/>
          <w:color w:val="auto"/>
          <w:szCs w:val="21"/>
          <w:highlight w:val="none"/>
          <w:shd w:val="clear" w:color="auto" w:fill="FFFFFF"/>
        </w:rPr>
        <w:t>CA签章</w:t>
      </w:r>
      <w:r>
        <w:rPr>
          <w:rFonts w:hint="eastAsia" w:ascii="宋体" w:hAnsi="宋体"/>
          <w:color w:val="auto"/>
          <w:szCs w:val="21"/>
          <w:highlight w:val="none"/>
        </w:rPr>
        <w:t xml:space="preserve">）：                            </w:t>
      </w:r>
    </w:p>
    <w:p>
      <w:pPr>
        <w:tabs>
          <w:tab w:val="left" w:pos="1418"/>
        </w:tabs>
        <w:spacing w:line="360" w:lineRule="auto"/>
        <w:ind w:right="42" w:rightChars="20"/>
        <w:contextualSpacing/>
        <w:rPr>
          <w:rFonts w:ascii="宋体" w:hAnsi="宋体" w:cs="宋体"/>
          <w:bCs/>
          <w:color w:val="auto"/>
          <w:szCs w:val="21"/>
          <w:highlight w:val="none"/>
        </w:rPr>
      </w:pPr>
    </w:p>
    <w:p>
      <w:pPr>
        <w:tabs>
          <w:tab w:val="left" w:pos="1418"/>
        </w:tabs>
        <w:spacing w:line="360" w:lineRule="auto"/>
        <w:ind w:right="42" w:rightChars="20"/>
        <w:contextualSpacing/>
        <w:jc w:val="right"/>
        <w:rPr>
          <w:rFonts w:ascii="宋体" w:hAnsi="宋体" w:cs="宋体"/>
          <w:b/>
          <w:bCs/>
          <w:color w:val="auto"/>
          <w:szCs w:val="21"/>
          <w:highlight w:val="none"/>
        </w:rPr>
      </w:pPr>
      <w:r>
        <w:rPr>
          <w:rFonts w:hint="eastAsia" w:ascii="宋体" w:hAnsi="宋体" w:cs="宋体"/>
          <w:bCs/>
          <w:color w:val="auto"/>
          <w:szCs w:val="21"/>
          <w:highlight w:val="none"/>
        </w:rPr>
        <w:t xml:space="preserve">  年  月  日</w:t>
      </w:r>
    </w:p>
    <w:p>
      <w:pPr>
        <w:pStyle w:val="3"/>
        <w:spacing w:line="360" w:lineRule="auto"/>
        <w:ind w:right="42" w:rightChars="20"/>
        <w:contextualSpacing/>
        <w:rPr>
          <w:color w:val="auto"/>
          <w:highlight w:val="none"/>
        </w:rPr>
        <w:sectPr>
          <w:headerReference r:id="rId4" w:type="default"/>
          <w:pgSz w:w="11906" w:h="16838"/>
          <w:pgMar w:top="1474" w:right="1842" w:bottom="1247" w:left="1797" w:header="851" w:footer="851" w:gutter="0"/>
          <w:cols w:space="720" w:num="1"/>
          <w:docGrid w:linePitch="312" w:charSpace="0"/>
        </w:sect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投标人的类似成功案例的业绩证明文件：</w:t>
      </w:r>
    </w:p>
    <w:p>
      <w:pPr>
        <w:pStyle w:val="35"/>
        <w:snapToGrid w:val="0"/>
        <w:spacing w:line="360" w:lineRule="auto"/>
        <w:ind w:left="0"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投标人同类项目实施情况一览表格式：（投标人同类项目合同复印件）</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p>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金额</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（万元）</w:t>
            </w:r>
          </w:p>
        </w:tc>
        <w:tc>
          <w:tcPr>
            <w:tcW w:w="1517" w:type="dxa"/>
            <w:tcBorders>
              <w:top w:val="single" w:color="auto" w:sz="4" w:space="0"/>
              <w:left w:val="single" w:color="auto" w:sz="4" w:space="0"/>
              <w:right w:val="single" w:color="auto" w:sz="4" w:space="0"/>
            </w:tcBorders>
            <w:vAlign w:val="center"/>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附件页码</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采购单位联系人及</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pPr>
        <w:pStyle w:val="15"/>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rPr>
      </w:pP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pStyle w:val="15"/>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u w:val="singl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）：年月日</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sectPr>
          <w:pgSz w:w="16838" w:h="11906" w:orient="landscape"/>
          <w:pgMar w:top="1797" w:right="1842" w:bottom="1797" w:left="1247" w:header="851" w:footer="851" w:gutter="0"/>
          <w:cols w:space="720" w:num="1"/>
          <w:docGrid w:linePitch="312" w:charSpace="0"/>
        </w:sect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商务响应表格式：</w:t>
      </w:r>
    </w:p>
    <w:tbl>
      <w:tblPr>
        <w:tblStyle w:val="49"/>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pPr>
        <w:pStyle w:val="25"/>
        <w:spacing w:line="360" w:lineRule="auto"/>
        <w:ind w:right="42" w:rightChars="20" w:firstLine="420" w:firstLineChars="200"/>
        <w:jc w:val="left"/>
        <w:rPr>
          <w:rFonts w:asciiTheme="minorEastAsia" w:hAnsiTheme="minorEastAsia" w:eastAsiaTheme="minorEastAsia"/>
          <w:color w:val="auto"/>
          <w:szCs w:val="21"/>
          <w:highlight w:val="none"/>
        </w:rPr>
      </w:pPr>
    </w:p>
    <w:p>
      <w:pPr>
        <w:pStyle w:val="25"/>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注：本表不允许负偏离；</w:t>
      </w:r>
    </w:p>
    <w:p>
      <w:pPr>
        <w:pStyle w:val="25"/>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▲不提供本表视为完全响应招标文件要求。</w:t>
      </w: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pStyle w:val="25"/>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w:t>
      </w:r>
    </w:p>
    <w:p>
      <w:pPr>
        <w:pStyle w:val="25"/>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日期：年月  日</w:t>
      </w:r>
    </w:p>
    <w:p>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p>
    <w:p>
      <w:pPr>
        <w:pStyle w:val="95"/>
        <w:ind w:right="42" w:rightChars="20"/>
        <w:rPr>
          <w:rFonts w:asciiTheme="minorEastAsia" w:hAnsiTheme="minorEastAsia" w:eastAsiaTheme="minorEastAsia"/>
          <w:color w:val="auto"/>
          <w:highlight w:val="none"/>
        </w:rPr>
      </w:pPr>
    </w:p>
    <w:p>
      <w:pPr>
        <w:snapToGrid w:val="0"/>
        <w:spacing w:before="50" w:after="120" w:afterLines="50"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技术响应表格式</w:t>
      </w:r>
    </w:p>
    <w:tbl>
      <w:tblPr>
        <w:tblStyle w:val="49"/>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12" w:name="_Toc381081903"/>
            <w:bookmarkStart w:id="313" w:name="_Toc385854110"/>
            <w:bookmarkStart w:id="314" w:name="_Toc62745298"/>
            <w:bookmarkStart w:id="315" w:name="_Toc382928236"/>
            <w:bookmarkStart w:id="316" w:name="_Toc402963128"/>
            <w:bookmarkStart w:id="317" w:name="_Toc406402957"/>
            <w:bookmarkStart w:id="318" w:name="_Toc382928118"/>
            <w:bookmarkStart w:id="319" w:name="_Toc377653976"/>
            <w:bookmarkStart w:id="320" w:name="_Toc377028119"/>
            <w:bookmarkStart w:id="321" w:name="_Toc406403001"/>
            <w:bookmarkStart w:id="322" w:name="_Toc377028057"/>
            <w:bookmarkStart w:id="323" w:name="_Toc401570314"/>
            <w:bookmarkStart w:id="324" w:name="_Toc385854156"/>
            <w:bookmarkStart w:id="325" w:name="_Toc402963095"/>
            <w:bookmarkStart w:id="326" w:name="_Toc401570290"/>
            <w:r>
              <w:rPr>
                <w:rFonts w:hint="eastAsia" w:asciiTheme="minorEastAsia" w:hAnsiTheme="minorEastAsia" w:eastAsiaTheme="minorEastAsia"/>
                <w:color w:val="auto"/>
                <w:szCs w:val="21"/>
                <w:highlight w:val="none"/>
              </w:rPr>
              <w:t>招标文件要求</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c>
          <w:tcPr>
            <w:tcW w:w="343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27" w:name="_Toc377028058"/>
            <w:bookmarkStart w:id="328" w:name="_Toc402963129"/>
            <w:bookmarkStart w:id="329" w:name="_Toc377653977"/>
            <w:bookmarkStart w:id="330" w:name="_Toc406403002"/>
            <w:bookmarkStart w:id="331" w:name="_Toc401570315"/>
            <w:bookmarkStart w:id="332" w:name="_Toc402963096"/>
            <w:bookmarkStart w:id="333" w:name="_Toc401570291"/>
            <w:bookmarkStart w:id="334" w:name="_Toc382928237"/>
            <w:bookmarkStart w:id="335" w:name="_Toc377028120"/>
            <w:bookmarkStart w:id="336" w:name="_Toc385854157"/>
            <w:bookmarkStart w:id="337" w:name="_Toc62745299"/>
            <w:bookmarkStart w:id="338" w:name="_Toc406402958"/>
            <w:bookmarkStart w:id="339" w:name="_Toc385854111"/>
            <w:bookmarkStart w:id="340" w:name="_Toc382928119"/>
            <w:bookmarkStart w:id="341" w:name="_Toc381081904"/>
            <w:r>
              <w:rPr>
                <w:rFonts w:hint="eastAsia" w:asciiTheme="minorEastAsia" w:hAnsiTheme="minorEastAsia" w:eastAsiaTheme="minorEastAsia"/>
                <w:color w:val="auto"/>
                <w:szCs w:val="21"/>
                <w:highlight w:val="none"/>
              </w:rPr>
              <w:t>投标文件响应</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42" w:name="_Toc385854112"/>
            <w:bookmarkStart w:id="343" w:name="_Toc401570316"/>
            <w:bookmarkStart w:id="344" w:name="_Toc377028121"/>
            <w:bookmarkStart w:id="345" w:name="_Toc406402959"/>
            <w:bookmarkStart w:id="346" w:name="_Toc401570292"/>
            <w:bookmarkStart w:id="347" w:name="_Toc402963097"/>
            <w:bookmarkStart w:id="348" w:name="_Toc402963130"/>
            <w:bookmarkStart w:id="349" w:name="_Toc62745300"/>
            <w:bookmarkStart w:id="350" w:name="_Toc385854158"/>
            <w:bookmarkStart w:id="351" w:name="_Toc406403003"/>
            <w:bookmarkStart w:id="352" w:name="_Toc377028059"/>
            <w:bookmarkStart w:id="353" w:name="_Toc377653978"/>
            <w:bookmarkStart w:id="354" w:name="_Toc381081905"/>
            <w:bookmarkStart w:id="355" w:name="_Toc382928120"/>
            <w:bookmarkStart w:id="356" w:name="_Toc382928238"/>
            <w:r>
              <w:rPr>
                <w:rFonts w:hint="eastAsia" w:asciiTheme="minorEastAsia" w:hAnsiTheme="minorEastAsia" w:eastAsiaTheme="minorEastAsia"/>
                <w:color w:val="auto"/>
                <w:szCs w:val="21"/>
                <w:highlight w:val="none"/>
              </w:rPr>
              <w:t>偏离情况</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57" w:name="_Toc382928239"/>
            <w:bookmarkStart w:id="358" w:name="_Toc401570317"/>
            <w:bookmarkStart w:id="359" w:name="_Toc402963098"/>
            <w:bookmarkStart w:id="360" w:name="_Toc385854113"/>
            <w:bookmarkStart w:id="361" w:name="_Toc382928121"/>
            <w:bookmarkStart w:id="362" w:name="_Toc377028060"/>
            <w:bookmarkStart w:id="363" w:name="_Toc377028122"/>
            <w:bookmarkStart w:id="364" w:name="_Toc62745301"/>
            <w:bookmarkStart w:id="365" w:name="_Toc402963131"/>
            <w:bookmarkStart w:id="366" w:name="_Toc377653979"/>
            <w:bookmarkStart w:id="367" w:name="_Toc381081906"/>
            <w:bookmarkStart w:id="368" w:name="_Toc385854159"/>
            <w:bookmarkStart w:id="369" w:name="_Toc401570293"/>
            <w:bookmarkStart w:id="370" w:name="_Toc406403004"/>
            <w:bookmarkStart w:id="371" w:name="_Toc406402960"/>
            <w:r>
              <w:rPr>
                <w:rFonts w:hint="eastAsia" w:asciiTheme="minorEastAsia" w:hAnsiTheme="minorEastAsia" w:eastAsiaTheme="minorEastAsia"/>
                <w:color w:val="auto"/>
                <w:szCs w:val="21"/>
                <w:highlight w:val="none"/>
              </w:rPr>
              <w:t>项目</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tc>
        <w:tc>
          <w:tcPr>
            <w:tcW w:w="2475"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72" w:name="_Toc402963099"/>
            <w:bookmarkStart w:id="373" w:name="_Toc406402961"/>
            <w:bookmarkStart w:id="374" w:name="_Toc382928122"/>
            <w:bookmarkStart w:id="375" w:name="_Toc381081907"/>
            <w:bookmarkStart w:id="376" w:name="_Toc382928240"/>
            <w:bookmarkStart w:id="377" w:name="_Toc385854114"/>
            <w:bookmarkStart w:id="378" w:name="_Toc401570318"/>
            <w:bookmarkStart w:id="379" w:name="_Toc62745302"/>
            <w:bookmarkStart w:id="380" w:name="_Toc401570294"/>
            <w:bookmarkStart w:id="381" w:name="_Toc406403005"/>
            <w:bookmarkStart w:id="382" w:name="_Toc385854160"/>
            <w:bookmarkStart w:id="383" w:name="_Toc377653980"/>
            <w:bookmarkStart w:id="384" w:name="_Toc377028123"/>
            <w:bookmarkStart w:id="385" w:name="_Toc377028061"/>
            <w:bookmarkStart w:id="386" w:name="_Toc402963132"/>
            <w:r>
              <w:rPr>
                <w:rFonts w:hint="eastAsia" w:asciiTheme="minorEastAsia" w:hAnsiTheme="minorEastAsia" w:eastAsiaTheme="minorEastAsia"/>
                <w:color w:val="auto"/>
                <w:szCs w:val="21"/>
                <w:highlight w:val="none"/>
              </w:rPr>
              <w:t>要求</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响应情况</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right="42" w:rightChars="20"/>
              <w:jc w:val="lef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42" w:rightChars="2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ind w:right="42" w:rightChars="20"/>
              <w:outlineLvl w:val="0"/>
              <w:rPr>
                <w:rFonts w:asciiTheme="minorEastAsia" w:hAnsiTheme="minorEastAsia" w:eastAsiaTheme="minorEastAsia"/>
                <w:color w:val="auto"/>
                <w:szCs w:val="21"/>
                <w:highlight w:val="none"/>
              </w:rPr>
            </w:pPr>
          </w:p>
        </w:tc>
      </w:tr>
    </w:tbl>
    <w:p>
      <w:pPr>
        <w:pStyle w:val="18"/>
        <w:spacing w:line="360" w:lineRule="auto"/>
        <w:ind w:right="42" w:rightChars="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注：</w:t>
      </w: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投标人应根据</w:t>
      </w:r>
      <w:r>
        <w:rPr>
          <w:rFonts w:hint="eastAsia" w:asciiTheme="minorEastAsia" w:hAnsiTheme="minorEastAsia" w:eastAsiaTheme="minorEastAsia"/>
          <w:color w:val="auto"/>
          <w:sz w:val="21"/>
          <w:szCs w:val="21"/>
          <w:highlight w:val="none"/>
        </w:rPr>
        <w:t>投标产品</w:t>
      </w:r>
      <w:r>
        <w:rPr>
          <w:rFonts w:asciiTheme="minorEastAsia" w:hAnsiTheme="minorEastAsia" w:eastAsiaTheme="minorEastAsia"/>
          <w:color w:val="auto"/>
          <w:sz w:val="21"/>
          <w:szCs w:val="21"/>
          <w:highlight w:val="none"/>
        </w:rPr>
        <w:t>的性能指标、对照招标文件要求在“偏离情况”栏注明“正偏离”、“负偏离”或“无偏离”。</w:t>
      </w:r>
    </w:p>
    <w:p>
      <w:pPr>
        <w:pStyle w:val="18"/>
        <w:spacing w:line="360" w:lineRule="auto"/>
        <w:ind w:right="42" w:rightChars="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2.投标人需对上述偏离情况负责，不得虚假应标。</w:t>
      </w:r>
    </w:p>
    <w:p>
      <w:pPr>
        <w:pStyle w:val="162"/>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pPr>
        <w:adjustRightInd w:val="0"/>
        <w:spacing w:line="360" w:lineRule="auto"/>
        <w:ind w:right="42" w:rightChars="20"/>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 年  月  日</w:t>
      </w:r>
    </w:p>
    <w:p>
      <w:pPr>
        <w:pStyle w:val="95"/>
        <w:ind w:right="42" w:rightChars="20"/>
        <w:rPr>
          <w:rFonts w:asciiTheme="minorEastAsia" w:hAnsiTheme="minorEastAsia" w:eastAsiaTheme="minorEastAsia"/>
          <w:color w:val="auto"/>
          <w:highlight w:val="none"/>
        </w:rPr>
        <w:sectPr>
          <w:pgSz w:w="11906" w:h="16838"/>
          <w:pgMar w:top="1474" w:right="1842" w:bottom="1247" w:left="1797" w:header="851" w:footer="851" w:gutter="0"/>
          <w:cols w:space="720" w:num="1"/>
          <w:docGrid w:linePitch="312" w:charSpace="0"/>
        </w:sect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项目实施人员一览表</w:t>
      </w:r>
    </w:p>
    <w:p>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项目实施人员（主要从业人员及其技术资格）一览表</w:t>
      </w:r>
    </w:p>
    <w:tbl>
      <w:tblPr>
        <w:tblStyle w:val="4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本项目中工作职责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leftChars="0" w:right="42" w:rightChars="20" w:firstLine="420" w:firstLineChars="200"/>
              <w:jc w:val="center"/>
              <w:rPr>
                <w:rFonts w:asciiTheme="minorEastAsia" w:hAnsiTheme="minorEastAsia" w:eastAsiaTheme="minorEastAsia"/>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bl>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注：在填写时，如本表格不适合投标单位的实际情况，可根据本表格式自行划表填写。</w:t>
      </w:r>
    </w:p>
    <w:p>
      <w:pPr>
        <w:snapToGrid w:val="0"/>
        <w:spacing w:line="360" w:lineRule="auto"/>
        <w:ind w:right="42" w:rightChars="20" w:firstLine="42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zCs w:val="21"/>
          <w:highlight w:val="none"/>
        </w:rPr>
        <w:t>法定代表人或其委托代理人签名（或盖章）</w:t>
      </w:r>
      <w:r>
        <w:rPr>
          <w:rFonts w:hint="eastAsia" w:asciiTheme="minorEastAsia" w:hAnsiTheme="minorEastAsia" w:eastAsiaTheme="minorEastAsia"/>
          <w:color w:val="auto"/>
          <w:spacing w:val="20"/>
          <w:szCs w:val="21"/>
          <w:highlight w:val="none"/>
        </w:rPr>
        <w:t>：</w:t>
      </w:r>
    </w:p>
    <w:p>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pacing w:val="20"/>
          <w:szCs w:val="21"/>
          <w:highlight w:val="none"/>
        </w:rPr>
        <w:t>）：</w:t>
      </w:r>
    </w:p>
    <w:p>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日期：</w:t>
      </w: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pStyle w:val="2"/>
        <w:rPr>
          <w:rFonts w:cs="微软雅黑" w:asciiTheme="minorEastAsia" w:hAnsiTheme="minorEastAsia" w:eastAsiaTheme="minorEastAsia"/>
          <w:b/>
          <w:color w:val="auto"/>
          <w:szCs w:val="21"/>
          <w:highlight w:val="none"/>
        </w:rPr>
      </w:pPr>
    </w:p>
    <w:p>
      <w:pPr>
        <w:pStyle w:val="14"/>
        <w:rPr>
          <w:rFonts w:cs="微软雅黑" w:asciiTheme="minorEastAsia" w:hAnsiTheme="minorEastAsia" w:eastAsiaTheme="minorEastAsia"/>
          <w:b/>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投标函格式：</w:t>
      </w:r>
    </w:p>
    <w:p>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（招标采购单位名称）</w:t>
      </w:r>
      <w:r>
        <w:rPr>
          <w:rFonts w:hint="eastAsia" w:asciiTheme="minorEastAsia" w:hAnsiTheme="minorEastAsia" w:eastAsiaTheme="minorEastAsia"/>
          <w:color w:val="auto"/>
          <w:szCs w:val="21"/>
          <w:highlight w:val="none"/>
        </w:rPr>
        <w:t>：</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____________________</w:t>
      </w:r>
      <w:r>
        <w:rPr>
          <w:rFonts w:hint="eastAsia" w:asciiTheme="minorEastAsia" w:hAnsiTheme="minorEastAsia" w:eastAsiaTheme="minorEastAsia"/>
          <w:color w:val="auto"/>
          <w:szCs w:val="21"/>
          <w:highlight w:val="none"/>
        </w:rPr>
        <w:t>项目的招标公告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投标邀请书（项目编号：</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），签字代表</w:t>
      </w:r>
      <w:r>
        <w:rPr>
          <w:rFonts w:hint="eastAsia" w:asciiTheme="minorEastAsia" w:hAnsiTheme="minorEastAsia" w:eastAsiaTheme="minorEastAsia"/>
          <w:color w:val="auto"/>
          <w:szCs w:val="21"/>
          <w:highlight w:val="none"/>
          <w:u w:val="single"/>
        </w:rPr>
        <w:t>（全名）</w:t>
      </w:r>
      <w:r>
        <w:rPr>
          <w:rFonts w:hint="eastAsia" w:asciiTheme="minorEastAsia" w:hAnsiTheme="minorEastAsia" w:eastAsiaTheme="minorEastAsia"/>
          <w:color w:val="auto"/>
          <w:szCs w:val="21"/>
          <w:highlight w:val="none"/>
        </w:rPr>
        <w:t>经正式授权并代表投标人</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提交资信商务文件、技术文件及投标报价文件电子投标各一份。</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、投标人在投标之前已经与贵方进行了充分的沟通，完全理解并接受招标文件的各项规定和要求，对招标文件的合理性、合法性不再有异议。</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、本投标有效期自开标日起</w:t>
      </w:r>
      <w:r>
        <w:rPr>
          <w:rFonts w:asciiTheme="minorEastAsia" w:hAnsiTheme="minorEastAsia" w:eastAsiaTheme="minorEastAsia"/>
          <w:color w:val="auto"/>
          <w:szCs w:val="21"/>
          <w:highlight w:val="none"/>
        </w:rPr>
        <w:t xml:space="preserve"> ______</w:t>
      </w:r>
      <w:r>
        <w:rPr>
          <w:rFonts w:hint="eastAsia" w:asciiTheme="minorEastAsia" w:hAnsiTheme="minorEastAsia" w:eastAsiaTheme="minorEastAsia"/>
          <w:color w:val="auto"/>
          <w:szCs w:val="21"/>
          <w:highlight w:val="none"/>
        </w:rPr>
        <w:t>个日。</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、如中标，本投标文件至本项目合同履行完毕止均保持有效，本投标人将按“招标文件”及政府采购法律、法规的规定履行合同责任和义务。</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、投标人同意按照贵方要求提供与投标有关的一切数据或资料。</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、与本投标有关的一切正式往来信函请寄：</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邮编：</w:t>
      </w:r>
      <w:r>
        <w:rPr>
          <w:rFonts w:asciiTheme="minorEastAsia" w:hAnsiTheme="minorEastAsia" w:eastAsiaTheme="minorEastAsia"/>
          <w:color w:val="auto"/>
          <w:szCs w:val="21"/>
          <w:highlight w:val="none"/>
        </w:rPr>
        <w:t xml:space="preserve">__________   </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rPr>
        <w:t>______________</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rPr>
        <w:t>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rPr>
        <w:t>_____________</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shd w:val="clear" w:color="auto" w:fill="FFFFFF"/>
        </w:rPr>
        <w:t>CA签章</w:t>
      </w:r>
      <w:r>
        <w:rPr>
          <w:rFonts w:asciiTheme="minorEastAsia" w:hAnsiTheme="minorEastAsia" w:eastAsiaTheme="minorEastAsia"/>
          <w:color w:val="auto"/>
          <w:szCs w:val="21"/>
          <w:highlight w:val="none"/>
        </w:rPr>
        <w:t>): _____________</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开户银行：银行帐号：</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法定代表人或其委托代理人签名（或盖章）</w:t>
      </w:r>
      <w:r>
        <w:rPr>
          <w:rFonts w:asciiTheme="minorEastAsia" w:hAnsiTheme="minorEastAsia" w:eastAsiaTheme="minorEastAsia"/>
          <w:color w:val="auto"/>
          <w:szCs w:val="21"/>
          <w:highlight w:val="none"/>
        </w:rPr>
        <w:t xml:space="preserve">:___________                      </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日</w:t>
      </w:r>
    </w:p>
    <w:p>
      <w:pPr>
        <w:pStyle w:val="48"/>
        <w:ind w:right="42" w:rightChars="20" w:firstLine="464"/>
        <w:rPr>
          <w:rFonts w:asciiTheme="minorEastAsia" w:hAnsiTheme="minorEastAsia" w:eastAsiaTheme="minorEastAsia"/>
          <w:color w:val="auto"/>
          <w:szCs w:val="21"/>
          <w:highlight w:val="none"/>
        </w:rPr>
      </w:pPr>
    </w:p>
    <w:p>
      <w:pPr>
        <w:pStyle w:val="48"/>
        <w:ind w:right="42" w:rightChars="20" w:firstLine="464"/>
        <w:rPr>
          <w:rFonts w:asciiTheme="minorEastAsia" w:hAnsiTheme="minorEastAsia" w:eastAsiaTheme="minorEastAsia"/>
          <w:color w:val="auto"/>
          <w:szCs w:val="21"/>
          <w:highlight w:val="none"/>
        </w:rPr>
      </w:pPr>
    </w:p>
    <w:p>
      <w:pPr>
        <w:pStyle w:val="48"/>
        <w:ind w:right="42" w:rightChars="20" w:firstLine="464"/>
        <w:rPr>
          <w:rFonts w:asciiTheme="minorEastAsia" w:hAnsiTheme="minorEastAsia" w:eastAsiaTheme="minorEastAsia"/>
          <w:color w:val="auto"/>
          <w:szCs w:val="21"/>
          <w:highlight w:val="none"/>
        </w:rPr>
      </w:pPr>
    </w:p>
    <w:p>
      <w:pPr>
        <w:pStyle w:val="48"/>
        <w:ind w:right="42" w:rightChars="20" w:firstLine="464"/>
        <w:rPr>
          <w:rFonts w:asciiTheme="minorEastAsia" w:hAnsiTheme="minorEastAsia" w:eastAsiaTheme="minorEastAsia"/>
          <w:color w:val="auto"/>
          <w:szCs w:val="21"/>
          <w:highlight w:val="none"/>
        </w:rPr>
      </w:pPr>
    </w:p>
    <w:p>
      <w:pPr>
        <w:pStyle w:val="48"/>
        <w:ind w:right="42" w:rightChars="20" w:firstLine="464"/>
        <w:rPr>
          <w:rFonts w:asciiTheme="minorEastAsia" w:hAnsiTheme="minorEastAsia" w:eastAsiaTheme="minorEastAsia"/>
          <w:color w:val="auto"/>
          <w:szCs w:val="21"/>
          <w:highlight w:val="none"/>
        </w:rPr>
      </w:pPr>
    </w:p>
    <w:p>
      <w:pPr>
        <w:pStyle w:val="48"/>
        <w:ind w:right="42" w:rightChars="20" w:firstLine="464"/>
        <w:rPr>
          <w:rFonts w:asciiTheme="minorEastAsia" w:hAnsiTheme="minorEastAsia" w:eastAsiaTheme="minorEastAsia"/>
          <w:color w:val="auto"/>
          <w:szCs w:val="21"/>
          <w:highlight w:val="none"/>
        </w:rPr>
      </w:pPr>
    </w:p>
    <w:p>
      <w:pPr>
        <w:snapToGrid w:val="0"/>
        <w:spacing w:line="360" w:lineRule="auto"/>
        <w:ind w:right="42" w:rightChars="20"/>
        <w:rPr>
          <w:rFonts w:asciiTheme="minorEastAsia" w:hAnsiTheme="minorEastAsia" w:eastAsiaTheme="minorEastAsia"/>
          <w:color w:val="auto"/>
          <w:szCs w:val="21"/>
          <w:highlight w:val="none"/>
        </w:rPr>
      </w:pP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开标一览表</w:t>
      </w:r>
    </w:p>
    <w:p>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pPr>
        <w:snapToGrid w:val="0"/>
        <w:spacing w:line="360" w:lineRule="auto"/>
        <w:ind w:right="42" w:rightChars="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招标编号： 投标人名称：</w:t>
      </w:r>
    </w:p>
    <w:tbl>
      <w:tblPr>
        <w:tblStyle w:val="49"/>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17"/>
        <w:gridCol w:w="767"/>
        <w:gridCol w:w="668"/>
        <w:gridCol w:w="1515"/>
        <w:gridCol w:w="1134"/>
        <w:gridCol w:w="98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2"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81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76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6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515" w:type="dxa"/>
            <w:vAlign w:val="center"/>
          </w:tcPr>
          <w:p>
            <w:pPr>
              <w:snapToGrid w:val="0"/>
              <w:spacing w:line="360" w:lineRule="auto"/>
              <w:jc w:val="center"/>
              <w:rPr>
                <w:rFonts w:ascii="宋体" w:hAnsi="宋体"/>
                <w:color w:val="auto"/>
                <w:szCs w:val="21"/>
                <w:highlight w:val="none"/>
              </w:rPr>
            </w:pPr>
            <w:r>
              <w:rPr>
                <w:rFonts w:hint="eastAsia" w:asciiTheme="minorEastAsia" w:hAnsiTheme="minorEastAsia" w:eastAsiaTheme="minorEastAsia"/>
                <w:color w:val="auto"/>
                <w:szCs w:val="21"/>
                <w:highlight w:val="none"/>
              </w:rPr>
              <w:t>投标报价</w:t>
            </w:r>
          </w:p>
        </w:tc>
        <w:tc>
          <w:tcPr>
            <w:tcW w:w="1134" w:type="dxa"/>
            <w:vAlign w:val="center"/>
          </w:tcPr>
          <w:p>
            <w:pPr>
              <w:snapToGrid w:val="0"/>
              <w:spacing w:line="360" w:lineRule="auto"/>
              <w:jc w:val="center"/>
              <w:rPr>
                <w:rFonts w:ascii="宋体" w:hAnsi="宋体"/>
                <w:color w:val="auto"/>
                <w:szCs w:val="21"/>
                <w:highlight w:val="none"/>
              </w:rPr>
            </w:pPr>
            <w:r>
              <w:rPr>
                <w:rFonts w:hint="eastAsia" w:asciiTheme="minorEastAsia" w:hAnsiTheme="minorEastAsia" w:eastAsiaTheme="minorEastAsia"/>
                <w:color w:val="auto"/>
                <w:szCs w:val="21"/>
                <w:highlight w:val="none"/>
              </w:rPr>
              <w:t>服务期</w:t>
            </w:r>
          </w:p>
        </w:tc>
        <w:tc>
          <w:tcPr>
            <w:tcW w:w="983" w:type="dxa"/>
            <w:vAlign w:val="center"/>
          </w:tcPr>
          <w:p>
            <w:pPr>
              <w:snapToGrid w:val="0"/>
              <w:spacing w:line="360" w:lineRule="auto"/>
              <w:jc w:val="center"/>
              <w:rPr>
                <w:rFonts w:ascii="宋体" w:hAnsi="宋体"/>
                <w:color w:val="auto"/>
                <w:szCs w:val="21"/>
                <w:highlight w:val="none"/>
              </w:rPr>
            </w:pPr>
            <w:r>
              <w:rPr>
                <w:rFonts w:hint="eastAsia" w:asciiTheme="minorEastAsia" w:hAnsiTheme="minorEastAsia" w:eastAsiaTheme="minorEastAsia"/>
                <w:color w:val="auto"/>
                <w:szCs w:val="21"/>
                <w:highlight w:val="none"/>
              </w:rPr>
              <w:t>项目负责人</w:t>
            </w:r>
          </w:p>
        </w:tc>
        <w:tc>
          <w:tcPr>
            <w:tcW w:w="983" w:type="dxa"/>
            <w:vAlign w:val="center"/>
          </w:tcPr>
          <w:p>
            <w:pPr>
              <w:snapToGrid w:val="0"/>
              <w:spacing w:line="360" w:lineRule="auto"/>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22"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817" w:type="dxa"/>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秀洲区2024年度白蚁等害堤动物防治项目</w:t>
            </w:r>
          </w:p>
        </w:tc>
        <w:tc>
          <w:tcPr>
            <w:tcW w:w="76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66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515" w:type="dxa"/>
            <w:vAlign w:val="center"/>
          </w:tcPr>
          <w:p>
            <w:pPr>
              <w:snapToGrid w:val="0"/>
              <w:spacing w:line="360"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大写：</w:t>
            </w:r>
          </w:p>
          <w:p>
            <w:pPr>
              <w:snapToGrid w:val="0"/>
              <w:spacing w:line="360" w:lineRule="auto"/>
              <w:jc w:val="left"/>
              <w:rPr>
                <w:rFonts w:hint="default"/>
                <w:color w:val="auto"/>
                <w:lang w:val="en-US" w:eastAsia="zh-CN"/>
              </w:rPr>
            </w:pPr>
            <w:r>
              <w:rPr>
                <w:rFonts w:hint="eastAsia" w:ascii="宋体" w:hAnsi="宋体"/>
                <w:color w:val="auto"/>
                <w:szCs w:val="21"/>
                <w:highlight w:val="none"/>
                <w:lang w:val="en-US" w:eastAsia="zh-CN"/>
              </w:rPr>
              <w:t>小写：</w:t>
            </w:r>
          </w:p>
        </w:tc>
        <w:tc>
          <w:tcPr>
            <w:tcW w:w="1134" w:type="dxa"/>
          </w:tcPr>
          <w:p>
            <w:pPr>
              <w:snapToGrid w:val="0"/>
              <w:spacing w:line="360" w:lineRule="auto"/>
              <w:jc w:val="center"/>
              <w:rPr>
                <w:rFonts w:ascii="宋体" w:hAnsi="宋体"/>
                <w:color w:val="auto"/>
                <w:szCs w:val="21"/>
                <w:highlight w:val="none"/>
              </w:rPr>
            </w:pPr>
          </w:p>
        </w:tc>
        <w:tc>
          <w:tcPr>
            <w:tcW w:w="983" w:type="dxa"/>
          </w:tcPr>
          <w:p>
            <w:pPr>
              <w:snapToGrid w:val="0"/>
              <w:spacing w:line="360" w:lineRule="auto"/>
              <w:jc w:val="center"/>
              <w:rPr>
                <w:rFonts w:ascii="宋体" w:hAnsi="宋体"/>
                <w:color w:val="auto"/>
                <w:szCs w:val="21"/>
                <w:highlight w:val="none"/>
              </w:rPr>
            </w:pPr>
          </w:p>
        </w:tc>
        <w:tc>
          <w:tcPr>
            <w:tcW w:w="983" w:type="dxa"/>
          </w:tcPr>
          <w:p>
            <w:pPr>
              <w:snapToGrid w:val="0"/>
              <w:spacing w:line="360" w:lineRule="auto"/>
              <w:jc w:val="center"/>
              <w:rPr>
                <w:rFonts w:ascii="宋体" w:hAnsi="宋体"/>
                <w:color w:val="auto"/>
                <w:szCs w:val="21"/>
                <w:highlight w:val="none"/>
              </w:rPr>
            </w:pPr>
          </w:p>
        </w:tc>
      </w:tr>
    </w:tbl>
    <w:p>
      <w:pPr>
        <w:snapToGrid w:val="0"/>
        <w:spacing w:line="360" w:lineRule="auto"/>
        <w:ind w:right="42" w:rightChars="20"/>
        <w:rPr>
          <w:rFonts w:asciiTheme="minorEastAsia" w:hAnsiTheme="minorEastAsia" w:eastAsiaTheme="minorEastAsia"/>
          <w:color w:val="auto"/>
          <w:szCs w:val="21"/>
          <w:highlight w:val="none"/>
        </w:rPr>
      </w:pPr>
    </w:p>
    <w:p>
      <w:pPr>
        <w:pStyle w:val="25"/>
        <w:snapToGrid w:val="0"/>
        <w:spacing w:line="360" w:lineRule="auto"/>
        <w:ind w:left="420" w:right="42" w:rightChars="20" w:hanging="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 1、报价一经涂改，应在涂改处加盖单位公章或者由法定代表人或授权委托人签字或盖章，否则其投标作无效标处理。</w:t>
      </w:r>
    </w:p>
    <w:p>
      <w:pPr>
        <w:spacing w:line="360" w:lineRule="auto"/>
        <w:ind w:firstLine="420" w:firstLineChars="200"/>
        <w:contextualSpacing/>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预算金额：</w:t>
      </w:r>
      <w:r>
        <w:rPr>
          <w:rFonts w:hint="eastAsia" w:asciiTheme="minorEastAsia" w:hAnsiTheme="minorEastAsia" w:eastAsiaTheme="minorEastAsia"/>
          <w:b/>
          <w:bCs/>
          <w:color w:val="auto"/>
          <w:szCs w:val="21"/>
          <w:highlight w:val="none"/>
          <w:lang w:val="en-US" w:eastAsia="zh-CN"/>
        </w:rPr>
        <w:t>640000</w:t>
      </w:r>
      <w:r>
        <w:rPr>
          <w:rFonts w:hint="eastAsia" w:asciiTheme="minorEastAsia" w:hAnsiTheme="minorEastAsia" w:eastAsiaTheme="minorEastAsia"/>
          <w:b/>
          <w:bCs/>
          <w:color w:val="auto"/>
          <w:szCs w:val="21"/>
          <w:highlight w:val="none"/>
        </w:rPr>
        <w:t>元</w:t>
      </w:r>
      <w:r>
        <w:rPr>
          <w:rFonts w:hint="eastAsia" w:asciiTheme="minorEastAsia" w:hAnsiTheme="minorEastAsia" w:eastAsiaTheme="minorEastAsia"/>
          <w:b/>
          <w:bCs/>
          <w:color w:val="auto"/>
          <w:szCs w:val="21"/>
          <w:highlight w:val="none"/>
          <w:lang w:val="en-US" w:eastAsia="zh-CN"/>
        </w:rPr>
        <w:t>（其中中央财政资金为580000元，地方财政资金为60000元整）</w:t>
      </w:r>
      <w:r>
        <w:rPr>
          <w:rFonts w:hint="eastAsia" w:asciiTheme="minorEastAsia" w:hAnsiTheme="minorEastAsia" w:eastAsiaTheme="minorEastAsia"/>
          <w:b/>
          <w:bCs/>
          <w:color w:val="auto"/>
          <w:szCs w:val="21"/>
          <w:highlight w:val="none"/>
        </w:rPr>
        <w:t>。投标报价超过预算价的作无效标处理。。</w:t>
      </w:r>
    </w:p>
    <w:p>
      <w:pPr>
        <w:widowControl/>
        <w:spacing w:line="460" w:lineRule="exact"/>
        <w:ind w:right="42" w:rightChars="20" w:firstLine="48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 3、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p>
      <w:pPr>
        <w:pStyle w:val="25"/>
        <w:snapToGrid w:val="0"/>
        <w:spacing w:line="360" w:lineRule="auto"/>
        <w:ind w:right="42" w:rightChars="20"/>
        <w:rPr>
          <w:rFonts w:asciiTheme="minorEastAsia" w:hAnsiTheme="minorEastAsia" w:eastAsiaTheme="minorEastAsia"/>
          <w:color w:val="auto"/>
          <w:szCs w:val="21"/>
          <w:highlight w:val="none"/>
        </w:rPr>
      </w:pPr>
    </w:p>
    <w:p>
      <w:pPr>
        <w:pStyle w:val="25"/>
        <w:snapToGrid w:val="0"/>
        <w:spacing w:line="360" w:lineRule="auto"/>
        <w:ind w:right="42" w:rightChars="20"/>
        <w:rPr>
          <w:rFonts w:asciiTheme="minorEastAsia" w:hAnsiTheme="minorEastAsia" w:eastAsiaTheme="minorEastAsia"/>
          <w:color w:val="auto"/>
          <w:szCs w:val="21"/>
          <w:highlight w:val="none"/>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pPr>
        <w:pStyle w:val="25"/>
        <w:snapToGrid w:val="0"/>
        <w:spacing w:line="360" w:lineRule="auto"/>
        <w:ind w:right="42" w:rightChars="20"/>
        <w:rPr>
          <w:rFonts w:asciiTheme="minorEastAsia" w:hAnsiTheme="minorEastAsia" w:eastAsiaTheme="minorEastAsia"/>
          <w:color w:val="auto"/>
          <w:szCs w:val="21"/>
          <w:highlight w:val="none"/>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pPr>
    </w:p>
    <w:p>
      <w:pPr>
        <w:spacing w:line="360" w:lineRule="auto"/>
        <w:ind w:right="42" w:rightChars="2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分项报价明细表</w:t>
      </w:r>
    </w:p>
    <w:tbl>
      <w:tblPr>
        <w:tblStyle w:val="49"/>
        <w:tblW w:w="89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序号</w:t>
            </w:r>
          </w:p>
        </w:tc>
        <w:tc>
          <w:tcPr>
            <w:tcW w:w="3274" w:type="dxa"/>
            <w:vAlign w:val="center"/>
          </w:tcPr>
          <w:p>
            <w:pPr>
              <w:spacing w:line="360" w:lineRule="auto"/>
              <w:ind w:left="102"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分项内容（包括人员、设备、场地等）</w:t>
            </w:r>
          </w:p>
        </w:tc>
        <w:tc>
          <w:tcPr>
            <w:tcW w:w="1010" w:type="dxa"/>
            <w:vAlign w:val="center"/>
          </w:tcPr>
          <w:p>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008" w:type="dxa"/>
            <w:vAlign w:val="center"/>
          </w:tcPr>
          <w:p>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640" w:type="dxa"/>
            <w:vAlign w:val="center"/>
          </w:tcPr>
          <w:p>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274"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274"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274"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274"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3274"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auto"/>
                <w:szCs w:val="21"/>
                <w:highlight w:val="none"/>
              </w:rPr>
            </w:pPr>
          </w:p>
        </w:tc>
        <w:tc>
          <w:tcPr>
            <w:tcW w:w="5292" w:type="dxa"/>
            <w:gridSpan w:val="3"/>
            <w:vAlign w:val="center"/>
          </w:tcPr>
          <w:p>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合计总价</w:t>
            </w:r>
          </w:p>
        </w:tc>
        <w:tc>
          <w:tcPr>
            <w:tcW w:w="2640" w:type="dxa"/>
            <w:vAlign w:val="center"/>
          </w:tcPr>
          <w:p>
            <w:pPr>
              <w:spacing w:line="360" w:lineRule="auto"/>
              <w:ind w:right="42" w:rightChars="20"/>
              <w:jc w:val="center"/>
              <w:rPr>
                <w:rFonts w:asciiTheme="minorEastAsia" w:hAnsiTheme="minorEastAsia" w:eastAsiaTheme="minorEastAsia"/>
                <w:color w:val="auto"/>
                <w:szCs w:val="21"/>
                <w:highlight w:val="none"/>
              </w:rPr>
            </w:pPr>
          </w:p>
        </w:tc>
      </w:tr>
    </w:tbl>
    <w:p>
      <w:pPr>
        <w:pStyle w:val="95"/>
        <w:spacing w:line="360" w:lineRule="auto"/>
        <w:ind w:right="42" w:rightChars="20"/>
        <w:rPr>
          <w:rFonts w:asciiTheme="minorEastAsia" w:hAnsiTheme="minorEastAsia" w:eastAsiaTheme="minorEastAsia"/>
          <w:color w:val="auto"/>
          <w:highlight w:val="none"/>
        </w:rPr>
      </w:pPr>
    </w:p>
    <w:p>
      <w:pPr>
        <w:tabs>
          <w:tab w:val="left" w:pos="540"/>
        </w:tabs>
        <w:autoSpaceDE w:val="0"/>
        <w:autoSpaceDN w:val="0"/>
        <w:adjustRightInd w:val="0"/>
        <w:spacing w:line="360" w:lineRule="auto"/>
        <w:ind w:right="42" w:rightChars="20" w:firstLine="411" w:firstLineChars="19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 1、以上表格中各项可进一步细分，栏数不够可自加，要求服务内容细分项目及报价。本投标文件及其所附文件涵盖了我方要约的全部内容。</w:t>
      </w:r>
    </w:p>
    <w:p>
      <w:pPr>
        <w:spacing w:line="360" w:lineRule="auto"/>
        <w:ind w:left="-2" w:leftChars="-1" w:right="42" w:rightChars="20" w:firstLine="945" w:firstLineChars="4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2、本明细清单合计总价应与投标（开标）一览表报价保持一致。</w:t>
      </w:r>
    </w:p>
    <w:p>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p>
    <w:p>
      <w:pPr>
        <w:pStyle w:val="25"/>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pPr>
        <w:pStyle w:val="95"/>
        <w:spacing w:line="360" w:lineRule="auto"/>
        <w:ind w:right="42" w:rightChars="20"/>
        <w:rPr>
          <w:rFonts w:asciiTheme="minorEastAsia" w:hAnsiTheme="minorEastAsia" w:eastAsiaTheme="minorEastAsia"/>
          <w:color w:val="auto"/>
          <w:highlight w:val="none"/>
        </w:rPr>
      </w:pPr>
    </w:p>
    <w:p>
      <w:pPr>
        <w:pStyle w:val="95"/>
        <w:spacing w:line="360" w:lineRule="auto"/>
        <w:ind w:right="42" w:rightChars="20"/>
        <w:rPr>
          <w:rFonts w:asciiTheme="minorEastAsia" w:hAnsiTheme="minorEastAsia" w:eastAsiaTheme="minorEastAsia"/>
          <w:color w:val="auto"/>
          <w:highlight w:val="none"/>
        </w:rPr>
        <w:sectPr>
          <w:pgSz w:w="11907" w:h="16839"/>
          <w:pgMar w:top="1440" w:right="1842" w:bottom="1440" w:left="1800" w:header="851" w:footer="992" w:gutter="0"/>
          <w:cols w:space="720" w:num="1"/>
          <w:docGrid w:type="lines" w:linePitch="312" w:charSpace="0"/>
        </w:sectPr>
      </w:pPr>
    </w:p>
    <w:p>
      <w:pPr>
        <w:shd w:val="clear" w:color="auto" w:fill="FFFFFF"/>
        <w:spacing w:before="156" w:line="330" w:lineRule="atLeast"/>
        <w:rPr>
          <w:rFonts w:ascii="宋体" w:hAnsi="宋体" w:cs="宋体"/>
          <w:b/>
          <w:color w:val="auto"/>
          <w:sz w:val="24"/>
          <w:highlight w:val="none"/>
        </w:rPr>
      </w:pPr>
      <w:r>
        <w:rPr>
          <w:rFonts w:hint="eastAsia" w:ascii="宋体" w:hAnsi="宋体" w:cs="宋体"/>
          <w:b/>
          <w:color w:val="auto"/>
          <w:sz w:val="24"/>
          <w:highlight w:val="none"/>
        </w:rPr>
        <w:t>附件：</w:t>
      </w:r>
    </w:p>
    <w:p>
      <w:pPr>
        <w:shd w:val="clear" w:color="auto" w:fill="FFFFFF"/>
        <w:spacing w:before="156" w:line="330" w:lineRule="atLeast"/>
        <w:ind w:firstLine="482"/>
        <w:jc w:val="center"/>
        <w:rPr>
          <w:rFonts w:ascii="宋体" w:hAnsi="宋体" w:cs="宋体"/>
          <w:b/>
          <w:color w:val="auto"/>
          <w:sz w:val="24"/>
          <w:highlight w:val="none"/>
        </w:rPr>
      </w:pPr>
    </w:p>
    <w:p>
      <w:pPr>
        <w:shd w:val="clear" w:color="auto" w:fill="FFFFFF"/>
        <w:spacing w:before="156"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国家统计局关于印发统计上大中小微型企业划分办法的通知</w:t>
      </w:r>
    </w:p>
    <w:p>
      <w:pPr>
        <w:shd w:val="clear" w:color="auto" w:fill="FFFFFF"/>
        <w:spacing w:line="330" w:lineRule="atLeast"/>
        <w:jc w:val="center"/>
        <w:rPr>
          <w:rFonts w:ascii="宋体" w:hAnsi="宋体" w:cs="宋体"/>
          <w:bCs/>
          <w:color w:val="auto"/>
          <w:sz w:val="24"/>
          <w:highlight w:val="none"/>
        </w:rPr>
      </w:pPr>
      <w:r>
        <w:rPr>
          <w:rFonts w:hint="eastAsia" w:ascii="宋体" w:hAnsi="宋体" w:cs="宋体"/>
          <w:color w:val="auto"/>
          <w:sz w:val="24"/>
          <w:highlight w:val="none"/>
        </w:rPr>
        <w:t>国统字〔</w:t>
      </w:r>
      <w:r>
        <w:rPr>
          <w:color w:val="auto"/>
          <w:sz w:val="24"/>
          <w:highlight w:val="none"/>
        </w:rPr>
        <w:t>2011</w:t>
      </w:r>
      <w:r>
        <w:rPr>
          <w:rFonts w:hint="eastAsia" w:ascii="宋体" w:hAnsi="宋体" w:cs="宋体"/>
          <w:color w:val="auto"/>
          <w:sz w:val="24"/>
          <w:highlight w:val="none"/>
        </w:rPr>
        <w:t>〕</w:t>
      </w:r>
      <w:r>
        <w:rPr>
          <w:color w:val="auto"/>
          <w:sz w:val="24"/>
          <w:highlight w:val="none"/>
        </w:rPr>
        <w:t>75</w:t>
      </w:r>
      <w:r>
        <w:rPr>
          <w:rFonts w:hint="eastAsia" w:ascii="宋体" w:hAnsi="宋体" w:cs="宋体"/>
          <w:color w:val="auto"/>
          <w:sz w:val="24"/>
          <w:highlight w:val="none"/>
        </w:rPr>
        <w:t>号</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各省、自治区、直辖市统计局，新疆生产建设兵团统计局，国家统计局各调查总队，国务院有关部门：</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为贯彻落实工业和信息化部、国家统计局、国家发展改革委、财政部《关于印发中小企业划型标准规定的通知》（工信部联企业〔</w:t>
      </w:r>
      <w:r>
        <w:rPr>
          <w:color w:val="auto"/>
          <w:sz w:val="24"/>
          <w:highlight w:val="none"/>
        </w:rPr>
        <w:t>2011</w:t>
      </w:r>
      <w:r>
        <w:rPr>
          <w:rFonts w:hint="eastAsia" w:ascii="宋体" w:hAnsi="宋体" w:cs="宋体"/>
          <w:color w:val="auto"/>
          <w:sz w:val="24"/>
          <w:highlight w:val="none"/>
        </w:rPr>
        <w:t>〕</w:t>
      </w:r>
      <w:r>
        <w:rPr>
          <w:color w:val="auto"/>
          <w:sz w:val="24"/>
          <w:highlight w:val="none"/>
        </w:rPr>
        <w:t>300</w:t>
      </w:r>
      <w:r>
        <w:rPr>
          <w:rFonts w:hint="eastAsia" w:ascii="宋体" w:hAnsi="宋体" w:cs="宋体"/>
          <w:color w:val="auto"/>
          <w:sz w:val="24"/>
          <w:highlight w:val="none"/>
        </w:rPr>
        <w:t>号），结合统计工作的实际情况，我们制定了《统计上大中小微型企业划分办法》。现印发给你们，请遵照执行。</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wordWrap w:val="0"/>
        <w:spacing w:line="330" w:lineRule="atLeast"/>
        <w:jc w:val="right"/>
        <w:rPr>
          <w:rFonts w:ascii="宋体" w:hAnsi="宋体" w:cs="宋体"/>
          <w:bCs/>
          <w:color w:val="auto"/>
          <w:sz w:val="24"/>
          <w:highlight w:val="none"/>
        </w:rPr>
      </w:pPr>
      <w:r>
        <w:rPr>
          <w:rFonts w:hint="eastAsia" w:ascii="宋体" w:hAnsi="宋体" w:cs="宋体"/>
          <w:color w:val="auto"/>
          <w:sz w:val="24"/>
          <w:highlight w:val="none"/>
        </w:rPr>
        <w:t>　　国家统计局</w:t>
      </w:r>
      <w:r>
        <w:rPr>
          <w:color w:val="auto"/>
          <w:sz w:val="24"/>
          <w:highlight w:val="none"/>
        </w:rPr>
        <w:t> </w:t>
      </w:r>
    </w:p>
    <w:p>
      <w:pPr>
        <w:shd w:val="clear" w:color="auto" w:fill="FFFFFF"/>
        <w:spacing w:line="330" w:lineRule="atLeast"/>
        <w:jc w:val="right"/>
        <w:rPr>
          <w:rFonts w:ascii="宋体" w:hAnsi="宋体" w:cs="宋体"/>
          <w:bCs/>
          <w:color w:val="auto"/>
          <w:sz w:val="24"/>
          <w:highlight w:val="none"/>
        </w:rPr>
      </w:pPr>
      <w:r>
        <w:rPr>
          <w:rFonts w:hint="eastAsia" w:ascii="宋体" w:hAnsi="宋体" w:cs="宋体"/>
          <w:color w:val="auto"/>
          <w:sz w:val="24"/>
          <w:highlight w:val="none"/>
        </w:rPr>
        <w:t>　　二〇一一年九月二日</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统计上大中小微型企业划分办法</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一、根据工业和信息化部、国家统计局、国家发展改革委、财政部《关于印发中小企业划型标准规定的通知》（工信部联企业〔</w:t>
      </w:r>
      <w:r>
        <w:rPr>
          <w:color w:val="auto"/>
          <w:sz w:val="24"/>
          <w:highlight w:val="none"/>
        </w:rPr>
        <w:t>2011</w:t>
      </w:r>
      <w:r>
        <w:rPr>
          <w:rFonts w:hint="eastAsia" w:ascii="宋体" w:hAnsi="宋体" w:cs="宋体"/>
          <w:color w:val="auto"/>
          <w:sz w:val="24"/>
          <w:highlight w:val="none"/>
        </w:rPr>
        <w:t>〕</w:t>
      </w:r>
      <w:r>
        <w:rPr>
          <w:color w:val="auto"/>
          <w:sz w:val="24"/>
          <w:highlight w:val="none"/>
        </w:rPr>
        <w:t>300</w:t>
      </w:r>
      <w:r>
        <w:rPr>
          <w:rFonts w:hint="eastAsia" w:ascii="宋体" w:hAnsi="宋体" w:cs="宋体"/>
          <w:color w:val="auto"/>
          <w:sz w:val="24"/>
          <w:highlight w:val="none"/>
        </w:rPr>
        <w:t>号），结合统计工作的实际情况，特制定本办法。</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二、本办法适用对象为在中华人民共和国境内依法设立的各种组织形式的法人企业或单位。个体工商户参照本办法进行划分。</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color w:val="auto"/>
          <w:sz w:val="24"/>
          <w:highlight w:val="none"/>
        </w:rPr>
        <w:t>15</w:t>
      </w:r>
      <w:r>
        <w:rPr>
          <w:rFonts w:hint="eastAsia" w:ascii="宋体" w:hAnsi="宋体" w:cs="宋体"/>
          <w:color w:val="auto"/>
          <w:sz w:val="24"/>
          <w:highlight w:val="none"/>
        </w:rPr>
        <w:t>个行业门类以及社会工作行业大类。</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五、企业划分由政府综合统计部门根据统计年报每年确定一次，定报统计原则上不进行调整。</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六、本办法自印发之日起执行，国家统计局</w:t>
      </w:r>
      <w:r>
        <w:rPr>
          <w:color w:val="auto"/>
          <w:sz w:val="24"/>
          <w:highlight w:val="none"/>
        </w:rPr>
        <w:t>2003</w:t>
      </w:r>
      <w:r>
        <w:rPr>
          <w:rFonts w:hint="eastAsia" w:ascii="宋体" w:hAnsi="宋体" w:cs="宋体"/>
          <w:color w:val="auto"/>
          <w:sz w:val="24"/>
          <w:highlight w:val="none"/>
        </w:rPr>
        <w:t>年印发的《统计上大中小型企业划分办法（暂行）》（国统字〔</w:t>
      </w:r>
      <w:r>
        <w:rPr>
          <w:color w:val="auto"/>
          <w:sz w:val="24"/>
          <w:highlight w:val="none"/>
        </w:rPr>
        <w:t>2003</w:t>
      </w:r>
      <w:r>
        <w:rPr>
          <w:rFonts w:hint="eastAsia" w:ascii="宋体" w:hAnsi="宋体" w:cs="宋体"/>
          <w:color w:val="auto"/>
          <w:sz w:val="24"/>
          <w:highlight w:val="none"/>
        </w:rPr>
        <w:t>〕</w:t>
      </w:r>
      <w:r>
        <w:rPr>
          <w:color w:val="auto"/>
          <w:sz w:val="24"/>
          <w:highlight w:val="none"/>
        </w:rPr>
        <w:t>17</w:t>
      </w:r>
      <w:r>
        <w:rPr>
          <w:rFonts w:hint="eastAsia" w:ascii="宋体" w:hAnsi="宋体" w:cs="宋体"/>
          <w:color w:val="auto"/>
          <w:sz w:val="24"/>
          <w:highlight w:val="none"/>
        </w:rPr>
        <w:t>号）同时废止。</w:t>
      </w:r>
    </w:p>
    <w:p>
      <w:pPr>
        <w:shd w:val="clear" w:color="auto" w:fill="FFFFFF"/>
        <w:spacing w:line="330" w:lineRule="atLeast"/>
        <w:ind w:firstLine="482"/>
        <w:rPr>
          <w:rFonts w:ascii="宋体" w:hAnsi="宋体" w:cs="宋体"/>
          <w:bCs/>
          <w:color w:val="auto"/>
          <w:sz w:val="24"/>
          <w:highlight w:val="none"/>
        </w:rPr>
      </w:pPr>
      <w:r>
        <w:rPr>
          <w:b/>
          <w:color w:val="auto"/>
          <w:sz w:val="24"/>
          <w:highlight w:val="none"/>
        </w:rPr>
        <w:t> </w:t>
      </w:r>
    </w:p>
    <w:p>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附表：</w:t>
      </w:r>
    </w:p>
    <w:p>
      <w:pPr>
        <w:shd w:val="clear" w:color="auto" w:fill="FFFFFF"/>
        <w:spacing w:line="330" w:lineRule="atLeast"/>
        <w:rPr>
          <w:rFonts w:ascii="宋体" w:hAnsi="宋体" w:cs="宋体"/>
          <w:bCs/>
          <w:color w:val="auto"/>
          <w:sz w:val="24"/>
          <w:highlight w:val="none"/>
        </w:rPr>
      </w:pPr>
      <w:r>
        <w:rPr>
          <w:color w:val="auto"/>
          <w:sz w:val="24"/>
          <w:highlight w:val="none"/>
        </w:rPr>
        <w:t> </w:t>
      </w:r>
    </w:p>
    <w:p>
      <w:pPr>
        <w:shd w:val="clear" w:color="auto" w:fill="FFFFFF"/>
        <w:spacing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统计上大中小微型企业划分标准</w:t>
      </w:r>
    </w:p>
    <w:p>
      <w:pPr>
        <w:shd w:val="clear" w:color="auto" w:fill="FFFFFF"/>
        <w:spacing w:line="330" w:lineRule="atLeast"/>
        <w:rPr>
          <w:rFonts w:ascii="宋体" w:hAnsi="宋体" w:cs="宋体"/>
          <w:bCs/>
          <w:color w:val="auto"/>
          <w:sz w:val="24"/>
          <w:highlight w:val="none"/>
        </w:rPr>
      </w:pPr>
      <w:r>
        <w:rPr>
          <w:color w:val="auto"/>
          <w:sz w:val="24"/>
          <w:highlight w:val="none"/>
        </w:rPr>
        <w:t> </w:t>
      </w:r>
    </w:p>
    <w:tbl>
      <w:tblPr>
        <w:tblStyle w:val="49"/>
        <w:tblW w:w="0" w:type="auto"/>
        <w:jc w:val="center"/>
        <w:tblLayout w:type="autofit"/>
        <w:tblCellMar>
          <w:top w:w="0" w:type="dxa"/>
          <w:left w:w="0" w:type="dxa"/>
          <w:bottom w:w="0" w:type="dxa"/>
          <w:right w:w="0" w:type="dxa"/>
        </w:tblCellMar>
      </w:tblPr>
      <w:tblGrid>
        <w:gridCol w:w="1560"/>
        <w:gridCol w:w="1281"/>
        <w:gridCol w:w="758"/>
        <w:gridCol w:w="993"/>
        <w:gridCol w:w="1491"/>
        <w:gridCol w:w="1315"/>
        <w:gridCol w:w="908"/>
      </w:tblGrid>
      <w:tr>
        <w:tblPrEx>
          <w:tblCellMar>
            <w:top w:w="0" w:type="dxa"/>
            <w:left w:w="0" w:type="dxa"/>
            <w:bottom w:w="0" w:type="dxa"/>
            <w:right w:w="0" w:type="dxa"/>
          </w:tblCellMar>
        </w:tblPrEx>
        <w:trPr>
          <w:trHeight w:val="454" w:hRule="atLeast"/>
          <w:jc w:val="center"/>
        </w:trPr>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tLeast"/>
              <w:jc w:val="center"/>
              <w:rPr>
                <w:rFonts w:ascii="宋体" w:hAnsi="宋体" w:cs="宋体"/>
                <w:bCs/>
                <w:color w:val="auto"/>
                <w:sz w:val="24"/>
                <w:highlight w:val="none"/>
              </w:rPr>
            </w:pPr>
            <w:r>
              <w:rPr>
                <w:rFonts w:hint="eastAsia" w:ascii="宋体" w:hAnsi="宋体" w:cs="宋体"/>
                <w:b/>
                <w:color w:val="auto"/>
                <w:sz w:val="18"/>
                <w:szCs w:val="18"/>
                <w:highlight w:val="none"/>
              </w:rPr>
              <w:t>行业名称</w:t>
            </w:r>
          </w:p>
        </w:tc>
        <w:tc>
          <w:tcPr>
            <w:tcW w:w="1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指标名称</w:t>
            </w:r>
          </w:p>
        </w:tc>
        <w:tc>
          <w:tcPr>
            <w:tcW w:w="7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计量</w:t>
            </w:r>
            <w:r>
              <w:rPr>
                <w:rFonts w:hint="eastAsia" w:ascii="宋体" w:hAnsi="宋体" w:cs="宋体"/>
                <w:b/>
                <w:color w:val="auto"/>
                <w:sz w:val="18"/>
                <w:szCs w:val="18"/>
                <w:highlight w:val="none"/>
              </w:rPr>
              <w:br w:type="textWrapping"/>
            </w:r>
            <w:r>
              <w:rPr>
                <w:rFonts w:hint="eastAsia" w:ascii="宋体" w:hAnsi="宋体" w:cs="宋体"/>
                <w:b/>
                <w:color w:val="auto"/>
                <w:sz w:val="18"/>
                <w:szCs w:val="18"/>
                <w:highlight w:val="none"/>
              </w:rPr>
              <w:t>单位</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大型</w:t>
            </w:r>
          </w:p>
        </w:tc>
        <w:tc>
          <w:tcPr>
            <w:tcW w:w="14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中型</w:t>
            </w:r>
          </w:p>
        </w:tc>
        <w:tc>
          <w:tcPr>
            <w:tcW w:w="13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小型</w:t>
            </w:r>
          </w:p>
        </w:tc>
        <w:tc>
          <w:tcPr>
            <w:tcW w:w="908" w:type="dxa"/>
            <w:tcBorders>
              <w:top w:val="single" w:color="auto" w:sz="8" w:space="0"/>
              <w:left w:val="nil"/>
              <w:bottom w:val="single" w:color="auto" w:sz="8" w:space="0"/>
              <w:right w:val="nil"/>
            </w:tcBorders>
            <w:tcMar>
              <w:top w:w="0" w:type="dxa"/>
              <w:left w:w="108" w:type="dxa"/>
              <w:bottom w:w="0" w:type="dxa"/>
              <w:right w:w="108" w:type="dxa"/>
            </w:tcMar>
            <w:vAlign w:val="center"/>
          </w:tcPr>
          <w:p>
            <w:pPr>
              <w:jc w:val="center"/>
              <w:rPr>
                <w:rFonts w:ascii="宋体" w:hAnsi="宋体" w:cs="宋体"/>
                <w:bCs/>
                <w:color w:val="auto"/>
                <w:sz w:val="24"/>
                <w:highlight w:val="none"/>
              </w:rPr>
            </w:pPr>
            <w:r>
              <w:rPr>
                <w:rFonts w:hint="eastAsia" w:ascii="宋体" w:hAnsi="宋体" w:cs="宋体"/>
                <w:b/>
                <w:color w:val="auto"/>
                <w:sz w:val="18"/>
                <w:szCs w:val="18"/>
                <w:highlight w:val="none"/>
              </w:rPr>
              <w:t>微型</w:t>
            </w:r>
          </w:p>
        </w:tc>
      </w:tr>
      <w:tr>
        <w:tblPrEx>
          <w:tblCellMar>
            <w:top w:w="0" w:type="dxa"/>
            <w:left w:w="0" w:type="dxa"/>
            <w:bottom w:w="0" w:type="dxa"/>
            <w:right w:w="0" w:type="dxa"/>
          </w:tblCellMar>
        </w:tblPrEx>
        <w:trPr>
          <w:trHeight w:val="397" w:hRule="atLeast"/>
          <w:jc w:val="center"/>
        </w:trPr>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农、林、牧、渔业</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500≤Y＜20000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50≤Y＜500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Y＜50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工业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Y≥40000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2000≤Y＜40000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Y＜300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建筑业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Y≥80000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6000≤Y＜80000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Y＜300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Z≥80000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5000≤Z＜80000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300≤Z＜5000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Z＜300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批发业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20≤X＜200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X＜5</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Y≥40000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5000≤Y＜40000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1000≤Y＜5000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零售业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500≤Y＜20000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100≤Y＜500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交通运输业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200≤Y＜3000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Y＜200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仓储业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100≤X＜200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邮政业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住宿业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餐饮业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ind w:firstLine="360"/>
              <w:jc w:val="center"/>
              <w:rPr>
                <w:rFonts w:ascii="宋体" w:hAnsi="宋体" w:cs="宋体"/>
                <w:bCs/>
                <w:color w:val="auto"/>
                <w:sz w:val="24"/>
                <w:highlight w:val="none"/>
              </w:rPr>
            </w:pPr>
            <w:r>
              <w:rPr>
                <w:rFonts w:hint="eastAsia" w:ascii="宋体" w:hAnsi="宋体" w:cs="宋体"/>
                <w:color w:val="auto"/>
                <w:sz w:val="18"/>
                <w:szCs w:val="18"/>
                <w:highlight w:val="none"/>
              </w:rPr>
              <w:t> 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信息传输业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X≥2000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100≤X＜2000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1000≤Y＜100000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Y＜50</w:t>
            </w:r>
          </w:p>
        </w:tc>
      </w:tr>
      <w:tr>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房地产开发经营</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Y≥200000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1000≤Y＜200000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Y＜100</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ind w:firstLine="360"/>
              <w:jc w:val="center"/>
              <w:rPr>
                <w:rFonts w:ascii="宋体" w:hAnsi="宋体" w:cs="宋体"/>
                <w:bCs/>
                <w:color w:val="auto"/>
                <w:sz w:val="24"/>
                <w:highlight w:val="none"/>
              </w:rPr>
            </w:pPr>
            <w:r>
              <w:rPr>
                <w:rFonts w:hint="eastAsia" w:ascii="宋体" w:hAnsi="宋体" w:cs="宋体"/>
                <w:color w:val="auto"/>
                <w:sz w:val="18"/>
                <w:szCs w:val="18"/>
                <w:highlight w:val="none"/>
              </w:rPr>
              <w:t>5000≤Z＜10000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2000≤Z＜5000  </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Z＜2000</w:t>
            </w:r>
          </w:p>
        </w:tc>
      </w:tr>
      <w:tr>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物业管理</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X＜100</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Y≥5000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1000≤Y＜5000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500≤Y＜1000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Y＜500</w:t>
            </w:r>
          </w:p>
        </w:tc>
      </w:tr>
      <w:tr>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租赁和商务服务业</w:t>
            </w:r>
          </w:p>
        </w:tc>
        <w:tc>
          <w:tcPr>
            <w:tcW w:w="1281"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Z≥120000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8000≤Z＜120000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100≤Z＜8000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Z＜100</w:t>
            </w:r>
          </w:p>
        </w:tc>
      </w:tr>
      <w:tr>
        <w:tblPrEx>
          <w:tblCellMar>
            <w:top w:w="0" w:type="dxa"/>
            <w:left w:w="0" w:type="dxa"/>
            <w:bottom w:w="0" w:type="dxa"/>
            <w:right w:w="0" w:type="dxa"/>
          </w:tblCellMar>
        </w:tblPrEx>
        <w:trPr>
          <w:trHeight w:val="397" w:hRule="atLeast"/>
          <w:jc w:val="center"/>
        </w:trPr>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工业 *</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Borders>
              <w:top w:val="nil"/>
              <w:left w:val="nil"/>
              <w:bottom w:val="single" w:color="auto" w:sz="8" w:space="0"/>
              <w:right w:val="nil"/>
            </w:tcBorders>
            <w:tcMar>
              <w:top w:w="0" w:type="dxa"/>
              <w:left w:w="108" w:type="dxa"/>
              <w:bottom w:w="0" w:type="dxa"/>
              <w:right w:w="108" w:type="dxa"/>
            </w:tcMar>
            <w:vAlign w:val="center"/>
          </w:tcPr>
          <w:p>
            <w:pPr>
              <w:rPr>
                <w:rFonts w:ascii="宋体" w:hAnsi="宋体" w:cs="宋体"/>
                <w:bCs/>
                <w:color w:val="auto"/>
                <w:sz w:val="24"/>
                <w:highlight w:val="none"/>
              </w:rPr>
            </w:pPr>
            <w:r>
              <w:rPr>
                <w:rFonts w:hint="eastAsia" w:ascii="宋体" w:hAnsi="宋体" w:cs="宋体"/>
                <w:color w:val="auto"/>
                <w:sz w:val="18"/>
                <w:szCs w:val="18"/>
                <w:highlight w:val="none"/>
              </w:rPr>
              <w:t>X＜10</w:t>
            </w:r>
          </w:p>
        </w:tc>
      </w:tr>
    </w:tbl>
    <w:p>
      <w:pPr>
        <w:shd w:val="clear" w:color="auto" w:fill="FFFFFF"/>
        <w:spacing w:line="375" w:lineRule="atLeast"/>
        <w:ind w:firstLine="600"/>
        <w:rPr>
          <w:rFonts w:ascii="宋体" w:hAnsi="宋体" w:cs="宋体"/>
          <w:bCs/>
          <w:color w:val="auto"/>
          <w:sz w:val="18"/>
          <w:szCs w:val="18"/>
          <w:highlight w:val="none"/>
        </w:rPr>
      </w:pPr>
      <w:r>
        <w:rPr>
          <w:rFonts w:hint="eastAsia" w:ascii="仿宋_GB2312" w:hAnsi="宋体" w:eastAsia="仿宋_GB2312" w:cs="宋体"/>
          <w:color w:val="auto"/>
          <w:sz w:val="30"/>
          <w:szCs w:val="30"/>
          <w:highlight w:val="none"/>
        </w:rPr>
        <w:br w:type="textWrapping" w:clear="all"/>
      </w:r>
      <w:r>
        <w:rPr>
          <w:rFonts w:hint="eastAsia" w:ascii="宋体" w:hAnsi="宋体" w:cs="宋体"/>
          <w:color w:val="auto"/>
          <w:sz w:val="18"/>
          <w:szCs w:val="18"/>
          <w:highlight w:val="none"/>
        </w:rPr>
        <w:t> </w:t>
      </w:r>
    </w:p>
    <w:p>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说明：</w:t>
      </w:r>
    </w:p>
    <w:p>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1.</w:t>
      </w:r>
      <w:r>
        <w:rPr>
          <w:rFonts w:hint="eastAsia" w:ascii="宋体" w:hAnsi="宋体" w:cs="宋体"/>
          <w:color w:val="auto"/>
          <w:spacing w:val="8"/>
          <w:sz w:val="24"/>
          <w:highlight w:val="none"/>
        </w:rPr>
        <w:t>大型、中型和小型企业须同时满足所列指标的下限，否则下划一档；微型企业只须满足所列指标中的一项即可。</w:t>
      </w:r>
    </w:p>
    <w:p>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2.</w:t>
      </w:r>
      <w:r>
        <w:rPr>
          <w:rFonts w:hint="eastAsia" w:ascii="宋体" w:hAnsi="宋体" w:cs="宋体"/>
          <w:color w:val="auto"/>
          <w:spacing w:val="8"/>
          <w:sz w:val="24"/>
          <w:highlight w:val="none"/>
        </w:rPr>
        <w:t>附表中各行业的范围以《国民经济行业分类》（</w:t>
      </w:r>
      <w:r>
        <w:rPr>
          <w:color w:val="auto"/>
          <w:spacing w:val="8"/>
          <w:sz w:val="24"/>
          <w:highlight w:val="none"/>
        </w:rPr>
        <w:t>GB/T4754-2011</w:t>
      </w:r>
      <w:r>
        <w:rPr>
          <w:rFonts w:hint="eastAsia" w:ascii="宋体" w:hAnsi="宋体" w:cs="宋体"/>
          <w:color w:val="auto"/>
          <w:spacing w:val="8"/>
          <w:sz w:val="24"/>
          <w:highlight w:val="none"/>
        </w:rPr>
        <w:t>）为准。带</w:t>
      </w:r>
      <w:r>
        <w:rPr>
          <w:color w:val="auto"/>
          <w:spacing w:val="8"/>
          <w:sz w:val="24"/>
          <w:highlight w:val="none"/>
        </w:rPr>
        <w:t>*</w:t>
      </w:r>
      <w:r>
        <w:rPr>
          <w:rFonts w:hint="eastAsia" w:ascii="宋体" w:hAnsi="宋体" w:cs="宋体"/>
          <w:color w:val="auto"/>
          <w:spacing w:val="8"/>
          <w:sz w:val="24"/>
          <w:highlight w:val="none"/>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工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3.</w:t>
      </w:r>
      <w:r>
        <w:rPr>
          <w:rFonts w:hint="eastAsia" w:ascii="宋体" w:hAnsi="宋体" w:cs="宋体"/>
          <w:color w:val="auto"/>
          <w:spacing w:val="8"/>
          <w:sz w:val="24"/>
          <w:highlight w:val="none"/>
        </w:rPr>
        <w:t>企业划分指标以现行统计制度为准。（</w:t>
      </w:r>
      <w:r>
        <w:rPr>
          <w:color w:val="auto"/>
          <w:spacing w:val="8"/>
          <w:sz w:val="24"/>
          <w:highlight w:val="none"/>
        </w:rPr>
        <w:t>1</w:t>
      </w:r>
      <w:r>
        <w:rPr>
          <w:rFonts w:hint="eastAsia" w:ascii="宋体" w:hAnsi="宋体" w:cs="宋体"/>
          <w:color w:val="auto"/>
          <w:spacing w:val="8"/>
          <w:sz w:val="24"/>
          <w:highlight w:val="none"/>
        </w:rPr>
        <w:t>）从业人员，是指期末从业人员数，没有期末从业人员数的，采用全年平均人员数代替。（</w:t>
      </w:r>
      <w:r>
        <w:rPr>
          <w:color w:val="auto"/>
          <w:spacing w:val="8"/>
          <w:sz w:val="24"/>
          <w:highlight w:val="none"/>
        </w:rPr>
        <w:t>2</w:t>
      </w:r>
      <w:r>
        <w:rPr>
          <w:rFonts w:hint="eastAsia" w:ascii="宋体" w:hAnsi="宋体" w:cs="宋体"/>
          <w:color w:val="auto"/>
          <w:spacing w:val="8"/>
          <w:sz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color w:val="auto"/>
          <w:spacing w:val="8"/>
          <w:sz w:val="24"/>
          <w:highlight w:val="none"/>
        </w:rPr>
        <w:t>3</w:t>
      </w:r>
      <w:r>
        <w:rPr>
          <w:rFonts w:hint="eastAsia" w:ascii="宋体" w:hAnsi="宋体" w:cs="宋体"/>
          <w:color w:val="auto"/>
          <w:spacing w:val="8"/>
          <w:sz w:val="24"/>
          <w:highlight w:val="none"/>
        </w:rPr>
        <w:t>）资产总额，采用资产总计代替。</w:t>
      </w:r>
    </w:p>
    <w:p>
      <w:pPr>
        <w:pStyle w:val="25"/>
        <w:snapToGrid w:val="0"/>
        <w:ind w:firstLine="420"/>
        <w:rPr>
          <w:rFonts w:ascii="微软雅黑" w:hAnsi="微软雅黑"/>
          <w:color w:val="auto"/>
          <w:szCs w:val="21"/>
          <w:highlight w:val="none"/>
        </w:rPr>
      </w:pPr>
    </w:p>
    <w:p>
      <w:pPr>
        <w:pStyle w:val="25"/>
        <w:snapToGrid w:val="0"/>
        <w:ind w:firstLine="420"/>
        <w:rPr>
          <w:rFonts w:ascii="微软雅黑" w:hAnsi="微软雅黑"/>
          <w:color w:val="auto"/>
          <w:szCs w:val="21"/>
          <w:highlight w:val="none"/>
        </w:rPr>
      </w:pPr>
    </w:p>
    <w:p>
      <w:pPr>
        <w:pStyle w:val="95"/>
        <w:spacing w:line="360" w:lineRule="auto"/>
        <w:ind w:right="42" w:rightChars="20"/>
        <w:rPr>
          <w:rFonts w:asciiTheme="minorEastAsia" w:hAnsiTheme="minorEastAsia" w:eastAsiaTheme="minorEastAsia"/>
          <w:color w:val="auto"/>
          <w:highlight w:val="none"/>
        </w:rPr>
      </w:pPr>
    </w:p>
    <w:sectPr>
      <w:pgSz w:w="11907" w:h="16839"/>
      <w:pgMar w:top="1440" w:right="184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66517"/>
    </w:sdtPr>
    <w:sdtContent>
      <w:p>
        <w:pPr>
          <w:pStyle w:val="3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3F96A"/>
    <w:multiLevelType w:val="singleLevel"/>
    <w:tmpl w:val="8993F96A"/>
    <w:lvl w:ilvl="0" w:tentative="0">
      <w:start w:val="1"/>
      <w:numFmt w:val="chineseCounting"/>
      <w:suff w:val="nothing"/>
      <w:lvlText w:val="%1、"/>
      <w:lvlJc w:val="left"/>
      <w:rPr>
        <w:rFonts w:hint="eastAsia"/>
      </w:rPr>
    </w:lvl>
  </w:abstractNum>
  <w:abstractNum w:abstractNumId="1">
    <w:nsid w:val="951C9CA1"/>
    <w:multiLevelType w:val="singleLevel"/>
    <w:tmpl w:val="951C9CA1"/>
    <w:lvl w:ilvl="0" w:tentative="0">
      <w:start w:val="1"/>
      <w:numFmt w:val="decimal"/>
      <w:suff w:val="nothing"/>
      <w:lvlText w:val="（%1）"/>
      <w:lvlJc w:val="left"/>
    </w:lvl>
  </w:abstractNum>
  <w:abstractNum w:abstractNumId="2">
    <w:nsid w:val="DA71CFB3"/>
    <w:multiLevelType w:val="singleLevel"/>
    <w:tmpl w:val="DA71CFB3"/>
    <w:lvl w:ilvl="0" w:tentative="0">
      <w:start w:val="1"/>
      <w:numFmt w:val="decimal"/>
      <w:suff w:val="nothing"/>
      <w:lvlText w:val="（%1）"/>
      <w:lvlJc w:val="left"/>
    </w:lvl>
  </w:abstractNum>
  <w:abstractNum w:abstractNumId="3">
    <w:nsid w:val="F996F338"/>
    <w:multiLevelType w:val="singleLevel"/>
    <w:tmpl w:val="F996F338"/>
    <w:lvl w:ilvl="0" w:tentative="0">
      <w:start w:val="1"/>
      <w:numFmt w:val="chineseCounting"/>
      <w:suff w:val="nothing"/>
      <w:lvlText w:val="%1、"/>
      <w:lvlJc w:val="left"/>
      <w:rPr>
        <w:rFonts w:hint="eastAsia"/>
      </w:rPr>
    </w:lvl>
  </w:abstractNum>
  <w:abstractNum w:abstractNumId="4">
    <w:nsid w:val="319DA420"/>
    <w:multiLevelType w:val="singleLevel"/>
    <w:tmpl w:val="319DA420"/>
    <w:lvl w:ilvl="0" w:tentative="0">
      <w:start w:val="2"/>
      <w:numFmt w:val="chineseCounting"/>
      <w:suff w:val="space"/>
      <w:lvlText w:val="第%1章"/>
      <w:lvlJc w:val="left"/>
      <w:rPr>
        <w:rFonts w:hint="eastAsia"/>
      </w:rPr>
    </w:lvl>
  </w:abstractNum>
  <w:abstractNum w:abstractNumId="5">
    <w:nsid w:val="4036637C"/>
    <w:multiLevelType w:val="singleLevel"/>
    <w:tmpl w:val="4036637C"/>
    <w:lvl w:ilvl="0" w:tentative="0">
      <w:start w:val="2"/>
      <w:numFmt w:val="chineseCounting"/>
      <w:suff w:val="nothing"/>
      <w:lvlText w:val="（%1）"/>
      <w:lvlJc w:val="left"/>
      <w:rPr>
        <w:rFonts w:hint="eastAsia"/>
      </w:rPr>
    </w:lvl>
  </w:abstractNum>
  <w:abstractNum w:abstractNumId="6">
    <w:nsid w:val="48ECD156"/>
    <w:multiLevelType w:val="singleLevel"/>
    <w:tmpl w:val="48ECD156"/>
    <w:lvl w:ilvl="0" w:tentative="0">
      <w:start w:val="1"/>
      <w:numFmt w:val="bullet"/>
      <w:pStyle w:val="22"/>
      <w:lvlText w:val=""/>
      <w:lvlJc w:val="left"/>
      <w:pPr>
        <w:tabs>
          <w:tab w:val="left" w:pos="780"/>
        </w:tabs>
        <w:ind w:left="780" w:hanging="360"/>
      </w:pPr>
      <w:rPr>
        <w:rFonts w:hint="default" w:ascii="Wingdings" w:hAnsi="Wingdings"/>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1E3405"/>
    <w:multiLevelType w:val="multilevel"/>
    <w:tmpl w:val="551E340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E8493A5"/>
    <w:multiLevelType w:val="singleLevel"/>
    <w:tmpl w:val="6E8493A5"/>
    <w:lvl w:ilvl="0" w:tentative="0">
      <w:start w:val="1"/>
      <w:numFmt w:val="decimal"/>
      <w:suff w:val="nothing"/>
      <w:lvlText w:val="（%1）"/>
      <w:lvlJc w:val="left"/>
    </w:lvl>
  </w:abstractNum>
  <w:abstractNum w:abstractNumId="11">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1"/>
  </w:num>
  <w:num w:numId="8">
    <w:abstractNumId w:val="2"/>
  </w:num>
  <w:num w:numId="9">
    <w:abstractNumId w:val="10"/>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NjZlYzliOTZlMzhmN2QyODMxMjQ1OWRkMjExZDI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0C9"/>
    <w:rsid w:val="0003713E"/>
    <w:rsid w:val="00037CD8"/>
    <w:rsid w:val="0004008C"/>
    <w:rsid w:val="000401D5"/>
    <w:rsid w:val="00041805"/>
    <w:rsid w:val="000420D3"/>
    <w:rsid w:val="00042977"/>
    <w:rsid w:val="00042AFD"/>
    <w:rsid w:val="00043120"/>
    <w:rsid w:val="00043142"/>
    <w:rsid w:val="000441CD"/>
    <w:rsid w:val="000462B4"/>
    <w:rsid w:val="0004692F"/>
    <w:rsid w:val="00046CEF"/>
    <w:rsid w:val="00047395"/>
    <w:rsid w:val="00047D1E"/>
    <w:rsid w:val="00047EDB"/>
    <w:rsid w:val="0005070C"/>
    <w:rsid w:val="000510C6"/>
    <w:rsid w:val="000518B8"/>
    <w:rsid w:val="00051FC1"/>
    <w:rsid w:val="00052067"/>
    <w:rsid w:val="00052F01"/>
    <w:rsid w:val="00052FA7"/>
    <w:rsid w:val="00055784"/>
    <w:rsid w:val="00055D20"/>
    <w:rsid w:val="00056CBF"/>
    <w:rsid w:val="000573EF"/>
    <w:rsid w:val="00057835"/>
    <w:rsid w:val="00060047"/>
    <w:rsid w:val="000623FD"/>
    <w:rsid w:val="00062990"/>
    <w:rsid w:val="00063364"/>
    <w:rsid w:val="00064222"/>
    <w:rsid w:val="00064829"/>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5771"/>
    <w:rsid w:val="00076500"/>
    <w:rsid w:val="00076C16"/>
    <w:rsid w:val="0007718F"/>
    <w:rsid w:val="0007759B"/>
    <w:rsid w:val="00080288"/>
    <w:rsid w:val="000806AE"/>
    <w:rsid w:val="0008113B"/>
    <w:rsid w:val="00081912"/>
    <w:rsid w:val="00083567"/>
    <w:rsid w:val="000845F6"/>
    <w:rsid w:val="00085D08"/>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A73"/>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2959"/>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0F7BE1"/>
    <w:rsid w:val="001001E6"/>
    <w:rsid w:val="00100BEF"/>
    <w:rsid w:val="00102032"/>
    <w:rsid w:val="00102946"/>
    <w:rsid w:val="001029B5"/>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41CC"/>
    <w:rsid w:val="0012571C"/>
    <w:rsid w:val="00131164"/>
    <w:rsid w:val="0013190C"/>
    <w:rsid w:val="00131EB3"/>
    <w:rsid w:val="0013300D"/>
    <w:rsid w:val="001331D8"/>
    <w:rsid w:val="00136E52"/>
    <w:rsid w:val="001411A8"/>
    <w:rsid w:val="0014296B"/>
    <w:rsid w:val="0014548E"/>
    <w:rsid w:val="00145D66"/>
    <w:rsid w:val="00150C59"/>
    <w:rsid w:val="001512EB"/>
    <w:rsid w:val="00152126"/>
    <w:rsid w:val="00152CF7"/>
    <w:rsid w:val="001545E7"/>
    <w:rsid w:val="00155885"/>
    <w:rsid w:val="0015627F"/>
    <w:rsid w:val="0015639E"/>
    <w:rsid w:val="00157136"/>
    <w:rsid w:val="001608DD"/>
    <w:rsid w:val="00160CB6"/>
    <w:rsid w:val="00162430"/>
    <w:rsid w:val="00162AB9"/>
    <w:rsid w:val="001663C1"/>
    <w:rsid w:val="001670E7"/>
    <w:rsid w:val="00171130"/>
    <w:rsid w:val="001733E7"/>
    <w:rsid w:val="001737B3"/>
    <w:rsid w:val="00174657"/>
    <w:rsid w:val="001749E9"/>
    <w:rsid w:val="001749EA"/>
    <w:rsid w:val="00175ACF"/>
    <w:rsid w:val="00175FF0"/>
    <w:rsid w:val="00180135"/>
    <w:rsid w:val="001807AC"/>
    <w:rsid w:val="0018080D"/>
    <w:rsid w:val="00180B6C"/>
    <w:rsid w:val="00183A3B"/>
    <w:rsid w:val="00183E56"/>
    <w:rsid w:val="00184A25"/>
    <w:rsid w:val="00185BE6"/>
    <w:rsid w:val="00186C73"/>
    <w:rsid w:val="00190584"/>
    <w:rsid w:val="00190A51"/>
    <w:rsid w:val="00191C4B"/>
    <w:rsid w:val="001930F4"/>
    <w:rsid w:val="00193B68"/>
    <w:rsid w:val="001951A6"/>
    <w:rsid w:val="001952FF"/>
    <w:rsid w:val="001961BA"/>
    <w:rsid w:val="001963C7"/>
    <w:rsid w:val="00196943"/>
    <w:rsid w:val="00196E8A"/>
    <w:rsid w:val="001A1210"/>
    <w:rsid w:val="001A3799"/>
    <w:rsid w:val="001A385B"/>
    <w:rsid w:val="001A3D66"/>
    <w:rsid w:val="001A45C5"/>
    <w:rsid w:val="001A4752"/>
    <w:rsid w:val="001A5907"/>
    <w:rsid w:val="001A6FF0"/>
    <w:rsid w:val="001A7535"/>
    <w:rsid w:val="001A78E7"/>
    <w:rsid w:val="001B024B"/>
    <w:rsid w:val="001B0ECC"/>
    <w:rsid w:val="001B1149"/>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4978"/>
    <w:rsid w:val="001E5308"/>
    <w:rsid w:val="001E550F"/>
    <w:rsid w:val="001E7513"/>
    <w:rsid w:val="001F020B"/>
    <w:rsid w:val="001F02A5"/>
    <w:rsid w:val="001F2692"/>
    <w:rsid w:val="001F305F"/>
    <w:rsid w:val="001F32E4"/>
    <w:rsid w:val="001F3957"/>
    <w:rsid w:val="001F45BF"/>
    <w:rsid w:val="001F6A15"/>
    <w:rsid w:val="001F7159"/>
    <w:rsid w:val="001F7336"/>
    <w:rsid w:val="001F7D98"/>
    <w:rsid w:val="002001BC"/>
    <w:rsid w:val="002004C0"/>
    <w:rsid w:val="00200E8E"/>
    <w:rsid w:val="002012BC"/>
    <w:rsid w:val="00201E99"/>
    <w:rsid w:val="002033CF"/>
    <w:rsid w:val="00203D55"/>
    <w:rsid w:val="00204712"/>
    <w:rsid w:val="00204AFB"/>
    <w:rsid w:val="00205048"/>
    <w:rsid w:val="0020630C"/>
    <w:rsid w:val="002069E8"/>
    <w:rsid w:val="00206B06"/>
    <w:rsid w:val="00206FEC"/>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0B44"/>
    <w:rsid w:val="002310E4"/>
    <w:rsid w:val="00231165"/>
    <w:rsid w:val="002321B2"/>
    <w:rsid w:val="00232532"/>
    <w:rsid w:val="002331D8"/>
    <w:rsid w:val="0023367C"/>
    <w:rsid w:val="0023556C"/>
    <w:rsid w:val="0023594C"/>
    <w:rsid w:val="0023766E"/>
    <w:rsid w:val="00241365"/>
    <w:rsid w:val="002450E8"/>
    <w:rsid w:val="00245739"/>
    <w:rsid w:val="0024712C"/>
    <w:rsid w:val="0024757D"/>
    <w:rsid w:val="00250561"/>
    <w:rsid w:val="0025074F"/>
    <w:rsid w:val="00250FF3"/>
    <w:rsid w:val="00251D1B"/>
    <w:rsid w:val="00251DDD"/>
    <w:rsid w:val="0025315C"/>
    <w:rsid w:val="00254D47"/>
    <w:rsid w:val="00255D0F"/>
    <w:rsid w:val="0025630A"/>
    <w:rsid w:val="0025717D"/>
    <w:rsid w:val="00257251"/>
    <w:rsid w:val="002576F9"/>
    <w:rsid w:val="00260090"/>
    <w:rsid w:val="00260141"/>
    <w:rsid w:val="00261255"/>
    <w:rsid w:val="00261B17"/>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01AF"/>
    <w:rsid w:val="00283B35"/>
    <w:rsid w:val="0028553D"/>
    <w:rsid w:val="0028590F"/>
    <w:rsid w:val="0028632D"/>
    <w:rsid w:val="002864B8"/>
    <w:rsid w:val="00286F4E"/>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18C"/>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D7E86"/>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3CB3"/>
    <w:rsid w:val="003070E6"/>
    <w:rsid w:val="00312FB3"/>
    <w:rsid w:val="00313617"/>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0B38"/>
    <w:rsid w:val="00331439"/>
    <w:rsid w:val="003314C8"/>
    <w:rsid w:val="0033382F"/>
    <w:rsid w:val="003339BF"/>
    <w:rsid w:val="0033557B"/>
    <w:rsid w:val="00337ABB"/>
    <w:rsid w:val="00340753"/>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3E2C"/>
    <w:rsid w:val="00364900"/>
    <w:rsid w:val="00367043"/>
    <w:rsid w:val="00367868"/>
    <w:rsid w:val="00367E68"/>
    <w:rsid w:val="003702DB"/>
    <w:rsid w:val="003726C9"/>
    <w:rsid w:val="00372EFB"/>
    <w:rsid w:val="00374661"/>
    <w:rsid w:val="00374AFA"/>
    <w:rsid w:val="00375F2E"/>
    <w:rsid w:val="0037623E"/>
    <w:rsid w:val="0037688E"/>
    <w:rsid w:val="00376CC4"/>
    <w:rsid w:val="00377A30"/>
    <w:rsid w:val="00377D87"/>
    <w:rsid w:val="00380F76"/>
    <w:rsid w:val="00381553"/>
    <w:rsid w:val="00381601"/>
    <w:rsid w:val="00381DC5"/>
    <w:rsid w:val="003827C0"/>
    <w:rsid w:val="00382D2E"/>
    <w:rsid w:val="003831B5"/>
    <w:rsid w:val="003833E2"/>
    <w:rsid w:val="003857B1"/>
    <w:rsid w:val="0038631D"/>
    <w:rsid w:val="00387D85"/>
    <w:rsid w:val="00391146"/>
    <w:rsid w:val="003913CC"/>
    <w:rsid w:val="0039180D"/>
    <w:rsid w:val="00392C38"/>
    <w:rsid w:val="00393B51"/>
    <w:rsid w:val="003940A9"/>
    <w:rsid w:val="00394485"/>
    <w:rsid w:val="003945FE"/>
    <w:rsid w:val="00394AE3"/>
    <w:rsid w:val="00395629"/>
    <w:rsid w:val="00396529"/>
    <w:rsid w:val="00397033"/>
    <w:rsid w:val="00397632"/>
    <w:rsid w:val="00397A22"/>
    <w:rsid w:val="003A08B8"/>
    <w:rsid w:val="003A0ACF"/>
    <w:rsid w:val="003A35DE"/>
    <w:rsid w:val="003A368B"/>
    <w:rsid w:val="003A3F1A"/>
    <w:rsid w:val="003A48E3"/>
    <w:rsid w:val="003A55E2"/>
    <w:rsid w:val="003A65FE"/>
    <w:rsid w:val="003A6EB4"/>
    <w:rsid w:val="003A7F12"/>
    <w:rsid w:val="003B2868"/>
    <w:rsid w:val="003B296C"/>
    <w:rsid w:val="003B6222"/>
    <w:rsid w:val="003C1488"/>
    <w:rsid w:val="003C17B9"/>
    <w:rsid w:val="003C2847"/>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0A18"/>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F8D"/>
    <w:rsid w:val="004214B5"/>
    <w:rsid w:val="004225B5"/>
    <w:rsid w:val="0042297C"/>
    <w:rsid w:val="00423F7F"/>
    <w:rsid w:val="004250BA"/>
    <w:rsid w:val="004256E8"/>
    <w:rsid w:val="00425B57"/>
    <w:rsid w:val="004267A0"/>
    <w:rsid w:val="00426EEF"/>
    <w:rsid w:val="00430924"/>
    <w:rsid w:val="004317C7"/>
    <w:rsid w:val="00431C25"/>
    <w:rsid w:val="00431CF0"/>
    <w:rsid w:val="0043214E"/>
    <w:rsid w:val="00432879"/>
    <w:rsid w:val="00434060"/>
    <w:rsid w:val="004368EC"/>
    <w:rsid w:val="00437762"/>
    <w:rsid w:val="00440432"/>
    <w:rsid w:val="00440709"/>
    <w:rsid w:val="004409B0"/>
    <w:rsid w:val="004410F2"/>
    <w:rsid w:val="0044176C"/>
    <w:rsid w:val="004426D3"/>
    <w:rsid w:val="004432C4"/>
    <w:rsid w:val="00444BDC"/>
    <w:rsid w:val="00444E81"/>
    <w:rsid w:val="004461E1"/>
    <w:rsid w:val="0044624A"/>
    <w:rsid w:val="004466ED"/>
    <w:rsid w:val="00451372"/>
    <w:rsid w:val="00451D14"/>
    <w:rsid w:val="00453177"/>
    <w:rsid w:val="0045398A"/>
    <w:rsid w:val="004548E3"/>
    <w:rsid w:val="00454CAC"/>
    <w:rsid w:val="00454FEF"/>
    <w:rsid w:val="00455983"/>
    <w:rsid w:val="00455FB6"/>
    <w:rsid w:val="00456AB9"/>
    <w:rsid w:val="00456B40"/>
    <w:rsid w:val="00457A35"/>
    <w:rsid w:val="004621BB"/>
    <w:rsid w:val="00463AE4"/>
    <w:rsid w:val="00464141"/>
    <w:rsid w:val="00465CE3"/>
    <w:rsid w:val="00466865"/>
    <w:rsid w:val="0047000B"/>
    <w:rsid w:val="00470411"/>
    <w:rsid w:val="00470989"/>
    <w:rsid w:val="00472A6B"/>
    <w:rsid w:val="004730CD"/>
    <w:rsid w:val="00474463"/>
    <w:rsid w:val="004753EA"/>
    <w:rsid w:val="004756E5"/>
    <w:rsid w:val="00476950"/>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1CE5"/>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5BDD"/>
    <w:rsid w:val="004B64CA"/>
    <w:rsid w:val="004B6D4D"/>
    <w:rsid w:val="004B7634"/>
    <w:rsid w:val="004B76FA"/>
    <w:rsid w:val="004C024F"/>
    <w:rsid w:val="004C08D1"/>
    <w:rsid w:val="004C09A2"/>
    <w:rsid w:val="004C2CFD"/>
    <w:rsid w:val="004C30F4"/>
    <w:rsid w:val="004C34B1"/>
    <w:rsid w:val="004C48CD"/>
    <w:rsid w:val="004C4F9B"/>
    <w:rsid w:val="004C6A4F"/>
    <w:rsid w:val="004D0473"/>
    <w:rsid w:val="004D07AC"/>
    <w:rsid w:val="004D3047"/>
    <w:rsid w:val="004D3105"/>
    <w:rsid w:val="004D39A3"/>
    <w:rsid w:val="004D46B5"/>
    <w:rsid w:val="004D4F09"/>
    <w:rsid w:val="004D5556"/>
    <w:rsid w:val="004D5665"/>
    <w:rsid w:val="004D688A"/>
    <w:rsid w:val="004D7812"/>
    <w:rsid w:val="004D7E27"/>
    <w:rsid w:val="004E0F43"/>
    <w:rsid w:val="004E180E"/>
    <w:rsid w:val="004E3AAC"/>
    <w:rsid w:val="004E3F53"/>
    <w:rsid w:val="004E443A"/>
    <w:rsid w:val="004E49CF"/>
    <w:rsid w:val="004E6C19"/>
    <w:rsid w:val="004E7946"/>
    <w:rsid w:val="004F054E"/>
    <w:rsid w:val="004F14AA"/>
    <w:rsid w:val="004F28FF"/>
    <w:rsid w:val="004F49C9"/>
    <w:rsid w:val="004F5EEB"/>
    <w:rsid w:val="004F6AAA"/>
    <w:rsid w:val="004F773C"/>
    <w:rsid w:val="004F7EA8"/>
    <w:rsid w:val="00500A89"/>
    <w:rsid w:val="00501FF8"/>
    <w:rsid w:val="005032B5"/>
    <w:rsid w:val="00503847"/>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5BE"/>
    <w:rsid w:val="00520BD0"/>
    <w:rsid w:val="00520EB6"/>
    <w:rsid w:val="00521558"/>
    <w:rsid w:val="00521858"/>
    <w:rsid w:val="00521C5E"/>
    <w:rsid w:val="00521FA8"/>
    <w:rsid w:val="00521FF6"/>
    <w:rsid w:val="00523056"/>
    <w:rsid w:val="0052346E"/>
    <w:rsid w:val="005235A4"/>
    <w:rsid w:val="00525BDD"/>
    <w:rsid w:val="0052684A"/>
    <w:rsid w:val="00526FB9"/>
    <w:rsid w:val="00527687"/>
    <w:rsid w:val="005309B4"/>
    <w:rsid w:val="00531101"/>
    <w:rsid w:val="005312BB"/>
    <w:rsid w:val="00532778"/>
    <w:rsid w:val="00532B2C"/>
    <w:rsid w:val="00532F3A"/>
    <w:rsid w:val="00533812"/>
    <w:rsid w:val="00534342"/>
    <w:rsid w:val="00535AFE"/>
    <w:rsid w:val="00535CA4"/>
    <w:rsid w:val="00535F25"/>
    <w:rsid w:val="005363AD"/>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341"/>
    <w:rsid w:val="00563D15"/>
    <w:rsid w:val="00564533"/>
    <w:rsid w:val="00566FF8"/>
    <w:rsid w:val="0056771B"/>
    <w:rsid w:val="0056780F"/>
    <w:rsid w:val="00567FD0"/>
    <w:rsid w:val="0057024F"/>
    <w:rsid w:val="005719F3"/>
    <w:rsid w:val="00571C2F"/>
    <w:rsid w:val="00572072"/>
    <w:rsid w:val="00572649"/>
    <w:rsid w:val="00573C43"/>
    <w:rsid w:val="005769D3"/>
    <w:rsid w:val="00576E0E"/>
    <w:rsid w:val="00576F27"/>
    <w:rsid w:val="005774DA"/>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6A0"/>
    <w:rsid w:val="00597843"/>
    <w:rsid w:val="005979E9"/>
    <w:rsid w:val="00597A7A"/>
    <w:rsid w:val="005A102D"/>
    <w:rsid w:val="005A182D"/>
    <w:rsid w:val="005A1858"/>
    <w:rsid w:val="005A2A66"/>
    <w:rsid w:val="005A422B"/>
    <w:rsid w:val="005A452F"/>
    <w:rsid w:val="005A4EA4"/>
    <w:rsid w:val="005A5D0F"/>
    <w:rsid w:val="005A74B8"/>
    <w:rsid w:val="005A76B0"/>
    <w:rsid w:val="005A78CB"/>
    <w:rsid w:val="005B067A"/>
    <w:rsid w:val="005B11F4"/>
    <w:rsid w:val="005B26C5"/>
    <w:rsid w:val="005B6616"/>
    <w:rsid w:val="005B67AE"/>
    <w:rsid w:val="005B7C00"/>
    <w:rsid w:val="005B7EC3"/>
    <w:rsid w:val="005B7F47"/>
    <w:rsid w:val="005C020F"/>
    <w:rsid w:val="005C0785"/>
    <w:rsid w:val="005C0E52"/>
    <w:rsid w:val="005C1C87"/>
    <w:rsid w:val="005C25DD"/>
    <w:rsid w:val="005C34B9"/>
    <w:rsid w:val="005C35FC"/>
    <w:rsid w:val="005C3A36"/>
    <w:rsid w:val="005C4C43"/>
    <w:rsid w:val="005C5C63"/>
    <w:rsid w:val="005C6DB7"/>
    <w:rsid w:val="005C75FA"/>
    <w:rsid w:val="005D146E"/>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1A43"/>
    <w:rsid w:val="005F22D0"/>
    <w:rsid w:val="005F27D0"/>
    <w:rsid w:val="005F3F1A"/>
    <w:rsid w:val="005F51B4"/>
    <w:rsid w:val="005F5253"/>
    <w:rsid w:val="005F55D0"/>
    <w:rsid w:val="005F5636"/>
    <w:rsid w:val="005F6215"/>
    <w:rsid w:val="005F6F6C"/>
    <w:rsid w:val="005F6F8E"/>
    <w:rsid w:val="005F7B25"/>
    <w:rsid w:val="006003FA"/>
    <w:rsid w:val="00600451"/>
    <w:rsid w:val="006010E8"/>
    <w:rsid w:val="006016E9"/>
    <w:rsid w:val="00601FAB"/>
    <w:rsid w:val="006034DD"/>
    <w:rsid w:val="00603938"/>
    <w:rsid w:val="006061EE"/>
    <w:rsid w:val="00610BBA"/>
    <w:rsid w:val="006122BB"/>
    <w:rsid w:val="006127E7"/>
    <w:rsid w:val="006134C2"/>
    <w:rsid w:val="0061389F"/>
    <w:rsid w:val="00613CE4"/>
    <w:rsid w:val="00614DF0"/>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470"/>
    <w:rsid w:val="006374F5"/>
    <w:rsid w:val="00640596"/>
    <w:rsid w:val="0064089E"/>
    <w:rsid w:val="00640D1D"/>
    <w:rsid w:val="00643083"/>
    <w:rsid w:val="00643DDB"/>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3B4B"/>
    <w:rsid w:val="00694C0A"/>
    <w:rsid w:val="00695059"/>
    <w:rsid w:val="006951B6"/>
    <w:rsid w:val="00695242"/>
    <w:rsid w:val="00696549"/>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5A6C"/>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B04"/>
    <w:rsid w:val="006D4D8B"/>
    <w:rsid w:val="006D5C07"/>
    <w:rsid w:val="006D6571"/>
    <w:rsid w:val="006D7AA7"/>
    <w:rsid w:val="006E0134"/>
    <w:rsid w:val="006E0DFA"/>
    <w:rsid w:val="006E0FD3"/>
    <w:rsid w:val="006E1BA5"/>
    <w:rsid w:val="006E1C93"/>
    <w:rsid w:val="006E1D94"/>
    <w:rsid w:val="006E20B4"/>
    <w:rsid w:val="006E23C2"/>
    <w:rsid w:val="006E2473"/>
    <w:rsid w:val="006E33F0"/>
    <w:rsid w:val="006E3C08"/>
    <w:rsid w:val="006E46D1"/>
    <w:rsid w:val="006E4C23"/>
    <w:rsid w:val="006E5365"/>
    <w:rsid w:val="006E6113"/>
    <w:rsid w:val="006E6D37"/>
    <w:rsid w:val="006F1882"/>
    <w:rsid w:val="006F2296"/>
    <w:rsid w:val="006F271C"/>
    <w:rsid w:val="006F4BE4"/>
    <w:rsid w:val="006F5118"/>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28E1"/>
    <w:rsid w:val="0074472E"/>
    <w:rsid w:val="007477CD"/>
    <w:rsid w:val="0075085C"/>
    <w:rsid w:val="00750C53"/>
    <w:rsid w:val="00750F5D"/>
    <w:rsid w:val="00751F77"/>
    <w:rsid w:val="0075486D"/>
    <w:rsid w:val="0075542C"/>
    <w:rsid w:val="00755509"/>
    <w:rsid w:val="007556A3"/>
    <w:rsid w:val="00755EDC"/>
    <w:rsid w:val="0075681F"/>
    <w:rsid w:val="007602DE"/>
    <w:rsid w:val="00760565"/>
    <w:rsid w:val="00760AE5"/>
    <w:rsid w:val="0076277F"/>
    <w:rsid w:val="007641DC"/>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79"/>
    <w:rsid w:val="007A29E6"/>
    <w:rsid w:val="007A39FD"/>
    <w:rsid w:val="007A523F"/>
    <w:rsid w:val="007A68F9"/>
    <w:rsid w:val="007A6FB4"/>
    <w:rsid w:val="007A7604"/>
    <w:rsid w:val="007B125D"/>
    <w:rsid w:val="007B158D"/>
    <w:rsid w:val="007B2033"/>
    <w:rsid w:val="007B2975"/>
    <w:rsid w:val="007B33D2"/>
    <w:rsid w:val="007B3A1C"/>
    <w:rsid w:val="007B4571"/>
    <w:rsid w:val="007B4BB8"/>
    <w:rsid w:val="007B4DC3"/>
    <w:rsid w:val="007B5F6E"/>
    <w:rsid w:val="007B6DE8"/>
    <w:rsid w:val="007B6E79"/>
    <w:rsid w:val="007B7AE9"/>
    <w:rsid w:val="007C0BC3"/>
    <w:rsid w:val="007C2BCC"/>
    <w:rsid w:val="007C3BD3"/>
    <w:rsid w:val="007C3D13"/>
    <w:rsid w:val="007C4DD4"/>
    <w:rsid w:val="007C7003"/>
    <w:rsid w:val="007C712C"/>
    <w:rsid w:val="007D04E8"/>
    <w:rsid w:val="007D0507"/>
    <w:rsid w:val="007D0D1C"/>
    <w:rsid w:val="007D149F"/>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5DB5"/>
    <w:rsid w:val="008062BD"/>
    <w:rsid w:val="008068D1"/>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615"/>
    <w:rsid w:val="00824E78"/>
    <w:rsid w:val="00826EDE"/>
    <w:rsid w:val="00826F90"/>
    <w:rsid w:val="00827283"/>
    <w:rsid w:val="0083230F"/>
    <w:rsid w:val="00832A0B"/>
    <w:rsid w:val="0083477D"/>
    <w:rsid w:val="00837D28"/>
    <w:rsid w:val="008400FE"/>
    <w:rsid w:val="00840E53"/>
    <w:rsid w:val="0084100B"/>
    <w:rsid w:val="0084161D"/>
    <w:rsid w:val="00841E45"/>
    <w:rsid w:val="0084223A"/>
    <w:rsid w:val="0084364A"/>
    <w:rsid w:val="00844133"/>
    <w:rsid w:val="0084589A"/>
    <w:rsid w:val="0085149F"/>
    <w:rsid w:val="00852726"/>
    <w:rsid w:val="008529C4"/>
    <w:rsid w:val="00852AD5"/>
    <w:rsid w:val="00852D3F"/>
    <w:rsid w:val="00853144"/>
    <w:rsid w:val="00856156"/>
    <w:rsid w:val="00857444"/>
    <w:rsid w:val="00857E65"/>
    <w:rsid w:val="00861FE8"/>
    <w:rsid w:val="00862183"/>
    <w:rsid w:val="00863C21"/>
    <w:rsid w:val="00863EA8"/>
    <w:rsid w:val="00864368"/>
    <w:rsid w:val="00865389"/>
    <w:rsid w:val="00865BD0"/>
    <w:rsid w:val="008660BF"/>
    <w:rsid w:val="0086763B"/>
    <w:rsid w:val="00867695"/>
    <w:rsid w:val="00867DB1"/>
    <w:rsid w:val="00870E9F"/>
    <w:rsid w:val="008715E2"/>
    <w:rsid w:val="0087228F"/>
    <w:rsid w:val="00873771"/>
    <w:rsid w:val="00874C34"/>
    <w:rsid w:val="00875CB0"/>
    <w:rsid w:val="008771EE"/>
    <w:rsid w:val="0087768F"/>
    <w:rsid w:val="0088024B"/>
    <w:rsid w:val="008802C1"/>
    <w:rsid w:val="00880ED4"/>
    <w:rsid w:val="0088380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16B"/>
    <w:rsid w:val="008F5D87"/>
    <w:rsid w:val="008F6541"/>
    <w:rsid w:val="008F669A"/>
    <w:rsid w:val="008F6AFA"/>
    <w:rsid w:val="008F7C92"/>
    <w:rsid w:val="008F7D1A"/>
    <w:rsid w:val="009002CF"/>
    <w:rsid w:val="009019EB"/>
    <w:rsid w:val="00902056"/>
    <w:rsid w:val="00902097"/>
    <w:rsid w:val="00903445"/>
    <w:rsid w:val="009035A2"/>
    <w:rsid w:val="00903CAD"/>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3D0C"/>
    <w:rsid w:val="00933EA0"/>
    <w:rsid w:val="00934086"/>
    <w:rsid w:val="0093431C"/>
    <w:rsid w:val="009356E6"/>
    <w:rsid w:val="0093634D"/>
    <w:rsid w:val="00937C7C"/>
    <w:rsid w:val="00940426"/>
    <w:rsid w:val="0094096B"/>
    <w:rsid w:val="0094184E"/>
    <w:rsid w:val="00942355"/>
    <w:rsid w:val="00942C97"/>
    <w:rsid w:val="00943512"/>
    <w:rsid w:val="00943B3E"/>
    <w:rsid w:val="00944743"/>
    <w:rsid w:val="00944AD4"/>
    <w:rsid w:val="00944E03"/>
    <w:rsid w:val="009455C7"/>
    <w:rsid w:val="00945A5A"/>
    <w:rsid w:val="00945D37"/>
    <w:rsid w:val="00950968"/>
    <w:rsid w:val="0095401B"/>
    <w:rsid w:val="009546FA"/>
    <w:rsid w:val="00954CC7"/>
    <w:rsid w:val="009550FB"/>
    <w:rsid w:val="00960F09"/>
    <w:rsid w:val="00961025"/>
    <w:rsid w:val="00961C89"/>
    <w:rsid w:val="00963B98"/>
    <w:rsid w:val="00963E8A"/>
    <w:rsid w:val="0096408B"/>
    <w:rsid w:val="00964E39"/>
    <w:rsid w:val="0096523F"/>
    <w:rsid w:val="0096541D"/>
    <w:rsid w:val="0096577B"/>
    <w:rsid w:val="0096586A"/>
    <w:rsid w:val="00967065"/>
    <w:rsid w:val="0096772B"/>
    <w:rsid w:val="009707D3"/>
    <w:rsid w:val="0097147D"/>
    <w:rsid w:val="009717DC"/>
    <w:rsid w:val="00971C84"/>
    <w:rsid w:val="0097408E"/>
    <w:rsid w:val="0097581E"/>
    <w:rsid w:val="00976756"/>
    <w:rsid w:val="00977B42"/>
    <w:rsid w:val="009805B6"/>
    <w:rsid w:val="00980884"/>
    <w:rsid w:val="009812FB"/>
    <w:rsid w:val="00982CA1"/>
    <w:rsid w:val="00983BD8"/>
    <w:rsid w:val="00983EB7"/>
    <w:rsid w:val="0098421F"/>
    <w:rsid w:val="009851CF"/>
    <w:rsid w:val="00987241"/>
    <w:rsid w:val="00987B72"/>
    <w:rsid w:val="00990ACE"/>
    <w:rsid w:val="00991C50"/>
    <w:rsid w:val="009932FD"/>
    <w:rsid w:val="009953DA"/>
    <w:rsid w:val="00996A6A"/>
    <w:rsid w:val="0099730A"/>
    <w:rsid w:val="009A01A1"/>
    <w:rsid w:val="009A05B4"/>
    <w:rsid w:val="009A1026"/>
    <w:rsid w:val="009A1635"/>
    <w:rsid w:val="009A1B68"/>
    <w:rsid w:val="009A26DA"/>
    <w:rsid w:val="009A2F73"/>
    <w:rsid w:val="009A3D54"/>
    <w:rsid w:val="009A5858"/>
    <w:rsid w:val="009A5B9F"/>
    <w:rsid w:val="009A63DE"/>
    <w:rsid w:val="009B0745"/>
    <w:rsid w:val="009B1D19"/>
    <w:rsid w:val="009B2B19"/>
    <w:rsid w:val="009B44FE"/>
    <w:rsid w:val="009B4821"/>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422F"/>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856"/>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17C0"/>
    <w:rsid w:val="00A22B19"/>
    <w:rsid w:val="00A22EDD"/>
    <w:rsid w:val="00A23CD6"/>
    <w:rsid w:val="00A24EE6"/>
    <w:rsid w:val="00A27898"/>
    <w:rsid w:val="00A30301"/>
    <w:rsid w:val="00A31827"/>
    <w:rsid w:val="00A34B44"/>
    <w:rsid w:val="00A35282"/>
    <w:rsid w:val="00A40F71"/>
    <w:rsid w:val="00A415F5"/>
    <w:rsid w:val="00A41BCB"/>
    <w:rsid w:val="00A41E16"/>
    <w:rsid w:val="00A43625"/>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5C89"/>
    <w:rsid w:val="00A560B4"/>
    <w:rsid w:val="00A5672A"/>
    <w:rsid w:val="00A57653"/>
    <w:rsid w:val="00A57AA2"/>
    <w:rsid w:val="00A60679"/>
    <w:rsid w:val="00A622E4"/>
    <w:rsid w:val="00A62591"/>
    <w:rsid w:val="00A6391F"/>
    <w:rsid w:val="00A639F6"/>
    <w:rsid w:val="00A640C6"/>
    <w:rsid w:val="00A66BE6"/>
    <w:rsid w:val="00A672D9"/>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80F72"/>
    <w:rsid w:val="00A81798"/>
    <w:rsid w:val="00A83A12"/>
    <w:rsid w:val="00A83B7A"/>
    <w:rsid w:val="00A83F83"/>
    <w:rsid w:val="00A84669"/>
    <w:rsid w:val="00A846A9"/>
    <w:rsid w:val="00A850BE"/>
    <w:rsid w:val="00A856C5"/>
    <w:rsid w:val="00A863DD"/>
    <w:rsid w:val="00A9096F"/>
    <w:rsid w:val="00A90B18"/>
    <w:rsid w:val="00A921F2"/>
    <w:rsid w:val="00A92E4A"/>
    <w:rsid w:val="00A944D2"/>
    <w:rsid w:val="00A947D5"/>
    <w:rsid w:val="00A95969"/>
    <w:rsid w:val="00A96260"/>
    <w:rsid w:val="00A96EE8"/>
    <w:rsid w:val="00A9703C"/>
    <w:rsid w:val="00AA030E"/>
    <w:rsid w:val="00AA3143"/>
    <w:rsid w:val="00AA37B0"/>
    <w:rsid w:val="00AA3C98"/>
    <w:rsid w:val="00AA3F9B"/>
    <w:rsid w:val="00AA42C7"/>
    <w:rsid w:val="00AA49CC"/>
    <w:rsid w:val="00AA5C83"/>
    <w:rsid w:val="00AA66B6"/>
    <w:rsid w:val="00AA6A0B"/>
    <w:rsid w:val="00AA7670"/>
    <w:rsid w:val="00AB00D5"/>
    <w:rsid w:val="00AB052B"/>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3E5A"/>
    <w:rsid w:val="00AD441C"/>
    <w:rsid w:val="00AD4FDE"/>
    <w:rsid w:val="00AD6904"/>
    <w:rsid w:val="00AD694B"/>
    <w:rsid w:val="00AE2548"/>
    <w:rsid w:val="00AE3B00"/>
    <w:rsid w:val="00AE42D3"/>
    <w:rsid w:val="00AE46C1"/>
    <w:rsid w:val="00AE5870"/>
    <w:rsid w:val="00AE5CBA"/>
    <w:rsid w:val="00AE630A"/>
    <w:rsid w:val="00AE672E"/>
    <w:rsid w:val="00AE6B42"/>
    <w:rsid w:val="00AE782E"/>
    <w:rsid w:val="00AE7BC9"/>
    <w:rsid w:val="00AF0C03"/>
    <w:rsid w:val="00AF0CED"/>
    <w:rsid w:val="00AF1358"/>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267B0"/>
    <w:rsid w:val="00B2782D"/>
    <w:rsid w:val="00B30AD4"/>
    <w:rsid w:val="00B30FF4"/>
    <w:rsid w:val="00B3190F"/>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DC3"/>
    <w:rsid w:val="00B54B48"/>
    <w:rsid w:val="00B564FD"/>
    <w:rsid w:val="00B56C2B"/>
    <w:rsid w:val="00B56E20"/>
    <w:rsid w:val="00B57BD7"/>
    <w:rsid w:val="00B61D63"/>
    <w:rsid w:val="00B63CA4"/>
    <w:rsid w:val="00B644CE"/>
    <w:rsid w:val="00B6478F"/>
    <w:rsid w:val="00B64E75"/>
    <w:rsid w:val="00B66126"/>
    <w:rsid w:val="00B67C85"/>
    <w:rsid w:val="00B67FCB"/>
    <w:rsid w:val="00B705B5"/>
    <w:rsid w:val="00B70714"/>
    <w:rsid w:val="00B70C75"/>
    <w:rsid w:val="00B717DC"/>
    <w:rsid w:val="00B720E3"/>
    <w:rsid w:val="00B727EA"/>
    <w:rsid w:val="00B73403"/>
    <w:rsid w:val="00B739A7"/>
    <w:rsid w:val="00B73E0B"/>
    <w:rsid w:val="00B767D1"/>
    <w:rsid w:val="00B77287"/>
    <w:rsid w:val="00B833F4"/>
    <w:rsid w:val="00B8363B"/>
    <w:rsid w:val="00B84CA9"/>
    <w:rsid w:val="00B85EF8"/>
    <w:rsid w:val="00B8668D"/>
    <w:rsid w:val="00B8687E"/>
    <w:rsid w:val="00B86D63"/>
    <w:rsid w:val="00B877E8"/>
    <w:rsid w:val="00B87822"/>
    <w:rsid w:val="00B902DB"/>
    <w:rsid w:val="00B90445"/>
    <w:rsid w:val="00B90CE7"/>
    <w:rsid w:val="00B951D3"/>
    <w:rsid w:val="00B95669"/>
    <w:rsid w:val="00B95A0E"/>
    <w:rsid w:val="00B95D82"/>
    <w:rsid w:val="00B96341"/>
    <w:rsid w:val="00B96AD3"/>
    <w:rsid w:val="00B97977"/>
    <w:rsid w:val="00B97F02"/>
    <w:rsid w:val="00BA148F"/>
    <w:rsid w:val="00BA252C"/>
    <w:rsid w:val="00BA36F9"/>
    <w:rsid w:val="00BA45F4"/>
    <w:rsid w:val="00BA4DE2"/>
    <w:rsid w:val="00BA57C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C8E"/>
    <w:rsid w:val="00BC3AEC"/>
    <w:rsid w:val="00BC3B06"/>
    <w:rsid w:val="00BC4506"/>
    <w:rsid w:val="00BC4F53"/>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638A"/>
    <w:rsid w:val="00BD6483"/>
    <w:rsid w:val="00BE067C"/>
    <w:rsid w:val="00BE07A0"/>
    <w:rsid w:val="00BE19AE"/>
    <w:rsid w:val="00BE20E2"/>
    <w:rsid w:val="00BE2A7B"/>
    <w:rsid w:val="00BE405F"/>
    <w:rsid w:val="00BE4129"/>
    <w:rsid w:val="00BE44E8"/>
    <w:rsid w:val="00BE471E"/>
    <w:rsid w:val="00BE4FD6"/>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6CCC"/>
    <w:rsid w:val="00C07536"/>
    <w:rsid w:val="00C07842"/>
    <w:rsid w:val="00C07925"/>
    <w:rsid w:val="00C07934"/>
    <w:rsid w:val="00C101CD"/>
    <w:rsid w:val="00C1205B"/>
    <w:rsid w:val="00C1212A"/>
    <w:rsid w:val="00C12356"/>
    <w:rsid w:val="00C130E4"/>
    <w:rsid w:val="00C13EF5"/>
    <w:rsid w:val="00C1583D"/>
    <w:rsid w:val="00C17027"/>
    <w:rsid w:val="00C1740C"/>
    <w:rsid w:val="00C17609"/>
    <w:rsid w:val="00C17F41"/>
    <w:rsid w:val="00C20367"/>
    <w:rsid w:val="00C20D08"/>
    <w:rsid w:val="00C232BC"/>
    <w:rsid w:val="00C24074"/>
    <w:rsid w:val="00C2493B"/>
    <w:rsid w:val="00C25ADA"/>
    <w:rsid w:val="00C26995"/>
    <w:rsid w:val="00C27678"/>
    <w:rsid w:val="00C30504"/>
    <w:rsid w:val="00C308B6"/>
    <w:rsid w:val="00C31177"/>
    <w:rsid w:val="00C31346"/>
    <w:rsid w:val="00C31DC1"/>
    <w:rsid w:val="00C33162"/>
    <w:rsid w:val="00C34216"/>
    <w:rsid w:val="00C3460D"/>
    <w:rsid w:val="00C349E0"/>
    <w:rsid w:val="00C356A9"/>
    <w:rsid w:val="00C36950"/>
    <w:rsid w:val="00C41797"/>
    <w:rsid w:val="00C4452D"/>
    <w:rsid w:val="00C47DC3"/>
    <w:rsid w:val="00C5109A"/>
    <w:rsid w:val="00C51755"/>
    <w:rsid w:val="00C51E13"/>
    <w:rsid w:val="00C52765"/>
    <w:rsid w:val="00C52A6B"/>
    <w:rsid w:val="00C53DB6"/>
    <w:rsid w:val="00C54167"/>
    <w:rsid w:val="00C541FB"/>
    <w:rsid w:val="00C54B89"/>
    <w:rsid w:val="00C54EB8"/>
    <w:rsid w:val="00C57E71"/>
    <w:rsid w:val="00C60816"/>
    <w:rsid w:val="00C60F04"/>
    <w:rsid w:val="00C614C2"/>
    <w:rsid w:val="00C61B31"/>
    <w:rsid w:val="00C61F0D"/>
    <w:rsid w:val="00C62285"/>
    <w:rsid w:val="00C635D2"/>
    <w:rsid w:val="00C63C49"/>
    <w:rsid w:val="00C63D09"/>
    <w:rsid w:val="00C6407F"/>
    <w:rsid w:val="00C64172"/>
    <w:rsid w:val="00C652DC"/>
    <w:rsid w:val="00C65F2F"/>
    <w:rsid w:val="00C662A5"/>
    <w:rsid w:val="00C67595"/>
    <w:rsid w:val="00C677E7"/>
    <w:rsid w:val="00C720E4"/>
    <w:rsid w:val="00C74A70"/>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04EB"/>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1CF"/>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3C06"/>
    <w:rsid w:val="00CE6F12"/>
    <w:rsid w:val="00CE743A"/>
    <w:rsid w:val="00CE7812"/>
    <w:rsid w:val="00CF08D3"/>
    <w:rsid w:val="00CF0EA2"/>
    <w:rsid w:val="00CF1299"/>
    <w:rsid w:val="00CF29E3"/>
    <w:rsid w:val="00CF34B8"/>
    <w:rsid w:val="00CF3ABC"/>
    <w:rsid w:val="00CF4957"/>
    <w:rsid w:val="00CF6FCE"/>
    <w:rsid w:val="00CF7043"/>
    <w:rsid w:val="00CF727C"/>
    <w:rsid w:val="00CF754D"/>
    <w:rsid w:val="00CF77E7"/>
    <w:rsid w:val="00D02675"/>
    <w:rsid w:val="00D02DFC"/>
    <w:rsid w:val="00D02EE4"/>
    <w:rsid w:val="00D04651"/>
    <w:rsid w:val="00D04E21"/>
    <w:rsid w:val="00D0655D"/>
    <w:rsid w:val="00D073F3"/>
    <w:rsid w:val="00D077B7"/>
    <w:rsid w:val="00D10427"/>
    <w:rsid w:val="00D1066A"/>
    <w:rsid w:val="00D10A35"/>
    <w:rsid w:val="00D10A83"/>
    <w:rsid w:val="00D10ED1"/>
    <w:rsid w:val="00D11DA0"/>
    <w:rsid w:val="00D1209F"/>
    <w:rsid w:val="00D12713"/>
    <w:rsid w:val="00D12EC1"/>
    <w:rsid w:val="00D138E6"/>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B8D"/>
    <w:rsid w:val="00D3309D"/>
    <w:rsid w:val="00D34708"/>
    <w:rsid w:val="00D351A2"/>
    <w:rsid w:val="00D36209"/>
    <w:rsid w:val="00D36496"/>
    <w:rsid w:val="00D370DD"/>
    <w:rsid w:val="00D37D21"/>
    <w:rsid w:val="00D40186"/>
    <w:rsid w:val="00D40A92"/>
    <w:rsid w:val="00D460AC"/>
    <w:rsid w:val="00D460E5"/>
    <w:rsid w:val="00D46CD3"/>
    <w:rsid w:val="00D46D80"/>
    <w:rsid w:val="00D476CE"/>
    <w:rsid w:val="00D479A4"/>
    <w:rsid w:val="00D506E1"/>
    <w:rsid w:val="00D50CFD"/>
    <w:rsid w:val="00D510E0"/>
    <w:rsid w:val="00D52F53"/>
    <w:rsid w:val="00D534E2"/>
    <w:rsid w:val="00D5534B"/>
    <w:rsid w:val="00D56B2D"/>
    <w:rsid w:val="00D56E13"/>
    <w:rsid w:val="00D570F4"/>
    <w:rsid w:val="00D607C2"/>
    <w:rsid w:val="00D60B78"/>
    <w:rsid w:val="00D61068"/>
    <w:rsid w:val="00D61199"/>
    <w:rsid w:val="00D61F40"/>
    <w:rsid w:val="00D62259"/>
    <w:rsid w:val="00D622EC"/>
    <w:rsid w:val="00D623AF"/>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8C5"/>
    <w:rsid w:val="00D96D49"/>
    <w:rsid w:val="00D97408"/>
    <w:rsid w:val="00D9761B"/>
    <w:rsid w:val="00D9780E"/>
    <w:rsid w:val="00DA049C"/>
    <w:rsid w:val="00DA1430"/>
    <w:rsid w:val="00DA2F03"/>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C29"/>
    <w:rsid w:val="00DE0F91"/>
    <w:rsid w:val="00DE1EB2"/>
    <w:rsid w:val="00DE260A"/>
    <w:rsid w:val="00DE3126"/>
    <w:rsid w:val="00DE3142"/>
    <w:rsid w:val="00DE3271"/>
    <w:rsid w:val="00DE4301"/>
    <w:rsid w:val="00DE4336"/>
    <w:rsid w:val="00DE4F7E"/>
    <w:rsid w:val="00DE51AF"/>
    <w:rsid w:val="00DE54A2"/>
    <w:rsid w:val="00DE54E1"/>
    <w:rsid w:val="00DE60D8"/>
    <w:rsid w:val="00DE6415"/>
    <w:rsid w:val="00DE6BFE"/>
    <w:rsid w:val="00DE75CE"/>
    <w:rsid w:val="00DF02CF"/>
    <w:rsid w:val="00DF054C"/>
    <w:rsid w:val="00DF0696"/>
    <w:rsid w:val="00DF10DE"/>
    <w:rsid w:val="00DF18EA"/>
    <w:rsid w:val="00DF2554"/>
    <w:rsid w:val="00DF42F2"/>
    <w:rsid w:val="00DF4BFB"/>
    <w:rsid w:val="00DF51F1"/>
    <w:rsid w:val="00DF5223"/>
    <w:rsid w:val="00DF5E5E"/>
    <w:rsid w:val="00DF665C"/>
    <w:rsid w:val="00DF7250"/>
    <w:rsid w:val="00DF72A5"/>
    <w:rsid w:val="00DF7367"/>
    <w:rsid w:val="00E00549"/>
    <w:rsid w:val="00E00BCE"/>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0C7"/>
    <w:rsid w:val="00E143C7"/>
    <w:rsid w:val="00E15207"/>
    <w:rsid w:val="00E1529C"/>
    <w:rsid w:val="00E1579C"/>
    <w:rsid w:val="00E15D47"/>
    <w:rsid w:val="00E16995"/>
    <w:rsid w:val="00E16DDA"/>
    <w:rsid w:val="00E16FE8"/>
    <w:rsid w:val="00E20949"/>
    <w:rsid w:val="00E21088"/>
    <w:rsid w:val="00E21B5B"/>
    <w:rsid w:val="00E22095"/>
    <w:rsid w:val="00E22184"/>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237"/>
    <w:rsid w:val="00E514E1"/>
    <w:rsid w:val="00E51D03"/>
    <w:rsid w:val="00E52070"/>
    <w:rsid w:val="00E55CD7"/>
    <w:rsid w:val="00E56118"/>
    <w:rsid w:val="00E56C65"/>
    <w:rsid w:val="00E60023"/>
    <w:rsid w:val="00E600D6"/>
    <w:rsid w:val="00E605AE"/>
    <w:rsid w:val="00E609BB"/>
    <w:rsid w:val="00E61031"/>
    <w:rsid w:val="00E613A0"/>
    <w:rsid w:val="00E6235E"/>
    <w:rsid w:val="00E636C0"/>
    <w:rsid w:val="00E64383"/>
    <w:rsid w:val="00E66C45"/>
    <w:rsid w:val="00E674E5"/>
    <w:rsid w:val="00E675D0"/>
    <w:rsid w:val="00E702C4"/>
    <w:rsid w:val="00E70B8C"/>
    <w:rsid w:val="00E71EFD"/>
    <w:rsid w:val="00E741D5"/>
    <w:rsid w:val="00E74412"/>
    <w:rsid w:val="00E74EEC"/>
    <w:rsid w:val="00E74FFA"/>
    <w:rsid w:val="00E76683"/>
    <w:rsid w:val="00E767D2"/>
    <w:rsid w:val="00E81AB3"/>
    <w:rsid w:val="00E83F56"/>
    <w:rsid w:val="00E841DE"/>
    <w:rsid w:val="00E8455F"/>
    <w:rsid w:val="00E85A3B"/>
    <w:rsid w:val="00E874B4"/>
    <w:rsid w:val="00E90301"/>
    <w:rsid w:val="00E90F8A"/>
    <w:rsid w:val="00E9259D"/>
    <w:rsid w:val="00E92B74"/>
    <w:rsid w:val="00E93101"/>
    <w:rsid w:val="00E9313E"/>
    <w:rsid w:val="00E93761"/>
    <w:rsid w:val="00E948A5"/>
    <w:rsid w:val="00E95067"/>
    <w:rsid w:val="00E95E3E"/>
    <w:rsid w:val="00E95E76"/>
    <w:rsid w:val="00E962F2"/>
    <w:rsid w:val="00E973D5"/>
    <w:rsid w:val="00EA010D"/>
    <w:rsid w:val="00EA0ED1"/>
    <w:rsid w:val="00EA12B5"/>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5E5E"/>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E71C2"/>
    <w:rsid w:val="00EF05FD"/>
    <w:rsid w:val="00EF1219"/>
    <w:rsid w:val="00EF1B3B"/>
    <w:rsid w:val="00EF231F"/>
    <w:rsid w:val="00EF3C22"/>
    <w:rsid w:val="00EF4657"/>
    <w:rsid w:val="00EF4C37"/>
    <w:rsid w:val="00EF4F0B"/>
    <w:rsid w:val="00EF5217"/>
    <w:rsid w:val="00EF5378"/>
    <w:rsid w:val="00EF54AC"/>
    <w:rsid w:val="00EF59F0"/>
    <w:rsid w:val="00EF5EF3"/>
    <w:rsid w:val="00EF6F47"/>
    <w:rsid w:val="00F007BC"/>
    <w:rsid w:val="00F01733"/>
    <w:rsid w:val="00F02EA7"/>
    <w:rsid w:val="00F033F2"/>
    <w:rsid w:val="00F045F2"/>
    <w:rsid w:val="00F051A2"/>
    <w:rsid w:val="00F055FE"/>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26AA1"/>
    <w:rsid w:val="00F30CF8"/>
    <w:rsid w:val="00F31F04"/>
    <w:rsid w:val="00F34292"/>
    <w:rsid w:val="00F35F54"/>
    <w:rsid w:val="00F362B5"/>
    <w:rsid w:val="00F40A99"/>
    <w:rsid w:val="00F42FEF"/>
    <w:rsid w:val="00F46E21"/>
    <w:rsid w:val="00F4723C"/>
    <w:rsid w:val="00F47F3F"/>
    <w:rsid w:val="00F50D7A"/>
    <w:rsid w:val="00F520A9"/>
    <w:rsid w:val="00F52F66"/>
    <w:rsid w:val="00F53AA0"/>
    <w:rsid w:val="00F54B7A"/>
    <w:rsid w:val="00F5519F"/>
    <w:rsid w:val="00F553B1"/>
    <w:rsid w:val="00F55B94"/>
    <w:rsid w:val="00F5716E"/>
    <w:rsid w:val="00F57471"/>
    <w:rsid w:val="00F57672"/>
    <w:rsid w:val="00F57978"/>
    <w:rsid w:val="00F60260"/>
    <w:rsid w:val="00F608E2"/>
    <w:rsid w:val="00F612B1"/>
    <w:rsid w:val="00F61A41"/>
    <w:rsid w:val="00F61E95"/>
    <w:rsid w:val="00F63934"/>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80155"/>
    <w:rsid w:val="00F804F9"/>
    <w:rsid w:val="00F8118E"/>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D00AF"/>
    <w:rsid w:val="00FD0635"/>
    <w:rsid w:val="00FD1E0C"/>
    <w:rsid w:val="00FD2604"/>
    <w:rsid w:val="00FD2728"/>
    <w:rsid w:val="00FD2A1B"/>
    <w:rsid w:val="00FD326B"/>
    <w:rsid w:val="00FD5416"/>
    <w:rsid w:val="00FD6FA6"/>
    <w:rsid w:val="00FD7CE2"/>
    <w:rsid w:val="00FE0090"/>
    <w:rsid w:val="00FE0490"/>
    <w:rsid w:val="00FE14CB"/>
    <w:rsid w:val="00FE21E3"/>
    <w:rsid w:val="00FE25D0"/>
    <w:rsid w:val="00FE3C8C"/>
    <w:rsid w:val="00FE571D"/>
    <w:rsid w:val="00FE585E"/>
    <w:rsid w:val="00FE5999"/>
    <w:rsid w:val="00FE5A74"/>
    <w:rsid w:val="00FE5EF4"/>
    <w:rsid w:val="00FE6508"/>
    <w:rsid w:val="00FE6905"/>
    <w:rsid w:val="00FE7EE4"/>
    <w:rsid w:val="00FF13A4"/>
    <w:rsid w:val="00FF1496"/>
    <w:rsid w:val="00FF32A1"/>
    <w:rsid w:val="00FF37E9"/>
    <w:rsid w:val="00FF3FA1"/>
    <w:rsid w:val="00FF5D23"/>
    <w:rsid w:val="00FF615D"/>
    <w:rsid w:val="00FF6511"/>
    <w:rsid w:val="00FF6D98"/>
    <w:rsid w:val="00FF7475"/>
    <w:rsid w:val="00FF7D2B"/>
    <w:rsid w:val="01E274E0"/>
    <w:rsid w:val="02AA5B7D"/>
    <w:rsid w:val="03433A15"/>
    <w:rsid w:val="03554F68"/>
    <w:rsid w:val="03DE7AE9"/>
    <w:rsid w:val="040F3D70"/>
    <w:rsid w:val="04B66128"/>
    <w:rsid w:val="05B970E0"/>
    <w:rsid w:val="06311428"/>
    <w:rsid w:val="064B660F"/>
    <w:rsid w:val="064C3F14"/>
    <w:rsid w:val="06D1098D"/>
    <w:rsid w:val="07344756"/>
    <w:rsid w:val="080D768A"/>
    <w:rsid w:val="083D4F1A"/>
    <w:rsid w:val="089321E6"/>
    <w:rsid w:val="08AB601E"/>
    <w:rsid w:val="0A6E1588"/>
    <w:rsid w:val="0BC52A4B"/>
    <w:rsid w:val="0C471254"/>
    <w:rsid w:val="0C6726D1"/>
    <w:rsid w:val="0CDA4765"/>
    <w:rsid w:val="0CE17F47"/>
    <w:rsid w:val="0CFF716D"/>
    <w:rsid w:val="0D011B3A"/>
    <w:rsid w:val="0E697D19"/>
    <w:rsid w:val="0E950C63"/>
    <w:rsid w:val="0EBF3E76"/>
    <w:rsid w:val="0EF67745"/>
    <w:rsid w:val="0F3747BA"/>
    <w:rsid w:val="0F6B0B59"/>
    <w:rsid w:val="0FC5251F"/>
    <w:rsid w:val="10C62872"/>
    <w:rsid w:val="10FB6B90"/>
    <w:rsid w:val="113960BC"/>
    <w:rsid w:val="132B2B4B"/>
    <w:rsid w:val="13A638EA"/>
    <w:rsid w:val="13AC6670"/>
    <w:rsid w:val="13BE0704"/>
    <w:rsid w:val="13EC7465"/>
    <w:rsid w:val="146411B3"/>
    <w:rsid w:val="14770F16"/>
    <w:rsid w:val="14F52FE5"/>
    <w:rsid w:val="150A0CB5"/>
    <w:rsid w:val="151D606A"/>
    <w:rsid w:val="156E4926"/>
    <w:rsid w:val="16285816"/>
    <w:rsid w:val="16927D0C"/>
    <w:rsid w:val="175672E8"/>
    <w:rsid w:val="17E55AD7"/>
    <w:rsid w:val="182E2909"/>
    <w:rsid w:val="185C1FA2"/>
    <w:rsid w:val="1A3732E0"/>
    <w:rsid w:val="1B176618"/>
    <w:rsid w:val="1B311555"/>
    <w:rsid w:val="1CB6273E"/>
    <w:rsid w:val="1D9E3913"/>
    <w:rsid w:val="1D9F75EB"/>
    <w:rsid w:val="1DAB2D6B"/>
    <w:rsid w:val="1E457FA5"/>
    <w:rsid w:val="1E703E8C"/>
    <w:rsid w:val="1E8577B5"/>
    <w:rsid w:val="1EEB72DF"/>
    <w:rsid w:val="1F25374F"/>
    <w:rsid w:val="1FE1254C"/>
    <w:rsid w:val="20960049"/>
    <w:rsid w:val="213327DD"/>
    <w:rsid w:val="21444B65"/>
    <w:rsid w:val="22525555"/>
    <w:rsid w:val="22954160"/>
    <w:rsid w:val="23346271"/>
    <w:rsid w:val="24085B1D"/>
    <w:rsid w:val="24AB2CF8"/>
    <w:rsid w:val="25801E28"/>
    <w:rsid w:val="26A45B8A"/>
    <w:rsid w:val="276D0CBA"/>
    <w:rsid w:val="278F43F8"/>
    <w:rsid w:val="2799320E"/>
    <w:rsid w:val="28A112BE"/>
    <w:rsid w:val="29055E8C"/>
    <w:rsid w:val="29591F3F"/>
    <w:rsid w:val="2A8D33C0"/>
    <w:rsid w:val="2A905451"/>
    <w:rsid w:val="2AB772D9"/>
    <w:rsid w:val="2B0A01F9"/>
    <w:rsid w:val="2B733F06"/>
    <w:rsid w:val="2BC060EA"/>
    <w:rsid w:val="2BCA663C"/>
    <w:rsid w:val="2C4172EA"/>
    <w:rsid w:val="2CED25AE"/>
    <w:rsid w:val="2CFC6971"/>
    <w:rsid w:val="2E204B94"/>
    <w:rsid w:val="2EF759D2"/>
    <w:rsid w:val="2FC14016"/>
    <w:rsid w:val="3121636C"/>
    <w:rsid w:val="313B5858"/>
    <w:rsid w:val="31A35157"/>
    <w:rsid w:val="31CF708E"/>
    <w:rsid w:val="32A57649"/>
    <w:rsid w:val="332778E6"/>
    <w:rsid w:val="33351062"/>
    <w:rsid w:val="341E7787"/>
    <w:rsid w:val="35254AE9"/>
    <w:rsid w:val="36075561"/>
    <w:rsid w:val="36161B60"/>
    <w:rsid w:val="36541C94"/>
    <w:rsid w:val="36D32766"/>
    <w:rsid w:val="37340B1D"/>
    <w:rsid w:val="37631917"/>
    <w:rsid w:val="37F401F0"/>
    <w:rsid w:val="38A17ABD"/>
    <w:rsid w:val="38BC79E1"/>
    <w:rsid w:val="39C75948"/>
    <w:rsid w:val="3B0C300B"/>
    <w:rsid w:val="3B491927"/>
    <w:rsid w:val="3B494567"/>
    <w:rsid w:val="3B6002E9"/>
    <w:rsid w:val="3C7B7C45"/>
    <w:rsid w:val="3D215DC0"/>
    <w:rsid w:val="3E931DC5"/>
    <w:rsid w:val="3F7C70EB"/>
    <w:rsid w:val="3F7D014F"/>
    <w:rsid w:val="3FD04097"/>
    <w:rsid w:val="409449B1"/>
    <w:rsid w:val="40F168FB"/>
    <w:rsid w:val="41581837"/>
    <w:rsid w:val="418D1537"/>
    <w:rsid w:val="42606FB0"/>
    <w:rsid w:val="42DD0C8B"/>
    <w:rsid w:val="432C46F2"/>
    <w:rsid w:val="433F07FF"/>
    <w:rsid w:val="435B690C"/>
    <w:rsid w:val="43772C44"/>
    <w:rsid w:val="4481511F"/>
    <w:rsid w:val="44C1345F"/>
    <w:rsid w:val="45235D66"/>
    <w:rsid w:val="454A3D0E"/>
    <w:rsid w:val="459C373C"/>
    <w:rsid w:val="467731D4"/>
    <w:rsid w:val="46897320"/>
    <w:rsid w:val="46D85EA2"/>
    <w:rsid w:val="47075239"/>
    <w:rsid w:val="48223734"/>
    <w:rsid w:val="498C237F"/>
    <w:rsid w:val="4A2603A5"/>
    <w:rsid w:val="4AC8574D"/>
    <w:rsid w:val="4B3B30DB"/>
    <w:rsid w:val="4B421DA5"/>
    <w:rsid w:val="4C1435A8"/>
    <w:rsid w:val="4C267596"/>
    <w:rsid w:val="4CA14F0B"/>
    <w:rsid w:val="4CAB57D4"/>
    <w:rsid w:val="4CB62598"/>
    <w:rsid w:val="4D893F5F"/>
    <w:rsid w:val="4D8945CB"/>
    <w:rsid w:val="4E2B70BB"/>
    <w:rsid w:val="4E710ABB"/>
    <w:rsid w:val="4E7858DA"/>
    <w:rsid w:val="4F132E30"/>
    <w:rsid w:val="4FA727D4"/>
    <w:rsid w:val="4FDD5D43"/>
    <w:rsid w:val="50DD7F4B"/>
    <w:rsid w:val="511F7529"/>
    <w:rsid w:val="51F67C28"/>
    <w:rsid w:val="54150E83"/>
    <w:rsid w:val="54E11E02"/>
    <w:rsid w:val="54E95CD8"/>
    <w:rsid w:val="5508216F"/>
    <w:rsid w:val="55186680"/>
    <w:rsid w:val="56312EDB"/>
    <w:rsid w:val="56564561"/>
    <w:rsid w:val="567A0087"/>
    <w:rsid w:val="58E171CF"/>
    <w:rsid w:val="58ED5BCE"/>
    <w:rsid w:val="5B8D0B13"/>
    <w:rsid w:val="5D27015D"/>
    <w:rsid w:val="5D5B5065"/>
    <w:rsid w:val="5E7104C8"/>
    <w:rsid w:val="5EA467FA"/>
    <w:rsid w:val="5EA65DEF"/>
    <w:rsid w:val="5EB80508"/>
    <w:rsid w:val="5FF612D7"/>
    <w:rsid w:val="603B19B4"/>
    <w:rsid w:val="60724208"/>
    <w:rsid w:val="60DF56E6"/>
    <w:rsid w:val="61092A40"/>
    <w:rsid w:val="61BE21CF"/>
    <w:rsid w:val="61C82338"/>
    <w:rsid w:val="62320BDE"/>
    <w:rsid w:val="626D134A"/>
    <w:rsid w:val="62700640"/>
    <w:rsid w:val="627D1683"/>
    <w:rsid w:val="628559C8"/>
    <w:rsid w:val="62C90385"/>
    <w:rsid w:val="62E72A4C"/>
    <w:rsid w:val="644C495D"/>
    <w:rsid w:val="64EC1E5C"/>
    <w:rsid w:val="65FA31A1"/>
    <w:rsid w:val="66B27B10"/>
    <w:rsid w:val="66F41243"/>
    <w:rsid w:val="679436C4"/>
    <w:rsid w:val="683A03FE"/>
    <w:rsid w:val="68C46AF0"/>
    <w:rsid w:val="68F230AD"/>
    <w:rsid w:val="6942338E"/>
    <w:rsid w:val="69CB780F"/>
    <w:rsid w:val="6A1F5CD0"/>
    <w:rsid w:val="6ACC4E6D"/>
    <w:rsid w:val="6AF9611F"/>
    <w:rsid w:val="6C520652"/>
    <w:rsid w:val="6C574D88"/>
    <w:rsid w:val="6D304694"/>
    <w:rsid w:val="6EF6637F"/>
    <w:rsid w:val="6F0C1E15"/>
    <w:rsid w:val="6F9208F0"/>
    <w:rsid w:val="6FD46890"/>
    <w:rsid w:val="70650505"/>
    <w:rsid w:val="70651D96"/>
    <w:rsid w:val="70D1630B"/>
    <w:rsid w:val="71772B56"/>
    <w:rsid w:val="722F3441"/>
    <w:rsid w:val="7231586C"/>
    <w:rsid w:val="72696558"/>
    <w:rsid w:val="72B01C6E"/>
    <w:rsid w:val="734D3F2E"/>
    <w:rsid w:val="748E78D8"/>
    <w:rsid w:val="74D51DF0"/>
    <w:rsid w:val="74DB07F0"/>
    <w:rsid w:val="74E12E70"/>
    <w:rsid w:val="750151C3"/>
    <w:rsid w:val="750E0484"/>
    <w:rsid w:val="76966FA4"/>
    <w:rsid w:val="77396964"/>
    <w:rsid w:val="773B2023"/>
    <w:rsid w:val="775E6DD8"/>
    <w:rsid w:val="776D5A49"/>
    <w:rsid w:val="77C600FB"/>
    <w:rsid w:val="796B4919"/>
    <w:rsid w:val="7A560E98"/>
    <w:rsid w:val="7ADD4B45"/>
    <w:rsid w:val="7B7A34C4"/>
    <w:rsid w:val="7C1242B5"/>
    <w:rsid w:val="7C9018CA"/>
    <w:rsid w:val="7CAB43D5"/>
    <w:rsid w:val="7D6350C7"/>
    <w:rsid w:val="7D8B4F86"/>
    <w:rsid w:val="7D9B5DFB"/>
    <w:rsid w:val="7DBD129F"/>
    <w:rsid w:val="7DC31F48"/>
    <w:rsid w:val="7DEB177B"/>
    <w:rsid w:val="7E100532"/>
    <w:rsid w:val="7E133FBA"/>
    <w:rsid w:val="7E560A5B"/>
    <w:rsid w:val="7E696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4"/>
    <w:autoRedefine/>
    <w:qFormat/>
    <w:uiPriority w:val="9"/>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5">
    <w:name w:val="heading 3"/>
    <w:basedOn w:val="1"/>
    <w:next w:val="1"/>
    <w:link w:val="67"/>
    <w:autoRedefine/>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68"/>
    <w:autoRedefine/>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69"/>
    <w:autoRedefine/>
    <w:qFormat/>
    <w:uiPriority w:val="0"/>
    <w:pPr>
      <w:keepNext/>
      <w:keepLines/>
      <w:spacing w:beforeLines="100" w:afterLines="100" w:line="360" w:lineRule="auto"/>
      <w:outlineLvl w:val="4"/>
    </w:pPr>
    <w:rPr>
      <w:b/>
      <w:bCs/>
      <w:sz w:val="28"/>
      <w:szCs w:val="28"/>
    </w:rPr>
  </w:style>
  <w:style w:type="paragraph" w:styleId="8">
    <w:name w:val="heading 6"/>
    <w:basedOn w:val="1"/>
    <w:next w:val="1"/>
    <w:link w:val="70"/>
    <w:autoRedefine/>
    <w:qFormat/>
    <w:uiPriority w:val="9"/>
    <w:pPr>
      <w:keepNext/>
      <w:keepLines/>
      <w:spacing w:beforeLines="100" w:afterLines="100" w:line="360" w:lineRule="auto"/>
      <w:outlineLvl w:val="5"/>
    </w:pPr>
    <w:rPr>
      <w:rFonts w:ascii="Cambria" w:hAnsi="Cambria"/>
      <w:b/>
      <w:bCs/>
      <w:sz w:val="24"/>
    </w:rPr>
  </w:style>
  <w:style w:type="paragraph" w:styleId="9">
    <w:name w:val="heading 7"/>
    <w:basedOn w:val="1"/>
    <w:next w:val="1"/>
    <w:link w:val="71"/>
    <w:autoRedefine/>
    <w:qFormat/>
    <w:uiPriority w:val="0"/>
    <w:pPr>
      <w:keepNext/>
      <w:keepLines/>
      <w:spacing w:beforeLines="100" w:afterLines="100" w:line="360" w:lineRule="auto"/>
      <w:outlineLvl w:val="6"/>
    </w:pPr>
    <w:rPr>
      <w:b/>
      <w:bCs/>
      <w:sz w:val="24"/>
    </w:rPr>
  </w:style>
  <w:style w:type="paragraph" w:styleId="10">
    <w:name w:val="heading 8"/>
    <w:basedOn w:val="1"/>
    <w:next w:val="1"/>
    <w:link w:val="72"/>
    <w:autoRedefine/>
    <w:qFormat/>
    <w:uiPriority w:val="0"/>
    <w:pPr>
      <w:keepNext/>
      <w:keepLines/>
      <w:spacing w:beforeLines="100" w:afterLines="100" w:line="360" w:lineRule="auto"/>
      <w:outlineLvl w:val="7"/>
    </w:pPr>
    <w:rPr>
      <w:rFonts w:ascii="Cambria" w:hAnsi="Cambria"/>
      <w:b/>
      <w:sz w:val="24"/>
    </w:rPr>
  </w:style>
  <w:style w:type="paragraph" w:styleId="11">
    <w:name w:val="heading 9"/>
    <w:basedOn w:val="1"/>
    <w:next w:val="1"/>
    <w:link w:val="73"/>
    <w:autoRedefine/>
    <w:qFormat/>
    <w:uiPriority w:val="0"/>
    <w:pPr>
      <w:keepNext/>
      <w:keepLines/>
      <w:spacing w:beforeLines="100" w:afterLines="100" w:line="360" w:lineRule="auto"/>
      <w:outlineLvl w:val="8"/>
    </w:pPr>
    <w:rPr>
      <w:rFonts w:ascii="Cambria" w:hAnsi="Cambria"/>
      <w:b/>
      <w:sz w:val="24"/>
      <w:szCs w:val="21"/>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79"/>
    <w:autoRedefine/>
    <w:qFormat/>
    <w:uiPriority w:val="0"/>
    <w:pPr>
      <w:spacing w:line="200" w:lineRule="exact"/>
      <w:ind w:firstLine="301"/>
    </w:pPr>
    <w:rPr>
      <w:rFonts w:ascii="宋体" w:hAnsi="Courier New"/>
      <w:spacing w:val="-4"/>
      <w:sz w:val="1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s>
      <w:spacing w:afterLines="50"/>
      <w:ind w:left="720" w:hanging="720"/>
      <w:jc w:val="left"/>
    </w:pPr>
    <w:rPr>
      <w:kern w:val="0"/>
      <w:sz w:val="24"/>
      <w:szCs w:val="20"/>
    </w:rPr>
  </w:style>
  <w:style w:type="paragraph" w:styleId="14">
    <w:name w:val="Normal Indent"/>
    <w:basedOn w:val="1"/>
    <w:next w:val="2"/>
    <w:link w:val="66"/>
    <w:autoRedefine/>
    <w:qFormat/>
    <w:uiPriority w:val="0"/>
    <w:pPr>
      <w:ind w:firstLine="420"/>
    </w:pPr>
    <w:rPr>
      <w:szCs w:val="20"/>
    </w:rPr>
  </w:style>
  <w:style w:type="paragraph" w:styleId="15">
    <w:name w:val="caption"/>
    <w:basedOn w:val="1"/>
    <w:next w:val="1"/>
    <w:link w:val="74"/>
    <w:autoRedefine/>
    <w:qFormat/>
    <w:uiPriority w:val="0"/>
    <w:pPr>
      <w:spacing w:before="152" w:after="160"/>
    </w:pPr>
    <w:rPr>
      <w:rFonts w:ascii="Arial" w:hAnsi="Arial" w:eastAsia="黑体"/>
      <w:sz w:val="20"/>
      <w:szCs w:val="20"/>
    </w:rPr>
  </w:style>
  <w:style w:type="paragraph" w:styleId="16">
    <w:name w:val="Document Map"/>
    <w:basedOn w:val="1"/>
    <w:link w:val="75"/>
    <w:autoRedefine/>
    <w:semiHidden/>
    <w:qFormat/>
    <w:uiPriority w:val="0"/>
    <w:pPr>
      <w:shd w:val="clear" w:color="auto" w:fill="000080"/>
    </w:pPr>
  </w:style>
  <w:style w:type="paragraph" w:styleId="17">
    <w:name w:val="annotation text"/>
    <w:basedOn w:val="1"/>
    <w:link w:val="76"/>
    <w:autoRedefine/>
    <w:qFormat/>
    <w:uiPriority w:val="0"/>
    <w:pPr>
      <w:jc w:val="left"/>
    </w:pPr>
  </w:style>
  <w:style w:type="paragraph" w:styleId="18">
    <w:name w:val="Body Text 3"/>
    <w:basedOn w:val="1"/>
    <w:link w:val="77"/>
    <w:autoRedefine/>
    <w:qFormat/>
    <w:uiPriority w:val="0"/>
    <w:pPr>
      <w:spacing w:after="120"/>
    </w:pPr>
    <w:rPr>
      <w:sz w:val="16"/>
      <w:szCs w:val="16"/>
    </w:rPr>
  </w:style>
  <w:style w:type="paragraph" w:styleId="19">
    <w:name w:val="Body Text"/>
    <w:basedOn w:val="1"/>
    <w:next w:val="1"/>
    <w:link w:val="78"/>
    <w:autoRedefine/>
    <w:qFormat/>
    <w:uiPriority w:val="0"/>
    <w:pPr>
      <w:spacing w:after="120"/>
    </w:pPr>
  </w:style>
  <w:style w:type="paragraph" w:styleId="20">
    <w:name w:val="List Number 3"/>
    <w:basedOn w:val="1"/>
    <w:autoRedefine/>
    <w:qFormat/>
    <w:uiPriority w:val="0"/>
    <w:pPr>
      <w:tabs>
        <w:tab w:val="left" w:pos="1200"/>
      </w:tabs>
      <w:ind w:left="1200" w:hanging="360"/>
    </w:pPr>
  </w:style>
  <w:style w:type="paragraph" w:styleId="21">
    <w:name w:val="List 2"/>
    <w:basedOn w:val="1"/>
    <w:autoRedefine/>
    <w:qFormat/>
    <w:uiPriority w:val="0"/>
    <w:pPr>
      <w:ind w:left="566" w:hanging="283"/>
      <w:contextualSpacing/>
    </w:pPr>
  </w:style>
  <w:style w:type="paragraph" w:styleId="22">
    <w:name w:val="List Bullet 2"/>
    <w:basedOn w:val="1"/>
    <w:autoRedefine/>
    <w:semiHidden/>
    <w:unhideWhenUsed/>
    <w:qFormat/>
    <w:uiPriority w:val="0"/>
    <w:pPr>
      <w:numPr>
        <w:ilvl w:val="0"/>
        <w:numId w:val="1"/>
      </w:numPr>
    </w:p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qFormat/>
    <w:uiPriority w:val="39"/>
    <w:pPr>
      <w:ind w:left="840" w:leftChars="400"/>
    </w:pPr>
  </w:style>
  <w:style w:type="paragraph" w:styleId="25">
    <w:name w:val="Plain Text"/>
    <w:basedOn w:val="1"/>
    <w:link w:val="80"/>
    <w:autoRedefine/>
    <w:qFormat/>
    <w:uiPriority w:val="0"/>
    <w:rPr>
      <w:rFonts w:ascii="宋体" w:hAnsi="Courier New"/>
      <w:szCs w:val="20"/>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81"/>
    <w:autoRedefine/>
    <w:qFormat/>
    <w:uiPriority w:val="0"/>
    <w:pPr>
      <w:ind w:left="2500" w:leftChars="2500"/>
    </w:pPr>
    <w:rPr>
      <w:rFonts w:eastAsia="楷体_GB2312"/>
      <w:sz w:val="32"/>
      <w:szCs w:val="20"/>
    </w:rPr>
  </w:style>
  <w:style w:type="paragraph" w:styleId="28">
    <w:name w:val="Body Text Indent 2"/>
    <w:basedOn w:val="1"/>
    <w:link w:val="82"/>
    <w:autoRedefine/>
    <w:qFormat/>
    <w:uiPriority w:val="0"/>
    <w:pPr>
      <w:snapToGrid w:val="0"/>
      <w:ind w:firstLine="542" w:firstLineChars="225"/>
    </w:pPr>
    <w:rPr>
      <w:rFonts w:ascii="仿宋_GB2312" w:hAnsi="宋体"/>
      <w:b/>
      <w:bCs/>
      <w:color w:val="000000"/>
      <w:sz w:val="24"/>
    </w:rPr>
  </w:style>
  <w:style w:type="paragraph" w:styleId="29">
    <w:name w:val="Balloon Text"/>
    <w:basedOn w:val="1"/>
    <w:link w:val="83"/>
    <w:autoRedefine/>
    <w:qFormat/>
    <w:uiPriority w:val="0"/>
    <w:rPr>
      <w:sz w:val="18"/>
      <w:szCs w:val="18"/>
    </w:rPr>
  </w:style>
  <w:style w:type="paragraph" w:styleId="30">
    <w:name w:val="footer"/>
    <w:basedOn w:val="1"/>
    <w:link w:val="84"/>
    <w:autoRedefine/>
    <w:qFormat/>
    <w:uiPriority w:val="99"/>
    <w:pPr>
      <w:tabs>
        <w:tab w:val="center" w:pos="4153"/>
        <w:tab w:val="right" w:pos="8306"/>
      </w:tabs>
      <w:snapToGrid w:val="0"/>
      <w:jc w:val="left"/>
    </w:pPr>
    <w:rPr>
      <w:sz w:val="18"/>
      <w:szCs w:val="18"/>
    </w:rPr>
  </w:style>
  <w:style w:type="paragraph" w:styleId="31">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83" w:hanging="283"/>
      <w:contextualSpacing/>
    </w:pPr>
  </w:style>
  <w:style w:type="paragraph" w:styleId="36">
    <w:name w:val="footnote text"/>
    <w:basedOn w:val="1"/>
    <w:link w:val="87"/>
    <w:autoRedefine/>
    <w:qFormat/>
    <w:uiPriority w:val="99"/>
    <w:pPr>
      <w:jc w:val="left"/>
    </w:pPr>
    <w:rPr>
      <w:kern w:val="1"/>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88"/>
    <w:autoRedefine/>
    <w:qFormat/>
    <w:uiPriority w:val="0"/>
    <w:pPr>
      <w:snapToGrid w:val="0"/>
      <w:ind w:firstLine="480" w:firstLineChars="200"/>
      <w:jc w:val="left"/>
    </w:pPr>
    <w:rPr>
      <w:rFonts w:ascii="仿宋_GB2312" w:hAnsi="宋体" w:eastAsia="仿宋_GB2312"/>
      <w:color w:val="000000"/>
      <w:sz w:val="24"/>
    </w:rPr>
  </w:style>
  <w:style w:type="paragraph" w:styleId="39">
    <w:name w:val="table of figures"/>
    <w:basedOn w:val="1"/>
    <w:next w:val="1"/>
    <w:autoRedefine/>
    <w:qFormat/>
    <w:uiPriority w:val="99"/>
    <w:pPr>
      <w:widowControl/>
      <w:tabs>
        <w:tab w:val="left" w:pos="1270"/>
      </w:tabs>
      <w:spacing w:line="360" w:lineRule="auto"/>
      <w:ind w:left="1270" w:hanging="420"/>
      <w:jc w:val="left"/>
    </w:pPr>
    <w:rPr>
      <w:rFonts w:ascii="宋体" w:hAnsi="宋体" w:cs="宋体"/>
      <w:smallCaps/>
      <w:kern w:val="0"/>
      <w:sz w:val="20"/>
      <w:szCs w:val="20"/>
    </w:rPr>
  </w:style>
  <w:style w:type="paragraph" w:styleId="40">
    <w:name w:val="toc 2"/>
    <w:basedOn w:val="1"/>
    <w:next w:val="1"/>
    <w:autoRedefine/>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89"/>
    <w:autoRedefine/>
    <w:qFormat/>
    <w:uiPriority w:val="0"/>
    <w:pPr>
      <w:widowControl/>
      <w:snapToGrid w:val="0"/>
      <w:spacing w:before="50" w:afterLines="50" w:line="400" w:lineRule="exact"/>
      <w:jc w:val="left"/>
    </w:pPr>
    <w:rPr>
      <w:rFonts w:ascii="宋体" w:hAnsi="宋体"/>
      <w:color w:val="000000"/>
      <w:sz w:val="24"/>
    </w:r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link w:val="90"/>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91"/>
    <w:autoRedefine/>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92"/>
    <w:autoRedefine/>
    <w:qFormat/>
    <w:uiPriority w:val="99"/>
    <w:rPr>
      <w:b/>
      <w:bCs/>
    </w:rPr>
  </w:style>
  <w:style w:type="paragraph" w:styleId="47">
    <w:name w:val="Body Text First Indent"/>
    <w:basedOn w:val="19"/>
    <w:next w:val="1"/>
    <w:link w:val="93"/>
    <w:autoRedefine/>
    <w:qFormat/>
    <w:uiPriority w:val="0"/>
    <w:pPr>
      <w:ind w:firstLine="420" w:firstLineChars="100"/>
    </w:pPr>
  </w:style>
  <w:style w:type="paragraph" w:styleId="48">
    <w:name w:val="Body Text First Indent 2"/>
    <w:basedOn w:val="2"/>
    <w:link w:val="94"/>
    <w:autoRedefine/>
    <w:unhideWhenUsed/>
    <w:qFormat/>
    <w:uiPriority w:val="0"/>
    <w:pPr>
      <w:spacing w:after="120" w:line="360" w:lineRule="auto"/>
      <w:ind w:left="420" w:leftChars="200" w:firstLine="420" w:firstLineChars="200"/>
    </w:pPr>
    <w:rPr>
      <w:sz w:val="24"/>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8"/>
    <w:basedOn w:val="49"/>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Hyperlink"/>
    <w:autoRedefine/>
    <w:qFormat/>
    <w:uiPriority w:val="99"/>
    <w:rPr>
      <w:color w:val="0000FF"/>
      <w:u w:val="single"/>
    </w:rPr>
  </w:style>
  <w:style w:type="character" w:styleId="57">
    <w:name w:val="annotation reference"/>
    <w:autoRedefine/>
    <w:qFormat/>
    <w:uiPriority w:val="99"/>
    <w:rPr>
      <w:sz w:val="21"/>
      <w:szCs w:val="21"/>
    </w:rPr>
  </w:style>
  <w:style w:type="character" w:styleId="58">
    <w:name w:val="footnote reference"/>
    <w:autoRedefine/>
    <w:qFormat/>
    <w:uiPriority w:val="99"/>
    <w:rPr>
      <w:position w:val="-2"/>
      <w:vertAlign w:val="superscript"/>
    </w:rPr>
  </w:style>
  <w:style w:type="character" w:styleId="59">
    <w:name w:val="HTML Sample"/>
    <w:basedOn w:val="52"/>
    <w:autoRedefine/>
    <w:semiHidden/>
    <w:unhideWhenUsed/>
    <w:qFormat/>
    <w:uiPriority w:val="0"/>
    <w:rPr>
      <w:rFonts w:ascii="Courier New" w:hAnsi="Courier New"/>
    </w:rPr>
  </w:style>
  <w:style w:type="paragraph" w:customStyle="1" w:styleId="60">
    <w:name w:val="表格文字"/>
    <w:basedOn w:val="61"/>
    <w:next w:val="19"/>
    <w:link w:val="191"/>
    <w:autoRedefine/>
    <w:qFormat/>
    <w:uiPriority w:val="0"/>
    <w:pPr>
      <w:jc w:val="left"/>
      <w:textAlignment w:val="top"/>
    </w:pPr>
    <w:rPr>
      <w:sz w:val="18"/>
    </w:rPr>
  </w:style>
  <w:style w:type="paragraph" w:customStyle="1" w:styleId="61">
    <w:name w:val="表格文字（两侧对齐）"/>
    <w:basedOn w:val="1"/>
    <w:autoRedefine/>
    <w:qFormat/>
    <w:uiPriority w:val="0"/>
    <w:pPr>
      <w:snapToGrid w:val="0"/>
    </w:pPr>
    <w:rPr>
      <w:sz w:val="20"/>
    </w:rPr>
  </w:style>
  <w:style w:type="paragraph" w:customStyle="1" w:styleId="62">
    <w:name w:val="标准正文"/>
    <w:basedOn w:val="1"/>
    <w:autoRedefine/>
    <w:qFormat/>
    <w:uiPriority w:val="0"/>
    <w:pPr>
      <w:spacing w:line="360" w:lineRule="auto"/>
      <w:ind w:firstLine="200" w:firstLineChars="200"/>
    </w:pPr>
    <w:rPr>
      <w:sz w:val="24"/>
      <w:szCs w:val="20"/>
    </w:rPr>
  </w:style>
  <w:style w:type="paragraph" w:customStyle="1" w:styleId="63">
    <w:name w:val="一级标题"/>
    <w:basedOn w:val="1"/>
    <w:next w:val="19"/>
    <w:autoRedefine/>
    <w:qFormat/>
    <w:uiPriority w:val="0"/>
    <w:pPr>
      <w:outlineLvl w:val="0"/>
    </w:pPr>
    <w:rPr>
      <w:b/>
      <w:bCs/>
      <w:sz w:val="32"/>
    </w:rPr>
  </w:style>
  <w:style w:type="character" w:customStyle="1" w:styleId="64">
    <w:name w:val="标题 2 Char"/>
    <w:link w:val="4"/>
    <w:autoRedefine/>
    <w:qFormat/>
    <w:uiPriority w:val="9"/>
    <w:rPr>
      <w:rFonts w:ascii="仿宋_GB2312" w:eastAsia="仿宋_GB2312"/>
      <w:b/>
      <w:sz w:val="36"/>
    </w:rPr>
  </w:style>
  <w:style w:type="character" w:customStyle="1" w:styleId="65">
    <w:name w:val="标题 1 Char"/>
    <w:link w:val="3"/>
    <w:autoRedefine/>
    <w:qFormat/>
    <w:uiPriority w:val="9"/>
    <w:rPr>
      <w:b/>
      <w:bCs/>
      <w:kern w:val="44"/>
      <w:sz w:val="44"/>
      <w:szCs w:val="44"/>
    </w:rPr>
  </w:style>
  <w:style w:type="character" w:customStyle="1" w:styleId="66">
    <w:name w:val="正文缩进 Char"/>
    <w:link w:val="14"/>
    <w:autoRedefine/>
    <w:qFormat/>
    <w:uiPriority w:val="0"/>
    <w:rPr>
      <w:kern w:val="2"/>
      <w:sz w:val="21"/>
    </w:rPr>
  </w:style>
  <w:style w:type="character" w:customStyle="1" w:styleId="67">
    <w:name w:val="标题 3 Char"/>
    <w:link w:val="5"/>
    <w:autoRedefine/>
    <w:qFormat/>
    <w:uiPriority w:val="9"/>
    <w:rPr>
      <w:rFonts w:ascii="仿宋_GB2312" w:eastAsia="仿宋_GB2312"/>
      <w:b/>
      <w:bCs/>
      <w:kern w:val="2"/>
      <w:sz w:val="30"/>
    </w:rPr>
  </w:style>
  <w:style w:type="character" w:customStyle="1" w:styleId="68">
    <w:name w:val="标题 4 Char"/>
    <w:link w:val="6"/>
    <w:autoRedefine/>
    <w:qFormat/>
    <w:uiPriority w:val="9"/>
    <w:rPr>
      <w:rFonts w:ascii="Cambria" w:hAnsi="Cambria" w:eastAsia="宋体" w:cs="Times New Roman"/>
      <w:b/>
      <w:bCs/>
      <w:kern w:val="2"/>
      <w:sz w:val="28"/>
      <w:szCs w:val="28"/>
    </w:rPr>
  </w:style>
  <w:style w:type="character" w:customStyle="1" w:styleId="69">
    <w:name w:val="标题 5 Char"/>
    <w:link w:val="7"/>
    <w:autoRedefine/>
    <w:qFormat/>
    <w:uiPriority w:val="9"/>
    <w:rPr>
      <w:rFonts w:eastAsia="宋体"/>
      <w:b/>
      <w:bCs/>
      <w:kern w:val="2"/>
      <w:sz w:val="28"/>
      <w:szCs w:val="28"/>
    </w:rPr>
  </w:style>
  <w:style w:type="character" w:customStyle="1" w:styleId="70">
    <w:name w:val="标题 6 Char"/>
    <w:link w:val="8"/>
    <w:autoRedefine/>
    <w:qFormat/>
    <w:uiPriority w:val="9"/>
    <w:rPr>
      <w:rFonts w:ascii="Cambria" w:hAnsi="Cambria" w:eastAsia="宋体" w:cs="Times New Roman"/>
      <w:b/>
      <w:bCs/>
      <w:kern w:val="2"/>
      <w:sz w:val="24"/>
      <w:szCs w:val="24"/>
    </w:rPr>
  </w:style>
  <w:style w:type="character" w:customStyle="1" w:styleId="71">
    <w:name w:val="标题 7 Char"/>
    <w:link w:val="9"/>
    <w:autoRedefine/>
    <w:qFormat/>
    <w:uiPriority w:val="0"/>
    <w:rPr>
      <w:rFonts w:eastAsia="宋体"/>
      <w:b/>
      <w:bCs/>
      <w:kern w:val="2"/>
      <w:sz w:val="24"/>
      <w:szCs w:val="24"/>
    </w:rPr>
  </w:style>
  <w:style w:type="character" w:customStyle="1" w:styleId="72">
    <w:name w:val="标题 8 Char"/>
    <w:link w:val="10"/>
    <w:autoRedefine/>
    <w:qFormat/>
    <w:uiPriority w:val="0"/>
    <w:rPr>
      <w:rFonts w:ascii="Cambria" w:hAnsi="Cambria" w:eastAsia="宋体" w:cs="Times New Roman"/>
      <w:b/>
      <w:kern w:val="2"/>
      <w:sz w:val="24"/>
      <w:szCs w:val="24"/>
    </w:rPr>
  </w:style>
  <w:style w:type="character" w:customStyle="1" w:styleId="73">
    <w:name w:val="标题 9 Char"/>
    <w:link w:val="11"/>
    <w:autoRedefine/>
    <w:qFormat/>
    <w:uiPriority w:val="0"/>
    <w:rPr>
      <w:rFonts w:ascii="Cambria" w:hAnsi="Cambria" w:eastAsia="宋体" w:cs="Times New Roman"/>
      <w:b/>
      <w:kern w:val="2"/>
      <w:sz w:val="24"/>
      <w:szCs w:val="21"/>
    </w:rPr>
  </w:style>
  <w:style w:type="character" w:customStyle="1" w:styleId="74">
    <w:name w:val="题注 Char"/>
    <w:link w:val="15"/>
    <w:autoRedefine/>
    <w:qFormat/>
    <w:locked/>
    <w:uiPriority w:val="0"/>
    <w:rPr>
      <w:rFonts w:ascii="Arial" w:hAnsi="Arial" w:eastAsia="黑体" w:cs="Arial"/>
      <w:kern w:val="2"/>
    </w:rPr>
  </w:style>
  <w:style w:type="character" w:customStyle="1" w:styleId="75">
    <w:name w:val="文档结构图 Char"/>
    <w:link w:val="16"/>
    <w:autoRedefine/>
    <w:semiHidden/>
    <w:qFormat/>
    <w:uiPriority w:val="0"/>
    <w:rPr>
      <w:kern w:val="2"/>
      <w:sz w:val="21"/>
      <w:szCs w:val="24"/>
      <w:shd w:val="clear" w:color="auto" w:fill="000080"/>
    </w:rPr>
  </w:style>
  <w:style w:type="character" w:customStyle="1" w:styleId="76">
    <w:name w:val="批注文字 Char1"/>
    <w:link w:val="17"/>
    <w:autoRedefine/>
    <w:qFormat/>
    <w:uiPriority w:val="0"/>
    <w:rPr>
      <w:kern w:val="2"/>
      <w:sz w:val="21"/>
      <w:szCs w:val="24"/>
    </w:rPr>
  </w:style>
  <w:style w:type="character" w:customStyle="1" w:styleId="77">
    <w:name w:val="正文文本 3 Char"/>
    <w:link w:val="18"/>
    <w:autoRedefine/>
    <w:qFormat/>
    <w:uiPriority w:val="0"/>
    <w:rPr>
      <w:kern w:val="2"/>
      <w:sz w:val="16"/>
      <w:szCs w:val="16"/>
    </w:rPr>
  </w:style>
  <w:style w:type="character" w:customStyle="1" w:styleId="78">
    <w:name w:val="正文文本 Char"/>
    <w:link w:val="19"/>
    <w:autoRedefine/>
    <w:qFormat/>
    <w:uiPriority w:val="0"/>
    <w:rPr>
      <w:kern w:val="2"/>
      <w:sz w:val="21"/>
      <w:szCs w:val="24"/>
    </w:rPr>
  </w:style>
  <w:style w:type="character" w:customStyle="1" w:styleId="79">
    <w:name w:val="正文文本缩进 Char"/>
    <w:link w:val="2"/>
    <w:autoRedefine/>
    <w:qFormat/>
    <w:uiPriority w:val="0"/>
    <w:rPr>
      <w:rFonts w:ascii="宋体" w:hAnsi="Courier New"/>
      <w:spacing w:val="-4"/>
      <w:kern w:val="2"/>
      <w:sz w:val="18"/>
    </w:rPr>
  </w:style>
  <w:style w:type="character" w:customStyle="1" w:styleId="80">
    <w:name w:val="纯文本 Char"/>
    <w:link w:val="25"/>
    <w:autoRedefine/>
    <w:qFormat/>
    <w:uiPriority w:val="0"/>
    <w:rPr>
      <w:rFonts w:ascii="宋体" w:hAnsi="Courier New"/>
      <w:kern w:val="2"/>
      <w:sz w:val="21"/>
    </w:rPr>
  </w:style>
  <w:style w:type="character" w:customStyle="1" w:styleId="81">
    <w:name w:val="日期 Char"/>
    <w:link w:val="27"/>
    <w:autoRedefine/>
    <w:qFormat/>
    <w:uiPriority w:val="0"/>
    <w:rPr>
      <w:rFonts w:eastAsia="楷体_GB2312"/>
      <w:kern w:val="2"/>
      <w:sz w:val="32"/>
    </w:rPr>
  </w:style>
  <w:style w:type="character" w:customStyle="1" w:styleId="82">
    <w:name w:val="正文文本缩进 2 Char"/>
    <w:link w:val="28"/>
    <w:autoRedefine/>
    <w:qFormat/>
    <w:uiPriority w:val="0"/>
    <w:rPr>
      <w:rFonts w:ascii="仿宋_GB2312" w:hAnsi="宋体" w:cs="Arial"/>
      <w:b/>
      <w:bCs/>
      <w:color w:val="000000"/>
      <w:kern w:val="2"/>
      <w:sz w:val="24"/>
      <w:szCs w:val="24"/>
    </w:rPr>
  </w:style>
  <w:style w:type="character" w:customStyle="1" w:styleId="83">
    <w:name w:val="批注框文本 Char"/>
    <w:link w:val="29"/>
    <w:autoRedefine/>
    <w:qFormat/>
    <w:uiPriority w:val="0"/>
    <w:rPr>
      <w:kern w:val="2"/>
      <w:sz w:val="18"/>
      <w:szCs w:val="18"/>
    </w:rPr>
  </w:style>
  <w:style w:type="character" w:customStyle="1" w:styleId="84">
    <w:name w:val="页脚 Char"/>
    <w:link w:val="30"/>
    <w:autoRedefine/>
    <w:qFormat/>
    <w:locked/>
    <w:uiPriority w:val="99"/>
    <w:rPr>
      <w:kern w:val="2"/>
      <w:sz w:val="18"/>
      <w:szCs w:val="18"/>
    </w:rPr>
  </w:style>
  <w:style w:type="character" w:customStyle="1" w:styleId="85">
    <w:name w:val="页眉 Char"/>
    <w:link w:val="31"/>
    <w:autoRedefine/>
    <w:qFormat/>
    <w:uiPriority w:val="99"/>
    <w:rPr>
      <w:rFonts w:eastAsia="宋体"/>
      <w:kern w:val="2"/>
      <w:sz w:val="18"/>
      <w:szCs w:val="18"/>
      <w:lang w:val="en-US" w:eastAsia="zh-CN" w:bidi="ar-SA"/>
    </w:rPr>
  </w:style>
  <w:style w:type="character" w:customStyle="1" w:styleId="86">
    <w:name w:val="副标题 Char"/>
    <w:link w:val="34"/>
    <w:autoRedefine/>
    <w:qFormat/>
    <w:uiPriority w:val="0"/>
    <w:rPr>
      <w:rFonts w:ascii="Cambria" w:hAnsi="Cambria"/>
      <w:b/>
      <w:bCs/>
      <w:kern w:val="28"/>
      <w:sz w:val="32"/>
      <w:szCs w:val="32"/>
    </w:rPr>
  </w:style>
  <w:style w:type="character" w:customStyle="1" w:styleId="87">
    <w:name w:val="脚注文本 Char"/>
    <w:basedOn w:val="52"/>
    <w:link w:val="36"/>
    <w:autoRedefine/>
    <w:qFormat/>
    <w:uiPriority w:val="99"/>
    <w:rPr>
      <w:kern w:val="1"/>
      <w:sz w:val="18"/>
      <w:szCs w:val="18"/>
    </w:rPr>
  </w:style>
  <w:style w:type="character" w:customStyle="1" w:styleId="88">
    <w:name w:val="正文文本缩进 3 Char"/>
    <w:link w:val="38"/>
    <w:autoRedefine/>
    <w:qFormat/>
    <w:uiPriority w:val="0"/>
    <w:rPr>
      <w:rFonts w:ascii="仿宋_GB2312" w:hAnsi="宋体" w:eastAsia="仿宋_GB2312"/>
      <w:color w:val="000000"/>
      <w:kern w:val="2"/>
      <w:sz w:val="24"/>
      <w:szCs w:val="24"/>
    </w:rPr>
  </w:style>
  <w:style w:type="character" w:customStyle="1" w:styleId="89">
    <w:name w:val="正文文本 2 Char"/>
    <w:link w:val="42"/>
    <w:autoRedefine/>
    <w:qFormat/>
    <w:uiPriority w:val="0"/>
    <w:rPr>
      <w:rFonts w:ascii="宋体" w:hAnsi="宋体"/>
      <w:color w:val="000000"/>
      <w:kern w:val="2"/>
      <w:sz w:val="24"/>
      <w:szCs w:val="24"/>
    </w:rPr>
  </w:style>
  <w:style w:type="character" w:customStyle="1" w:styleId="90">
    <w:name w:val="普通(网站) Char"/>
    <w:link w:val="44"/>
    <w:autoRedefine/>
    <w:qFormat/>
    <w:locked/>
    <w:uiPriority w:val="0"/>
    <w:rPr>
      <w:rFonts w:ascii="宋体" w:hAnsi="宋体" w:cs="宋体"/>
      <w:sz w:val="24"/>
      <w:szCs w:val="24"/>
    </w:rPr>
  </w:style>
  <w:style w:type="character" w:customStyle="1" w:styleId="91">
    <w:name w:val="标题 Char"/>
    <w:link w:val="45"/>
    <w:autoRedefine/>
    <w:qFormat/>
    <w:uiPriority w:val="0"/>
    <w:rPr>
      <w:rFonts w:ascii="Cambria" w:hAnsi="Cambria"/>
      <w:b/>
      <w:bCs/>
      <w:kern w:val="2"/>
      <w:sz w:val="32"/>
      <w:szCs w:val="32"/>
    </w:rPr>
  </w:style>
  <w:style w:type="character" w:customStyle="1" w:styleId="92">
    <w:name w:val="批注主题 Char"/>
    <w:link w:val="46"/>
    <w:autoRedefine/>
    <w:qFormat/>
    <w:uiPriority w:val="99"/>
    <w:rPr>
      <w:b/>
      <w:bCs/>
      <w:kern w:val="2"/>
      <w:sz w:val="21"/>
      <w:szCs w:val="24"/>
    </w:rPr>
  </w:style>
  <w:style w:type="character" w:customStyle="1" w:styleId="93">
    <w:name w:val="正文首行缩进 Char"/>
    <w:basedOn w:val="78"/>
    <w:link w:val="47"/>
    <w:autoRedefine/>
    <w:qFormat/>
    <w:uiPriority w:val="0"/>
    <w:rPr>
      <w:kern w:val="2"/>
      <w:sz w:val="21"/>
      <w:szCs w:val="24"/>
    </w:rPr>
  </w:style>
  <w:style w:type="character" w:customStyle="1" w:styleId="94">
    <w:name w:val="正文首行缩进 2 Char"/>
    <w:link w:val="48"/>
    <w:autoRedefine/>
    <w:qFormat/>
    <w:uiPriority w:val="0"/>
    <w:rPr>
      <w:rFonts w:ascii="宋体" w:hAnsi="Courier New"/>
      <w:spacing w:val="-4"/>
      <w:kern w:val="2"/>
      <w:sz w:val="24"/>
    </w:rPr>
  </w:style>
  <w:style w:type="paragraph" w:customStyle="1" w:styleId="9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页眉 Char1"/>
    <w:autoRedefine/>
    <w:qFormat/>
    <w:uiPriority w:val="0"/>
    <w:rPr>
      <w:kern w:val="2"/>
      <w:sz w:val="18"/>
      <w:szCs w:val="18"/>
    </w:rPr>
  </w:style>
  <w:style w:type="character" w:customStyle="1" w:styleId="97">
    <w:name w:val="hover"/>
    <w:autoRedefine/>
    <w:qFormat/>
    <w:uiPriority w:val="0"/>
    <w:rPr>
      <w:color w:val="4178BE"/>
    </w:rPr>
  </w:style>
  <w:style w:type="character" w:customStyle="1" w:styleId="98">
    <w:name w:val="页眉 字符1"/>
    <w:autoRedefine/>
    <w:qFormat/>
    <w:uiPriority w:val="99"/>
    <w:rPr>
      <w:rFonts w:eastAsia="宋体"/>
      <w:sz w:val="18"/>
      <w:szCs w:val="18"/>
    </w:rPr>
  </w:style>
  <w:style w:type="character" w:customStyle="1" w:styleId="99">
    <w:name w:val="font111"/>
    <w:autoRedefine/>
    <w:qFormat/>
    <w:uiPriority w:val="0"/>
    <w:rPr>
      <w:rFonts w:ascii="宋体" w:hAnsi="宋体" w:eastAsia="宋体" w:cs="宋体"/>
      <w:color w:val="FF0000"/>
      <w:sz w:val="18"/>
      <w:szCs w:val="18"/>
      <w:u w:val="none"/>
    </w:rPr>
  </w:style>
  <w:style w:type="character" w:customStyle="1" w:styleId="100">
    <w:name w:val="页脚 字符1"/>
    <w:autoRedefine/>
    <w:qFormat/>
    <w:locked/>
    <w:uiPriority w:val="99"/>
    <w:rPr>
      <w:sz w:val="18"/>
      <w:szCs w:val="18"/>
    </w:rPr>
  </w:style>
  <w:style w:type="character" w:customStyle="1" w:styleId="101">
    <w:name w:val="font21"/>
    <w:autoRedefine/>
    <w:qFormat/>
    <w:uiPriority w:val="0"/>
    <w:rPr>
      <w:rFonts w:hint="eastAsia" w:ascii="微软雅黑" w:hAnsi="微软雅黑" w:eastAsia="微软雅黑" w:cs="微软雅黑"/>
      <w:color w:val="000000"/>
      <w:sz w:val="18"/>
      <w:szCs w:val="18"/>
      <w:u w:val="none"/>
    </w:rPr>
  </w:style>
  <w:style w:type="character" w:customStyle="1" w:styleId="102">
    <w:name w:val="样式一"/>
    <w:autoRedefine/>
    <w:qFormat/>
    <w:uiPriority w:val="0"/>
    <w:rPr>
      <w:rFonts w:ascii="宋体" w:hAnsi="宋体"/>
      <w:b/>
      <w:bCs/>
      <w:color w:val="000000"/>
      <w:sz w:val="36"/>
    </w:rPr>
  </w:style>
  <w:style w:type="character" w:customStyle="1" w:styleId="103">
    <w:name w:val="optnmoresets"/>
    <w:autoRedefine/>
    <w:qFormat/>
    <w:uiPriority w:val="0"/>
    <w:rPr>
      <w:color w:val="5596E6"/>
    </w:rPr>
  </w:style>
  <w:style w:type="character" w:customStyle="1" w:styleId="104">
    <w:name w:val="ca-92"/>
    <w:basedOn w:val="52"/>
    <w:autoRedefine/>
    <w:qFormat/>
    <w:uiPriority w:val="0"/>
  </w:style>
  <w:style w:type="character" w:customStyle="1" w:styleId="105">
    <w:name w:val="font91"/>
    <w:autoRedefine/>
    <w:qFormat/>
    <w:uiPriority w:val="0"/>
    <w:rPr>
      <w:rFonts w:ascii="宋体" w:hAnsi="宋体" w:eastAsia="宋体" w:cs="宋体"/>
      <w:color w:val="auto"/>
      <w:sz w:val="18"/>
      <w:szCs w:val="18"/>
      <w:u w:val="none"/>
    </w:rPr>
  </w:style>
  <w:style w:type="character" w:customStyle="1" w:styleId="106">
    <w:name w:val="纯文本 Char3"/>
    <w:autoRedefine/>
    <w:qFormat/>
    <w:uiPriority w:val="0"/>
    <w:rPr>
      <w:rFonts w:ascii="宋体" w:hAnsi="Courier New" w:eastAsia="宋体"/>
      <w:kern w:val="2"/>
      <w:sz w:val="24"/>
      <w:szCs w:val="24"/>
      <w:lang w:val="en-US" w:eastAsia="zh-CN" w:bidi="ar-SA"/>
    </w:rPr>
  </w:style>
  <w:style w:type="character" w:customStyle="1" w:styleId="107">
    <w:name w:val="列出段落 Char1"/>
    <w:autoRedefine/>
    <w:qFormat/>
    <w:uiPriority w:val="34"/>
    <w:rPr>
      <w:sz w:val="24"/>
    </w:rPr>
  </w:style>
  <w:style w:type="character" w:customStyle="1" w:styleId="108">
    <w:name w:val="标题字符1"/>
    <w:autoRedefine/>
    <w:qFormat/>
    <w:uiPriority w:val="0"/>
    <w:rPr>
      <w:rFonts w:ascii="Cambria" w:hAnsi="Cambria" w:cs="Times New Roman"/>
      <w:b/>
      <w:bCs/>
      <w:snapToGrid w:val="0"/>
      <w:sz w:val="32"/>
      <w:szCs w:val="32"/>
    </w:rPr>
  </w:style>
  <w:style w:type="character" w:customStyle="1" w:styleId="109">
    <w:name w:val="sub"/>
    <w:basedOn w:val="52"/>
    <w:autoRedefine/>
    <w:qFormat/>
    <w:uiPriority w:val="0"/>
  </w:style>
  <w:style w:type="character" w:customStyle="1" w:styleId="110">
    <w:name w:val="lotusbtndisabled2"/>
    <w:basedOn w:val="52"/>
    <w:autoRedefine/>
    <w:qFormat/>
    <w:uiPriority w:val="0"/>
  </w:style>
  <w:style w:type="character" w:customStyle="1" w:styleId="111">
    <w:name w:val="列出段落 Char"/>
    <w:autoRedefine/>
    <w:qFormat/>
    <w:uiPriority w:val="34"/>
    <w:rPr>
      <w:kern w:val="2"/>
      <w:sz w:val="21"/>
      <w:szCs w:val="22"/>
    </w:rPr>
  </w:style>
  <w:style w:type="character" w:customStyle="1" w:styleId="112">
    <w:name w:val="dijitarrowbuttoninner"/>
    <w:autoRedefine/>
    <w:qFormat/>
    <w:uiPriority w:val="0"/>
    <w:rPr>
      <w:vanish/>
    </w:rPr>
  </w:style>
  <w:style w:type="character" w:customStyle="1" w:styleId="113">
    <w:name w:val="hover21"/>
    <w:autoRedefine/>
    <w:qFormat/>
    <w:uiPriority w:val="0"/>
    <w:rPr>
      <w:color w:val="4178BE"/>
    </w:rPr>
  </w:style>
  <w:style w:type="character" w:customStyle="1" w:styleId="114">
    <w:name w:val="普通文字 Char Char2"/>
    <w:autoRedefine/>
    <w:qFormat/>
    <w:uiPriority w:val="0"/>
    <w:rPr>
      <w:rFonts w:ascii="宋体" w:hAnsi="Courier New" w:eastAsia="宋体"/>
      <w:kern w:val="2"/>
      <w:sz w:val="24"/>
      <w:szCs w:val="24"/>
      <w:lang w:val="en-US" w:eastAsia="zh-CN" w:bidi="ar-SA"/>
    </w:rPr>
  </w:style>
  <w:style w:type="character" w:customStyle="1" w:styleId="115">
    <w:name w:val="font11"/>
    <w:autoRedefine/>
    <w:qFormat/>
    <w:uiPriority w:val="0"/>
    <w:rPr>
      <w:rFonts w:hint="eastAsia" w:ascii="微软雅黑" w:hAnsi="微软雅黑" w:eastAsia="微软雅黑" w:cs="微软雅黑"/>
      <w:color w:val="FF0000"/>
      <w:sz w:val="18"/>
      <w:szCs w:val="18"/>
      <w:u w:val="none"/>
    </w:rPr>
  </w:style>
  <w:style w:type="character" w:customStyle="1" w:styleId="116">
    <w:name w:val="纯文本 Char1"/>
    <w:autoRedefine/>
    <w:qFormat/>
    <w:uiPriority w:val="99"/>
    <w:rPr>
      <w:rFonts w:ascii="宋体" w:hAnsi="Courier New" w:eastAsia="宋体" w:cs="Times New Roman"/>
      <w:sz w:val="24"/>
      <w:szCs w:val="24"/>
    </w:rPr>
  </w:style>
  <w:style w:type="character" w:customStyle="1" w:styleId="117">
    <w:name w:val="lotusalttext10"/>
    <w:basedOn w:val="52"/>
    <w:autoRedefine/>
    <w:qFormat/>
    <w:uiPriority w:val="0"/>
  </w:style>
  <w:style w:type="character" w:customStyle="1" w:styleId="118">
    <w:name w:val="纯文本 字符"/>
    <w:autoRedefine/>
    <w:qFormat/>
    <w:uiPriority w:val="0"/>
    <w:rPr>
      <w:rFonts w:ascii="宋体" w:hAnsi="Courier New" w:eastAsia="宋体" w:cs="Courier New"/>
      <w:kern w:val="2"/>
      <w:sz w:val="21"/>
      <w:szCs w:val="24"/>
    </w:rPr>
  </w:style>
  <w:style w:type="character" w:customStyle="1" w:styleId="119">
    <w:name w:val="*正文 Char"/>
    <w:link w:val="120"/>
    <w:autoRedefine/>
    <w:qFormat/>
    <w:uiPriority w:val="99"/>
    <w:rPr>
      <w:rFonts w:ascii="宋体" w:hAnsi="宋体"/>
      <w:sz w:val="24"/>
    </w:rPr>
  </w:style>
  <w:style w:type="paragraph" w:customStyle="1" w:styleId="120">
    <w:name w:val="*正文"/>
    <w:basedOn w:val="1"/>
    <w:link w:val="119"/>
    <w:autoRedefine/>
    <w:qFormat/>
    <w:uiPriority w:val="99"/>
    <w:pPr>
      <w:spacing w:line="360" w:lineRule="auto"/>
      <w:ind w:firstLine="482"/>
    </w:pPr>
    <w:rPr>
      <w:rFonts w:ascii="宋体" w:hAnsi="宋体"/>
      <w:kern w:val="0"/>
      <w:sz w:val="24"/>
      <w:szCs w:val="20"/>
    </w:rPr>
  </w:style>
  <w:style w:type="character" w:customStyle="1" w:styleId="121">
    <w:name w:val="before"/>
    <w:basedOn w:val="52"/>
    <w:autoRedefine/>
    <w:qFormat/>
    <w:uiPriority w:val="0"/>
  </w:style>
  <w:style w:type="character" w:customStyle="1" w:styleId="122">
    <w:name w:val="font101"/>
    <w:autoRedefine/>
    <w:qFormat/>
    <w:uiPriority w:val="0"/>
    <w:rPr>
      <w:rFonts w:ascii="Times New Roman" w:hAnsi="Times New Roman" w:cs="Times New Roman"/>
      <w:color w:val="auto"/>
      <w:sz w:val="24"/>
      <w:szCs w:val="24"/>
      <w:u w:val="none"/>
    </w:rPr>
  </w:style>
  <w:style w:type="character" w:customStyle="1" w:styleId="123">
    <w:name w:val="font81"/>
    <w:autoRedefine/>
    <w:qFormat/>
    <w:uiPriority w:val="0"/>
    <w:rPr>
      <w:rFonts w:ascii="Times New Roman" w:hAnsi="Times New Roman" w:cs="Times New Roman"/>
      <w:color w:val="FF0000"/>
      <w:sz w:val="18"/>
      <w:szCs w:val="18"/>
      <w:u w:val="none"/>
    </w:rPr>
  </w:style>
  <w:style w:type="character" w:customStyle="1" w:styleId="124">
    <w:name w:val="正文文本缩进字符1"/>
    <w:autoRedefine/>
    <w:semiHidden/>
    <w:qFormat/>
    <w:uiPriority w:val="0"/>
    <w:rPr>
      <w:snapToGrid w:val="0"/>
      <w:sz w:val="21"/>
      <w:szCs w:val="21"/>
    </w:rPr>
  </w:style>
  <w:style w:type="character" w:customStyle="1" w:styleId="125">
    <w:name w:val="before1"/>
    <w:autoRedefine/>
    <w:qFormat/>
    <w:uiPriority w:val="0"/>
    <w:rPr>
      <w:shd w:val="clear" w:color="auto" w:fill="4178BE"/>
    </w:rPr>
  </w:style>
  <w:style w:type="character" w:customStyle="1" w:styleId="126">
    <w:name w:val="font51"/>
    <w:autoRedefine/>
    <w:qFormat/>
    <w:uiPriority w:val="0"/>
    <w:rPr>
      <w:rFonts w:hint="eastAsia" w:ascii="微软雅黑" w:hAnsi="微软雅黑" w:eastAsia="微软雅黑" w:cs="微软雅黑"/>
      <w:i/>
      <w:color w:val="FF0000"/>
      <w:sz w:val="18"/>
      <w:szCs w:val="18"/>
      <w:u w:val="none"/>
    </w:rPr>
  </w:style>
  <w:style w:type="character" w:customStyle="1" w:styleId="127">
    <w:name w:val="optnless"/>
    <w:autoRedefine/>
    <w:qFormat/>
    <w:uiPriority w:val="0"/>
    <w:rPr>
      <w:color w:val="5596E6"/>
    </w:rPr>
  </w:style>
  <w:style w:type="character" w:customStyle="1" w:styleId="128">
    <w:name w:val="font01"/>
    <w:autoRedefine/>
    <w:qFormat/>
    <w:uiPriority w:val="0"/>
    <w:rPr>
      <w:rFonts w:hint="eastAsia" w:ascii="微软雅黑" w:hAnsi="微软雅黑" w:eastAsia="微软雅黑" w:cs="微软雅黑"/>
      <w:color w:val="000000"/>
      <w:sz w:val="18"/>
      <w:szCs w:val="18"/>
      <w:u w:val="none"/>
    </w:rPr>
  </w:style>
  <w:style w:type="character" w:customStyle="1" w:styleId="129">
    <w:name w:val="列出段落 Char2"/>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rPr>
      <w:szCs w:val="22"/>
    </w:rPr>
  </w:style>
  <w:style w:type="character" w:customStyle="1" w:styleId="131">
    <w:name w:val="bookmark-item"/>
    <w:basedOn w:val="52"/>
    <w:autoRedefine/>
    <w:qFormat/>
    <w:uiPriority w:val="0"/>
  </w:style>
  <w:style w:type="character" w:customStyle="1" w:styleId="132">
    <w:name w:val="lotusalttext"/>
    <w:basedOn w:val="52"/>
    <w:autoRedefine/>
    <w:qFormat/>
    <w:uiPriority w:val="0"/>
  </w:style>
  <w:style w:type="character" w:customStyle="1" w:styleId="133">
    <w:name w:val="optnmore"/>
    <w:autoRedefine/>
    <w:qFormat/>
    <w:uiPriority w:val="0"/>
    <w:rPr>
      <w:color w:val="5596E6"/>
    </w:rPr>
  </w:style>
  <w:style w:type="character" w:customStyle="1" w:styleId="134">
    <w:name w:val="纯文本字符1"/>
    <w:autoRedefine/>
    <w:semiHidden/>
    <w:qFormat/>
    <w:uiPriority w:val="0"/>
    <w:rPr>
      <w:rFonts w:ascii="宋体" w:hAnsi="Courier"/>
      <w:snapToGrid w:val="0"/>
      <w:sz w:val="24"/>
      <w:szCs w:val="24"/>
    </w:rPr>
  </w:style>
  <w:style w:type="character" w:customStyle="1" w:styleId="135">
    <w:name w:val="GW-正文 Char"/>
    <w:link w:val="136"/>
    <w:autoRedefine/>
    <w:qFormat/>
    <w:uiPriority w:val="0"/>
    <w:rPr>
      <w:rFonts w:eastAsia="仿宋_GB2312"/>
      <w:sz w:val="24"/>
      <w:szCs w:val="24"/>
      <w:lang w:val="en-US" w:eastAsia="zh-CN" w:bidi="ar-SA"/>
    </w:rPr>
  </w:style>
  <w:style w:type="paragraph" w:customStyle="1" w:styleId="136">
    <w:name w:val="GW-正文"/>
    <w:link w:val="135"/>
    <w:autoRedefine/>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character" w:customStyle="1" w:styleId="137">
    <w:name w:val="optnsets"/>
    <w:autoRedefine/>
    <w:qFormat/>
    <w:uiPriority w:val="0"/>
    <w:rPr>
      <w:color w:val="5596E6"/>
    </w:rPr>
  </w:style>
  <w:style w:type="character" w:customStyle="1" w:styleId="138">
    <w:name w:val="批注文字 Char"/>
    <w:autoRedefine/>
    <w:qFormat/>
    <w:uiPriority w:val="99"/>
    <w:rPr>
      <w:kern w:val="2"/>
      <w:sz w:val="21"/>
      <w:szCs w:val="24"/>
    </w:rPr>
  </w:style>
  <w:style w:type="character" w:customStyle="1" w:styleId="139">
    <w:name w:val="标题 Char3"/>
    <w:autoRedefine/>
    <w:qFormat/>
    <w:uiPriority w:val="0"/>
    <w:rPr>
      <w:rFonts w:ascii="Calibri Light" w:hAnsi="Calibri Light"/>
      <w:b/>
      <w:bCs/>
      <w:kern w:val="2"/>
      <w:sz w:val="32"/>
      <w:szCs w:val="32"/>
    </w:rPr>
  </w:style>
  <w:style w:type="character" w:customStyle="1" w:styleId="140">
    <w:name w:val="样式二"/>
    <w:basedOn w:val="102"/>
    <w:autoRedefine/>
    <w:qFormat/>
    <w:uiPriority w:val="0"/>
    <w:rPr>
      <w:rFonts w:ascii="宋体" w:hAnsi="宋体"/>
      <w:color w:val="000000"/>
      <w:sz w:val="36"/>
    </w:rPr>
  </w:style>
  <w:style w:type="character" w:customStyle="1" w:styleId="141">
    <w:name w:val="after1"/>
    <w:basedOn w:val="52"/>
    <w:autoRedefine/>
    <w:qFormat/>
    <w:uiPriority w:val="0"/>
  </w:style>
  <w:style w:type="character" w:customStyle="1" w:styleId="142">
    <w:name w:val="after"/>
    <w:autoRedefine/>
    <w:qFormat/>
    <w:uiPriority w:val="0"/>
    <w:rPr>
      <w:shd w:val="clear" w:color="auto" w:fill="008571"/>
    </w:rPr>
  </w:style>
  <w:style w:type="paragraph" w:customStyle="1" w:styleId="143">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145">
    <w:name w:val="节"/>
    <w:basedOn w:val="4"/>
    <w:autoRedefine/>
    <w:qFormat/>
    <w:uiPriority w:val="99"/>
    <w:pPr>
      <w:keepLines/>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146">
    <w:name w:val="正文段"/>
    <w:basedOn w:val="1"/>
    <w:autoRedefine/>
    <w:qFormat/>
    <w:uiPriority w:val="0"/>
    <w:pPr>
      <w:widowControl/>
      <w:snapToGrid w:val="0"/>
      <w:spacing w:afterLines="50"/>
      <w:ind w:firstLine="200" w:firstLineChars="200"/>
    </w:pPr>
    <w:rPr>
      <w:kern w:val="0"/>
      <w:sz w:val="24"/>
      <w:szCs w:val="20"/>
    </w:rPr>
  </w:style>
  <w:style w:type="paragraph" w:customStyle="1" w:styleId="147">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148">
    <w:name w:val="Char Char Char Char Char Char Char"/>
    <w:basedOn w:val="1"/>
    <w:autoRedefine/>
    <w:qFormat/>
    <w:uiPriority w:val="0"/>
    <w:rPr>
      <w:szCs w:val="21"/>
    </w:rPr>
  </w:style>
  <w:style w:type="paragraph" w:customStyle="1" w:styleId="149">
    <w:name w:val="_Style 2"/>
    <w:basedOn w:val="1"/>
    <w:autoRedefine/>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150">
    <w:name w:val="【正文】"/>
    <w:basedOn w:val="1"/>
    <w:autoRedefine/>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151">
    <w:name w:val="样式 正文1 + 段前: 0.1 行"/>
    <w:basedOn w:val="1"/>
    <w:autoRedefine/>
    <w:qFormat/>
    <w:uiPriority w:val="0"/>
    <w:pPr>
      <w:snapToGrid w:val="0"/>
      <w:spacing w:beforeLines="10" w:line="440" w:lineRule="atLeast"/>
      <w:ind w:firstLine="510"/>
    </w:pPr>
    <w:rPr>
      <w:sz w:val="24"/>
    </w:rPr>
  </w:style>
  <w:style w:type="paragraph" w:customStyle="1" w:styleId="152">
    <w:name w:val="图样式"/>
    <w:basedOn w:val="1"/>
    <w:autoRedefine/>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153">
    <w:name w:val="正文2"/>
    <w:basedOn w:val="1"/>
    <w:autoRedefine/>
    <w:qFormat/>
    <w:uiPriority w:val="0"/>
    <w:pPr>
      <w:spacing w:before="156" w:line="360" w:lineRule="auto"/>
      <w:ind w:firstLine="510" w:firstLineChars="200"/>
    </w:pPr>
    <w:rPr>
      <w:sz w:val="24"/>
      <w:szCs w:val="20"/>
    </w:rPr>
  </w:style>
  <w:style w:type="paragraph" w:customStyle="1" w:styleId="154">
    <w:name w:val="列出段落1"/>
    <w:basedOn w:val="1"/>
    <w:autoRedefine/>
    <w:qFormat/>
    <w:uiPriority w:val="0"/>
    <w:pPr>
      <w:ind w:firstLine="420" w:firstLineChars="200"/>
    </w:pPr>
    <w:rPr>
      <w:szCs w:val="21"/>
    </w:rPr>
  </w:style>
  <w:style w:type="paragraph" w:customStyle="1" w:styleId="155">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5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7">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58">
    <w:name w:val="6级标题"/>
    <w:basedOn w:val="1"/>
    <w:autoRedefine/>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15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0">
    <w:name w:val="_Style 58"/>
    <w:basedOn w:val="1"/>
    <w:next w:val="130"/>
    <w:autoRedefine/>
    <w:qFormat/>
    <w:uiPriority w:val="0"/>
    <w:pPr>
      <w:ind w:firstLine="420" w:firstLineChars="200"/>
    </w:pPr>
    <w:rPr>
      <w:rFonts w:ascii="Calibri" w:hAnsi="Calibri"/>
      <w:szCs w:val="22"/>
    </w:rPr>
  </w:style>
  <w:style w:type="paragraph" w:customStyle="1" w:styleId="161">
    <w:name w:val="Body text|1"/>
    <w:basedOn w:val="1"/>
    <w:autoRedefine/>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162">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63">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164">
    <w:name w:val="CM11"/>
    <w:basedOn w:val="165"/>
    <w:next w:val="165"/>
    <w:autoRedefine/>
    <w:unhideWhenUsed/>
    <w:qFormat/>
    <w:uiPriority w:val="99"/>
    <w:pPr>
      <w:spacing w:line="520" w:lineRule="atLeast"/>
    </w:pPr>
  </w:style>
  <w:style w:type="paragraph" w:customStyle="1" w:styleId="165">
    <w:name w:val="Default"/>
    <w:autoRedefine/>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66">
    <w:name w:val="正文11"/>
    <w:basedOn w:val="1"/>
    <w:next w:val="1"/>
    <w:autoRedefine/>
    <w:qFormat/>
    <w:uiPriority w:val="0"/>
    <w:pPr>
      <w:spacing w:before="120" w:line="360" w:lineRule="auto"/>
      <w:ind w:left="420" w:firstLine="527"/>
    </w:pPr>
    <w:rPr>
      <w:rFonts w:ascii="宋体" w:hAnsi="宋体"/>
    </w:rPr>
  </w:style>
  <w:style w:type="paragraph" w:customStyle="1" w:styleId="167">
    <w:name w:val="_Style 54"/>
    <w:basedOn w:val="1"/>
    <w:autoRedefine/>
    <w:qFormat/>
    <w:uiPriority w:val="0"/>
    <w:pPr>
      <w:adjustRightInd w:val="0"/>
      <w:snapToGrid w:val="0"/>
      <w:spacing w:line="360" w:lineRule="auto"/>
      <w:ind w:firstLine="420" w:firstLineChars="200"/>
    </w:pPr>
    <w:rPr>
      <w:rFonts w:ascii="Calibri" w:hAnsi="Calibri"/>
      <w:sz w:val="24"/>
    </w:rPr>
  </w:style>
  <w:style w:type="paragraph" w:customStyle="1" w:styleId="168">
    <w:name w:val="注示头"/>
    <w:basedOn w:val="1"/>
    <w:autoRedefine/>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69">
    <w:name w:val="5级标题"/>
    <w:basedOn w:val="1"/>
    <w:autoRedefine/>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70">
    <w:name w:val="表内文字"/>
    <w:basedOn w:val="1"/>
    <w:autoRedefine/>
    <w:qFormat/>
    <w:uiPriority w:val="0"/>
    <w:pPr>
      <w:jc w:val="center"/>
    </w:pPr>
    <w:rPr>
      <w:rFonts w:ascii="仿宋_GB2312" w:eastAsia="仿宋_GB2312"/>
      <w:sz w:val="24"/>
    </w:rPr>
  </w:style>
  <w:style w:type="paragraph" w:customStyle="1" w:styleId="171">
    <w:name w:val="Char Char9 Char Char"/>
    <w:basedOn w:val="1"/>
    <w:autoRedefine/>
    <w:qFormat/>
    <w:uiPriority w:val="0"/>
    <w:pPr>
      <w:tabs>
        <w:tab w:val="left" w:pos="360"/>
      </w:tabs>
    </w:pPr>
  </w:style>
  <w:style w:type="paragraph" w:customStyle="1" w:styleId="172">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173">
    <w:name w:val="正文（首行不缩进）"/>
    <w:basedOn w:val="1"/>
    <w:autoRedefine/>
    <w:qFormat/>
    <w:uiPriority w:val="0"/>
    <w:pPr>
      <w:autoSpaceDE w:val="0"/>
      <w:autoSpaceDN w:val="0"/>
      <w:adjustRightInd w:val="0"/>
      <w:spacing w:line="360" w:lineRule="auto"/>
      <w:jc w:val="left"/>
    </w:pPr>
    <w:rPr>
      <w:snapToGrid w:val="0"/>
      <w:kern w:val="0"/>
      <w:sz w:val="24"/>
      <w:szCs w:val="21"/>
    </w:rPr>
  </w:style>
  <w:style w:type="paragraph" w:customStyle="1" w:styleId="174">
    <w:name w:val="封面标题"/>
    <w:autoRedefine/>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175">
    <w:name w:val="列出段落11"/>
    <w:basedOn w:val="1"/>
    <w:autoRedefine/>
    <w:qFormat/>
    <w:uiPriority w:val="0"/>
    <w:pPr>
      <w:ind w:firstLine="420" w:firstLineChars="200"/>
    </w:pPr>
    <w:rPr>
      <w:rFonts w:ascii="Calibri" w:hAnsi="Calibri"/>
      <w:szCs w:val="20"/>
    </w:rPr>
  </w:style>
  <w:style w:type="paragraph" w:customStyle="1" w:styleId="176">
    <w:name w:val="FBY-表格文字"/>
    <w:basedOn w:val="1"/>
    <w:autoRedefine/>
    <w:qFormat/>
    <w:uiPriority w:val="99"/>
    <w:pPr>
      <w:adjustRightInd w:val="0"/>
      <w:jc w:val="left"/>
      <w:textAlignment w:val="top"/>
    </w:pPr>
    <w:rPr>
      <w:szCs w:val="20"/>
    </w:rPr>
  </w:style>
  <w:style w:type="paragraph" w:customStyle="1" w:styleId="177">
    <w:name w:val="默认段落字体 Para Char Char Char Char Char Char Char Char Char1 Char Char Char Char"/>
    <w:basedOn w:val="1"/>
    <w:autoRedefine/>
    <w:qFormat/>
    <w:uiPriority w:val="0"/>
    <w:rPr>
      <w:rFonts w:ascii="Tahoma" w:hAnsi="Tahoma"/>
      <w:sz w:val="24"/>
      <w:szCs w:val="20"/>
    </w:rPr>
  </w:style>
  <w:style w:type="paragraph" w:customStyle="1" w:styleId="178">
    <w:name w:val="文档标题"/>
    <w:basedOn w:val="1"/>
    <w:autoRedefine/>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79">
    <w:name w:val="1 Char Char Char Char"/>
    <w:basedOn w:val="1"/>
    <w:autoRedefine/>
    <w:qFormat/>
    <w:uiPriority w:val="0"/>
    <w:rPr>
      <w:rFonts w:ascii="Tahoma" w:hAnsi="Tahoma"/>
      <w:sz w:val="24"/>
      <w:szCs w:val="20"/>
    </w:rPr>
  </w:style>
  <w:style w:type="paragraph" w:customStyle="1" w:styleId="180">
    <w:name w:val="默认段落字体 Para Char Char Char Char"/>
    <w:basedOn w:val="1"/>
    <w:autoRedefine/>
    <w:qFormat/>
    <w:uiPriority w:val="0"/>
    <w:rPr>
      <w:rFonts w:ascii="Arial" w:hAnsi="Arial" w:cs="Arial"/>
      <w:szCs w:val="21"/>
    </w:rPr>
  </w:style>
  <w:style w:type="paragraph" w:customStyle="1" w:styleId="181">
    <w:name w:val="注示文本"/>
    <w:basedOn w:val="1"/>
    <w:autoRedefine/>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82">
    <w:name w:val="插图题注"/>
    <w:next w:val="1"/>
    <w:autoRedefine/>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83">
    <w:name w:val="TOC 标题11"/>
    <w:basedOn w:val="3"/>
    <w:next w:val="1"/>
    <w:autoRedefine/>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84">
    <w:name w:val="表格题注"/>
    <w:next w:val="1"/>
    <w:autoRedefine/>
    <w:qFormat/>
    <w:uiPriority w:val="0"/>
    <w:pPr>
      <w:keepLines/>
      <w:spacing w:beforeLines="100"/>
      <w:ind w:left="1089" w:hanging="369"/>
      <w:jc w:val="center"/>
    </w:pPr>
    <w:rPr>
      <w:rFonts w:ascii="Arial" w:hAnsi="Arial" w:eastAsia="宋体" w:cs="Times New Roman"/>
      <w:sz w:val="18"/>
      <w:szCs w:val="18"/>
      <w:lang w:val="en-US" w:eastAsia="zh-CN" w:bidi="ar-SA"/>
    </w:rPr>
  </w:style>
  <w:style w:type="table" w:customStyle="1" w:styleId="185">
    <w:name w:val="表样式"/>
    <w:basedOn w:val="49"/>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186">
    <w:name w:val="浅色列表1"/>
    <w:basedOn w:val="49"/>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7">
    <w:name w:val="Table Normal"/>
    <w:autoRedefine/>
    <w:qFormat/>
    <w:uiPriority w:val="0"/>
    <w:tblPr>
      <w:tblCellMar>
        <w:top w:w="0" w:type="dxa"/>
        <w:left w:w="0" w:type="dxa"/>
        <w:bottom w:w="0" w:type="dxa"/>
        <w:right w:w="0" w:type="dxa"/>
      </w:tblCellMar>
    </w:tblPr>
  </w:style>
  <w:style w:type="paragraph" w:customStyle="1" w:styleId="188">
    <w:name w:val="122222222"/>
    <w:basedOn w:val="14"/>
    <w:autoRedefine/>
    <w:qFormat/>
    <w:uiPriority w:val="0"/>
    <w:pPr>
      <w:autoSpaceDE w:val="0"/>
      <w:autoSpaceDN w:val="0"/>
      <w:adjustRightInd w:val="0"/>
      <w:spacing w:line="360" w:lineRule="auto"/>
      <w:ind w:firstLine="552" w:firstLineChars="197"/>
      <w:textAlignment w:val="baseline"/>
    </w:pPr>
    <w:rPr>
      <w:rFonts w:ascii="Calibri" w:hAnsi="Calibri"/>
      <w:color w:val="000000"/>
    </w:rPr>
  </w:style>
  <w:style w:type="character" w:customStyle="1" w:styleId="189">
    <w:name w:val="无间隔 Char"/>
    <w:link w:val="190"/>
    <w:autoRedefine/>
    <w:qFormat/>
    <w:uiPriority w:val="1"/>
    <w:rPr>
      <w:kern w:val="2"/>
      <w:sz w:val="21"/>
      <w:szCs w:val="22"/>
    </w:rPr>
  </w:style>
  <w:style w:type="paragraph" w:styleId="190">
    <w:name w:val="No Spacing"/>
    <w:link w:val="189"/>
    <w:autoRedefine/>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191">
    <w:name w:val="表格文字 Char"/>
    <w:link w:val="60"/>
    <w:autoRedefine/>
    <w:qFormat/>
    <w:uiPriority w:val="0"/>
    <w:rPr>
      <w:kern w:val="2"/>
      <w:sz w:val="18"/>
      <w:szCs w:val="24"/>
    </w:rPr>
  </w:style>
  <w:style w:type="paragraph" w:customStyle="1" w:styleId="192">
    <w:name w:val="样式1"/>
    <w:basedOn w:val="3"/>
    <w:next w:val="1"/>
    <w:link w:val="193"/>
    <w:autoRedefine/>
    <w:qFormat/>
    <w:uiPriority w:val="0"/>
    <w:pPr>
      <w:spacing w:line="240" w:lineRule="auto"/>
    </w:pPr>
    <w:rPr>
      <w:rFonts w:ascii="宋体" w:hAnsi="宋体" w:cstheme="minorBidi"/>
      <w:sz w:val="24"/>
    </w:rPr>
  </w:style>
  <w:style w:type="character" w:customStyle="1" w:styleId="193">
    <w:name w:val="样式1 字符"/>
    <w:basedOn w:val="65"/>
    <w:link w:val="192"/>
    <w:autoRedefine/>
    <w:qFormat/>
    <w:uiPriority w:val="0"/>
    <w:rPr>
      <w:rFonts w:ascii="宋体" w:hAnsi="宋体" w:cstheme="minorBidi"/>
      <w:kern w:val="44"/>
      <w:sz w:val="24"/>
      <w:szCs w:val="44"/>
    </w:rPr>
  </w:style>
  <w:style w:type="paragraph" w:customStyle="1" w:styleId="194">
    <w:name w:val="样式2"/>
    <w:basedOn w:val="4"/>
    <w:next w:val="1"/>
    <w:link w:val="195"/>
    <w:autoRedefine/>
    <w:qFormat/>
    <w:uiPriority w:val="0"/>
    <w:pPr>
      <w:keepLines/>
      <w:adjustRightInd/>
      <w:snapToGrid/>
      <w:spacing w:before="260" w:after="260" w:line="240" w:lineRule="auto"/>
      <w:jc w:val="both"/>
      <w:textAlignment w:val="auto"/>
    </w:pPr>
    <w:rPr>
      <w:rFonts w:eastAsia="宋体" w:asciiTheme="majorHAnsi" w:hAnsiTheme="majorHAnsi" w:cstheme="majorBidi"/>
      <w:kern w:val="2"/>
      <w:sz w:val="24"/>
      <w:szCs w:val="32"/>
    </w:rPr>
  </w:style>
  <w:style w:type="character" w:customStyle="1" w:styleId="195">
    <w:name w:val="样式2 字符"/>
    <w:basedOn w:val="64"/>
    <w:link w:val="194"/>
    <w:autoRedefine/>
    <w:qFormat/>
    <w:uiPriority w:val="0"/>
    <w:rPr>
      <w:rFonts w:eastAsia="仿宋_GB2312" w:asciiTheme="majorHAnsi" w:hAnsiTheme="majorHAnsi" w:cstheme="majorBidi"/>
      <w:bCs/>
      <w:kern w:val="2"/>
      <w:sz w:val="24"/>
      <w:szCs w:val="32"/>
    </w:rPr>
  </w:style>
  <w:style w:type="paragraph" w:customStyle="1" w:styleId="196">
    <w:name w:val="样式3"/>
    <w:basedOn w:val="5"/>
    <w:next w:val="1"/>
    <w:link w:val="197"/>
    <w:autoRedefine/>
    <w:qFormat/>
    <w:uiPriority w:val="0"/>
    <w:pPr>
      <w:spacing w:line="240" w:lineRule="auto"/>
      <w:ind w:firstLine="0" w:firstLineChars="0"/>
    </w:pPr>
    <w:rPr>
      <w:rFonts w:ascii="宋体" w:hAnsi="宋体" w:eastAsia="宋体" w:cstheme="minorBidi"/>
      <w:sz w:val="24"/>
      <w:szCs w:val="32"/>
    </w:rPr>
  </w:style>
  <w:style w:type="character" w:customStyle="1" w:styleId="197">
    <w:name w:val="样式3 字符"/>
    <w:basedOn w:val="67"/>
    <w:link w:val="196"/>
    <w:autoRedefine/>
    <w:qFormat/>
    <w:uiPriority w:val="0"/>
    <w:rPr>
      <w:rFonts w:ascii="宋体" w:hAnsi="宋体" w:eastAsia="仿宋_GB2312" w:cstheme="minorBidi"/>
      <w:kern w:val="2"/>
      <w:sz w:val="24"/>
      <w:szCs w:val="32"/>
    </w:rPr>
  </w:style>
  <w:style w:type="paragraph" w:customStyle="1" w:styleId="19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缩进2格"/>
    <w:basedOn w:val="1"/>
    <w:autoRedefine/>
    <w:qFormat/>
    <w:uiPriority w:val="0"/>
    <w:pPr>
      <w:widowControl/>
      <w:spacing w:line="600" w:lineRule="exact"/>
      <w:ind w:firstLine="639" w:firstLineChars="206"/>
      <w:jc w:val="left"/>
    </w:pPr>
    <w:rPr>
      <w:rFonts w:ascii="仿宋_GB2312" w:hAnsi="宋体" w:eastAsia="仿宋_GB2312"/>
      <w:kern w:val="0"/>
      <w:sz w:val="31"/>
      <w:szCs w:val="28"/>
    </w:rPr>
  </w:style>
  <w:style w:type="character" w:customStyle="1" w:styleId="201">
    <w:name w:val="日期 Char3"/>
    <w:autoRedefine/>
    <w:qFormat/>
    <w:uiPriority w:val="0"/>
    <w:rPr>
      <w:rFonts w:eastAsia="仿宋_GB2312" w:cs="Times New Roman"/>
      <w:kern w:val="2"/>
      <w:sz w:val="28"/>
      <w:lang w:val="en-US" w:eastAsia="zh-CN" w:bidi="ar-SA"/>
    </w:rPr>
  </w:style>
  <w:style w:type="character" w:customStyle="1" w:styleId="202">
    <w:name w:val="纯文本 Char2"/>
    <w:autoRedefine/>
    <w:qFormat/>
    <w:locked/>
    <w:uiPriority w:val="0"/>
    <w:rPr>
      <w:rFonts w:ascii="宋体" w:hAnsi="Courier New" w:cs="Courier New"/>
      <w:szCs w:val="21"/>
    </w:rPr>
  </w:style>
  <w:style w:type="paragraph" w:customStyle="1" w:styleId="203">
    <w:name w:val="Char Char Char Char"/>
    <w:basedOn w:val="1"/>
    <w:autoRedefine/>
    <w:qFormat/>
    <w:uiPriority w:val="99"/>
    <w:pPr>
      <w:widowControl/>
      <w:jc w:val="left"/>
    </w:pPr>
    <w:rPr>
      <w:rFonts w:ascii="Calibri" w:hAnsi="Calibri" w:cs="宋体"/>
      <w:kern w:val="0"/>
      <w:sz w:val="24"/>
    </w:rPr>
  </w:style>
  <w:style w:type="character" w:customStyle="1" w:styleId="204">
    <w:name w:val="NormalCharacter"/>
    <w:autoRedefine/>
    <w:qFormat/>
    <w:uiPriority w:val="0"/>
    <w:rPr>
      <w:rFonts w:ascii="Calibri" w:hAnsi="Calibri" w:eastAsia="宋体"/>
    </w:rPr>
  </w:style>
  <w:style w:type="paragraph" w:customStyle="1" w:styleId="20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06">
    <w:name w:val="Table Paragraph"/>
    <w:basedOn w:val="1"/>
    <w:autoRedefine/>
    <w:qFormat/>
    <w:uiPriority w:val="1"/>
    <w:rPr>
      <w:rFonts w:ascii="宋体" w:hAnsi="宋体" w:cs="宋体"/>
      <w:sz w:val="24"/>
      <w:lang w:val="zh-CN" w:bidi="zh-CN"/>
    </w:rPr>
  </w:style>
  <w:style w:type="paragraph" w:customStyle="1" w:styleId="207">
    <w:name w:val="CM13"/>
    <w:basedOn w:val="165"/>
    <w:next w:val="165"/>
    <w:autoRedefine/>
    <w:unhideWhenUsed/>
    <w:qFormat/>
    <w:uiPriority w:val="99"/>
    <w:pPr>
      <w:spacing w:line="520" w:lineRule="atLeast"/>
    </w:pPr>
  </w:style>
  <w:style w:type="paragraph" w:customStyle="1" w:styleId="208">
    <w:name w:val="msolistparagraph"/>
    <w:basedOn w:val="1"/>
    <w:autoRedefine/>
    <w:qFormat/>
    <w:uiPriority w:val="0"/>
    <w:pPr>
      <w:ind w:firstLine="420" w:firstLineChars="200"/>
    </w:pPr>
  </w:style>
  <w:style w:type="character" w:customStyle="1" w:styleId="209">
    <w:name w:val="font71"/>
    <w:basedOn w:val="52"/>
    <w:autoRedefine/>
    <w:qFormat/>
    <w:uiPriority w:val="0"/>
    <w:rPr>
      <w:rFonts w:hint="eastAsia" w:ascii="宋体" w:hAnsi="宋体" w:eastAsia="宋体" w:cs="宋体"/>
      <w:color w:val="000000"/>
      <w:sz w:val="18"/>
      <w:szCs w:val="18"/>
      <w:u w:val="none"/>
    </w:rPr>
  </w:style>
  <w:style w:type="character" w:customStyle="1" w:styleId="210">
    <w:name w:val="font31"/>
    <w:basedOn w:val="52"/>
    <w:autoRedefine/>
    <w:qFormat/>
    <w:uiPriority w:val="0"/>
    <w:rPr>
      <w:rFonts w:hint="default" w:ascii="Helvetica" w:hAnsi="Helvetica" w:eastAsia="Helvetica" w:cs="Helvetica"/>
      <w:b/>
      <w:bCs/>
      <w:color w:val="000000"/>
      <w:sz w:val="18"/>
      <w:szCs w:val="18"/>
      <w:u w:val="none"/>
    </w:rPr>
  </w:style>
  <w:style w:type="character" w:customStyle="1" w:styleId="211">
    <w:name w:val="font41"/>
    <w:basedOn w:val="52"/>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3384-0C67-4A67-B2B1-73C926EE2C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5282</Words>
  <Characters>30112</Characters>
  <Lines>250</Lines>
  <Paragraphs>70</Paragraphs>
  <TotalTime>27</TotalTime>
  <ScaleCrop>false</ScaleCrop>
  <LinksUpToDate>false</LinksUpToDate>
  <CharactersWithSpaces>35324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2022-06-17T03:02:00Z</dcterms:created>
  <dc:creator>微软用户</dc:creator>
  <cp:lastModifiedBy>二木</cp:lastModifiedBy>
  <cp:lastPrinted>2022-09-30T08:29:00Z</cp:lastPrinted>
  <dcterms:modified xsi:type="dcterms:W3CDTF">2024-01-15T02:37:17Z</dcterms:modified>
  <dc:title>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8FA2E4D83F5B4035ABA98FD1A3C8F18D</vt:lpwstr>
  </property>
</Properties>
</file>