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440115-2024-00162</w:t>
      </w:r>
    </w:p>
    <w:p>
      <w:pPr>
        <w:jc w:val="center"/>
      </w:pPr>
      <w:r>
        <w:rPr>
          <w:b/>
          <w:sz w:val="24"/>
        </w:rPr>
        <w:t>采购项目编号：</w:t>
      </w:r>
      <w:r>
        <w:rPr>
          <w:b/>
          <w:sz w:val="24"/>
        </w:rPr>
        <w:t>GDSZ-2023092（440115-2024-00162）</w:t>
      </w:r>
    </w:p>
    <w:p>
      <w:pPr>
        <w:jc w:val="center"/>
      </w:pPr>
      <w:r>
        <w:rPr>
          <w:b/>
          <w:sz w:val="24"/>
        </w:rPr>
        <w:t>项目名称：</w:t>
      </w:r>
      <w:r>
        <w:rPr>
          <w:b/>
          <w:sz w:val="24"/>
        </w:rPr>
        <w:t>大岗镇2024年登革热防控及除四害服务单位项目</w:t>
      </w:r>
    </w:p>
    <w:p>
      <w:pPr>
        <w:jc w:val="center"/>
      </w:pPr>
      <w:r>
        <w:rPr>
          <w:b/>
          <w:sz w:val="24"/>
        </w:rPr>
        <w:t>采购人：</w:t>
      </w:r>
      <w:r>
        <w:rPr>
          <w:b/>
          <w:sz w:val="24"/>
        </w:rPr>
        <w:t>广州市南沙区大岗镇人民政府</w:t>
      </w:r>
    </w:p>
    <w:p>
      <w:pPr>
        <w:jc w:val="center"/>
      </w:pPr>
      <w:r>
        <w:rPr>
          <w:b/>
          <w:sz w:val="24"/>
        </w:rPr>
        <w:t>采购代理机构：</w:t>
      </w:r>
      <w:r>
        <w:rPr>
          <w:b/>
          <w:sz w:val="24"/>
        </w:rPr>
        <w:t>广东穗尊招标代理有限公司</w:t>
      </w:r>
    </w:p>
    <w:p>
      <w:pPr>
        <w:ind w:firstLine="480"/>
      </w:pPr>
    </w:p>
    <w:p>
      <w:r>
        <w:rPr/>
        <w:t xml:space="preserve"> </w:t>
      </w:r>
    </w:p>
    <w:p/>
    <w:p>
      <w:pPr>
        <w:jc w:val="center"/>
      </w:pPr>
      <w:r>
        <w:rPr>
          <w:b/>
          <w:sz w:val="36"/>
        </w:rPr>
        <w:t>第一章投标邀请</w:t>
      </w:r>
    </w:p>
    <w:p>
      <w:pPr>
        <w:ind w:firstLine="480"/>
      </w:pPr>
      <w:r>
        <w:rPr/>
        <w:t>广东穗尊招标代理有限公司</w:t>
      </w:r>
      <w:r>
        <w:rPr/>
        <w:t>受</w:t>
      </w:r>
      <w:r>
        <w:rPr/>
        <w:t>广州市南沙区大岗镇人民政府</w:t>
      </w:r>
      <w:r>
        <w:rPr/>
        <w:t>的委托，采用</w:t>
      </w:r>
      <w:r>
        <w:rPr/>
        <w:t>公开招标</w:t>
      </w:r>
      <w:r>
        <w:rPr/>
        <w:t>方式组织采购</w:t>
      </w:r>
      <w:r>
        <w:rPr/>
        <w:t>大岗镇2024年登革热防控及除四害服务单位项目</w:t>
      </w:r>
      <w:r>
        <w:rPr/>
        <w:t>。欢迎符合资格条件的国内供应商参加投标。</w:t>
      </w:r>
    </w:p>
    <w:p>
      <w:r>
        <w:rPr>
          <w:b/>
          <w:sz w:val="28"/>
        </w:rPr>
        <w:t>一.项目概述</w:t>
      </w:r>
    </w:p>
    <w:p>
      <w:r>
        <w:rPr>
          <w:b/>
          <w:sz w:val="24"/>
        </w:rPr>
        <w:t>1.名称与编号</w:t>
      </w:r>
    </w:p>
    <w:p>
      <w:pPr>
        <w:ind w:firstLine="480"/>
      </w:pPr>
      <w:r>
        <w:rPr/>
        <w:t>项目名称：</w:t>
      </w:r>
      <w:r>
        <w:rPr/>
        <w:t>大岗镇2024年登革热防控及除四害服务单位项目</w:t>
      </w:r>
    </w:p>
    <w:p>
      <w:pPr>
        <w:ind w:firstLine="480"/>
      </w:pPr>
      <w:r>
        <w:rPr/>
        <w:t>采购计划编号：</w:t>
      </w:r>
      <w:r>
        <w:rPr/>
        <w:t>440115-2024-00162</w:t>
      </w:r>
    </w:p>
    <w:p>
      <w:pPr>
        <w:ind w:firstLine="480"/>
      </w:pPr>
      <w:r>
        <w:rPr/>
        <w:t>采购项目编号：</w:t>
      </w:r>
      <w:r>
        <w:rPr/>
        <w:t>GDSZ-2023092（440115-2024-00162）</w:t>
      </w:r>
    </w:p>
    <w:p>
      <w:pPr>
        <w:ind w:firstLine="480"/>
      </w:pPr>
      <w:r>
        <w:rPr/>
        <w:t>采购方式：</w:t>
      </w:r>
      <w:r>
        <w:rPr/>
        <w:t>公开招标</w:t>
      </w:r>
    </w:p>
    <w:p>
      <w:pPr>
        <w:ind w:firstLine="480"/>
      </w:pPr>
      <w:r>
        <w:rPr/>
        <w:t>预算金额：</w:t>
      </w:r>
      <w:r>
        <w:rPr/>
        <w:t>2,509,000.00</w:t>
      </w:r>
      <w:r>
        <w:rPr/>
        <w:t>元</w:t>
      </w:r>
    </w:p>
    <w:p>
      <w:r>
        <w:rPr>
          <w:b/>
          <w:sz w:val="24"/>
        </w:rPr>
        <w:t>2.项目内容及需求情况（采购项目技术规格、参数及要求）</w:t>
      </w:r>
    </w:p>
    <w:p>
      <w:pPr>
        <w:ind w:firstLine="480"/>
      </w:pPr>
    </w:p>
    <w:p/>
    <w:p>
      <w:r>
        <w:rPr/>
        <w:t>采购包1(大岗镇2024年登革热防控及除四害服务单位项目):</w:t>
      </w:r>
    </w:p>
    <w:p>
      <w:r>
        <w:rPr/>
        <w:t>采购包预算金额：2,509,000.00元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其他城镇公共卫生服务</w:t>
            </w:r>
          </w:p>
        </w:tc>
        <w:tc>
          <w:tcPr>
            <w:tcW w:type="dxa" w:w="2136"/>
          </w:tcPr>
          <w:p>
            <w:r>
              <w:rPr/>
              <w:t>大岗镇2024年登革热防控及除四害服务单位项目</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合同履行期限：自合同签订生效之日起一年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1）具有独立承担民事责任的能力：提供相关证明材料或承诺函。分支机构投标的，还须提供分支机构的营业执照（执业许可证）扫描件及总公司（总所）出具给分支机构的授权书。</w:t>
      </w:r>
    </w:p>
    <w:p/>
    <w:p>
      <w:r>
        <w:rPr/>
        <w:t>2）有依法缴纳税收和社会保障资金的良好记录：提供相关证明材料或承诺函。</w:t>
      </w:r>
    </w:p>
    <w:p/>
    <w:p>
      <w:r>
        <w:rPr/>
        <w:t>3）具有良好的商业信誉和健全的财务会计制度：提供相关证明材料或承诺函。</w:t>
      </w:r>
    </w:p>
    <w:p/>
    <w:p>
      <w:r>
        <w:rPr/>
        <w:t>4）履行合同所必需的设备和专业技术能力：提供相关证明材料或承诺函。</w:t>
      </w:r>
    </w:p>
    <w:p/>
    <w:p>
      <w:r>
        <w:rPr/>
        <w:t>5）参加采购活动前3年内，在经营活动中没有重大违法记录：提供相关证明材料或承诺函。</w:t>
      </w:r>
    </w:p>
    <w:p/>
    <w:p>
      <w:r>
        <w:rPr>
          <w:b/>
          <w:sz w:val="24"/>
        </w:rPr>
        <w:t>2.落实政府采购政策需满足的资格要求：</w:t>
      </w:r>
    </w:p>
    <w:p>
      <w:pPr>
        <w:ind w:firstLine="480"/>
      </w:pPr>
    </w:p>
    <w:p>
      <w:pPr>
        <w:jc w:val="left"/>
      </w:pPr>
    </w:p>
    <w:p>
      <w:r>
        <w:rPr/>
        <w:t>采购包1（大岗镇2024年登革热防控及除四害服务单位项目）：</w:t>
      </w:r>
      <w:r>
        <w:rPr/>
        <w:t>采购包整体专门面向中小企业（提供《中小企业声明函》或由省级以上监狱管理局、戒毒管理局(含新疆生产建设兵团)出具的承接方属于监狱企业的证明文件或承接方的《残疾人福利性单位声明函》）。</w:t>
      </w:r>
    </w:p>
    <w:p/>
    <w:p>
      <w:r>
        <w:rPr>
          <w:b/>
          <w:sz w:val="24"/>
        </w:rPr>
        <w:t>3.本项目特定的资格要求：</w:t>
      </w:r>
    </w:p>
    <w:p>
      <w:pPr>
        <w:ind w:firstLine="480"/>
      </w:pPr>
    </w:p>
    <w:p/>
    <w:p>
      <w:r>
        <w:rPr/>
        <w:t>采购包1（大岗镇2024年登革热防控及除四害服务单位项目）：</w:t>
      </w:r>
    </w:p>
    <w:p/>
    <w:p>
      <w:r>
        <w:rPr/>
        <w:t>1)本项目不接受联合体投标。</w:t>
      </w:r>
    </w:p>
    <w:p/>
    <w:p>
      <w:r>
        <w:rPr/>
        <w:t>2)供应商未被列入“信用中国”网站中“失信被执行人或异常经营名录或税收违法黑名单”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w:t>
      </w:r>
    </w:p>
    <w:p/>
    <w:p>
      <w:r>
        <w:rPr/>
        <w:t>3)供应商必须符合法律、行政法规规定的其他条件：提供相关证明材料或承诺函。</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广州市南沙区大岗镇人民政府</w:t>
      </w:r>
    </w:p>
    <w:p>
      <w:pPr>
        <w:ind w:firstLine="480"/>
      </w:pPr>
      <w:r>
        <w:rPr/>
        <w:t>地址：</w:t>
      </w:r>
      <w:r>
        <w:rPr/>
        <w:t>大岗镇豪岗大道13号</w:t>
      </w:r>
    </w:p>
    <w:p>
      <w:pPr>
        <w:ind w:firstLine="480"/>
      </w:pPr>
      <w:r>
        <w:rPr/>
        <w:t>联系方式：</w:t>
      </w:r>
      <w:r>
        <w:rPr/>
        <w:t>020-84936975</w:t>
      </w:r>
    </w:p>
    <w:p>
      <w:r>
        <w:rPr>
          <w:b/>
          <w:sz w:val="24"/>
        </w:rPr>
        <w:t>2.采购代理机构信息</w:t>
      </w:r>
    </w:p>
    <w:p>
      <w:pPr>
        <w:ind w:firstLine="480"/>
      </w:pPr>
      <w:r>
        <w:rPr/>
        <w:t>名称：</w:t>
      </w:r>
      <w:r>
        <w:rPr/>
        <w:t>广东穗尊招标代理有限公司</w:t>
      </w:r>
    </w:p>
    <w:p>
      <w:pPr>
        <w:ind w:firstLine="480"/>
      </w:pPr>
      <w:r>
        <w:rPr/>
        <w:t>地址：</w:t>
      </w:r>
      <w:r>
        <w:rPr/>
        <w:t>广东省广州市南沙区东涌镇市南路183号美林广场商务中心A109室</w:t>
      </w:r>
    </w:p>
    <w:p>
      <w:pPr>
        <w:ind w:firstLine="480"/>
      </w:pPr>
      <w:r>
        <w:rPr/>
        <w:t>联系方式：</w:t>
      </w:r>
      <w:r>
        <w:rPr/>
        <w:t>020-39011013</w:t>
      </w:r>
    </w:p>
    <w:p>
      <w:r>
        <w:rPr>
          <w:b/>
          <w:sz w:val="24"/>
        </w:rPr>
        <w:t>3.项目联系方式</w:t>
      </w:r>
    </w:p>
    <w:p>
      <w:pPr>
        <w:ind w:firstLine="480"/>
      </w:pPr>
      <w:r>
        <w:rPr/>
        <w:t>项目联系人：</w:t>
      </w:r>
      <w:r>
        <w:rPr/>
        <w:t>黎先生</w:t>
      </w:r>
    </w:p>
    <w:p>
      <w:pPr>
        <w:ind w:firstLine="480"/>
      </w:pPr>
      <w:r>
        <w:rPr/>
        <w:t>电话：</w:t>
      </w:r>
      <w:r>
        <w:rPr/>
        <w:t>020-39011013</w:t>
      </w:r>
    </w:p>
    <w:p>
      <w:r>
        <w:rPr>
          <w:b/>
          <w:sz w:val="24"/>
        </w:rPr>
        <w:t>4.技术支持联系方式</w:t>
      </w:r>
    </w:p>
    <w:p>
      <w:pPr>
        <w:ind w:firstLine="480"/>
      </w:pPr>
      <w:r>
        <w:rPr/>
        <w:t>云平台联系方式：020-88696588</w:t>
      </w:r>
    </w:p>
    <w:p>
      <w:r>
        <w:rPr/>
        <w:t>采购代理机构：</w:t>
      </w:r>
      <w:r>
        <w:rPr/>
        <w:t>广东穗尊招标代理有限公司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5"/>
        <w:jc w:val="both"/>
      </w:pPr>
    </w:p>
    <w:p>
      <w:pPr>
        <w:jc w:val="center"/>
      </w:pPr>
      <w:r>
        <w:rPr>
          <w:b/>
          <w:sz w:val="24"/>
        </w:rPr>
        <w:t>项目预算费用明细表</w:t>
      </w:r>
    </w:p>
    <w:tbl>
      <w:tblPr>
        <w:tblW w:w="0" w:type="auto"/>
        <w:tblBorders>
          <w:top w:val="none" w:color="000000" w:sz="4"/>
          <w:left w:val="none" w:color="000000" w:sz="4"/>
          <w:bottom w:val="none" w:color="000000" w:sz="4"/>
          <w:right w:val="none" w:color="000000" w:sz="4"/>
          <w:insideH w:val="none"/>
          <w:insideV w:val="none"/>
        </w:tblBorders>
      </w:tblPr>
      <w:tblGrid>
        <w:gridCol w:w="1091"/>
        <w:gridCol w:w="5286"/>
        <w:gridCol w:w="1930"/>
      </w:tblGrid>
      <w:tr>
        <w:tc>
          <w:tcPr>
            <w:tcW w:type="dxa" w:w="1091"/>
            <w:tcBorders>
              <w:top w:val="single" w:color="000000" w:sz="4"/>
              <w:left w:val="single" w:color="000000" w:sz="4"/>
              <w:bottom w:val="single" w:color="000000" w:sz="4"/>
              <w:right w:val="single" w:color="000000" w:sz="4"/>
            </w:tcBorders>
            <w:vAlign w:val="top"/>
          </w:tcPr>
          <w:p>
            <w:pPr>
              <w:jc w:val="center"/>
            </w:pPr>
            <w:r>
              <w:rPr>
                <w:b/>
                <w:sz w:val="24"/>
              </w:rPr>
              <w:t>项目序号</w:t>
            </w:r>
          </w:p>
        </w:tc>
        <w:tc>
          <w:tcPr>
            <w:tcW w:type="dxa" w:w="5286"/>
            <w:tcBorders>
              <w:top w:val="single" w:color="000000" w:sz="4"/>
              <w:left w:val="none" w:color="000000" w:sz="4"/>
              <w:bottom w:val="single" w:color="000000" w:sz="4"/>
              <w:right w:val="single" w:color="000000" w:sz="4"/>
            </w:tcBorders>
            <w:vAlign w:val="top"/>
          </w:tcPr>
          <w:p>
            <w:pPr>
              <w:jc w:val="center"/>
            </w:pPr>
            <w:r>
              <w:rPr>
                <w:b/>
                <w:sz w:val="24"/>
              </w:rPr>
              <w:t>项目名称</w:t>
            </w:r>
          </w:p>
        </w:tc>
        <w:tc>
          <w:tcPr>
            <w:tcW w:type="dxa" w:w="1930"/>
            <w:tcBorders>
              <w:top w:val="single" w:color="000000" w:sz="4"/>
              <w:left w:val="none" w:color="000000" w:sz="4"/>
              <w:bottom w:val="single" w:color="000000" w:sz="4"/>
              <w:right w:val="single" w:color="000000" w:sz="4"/>
            </w:tcBorders>
            <w:vAlign w:val="top"/>
          </w:tcPr>
          <w:p>
            <w:pPr>
              <w:jc w:val="center"/>
            </w:pPr>
            <w:r>
              <w:rPr>
                <w:b/>
                <w:sz w:val="24"/>
              </w:rPr>
              <w:t>预算费用</w:t>
            </w:r>
          </w:p>
          <w:p>
            <w:pPr>
              <w:jc w:val="center"/>
            </w:pPr>
            <w:r>
              <w:rPr>
                <w:b/>
                <w:sz w:val="24"/>
              </w:rPr>
              <w:t>（万元）</w:t>
            </w:r>
          </w:p>
        </w:tc>
      </w:tr>
      <w:tr>
        <w:tc>
          <w:tcPr>
            <w:tcW w:type="dxa" w:w="1091"/>
            <w:tcBorders>
              <w:top w:val="none" w:color="000000" w:sz="4"/>
              <w:left w:val="single" w:color="000000" w:sz="4"/>
              <w:bottom w:val="single" w:color="000000" w:sz="4"/>
              <w:right w:val="single" w:color="000000" w:sz="4"/>
            </w:tcBorders>
            <w:vAlign w:val="top"/>
          </w:tcPr>
          <w:p>
            <w:pPr>
              <w:jc w:val="center"/>
            </w:pPr>
            <w:r>
              <w:rPr>
                <w:sz w:val="24"/>
              </w:rPr>
              <w:t>1</w:t>
            </w:r>
          </w:p>
        </w:tc>
        <w:tc>
          <w:tcPr>
            <w:tcW w:type="dxa" w:w="5286"/>
            <w:tcBorders>
              <w:top w:val="none" w:color="000000" w:sz="4"/>
              <w:left w:val="none" w:color="000000" w:sz="4"/>
              <w:bottom w:val="single" w:color="000000" w:sz="4"/>
              <w:right w:val="single" w:color="000000" w:sz="4"/>
            </w:tcBorders>
            <w:vAlign w:val="top"/>
          </w:tcPr>
          <w:p>
            <w:pPr>
              <w:jc w:val="center"/>
            </w:pPr>
            <w:r>
              <w:rPr>
                <w:sz w:val="24"/>
              </w:rPr>
              <w:t>大型车载机及背负式成蚊消杀服务</w:t>
            </w:r>
          </w:p>
        </w:tc>
        <w:tc>
          <w:tcPr>
            <w:tcW w:type="dxa" w:w="1930"/>
            <w:tcBorders>
              <w:top w:val="none" w:color="000000" w:sz="4"/>
              <w:left w:val="none" w:color="000000" w:sz="4"/>
              <w:bottom w:val="single" w:color="000000" w:sz="4"/>
              <w:right w:val="single" w:color="000000" w:sz="4"/>
            </w:tcBorders>
            <w:vAlign w:val="top"/>
          </w:tcPr>
          <w:p>
            <w:pPr>
              <w:jc w:val="center"/>
            </w:pPr>
            <w:r>
              <w:rPr>
                <w:sz w:val="24"/>
              </w:rPr>
              <w:t>212.45</w:t>
            </w:r>
          </w:p>
        </w:tc>
      </w:tr>
      <w:tr>
        <w:tc>
          <w:tcPr>
            <w:tcW w:type="dxa" w:w="1091"/>
            <w:tcBorders>
              <w:top w:val="none" w:color="000000" w:sz="4"/>
              <w:left w:val="single" w:color="000000" w:sz="4"/>
              <w:bottom w:val="single" w:color="000000" w:sz="4"/>
              <w:right w:val="single" w:color="000000" w:sz="4"/>
            </w:tcBorders>
            <w:vAlign w:val="top"/>
          </w:tcPr>
          <w:p>
            <w:pPr>
              <w:jc w:val="center"/>
            </w:pPr>
            <w:r>
              <w:rPr>
                <w:sz w:val="24"/>
              </w:rPr>
              <w:t>2</w:t>
            </w:r>
          </w:p>
        </w:tc>
        <w:tc>
          <w:tcPr>
            <w:tcW w:type="dxa" w:w="5286"/>
            <w:tcBorders>
              <w:top w:val="none" w:color="000000" w:sz="4"/>
              <w:left w:val="none" w:color="000000" w:sz="4"/>
              <w:bottom w:val="single" w:color="000000" w:sz="4"/>
              <w:right w:val="single" w:color="000000" w:sz="4"/>
            </w:tcBorders>
            <w:vAlign w:val="top"/>
          </w:tcPr>
          <w:p>
            <w:pPr>
              <w:jc w:val="center"/>
            </w:pPr>
            <w:r>
              <w:rPr>
                <w:sz w:val="24"/>
              </w:rPr>
              <w:t>灭鼠灭蟑灭蝇消杀服务</w:t>
            </w:r>
          </w:p>
        </w:tc>
        <w:tc>
          <w:tcPr>
            <w:tcW w:type="dxa" w:w="1930"/>
            <w:tcBorders>
              <w:top w:val="none" w:color="000000" w:sz="4"/>
              <w:left w:val="none" w:color="000000" w:sz="4"/>
              <w:bottom w:val="single" w:color="000000" w:sz="4"/>
              <w:right w:val="single" w:color="000000" w:sz="4"/>
            </w:tcBorders>
            <w:vAlign w:val="top"/>
          </w:tcPr>
          <w:p>
            <w:pPr>
              <w:jc w:val="center"/>
            </w:pPr>
            <w:r>
              <w:rPr>
                <w:sz w:val="24"/>
              </w:rPr>
              <w:t>38.45</w:t>
            </w:r>
          </w:p>
        </w:tc>
      </w:tr>
      <w:tr>
        <w:tc>
          <w:tcPr>
            <w:tcW w:type="dxa" w:w="6377"/>
            <w:gridSpan w:val="2"/>
            <w:tcBorders>
              <w:top w:val="none" w:color="000000" w:sz="4"/>
              <w:left w:val="single" w:color="000000" w:sz="4"/>
              <w:bottom w:val="single" w:color="000000" w:sz="4"/>
              <w:right w:val="single" w:color="000000" w:sz="4"/>
            </w:tcBorders>
            <w:vAlign w:val="top"/>
          </w:tcPr>
          <w:p>
            <w:pPr>
              <w:ind w:firstLine="480"/>
              <w:jc w:val="center"/>
            </w:pPr>
            <w:r>
              <w:rPr>
                <w:sz w:val="24"/>
              </w:rPr>
              <w:t>合</w:t>
            </w:r>
            <w:r>
              <w:rPr>
                <w:sz w:val="24"/>
              </w:rPr>
              <w:t>计</w:t>
            </w:r>
          </w:p>
        </w:tc>
        <w:tc>
          <w:tcPr>
            <w:tcW w:type="dxa" w:w="1930"/>
            <w:tcBorders>
              <w:top w:val="none" w:color="000000" w:sz="4"/>
              <w:left w:val="none" w:color="000000" w:sz="4"/>
              <w:bottom w:val="single" w:color="000000" w:sz="4"/>
              <w:right w:val="single" w:color="000000" w:sz="4"/>
            </w:tcBorders>
            <w:vAlign w:val="top"/>
          </w:tcPr>
          <w:p>
            <w:pPr>
              <w:jc w:val="center"/>
            </w:pPr>
            <w:r>
              <w:rPr>
                <w:sz w:val="24"/>
              </w:rPr>
              <w:t>250.90</w:t>
            </w:r>
          </w:p>
        </w:tc>
      </w:tr>
    </w:tbl>
    <w:p>
      <w:pPr>
        <w:ind w:firstLine="440"/>
      </w:pPr>
    </w:p>
    <w:p/>
    <w:p>
      <w:pPr>
        <w:ind w:firstLine="480"/>
      </w:pPr>
    </w:p>
    <w:p/>
    <w:p>
      <w:r>
        <w:rPr/>
        <w:t>采购包1（大岗镇2024年登革热防控及除四害服务单位项目）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自合同签订生效之日起一年</w:t>
            </w:r>
          </w:p>
        </w:tc>
      </w:tr>
      <w:tr>
        <w:tc>
          <w:tcPr>
            <w:tcW w:type="dxa" w:w="4153"/>
          </w:tcPr>
          <w:p>
            <w:r>
              <w:rPr/>
              <w:t>标的提供的地点</w:t>
            </w:r>
          </w:p>
        </w:tc>
        <w:tc>
          <w:tcPr>
            <w:tcW w:type="dxa" w:w="4153"/>
          </w:tcPr>
          <w:p/>
          <w:p>
            <w:r>
              <w:rPr/>
              <w:t>采购人指定地点（如有变化另行确定）</w:t>
            </w:r>
          </w:p>
        </w:tc>
      </w:tr>
      <w:tr>
        <w:tc>
          <w:tcPr>
            <w:tcW w:type="dxa" w:w="4153"/>
          </w:tcPr>
          <w:p>
            <w:r>
              <w:rPr/>
              <w:t>付款方式</w:t>
            </w:r>
          </w:p>
        </w:tc>
        <w:tc>
          <w:tcPr>
            <w:tcW w:type="dxa" w:w="4153"/>
          </w:tcPr>
          <w:p/>
          <w:p/>
          <w:p>
            <w:r>
              <w:rPr/>
              <w:t>1期：支付比例100%,1.采购人分四期支付服务费，每一期服务时间完结后结算一次服务费用，每期按实际发生的工作次数进行按实结算，累计结算总额以合同总价为限。第一期服务时间为合同期生效之日起至2024年4月，第二期服务时间为2024年5月至2024年7月，第三期服务时间为2024年8月至2024年9月，第四期服务时间为2024年10月至合同期满。同时将按照合同约定的考核标准进行结算。 2.若发生以下情况还需在服务费中作相应的扣减：采购人被省、市、区抽检蚊媒密度监测结果为高度风险；采购人被省、市、区抽检病媒生物监测（即蚊、蝇、鼠、蟑螂）综合评价结果为不达标；发生本地登革热；私自使用违禁药品或无效药物的，经采购人提出整改要求仍未达标等情况；采购文件或合同列明的其他情形。本项目计量支付或结算时，必须通过采购人签字确认。 3.采购人以转账或支票形式结算服务费。 4.中标人凭以下有效文件与采购人结算： （1）合同及中标通知书； （2）相关的验收合格报告； （3）中标人开具的完税后合法足额发票； （4）其它结算资料以镇财政办公室要求为准（如有）； （5）第三方评审报告（病媒生物密度控制水平评估报告）。 中标人在每期结算交齐以上结算资料有效文件，且经采购人确认无误后，采购人在30个工作日内向中标人支付该期服务费用。 5.因采购人使用的是财政资金，采购人在规定的付款时间向政府财政部门提出办理财政支付申请手续的时间（不含政府财政支付部门审核的时间）即视为采购人已经按期支付，因政府财政部门审核支付导致实际付款迟延的，采购人不须承担逾期付款违约责任，中标人不得因费用拨付滞后而影响正常工作开展和工作质量。</w:t>
            </w:r>
          </w:p>
        </w:tc>
      </w:tr>
      <w:tr>
        <w:tc>
          <w:tcPr>
            <w:tcW w:type="dxa" w:w="4153"/>
          </w:tcPr>
          <w:p>
            <w:r>
              <w:rPr/>
              <w:t>验收要求</w:t>
            </w:r>
          </w:p>
        </w:tc>
        <w:tc>
          <w:tcPr>
            <w:tcW w:type="dxa" w:w="4153"/>
          </w:tcPr>
          <w:p/>
          <w:p/>
          <w:p/>
          <w:p>
            <w:r>
              <w:rPr/>
              <w:t>1期：（1）验收应在采购人和中标人双方共同参加下进行，依据招标文件及本项目的有关规定制定的方案进行验收，并按国家有关规定、规范进行。（2）服务期间，采购人每期根据考核评分标准的要求进行考核。（3）对验收不合格的部分，中标人应在采购人规定时间内及时整改完善直至合格。</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报价要求，★报价要求，投标人须在分项报价表中报出“大型车载机及背负式成蚊消杀服务”和“灭鼠灭蟑灭蝇消杀服务”价格，且不能超过预算费用，否则视为无效投标。 报价内容，本次采购投标报价采用投标总报价,投标总报价超出采购预算金额将视为无效投标。投标总报价包括（但不限于）：消杀器械、人工费用、交通成本、人员管理、人员工资（加班费、突发性作业费）、应急消杀、人员社会保险、人员住房公积金、绩效奖金、人员培训、招标代理服务费、税费等履行合同所有相关服务的所有费用，采购人不另行支付其他任何费用。 合同条款，详见合同条款。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其他城镇公共卫生服务</w:t>
            </w:r>
          </w:p>
        </w:tc>
        <w:tc>
          <w:tcPr>
            <w:tcW w:type="dxa" w:w="933"/>
          </w:tcPr>
          <w:p>
            <w:pPr>
              <w:jc w:val="left"/>
            </w:pPr>
            <w:r>
              <w:rPr/>
              <w:t>大岗镇2024年登革热防控及除四害服务单位项目</w:t>
            </w:r>
          </w:p>
        </w:tc>
        <w:tc>
          <w:tcPr>
            <w:tcW w:type="dxa" w:w="933"/>
          </w:tcPr>
          <w:p>
            <w:pPr>
              <w:jc w:val="left"/>
            </w:pPr>
            <w:r>
              <w:rPr/>
              <w:t>项</w:t>
            </w:r>
          </w:p>
        </w:tc>
        <w:tc>
          <w:tcPr>
            <w:tcW w:type="dxa" w:w="933"/>
          </w:tcPr>
          <w:p>
            <w:pPr>
              <w:jc w:val="right"/>
            </w:pPr>
            <w:r>
              <w:rPr/>
              <w:t>1.00</w:t>
            </w:r>
          </w:p>
        </w:tc>
        <w:tc>
          <w:tcPr>
            <w:tcW w:type="dxa" w:w="933"/>
          </w:tcPr>
          <w:p>
            <w:pPr>
              <w:jc w:val="right"/>
            </w:pPr>
            <w:r>
              <w:rPr/>
              <w:t>2,509,000.00</w:t>
            </w:r>
          </w:p>
        </w:tc>
        <w:tc>
          <w:tcPr>
            <w:tcW w:type="dxa" w:w="933"/>
          </w:tcPr>
          <w:p>
            <w:pPr>
              <w:jc w:val="right"/>
            </w:pPr>
            <w:r>
              <w:rPr/>
              <w:t>2,509,000.00</w:t>
            </w:r>
          </w:p>
        </w:tc>
        <w:tc>
          <w:tcPr>
            <w:tcW w:type="dxa" w:w="840"/>
          </w:tcPr>
          <w:p>
            <w:r>
              <w:rPr/>
              <w:t>租赁和商务服务业</w:t>
            </w:r>
          </w:p>
        </w:tc>
        <w:tc>
          <w:tcPr>
            <w:tcW w:type="dxa" w:w="933"/>
          </w:tcPr>
          <w:p>
            <w:r>
              <w:rPr/>
              <w:t>详见附表一</w:t>
            </w:r>
          </w:p>
        </w:tc>
      </w:tr>
    </w:tbl>
    <w:p/>
    <w:p>
      <w:r>
        <w:rPr>
          <w:b/>
        </w:rPr>
        <w:t>附表</w:t>
      </w:r>
      <w:r>
        <w:rPr>
          <w:b/>
        </w:rPr>
        <w:t>一</w:t>
      </w:r>
      <w:r>
        <w:rPr>
          <w:b/>
        </w:rPr>
        <w:t>：</w:t>
      </w:r>
      <w:r>
        <w:rPr>
          <w:b/>
        </w:rPr>
        <w:t>大岗镇2024年登革热防控及除四害服务单位项目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82"/>
            </w:pPr>
            <w:r>
              <w:rPr>
                <w:b/>
                <w:sz w:val="22"/>
              </w:rPr>
              <w:t>一、服务内容</w:t>
            </w:r>
          </w:p>
          <w:p>
            <w:pPr>
              <w:ind w:firstLine="480"/>
            </w:pPr>
            <w:r>
              <w:rPr>
                <w:sz w:val="22"/>
              </w:rPr>
              <w:t>（一）大型车载机及背负式成蚊消杀服务</w:t>
            </w:r>
          </w:p>
          <w:p>
            <w:pPr>
              <w:ind w:firstLine="480"/>
            </w:pPr>
            <w:r>
              <w:rPr>
                <w:sz w:val="22"/>
              </w:rPr>
              <w:t>1.</w:t>
            </w:r>
            <w:r>
              <w:rPr>
                <w:sz w:val="22"/>
              </w:rPr>
              <w:t>对</w:t>
            </w:r>
            <w:r>
              <w:rPr>
                <w:sz w:val="22"/>
              </w:rPr>
              <w:t>31</w:t>
            </w:r>
            <w:r>
              <w:rPr>
                <w:sz w:val="22"/>
              </w:rPr>
              <w:t>个村（社区）、</w:t>
            </w:r>
            <w:r>
              <w:rPr>
                <w:sz w:val="22"/>
              </w:rPr>
              <w:t>14</w:t>
            </w:r>
            <w:r>
              <w:rPr>
                <w:sz w:val="22"/>
              </w:rPr>
              <w:t>所中（小）学校、</w:t>
            </w:r>
            <w:r>
              <w:rPr>
                <w:sz w:val="22"/>
              </w:rPr>
              <w:t>11</w:t>
            </w:r>
            <w:r>
              <w:rPr>
                <w:sz w:val="22"/>
              </w:rPr>
              <w:t>所公办幼儿园、潭洲公园、大岗公园、灵山公园、十八罗汉山森林公园开展日常外环境成蚊消杀，消杀服务面积约</w:t>
            </w:r>
            <w:r>
              <w:rPr>
                <w:sz w:val="22"/>
              </w:rPr>
              <w:t>327.86</w:t>
            </w:r>
            <w:r>
              <w:rPr>
                <w:sz w:val="22"/>
              </w:rPr>
              <w:t>万平方米，全年共消杀</w:t>
            </w:r>
            <w:r>
              <w:rPr>
                <w:sz w:val="22"/>
              </w:rPr>
              <w:t>28</w:t>
            </w:r>
            <w:r>
              <w:rPr>
                <w:sz w:val="22"/>
              </w:rPr>
              <w:t>次。如服务期内有新增公办学校、幼儿园，则纳入服务范围，不另行支付其他服务费。</w:t>
            </w:r>
          </w:p>
          <w:p>
            <w:pPr>
              <w:ind w:firstLine="480"/>
            </w:pPr>
            <w:r>
              <w:rPr>
                <w:sz w:val="22"/>
              </w:rPr>
              <w:t>2.</w:t>
            </w:r>
            <w:r>
              <w:rPr>
                <w:sz w:val="22"/>
              </w:rPr>
              <w:t>安排足够人员对车载消杀进行补充。</w:t>
            </w:r>
          </w:p>
          <w:p>
            <w:pPr>
              <w:ind w:firstLine="480"/>
            </w:pPr>
            <w:r>
              <w:rPr>
                <w:sz w:val="22"/>
              </w:rPr>
              <w:t>（二）灭鼠灭蟑灭蝇工作服务对豪岗社区 、二湾社区、镇南社区、潭洲社区、灵山社区、江滘社区、东流村、北流村、客家村开展全覆盖灭鼠灭蟑灭蝇工作，消杀服务面积</w:t>
            </w:r>
            <w:r>
              <w:rPr>
                <w:sz w:val="22"/>
              </w:rPr>
              <w:t>71.20</w:t>
            </w:r>
            <w:r>
              <w:rPr>
                <w:sz w:val="22"/>
              </w:rPr>
              <w:t>万平方米，全年共消杀</w:t>
            </w:r>
            <w:r>
              <w:rPr>
                <w:sz w:val="22"/>
              </w:rPr>
              <w:t>28</w:t>
            </w:r>
            <w:r>
              <w:rPr>
                <w:sz w:val="22"/>
              </w:rPr>
              <w:t>次。</w:t>
            </w:r>
          </w:p>
          <w:tbl>
            <w:tblPr>
              <w:tblBorders>
                <w:top w:val="none" w:color="000000" w:sz="4"/>
                <w:left w:val="none" w:color="000000" w:sz="4"/>
                <w:bottom w:val="none" w:color="000000" w:sz="4"/>
                <w:right w:val="none" w:color="000000" w:sz="4"/>
                <w:insideH w:val="none"/>
                <w:insideV w:val="none"/>
              </w:tblBorders>
            </w:tblPr>
            <w:tblGrid>
              <w:gridCol w:w="311"/>
              <w:gridCol w:w="995"/>
              <w:gridCol w:w="311"/>
              <w:gridCol w:w="311"/>
              <w:gridCol w:w="311"/>
              <w:gridCol w:w="311"/>
              <w:gridCol w:w="311"/>
              <w:gridCol w:w="311"/>
              <w:gridCol w:w="311"/>
              <w:gridCol w:w="311"/>
              <w:gridCol w:w="311"/>
              <w:gridCol w:w="373"/>
              <w:gridCol w:w="373"/>
              <w:gridCol w:w="373"/>
              <w:gridCol w:w="373"/>
            </w:tblGrid>
            <w:tr>
              <w:tc>
                <w:tcPr>
                  <w:tcW w:type="dxa" w:w="311"/>
                  <w:vMerge w:val="restart"/>
                  <w:tcBorders>
                    <w:top w:val="single" w:color="000000" w:sz="4"/>
                    <w:left w:val="single" w:color="000000" w:sz="4"/>
                    <w:bottom w:val="single" w:color="000000" w:sz="4"/>
                    <w:right w:val="single" w:color="000000" w:sz="4"/>
                  </w:tcBorders>
                </w:tcPr>
                <w:p>
                  <w:pPr>
                    <w:jc w:val="center"/>
                  </w:pPr>
                  <w:r>
                    <w:rPr>
                      <w:sz w:val="22"/>
                    </w:rPr>
                    <w:t>序号</w:t>
                  </w:r>
                </w:p>
              </w:tc>
              <w:tc>
                <w:tcPr>
                  <w:tcW w:type="dxa" w:w="995"/>
                  <w:vMerge w:val="restart"/>
                  <w:tcBorders>
                    <w:top w:val="single" w:color="000000" w:sz="4"/>
                    <w:left w:val="none" w:color="000000" w:sz="4"/>
                    <w:bottom w:val="single" w:color="000000" w:sz="4"/>
                    <w:right w:val="single" w:color="000000" w:sz="4"/>
                  </w:tcBorders>
                </w:tcPr>
                <w:p>
                  <w:pPr>
                    <w:jc w:val="center"/>
                  </w:pPr>
                  <w:r>
                    <w:rPr>
                      <w:sz w:val="22"/>
                    </w:rPr>
                    <w:t>项目</w:t>
                  </w:r>
                </w:p>
              </w:tc>
              <w:tc>
                <w:tcPr>
                  <w:tcW w:type="dxa" w:w="3918"/>
                  <w:gridSpan w:val="12"/>
                  <w:tcBorders>
                    <w:top w:val="single" w:color="000000" w:sz="4"/>
                    <w:left w:val="none" w:color="000000" w:sz="4"/>
                    <w:bottom w:val="single" w:color="000000" w:sz="4"/>
                    <w:right w:val="single" w:color="000000" w:sz="4"/>
                  </w:tcBorders>
                </w:tcPr>
                <w:p>
                  <w:pPr>
                    <w:jc w:val="center"/>
                  </w:pPr>
                  <w:r>
                    <w:rPr>
                      <w:sz w:val="22"/>
                    </w:rPr>
                    <w:t>消杀计划</w:t>
                  </w:r>
                </w:p>
              </w:tc>
              <w:tc>
                <w:tcPr>
                  <w:tcW w:type="dxa" w:w="373"/>
                  <w:vMerge w:val="restart"/>
                  <w:tcBorders>
                    <w:top w:val="single" w:color="000000" w:sz="4"/>
                    <w:left w:val="none" w:color="000000" w:sz="4"/>
                    <w:bottom w:val="single" w:color="000000" w:sz="4"/>
                    <w:right w:val="single" w:color="000000" w:sz="4"/>
                  </w:tcBorders>
                </w:tcPr>
                <w:p>
                  <w:pPr>
                    <w:jc w:val="center"/>
                  </w:pPr>
                  <w:r>
                    <w:rPr>
                      <w:sz w:val="22"/>
                    </w:rPr>
                    <w:t>合计</w:t>
                  </w:r>
                </w:p>
              </w:tc>
            </w:tr>
            <w:tr>
              <w:tc>
                <w:tcPr>
                  <w:tcW w:type="dxa" w:w="311"/>
                  <w:vMerge/>
                  <w:tcBorders>
                    <w:top w:val="single" w:color="000000" w:sz="4"/>
                    <w:left w:val="single" w:color="000000" w:sz="4"/>
                    <w:bottom w:val="single" w:color="000000" w:sz="4"/>
                    <w:right w:val="single" w:color="000000" w:sz="4"/>
                  </w:tcBorders>
                </w:tcPr>
                <w:p/>
              </w:tc>
              <w:tc>
                <w:tcPr>
                  <w:tcW w:type="dxa" w:w="995"/>
                  <w:vMerge/>
                  <w:tcBorders>
                    <w:top w:val="single" w:color="000000" w:sz="4"/>
                    <w:left w:val="none" w:color="000000" w:sz="4"/>
                    <w:bottom w:val="single" w:color="000000" w:sz="4"/>
                    <w:right w:val="single" w:color="000000" w:sz="4"/>
                  </w:tcBorders>
                </w:tcPr>
                <w:p/>
              </w:tc>
              <w:tc>
                <w:tcPr>
                  <w:tcW w:type="dxa" w:w="311"/>
                  <w:tcBorders>
                    <w:top w:val="none" w:color="000000" w:sz="4"/>
                    <w:left w:val="none" w:color="000000" w:sz="4"/>
                    <w:bottom w:val="single" w:color="000000" w:sz="4"/>
                    <w:right w:val="single" w:color="000000" w:sz="4"/>
                  </w:tcBorders>
                </w:tcPr>
                <w:p>
                  <w:pPr>
                    <w:jc w:val="center"/>
                  </w:pPr>
                  <w:r>
                    <w:rPr>
                      <w:sz w:val="22"/>
                    </w:rPr>
                    <w:t>1</w:t>
                  </w:r>
                  <w:r>
                    <w:rPr>
                      <w:sz w:val="22"/>
                    </w:rPr>
                    <w:t>月</w:t>
                  </w:r>
                </w:p>
              </w:tc>
              <w:tc>
                <w:tcPr>
                  <w:tcW w:type="dxa" w:w="311"/>
                  <w:tcBorders>
                    <w:top w:val="none" w:color="000000" w:sz="4"/>
                    <w:left w:val="none" w:color="000000" w:sz="4"/>
                    <w:bottom w:val="single" w:color="000000" w:sz="4"/>
                    <w:right w:val="single" w:color="000000" w:sz="4"/>
                  </w:tcBorders>
                </w:tcPr>
                <w:p>
                  <w:pPr>
                    <w:jc w:val="center"/>
                  </w:pPr>
                  <w:r>
                    <w:rPr>
                      <w:sz w:val="22"/>
                    </w:rPr>
                    <w:t>2</w:t>
                  </w:r>
                  <w:r>
                    <w:rPr>
                      <w:sz w:val="22"/>
                    </w:rPr>
                    <w:t>月</w:t>
                  </w:r>
                </w:p>
              </w:tc>
              <w:tc>
                <w:tcPr>
                  <w:tcW w:type="dxa" w:w="311"/>
                  <w:tcBorders>
                    <w:top w:val="none" w:color="000000" w:sz="4"/>
                    <w:left w:val="none" w:color="000000" w:sz="4"/>
                    <w:bottom w:val="single" w:color="000000" w:sz="4"/>
                    <w:right w:val="single" w:color="000000" w:sz="4"/>
                  </w:tcBorders>
                </w:tcPr>
                <w:p>
                  <w:pPr>
                    <w:jc w:val="center"/>
                  </w:pPr>
                  <w:r>
                    <w:rPr>
                      <w:sz w:val="22"/>
                    </w:rPr>
                    <w:t>3</w:t>
                  </w:r>
                  <w:r>
                    <w:rPr>
                      <w:sz w:val="22"/>
                    </w:rPr>
                    <w:t>月</w:t>
                  </w:r>
                </w:p>
              </w:tc>
              <w:tc>
                <w:tcPr>
                  <w:tcW w:type="dxa" w:w="311"/>
                  <w:tcBorders>
                    <w:top w:val="none" w:color="000000" w:sz="4"/>
                    <w:left w:val="none" w:color="000000" w:sz="4"/>
                    <w:bottom w:val="single" w:color="000000" w:sz="4"/>
                    <w:right w:val="single" w:color="000000" w:sz="4"/>
                  </w:tcBorders>
                </w:tcPr>
                <w:p>
                  <w:pPr>
                    <w:jc w:val="center"/>
                  </w:pPr>
                  <w:r>
                    <w:rPr>
                      <w:sz w:val="22"/>
                    </w:rPr>
                    <w:t>4</w:t>
                  </w:r>
                  <w:r>
                    <w:rPr>
                      <w:sz w:val="22"/>
                    </w:rPr>
                    <w:t>月</w:t>
                  </w:r>
                </w:p>
              </w:tc>
              <w:tc>
                <w:tcPr>
                  <w:tcW w:type="dxa" w:w="311"/>
                  <w:tcBorders>
                    <w:top w:val="none" w:color="000000" w:sz="4"/>
                    <w:left w:val="none" w:color="000000" w:sz="4"/>
                    <w:bottom w:val="single" w:color="000000" w:sz="4"/>
                    <w:right w:val="single" w:color="000000" w:sz="4"/>
                  </w:tcBorders>
                </w:tcPr>
                <w:p>
                  <w:pPr>
                    <w:jc w:val="center"/>
                  </w:pPr>
                  <w:r>
                    <w:rPr>
                      <w:sz w:val="22"/>
                    </w:rPr>
                    <w:t>5</w:t>
                  </w:r>
                  <w:r>
                    <w:rPr>
                      <w:sz w:val="22"/>
                    </w:rPr>
                    <w:t>月</w:t>
                  </w:r>
                </w:p>
              </w:tc>
              <w:tc>
                <w:tcPr>
                  <w:tcW w:type="dxa" w:w="311"/>
                  <w:tcBorders>
                    <w:top w:val="none" w:color="000000" w:sz="4"/>
                    <w:left w:val="none" w:color="000000" w:sz="4"/>
                    <w:bottom w:val="single" w:color="000000" w:sz="4"/>
                    <w:right w:val="single" w:color="000000" w:sz="4"/>
                  </w:tcBorders>
                </w:tcPr>
                <w:p>
                  <w:pPr>
                    <w:jc w:val="center"/>
                  </w:pPr>
                  <w:r>
                    <w:rPr>
                      <w:sz w:val="22"/>
                    </w:rPr>
                    <w:t>6</w:t>
                  </w:r>
                  <w:r>
                    <w:rPr>
                      <w:sz w:val="22"/>
                    </w:rPr>
                    <w:t>月</w:t>
                  </w:r>
                </w:p>
              </w:tc>
              <w:tc>
                <w:tcPr>
                  <w:tcW w:type="dxa" w:w="311"/>
                  <w:tcBorders>
                    <w:top w:val="none" w:color="000000" w:sz="4"/>
                    <w:left w:val="none" w:color="000000" w:sz="4"/>
                    <w:bottom w:val="single" w:color="000000" w:sz="4"/>
                    <w:right w:val="single" w:color="000000" w:sz="4"/>
                  </w:tcBorders>
                </w:tcPr>
                <w:p>
                  <w:pPr>
                    <w:jc w:val="center"/>
                  </w:pPr>
                  <w:r>
                    <w:rPr>
                      <w:sz w:val="22"/>
                    </w:rPr>
                    <w:t>7</w:t>
                  </w:r>
                  <w:r>
                    <w:rPr>
                      <w:sz w:val="22"/>
                    </w:rPr>
                    <w:t>月</w:t>
                  </w:r>
                </w:p>
              </w:tc>
              <w:tc>
                <w:tcPr>
                  <w:tcW w:type="dxa" w:w="311"/>
                  <w:tcBorders>
                    <w:top w:val="none" w:color="000000" w:sz="4"/>
                    <w:left w:val="none" w:color="000000" w:sz="4"/>
                    <w:bottom w:val="single" w:color="000000" w:sz="4"/>
                    <w:right w:val="single" w:color="000000" w:sz="4"/>
                  </w:tcBorders>
                </w:tcPr>
                <w:p>
                  <w:pPr>
                    <w:jc w:val="center"/>
                  </w:pPr>
                  <w:r>
                    <w:rPr>
                      <w:sz w:val="22"/>
                    </w:rPr>
                    <w:t>8</w:t>
                  </w:r>
                  <w:r>
                    <w:rPr>
                      <w:sz w:val="22"/>
                    </w:rPr>
                    <w:t>月</w:t>
                  </w:r>
                </w:p>
              </w:tc>
              <w:tc>
                <w:tcPr>
                  <w:tcW w:type="dxa" w:w="311"/>
                  <w:tcBorders>
                    <w:top w:val="none" w:color="000000" w:sz="4"/>
                    <w:left w:val="none" w:color="000000" w:sz="4"/>
                    <w:bottom w:val="single" w:color="000000" w:sz="4"/>
                    <w:right w:val="single" w:color="000000" w:sz="4"/>
                  </w:tcBorders>
                </w:tcPr>
                <w:p>
                  <w:pPr>
                    <w:jc w:val="center"/>
                  </w:pPr>
                  <w:r>
                    <w:rPr>
                      <w:sz w:val="22"/>
                    </w:rPr>
                    <w:t>9</w:t>
                  </w:r>
                  <w:r>
                    <w:rPr>
                      <w:sz w:val="22"/>
                    </w:rPr>
                    <w:t>月</w:t>
                  </w:r>
                </w:p>
              </w:tc>
              <w:tc>
                <w:tcPr>
                  <w:tcW w:type="dxa" w:w="373"/>
                  <w:tcBorders>
                    <w:top w:val="none" w:color="000000" w:sz="4"/>
                    <w:left w:val="none" w:color="000000" w:sz="4"/>
                    <w:bottom w:val="single" w:color="000000" w:sz="4"/>
                    <w:right w:val="single" w:color="000000" w:sz="4"/>
                  </w:tcBorders>
                </w:tcPr>
                <w:p>
                  <w:pPr>
                    <w:jc w:val="center"/>
                  </w:pPr>
                  <w:r>
                    <w:rPr>
                      <w:sz w:val="22"/>
                    </w:rPr>
                    <w:t>10</w:t>
                  </w:r>
                  <w:r>
                    <w:rPr>
                      <w:sz w:val="22"/>
                    </w:rPr>
                    <w:t>月</w:t>
                  </w:r>
                </w:p>
              </w:tc>
              <w:tc>
                <w:tcPr>
                  <w:tcW w:type="dxa" w:w="373"/>
                  <w:tcBorders>
                    <w:top w:val="none" w:color="000000" w:sz="4"/>
                    <w:left w:val="none" w:color="000000" w:sz="4"/>
                    <w:bottom w:val="single" w:color="000000" w:sz="4"/>
                    <w:right w:val="single" w:color="000000" w:sz="4"/>
                  </w:tcBorders>
                </w:tcPr>
                <w:p>
                  <w:pPr>
                    <w:jc w:val="center"/>
                  </w:pPr>
                  <w:r>
                    <w:rPr>
                      <w:sz w:val="22"/>
                    </w:rPr>
                    <w:t>11</w:t>
                  </w:r>
                  <w:r>
                    <w:rPr>
                      <w:sz w:val="22"/>
                    </w:rPr>
                    <w:t>月</w:t>
                  </w:r>
                </w:p>
              </w:tc>
              <w:tc>
                <w:tcPr>
                  <w:tcW w:type="dxa" w:w="373"/>
                  <w:tcBorders>
                    <w:top w:val="none" w:color="000000" w:sz="4"/>
                    <w:left w:val="none" w:color="000000" w:sz="4"/>
                    <w:bottom w:val="single" w:color="000000" w:sz="4"/>
                    <w:right w:val="single" w:color="000000" w:sz="4"/>
                  </w:tcBorders>
                </w:tcPr>
                <w:p>
                  <w:pPr>
                    <w:jc w:val="center"/>
                  </w:pPr>
                  <w:r>
                    <w:rPr>
                      <w:sz w:val="22"/>
                    </w:rPr>
                    <w:t>12</w:t>
                  </w:r>
                  <w:r>
                    <w:rPr>
                      <w:sz w:val="22"/>
                    </w:rPr>
                    <w:t>月</w:t>
                  </w:r>
                </w:p>
              </w:tc>
            </w:tr>
            <w:tr>
              <w:tc>
                <w:tcPr>
                  <w:tcW w:type="dxa" w:w="311"/>
                  <w:tcBorders>
                    <w:top w:val="none" w:color="000000" w:sz="4"/>
                    <w:left w:val="single" w:color="000000" w:sz="4"/>
                    <w:bottom w:val="single" w:color="000000" w:sz="4"/>
                    <w:right w:val="single" w:color="000000" w:sz="4"/>
                  </w:tcBorders>
                </w:tcPr>
                <w:p>
                  <w:pPr>
                    <w:jc w:val="center"/>
                  </w:pPr>
                  <w:r>
                    <w:rPr>
                      <w:sz w:val="22"/>
                    </w:rPr>
                    <w:t>1</w:t>
                  </w:r>
                </w:p>
              </w:tc>
              <w:tc>
                <w:tcPr>
                  <w:tcW w:type="dxa" w:w="995"/>
                  <w:tcBorders>
                    <w:top w:val="none" w:color="000000" w:sz="4"/>
                    <w:left w:val="none" w:color="000000" w:sz="4"/>
                    <w:bottom w:val="single" w:color="000000" w:sz="4"/>
                    <w:right w:val="single" w:color="000000" w:sz="4"/>
                  </w:tcBorders>
                </w:tcPr>
                <w:p>
                  <w:pPr>
                    <w:jc w:val="center"/>
                  </w:pPr>
                  <w:r>
                    <w:rPr>
                      <w:sz w:val="22"/>
                    </w:rPr>
                    <w:t>大型车载机及背负式成蚊消杀服务</w:t>
                  </w:r>
                </w:p>
              </w:tc>
              <w:tc>
                <w:tcPr>
                  <w:tcW w:type="dxa" w:w="311"/>
                  <w:tcBorders>
                    <w:top w:val="none" w:color="000000" w:sz="4"/>
                    <w:left w:val="none" w:color="000000" w:sz="4"/>
                    <w:bottom w:val="single" w:color="000000" w:sz="4"/>
                    <w:right w:val="single" w:color="000000" w:sz="4"/>
                  </w:tcBorders>
                </w:tcPr>
                <w:p>
                  <w:pPr>
                    <w:jc w:val="center"/>
                  </w:pPr>
                  <w:r>
                    <w:rPr>
                      <w:sz w:val="22"/>
                    </w:rPr>
                    <w:t>1</w:t>
                  </w:r>
                  <w:r>
                    <w:rPr>
                      <w:sz w:val="22"/>
                    </w:rPr>
                    <w:t>次</w:t>
                  </w:r>
                </w:p>
              </w:tc>
              <w:tc>
                <w:tcPr>
                  <w:tcW w:type="dxa" w:w="311"/>
                  <w:tcBorders>
                    <w:top w:val="none" w:color="000000" w:sz="4"/>
                    <w:left w:val="none" w:color="000000" w:sz="4"/>
                    <w:bottom w:val="single" w:color="000000" w:sz="4"/>
                    <w:right w:val="single" w:color="000000" w:sz="4"/>
                  </w:tcBorders>
                </w:tcPr>
                <w:p>
                  <w:pPr>
                    <w:jc w:val="center"/>
                  </w:pPr>
                  <w:r>
                    <w:rPr>
                      <w:sz w:val="22"/>
                    </w:rPr>
                    <w:t>1</w:t>
                  </w:r>
                  <w:r>
                    <w:rPr>
                      <w:sz w:val="22"/>
                    </w:rPr>
                    <w:t>次</w:t>
                  </w:r>
                </w:p>
              </w:tc>
              <w:tc>
                <w:tcPr>
                  <w:tcW w:type="dxa" w:w="31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31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311"/>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311"/>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311"/>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311"/>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311"/>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373"/>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373"/>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373"/>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373"/>
                  <w:tcBorders>
                    <w:top w:val="none" w:color="000000" w:sz="4"/>
                    <w:left w:val="none" w:color="000000" w:sz="4"/>
                    <w:bottom w:val="single" w:color="000000" w:sz="4"/>
                    <w:right w:val="single" w:color="000000" w:sz="4"/>
                  </w:tcBorders>
                </w:tcPr>
                <w:p>
                  <w:pPr>
                    <w:jc w:val="center"/>
                  </w:pPr>
                  <w:r>
                    <w:rPr>
                      <w:sz w:val="22"/>
                    </w:rPr>
                    <w:t>28</w:t>
                  </w:r>
                  <w:r>
                    <w:rPr>
                      <w:sz w:val="22"/>
                    </w:rPr>
                    <w:t>次</w:t>
                  </w:r>
                </w:p>
              </w:tc>
            </w:tr>
            <w:tr>
              <w:tc>
                <w:tcPr>
                  <w:tcW w:type="dxa" w:w="311"/>
                  <w:tcBorders>
                    <w:top w:val="none" w:color="000000" w:sz="4"/>
                    <w:left w:val="single" w:color="000000" w:sz="4"/>
                    <w:bottom w:val="single" w:color="000000" w:sz="4"/>
                    <w:right w:val="single" w:color="000000" w:sz="4"/>
                  </w:tcBorders>
                </w:tcPr>
                <w:p>
                  <w:pPr>
                    <w:jc w:val="center"/>
                  </w:pPr>
                  <w:r>
                    <w:rPr>
                      <w:sz w:val="22"/>
                    </w:rPr>
                    <w:t>2</w:t>
                  </w:r>
                </w:p>
              </w:tc>
              <w:tc>
                <w:tcPr>
                  <w:tcW w:type="dxa" w:w="995"/>
                  <w:tcBorders>
                    <w:top w:val="none" w:color="000000" w:sz="4"/>
                    <w:left w:val="none" w:color="000000" w:sz="4"/>
                    <w:bottom w:val="single" w:color="000000" w:sz="4"/>
                    <w:right w:val="single" w:color="000000" w:sz="4"/>
                  </w:tcBorders>
                </w:tcPr>
                <w:p>
                  <w:pPr>
                    <w:jc w:val="center"/>
                  </w:pPr>
                  <w:r>
                    <w:rPr>
                      <w:sz w:val="22"/>
                    </w:rPr>
                    <w:t>灭鼠灭蟑灭蝇工作服务</w:t>
                  </w:r>
                </w:p>
              </w:tc>
              <w:tc>
                <w:tcPr>
                  <w:tcW w:type="dxa" w:w="311"/>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31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31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31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31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311"/>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31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31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31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373"/>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373"/>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373"/>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373"/>
                  <w:tcBorders>
                    <w:top w:val="none" w:color="000000" w:sz="4"/>
                    <w:left w:val="none" w:color="000000" w:sz="4"/>
                    <w:bottom w:val="single" w:color="000000" w:sz="4"/>
                    <w:right w:val="single" w:color="000000" w:sz="4"/>
                  </w:tcBorders>
                </w:tcPr>
                <w:p>
                  <w:pPr>
                    <w:jc w:val="center"/>
                  </w:pPr>
                  <w:r>
                    <w:rPr>
                      <w:sz w:val="22"/>
                    </w:rPr>
                    <w:t>28</w:t>
                  </w:r>
                  <w:r>
                    <w:rPr>
                      <w:sz w:val="22"/>
                    </w:rPr>
                    <w:t>次</w:t>
                  </w:r>
                </w:p>
              </w:tc>
            </w:tr>
          </w:tbl>
          <w:p>
            <w:r>
              <w:rPr>
                <w:sz w:val="22"/>
              </w:rPr>
              <w:t>每月消杀次数可根据天气、上级检查或其他原因，可按采购人要求调整，但合同期内总消杀次数不变。</w:t>
            </w:r>
          </w:p>
        </w:tc>
      </w:tr>
      <w:tr>
        <w:tc>
          <w:tcPr>
            <w:tcW w:type="dxa" w:w="2076"/>
          </w:tcPr>
          <w:p/>
        </w:tc>
        <w:tc>
          <w:tcPr>
            <w:tcW w:type="dxa" w:w="415"/>
          </w:tcPr>
          <w:p>
            <w:r>
              <w:rPr/>
              <w:t>2</w:t>
            </w:r>
          </w:p>
        </w:tc>
        <w:tc>
          <w:tcPr>
            <w:tcW w:type="dxa" w:w="5814"/>
          </w:tcPr>
          <w:p>
            <w:pPr>
              <w:ind w:firstLine="480"/>
            </w:pPr>
            <w:r>
              <w:rPr>
                <w:sz w:val="22"/>
              </w:rPr>
              <w:t>二、工作要求</w:t>
            </w:r>
          </w:p>
          <w:p>
            <w:pPr>
              <w:ind w:firstLine="480"/>
            </w:pPr>
            <w:r>
              <w:rPr>
                <w:sz w:val="22"/>
              </w:rPr>
              <w:t>1.</w:t>
            </w:r>
            <w:r>
              <w:rPr>
                <w:sz w:val="22"/>
              </w:rPr>
              <w:t>使用大型车载超低容量喷雾机对服务范围开展日常外环境成蚊消杀工作，需配置大型车载超低容量喷雾机</w:t>
            </w:r>
            <w:r>
              <w:rPr>
                <w:sz w:val="22"/>
              </w:rPr>
              <w:t>1</w:t>
            </w:r>
            <w:r>
              <w:rPr>
                <w:sz w:val="22"/>
              </w:rPr>
              <w:t>台或以上（同时配备相对应司机），如遇雨天或气温低于或等于</w:t>
            </w:r>
            <w:r>
              <w:rPr>
                <w:sz w:val="22"/>
              </w:rPr>
              <w:t>15</w:t>
            </w:r>
            <w:r>
              <w:rPr>
                <w:sz w:val="22"/>
              </w:rPr>
              <w:t>℃工作时间可顺延，中标人需严格保证器械和药物的专项专用。大型车载超低容量喷雾机参数：</w:t>
            </w:r>
          </w:p>
          <w:p>
            <w:pPr>
              <w:ind w:firstLine="480"/>
            </w:pPr>
            <w:r>
              <w:rPr>
                <w:sz w:val="22"/>
              </w:rPr>
              <w:t>15</w:t>
            </w:r>
            <w:r>
              <w:rPr>
                <w:sz w:val="22"/>
              </w:rPr>
              <w:t>匹马力以上；</w:t>
            </w:r>
          </w:p>
          <w:p>
            <w:pPr>
              <w:ind w:firstLine="480"/>
            </w:pPr>
            <w:r>
              <w:rPr>
                <w:sz w:val="22"/>
              </w:rPr>
              <w:t>超低容量输出量</w:t>
            </w:r>
            <w:r>
              <w:rPr>
                <w:sz w:val="22"/>
              </w:rPr>
              <w:t>5-50</w:t>
            </w:r>
            <w:r>
              <w:rPr>
                <w:sz w:val="22"/>
              </w:rPr>
              <w:t>公升</w:t>
            </w:r>
            <w:r>
              <w:rPr>
                <w:sz w:val="22"/>
              </w:rPr>
              <w:t>/</w:t>
            </w:r>
            <w:r>
              <w:rPr>
                <w:sz w:val="22"/>
              </w:rPr>
              <w:t>小时；</w:t>
            </w:r>
          </w:p>
          <w:p>
            <w:pPr>
              <w:ind w:firstLine="480"/>
            </w:pPr>
            <w:r>
              <w:rPr>
                <w:sz w:val="22"/>
              </w:rPr>
              <w:t>雾粒要求（</w:t>
            </w:r>
            <w:r>
              <w:rPr>
                <w:sz w:val="22"/>
              </w:rPr>
              <w:t>85%</w:t>
            </w:r>
            <w:r>
              <w:rPr>
                <w:sz w:val="22"/>
              </w:rPr>
              <w:t>） ＜</w:t>
            </w:r>
            <w:r>
              <w:rPr>
                <w:sz w:val="22"/>
              </w:rPr>
              <w:t>20</w:t>
            </w:r>
            <w:r>
              <w:rPr>
                <w:sz w:val="22"/>
              </w:rPr>
              <w:t>微米（雾粒直径）；</w:t>
            </w:r>
          </w:p>
          <w:p>
            <w:pPr>
              <w:ind w:firstLine="480"/>
            </w:pPr>
            <w:r>
              <w:rPr>
                <w:sz w:val="22"/>
              </w:rPr>
              <w:t>喷雾距离</w:t>
            </w:r>
            <w:r>
              <w:rPr>
                <w:sz w:val="22"/>
              </w:rPr>
              <w:t>100--200</w:t>
            </w:r>
            <w:r>
              <w:rPr>
                <w:sz w:val="22"/>
              </w:rPr>
              <w:t>米。</w:t>
            </w:r>
          </w:p>
          <w:p>
            <w:pPr>
              <w:ind w:firstLine="480"/>
            </w:pPr>
            <w:r>
              <w:rPr>
                <w:sz w:val="22"/>
              </w:rPr>
              <w:t>2.</w:t>
            </w:r>
            <w:r>
              <w:rPr>
                <w:sz w:val="22"/>
              </w:rPr>
              <w:t>中标人需安排专业消杀工作人员，在采购人规定的作业时间内，采用背负超低容量喷雾机、热烟雾机等对大型车载机无法消杀的区域进行人工背负消杀和补充。</w:t>
            </w:r>
          </w:p>
          <w:p>
            <w:pPr>
              <w:ind w:firstLine="480"/>
            </w:pPr>
            <w:r>
              <w:rPr>
                <w:sz w:val="22"/>
              </w:rPr>
              <w:t>3.</w:t>
            </w:r>
            <w:r>
              <w:rPr>
                <w:sz w:val="22"/>
              </w:rPr>
              <w:t>中标人需安排专业消杀工作人员，在采购人规定的作业时间内，每月对大岗镇内各农贸市场开展不少于</w:t>
            </w:r>
            <w:r>
              <w:rPr>
                <w:sz w:val="22"/>
              </w:rPr>
              <w:t>2</w:t>
            </w:r>
            <w:r>
              <w:rPr>
                <w:sz w:val="22"/>
              </w:rPr>
              <w:t>次的</w:t>
            </w:r>
            <w:r>
              <w:rPr>
                <w:sz w:val="22"/>
              </w:rPr>
              <w:t>“</w:t>
            </w:r>
            <w:r>
              <w:rPr>
                <w:sz w:val="22"/>
              </w:rPr>
              <w:t>四害</w:t>
            </w:r>
            <w:r>
              <w:rPr>
                <w:sz w:val="22"/>
              </w:rPr>
              <w:t>”</w:t>
            </w:r>
            <w:r>
              <w:rPr>
                <w:sz w:val="22"/>
              </w:rPr>
              <w:t>防制工作，每次消杀要在农贸市场当天休市后进行，保证市场</w:t>
            </w:r>
            <w:r>
              <w:rPr>
                <w:sz w:val="22"/>
              </w:rPr>
              <w:t>“</w:t>
            </w:r>
            <w:r>
              <w:rPr>
                <w:sz w:val="22"/>
              </w:rPr>
              <w:t>四害</w:t>
            </w:r>
            <w:r>
              <w:rPr>
                <w:sz w:val="22"/>
              </w:rPr>
              <w:t>”</w:t>
            </w:r>
            <w:r>
              <w:rPr>
                <w:sz w:val="22"/>
              </w:rPr>
              <w:t>防制工作达到国家病媒生物标准</w:t>
            </w:r>
            <w:r>
              <w:rPr>
                <w:sz w:val="22"/>
              </w:rPr>
              <w:t>C</w:t>
            </w:r>
            <w:r>
              <w:rPr>
                <w:sz w:val="22"/>
              </w:rPr>
              <w:t>级或以上。</w:t>
            </w:r>
          </w:p>
          <w:p>
            <w:pPr>
              <w:ind w:firstLine="480"/>
            </w:pPr>
            <w:r>
              <w:rPr>
                <w:sz w:val="22"/>
              </w:rPr>
              <w:t>4.</w:t>
            </w:r>
            <w:r>
              <w:rPr>
                <w:sz w:val="22"/>
              </w:rPr>
              <w:t>每次灭蝇灭蟑灭鼠服务、每次消杀行动需安排足够的专业消杀工作人员，每次消杀时间为期</w:t>
            </w:r>
            <w:r>
              <w:rPr>
                <w:sz w:val="22"/>
              </w:rPr>
              <w:t>4</w:t>
            </w:r>
            <w:r>
              <w:rPr>
                <w:sz w:val="22"/>
              </w:rPr>
              <w:t>天，如遇雨天工作时间可顺延，作业期间可采用热烟雾机、常量喷雾器等器械，中标人需严格保证器械和药物的专项专用。</w:t>
            </w:r>
          </w:p>
          <w:p>
            <w:pPr>
              <w:ind w:firstLine="480"/>
            </w:pPr>
            <w:r>
              <w:rPr>
                <w:sz w:val="22"/>
              </w:rPr>
              <w:t>5.</w:t>
            </w:r>
            <w:r>
              <w:rPr>
                <w:sz w:val="22"/>
              </w:rPr>
              <w:t>每月安排足够的工作人员，在采购人规定的作业时间内，对</w:t>
            </w:r>
            <w:r>
              <w:rPr>
                <w:sz w:val="22"/>
              </w:rPr>
              <w:t>31</w:t>
            </w:r>
            <w:r>
              <w:rPr>
                <w:sz w:val="22"/>
              </w:rPr>
              <w:t>个村（社区）开展布雷图监测，每月每村（社区）各检查</w:t>
            </w:r>
            <w:r>
              <w:rPr>
                <w:sz w:val="22"/>
              </w:rPr>
              <w:t>100</w:t>
            </w:r>
            <w:r>
              <w:rPr>
                <w:sz w:val="22"/>
              </w:rPr>
              <w:t>户，每月共</w:t>
            </w:r>
            <w:r>
              <w:rPr>
                <w:sz w:val="22"/>
              </w:rPr>
              <w:t>3100</w:t>
            </w:r>
            <w:r>
              <w:rPr>
                <w:sz w:val="22"/>
              </w:rPr>
              <w:t>户。中标人需每月将各村（社区）的蚊媒孳生地问题图片和布雷图指数低度风险以上的问题图片形成督办函提交至采购人，同时负责处理在蚊媒监测和控制过程中的存在问题。</w:t>
            </w:r>
          </w:p>
          <w:p>
            <w:pPr>
              <w:ind w:firstLine="480"/>
            </w:pPr>
            <w:r>
              <w:rPr>
                <w:sz w:val="22"/>
              </w:rPr>
              <w:t>6.</w:t>
            </w:r>
            <w:r>
              <w:rPr>
                <w:sz w:val="22"/>
              </w:rPr>
              <w:t>每月对</w:t>
            </w:r>
            <w:r>
              <w:rPr>
                <w:sz w:val="22"/>
              </w:rPr>
              <w:t>31</w:t>
            </w:r>
            <w:r>
              <w:rPr>
                <w:sz w:val="22"/>
              </w:rPr>
              <w:t>个村（社区）开展外环境消杀前、后的诱蚊诱卵器指数、标准间指数、成蚊密度监测等工作，中标人每月负责在村（社区）监测地点每月随机抽选</w:t>
            </w:r>
            <w:r>
              <w:rPr>
                <w:sz w:val="22"/>
              </w:rPr>
              <w:t>4</w:t>
            </w:r>
            <w:r>
              <w:rPr>
                <w:sz w:val="22"/>
              </w:rPr>
              <w:t>个或以上点位进行监测并制定监测结果报告。监测结果报告于次月</w:t>
            </w:r>
            <w:r>
              <w:rPr>
                <w:sz w:val="22"/>
              </w:rPr>
              <w:t>5</w:t>
            </w:r>
            <w:r>
              <w:rPr>
                <w:sz w:val="22"/>
              </w:rPr>
              <w:t>日前提交至采购人，如监测结果超出安全范围值需立刻上报。</w:t>
            </w:r>
          </w:p>
          <w:p>
            <w:pPr>
              <w:ind w:firstLine="480"/>
            </w:pPr>
            <w:r>
              <w:rPr>
                <w:sz w:val="22"/>
              </w:rPr>
              <w:t>7.</w:t>
            </w:r>
            <w:r>
              <w:rPr>
                <w:sz w:val="22"/>
              </w:rPr>
              <w:t>每月对豪岗社区、二湾社区、镇南社区、潭洲社区、灵山社区、江滘社区、东流村、北流村、客家村开展消杀前、后的鼠、蟑、蝇密度监测工作</w:t>
            </w:r>
            <w:r>
              <w:rPr>
                <w:sz w:val="22"/>
              </w:rPr>
              <w:t>,</w:t>
            </w:r>
            <w:r>
              <w:rPr>
                <w:sz w:val="22"/>
              </w:rPr>
              <w:t>监测结果于次月</w:t>
            </w:r>
            <w:r>
              <w:rPr>
                <w:sz w:val="22"/>
              </w:rPr>
              <w:t>5</w:t>
            </w:r>
            <w:r>
              <w:rPr>
                <w:sz w:val="22"/>
              </w:rPr>
              <w:t>日前提交采购人，如监测结果超出安全范围值需立刻上报并整改。</w:t>
            </w:r>
          </w:p>
          <w:p>
            <w:pPr>
              <w:ind w:firstLine="480"/>
            </w:pPr>
            <w:r>
              <w:rPr>
                <w:sz w:val="22"/>
              </w:rPr>
              <w:t>8.</w:t>
            </w:r>
            <w:r>
              <w:rPr>
                <w:sz w:val="22"/>
              </w:rPr>
              <w:t>中标人每月督导各村（社区）、医院、农贸市场、公园、建筑工地、学校、餐饮店档等开展病媒生物防制工作，完成督导后</w:t>
            </w:r>
            <w:r>
              <w:rPr>
                <w:sz w:val="22"/>
              </w:rPr>
              <w:t>2</w:t>
            </w:r>
            <w:r>
              <w:rPr>
                <w:sz w:val="22"/>
              </w:rPr>
              <w:t>个工作日内需形成督导报告提交至采购人。</w:t>
            </w:r>
          </w:p>
          <w:p>
            <w:pPr>
              <w:ind w:firstLine="480"/>
            </w:pPr>
            <w:r>
              <w:rPr>
                <w:sz w:val="22"/>
              </w:rPr>
              <w:t>9.</w:t>
            </w:r>
            <w:r>
              <w:rPr>
                <w:sz w:val="22"/>
              </w:rPr>
              <w:t>每月对镇城区范围内下水道口开展防蚊闸巡查，做好工作台帐记录，发现防蚊闸缺失、破损等情况立刻补充，并清理堵塞杂物；每月对镇城区范围内灭鼠屋进行巡查，做好工作台帐记录，发现灭鼠屋有缺失、破损或设置不规范等情况立刻整改，完善灭鼠屋标识牌编号，同时清理灭鼠屋周边的鼠洞、鼠迹及鼠路等相关情况；防蚊闸和灭鼠屋巡查记录每季度提交一次。</w:t>
            </w:r>
          </w:p>
          <w:p>
            <w:pPr>
              <w:ind w:firstLine="480"/>
            </w:pPr>
            <w:r>
              <w:rPr>
                <w:sz w:val="22"/>
              </w:rPr>
              <w:t>10.</w:t>
            </w:r>
            <w:r>
              <w:rPr>
                <w:sz w:val="22"/>
              </w:rPr>
              <w:t>如有省、市、区上级部门（含</w:t>
            </w:r>
            <w:r>
              <w:rPr>
                <w:sz w:val="22"/>
              </w:rPr>
              <w:t>12345</w:t>
            </w:r>
            <w:r>
              <w:rPr>
                <w:sz w:val="22"/>
              </w:rPr>
              <w:t>服务热线）对大岗镇</w:t>
            </w:r>
            <w:r>
              <w:rPr>
                <w:sz w:val="22"/>
              </w:rPr>
              <w:t>“</w:t>
            </w:r>
            <w:r>
              <w:rPr>
                <w:sz w:val="22"/>
              </w:rPr>
              <w:t>四害</w:t>
            </w:r>
            <w:r>
              <w:rPr>
                <w:sz w:val="22"/>
              </w:rPr>
              <w:t>”</w:t>
            </w:r>
            <w:r>
              <w:rPr>
                <w:sz w:val="22"/>
              </w:rPr>
              <w:t>防制方面发出督办整改，由中标人负责落实整改，形成报告提交至采购人；电话投诉同样由中标人负责落实整改和处理。</w:t>
            </w:r>
          </w:p>
          <w:p>
            <w:pPr>
              <w:ind w:firstLine="480"/>
            </w:pPr>
            <w:r>
              <w:rPr>
                <w:sz w:val="22"/>
              </w:rPr>
              <w:t>11.</w:t>
            </w:r>
            <w:r>
              <w:rPr>
                <w:sz w:val="22"/>
              </w:rPr>
              <w:t>无条件积极配合采购人接受上级部门开展的各项迎检工作。</w:t>
            </w:r>
          </w:p>
          <w:p>
            <w:pPr>
              <w:ind w:firstLine="480"/>
            </w:pPr>
            <w:r>
              <w:rPr>
                <w:sz w:val="22"/>
              </w:rPr>
              <w:t>12.</w:t>
            </w:r>
            <w:r>
              <w:rPr>
                <w:sz w:val="22"/>
              </w:rPr>
              <w:t>中标人需提供一台</w:t>
            </w:r>
            <w:r>
              <w:rPr>
                <w:sz w:val="22"/>
              </w:rPr>
              <w:t>0.6</w:t>
            </w:r>
            <w:r>
              <w:rPr>
                <w:sz w:val="22"/>
              </w:rPr>
              <w:t>吨以上的轻型普通货车作为车载消杀用车和一台五座以上的车辆作为日常监测用车，并承担车辆使用时相关费用，每次工作完成后提供车辆轨迹图给采购人。</w:t>
            </w:r>
          </w:p>
          <w:p>
            <w:pPr>
              <w:ind w:firstLine="480"/>
            </w:pPr>
            <w:r>
              <w:rPr>
                <w:sz w:val="22"/>
              </w:rPr>
              <w:t>13.</w:t>
            </w:r>
            <w:r>
              <w:rPr>
                <w:sz w:val="22"/>
              </w:rPr>
              <w:t>本项目使用国家、省、市爱卫办推荐使用药物，必须有药物三证，严禁使用其他明文禁用药物，消杀药物由采购人提供。</w:t>
            </w:r>
          </w:p>
          <w:p>
            <w:pPr>
              <w:ind w:firstLine="480"/>
            </w:pPr>
            <w:r>
              <w:rPr>
                <w:sz w:val="22"/>
              </w:rPr>
              <w:t>14.</w:t>
            </w:r>
            <w:r>
              <w:rPr>
                <w:sz w:val="22"/>
              </w:rPr>
              <w:t>本项目费用包含消杀机器设备（工具）、人工费用、燃油费、消杀设备及交通工具损耗费用、加班费、突发性作业费、应急消杀、保险、福利费、管理费、税费及利润、不可预见费等在项目实施过程中的全部费用，中标人报价中漏报、少报的费用，视为此项费用已隐含在投标报价中，中标人中标后不得再向采购人收取任何费用。消杀药物、防蚊闸、灭鼠屋由采购人提供，中标人需根据技术要求为采购人采购药物提供技术指导，每次进行药剂喷洒和投放作业时在采购人指定地点领取药物，作业完毕后剩余的消杀药物及药物空包装（空瓶）退还采购人。</w:t>
            </w:r>
          </w:p>
          <w:p>
            <w:r>
              <w:rPr>
                <w:sz w:val="22"/>
              </w:rPr>
              <w:t>15</w:t>
            </w:r>
            <w:r>
              <w:rPr>
                <w:sz w:val="22"/>
              </w:rPr>
              <w:t>、根据上级要求，做好臭虫防制相关工作。</w:t>
            </w:r>
          </w:p>
        </w:tc>
      </w:tr>
      <w:tr>
        <w:tc>
          <w:tcPr>
            <w:tcW w:type="dxa" w:w="2076"/>
          </w:tcPr>
          <w:p/>
        </w:tc>
        <w:tc>
          <w:tcPr>
            <w:tcW w:type="dxa" w:w="415"/>
          </w:tcPr>
          <w:p>
            <w:r>
              <w:rPr/>
              <w:t>3</w:t>
            </w:r>
          </w:p>
        </w:tc>
        <w:tc>
          <w:tcPr>
            <w:tcW w:type="dxa" w:w="5814"/>
          </w:tcPr>
          <w:p>
            <w:pPr>
              <w:ind w:firstLine="482"/>
            </w:pPr>
            <w:r>
              <w:rPr>
                <w:b/>
                <w:sz w:val="22"/>
              </w:rPr>
              <w:t>三、服务要求</w:t>
            </w:r>
          </w:p>
          <w:p>
            <w:pPr>
              <w:ind w:firstLine="480"/>
            </w:pPr>
            <w:r>
              <w:rPr>
                <w:sz w:val="22"/>
              </w:rPr>
              <w:t>1.</w:t>
            </w:r>
            <w:r>
              <w:rPr>
                <w:sz w:val="22"/>
              </w:rPr>
              <w:t>采购人负责对中标人专业技术队伍质量考核、绩效评估。</w:t>
            </w:r>
          </w:p>
          <w:p>
            <w:pPr>
              <w:ind w:firstLine="480"/>
            </w:pPr>
            <w:r>
              <w:rPr>
                <w:sz w:val="22"/>
              </w:rPr>
              <w:t>2.</w:t>
            </w:r>
            <w:r>
              <w:rPr>
                <w:sz w:val="22"/>
              </w:rPr>
              <w:t>中标人每次执行各服务时，需将作业情况拍照取证，并和采购人相关工作人员签名确认工作量，由中标人出具达标验收报告，作为结算依据。</w:t>
            </w:r>
          </w:p>
          <w:p>
            <w:pPr>
              <w:ind w:firstLine="480"/>
            </w:pPr>
            <w:r>
              <w:rPr>
                <w:sz w:val="22"/>
              </w:rPr>
              <w:t>3.</w:t>
            </w:r>
            <w:r>
              <w:rPr>
                <w:sz w:val="22"/>
              </w:rPr>
              <w:t>人员管理</w:t>
            </w:r>
          </w:p>
          <w:p>
            <w:pPr>
              <w:ind w:firstLine="480"/>
            </w:pPr>
            <w:r>
              <w:rPr>
                <w:sz w:val="22"/>
              </w:rPr>
              <w:t>3.1</w:t>
            </w:r>
            <w:r>
              <w:rPr>
                <w:sz w:val="22"/>
              </w:rPr>
              <w:t>中标人的工作人员全部由中标人负责招聘和管理，必须按照我国《劳动合同法》的有关规定与工作人员签订劳动合同，人员工资、社会福利和各类保障由中标人承担，且人员工资福利应符合国家劳动法相关规定，如出现职业伤害、工伤等情况由中标人承担。采购人对中标人不称职的工作人员，可要求中标人限期更换。</w:t>
            </w:r>
          </w:p>
          <w:p>
            <w:pPr>
              <w:ind w:firstLine="480"/>
            </w:pPr>
            <w:r>
              <w:rPr>
                <w:sz w:val="22"/>
              </w:rPr>
              <w:t>3.2</w:t>
            </w:r>
            <w:r>
              <w:rPr>
                <w:sz w:val="22"/>
              </w:rPr>
              <w:t>作业点需提供足够工作人员（包括项目管理人员、使用大型车载超低容量喷雾机消杀人员、背负式超低容量消杀人员、灭蝇灭蟑灭鼠消杀人员、蚊媒密度监测人员等），中标人应严格保持消杀队伍人员稳定性，同时保证消杀队伍人员专门从事该项目工作任务，未经采购人同意不能调拨去参与或协助完成中标人其它工作任务。</w:t>
            </w:r>
          </w:p>
          <w:p>
            <w:pPr>
              <w:ind w:firstLine="480"/>
            </w:pPr>
            <w:r>
              <w:rPr>
                <w:sz w:val="22"/>
              </w:rPr>
              <w:t>3.3</w:t>
            </w:r>
            <w:r>
              <w:rPr>
                <w:sz w:val="22"/>
              </w:rPr>
              <w:t>作业点工作人员受中标人和采购人双重领导，如中标人按采购人要求的数量配置人员及设备，采购人仍认为不足以满足服务本项目需要的，中标人必须第一时间无条件增加人员及设备，确保本项目开展的效率和质量。</w:t>
            </w:r>
          </w:p>
          <w:p>
            <w:pPr>
              <w:ind w:firstLine="480"/>
            </w:pPr>
            <w:r>
              <w:rPr>
                <w:sz w:val="22"/>
              </w:rPr>
              <w:t>3.4</w:t>
            </w:r>
            <w:r>
              <w:rPr>
                <w:sz w:val="22"/>
              </w:rPr>
              <w:t>项目管理人员需具有中级及以上职业且工种为</w:t>
            </w:r>
            <w:r>
              <w:rPr>
                <w:sz w:val="22"/>
              </w:rPr>
              <w:t>“</w:t>
            </w:r>
            <w:r>
              <w:rPr>
                <w:sz w:val="22"/>
              </w:rPr>
              <w:t>有害生物防制员</w:t>
            </w:r>
            <w:r>
              <w:rPr>
                <w:sz w:val="22"/>
              </w:rPr>
              <w:t>”</w:t>
            </w:r>
            <w:r>
              <w:rPr>
                <w:sz w:val="22"/>
              </w:rPr>
              <w:t>的《中华人民共和国职业资格证书》。消杀人员需具备</w:t>
            </w:r>
            <w:r>
              <w:rPr>
                <w:sz w:val="22"/>
              </w:rPr>
              <w:t>“</w:t>
            </w:r>
            <w:r>
              <w:rPr>
                <w:sz w:val="22"/>
              </w:rPr>
              <w:t>有害生物防制员</w:t>
            </w:r>
            <w:r>
              <w:rPr>
                <w:sz w:val="22"/>
              </w:rPr>
              <w:t>”</w:t>
            </w:r>
            <w:r>
              <w:rPr>
                <w:sz w:val="22"/>
              </w:rPr>
              <w:t>的《中华人民共和国职业资格证书》或除虫灭鼠类上岗证书。</w:t>
            </w:r>
          </w:p>
          <w:p>
            <w:pPr>
              <w:ind w:firstLine="480"/>
            </w:pPr>
            <w:r>
              <w:rPr>
                <w:sz w:val="22"/>
              </w:rPr>
              <w:t>3.5</w:t>
            </w:r>
            <w:r>
              <w:rPr>
                <w:sz w:val="22"/>
              </w:rPr>
              <w:t>中标人安排的消杀工作人员必须有职业健康体检且符合参与消杀作业要求，在消杀过程中采取职业病防护措施及用品。</w:t>
            </w:r>
          </w:p>
          <w:p>
            <w:pPr>
              <w:ind w:firstLine="480"/>
            </w:pPr>
            <w:r>
              <w:rPr>
                <w:sz w:val="22"/>
              </w:rPr>
              <w:t>4.</w:t>
            </w:r>
            <w:r>
              <w:rPr>
                <w:sz w:val="22"/>
              </w:rPr>
              <w:t>药械管理</w:t>
            </w:r>
          </w:p>
          <w:p>
            <w:pPr>
              <w:ind w:firstLine="480"/>
            </w:pPr>
            <w:r>
              <w:rPr>
                <w:sz w:val="22"/>
              </w:rPr>
              <w:t>中标人需提供</w:t>
            </w:r>
            <w:r>
              <w:rPr>
                <w:sz w:val="22"/>
              </w:rPr>
              <w:t>“</w:t>
            </w:r>
            <w:r>
              <w:rPr>
                <w:sz w:val="22"/>
              </w:rPr>
              <w:t>四害</w:t>
            </w:r>
            <w:r>
              <w:rPr>
                <w:sz w:val="22"/>
              </w:rPr>
              <w:t>”</w:t>
            </w:r>
            <w:r>
              <w:rPr>
                <w:sz w:val="22"/>
              </w:rPr>
              <w:t>防制所需的消杀器械并做好日常维护工作，消杀药物由采购人提供。中标人负责将消杀药物的使用情况进行详细的记录，每月向采购人进行书面报告，中标人需严格保证器械和药物的专项专用，中标人使用的器械应有合格的质检报告报采购人存档。</w:t>
            </w:r>
          </w:p>
          <w:p>
            <w:pPr>
              <w:ind w:firstLine="480"/>
            </w:pPr>
            <w:r>
              <w:rPr>
                <w:sz w:val="22"/>
              </w:rPr>
              <w:t>5.</w:t>
            </w:r>
            <w:r>
              <w:rPr>
                <w:sz w:val="22"/>
              </w:rPr>
              <w:t>沟通机制</w:t>
            </w:r>
          </w:p>
          <w:p>
            <w:pPr>
              <w:ind w:firstLine="480"/>
            </w:pPr>
            <w:r>
              <w:rPr>
                <w:sz w:val="22"/>
              </w:rPr>
              <w:t>中标人项目管理人员应主动与采购人进行业务沟通，并指定专人负责与采购人业务联络，定期递交工作计划、工作总结、结算资料等。每月</w:t>
            </w:r>
            <w:r>
              <w:rPr>
                <w:sz w:val="22"/>
              </w:rPr>
              <w:t>25</w:t>
            </w:r>
            <w:r>
              <w:rPr>
                <w:sz w:val="22"/>
              </w:rPr>
              <w:t>日前应将下月的工作计划和时间表向采购人报告。</w:t>
            </w:r>
          </w:p>
          <w:p>
            <w:pPr>
              <w:ind w:firstLine="480"/>
            </w:pPr>
            <w:r>
              <w:rPr>
                <w:sz w:val="22"/>
              </w:rPr>
              <w:t>6.</w:t>
            </w:r>
            <w:r>
              <w:rPr>
                <w:sz w:val="22"/>
              </w:rPr>
              <w:t>考核评估</w:t>
            </w:r>
          </w:p>
          <w:p>
            <w:pPr>
              <w:ind w:firstLine="480"/>
            </w:pPr>
            <w:r>
              <w:rPr>
                <w:sz w:val="22"/>
              </w:rPr>
              <w:t>考核评估由采购人和第三方评审两部分组成。量化考核表及考核评分细则由采购人根据招标合同以及工作职责制定，考核采用量化考核法，根据工作任务完成情况打分，最终评分将作为采购人支付中标人项目经费数额的主要依据。</w:t>
            </w:r>
          </w:p>
          <w:p>
            <w:pPr>
              <w:ind w:firstLine="480"/>
            </w:pPr>
            <w:r>
              <w:rPr>
                <w:sz w:val="22"/>
              </w:rPr>
              <w:t>采购人评审：每期一次考核（第一期：合同期生效之日起至</w:t>
            </w:r>
            <w:r>
              <w:rPr>
                <w:sz w:val="22"/>
              </w:rPr>
              <w:t>2024</w:t>
            </w:r>
            <w:r>
              <w:rPr>
                <w:sz w:val="22"/>
              </w:rPr>
              <w:t>年</w:t>
            </w:r>
            <w:r>
              <w:rPr>
                <w:sz w:val="22"/>
              </w:rPr>
              <w:t>4</w:t>
            </w:r>
            <w:r>
              <w:rPr>
                <w:sz w:val="22"/>
              </w:rPr>
              <w:t>月，第二期：</w:t>
            </w:r>
            <w:r>
              <w:rPr>
                <w:sz w:val="22"/>
              </w:rPr>
              <w:t>2024</w:t>
            </w:r>
            <w:r>
              <w:rPr>
                <w:sz w:val="22"/>
              </w:rPr>
              <w:t>年</w:t>
            </w:r>
            <w:r>
              <w:rPr>
                <w:sz w:val="22"/>
              </w:rPr>
              <w:t>5</w:t>
            </w:r>
            <w:r>
              <w:rPr>
                <w:sz w:val="22"/>
              </w:rPr>
              <w:t>月至</w:t>
            </w:r>
            <w:r>
              <w:rPr>
                <w:sz w:val="22"/>
              </w:rPr>
              <w:t>2024</w:t>
            </w:r>
            <w:r>
              <w:rPr>
                <w:sz w:val="22"/>
              </w:rPr>
              <w:t>年</w:t>
            </w:r>
            <w:r>
              <w:rPr>
                <w:sz w:val="22"/>
              </w:rPr>
              <w:t>7</w:t>
            </w:r>
            <w:r>
              <w:rPr>
                <w:sz w:val="22"/>
              </w:rPr>
              <w:t>月，第三期：</w:t>
            </w:r>
            <w:r>
              <w:rPr>
                <w:sz w:val="22"/>
              </w:rPr>
              <w:t>2024</w:t>
            </w:r>
            <w:r>
              <w:rPr>
                <w:sz w:val="22"/>
              </w:rPr>
              <w:t>年</w:t>
            </w:r>
            <w:r>
              <w:rPr>
                <w:sz w:val="22"/>
              </w:rPr>
              <w:t>8</w:t>
            </w:r>
            <w:r>
              <w:rPr>
                <w:sz w:val="22"/>
              </w:rPr>
              <w:t>月至</w:t>
            </w:r>
            <w:r>
              <w:rPr>
                <w:sz w:val="22"/>
              </w:rPr>
              <w:t>2024</w:t>
            </w:r>
            <w:r>
              <w:rPr>
                <w:sz w:val="22"/>
              </w:rPr>
              <w:t>年</w:t>
            </w:r>
            <w:r>
              <w:rPr>
                <w:sz w:val="22"/>
              </w:rPr>
              <w:t>9</w:t>
            </w:r>
            <w:r>
              <w:rPr>
                <w:sz w:val="22"/>
              </w:rPr>
              <w:t>月，第四期：</w:t>
            </w:r>
            <w:r>
              <w:rPr>
                <w:sz w:val="22"/>
              </w:rPr>
              <w:t>2024</w:t>
            </w:r>
            <w:r>
              <w:rPr>
                <w:sz w:val="22"/>
              </w:rPr>
              <w:t>年</w:t>
            </w:r>
            <w:r>
              <w:rPr>
                <w:sz w:val="22"/>
              </w:rPr>
              <w:t>10</w:t>
            </w:r>
            <w:r>
              <w:rPr>
                <w:sz w:val="22"/>
              </w:rPr>
              <w:t>月至合同期满），中标人每期结束后一周内将自评报告和有关佐证资料交采购人备案，采购人组织人员审核。</w:t>
            </w:r>
          </w:p>
          <w:p>
            <w:pPr>
              <w:ind w:firstLine="480"/>
            </w:pPr>
            <w:r>
              <w:rPr>
                <w:sz w:val="22"/>
              </w:rPr>
              <w:t>第三方评审：每期一次，由采购人委托第三方机构或聘请专家组成评审小组，中标人负责组织第三方评审工作，评审工作须在每期结束前完成，并在完成评审后一周内将考核评估报告和有关佐证资料交采购人审核。</w:t>
            </w:r>
          </w:p>
          <w:p>
            <w:pPr>
              <w:ind w:firstLine="480"/>
            </w:pPr>
            <w:r>
              <w:rPr>
                <w:sz w:val="22"/>
              </w:rPr>
              <w:t>上述活动过程中所产生的包括但不限于第三方委托费、专家劳务费、工作人员加班补助等所有费用均由中标人承担。</w:t>
            </w:r>
          </w:p>
          <w:p>
            <w:pPr>
              <w:ind w:firstLine="480"/>
            </w:pPr>
            <w:r>
              <w:rPr>
                <w:sz w:val="22"/>
              </w:rPr>
              <w:t>7.</w:t>
            </w:r>
            <w:r>
              <w:rPr>
                <w:sz w:val="22"/>
              </w:rPr>
              <w:t>项目服务原则和要求</w:t>
            </w:r>
          </w:p>
          <w:p>
            <w:pPr>
              <w:ind w:firstLine="480"/>
            </w:pPr>
            <w:r>
              <w:rPr>
                <w:sz w:val="22"/>
              </w:rPr>
              <w:t>7.1</w:t>
            </w:r>
            <w:r>
              <w:rPr>
                <w:sz w:val="22"/>
              </w:rPr>
              <w:t>中标人需提供中级（或以上）职称人员，拟定蚊媒防制技术方案及疫情应急响应方案。</w:t>
            </w:r>
          </w:p>
          <w:p>
            <w:pPr>
              <w:ind w:firstLine="480"/>
            </w:pPr>
            <w:r>
              <w:rPr>
                <w:sz w:val="22"/>
              </w:rPr>
              <w:t>7.2</w:t>
            </w:r>
            <w:r>
              <w:rPr>
                <w:sz w:val="22"/>
              </w:rPr>
              <w:t>中标人应提供规范的管理制度、作业方案和操作流程，所有服务内容要有书面记录。</w:t>
            </w:r>
          </w:p>
          <w:p>
            <w:pPr>
              <w:ind w:firstLine="480"/>
            </w:pPr>
            <w:r>
              <w:rPr>
                <w:sz w:val="22"/>
              </w:rPr>
              <w:t>7.3</w:t>
            </w:r>
            <w:r>
              <w:rPr>
                <w:sz w:val="22"/>
              </w:rPr>
              <w:t>疫情应急响应：中标人消杀队伍的疫情应急管理将严格按照采购人的应急行动管理要求，确保在一小时内到达处理现场。</w:t>
            </w:r>
          </w:p>
          <w:p>
            <w:pPr>
              <w:ind w:firstLine="480"/>
            </w:pPr>
            <w:r>
              <w:rPr>
                <w:sz w:val="22"/>
              </w:rPr>
              <w:t>7.4</w:t>
            </w:r>
            <w:r>
              <w:rPr>
                <w:sz w:val="22"/>
              </w:rPr>
              <w:t>中标人应急消杀队伍的日常监测工作，将严格按照采购人制定的病媒生物监测与效果评估以及服务时间周期进行实施，并按照相关的操作规范实施。</w:t>
            </w:r>
          </w:p>
          <w:p>
            <w:pPr>
              <w:ind w:firstLine="480"/>
            </w:pPr>
            <w:r>
              <w:rPr>
                <w:sz w:val="22"/>
              </w:rPr>
              <w:t>7.5</w:t>
            </w:r>
            <w:r>
              <w:rPr>
                <w:sz w:val="22"/>
              </w:rPr>
              <w:t>中标人需提供蚊媒应急控制和日常监测所需的所有仪器、设备和物资等（药物除外）。</w:t>
            </w:r>
          </w:p>
          <w:p>
            <w:pPr>
              <w:ind w:firstLine="480"/>
            </w:pPr>
            <w:r>
              <w:rPr>
                <w:sz w:val="22"/>
              </w:rPr>
              <w:t>7.6</w:t>
            </w:r>
            <w:r>
              <w:rPr>
                <w:sz w:val="22"/>
              </w:rPr>
              <w:t>中标人参与服务实施人员需全部持有上岗证，穿着统一工作服，并提供相关人员身份证、资质证等信息供采购人复核。</w:t>
            </w:r>
          </w:p>
          <w:p>
            <w:r>
              <w:rPr>
                <w:sz w:val="22"/>
              </w:rPr>
              <w:t>7.7</w:t>
            </w:r>
            <w:r>
              <w:rPr>
                <w:sz w:val="22"/>
              </w:rPr>
              <w:t>中标人做好</w:t>
            </w:r>
            <w:r>
              <w:rPr>
                <w:sz w:val="22"/>
              </w:rPr>
              <w:t>“</w:t>
            </w:r>
            <w:r>
              <w:rPr>
                <w:sz w:val="22"/>
              </w:rPr>
              <w:t>四害</w:t>
            </w:r>
            <w:r>
              <w:rPr>
                <w:sz w:val="22"/>
              </w:rPr>
              <w:t>”</w:t>
            </w:r>
            <w:r>
              <w:rPr>
                <w:sz w:val="22"/>
              </w:rPr>
              <w:t>消杀记录，建立</w:t>
            </w:r>
            <w:r>
              <w:rPr>
                <w:sz w:val="22"/>
              </w:rPr>
              <w:t>“</w:t>
            </w:r>
            <w:r>
              <w:rPr>
                <w:sz w:val="22"/>
              </w:rPr>
              <w:t>四害</w:t>
            </w:r>
            <w:r>
              <w:rPr>
                <w:sz w:val="22"/>
              </w:rPr>
              <w:t>”</w:t>
            </w:r>
            <w:r>
              <w:rPr>
                <w:sz w:val="22"/>
              </w:rPr>
              <w:t>消杀工台帐，及时准确记录统一施药时间、投放药物名称数量、工作人员数量、消杀场景图片、面积等，并由采购人、中标人、消杀点管理方签字确认，做好工作资料台帐整理归档工作，同时协助采购人向上级填报各项工作数据。</w:t>
            </w:r>
          </w:p>
        </w:tc>
      </w:tr>
      <w:tr>
        <w:tc>
          <w:tcPr>
            <w:tcW w:type="dxa" w:w="2076"/>
          </w:tcPr>
          <w:p/>
        </w:tc>
        <w:tc>
          <w:tcPr>
            <w:tcW w:type="dxa" w:w="415"/>
          </w:tcPr>
          <w:p>
            <w:r>
              <w:rPr/>
              <w:t>4</w:t>
            </w:r>
          </w:p>
        </w:tc>
        <w:tc>
          <w:tcPr>
            <w:tcW w:type="dxa" w:w="5814"/>
          </w:tcPr>
          <w:p>
            <w:pPr>
              <w:ind w:firstLine="482"/>
            </w:pPr>
            <w:r>
              <w:rPr>
                <w:b/>
                <w:sz w:val="22"/>
              </w:rPr>
              <w:t>四、服务质量考核及服务费的扣减</w:t>
            </w:r>
          </w:p>
          <w:p>
            <w:pPr>
              <w:ind w:firstLine="480"/>
            </w:pPr>
            <w:r>
              <w:rPr>
                <w:sz w:val="22"/>
              </w:rPr>
              <w:t>1.</w:t>
            </w:r>
            <w:r>
              <w:rPr>
                <w:sz w:val="22"/>
              </w:rPr>
              <w:t>考核实行百分制，若中标人每期的考核评分在</w:t>
            </w:r>
            <w:r>
              <w:rPr>
                <w:sz w:val="22"/>
              </w:rPr>
              <w:t>85</w:t>
            </w:r>
            <w:r>
              <w:rPr>
                <w:sz w:val="22"/>
              </w:rPr>
              <w:t>（含）分以上，采购人全额拨付当期服务经费；若考核评分在</w:t>
            </w:r>
            <w:r>
              <w:rPr>
                <w:sz w:val="22"/>
              </w:rPr>
              <w:t>75</w:t>
            </w:r>
            <w:r>
              <w:rPr>
                <w:sz w:val="22"/>
              </w:rPr>
              <w:t>（含）</w:t>
            </w:r>
            <w:r>
              <w:rPr>
                <w:sz w:val="22"/>
              </w:rPr>
              <w:t>-85</w:t>
            </w:r>
            <w:r>
              <w:rPr>
                <w:sz w:val="22"/>
              </w:rPr>
              <w:t>（不含）分扣减当期服务经费的</w:t>
            </w:r>
            <w:r>
              <w:rPr>
                <w:sz w:val="22"/>
              </w:rPr>
              <w:t>10%</w:t>
            </w:r>
            <w:r>
              <w:rPr>
                <w:sz w:val="22"/>
              </w:rPr>
              <w:t>作为违约金；若考核评分在</w:t>
            </w:r>
            <w:r>
              <w:rPr>
                <w:sz w:val="22"/>
              </w:rPr>
              <w:t>65</w:t>
            </w:r>
            <w:r>
              <w:rPr>
                <w:sz w:val="22"/>
              </w:rPr>
              <w:t>（含）</w:t>
            </w:r>
            <w:r>
              <w:rPr>
                <w:sz w:val="22"/>
              </w:rPr>
              <w:t>-75</w:t>
            </w:r>
            <w:r>
              <w:rPr>
                <w:sz w:val="22"/>
              </w:rPr>
              <w:t>（不含）分扣减当期服务经费的</w:t>
            </w:r>
            <w:r>
              <w:rPr>
                <w:sz w:val="22"/>
              </w:rPr>
              <w:t>20%</w:t>
            </w:r>
            <w:r>
              <w:rPr>
                <w:sz w:val="22"/>
              </w:rPr>
              <w:t>作为违约金；若考核评分在</w:t>
            </w:r>
            <w:r>
              <w:rPr>
                <w:sz w:val="22"/>
              </w:rPr>
              <w:t>60</w:t>
            </w:r>
            <w:r>
              <w:rPr>
                <w:sz w:val="22"/>
              </w:rPr>
              <w:t>（含）</w:t>
            </w:r>
            <w:r>
              <w:rPr>
                <w:sz w:val="22"/>
              </w:rPr>
              <w:t>-65</w:t>
            </w:r>
            <w:r>
              <w:rPr>
                <w:sz w:val="22"/>
              </w:rPr>
              <w:t>（不含）分扣减当期服务经费的</w:t>
            </w:r>
            <w:r>
              <w:rPr>
                <w:sz w:val="22"/>
              </w:rPr>
              <w:t>30%</w:t>
            </w:r>
            <w:r>
              <w:rPr>
                <w:sz w:val="22"/>
              </w:rPr>
              <w:t>作为违约金；</w:t>
            </w:r>
            <w:r>
              <w:rPr>
                <w:sz w:val="22"/>
              </w:rPr>
              <w:t>60</w:t>
            </w:r>
            <w:r>
              <w:rPr>
                <w:sz w:val="22"/>
              </w:rPr>
              <w:t>（不含）分以下不支付当期服务经费，且采购人有权单方面终止合同。每期最终评分</w:t>
            </w:r>
            <w:r>
              <w:rPr>
                <w:sz w:val="22"/>
              </w:rPr>
              <w:t>=</w:t>
            </w:r>
            <w:r>
              <w:rPr>
                <w:sz w:val="22"/>
              </w:rPr>
              <w:t>采购人考核评分×</w:t>
            </w:r>
            <w:r>
              <w:rPr>
                <w:sz w:val="22"/>
              </w:rPr>
              <w:t>50%+</w:t>
            </w:r>
            <w:r>
              <w:rPr>
                <w:sz w:val="22"/>
              </w:rPr>
              <w:t>村（社区）、学校、幼儿园、公园考核评分（平均分）×</w:t>
            </w:r>
            <w:r>
              <w:rPr>
                <w:sz w:val="22"/>
              </w:rPr>
              <w:t>50%</w:t>
            </w:r>
            <w:r>
              <w:rPr>
                <w:sz w:val="22"/>
              </w:rPr>
              <w:t>。</w:t>
            </w:r>
          </w:p>
          <w:p>
            <w:pPr>
              <w:ind w:firstLine="480"/>
            </w:pPr>
            <w:r>
              <w:rPr>
                <w:sz w:val="22"/>
              </w:rPr>
              <w:t>2.</w:t>
            </w:r>
            <w:r>
              <w:rPr>
                <w:sz w:val="22"/>
              </w:rPr>
              <w:t>出现紧急情况，且采购人通知后未能在一小时内到达现场的，除按考核办法进行扣减外，第一次给予扣减总合同价款单次的</w:t>
            </w:r>
            <w:r>
              <w:rPr>
                <w:sz w:val="22"/>
              </w:rPr>
              <w:t>5%</w:t>
            </w:r>
            <w:r>
              <w:rPr>
                <w:sz w:val="22"/>
              </w:rPr>
              <w:t>作为违约金，出现第二次扣减总合同价款单次的</w:t>
            </w:r>
            <w:r>
              <w:rPr>
                <w:sz w:val="22"/>
              </w:rPr>
              <w:t>l0%</w:t>
            </w:r>
            <w:r>
              <w:rPr>
                <w:sz w:val="22"/>
              </w:rPr>
              <w:t>作为违约金，出现第三次采购人有权终止合同。</w:t>
            </w:r>
          </w:p>
          <w:p>
            <w:pPr>
              <w:ind w:firstLine="480"/>
            </w:pPr>
            <w:r>
              <w:rPr>
                <w:sz w:val="22"/>
              </w:rPr>
              <w:t>3.</w:t>
            </w:r>
            <w:r>
              <w:rPr>
                <w:sz w:val="22"/>
              </w:rPr>
              <w:t>每期服务工作未能按照采购人要求完成的，除按考核办法进行扣减外，第一次给予警告，并在</w:t>
            </w:r>
            <w:r>
              <w:rPr>
                <w:sz w:val="22"/>
              </w:rPr>
              <w:t>24</w:t>
            </w:r>
            <w:r>
              <w:rPr>
                <w:sz w:val="22"/>
              </w:rPr>
              <w:t>小时内完成整改，第二次扣减合同价款单次的</w:t>
            </w:r>
            <w:r>
              <w:rPr>
                <w:sz w:val="22"/>
              </w:rPr>
              <w:t>5%</w:t>
            </w:r>
            <w:r>
              <w:rPr>
                <w:sz w:val="22"/>
              </w:rPr>
              <w:t>作为违约金并在</w:t>
            </w:r>
            <w:r>
              <w:rPr>
                <w:sz w:val="22"/>
              </w:rPr>
              <w:t>24</w:t>
            </w:r>
            <w:r>
              <w:rPr>
                <w:sz w:val="22"/>
              </w:rPr>
              <w:t>小时内完成整改，否则采购人有权终止合同。</w:t>
            </w:r>
          </w:p>
          <w:p>
            <w:pPr>
              <w:ind w:firstLine="480"/>
            </w:pPr>
            <w:r>
              <w:rPr>
                <w:sz w:val="22"/>
              </w:rPr>
              <w:t>4.</w:t>
            </w:r>
            <w:r>
              <w:rPr>
                <w:sz w:val="22"/>
              </w:rPr>
              <w:t>中标人未按要求配备工作人员和设备，采购人要求中标人整改达</w:t>
            </w:r>
            <w:r>
              <w:rPr>
                <w:sz w:val="22"/>
              </w:rPr>
              <w:t>3</w:t>
            </w:r>
            <w:r>
              <w:rPr>
                <w:sz w:val="22"/>
              </w:rPr>
              <w:t>次以上（含</w:t>
            </w:r>
            <w:r>
              <w:rPr>
                <w:sz w:val="22"/>
              </w:rPr>
              <w:t>3</w:t>
            </w:r>
            <w:r>
              <w:rPr>
                <w:sz w:val="22"/>
              </w:rPr>
              <w:t>次），仍未达到合同要求的，采购人有权终止合同。</w:t>
            </w:r>
          </w:p>
          <w:p>
            <w:pPr>
              <w:ind w:firstLine="480"/>
            </w:pPr>
            <w:r>
              <w:rPr>
                <w:sz w:val="22"/>
              </w:rPr>
              <w:t>5.</w:t>
            </w:r>
            <w:r>
              <w:rPr>
                <w:sz w:val="22"/>
              </w:rPr>
              <w:t>每月按照采购人要求提交当月服务工作总结，除按考核办法进行扣减外，若未能按时提交当月服务工作总结，扣减合同价款单次的</w:t>
            </w:r>
            <w:r>
              <w:rPr>
                <w:sz w:val="22"/>
              </w:rPr>
              <w:t>0.5%</w:t>
            </w:r>
            <w:r>
              <w:rPr>
                <w:sz w:val="22"/>
              </w:rPr>
              <w:t>作为违约金。</w:t>
            </w:r>
          </w:p>
          <w:p>
            <w:pPr>
              <w:ind w:firstLine="480"/>
            </w:pPr>
            <w:r>
              <w:rPr>
                <w:sz w:val="22"/>
              </w:rPr>
              <w:t>6.</w:t>
            </w:r>
            <w:r>
              <w:rPr>
                <w:sz w:val="22"/>
              </w:rPr>
              <w:t>发现不穿统一工作服及不佩带证件上岗作业的，除按考核办法进行扣减外，第一次给予警告，第二次给予扣减合同价款单次的</w:t>
            </w:r>
            <w:r>
              <w:rPr>
                <w:sz w:val="22"/>
              </w:rPr>
              <w:t>2%</w:t>
            </w:r>
            <w:r>
              <w:rPr>
                <w:sz w:val="22"/>
              </w:rPr>
              <w:t>作为违约金。</w:t>
            </w:r>
          </w:p>
          <w:p>
            <w:pPr>
              <w:ind w:firstLine="480"/>
            </w:pPr>
            <w:r>
              <w:rPr>
                <w:sz w:val="22"/>
              </w:rPr>
              <w:t>7.</w:t>
            </w:r>
            <w:r>
              <w:rPr>
                <w:sz w:val="22"/>
              </w:rPr>
              <w:t>中标人聘请人员构成需达到合同要求的人员标准，应急队员应在合同签署前到位，一旦到位，中标人将全部人员的信息和个人资料备齐后交采购人备案。如有人员变动，中标人应立即报采购人备案，期间不能出现冒名顶替或造假情况，如出现以上情况，一经查实，采购人有权将追究相应的法律责任，并有权终止合同。</w:t>
            </w:r>
          </w:p>
          <w:p>
            <w:pPr>
              <w:ind w:firstLine="480"/>
            </w:pPr>
            <w:r>
              <w:rPr>
                <w:sz w:val="22"/>
              </w:rPr>
              <w:t>8.</w:t>
            </w:r>
            <w:r>
              <w:rPr>
                <w:sz w:val="22"/>
              </w:rPr>
              <w:t>中标人要服从采购人管理及调配，若不服从管理及调配，每次扣减合同价款单次的</w:t>
            </w:r>
            <w:r>
              <w:rPr>
                <w:sz w:val="22"/>
              </w:rPr>
              <w:t>0.5%</w:t>
            </w:r>
            <w:r>
              <w:rPr>
                <w:sz w:val="22"/>
              </w:rPr>
              <w:t>作为违约金。</w:t>
            </w:r>
          </w:p>
          <w:p>
            <w:pPr>
              <w:ind w:firstLine="480"/>
            </w:pPr>
            <w:r>
              <w:rPr>
                <w:sz w:val="22"/>
              </w:rPr>
              <w:t>9.</w:t>
            </w:r>
            <w:r>
              <w:rPr>
                <w:sz w:val="22"/>
              </w:rPr>
              <w:t>若采购人被省、市、区抽检蚊媒密度监测，其监测结果为高度风险</w:t>
            </w:r>
            <w:r>
              <w:rPr>
                <w:sz w:val="22"/>
              </w:rPr>
              <w:t>(</w:t>
            </w:r>
            <w:r>
              <w:rPr>
                <w:sz w:val="22"/>
              </w:rPr>
              <w:t>以省、市、区文件或微信、粤政易通知为准）的每次扣减</w:t>
            </w:r>
            <w:r>
              <w:rPr>
                <w:sz w:val="22"/>
              </w:rPr>
              <w:t>3000</w:t>
            </w:r>
            <w:r>
              <w:rPr>
                <w:sz w:val="22"/>
              </w:rPr>
              <w:t>元作为违约金；若采购人被省、市、区抽检病媒生物监测（即蚊、蝇、鼠、蟑螂），其综合评价结果为不达标（以省、市、区文件或微信、粤政易通知为准）的每次扣减</w:t>
            </w:r>
            <w:r>
              <w:rPr>
                <w:sz w:val="22"/>
              </w:rPr>
              <w:t>5000</w:t>
            </w:r>
            <w:r>
              <w:rPr>
                <w:sz w:val="22"/>
              </w:rPr>
              <w:t>元作为违约金；若发生本地登革热（以上级部门通报为准）每例扣减</w:t>
            </w:r>
            <w:r>
              <w:rPr>
                <w:sz w:val="22"/>
              </w:rPr>
              <w:t>5000</w:t>
            </w:r>
            <w:r>
              <w:rPr>
                <w:sz w:val="22"/>
              </w:rPr>
              <w:t>元作为违约金。</w:t>
            </w:r>
          </w:p>
          <w:p>
            <w:pPr>
              <w:ind w:firstLine="480"/>
            </w:pPr>
            <w:r>
              <w:rPr>
                <w:sz w:val="22"/>
              </w:rPr>
              <w:t>10.</w:t>
            </w:r>
            <w:r>
              <w:rPr>
                <w:sz w:val="22"/>
              </w:rPr>
              <w:t>中标人在消杀过程中因工作失误，被相关单位、村（社区）等投诉的，经采购人取证属实，每次扣款</w:t>
            </w:r>
            <w:r>
              <w:rPr>
                <w:sz w:val="22"/>
              </w:rPr>
              <w:t>500</w:t>
            </w:r>
            <w:r>
              <w:rPr>
                <w:sz w:val="22"/>
              </w:rPr>
              <w:t>元作为违约金，一年内类投诉违规事实超过类</w:t>
            </w:r>
            <w:r>
              <w:rPr>
                <w:sz w:val="22"/>
              </w:rPr>
              <w:t>10</w:t>
            </w:r>
            <w:r>
              <w:rPr>
                <w:sz w:val="22"/>
              </w:rPr>
              <w:t>次的，采购人有权终止合同。</w:t>
            </w:r>
          </w:p>
          <w:p>
            <w:pPr>
              <w:ind w:firstLine="480"/>
            </w:pPr>
            <w:r>
              <w:rPr>
                <w:sz w:val="22"/>
              </w:rPr>
              <w:t>11.</w:t>
            </w:r>
            <w:r>
              <w:rPr>
                <w:sz w:val="22"/>
              </w:rPr>
              <w:t>中标人在第三方评审中，若病媒生物考核结果（即蚊、蝇、鼠、蟑螂）的综合评价结果为不达标的，每次扣减</w:t>
            </w:r>
            <w:r>
              <w:rPr>
                <w:sz w:val="22"/>
              </w:rPr>
              <w:t>5000</w:t>
            </w:r>
            <w:r>
              <w:rPr>
                <w:sz w:val="22"/>
              </w:rPr>
              <w:t>元作为违约金，超过</w:t>
            </w:r>
            <w:r>
              <w:rPr>
                <w:sz w:val="22"/>
              </w:rPr>
              <w:t>3</w:t>
            </w:r>
            <w:r>
              <w:rPr>
                <w:sz w:val="22"/>
              </w:rPr>
              <w:t>次（含</w:t>
            </w:r>
            <w:r>
              <w:rPr>
                <w:sz w:val="22"/>
              </w:rPr>
              <w:t>3</w:t>
            </w:r>
            <w:r>
              <w:rPr>
                <w:sz w:val="22"/>
              </w:rPr>
              <w:t>次）采购人有权终止合同。如蚊、蝇、鼠、蟑螂的综合评价结果为</w:t>
            </w:r>
            <w:r>
              <w:rPr>
                <w:sz w:val="22"/>
              </w:rPr>
              <w:t>C</w:t>
            </w:r>
            <w:r>
              <w:rPr>
                <w:sz w:val="22"/>
              </w:rPr>
              <w:t>级或以上的，不扣减。</w:t>
            </w:r>
          </w:p>
          <w:p>
            <w:pPr>
              <w:ind w:firstLine="480"/>
            </w:pPr>
            <w:r>
              <w:rPr>
                <w:sz w:val="22"/>
              </w:rPr>
              <w:t>12.</w:t>
            </w:r>
            <w:r>
              <w:rPr>
                <w:sz w:val="22"/>
              </w:rPr>
              <w:t>私自使用违禁药品或无效药物的，经采购人提出整改要求仍未达标的，除按考核办法进行扣减外，每次扣减</w:t>
            </w:r>
            <w:r>
              <w:rPr>
                <w:sz w:val="22"/>
              </w:rPr>
              <w:t>5000</w:t>
            </w:r>
            <w:r>
              <w:rPr>
                <w:sz w:val="22"/>
              </w:rPr>
              <w:t>元作为违约金，违规达</w:t>
            </w:r>
            <w:r>
              <w:rPr>
                <w:sz w:val="22"/>
              </w:rPr>
              <w:t>3</w:t>
            </w:r>
            <w:r>
              <w:rPr>
                <w:sz w:val="22"/>
              </w:rPr>
              <w:t>次以上（含</w:t>
            </w:r>
            <w:r>
              <w:rPr>
                <w:sz w:val="22"/>
              </w:rPr>
              <w:t>3</w:t>
            </w:r>
            <w:r>
              <w:rPr>
                <w:sz w:val="22"/>
              </w:rPr>
              <w:t>次）的，采购人有权终止合同。</w:t>
            </w:r>
          </w:p>
          <w:p>
            <w:pPr>
              <w:ind w:firstLine="480"/>
            </w:pPr>
            <w:r>
              <w:rPr>
                <w:sz w:val="22"/>
              </w:rPr>
              <w:t>13.</w:t>
            </w:r>
            <w:r>
              <w:rPr>
                <w:sz w:val="22"/>
              </w:rPr>
              <w:t>中标人应保证蚊媒应急处置和监测过程中的实际效果和监测数据的有效性，不能出现弄虚作假，一经发现或查实，采购人有权终止合同，并按照造成的实际影响和严重后果追究中标人的法律责任。</w:t>
            </w:r>
          </w:p>
          <w:p>
            <w:pPr>
              <w:ind w:firstLine="480"/>
            </w:pPr>
            <w:r>
              <w:rPr>
                <w:sz w:val="22"/>
              </w:rPr>
              <w:t>14.</w:t>
            </w:r>
            <w:r>
              <w:rPr>
                <w:sz w:val="22"/>
              </w:rPr>
              <w:t>服务质量考核评分表</w:t>
            </w:r>
          </w:p>
          <w:p>
            <w:pPr>
              <w:jc w:val="center"/>
            </w:pPr>
            <w:r>
              <w:rPr>
                <w:sz w:val="22"/>
              </w:rPr>
              <w:t>考核评分表</w:t>
            </w:r>
            <w:r>
              <w:rPr>
                <w:sz w:val="22"/>
              </w:rPr>
              <w:t>1</w:t>
            </w:r>
            <w:r>
              <w:rPr>
                <w:sz w:val="22"/>
              </w:rPr>
              <w:t>（适用于采购人评分）</w:t>
            </w:r>
          </w:p>
          <w:tbl>
            <w:tblPr>
              <w:tblBorders>
                <w:top w:val="none" w:color="000000" w:sz="4"/>
                <w:left w:val="none" w:color="000000" w:sz="4"/>
                <w:bottom w:val="none" w:color="000000" w:sz="4"/>
                <w:right w:val="none" w:color="000000" w:sz="4"/>
                <w:insideH w:val="none"/>
                <w:insideV w:val="none"/>
              </w:tblBorders>
            </w:tblPr>
            <w:tblGrid>
              <w:gridCol w:w="457"/>
              <w:gridCol w:w="3770"/>
              <w:gridCol w:w="571"/>
              <w:gridCol w:w="800"/>
            </w:tblGrid>
            <w:tr>
              <w:tc>
                <w:tcPr>
                  <w:tcW w:type="dxa" w:w="457"/>
                  <w:tcBorders>
                    <w:top w:val="single" w:color="000000" w:sz="4"/>
                    <w:left w:val="single" w:color="000000" w:sz="4"/>
                    <w:bottom w:val="single" w:color="000000" w:sz="4"/>
                    <w:right w:val="single" w:color="000000" w:sz="4"/>
                  </w:tcBorders>
                  <w:vAlign w:val="top"/>
                </w:tcPr>
                <w:p>
                  <w:pPr>
                    <w:jc w:val="center"/>
                  </w:pPr>
                  <w:r>
                    <w:rPr>
                      <w:sz w:val="22"/>
                    </w:rPr>
                    <w:t>序号</w:t>
                  </w:r>
                </w:p>
              </w:tc>
              <w:tc>
                <w:tcPr>
                  <w:tcW w:type="dxa" w:w="3770"/>
                  <w:tcBorders>
                    <w:top w:val="single" w:color="000000" w:sz="4"/>
                    <w:left w:val="none" w:color="000000" w:sz="4"/>
                    <w:bottom w:val="single" w:color="000000" w:sz="4"/>
                    <w:right w:val="single" w:color="000000" w:sz="4"/>
                  </w:tcBorders>
                  <w:vAlign w:val="top"/>
                </w:tcPr>
                <w:p>
                  <w:pPr>
                    <w:jc w:val="center"/>
                  </w:pPr>
                  <w:r>
                    <w:rPr>
                      <w:sz w:val="22"/>
                    </w:rPr>
                    <w:t>考核项目</w:t>
                  </w:r>
                </w:p>
              </w:tc>
              <w:tc>
                <w:tcPr>
                  <w:tcW w:type="dxa" w:w="571"/>
                  <w:tcBorders>
                    <w:top w:val="single" w:color="000000" w:sz="4"/>
                    <w:left w:val="none" w:color="000000" w:sz="4"/>
                    <w:bottom w:val="single" w:color="000000" w:sz="4"/>
                    <w:right w:val="single" w:color="000000" w:sz="4"/>
                  </w:tcBorders>
                  <w:vAlign w:val="top"/>
                </w:tcPr>
                <w:p>
                  <w:pPr>
                    <w:jc w:val="center"/>
                  </w:pPr>
                  <w:r>
                    <w:rPr>
                      <w:sz w:val="22"/>
                    </w:rPr>
                    <w:t>标准分</w:t>
                  </w:r>
                </w:p>
              </w:tc>
              <w:tc>
                <w:tcPr>
                  <w:tcW w:type="dxa" w:w="800"/>
                  <w:tcBorders>
                    <w:top w:val="single" w:color="000000" w:sz="4"/>
                    <w:left w:val="none" w:color="000000" w:sz="4"/>
                    <w:bottom w:val="single" w:color="000000" w:sz="4"/>
                    <w:right w:val="single" w:color="000000" w:sz="4"/>
                  </w:tcBorders>
                  <w:vAlign w:val="top"/>
                </w:tcPr>
                <w:p>
                  <w:pPr>
                    <w:jc w:val="center"/>
                  </w:pPr>
                  <w:r>
                    <w:rPr>
                      <w:sz w:val="22"/>
                    </w:rPr>
                    <w:t>得分</w:t>
                  </w: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1</w:t>
                  </w:r>
                </w:p>
              </w:tc>
              <w:tc>
                <w:tcPr>
                  <w:tcW w:type="dxa" w:w="3770"/>
                  <w:tcBorders>
                    <w:top w:val="none" w:color="000000" w:sz="4"/>
                    <w:left w:val="none" w:color="000000" w:sz="4"/>
                    <w:bottom w:val="single" w:color="000000" w:sz="4"/>
                    <w:right w:val="single" w:color="000000" w:sz="4"/>
                  </w:tcBorders>
                  <w:vAlign w:val="top"/>
                </w:tcPr>
                <w:p>
                  <w:r>
                    <w:rPr>
                      <w:sz w:val="22"/>
                    </w:rPr>
                    <w:t>按要求进行人员配置，发现人数明显不足以能完成服务的，每次扣</w:t>
                  </w:r>
                  <w:r>
                    <w:rPr>
                      <w:sz w:val="22"/>
                    </w:rPr>
                    <w:t>1</w:t>
                  </w:r>
                  <w:r>
                    <w:rPr>
                      <w:sz w:val="22"/>
                    </w:rPr>
                    <w:t>分。</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2</w:t>
                  </w:r>
                </w:p>
              </w:tc>
              <w:tc>
                <w:tcPr>
                  <w:tcW w:type="dxa" w:w="3770"/>
                  <w:tcBorders>
                    <w:top w:val="none" w:color="000000" w:sz="4"/>
                    <w:left w:val="none" w:color="000000" w:sz="4"/>
                    <w:bottom w:val="single" w:color="000000" w:sz="4"/>
                    <w:right w:val="single" w:color="000000" w:sz="4"/>
                  </w:tcBorders>
                  <w:vAlign w:val="top"/>
                </w:tcPr>
                <w:p>
                  <w:r>
                    <w:rPr>
                      <w:sz w:val="22"/>
                    </w:rPr>
                    <w:t>按要求配置设备和车辆，未达要求的，每次扣</w:t>
                  </w:r>
                  <w:r>
                    <w:rPr>
                      <w:sz w:val="22"/>
                    </w:rPr>
                    <w:t>2</w:t>
                  </w:r>
                  <w:r>
                    <w:rPr>
                      <w:sz w:val="22"/>
                    </w:rPr>
                    <w:t>分。</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3</w:t>
                  </w:r>
                </w:p>
              </w:tc>
              <w:tc>
                <w:tcPr>
                  <w:tcW w:type="dxa" w:w="3770"/>
                  <w:tcBorders>
                    <w:top w:val="none" w:color="000000" w:sz="4"/>
                    <w:left w:val="none" w:color="000000" w:sz="4"/>
                    <w:bottom w:val="single" w:color="000000" w:sz="4"/>
                    <w:right w:val="single" w:color="000000" w:sz="4"/>
                  </w:tcBorders>
                  <w:vAlign w:val="top"/>
                </w:tcPr>
                <w:p>
                  <w:r>
                    <w:rPr>
                      <w:sz w:val="22"/>
                    </w:rPr>
                    <w:t>按要求计划进行消杀，积极配合采购人开展各项迎检工作，未达要求的，每次扣</w:t>
                  </w:r>
                  <w:r>
                    <w:rPr>
                      <w:sz w:val="22"/>
                    </w:rPr>
                    <w:t>2</w:t>
                  </w:r>
                  <w:r>
                    <w:rPr>
                      <w:sz w:val="22"/>
                    </w:rPr>
                    <w:t>分。</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4</w:t>
                  </w:r>
                </w:p>
              </w:tc>
              <w:tc>
                <w:tcPr>
                  <w:tcW w:type="dxa" w:w="3770"/>
                  <w:tcBorders>
                    <w:top w:val="none" w:color="000000" w:sz="4"/>
                    <w:left w:val="none" w:color="000000" w:sz="4"/>
                    <w:bottom w:val="single" w:color="000000" w:sz="4"/>
                    <w:right w:val="single" w:color="000000" w:sz="4"/>
                  </w:tcBorders>
                  <w:vAlign w:val="top"/>
                </w:tcPr>
                <w:p>
                  <w:r>
                    <w:rPr>
                      <w:sz w:val="22"/>
                    </w:rPr>
                    <w:t>按要求报送工作计划、工作总结、工作记录、药品台帐、工作图片等合同要求提交的资料，每缺一项扣</w:t>
                  </w:r>
                  <w:r>
                    <w:rPr>
                      <w:sz w:val="22"/>
                    </w:rPr>
                    <w:t>2</w:t>
                  </w:r>
                  <w:r>
                    <w:rPr>
                      <w:sz w:val="22"/>
                    </w:rPr>
                    <w:t>分。</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5</w:t>
                  </w:r>
                </w:p>
              </w:tc>
              <w:tc>
                <w:tcPr>
                  <w:tcW w:type="dxa" w:w="3770"/>
                  <w:tcBorders>
                    <w:top w:val="none" w:color="000000" w:sz="4"/>
                    <w:left w:val="none" w:color="000000" w:sz="4"/>
                    <w:bottom w:val="single" w:color="000000" w:sz="4"/>
                    <w:right w:val="single" w:color="000000" w:sz="4"/>
                  </w:tcBorders>
                  <w:vAlign w:val="top"/>
                </w:tcPr>
                <w:p>
                  <w:r>
                    <w:rPr>
                      <w:sz w:val="22"/>
                    </w:rPr>
                    <w:t>消杀过程不得使用违禁药品或无效药物，未达要求的每次扣</w:t>
                  </w:r>
                  <w:r>
                    <w:rPr>
                      <w:sz w:val="22"/>
                    </w:rPr>
                    <w:t>2</w:t>
                  </w:r>
                  <w:r>
                    <w:rPr>
                      <w:sz w:val="22"/>
                    </w:rPr>
                    <w:t>分。</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6</w:t>
                  </w:r>
                </w:p>
              </w:tc>
              <w:tc>
                <w:tcPr>
                  <w:tcW w:type="dxa" w:w="3770"/>
                  <w:tcBorders>
                    <w:top w:val="none" w:color="000000" w:sz="4"/>
                    <w:left w:val="none" w:color="000000" w:sz="4"/>
                    <w:bottom w:val="single" w:color="000000" w:sz="4"/>
                    <w:right w:val="single" w:color="000000" w:sz="4"/>
                  </w:tcBorders>
                  <w:vAlign w:val="top"/>
                </w:tcPr>
                <w:p>
                  <w:r>
                    <w:rPr>
                      <w:sz w:val="22"/>
                    </w:rPr>
                    <w:t>采购人督导抽查发现鼠屋和防蚊闸设置不规范或缺失，督导过程中发现活鼠、鼠迹、鼠洞，毒饵缺失或洒落地面等情况每次扣</w:t>
                  </w:r>
                  <w:r>
                    <w:rPr>
                      <w:sz w:val="22"/>
                    </w:rPr>
                    <w:t>1</w:t>
                  </w:r>
                  <w:r>
                    <w:rPr>
                      <w:sz w:val="22"/>
                    </w:rPr>
                    <w:t>分。</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7</w:t>
                  </w:r>
                </w:p>
              </w:tc>
              <w:tc>
                <w:tcPr>
                  <w:tcW w:type="dxa" w:w="3770"/>
                  <w:tcBorders>
                    <w:top w:val="none" w:color="000000" w:sz="4"/>
                    <w:left w:val="none" w:color="000000" w:sz="4"/>
                    <w:bottom w:val="single" w:color="000000" w:sz="4"/>
                    <w:right w:val="single" w:color="000000" w:sz="4"/>
                  </w:tcBorders>
                  <w:vAlign w:val="top"/>
                </w:tcPr>
                <w:p>
                  <w:r>
                    <w:rPr>
                      <w:sz w:val="22"/>
                    </w:rPr>
                    <w:t>消杀人员工作时穿着工作服装、佩带工作证件并配备防护装备，未达要求的，每人每次扣</w:t>
                  </w:r>
                  <w:r>
                    <w:rPr>
                      <w:sz w:val="22"/>
                    </w:rPr>
                    <w:t>1</w:t>
                  </w:r>
                  <w:r>
                    <w:rPr>
                      <w:sz w:val="22"/>
                    </w:rPr>
                    <w:t>分。</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8</w:t>
                  </w:r>
                </w:p>
              </w:tc>
              <w:tc>
                <w:tcPr>
                  <w:tcW w:type="dxa" w:w="3770"/>
                  <w:tcBorders>
                    <w:top w:val="none" w:color="000000" w:sz="4"/>
                    <w:left w:val="none" w:color="000000" w:sz="4"/>
                    <w:bottom w:val="single" w:color="000000" w:sz="4"/>
                    <w:right w:val="single" w:color="000000" w:sz="4"/>
                  </w:tcBorders>
                  <w:vAlign w:val="top"/>
                </w:tcPr>
                <w:p>
                  <w:r>
                    <w:rPr>
                      <w:sz w:val="22"/>
                    </w:rPr>
                    <w:t>积极响应和配合采购人进行应急消杀，出现紧急情况或疫情时中标人接采购人通知后未在一小时内到达疫点或未达要求的每次扣</w:t>
                  </w:r>
                  <w:r>
                    <w:rPr>
                      <w:sz w:val="22"/>
                    </w:rPr>
                    <w:t>3</w:t>
                  </w:r>
                  <w:r>
                    <w:rPr>
                      <w:sz w:val="22"/>
                    </w:rPr>
                    <w:t>分。</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9</w:t>
                  </w:r>
                </w:p>
              </w:tc>
              <w:tc>
                <w:tcPr>
                  <w:tcW w:type="dxa" w:w="3770"/>
                  <w:tcBorders>
                    <w:top w:val="none" w:color="000000" w:sz="4"/>
                    <w:left w:val="none" w:color="000000" w:sz="4"/>
                    <w:bottom w:val="single" w:color="000000" w:sz="4"/>
                    <w:right w:val="single" w:color="000000" w:sz="4"/>
                  </w:tcBorders>
                  <w:vAlign w:val="top"/>
                </w:tcPr>
                <w:p>
                  <w:r>
                    <w:rPr>
                      <w:sz w:val="22"/>
                    </w:rPr>
                    <w:t>公共区域</w:t>
                  </w:r>
                  <w:r>
                    <w:rPr>
                      <w:sz w:val="22"/>
                    </w:rPr>
                    <w:t>“</w:t>
                  </w:r>
                  <w:r>
                    <w:rPr>
                      <w:sz w:val="22"/>
                    </w:rPr>
                    <w:t>四害</w:t>
                  </w:r>
                  <w:r>
                    <w:rPr>
                      <w:sz w:val="22"/>
                    </w:rPr>
                    <w:t>”</w:t>
                  </w:r>
                  <w:r>
                    <w:rPr>
                      <w:sz w:val="22"/>
                    </w:rPr>
                    <w:t>监测指标达标，上级部门检查未达要求的每次扣</w:t>
                  </w:r>
                  <w:r>
                    <w:rPr>
                      <w:sz w:val="22"/>
                    </w:rPr>
                    <w:t>1</w:t>
                  </w:r>
                  <w:r>
                    <w:rPr>
                      <w:sz w:val="22"/>
                    </w:rPr>
                    <w:t>分，采购人检查未达要求每次扣</w:t>
                  </w:r>
                  <w:r>
                    <w:rPr>
                      <w:sz w:val="22"/>
                    </w:rPr>
                    <w:t>0.5</w:t>
                  </w:r>
                  <w:r>
                    <w:rPr>
                      <w:sz w:val="22"/>
                    </w:rPr>
                    <w:t>分。</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10</w:t>
                  </w:r>
                </w:p>
              </w:tc>
              <w:tc>
                <w:tcPr>
                  <w:tcW w:type="dxa" w:w="3770"/>
                  <w:tcBorders>
                    <w:top w:val="none" w:color="000000" w:sz="4"/>
                    <w:left w:val="none" w:color="000000" w:sz="4"/>
                    <w:bottom w:val="single" w:color="000000" w:sz="4"/>
                    <w:right w:val="single" w:color="000000" w:sz="4"/>
                  </w:tcBorders>
                  <w:vAlign w:val="top"/>
                </w:tcPr>
                <w:p>
                  <w:r>
                    <w:rPr>
                      <w:sz w:val="22"/>
                    </w:rPr>
                    <w:t>消杀人员专业能力不足、无专业证、无岗前培训、不服从指挥，或被群众投诉工作态度差、服务不认真，经核属实，每次扣</w:t>
                  </w:r>
                  <w:r>
                    <w:rPr>
                      <w:sz w:val="22"/>
                    </w:rPr>
                    <w:t>2</w:t>
                  </w:r>
                  <w:r>
                    <w:rPr>
                      <w:sz w:val="22"/>
                    </w:rPr>
                    <w:t>分。</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227"/>
                  <w:gridSpan w:val="2"/>
                  <w:tcBorders>
                    <w:top w:val="none" w:color="000000" w:sz="4"/>
                    <w:left w:val="single" w:color="000000" w:sz="4"/>
                    <w:bottom w:val="single" w:color="000000" w:sz="4"/>
                    <w:right w:val="single" w:color="000000" w:sz="4"/>
                  </w:tcBorders>
                  <w:vAlign w:val="top"/>
                </w:tcPr>
                <w:p>
                  <w:pPr>
                    <w:jc w:val="center"/>
                  </w:pPr>
                  <w:r>
                    <w:rPr>
                      <w:b/>
                      <w:sz w:val="22"/>
                    </w:rPr>
                    <w:t>合</w:t>
                  </w:r>
                  <w:r>
                    <w:rPr>
                      <w:b/>
                      <w:sz w:val="22"/>
                    </w:rPr>
                    <w:t xml:space="preserve"> </w:t>
                  </w:r>
                  <w:r>
                    <w:rPr>
                      <w:b/>
                      <w:sz w:val="22"/>
                    </w:rPr>
                    <w:t>计</w:t>
                  </w:r>
                </w:p>
              </w:tc>
              <w:tc>
                <w:tcPr>
                  <w:tcW w:type="dxa" w:w="571"/>
                  <w:tcBorders>
                    <w:top w:val="none" w:color="000000" w:sz="4"/>
                    <w:left w:val="none" w:color="000000" w:sz="4"/>
                    <w:bottom w:val="single" w:color="000000" w:sz="4"/>
                    <w:right w:val="single" w:color="000000" w:sz="4"/>
                  </w:tcBorders>
                  <w:vAlign w:val="top"/>
                </w:tcPr>
                <w:p>
                  <w:pPr>
                    <w:jc w:val="center"/>
                  </w:pPr>
                  <w:r>
                    <w:rPr>
                      <w:b/>
                      <w:sz w:val="22"/>
                    </w:rPr>
                    <w:t>100</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bl>
          <w:p>
            <w:pPr>
              <w:jc w:val="center"/>
            </w:pPr>
          </w:p>
          <w:p>
            <w:pPr>
              <w:jc w:val="center"/>
            </w:pPr>
            <w:r>
              <w:rPr>
                <w:sz w:val="22"/>
              </w:rPr>
              <w:t>考核评分表</w:t>
            </w:r>
            <w:r>
              <w:rPr>
                <w:sz w:val="22"/>
              </w:rPr>
              <w:t>2</w:t>
            </w:r>
            <w:r>
              <w:rPr>
                <w:sz w:val="22"/>
              </w:rPr>
              <w:t>（适用于村、社区、学校、幼儿园、公园评分）</w:t>
            </w:r>
          </w:p>
          <w:tbl>
            <w:tblPr>
              <w:tblBorders>
                <w:top w:val="none" w:color="000000" w:sz="4"/>
                <w:left w:val="none" w:color="000000" w:sz="4"/>
                <w:bottom w:val="none" w:color="000000" w:sz="4"/>
                <w:right w:val="none" w:color="000000" w:sz="4"/>
                <w:insideH w:val="none"/>
                <w:insideV w:val="none"/>
              </w:tblBorders>
            </w:tblPr>
            <w:tblGrid>
              <w:gridCol w:w="457"/>
              <w:gridCol w:w="3770"/>
              <w:gridCol w:w="571"/>
              <w:gridCol w:w="800"/>
            </w:tblGrid>
            <w:tr>
              <w:tc>
                <w:tcPr>
                  <w:tcW w:type="dxa" w:w="457"/>
                  <w:tcBorders>
                    <w:top w:val="single" w:color="000000" w:sz="4"/>
                    <w:left w:val="single" w:color="000000" w:sz="4"/>
                    <w:bottom w:val="single" w:color="000000" w:sz="4"/>
                    <w:right w:val="single" w:color="000000" w:sz="4"/>
                  </w:tcBorders>
                  <w:vAlign w:val="top"/>
                </w:tcPr>
                <w:p>
                  <w:pPr>
                    <w:jc w:val="center"/>
                  </w:pPr>
                  <w:r>
                    <w:rPr>
                      <w:sz w:val="22"/>
                    </w:rPr>
                    <w:t>序号</w:t>
                  </w:r>
                </w:p>
              </w:tc>
              <w:tc>
                <w:tcPr>
                  <w:tcW w:type="dxa" w:w="3770"/>
                  <w:tcBorders>
                    <w:top w:val="single" w:color="000000" w:sz="4"/>
                    <w:left w:val="none" w:color="000000" w:sz="4"/>
                    <w:bottom w:val="single" w:color="000000" w:sz="4"/>
                    <w:right w:val="single" w:color="000000" w:sz="4"/>
                  </w:tcBorders>
                  <w:vAlign w:val="top"/>
                </w:tcPr>
                <w:p>
                  <w:pPr>
                    <w:jc w:val="center"/>
                  </w:pPr>
                  <w:r>
                    <w:rPr>
                      <w:sz w:val="22"/>
                    </w:rPr>
                    <w:t>考核项目</w:t>
                  </w:r>
                </w:p>
              </w:tc>
              <w:tc>
                <w:tcPr>
                  <w:tcW w:type="dxa" w:w="571"/>
                  <w:tcBorders>
                    <w:top w:val="single" w:color="000000" w:sz="4"/>
                    <w:left w:val="none" w:color="000000" w:sz="4"/>
                    <w:bottom w:val="single" w:color="000000" w:sz="4"/>
                    <w:right w:val="single" w:color="000000" w:sz="4"/>
                  </w:tcBorders>
                  <w:vAlign w:val="top"/>
                </w:tcPr>
                <w:p>
                  <w:pPr>
                    <w:jc w:val="center"/>
                  </w:pPr>
                  <w:r>
                    <w:rPr>
                      <w:sz w:val="22"/>
                    </w:rPr>
                    <w:t>标准分</w:t>
                  </w:r>
                </w:p>
              </w:tc>
              <w:tc>
                <w:tcPr>
                  <w:tcW w:type="dxa" w:w="800"/>
                  <w:tcBorders>
                    <w:top w:val="single" w:color="000000" w:sz="4"/>
                    <w:left w:val="none" w:color="000000" w:sz="4"/>
                    <w:bottom w:val="single" w:color="000000" w:sz="4"/>
                    <w:right w:val="single" w:color="000000" w:sz="4"/>
                  </w:tcBorders>
                  <w:vAlign w:val="top"/>
                </w:tcPr>
                <w:p>
                  <w:pPr>
                    <w:jc w:val="center"/>
                  </w:pPr>
                  <w:r>
                    <w:rPr>
                      <w:sz w:val="22"/>
                    </w:rPr>
                    <w:t>得分</w:t>
                  </w: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1</w:t>
                  </w:r>
                </w:p>
              </w:tc>
              <w:tc>
                <w:tcPr>
                  <w:tcW w:type="dxa" w:w="3770"/>
                  <w:tcBorders>
                    <w:top w:val="none" w:color="000000" w:sz="4"/>
                    <w:left w:val="none" w:color="000000" w:sz="4"/>
                    <w:bottom w:val="single" w:color="000000" w:sz="4"/>
                    <w:right w:val="single" w:color="000000" w:sz="4"/>
                  </w:tcBorders>
                  <w:vAlign w:val="top"/>
                </w:tcPr>
                <w:p>
                  <w:r>
                    <w:rPr>
                      <w:sz w:val="22"/>
                    </w:rPr>
                    <w:t>按要求进行人员配置，发现人数明显不足以能完成服务的，每次扣</w:t>
                  </w:r>
                  <w:r>
                    <w:rPr>
                      <w:sz w:val="22"/>
                    </w:rPr>
                    <w:t>1</w:t>
                  </w:r>
                  <w:r>
                    <w:rPr>
                      <w:sz w:val="22"/>
                    </w:rPr>
                    <w:t>分。</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2</w:t>
                  </w:r>
                </w:p>
              </w:tc>
              <w:tc>
                <w:tcPr>
                  <w:tcW w:type="dxa" w:w="3770"/>
                  <w:tcBorders>
                    <w:top w:val="none" w:color="000000" w:sz="4"/>
                    <w:left w:val="none" w:color="000000" w:sz="4"/>
                    <w:bottom w:val="single" w:color="000000" w:sz="4"/>
                    <w:right w:val="single" w:color="000000" w:sz="4"/>
                  </w:tcBorders>
                  <w:vAlign w:val="top"/>
                </w:tcPr>
                <w:p>
                  <w:r>
                    <w:rPr>
                      <w:sz w:val="22"/>
                    </w:rPr>
                    <w:t>按要求配置设备和车辆，未达要求或设备、车辆不能正常使用的，每次扣</w:t>
                  </w:r>
                  <w:r>
                    <w:rPr>
                      <w:sz w:val="22"/>
                    </w:rPr>
                    <w:t>1</w:t>
                  </w:r>
                  <w:r>
                    <w:rPr>
                      <w:sz w:val="22"/>
                    </w:rPr>
                    <w:t>分。</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3</w:t>
                  </w:r>
                </w:p>
              </w:tc>
              <w:tc>
                <w:tcPr>
                  <w:tcW w:type="dxa" w:w="3770"/>
                  <w:tcBorders>
                    <w:top w:val="none" w:color="000000" w:sz="4"/>
                    <w:left w:val="none" w:color="000000" w:sz="4"/>
                    <w:bottom w:val="single" w:color="000000" w:sz="4"/>
                    <w:right w:val="single" w:color="000000" w:sz="4"/>
                  </w:tcBorders>
                  <w:vAlign w:val="top"/>
                </w:tcPr>
                <w:p>
                  <w:r>
                    <w:rPr>
                      <w:sz w:val="22"/>
                    </w:rPr>
                    <w:t>消杀作业做到分工协作流畅，全覆盖，不遗留，无重复消杀，消杀效果好，未达要求的，每次扣</w:t>
                  </w:r>
                  <w:r>
                    <w:rPr>
                      <w:sz w:val="22"/>
                    </w:rPr>
                    <w:t>1</w:t>
                  </w:r>
                  <w:r>
                    <w:rPr>
                      <w:sz w:val="22"/>
                    </w:rPr>
                    <w:t>分。</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15</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4</w:t>
                  </w:r>
                </w:p>
              </w:tc>
              <w:tc>
                <w:tcPr>
                  <w:tcW w:type="dxa" w:w="3770"/>
                  <w:tcBorders>
                    <w:top w:val="none" w:color="000000" w:sz="4"/>
                    <w:left w:val="none" w:color="000000" w:sz="4"/>
                    <w:bottom w:val="single" w:color="000000" w:sz="4"/>
                    <w:right w:val="single" w:color="000000" w:sz="4"/>
                  </w:tcBorders>
                  <w:vAlign w:val="top"/>
                </w:tcPr>
                <w:p>
                  <w:r>
                    <w:rPr>
                      <w:sz w:val="22"/>
                    </w:rPr>
                    <w:t>消杀过程不得使用违禁药品或无效药物，未达要求的每次扣</w:t>
                  </w:r>
                  <w:r>
                    <w:rPr>
                      <w:sz w:val="22"/>
                    </w:rPr>
                    <w:t>2</w:t>
                  </w:r>
                  <w:r>
                    <w:rPr>
                      <w:sz w:val="22"/>
                    </w:rPr>
                    <w:t>分。（扣分请同时提供佐证材料）</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5</w:t>
                  </w:r>
                </w:p>
              </w:tc>
              <w:tc>
                <w:tcPr>
                  <w:tcW w:type="dxa" w:w="3770"/>
                  <w:tcBorders>
                    <w:top w:val="none" w:color="000000" w:sz="4"/>
                    <w:left w:val="none" w:color="000000" w:sz="4"/>
                    <w:bottom w:val="single" w:color="000000" w:sz="4"/>
                    <w:right w:val="single" w:color="000000" w:sz="4"/>
                  </w:tcBorders>
                  <w:vAlign w:val="top"/>
                </w:tcPr>
                <w:p>
                  <w:r>
                    <w:rPr>
                      <w:sz w:val="22"/>
                    </w:rPr>
                    <w:t>安全消杀作业，按要求作业时及时避开行人、动物、鱼类、蜜蜂等，未达要求的，每次扣</w:t>
                  </w:r>
                  <w:r>
                    <w:rPr>
                      <w:sz w:val="22"/>
                    </w:rPr>
                    <w:t>1</w:t>
                  </w:r>
                  <w:r>
                    <w:rPr>
                      <w:sz w:val="22"/>
                    </w:rPr>
                    <w:t>分。（扣分请同时提供佐证材料）</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15</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6</w:t>
                  </w:r>
                </w:p>
              </w:tc>
              <w:tc>
                <w:tcPr>
                  <w:tcW w:type="dxa" w:w="3770"/>
                  <w:tcBorders>
                    <w:top w:val="none" w:color="000000" w:sz="4"/>
                    <w:left w:val="none" w:color="000000" w:sz="4"/>
                    <w:bottom w:val="single" w:color="000000" w:sz="4"/>
                    <w:right w:val="single" w:color="000000" w:sz="4"/>
                  </w:tcBorders>
                  <w:vAlign w:val="top"/>
                </w:tcPr>
                <w:p>
                  <w:r>
                    <w:rPr>
                      <w:sz w:val="22"/>
                    </w:rPr>
                    <w:t>消杀人员工作时穿着工作服装、佩带工作证件并配备防护装备，未达要求的，每人每次扣</w:t>
                  </w:r>
                  <w:r>
                    <w:rPr>
                      <w:sz w:val="22"/>
                    </w:rPr>
                    <w:t>1</w:t>
                  </w:r>
                  <w:r>
                    <w:rPr>
                      <w:sz w:val="22"/>
                    </w:rPr>
                    <w:t>分。（扣分请同时提供佐证材料）</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7</w:t>
                  </w:r>
                </w:p>
              </w:tc>
              <w:tc>
                <w:tcPr>
                  <w:tcW w:type="dxa" w:w="3770"/>
                  <w:tcBorders>
                    <w:top w:val="none" w:color="000000" w:sz="4"/>
                    <w:left w:val="none" w:color="000000" w:sz="4"/>
                    <w:bottom w:val="single" w:color="000000" w:sz="4"/>
                    <w:right w:val="single" w:color="000000" w:sz="4"/>
                  </w:tcBorders>
                  <w:vAlign w:val="top"/>
                </w:tcPr>
                <w:p>
                  <w:r>
                    <w:rPr>
                      <w:sz w:val="22"/>
                    </w:rPr>
                    <w:t>积极响应和配合采购人进行应急消杀，出现紧急情况或疫情时，接通知后未在一小时内到达疫点或未达要求的每次扣</w:t>
                  </w:r>
                  <w:r>
                    <w:rPr>
                      <w:sz w:val="22"/>
                    </w:rPr>
                    <w:t>3</w:t>
                  </w:r>
                  <w:r>
                    <w:rPr>
                      <w:sz w:val="22"/>
                    </w:rPr>
                    <w:t>分，现场不配合开展工作每次扣</w:t>
                  </w:r>
                  <w:r>
                    <w:rPr>
                      <w:sz w:val="22"/>
                    </w:rPr>
                    <w:t>1</w:t>
                  </w:r>
                  <w:r>
                    <w:rPr>
                      <w:sz w:val="22"/>
                    </w:rPr>
                    <w:t>分。</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15</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57"/>
                  <w:tcBorders>
                    <w:top w:val="none" w:color="000000" w:sz="4"/>
                    <w:left w:val="single" w:color="000000" w:sz="4"/>
                    <w:bottom w:val="single" w:color="000000" w:sz="4"/>
                    <w:right w:val="single" w:color="000000" w:sz="4"/>
                  </w:tcBorders>
                  <w:vAlign w:val="top"/>
                </w:tcPr>
                <w:p>
                  <w:pPr>
                    <w:jc w:val="center"/>
                  </w:pPr>
                  <w:r>
                    <w:rPr>
                      <w:sz w:val="22"/>
                    </w:rPr>
                    <w:t>8</w:t>
                  </w:r>
                </w:p>
              </w:tc>
              <w:tc>
                <w:tcPr>
                  <w:tcW w:type="dxa" w:w="3770"/>
                  <w:tcBorders>
                    <w:top w:val="none" w:color="000000" w:sz="4"/>
                    <w:left w:val="none" w:color="000000" w:sz="4"/>
                    <w:bottom w:val="single" w:color="000000" w:sz="4"/>
                    <w:right w:val="single" w:color="000000" w:sz="4"/>
                  </w:tcBorders>
                  <w:vAlign w:val="top"/>
                </w:tcPr>
                <w:p>
                  <w:r>
                    <w:rPr>
                      <w:sz w:val="22"/>
                    </w:rPr>
                    <w:t>消杀人员工作态度差，服务不认真，消杀作业时有吸烟、进食等情况，每次扣</w:t>
                  </w:r>
                  <w:r>
                    <w:rPr>
                      <w:sz w:val="22"/>
                    </w:rPr>
                    <w:t>1</w:t>
                  </w:r>
                  <w:r>
                    <w:rPr>
                      <w:sz w:val="22"/>
                    </w:rPr>
                    <w:t>分。（扣分请同时提供佐证材料）</w:t>
                  </w:r>
                </w:p>
              </w:tc>
              <w:tc>
                <w:tcPr>
                  <w:tcW w:type="dxa" w:w="571"/>
                  <w:tcBorders>
                    <w:top w:val="none" w:color="000000" w:sz="4"/>
                    <w:left w:val="none" w:color="000000" w:sz="4"/>
                    <w:bottom w:val="single" w:color="000000" w:sz="4"/>
                    <w:right w:val="single" w:color="000000" w:sz="4"/>
                  </w:tcBorders>
                  <w:vAlign w:val="top"/>
                </w:tcPr>
                <w:p>
                  <w:pPr>
                    <w:jc w:val="center"/>
                  </w:pPr>
                  <w:r>
                    <w:rPr>
                      <w:sz w:val="22"/>
                    </w:rPr>
                    <w:t>15</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r>
              <w:tc>
                <w:tcPr>
                  <w:tcW w:type="dxa" w:w="4227"/>
                  <w:gridSpan w:val="2"/>
                  <w:tcBorders>
                    <w:top w:val="none" w:color="000000" w:sz="4"/>
                    <w:left w:val="single" w:color="000000" w:sz="4"/>
                    <w:bottom w:val="single" w:color="000000" w:sz="4"/>
                    <w:right w:val="single" w:color="000000" w:sz="4"/>
                  </w:tcBorders>
                  <w:vAlign w:val="top"/>
                </w:tcPr>
                <w:p>
                  <w:pPr>
                    <w:jc w:val="center"/>
                  </w:pPr>
                  <w:r>
                    <w:rPr>
                      <w:b/>
                      <w:sz w:val="22"/>
                    </w:rPr>
                    <w:t>合</w:t>
                  </w:r>
                  <w:r>
                    <w:rPr>
                      <w:b/>
                      <w:sz w:val="22"/>
                    </w:rPr>
                    <w:t xml:space="preserve"> </w:t>
                  </w:r>
                  <w:r>
                    <w:rPr>
                      <w:b/>
                      <w:sz w:val="22"/>
                    </w:rPr>
                    <w:t>计</w:t>
                  </w:r>
                </w:p>
              </w:tc>
              <w:tc>
                <w:tcPr>
                  <w:tcW w:type="dxa" w:w="571"/>
                  <w:tcBorders>
                    <w:top w:val="none" w:color="000000" w:sz="4"/>
                    <w:left w:val="none" w:color="000000" w:sz="4"/>
                    <w:bottom w:val="single" w:color="000000" w:sz="4"/>
                    <w:right w:val="single" w:color="000000" w:sz="4"/>
                  </w:tcBorders>
                  <w:vAlign w:val="top"/>
                </w:tcPr>
                <w:p>
                  <w:pPr>
                    <w:jc w:val="center"/>
                  </w:pPr>
                  <w:r>
                    <w:rPr>
                      <w:b/>
                      <w:sz w:val="22"/>
                    </w:rPr>
                    <w:t>100</w:t>
                  </w:r>
                  <w:r>
                    <w:rPr>
                      <w:sz w:val="22"/>
                    </w:rPr>
                    <w:t>分</w:t>
                  </w:r>
                </w:p>
              </w:tc>
              <w:tc>
                <w:tcPr>
                  <w:tcW w:type="dxa" w:w="800"/>
                  <w:tcBorders>
                    <w:top w:val="none" w:color="000000" w:sz="4"/>
                    <w:left w:val="none" w:color="000000" w:sz="4"/>
                    <w:bottom w:val="single" w:color="000000" w:sz="4"/>
                    <w:right w:val="single" w:color="000000" w:sz="4"/>
                  </w:tcBorders>
                  <w:vAlign w:val="top"/>
                </w:tcPr>
                <w:p>
                  <w:pPr>
                    <w:jc w:val="center"/>
                  </w:pPr>
                </w:p>
              </w:tc>
            </w:tr>
          </w:tbl>
          <w:p>
            <w:r>
              <w:rPr/>
              <w:t xml:space="preserve"> </w:t>
            </w:r>
          </w:p>
          <w:p>
            <w:r>
              <w:rPr/>
              <w:t xml:space="preserve"> </w:t>
            </w:r>
          </w:p>
          <w:p>
            <w:r>
              <w:rPr/>
              <w:t xml:space="preserve"> </w:t>
            </w:r>
          </w:p>
          <w:p>
            <w:r>
              <w:rPr/>
              <w:t xml:space="preserve"> </w:t>
            </w:r>
          </w:p>
          <w:p>
            <w:r>
              <w:rPr/>
              <w:t xml:space="preserve"> </w:t>
            </w:r>
          </w:p>
          <w:p>
            <w:r>
              <w:rPr/>
              <w:t xml:space="preserve"> </w:t>
            </w:r>
          </w:p>
        </w:tc>
      </w:tr>
      <w:tr>
        <w:tc>
          <w:tcPr>
            <w:tcW w:type="dxa" w:w="2076"/>
          </w:tcPr>
          <w:p/>
        </w:tc>
        <w:tc>
          <w:tcPr>
            <w:tcW w:type="dxa" w:w="415"/>
          </w:tcPr>
          <w:p>
            <w:r>
              <w:rPr/>
              <w:t>5</w:t>
            </w:r>
          </w:p>
        </w:tc>
        <w:tc>
          <w:tcPr>
            <w:tcW w:type="dxa" w:w="5814"/>
          </w:tcPr>
          <w:p>
            <w:pPr>
              <w:ind w:firstLine="482"/>
            </w:pPr>
            <w:r>
              <w:rPr>
                <w:b/>
                <w:sz w:val="22"/>
              </w:rPr>
              <w:t>五、服务质量标准（国家标准）</w:t>
            </w:r>
          </w:p>
          <w:p>
            <w:pPr>
              <w:ind w:firstLine="480"/>
            </w:pPr>
            <w:r>
              <w:rPr>
                <w:sz w:val="22"/>
              </w:rPr>
              <w:t>（一）鼠密度控制水平（GB/T 27770-2011）</w:t>
            </w:r>
          </w:p>
          <w:p>
            <w:pPr>
              <w:ind w:firstLine="480"/>
            </w:pPr>
            <w:r>
              <w:rPr>
                <w:sz w:val="22"/>
              </w:rPr>
              <w:t>1.</w:t>
            </w:r>
            <w:r>
              <w:rPr>
                <w:sz w:val="22"/>
              </w:rPr>
              <w:t>防鼠设施：防鼠设施合格率大于或等于</w:t>
            </w:r>
            <w:r>
              <w:rPr>
                <w:sz w:val="22"/>
              </w:rPr>
              <w:t>93%</w:t>
            </w:r>
            <w:r>
              <w:rPr>
                <w:sz w:val="22"/>
              </w:rPr>
              <w:t>，必须达</w:t>
            </w:r>
            <w:r>
              <w:rPr>
                <w:sz w:val="22"/>
              </w:rPr>
              <w:t>C</w:t>
            </w:r>
            <w:r>
              <w:rPr>
                <w:sz w:val="22"/>
              </w:rPr>
              <w:t>级以上。</w:t>
            </w:r>
          </w:p>
          <w:p>
            <w:pPr>
              <w:ind w:firstLine="480"/>
            </w:pPr>
            <w:r>
              <w:rPr>
                <w:sz w:val="22"/>
              </w:rPr>
              <w:t>2.</w:t>
            </w:r>
            <w:r>
              <w:rPr>
                <w:sz w:val="22"/>
              </w:rPr>
              <w:t>室内鼠密度：鼠迹阳性率小于或等于</w:t>
            </w:r>
            <w:r>
              <w:rPr>
                <w:sz w:val="22"/>
              </w:rPr>
              <w:t>5%</w:t>
            </w:r>
            <w:r>
              <w:rPr>
                <w:sz w:val="22"/>
              </w:rPr>
              <w:t>，必须达</w:t>
            </w:r>
            <w:r>
              <w:rPr>
                <w:sz w:val="22"/>
              </w:rPr>
              <w:t>C</w:t>
            </w:r>
            <w:r>
              <w:rPr>
                <w:sz w:val="22"/>
              </w:rPr>
              <w:t>级以上。</w:t>
            </w:r>
          </w:p>
          <w:p>
            <w:pPr>
              <w:ind w:firstLine="480"/>
            </w:pPr>
            <w:r>
              <w:rPr>
                <w:sz w:val="22"/>
              </w:rPr>
              <w:t>3.</w:t>
            </w:r>
            <w:r>
              <w:rPr>
                <w:sz w:val="22"/>
              </w:rPr>
              <w:t>外环境：路径指数小于或等于</w:t>
            </w:r>
            <w:r>
              <w:rPr>
                <w:sz w:val="22"/>
              </w:rPr>
              <w:t>5</w:t>
            </w:r>
            <w:r>
              <w:rPr>
                <w:sz w:val="22"/>
              </w:rPr>
              <w:t>，必须达</w:t>
            </w:r>
            <w:r>
              <w:rPr>
                <w:sz w:val="22"/>
              </w:rPr>
              <w:t>C</w:t>
            </w:r>
            <w:r>
              <w:rPr>
                <w:sz w:val="22"/>
              </w:rPr>
              <w:t>级以上。</w:t>
            </w:r>
          </w:p>
          <w:p>
            <w:pPr>
              <w:ind w:firstLine="480"/>
            </w:pPr>
            <w:r>
              <w:rPr>
                <w:sz w:val="22"/>
              </w:rPr>
              <w:t>（二）蜚蠊密度控制水平（GB/T 27773-2011）</w:t>
            </w:r>
          </w:p>
          <w:p>
            <w:pPr>
              <w:ind w:firstLine="480"/>
            </w:pPr>
            <w:r>
              <w:rPr>
                <w:sz w:val="22"/>
              </w:rPr>
              <w:t>1.</w:t>
            </w:r>
            <w:r>
              <w:rPr>
                <w:sz w:val="22"/>
              </w:rPr>
              <w:t>成若虫侵害率：蜚蠊成若虫侵害率小于或等于</w:t>
            </w:r>
            <w:r>
              <w:rPr>
                <w:sz w:val="22"/>
              </w:rPr>
              <w:t>5%</w:t>
            </w:r>
            <w:r>
              <w:rPr>
                <w:sz w:val="22"/>
              </w:rPr>
              <w:t>，平均每阳性（处）成若虫数小蠊小于或等于</w:t>
            </w:r>
            <w:r>
              <w:rPr>
                <w:sz w:val="22"/>
              </w:rPr>
              <w:t>10</w:t>
            </w:r>
            <w:r>
              <w:rPr>
                <w:sz w:val="22"/>
              </w:rPr>
              <w:t>只，大蠊小于或等于</w:t>
            </w:r>
            <w:r>
              <w:rPr>
                <w:sz w:val="22"/>
              </w:rPr>
              <w:t>5</w:t>
            </w:r>
            <w:r>
              <w:rPr>
                <w:sz w:val="22"/>
              </w:rPr>
              <w:t>只。必须达</w:t>
            </w:r>
            <w:r>
              <w:rPr>
                <w:sz w:val="22"/>
              </w:rPr>
              <w:t>C</w:t>
            </w:r>
            <w:r>
              <w:rPr>
                <w:sz w:val="22"/>
              </w:rPr>
              <w:t>级以上。</w:t>
            </w:r>
          </w:p>
          <w:p>
            <w:pPr>
              <w:ind w:firstLine="480"/>
            </w:pPr>
            <w:r>
              <w:rPr>
                <w:sz w:val="22"/>
              </w:rPr>
              <w:t>2.</w:t>
            </w:r>
            <w:r>
              <w:rPr>
                <w:sz w:val="22"/>
              </w:rPr>
              <w:t>卵鞘查获率：蜚蠊卵鞘查获率小于或等于</w:t>
            </w:r>
            <w:r>
              <w:rPr>
                <w:sz w:val="22"/>
              </w:rPr>
              <w:t>3%</w:t>
            </w:r>
            <w:r>
              <w:rPr>
                <w:sz w:val="22"/>
              </w:rPr>
              <w:t>，平均每阳性房间（处）卵鞘数小于或等于</w:t>
            </w:r>
            <w:r>
              <w:rPr>
                <w:sz w:val="22"/>
              </w:rPr>
              <w:t>8</w:t>
            </w:r>
            <w:r>
              <w:rPr>
                <w:sz w:val="22"/>
              </w:rPr>
              <w:t>只。必须达</w:t>
            </w:r>
            <w:r>
              <w:rPr>
                <w:sz w:val="22"/>
              </w:rPr>
              <w:t>C</w:t>
            </w:r>
            <w:r>
              <w:rPr>
                <w:sz w:val="22"/>
              </w:rPr>
              <w:t>级以上。</w:t>
            </w:r>
          </w:p>
          <w:p>
            <w:pPr>
              <w:ind w:firstLine="480"/>
            </w:pPr>
            <w:r>
              <w:rPr>
                <w:sz w:val="22"/>
              </w:rPr>
              <w:t>3.</w:t>
            </w:r>
            <w:r>
              <w:rPr>
                <w:sz w:val="22"/>
              </w:rPr>
              <w:t>蟑迹查获率：蟑迹查获率小于或等于</w:t>
            </w:r>
            <w:r>
              <w:rPr>
                <w:sz w:val="22"/>
              </w:rPr>
              <w:t>7%</w:t>
            </w:r>
            <w:r>
              <w:rPr>
                <w:sz w:val="22"/>
              </w:rPr>
              <w:t>。必须达</w:t>
            </w:r>
            <w:r>
              <w:rPr>
                <w:sz w:val="22"/>
              </w:rPr>
              <w:t>C</w:t>
            </w:r>
            <w:r>
              <w:rPr>
                <w:sz w:val="22"/>
              </w:rPr>
              <w:t>级以上。</w:t>
            </w:r>
          </w:p>
          <w:p>
            <w:pPr>
              <w:ind w:firstLine="480"/>
            </w:pPr>
            <w:r>
              <w:rPr>
                <w:sz w:val="22"/>
              </w:rPr>
              <w:t>（三）蝇类控制水平（GB/T 27772-2011）</w:t>
            </w:r>
          </w:p>
          <w:p>
            <w:pPr>
              <w:ind w:firstLine="480"/>
            </w:pPr>
            <w:r>
              <w:rPr>
                <w:sz w:val="22"/>
              </w:rPr>
              <w:t>1.</w:t>
            </w:r>
            <w:r>
              <w:rPr>
                <w:sz w:val="22"/>
              </w:rPr>
              <w:t>生产销售直接入口食品的场所不得有蝇。室内不得存在蝇类孳生地，必须达</w:t>
            </w:r>
            <w:r>
              <w:rPr>
                <w:sz w:val="22"/>
              </w:rPr>
              <w:t>C</w:t>
            </w:r>
            <w:r>
              <w:rPr>
                <w:sz w:val="22"/>
              </w:rPr>
              <w:t>级以上。</w:t>
            </w:r>
          </w:p>
          <w:p>
            <w:pPr>
              <w:ind w:firstLine="480"/>
            </w:pPr>
            <w:r>
              <w:rPr>
                <w:sz w:val="22"/>
              </w:rPr>
              <w:t>2.</w:t>
            </w:r>
            <w:r>
              <w:rPr>
                <w:sz w:val="22"/>
              </w:rPr>
              <w:t>室内成蝇密度：有蝇房间阳性率小于或等于</w:t>
            </w:r>
            <w:r>
              <w:rPr>
                <w:sz w:val="22"/>
              </w:rPr>
              <w:t>9%</w:t>
            </w:r>
            <w:r>
              <w:rPr>
                <w:sz w:val="22"/>
              </w:rPr>
              <w:t>，阳性间蝇密度小于或等于</w:t>
            </w:r>
            <w:r>
              <w:rPr>
                <w:sz w:val="22"/>
              </w:rPr>
              <w:t>3</w:t>
            </w:r>
            <w:r>
              <w:rPr>
                <w:sz w:val="22"/>
              </w:rPr>
              <w:t>只</w:t>
            </w:r>
            <w:r>
              <w:rPr>
                <w:sz w:val="22"/>
              </w:rPr>
              <w:t>/</w:t>
            </w:r>
            <w:r>
              <w:rPr>
                <w:sz w:val="22"/>
              </w:rPr>
              <w:t>间，必须达</w:t>
            </w:r>
            <w:r>
              <w:rPr>
                <w:sz w:val="22"/>
              </w:rPr>
              <w:t>C</w:t>
            </w:r>
            <w:r>
              <w:rPr>
                <w:sz w:val="22"/>
              </w:rPr>
              <w:t>级以上。</w:t>
            </w:r>
          </w:p>
          <w:p>
            <w:pPr>
              <w:ind w:firstLine="480"/>
            </w:pPr>
            <w:r>
              <w:rPr>
                <w:sz w:val="22"/>
              </w:rPr>
              <w:t>3.</w:t>
            </w:r>
            <w:r>
              <w:rPr>
                <w:sz w:val="22"/>
              </w:rPr>
              <w:t>室外蝇类孳生地密度：蝇类孳生地阳性率小于或等于</w:t>
            </w:r>
            <w:r>
              <w:rPr>
                <w:sz w:val="22"/>
              </w:rPr>
              <w:t>5%</w:t>
            </w:r>
            <w:r>
              <w:rPr>
                <w:sz w:val="22"/>
              </w:rPr>
              <w:t>，必须达</w:t>
            </w:r>
            <w:r>
              <w:rPr>
                <w:sz w:val="22"/>
              </w:rPr>
              <w:t>C</w:t>
            </w:r>
            <w:r>
              <w:rPr>
                <w:sz w:val="22"/>
              </w:rPr>
              <w:t>级以上。</w:t>
            </w:r>
          </w:p>
          <w:p>
            <w:pPr>
              <w:ind w:firstLine="480"/>
            </w:pPr>
            <w:r>
              <w:rPr>
                <w:sz w:val="22"/>
              </w:rPr>
              <w:t>4.</w:t>
            </w:r>
            <w:r>
              <w:rPr>
                <w:sz w:val="22"/>
              </w:rPr>
              <w:t>防蝇设施：防蝇设施合格率大于或等于</w:t>
            </w:r>
            <w:r>
              <w:rPr>
                <w:sz w:val="22"/>
              </w:rPr>
              <w:t>90%</w:t>
            </w:r>
            <w:r>
              <w:rPr>
                <w:sz w:val="22"/>
              </w:rPr>
              <w:t>，必须达</w:t>
            </w:r>
            <w:r>
              <w:rPr>
                <w:sz w:val="22"/>
              </w:rPr>
              <w:t>C</w:t>
            </w:r>
            <w:r>
              <w:rPr>
                <w:sz w:val="22"/>
              </w:rPr>
              <w:t>级以上。</w:t>
            </w:r>
          </w:p>
          <w:p>
            <w:pPr>
              <w:ind w:firstLine="480"/>
            </w:pPr>
            <w:r>
              <w:rPr>
                <w:sz w:val="22"/>
              </w:rPr>
              <w:t>（四）蚊密度控制水平（GB/T 27771-2011）</w:t>
            </w:r>
          </w:p>
          <w:p>
            <w:pPr>
              <w:ind w:firstLine="480"/>
            </w:pPr>
            <w:r>
              <w:rPr>
                <w:sz w:val="22"/>
              </w:rPr>
              <w:t>1.</w:t>
            </w:r>
            <w:r>
              <w:rPr>
                <w:sz w:val="22"/>
              </w:rPr>
              <w:t>小型积水蚊虫密度：路径指数小于或等于</w:t>
            </w:r>
            <w:r>
              <w:rPr>
                <w:sz w:val="22"/>
              </w:rPr>
              <w:t>0.8</w:t>
            </w:r>
            <w:r>
              <w:rPr>
                <w:sz w:val="22"/>
              </w:rPr>
              <w:t>，必须达</w:t>
            </w:r>
            <w:r>
              <w:rPr>
                <w:sz w:val="22"/>
              </w:rPr>
              <w:t>C</w:t>
            </w:r>
            <w:r>
              <w:rPr>
                <w:sz w:val="22"/>
              </w:rPr>
              <w:t>级以上。</w:t>
            </w:r>
          </w:p>
          <w:p>
            <w:pPr>
              <w:ind w:firstLine="480"/>
            </w:pPr>
            <w:r>
              <w:rPr>
                <w:sz w:val="22"/>
              </w:rPr>
              <w:t>2.</w:t>
            </w:r>
            <w:r>
              <w:rPr>
                <w:sz w:val="22"/>
              </w:rPr>
              <w:t>大中型水体蚊虫密度：采样勺指数小于或等于</w:t>
            </w:r>
            <w:r>
              <w:rPr>
                <w:sz w:val="22"/>
              </w:rPr>
              <w:t>5%</w:t>
            </w:r>
            <w:r>
              <w:rPr>
                <w:sz w:val="22"/>
              </w:rPr>
              <w:t>，平均每阳性勺少于</w:t>
            </w:r>
            <w:r>
              <w:rPr>
                <w:sz w:val="22"/>
              </w:rPr>
              <w:t>8</w:t>
            </w:r>
            <w:r>
              <w:rPr>
                <w:sz w:val="22"/>
              </w:rPr>
              <w:t>只蚊虫幼虫和蛹，必须达</w:t>
            </w:r>
            <w:r>
              <w:rPr>
                <w:sz w:val="22"/>
              </w:rPr>
              <w:t>C</w:t>
            </w:r>
            <w:r>
              <w:rPr>
                <w:sz w:val="22"/>
              </w:rPr>
              <w:t>级以上。</w:t>
            </w:r>
          </w:p>
          <w:p>
            <w:r>
              <w:rPr>
                <w:sz w:val="22"/>
              </w:rPr>
              <w:t>3.</w:t>
            </w:r>
            <w:r>
              <w:rPr>
                <w:sz w:val="22"/>
              </w:rPr>
              <w:t>外环境蚊虫密度：停落指数小于或等于</w:t>
            </w:r>
            <w:r>
              <w:rPr>
                <w:sz w:val="22"/>
              </w:rPr>
              <w:t>1.5</w:t>
            </w:r>
            <w:r>
              <w:rPr>
                <w:sz w:val="22"/>
              </w:rPr>
              <w:t>，必须达</w:t>
            </w:r>
            <w:r>
              <w:rPr>
                <w:sz w:val="22"/>
              </w:rPr>
              <w:t>C</w:t>
            </w:r>
            <w:r>
              <w:rPr>
                <w:sz w:val="22"/>
              </w:rPr>
              <w:t>级以上。</w:t>
            </w:r>
          </w:p>
        </w:tc>
      </w:tr>
      <w:tr>
        <w:tc>
          <w:tcPr>
            <w:tcW w:type="dxa" w:w="2076"/>
          </w:tcPr>
          <w:p/>
        </w:tc>
        <w:tc>
          <w:tcPr>
            <w:tcW w:type="dxa" w:w="415"/>
          </w:tcPr>
          <w:p>
            <w:r>
              <w:rPr/>
              <w:t>6</w:t>
            </w:r>
          </w:p>
        </w:tc>
        <w:tc>
          <w:tcPr>
            <w:tcW w:type="dxa" w:w="5814"/>
          </w:tcPr>
          <w:p>
            <w:pPr>
              <w:ind w:firstLine="482"/>
            </w:pPr>
            <w:r>
              <w:rPr>
                <w:b/>
                <w:sz w:val="22"/>
              </w:rPr>
              <w:t>六、突发时间应急要求</w:t>
            </w:r>
          </w:p>
          <w:p>
            <w:pPr>
              <w:ind w:firstLine="480"/>
            </w:pPr>
            <w:r>
              <w:rPr>
                <w:sz w:val="22"/>
              </w:rPr>
              <w:t>1.</w:t>
            </w:r>
            <w:r>
              <w:rPr>
                <w:sz w:val="22"/>
              </w:rPr>
              <w:t>出现登革热疫情时，中标人应在采购人通知后一小时内到达疫点，进行应急消杀、蚊媒密度监测、孳生地处置【包括</w:t>
            </w:r>
            <w:r>
              <w:rPr>
                <w:sz w:val="22"/>
              </w:rPr>
              <w:t>31</w:t>
            </w:r>
            <w:r>
              <w:rPr>
                <w:sz w:val="22"/>
              </w:rPr>
              <w:t>个村（社区）】等，配合上级部门开展疫情防控相关工作，直到各项监测指数达标、上级部门宣布解除疫情为止。</w:t>
            </w:r>
          </w:p>
          <w:p>
            <w:pPr>
              <w:ind w:firstLine="480"/>
            </w:pPr>
            <w:r>
              <w:rPr>
                <w:sz w:val="22"/>
              </w:rPr>
              <w:t>2.</w:t>
            </w:r>
            <w:r>
              <w:rPr>
                <w:sz w:val="22"/>
              </w:rPr>
              <w:t>要求中标人在我镇出现登革热疫情时，根据采购人应对应急消杀的要求及部署，安排足够的应急消杀人员、消杀器械及监测工具等，对发生登革热疫点的村（社区）开展应急成蚊消杀、蚊媒密度监测、孳生地消杀处置等应急工作，因登革热应急处置所产生的一切费用（包括应急人工费用、加班费、消杀器械和监测设备、其它突发性作业费等）由中标人承担，并做好应急消杀记录台帐。</w:t>
            </w:r>
          </w:p>
          <w:p>
            <w:pPr>
              <w:ind w:firstLine="480"/>
            </w:pPr>
            <w:r>
              <w:rPr>
                <w:sz w:val="22"/>
              </w:rPr>
              <w:t>3.</w:t>
            </w:r>
            <w:r>
              <w:rPr>
                <w:sz w:val="22"/>
              </w:rPr>
              <w:t>因疫情防控的不确定性，若采购人有应急消杀任务，中标人需配合并按相应工作标准进行消杀；若中标人非不可抗力因素而拒绝应急消杀任务的，采购人有权终止合同，采购人有权依法委托有资质的第三方继续履行本合同义务，由此造成的一切后续费用及损失（包括但不限于再行采购的费用、委托第三方继续履行时超出本合同费用部分等）由乙方全部承担。</w:t>
            </w:r>
          </w:p>
          <w:p>
            <w:r>
              <w:rPr>
                <w:b/>
                <w:sz w:val="22"/>
              </w:rPr>
              <w:t>4</w:t>
            </w:r>
            <w:r>
              <w:rPr>
                <w:b/>
                <w:sz w:val="22"/>
              </w:rPr>
              <w:t>、★投标报价已包含中标人应急消杀任务等费用，中标人需配合并按相应工作标准进行消杀。采购人不另行支付其他任何费用。（投标人须在投标文件中提供相应承诺函，格式自拟）</w:t>
            </w:r>
          </w:p>
        </w:tc>
      </w:tr>
      <w:tr>
        <w:tc>
          <w:tcPr>
            <w:tcW w:type="dxa" w:w="2076"/>
          </w:tcPr>
          <w:p/>
        </w:tc>
        <w:tc>
          <w:tcPr>
            <w:tcW w:type="dxa" w:w="415"/>
          </w:tcPr>
          <w:p>
            <w:r>
              <w:rPr/>
              <w:t>7</w:t>
            </w:r>
          </w:p>
        </w:tc>
        <w:tc>
          <w:tcPr>
            <w:tcW w:type="dxa" w:w="5814"/>
          </w:tcPr>
          <w:p>
            <w:pPr>
              <w:ind w:firstLine="482"/>
            </w:pPr>
            <w:r>
              <w:rPr>
                <w:b/>
                <w:sz w:val="22"/>
              </w:rPr>
              <w:t>七、内部管理要求</w:t>
            </w:r>
          </w:p>
          <w:p>
            <w:r>
              <w:rPr>
                <w:sz w:val="22"/>
              </w:rPr>
              <w:t>1.</w:t>
            </w:r>
            <w:r>
              <w:rPr>
                <w:sz w:val="22"/>
              </w:rPr>
              <w:t>投标人应具有完善的内部管理规章制度（包括但不限于财务制度、组织管理架构及岗位职责、薪酬管理、考勤、员工福利等），以保证项目顺利实施。</w:t>
            </w:r>
          </w:p>
        </w:tc>
      </w:tr>
      <w:tr>
        <w:tc>
          <w:tcPr>
            <w:tcW w:type="dxa" w:w="2076"/>
          </w:tcPr>
          <w:p/>
        </w:tc>
        <w:tc>
          <w:tcPr>
            <w:tcW w:type="dxa" w:w="415"/>
          </w:tcPr>
          <w:p>
            <w:r>
              <w:rPr/>
              <w:t>8</w:t>
            </w:r>
          </w:p>
        </w:tc>
        <w:tc>
          <w:tcPr>
            <w:tcW w:type="dxa" w:w="5814"/>
          </w:tcPr>
          <w:p>
            <w:pPr>
              <w:ind w:firstLine="482"/>
            </w:pPr>
            <w:r>
              <w:rPr>
                <w:b/>
                <w:sz w:val="22"/>
              </w:rPr>
              <w:t>八、保密内容</w:t>
            </w:r>
          </w:p>
          <w:p>
            <w:r>
              <w:rPr>
                <w:sz w:val="22"/>
              </w:rPr>
              <w:t>项目实施过程中至中标人正式向采购人交付项目资料时为止，中标人必须采取措施对本项目实施过程中的数据、文档等资料保密，否则，由于中标人过错导致的上述资料涉密的，中标人必须承担一切责任。项目完成后采购人和中标人双方均对本项目资料保密承担责任。</w:t>
            </w:r>
          </w:p>
        </w:tc>
      </w:tr>
      <w:tr>
        <w:tc>
          <w:tcPr>
            <w:tcW w:type="dxa" w:w="2076"/>
          </w:tcPr>
          <w:p/>
        </w:tc>
        <w:tc>
          <w:tcPr>
            <w:tcW w:type="dxa" w:w="415"/>
          </w:tcPr>
          <w:p>
            <w:r>
              <w:rPr/>
              <w:t>9</w:t>
            </w:r>
          </w:p>
        </w:tc>
        <w:tc>
          <w:tcPr>
            <w:tcW w:type="dxa" w:w="5814"/>
          </w:tcPr>
          <w:p>
            <w:pPr>
              <w:ind w:firstLine="482"/>
            </w:pPr>
            <w:r>
              <w:rPr>
                <w:b/>
                <w:sz w:val="22"/>
              </w:rPr>
              <w:t>九、其他要求</w:t>
            </w:r>
          </w:p>
          <w:p>
            <w:pPr>
              <w:ind w:firstLine="480"/>
            </w:pPr>
            <w:r>
              <w:rPr>
                <w:sz w:val="22"/>
              </w:rPr>
              <w:t>1.</w:t>
            </w:r>
            <w:r>
              <w:rPr>
                <w:sz w:val="22"/>
              </w:rPr>
              <w:t>中标人需提供工作人员的上岗资质证明（复印件）、身份证、健康证等，需要变更相关工作人员时需经采购人同意。</w:t>
            </w:r>
          </w:p>
          <w:p>
            <w:pPr>
              <w:ind w:firstLine="480"/>
            </w:pPr>
            <w:r>
              <w:rPr>
                <w:sz w:val="22"/>
              </w:rPr>
              <w:t>2.</w:t>
            </w:r>
            <w:r>
              <w:rPr>
                <w:sz w:val="22"/>
              </w:rPr>
              <w:t>采购人要求中标人提供直接或间接服务于本项目的各类型资料时，中标人需服从并按时如实提供。</w:t>
            </w:r>
          </w:p>
          <w:p>
            <w:pPr>
              <w:ind w:firstLine="480"/>
            </w:pPr>
            <w:r>
              <w:rPr>
                <w:sz w:val="22"/>
              </w:rPr>
              <w:t>3.</w:t>
            </w:r>
            <w:r>
              <w:rPr>
                <w:sz w:val="22"/>
              </w:rPr>
              <w:t>中标人需按药物说明规定比例配制消杀药物，不达要求的，采购人视为无效药品并依考核办法作出处理。</w:t>
            </w:r>
          </w:p>
          <w:p>
            <w:pPr>
              <w:ind w:firstLine="480"/>
            </w:pPr>
            <w:r>
              <w:rPr>
                <w:sz w:val="22"/>
              </w:rPr>
              <w:t>4.</w:t>
            </w:r>
            <w:r>
              <w:rPr>
                <w:sz w:val="22"/>
              </w:rPr>
              <w:t>需要进行额外应急消杀的，采购人只向中标人提供消杀药物，不向中标人另外支付其它费用。</w:t>
            </w:r>
          </w:p>
          <w:p>
            <w:pPr>
              <w:ind w:firstLine="480"/>
            </w:pPr>
            <w:r>
              <w:rPr>
                <w:sz w:val="22"/>
              </w:rPr>
              <w:t>5.</w:t>
            </w:r>
            <w:r>
              <w:rPr>
                <w:sz w:val="22"/>
              </w:rPr>
              <w:t>遇到单位、村（社区）投诉对消杀效果不满意的，需要在</w:t>
            </w:r>
            <w:r>
              <w:rPr>
                <w:sz w:val="22"/>
              </w:rPr>
              <w:t>12</w:t>
            </w:r>
            <w:r>
              <w:rPr>
                <w:sz w:val="22"/>
              </w:rPr>
              <w:t>小时内对投诉区域进行重复消杀，并书面解析说明情况。</w:t>
            </w:r>
          </w:p>
          <w:p>
            <w:pPr>
              <w:ind w:firstLine="480"/>
            </w:pPr>
            <w:r>
              <w:rPr>
                <w:sz w:val="22"/>
              </w:rPr>
              <w:t>6.</w:t>
            </w:r>
            <w:r>
              <w:rPr>
                <w:sz w:val="22"/>
              </w:rPr>
              <w:t>中标人在承包本项目过程中发生的人员安全事故、财产损失及与第三方发生纠纷、诉讼的，由中标人处理，一切责任由中标人承担，与采购人无关。</w:t>
            </w:r>
          </w:p>
          <w:p>
            <w:pPr>
              <w:ind w:firstLine="480"/>
            </w:pPr>
            <w:r>
              <w:rPr>
                <w:sz w:val="22"/>
              </w:rPr>
              <w:t>7.</w:t>
            </w:r>
            <w:r>
              <w:rPr>
                <w:sz w:val="22"/>
              </w:rPr>
              <w:t>消杀过程中产生噪音或使花草树林、农作物、动物、人员等造成任何伤害、损坏，由中标人承担一切法律责任和赔偿责任，一切责任均与采购人无关。</w:t>
            </w:r>
          </w:p>
          <w:p>
            <w:pPr>
              <w:ind w:firstLine="480"/>
            </w:pPr>
            <w:r>
              <w:rPr>
                <w:sz w:val="22"/>
              </w:rPr>
              <w:t>8.</w:t>
            </w:r>
            <w:r>
              <w:rPr>
                <w:sz w:val="22"/>
              </w:rPr>
              <w:t>本项目出现的计算、测绘等误差，采购人不作任何费用的调整，视作捆绑打包处理，中标人须无条件认同。</w:t>
            </w:r>
          </w:p>
          <w:p>
            <w:pPr>
              <w:ind w:firstLine="480"/>
            </w:pPr>
            <w:r>
              <w:rPr>
                <w:sz w:val="22"/>
              </w:rPr>
              <w:t>9.</w:t>
            </w:r>
            <w:r>
              <w:rPr>
                <w:sz w:val="22"/>
              </w:rPr>
              <w:t>中标人必须依据国家和地方政府颁布的法律法规的规定处理与员工的雇佣关系，中标人与员工之间各种纠纷或诉讼与采购人无关。</w:t>
            </w:r>
          </w:p>
          <w:p>
            <w:pPr>
              <w:ind w:firstLine="480"/>
            </w:pPr>
            <w:r>
              <w:rPr>
                <w:sz w:val="22"/>
              </w:rPr>
              <w:t>10.</w:t>
            </w:r>
            <w:r>
              <w:rPr>
                <w:sz w:val="22"/>
              </w:rPr>
              <w:t>中标人必须按法律、法规及有关政策规定为员工购买社会养老、工伤、医疗、失业、意外等其它保险以及强制性公积金。</w:t>
            </w:r>
          </w:p>
          <w:p>
            <w:pPr>
              <w:ind w:firstLine="480"/>
            </w:pPr>
            <w:r>
              <w:rPr>
                <w:sz w:val="22"/>
              </w:rPr>
              <w:t>11.</w:t>
            </w:r>
            <w:r>
              <w:rPr>
                <w:sz w:val="22"/>
              </w:rPr>
              <w:t>若中标人存在克扣工人工资、加班费、福利费，不给工人购买社会养老、工伤、医疗失业保险等违法违规行为的，采购人有权扣减中标人相应承包款，因中标人劳资矛盾并影响作业质量的，采购人有权终止合同。</w:t>
            </w:r>
          </w:p>
          <w:p>
            <w:pPr>
              <w:ind w:firstLine="480"/>
            </w:pPr>
            <w:r>
              <w:rPr>
                <w:sz w:val="22"/>
              </w:rPr>
              <w:t>12.</w:t>
            </w:r>
            <w:r>
              <w:rPr>
                <w:sz w:val="22"/>
              </w:rPr>
              <w:t>采购人有权在不超出约定的年度消杀总次数的前提下，调整每月的消杀次数。</w:t>
            </w:r>
          </w:p>
          <w:p>
            <w:pPr>
              <w:ind w:firstLine="480"/>
            </w:pPr>
            <w:r>
              <w:rPr>
                <w:sz w:val="22"/>
              </w:rPr>
              <w:t>13.</w:t>
            </w:r>
            <w:r>
              <w:rPr>
                <w:sz w:val="22"/>
              </w:rPr>
              <w:t>采购人有权委托第三方履行对中标人的监督、考核。</w:t>
            </w:r>
          </w:p>
          <w:p>
            <w:r>
              <w:rPr>
                <w:sz w:val="22"/>
              </w:rPr>
              <w:t>14.</w:t>
            </w:r>
            <w:r>
              <w:rPr>
                <w:sz w:val="22"/>
              </w:rPr>
              <w:t>中标人需为投入本项目的机动车辆购买相应的保险（包括但不限于交强险、第三者责任险等）。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1.采购代理机构：本项目是指广东穗尊招标代理有限公司，负责整个采购活动的组织，依法负责编制和发布招标文件，对招标文件拥有最终的解释权，不以任何身份出任评标委员会成员。</w:t>
      </w:r>
    </w:p>
    <w:p>
      <w:pPr>
        <w:ind w:firstLine="480"/>
      </w:pPr>
      <w:r>
        <w:rPr/>
        <w:t>2.采购人：本项目是指</w:t>
      </w:r>
      <w:r>
        <w:rPr/>
        <w:t>广州市南沙区大岗镇人民政府</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采购机构代理服务收费标准：参照国家发展和改革委员会文件“发改价格[2011]534号]”及“国家计委[计价格[2002]1980号]文”相关规定计算。</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其他，一、信用评价（一）综合信用得分：投标供应商应在投标响应前通过广州交易集团有限公司网站完成企业信用档案登记，并确认成功，以免出现企业信用评价分无法使用等情况，登记手册可查阅http://www.gzggzy.cn/fwznxtbzczsc/951149.jhtml。（二）履约评价：由采购人负责对成交供应商的履约行为进行评价，采购人在合同备案后可通过广东政府采购智慧云平台-诚信管理评价管理进行评价。评价结果会影响供应商的综合信用得分。</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黎先生</w:t>
      </w:r>
    </w:p>
    <w:p>
      <w:pPr>
        <w:ind w:firstLine="480"/>
      </w:pPr>
      <w:r>
        <w:rPr/>
        <w:t>电话：</w:t>
      </w:r>
      <w:r>
        <w:rPr/>
        <w:t>020-39011013</w:t>
      </w:r>
    </w:p>
    <w:p>
      <w:pPr>
        <w:ind w:firstLine="480"/>
      </w:pPr>
      <w:r>
        <w:rPr/>
        <w:t>传真：</w:t>
      </w:r>
      <w:r>
        <w:rPr/>
        <w:t>020-39011013</w:t>
      </w:r>
    </w:p>
    <w:p>
      <w:pPr>
        <w:ind w:firstLine="480"/>
      </w:pPr>
      <w:r>
        <w:rPr/>
        <w:t>邮箱：</w:t>
      </w:r>
      <w:r>
        <w:rPr/>
        <w:t>gdsz_gz@163.com</w:t>
      </w:r>
    </w:p>
    <w:p>
      <w:pPr>
        <w:ind w:firstLine="480"/>
      </w:pPr>
      <w:r>
        <w:rPr/>
        <w:t>地址：</w:t>
      </w:r>
      <w:r>
        <w:rPr/>
        <w:t>广州市南沙区东涌镇市南路183号美林广场商务中心A109室</w:t>
      </w:r>
    </w:p>
    <w:p>
      <w:pPr>
        <w:ind w:firstLine="480"/>
      </w:pPr>
      <w:r>
        <w:rPr/>
        <w:t>邮编：</w:t>
      </w:r>
      <w:r>
        <w:rPr/>
        <w:t>511466</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政府采购监督管理机构名称：广州市南沙区财政局财政监督管理处</w:t>
      </w:r>
    </w:p>
    <w:p>
      <w:r>
        <w:rPr/>
        <w:t>地  址：广州市南沙区凤凰大道1号D栋3楼</w:t>
      </w:r>
    </w:p>
    <w:p>
      <w:r>
        <w:rPr/>
        <w:t>电  话：020-39078089</w:t>
      </w:r>
    </w:p>
    <w:p>
      <w:r>
        <w:rPr/>
        <w:t>邮  编：511455</w:t>
      </w:r>
    </w:p>
    <w:p>
      <w:r>
        <w:rPr/>
        <w:t>传  真：020-84986648</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大岗镇2024年登革热防控及除四害服务单位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广东穗尊招标代理有限公司</w:t>
      </w:r>
      <w:r>
        <w:rPr/>
        <w:t>统一对外发布。</w:t>
      </w:r>
    </w:p>
    <w:p>
      <w:pPr>
        <w:ind w:firstLine="480"/>
      </w:pPr>
      <w:r>
        <w:rPr/>
        <w:t>（2）对</w:t>
      </w:r>
      <w:r>
        <w:rPr/>
        <w:t>广东穗尊招标代理有限公司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采购包1（大岗镇2024年登革热防控及除四害服务单位项目）：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采购包1（大岗镇2024年登革热防控及除四害服务单位项目）：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提供相关证明材料或承诺函。分支机构投标的，还须提供分支机构的营业执照（执业许可证）扫描件及总公司（总所）出具给分支机构的授权书。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提供相关证明材料或承诺函。</w:t>
            </w:r>
          </w:p>
        </w:tc>
      </w:tr>
      <w:tr>
        <w:tc>
          <w:tcPr>
            <w:tcW w:type="dxa" w:w="890"/>
          </w:tcPr>
          <w:p>
            <w:r>
              <w:rPr/>
              <w:t>3</w:t>
            </w:r>
          </w:p>
        </w:tc>
        <w:tc>
          <w:tcPr>
            <w:tcW w:type="dxa" w:w="3178"/>
          </w:tcPr>
          <w:p>
            <w:r>
              <w:rPr/>
              <w:t>具有良好的商业信誉和健全的财务会计制度</w:t>
            </w:r>
          </w:p>
        </w:tc>
        <w:tc>
          <w:tcPr>
            <w:tcW w:type="dxa" w:w="4238"/>
          </w:tcPr>
          <w:p>
            <w:r>
              <w:rPr/>
              <w:t>提供相关证明材料或承诺函。</w:t>
            </w:r>
          </w:p>
        </w:tc>
      </w:tr>
      <w:tr>
        <w:tc>
          <w:tcPr>
            <w:tcW w:type="dxa" w:w="890"/>
          </w:tcPr>
          <w:p>
            <w:r>
              <w:rPr/>
              <w:t>4</w:t>
            </w:r>
          </w:p>
        </w:tc>
        <w:tc>
          <w:tcPr>
            <w:tcW w:type="dxa" w:w="3178"/>
          </w:tcPr>
          <w:p>
            <w:r>
              <w:rPr/>
              <w:t>履行合同所必需的设备和专业技术能力</w:t>
            </w:r>
          </w:p>
        </w:tc>
        <w:tc>
          <w:tcPr>
            <w:tcW w:type="dxa" w:w="4238"/>
          </w:tcPr>
          <w:p>
            <w:r>
              <w:rPr/>
              <w:t>提供相关证明材料或承诺函。</w:t>
            </w:r>
          </w:p>
        </w:tc>
      </w:tr>
      <w:tr>
        <w:tc>
          <w:tcPr>
            <w:tcW w:type="dxa" w:w="890"/>
          </w:tcPr>
          <w:p>
            <w:r>
              <w:rPr/>
              <w:t>5</w:t>
            </w:r>
          </w:p>
        </w:tc>
        <w:tc>
          <w:tcPr>
            <w:tcW w:type="dxa" w:w="3178"/>
          </w:tcPr>
          <w:p>
            <w:r>
              <w:rPr/>
              <w:t>参加采购活动前3年内，在经营活动中没有重大违法记录</w:t>
            </w:r>
          </w:p>
        </w:tc>
        <w:tc>
          <w:tcPr>
            <w:tcW w:type="dxa" w:w="4238"/>
          </w:tcPr>
          <w:p>
            <w:r>
              <w:rPr/>
              <w:t>提供相关证明材料或承诺函。</w:t>
            </w:r>
          </w:p>
        </w:tc>
      </w:tr>
      <w:tr>
        <w:tc>
          <w:tcPr>
            <w:tcW w:type="dxa" w:w="890"/>
          </w:tcPr>
          <w:p>
            <w:r>
              <w:rPr/>
              <w:t>6</w:t>
            </w:r>
          </w:p>
        </w:tc>
        <w:tc>
          <w:tcPr>
            <w:tcW w:type="dxa" w:w="3178"/>
          </w:tcPr>
          <w:p>
            <w:r>
              <w:rPr/>
              <w:t>本项目不接受联合体投标。</w:t>
            </w:r>
          </w:p>
        </w:tc>
        <w:tc>
          <w:tcPr>
            <w:tcW w:type="dxa" w:w="4238"/>
          </w:tcPr>
          <w:p>
            <w:r>
              <w:rPr/>
              <w:t>本项目不接受联合体投标。</w:t>
            </w:r>
          </w:p>
        </w:tc>
      </w:tr>
      <w:tr>
        <w:tc>
          <w:tcPr>
            <w:tcW w:type="dxa" w:w="890"/>
          </w:tcPr>
          <w:p>
            <w:r>
              <w:rPr/>
              <w:t>7</w:t>
            </w:r>
          </w:p>
        </w:tc>
        <w:tc>
          <w:tcPr>
            <w:tcW w:type="dxa" w:w="3178"/>
          </w:tcPr>
          <w:p>
            <w:r>
              <w:rPr/>
              <w:t>信用记录</w:t>
            </w:r>
          </w:p>
        </w:tc>
        <w:tc>
          <w:tcPr>
            <w:tcW w:type="dxa" w:w="4238"/>
          </w:tcPr>
          <w:p>
            <w:r>
              <w:rPr/>
              <w:t>供应商未被列入“信用中国”网站中“失信被执行人或异常经营名录或税收违法黑名单”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w:t>
            </w:r>
          </w:p>
        </w:tc>
      </w:tr>
      <w:tr>
        <w:tc>
          <w:tcPr>
            <w:tcW w:type="dxa" w:w="890"/>
          </w:tcPr>
          <w:p>
            <w:r>
              <w:rPr/>
              <w:t>8</w:t>
            </w:r>
          </w:p>
        </w:tc>
        <w:tc>
          <w:tcPr>
            <w:tcW w:type="dxa" w:w="3178"/>
          </w:tcPr>
          <w:p>
            <w:r>
              <w:rPr/>
              <w:t>供应商必须符合法律、行政法规规定的其他条件</w:t>
            </w:r>
          </w:p>
        </w:tc>
        <w:tc>
          <w:tcPr>
            <w:tcW w:type="dxa" w:w="4238"/>
          </w:tcPr>
          <w:p>
            <w:r>
              <w:rPr/>
              <w:t>供应商必须符合法律、行政法规规定的其他条件：提供相关证明材料或承诺函。</w:t>
            </w:r>
          </w:p>
        </w:tc>
      </w:tr>
      <w:tr>
        <w:tc>
          <w:tcPr>
            <w:tcW w:type="dxa" w:w="890"/>
          </w:tcPr>
          <w:p>
            <w:r>
              <w:rPr/>
              <w:t>9</w:t>
            </w:r>
          </w:p>
        </w:tc>
        <w:tc>
          <w:tcPr>
            <w:tcW w:type="dxa" w:w="3178"/>
          </w:tcPr>
          <w:p>
            <w:r>
              <w:rPr/>
              <w:t>本采购包专门面向中小企业采购</w:t>
            </w:r>
          </w:p>
        </w:tc>
        <w:tc>
          <w:tcPr>
            <w:tcW w:type="dxa" w:w="4238"/>
          </w:tcPr>
          <w:p>
            <w:r>
              <w:rPr/>
              <w:t>采购包整体专门面向中小企业（提供《中小企业声明函》或由省级以上监狱管理局、戒毒管理局(含新疆生产建设兵团)出具的承接方属于监狱企业的证明文件或承接方的《残疾人福利性单位声明函》）。</w:t>
            </w:r>
          </w:p>
        </w:tc>
      </w:tr>
    </w:tbl>
    <w:p/>
    <w:p>
      <w:pPr>
        <w:ind w:firstLine="480"/>
      </w:pPr>
      <w:r>
        <w:rPr/>
        <w:t>表二符合性审查表：</w:t>
      </w:r>
    </w:p>
    <w:p>
      <w:pPr>
        <w:ind w:firstLine="480"/>
      </w:pPr>
    </w:p>
    <w:p/>
    <w:p>
      <w:r>
        <w:rPr/>
        <w:t>采购包1（大岗镇2024年登革热防控及除四害服务单位项目）：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投标报价确定且符合要求。</w:t>
            </w:r>
          </w:p>
        </w:tc>
      </w:tr>
      <w:tr>
        <w:tc>
          <w:tcPr>
            <w:tcW w:type="dxa" w:w="890"/>
          </w:tcPr>
          <w:p>
            <w:r>
              <w:rPr/>
              <w:t>2</w:t>
            </w:r>
          </w:p>
        </w:tc>
        <w:tc>
          <w:tcPr>
            <w:tcW w:type="dxa" w:w="3178"/>
          </w:tcPr>
          <w:p>
            <w:r>
              <w:rPr/>
              <w:t>投标文件要求</w:t>
            </w:r>
          </w:p>
        </w:tc>
        <w:tc>
          <w:tcPr>
            <w:tcW w:type="dxa" w:w="4238"/>
          </w:tcPr>
          <w:p>
            <w:r>
              <w:rPr/>
              <w:t>有盖章、签署要求的格式文件已按要求盖章、签署。</w:t>
            </w:r>
          </w:p>
        </w:tc>
      </w:tr>
      <w:tr>
        <w:tc>
          <w:tcPr>
            <w:tcW w:type="dxa" w:w="890"/>
          </w:tcPr>
          <w:p>
            <w:r>
              <w:rPr/>
              <w:t>3</w:t>
            </w:r>
          </w:p>
        </w:tc>
        <w:tc>
          <w:tcPr>
            <w:tcW w:type="dxa" w:w="3178"/>
          </w:tcPr>
          <w:p>
            <w:r>
              <w:rPr/>
              <w:t>未发现属无效投标的其他情形</w:t>
            </w:r>
          </w:p>
        </w:tc>
        <w:tc>
          <w:tcPr>
            <w:tcW w:type="dxa" w:w="4238"/>
          </w:tcPr>
          <w:p>
            <w:r>
              <w:rPr/>
              <w:t>以下为属无效投标的其他情形： （1）法定代表人或单位负责人为同一个人或者存在直接控股、管理关系的不同供应商，同时参加本项目或同一分包投标的。 （2）投标人（供应商）为本项目提供整体设计、规范编制或者项目管理、监理、检测等服务的。 （3）评标期间，投标人没有按评标委员会的要求提交法定代表人或其委托代理人签字的澄清、说明、补正或改变了投标文件的实质性内容的。 （4）投标文件提供虚假材料的。 （5）投标人以他人的名义投标、串通投标、以行贿手段谋取中标或者以其他弄虚作假方式投标的。 （6）投标人对采购人、招标代理机构、评标委员会及其工作人员施加影响，有碍招标公平、公正的。 （7）投标文件含有采购人不能接受的附加条件的。 （8）法律、法规和招标文件规定的其他无效情形。</w:t>
            </w:r>
          </w:p>
        </w:tc>
      </w:tr>
      <w:tr>
        <w:tc>
          <w:tcPr>
            <w:tcW w:type="dxa" w:w="890"/>
          </w:tcPr>
          <w:p>
            <w:r>
              <w:rPr/>
              <w:t>4</w:t>
            </w:r>
          </w:p>
        </w:tc>
        <w:tc>
          <w:tcPr>
            <w:tcW w:type="dxa" w:w="3178"/>
          </w:tcPr>
          <w:p>
            <w:r>
              <w:rPr/>
              <w:t>投标文件偏离情况</w:t>
            </w:r>
          </w:p>
        </w:tc>
        <w:tc>
          <w:tcPr>
            <w:tcW w:type="dxa" w:w="4238"/>
          </w:tcPr>
          <w:p>
            <w:r>
              <w:rPr/>
              <w:t>投标文件完全满足招标文件中带★号的条款和指标(审查《实质性响应一览表》)。</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采购包1(大岗镇2024年登革热防控及除四害服务单位项目):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技术部分45.0分</w:t>
            </w:r>
          </w:p>
          <w:p>
            <w:r>
              <w:rPr/>
              <w:t>综合信用分5.0分</w:t>
            </w:r>
          </w:p>
          <w:p>
            <w:r>
              <w:rPr/>
              <w:t>报价得分10.0分</w:t>
            </w:r>
          </w:p>
        </w:tc>
      </w:tr>
      <w:tr>
        <w:tc>
          <w:tcPr>
            <w:tcW w:type="dxa" w:w="922"/>
            <w:gridSpan w:val="2"/>
            <w:vMerge w:val="restart"/>
          </w:tcPr>
          <w:p>
            <w:pPr>
              <w:jc w:val="center"/>
            </w:pPr>
            <w:r>
              <w:rPr/>
              <w:t>技术部分</w:t>
            </w:r>
          </w:p>
        </w:tc>
        <w:tc>
          <w:tcPr>
            <w:tcW w:type="dxa" w:w="2307"/>
          </w:tcPr>
          <w:p>
            <w:pPr>
              <w:jc w:val="left"/>
            </w:pPr>
            <w:r>
              <w:rPr/>
              <w:t>项目重点难点分析 (8.0分)</w:t>
            </w:r>
            <w:r>
              <w:rPr/>
              <w:t>，（等次分值选择：</w:t>
            </w:r>
            <w:r>
              <w:rPr/>
              <w:t>0.0;</w:t>
            </w:r>
            <w:r>
              <w:rPr/>
              <w:t>2.0;</w:t>
            </w:r>
            <w:r>
              <w:rPr/>
              <w:t>5.0;</w:t>
            </w:r>
            <w:r>
              <w:rPr/>
              <w:t>8.0;</w:t>
            </w:r>
            <w:r>
              <w:rPr/>
              <w:t>）</w:t>
            </w:r>
          </w:p>
        </w:tc>
        <w:tc>
          <w:tcPr>
            <w:tcW w:type="dxa" w:w="5076"/>
          </w:tcPr>
          <w:p>
            <w:pPr>
              <w:jc w:val="left"/>
            </w:pPr>
            <w:r>
              <w:rPr/>
              <w:t>对投标人根据采购需求中“一、服务内容”和“二、工作要求”中所提出的要求进行重点难点分析评分： 1、重点难点分析准确到位、应对措施合理、切实可行，得8分； 2、具备一定的重点难点分析、应对措施具备一定合理性，得5分； 3、重点难点分析不准确、应对措施缺乏合理性，得2分； 4、未提供不得分。</w:t>
            </w:r>
          </w:p>
        </w:tc>
      </w:tr>
      <w:tr>
        <w:tc>
          <w:tcPr>
            <w:tcW w:type="dxa" w:w="922"/>
            <w:gridSpan w:val="2"/>
            <w:vMerge/>
          </w:tcPr>
          <w:p/>
        </w:tc>
        <w:tc>
          <w:tcPr>
            <w:tcW w:type="dxa" w:w="2307"/>
          </w:tcPr>
          <w:p>
            <w:pPr>
              <w:jc w:val="left"/>
            </w:pPr>
            <w:r>
              <w:rPr/>
              <w:t>组织措施及消杀灭效评估方案 (8.0分)</w:t>
            </w:r>
            <w:r>
              <w:rPr/>
              <w:t>，（等次分值选择：</w:t>
            </w:r>
            <w:r>
              <w:rPr/>
              <w:t>0.0;</w:t>
            </w:r>
            <w:r>
              <w:rPr/>
              <w:t>2.0;</w:t>
            </w:r>
            <w:r>
              <w:rPr/>
              <w:t>5.0;</w:t>
            </w:r>
            <w:r>
              <w:rPr/>
              <w:t>8.0;</w:t>
            </w:r>
            <w:r>
              <w:rPr/>
              <w:t>）</w:t>
            </w:r>
          </w:p>
        </w:tc>
        <w:tc>
          <w:tcPr>
            <w:tcW w:type="dxa" w:w="5076"/>
          </w:tcPr>
          <w:p>
            <w:pPr>
              <w:jc w:val="left"/>
            </w:pPr>
            <w:r>
              <w:rPr/>
              <w:t>对投标人根据采购需求中“二、工作要求”和“三、服务要求”提供的组织措施和消杀评估方案进行评分： 1、组织措施和消杀评估方案科学合理、有详细的消杀灭效评估方案，灭效方案详细、可行性强，得8分； 2、组织措施和消杀评估方案基本合理、有消杀灭效评估方案，灭效方案基本合理，得5分； 3、组织措施和消杀评估方案不合理，得2分； 4、未提供不得分。</w:t>
            </w:r>
          </w:p>
        </w:tc>
      </w:tr>
      <w:tr>
        <w:tc>
          <w:tcPr>
            <w:tcW w:type="dxa" w:w="922"/>
            <w:gridSpan w:val="2"/>
            <w:vMerge/>
          </w:tcPr>
          <w:p/>
        </w:tc>
        <w:tc>
          <w:tcPr>
            <w:tcW w:type="dxa" w:w="2307"/>
          </w:tcPr>
          <w:p>
            <w:pPr>
              <w:jc w:val="left"/>
            </w:pPr>
            <w:r>
              <w:rPr/>
              <w:t>质量保证措施 (8.0分)</w:t>
            </w:r>
            <w:r>
              <w:rPr/>
              <w:t>，（等次分值选择：</w:t>
            </w:r>
            <w:r>
              <w:rPr/>
              <w:t>0.0;</w:t>
            </w:r>
            <w:r>
              <w:rPr/>
              <w:t>2.0;</w:t>
            </w:r>
            <w:r>
              <w:rPr/>
              <w:t>5.0;</w:t>
            </w:r>
            <w:r>
              <w:rPr/>
              <w:t>8.0;</w:t>
            </w:r>
            <w:r>
              <w:rPr/>
              <w:t>）</w:t>
            </w:r>
          </w:p>
        </w:tc>
        <w:tc>
          <w:tcPr>
            <w:tcW w:type="dxa" w:w="5076"/>
          </w:tcPr>
          <w:p>
            <w:pPr>
              <w:jc w:val="left"/>
            </w:pPr>
            <w:r>
              <w:rPr/>
              <w:t>对投标人根据采购需求中“五、服务质量标准”的内容所提供的质量控制方案和质量保障措施方案（包括但不限于鼠密度控制水平、蜚蠊密度控制水平、蝇类控制水平、蚊密度控制水平）进行评分： 1、质量控制方案、消杀作业人员保障等质量保证措施全面、科学、合理，得8分； 2、质量控制方案、消杀作业人员保障等质量保证措施不够全面，得5分； 3、质量控制方案、消杀作业人员保障等质量保证措施不科学，得2分； 4、未提供不得分。</w:t>
            </w:r>
          </w:p>
        </w:tc>
      </w:tr>
      <w:tr>
        <w:tc>
          <w:tcPr>
            <w:tcW w:type="dxa" w:w="922"/>
            <w:gridSpan w:val="2"/>
            <w:vMerge/>
          </w:tcPr>
          <w:p/>
        </w:tc>
        <w:tc>
          <w:tcPr>
            <w:tcW w:type="dxa" w:w="2307"/>
          </w:tcPr>
          <w:p>
            <w:pPr>
              <w:jc w:val="left"/>
            </w:pPr>
            <w:r>
              <w:rPr/>
              <w:t>突发事件应急措施 (8.0分)</w:t>
            </w:r>
            <w:r>
              <w:rPr/>
              <w:t>，（等次分值选择：</w:t>
            </w:r>
            <w:r>
              <w:rPr/>
              <w:t>0.0;</w:t>
            </w:r>
            <w:r>
              <w:rPr/>
              <w:t>2.0;</w:t>
            </w:r>
            <w:r>
              <w:rPr/>
              <w:t>5.0;</w:t>
            </w:r>
            <w:r>
              <w:rPr/>
              <w:t>8.0;</w:t>
            </w:r>
            <w:r>
              <w:rPr/>
              <w:t>）</w:t>
            </w:r>
          </w:p>
        </w:tc>
        <w:tc>
          <w:tcPr>
            <w:tcW w:type="dxa" w:w="5076"/>
          </w:tcPr>
          <w:p>
            <w:pPr>
              <w:jc w:val="left"/>
            </w:pPr>
            <w:r>
              <w:rPr/>
              <w:t>对投标人根据采购需求中“六、突发事件应急要求”的内容所提供的突发事件应急措施进行评分： 1、应急、应对突发事件处理方案、措施完善、切实可行，得8分； 2、应急、应对突发事件处理方案、措施基本完善，得5分。 3、应急、应对突发事件处理方案、措施不完善，不具有可行性和针对性，得2分。 4、未提供不得分。</w:t>
            </w:r>
          </w:p>
        </w:tc>
      </w:tr>
      <w:tr>
        <w:tc>
          <w:tcPr>
            <w:tcW w:type="dxa" w:w="922"/>
            <w:gridSpan w:val="2"/>
            <w:vMerge/>
          </w:tcPr>
          <w:p/>
        </w:tc>
        <w:tc>
          <w:tcPr>
            <w:tcW w:type="dxa" w:w="2307"/>
          </w:tcPr>
          <w:p>
            <w:pPr>
              <w:jc w:val="left"/>
            </w:pPr>
            <w:r>
              <w:rPr/>
              <w:t>内部规章制度 (8.0分)</w:t>
            </w:r>
            <w:r>
              <w:rPr/>
              <w:t>，（等次分值选择：</w:t>
            </w:r>
            <w:r>
              <w:rPr/>
              <w:t>0.0;</w:t>
            </w:r>
            <w:r>
              <w:rPr/>
              <w:t>2.0;</w:t>
            </w:r>
            <w:r>
              <w:rPr/>
              <w:t>5.0;</w:t>
            </w:r>
            <w:r>
              <w:rPr/>
              <w:t>8.0;</w:t>
            </w:r>
            <w:r>
              <w:rPr/>
              <w:t>）</w:t>
            </w:r>
          </w:p>
        </w:tc>
        <w:tc>
          <w:tcPr>
            <w:tcW w:type="dxa" w:w="5076"/>
          </w:tcPr>
          <w:p>
            <w:pPr>
              <w:jc w:val="left"/>
            </w:pPr>
            <w:r>
              <w:rPr/>
              <w:t>对投标人根据采购需求中“七、内部管理要求”（包括但不限于财务制度、组织管理架构及岗位职责、薪酬管理、考勤、员工福利等）对投标人所提供的内部管理制度进行评分： 1、内部规章制度严谨，科学合理，得8分； 2、内部规章制度规范具备一定可行性，得5分； 3、内部规章制度缺乏严谨性，得2分； 4、未提供方案不得分。</w:t>
            </w:r>
          </w:p>
        </w:tc>
      </w:tr>
      <w:tr>
        <w:tc>
          <w:tcPr>
            <w:tcW w:type="dxa" w:w="922"/>
            <w:gridSpan w:val="2"/>
            <w:vMerge/>
          </w:tcPr>
          <w:p/>
        </w:tc>
        <w:tc>
          <w:tcPr>
            <w:tcW w:type="dxa" w:w="2307"/>
          </w:tcPr>
          <w:p>
            <w:pPr>
              <w:jc w:val="left"/>
            </w:pPr>
            <w:r>
              <w:rPr/>
              <w:t>服务承诺及技术保证 (5.0分)</w:t>
            </w:r>
            <w:r>
              <w:rPr/>
              <w:t>，（等次分值选择：</w:t>
            </w:r>
            <w:r>
              <w:rPr/>
              <w:t>0.0;</w:t>
            </w:r>
            <w:r>
              <w:rPr/>
              <w:t>1.0;</w:t>
            </w:r>
            <w:r>
              <w:rPr/>
              <w:t>3.0;</w:t>
            </w:r>
            <w:r>
              <w:rPr/>
              <w:t>5.0;</w:t>
            </w:r>
            <w:r>
              <w:rPr/>
              <w:t>）</w:t>
            </w:r>
          </w:p>
        </w:tc>
        <w:tc>
          <w:tcPr>
            <w:tcW w:type="dxa" w:w="5076"/>
          </w:tcPr>
          <w:p>
            <w:pPr>
              <w:jc w:val="left"/>
            </w:pPr>
            <w:r>
              <w:rPr/>
              <w:t>对投标人根据采购需求中“九、其他要求”提出的要求进行承诺和技术保证进行评分： 1、承诺和技术保证内容详细完整，科学合理，可行性高，得5分； 2、承诺和技术保证内容基本完整，具备可行性，得3分； 3、承诺和技术保证内容缺乏合理性，得1分； 4、未提供方案不得分。</w:t>
            </w:r>
          </w:p>
        </w:tc>
      </w:tr>
      <w:tr>
        <w:tc>
          <w:tcPr>
            <w:tcW w:type="dxa" w:w="922"/>
            <w:gridSpan w:val="2"/>
            <w:vMerge w:val="restart"/>
          </w:tcPr>
          <w:p>
            <w:pPr>
              <w:jc w:val="center"/>
            </w:pPr>
            <w:r>
              <w:rPr/>
              <w:t>商务部分</w:t>
            </w:r>
          </w:p>
        </w:tc>
        <w:tc>
          <w:tcPr>
            <w:tcW w:type="dxa" w:w="2307"/>
          </w:tcPr>
          <w:p>
            <w:pPr>
              <w:jc w:val="left"/>
            </w:pPr>
            <w:r>
              <w:rPr/>
              <w:t>同类项目业绩 (6.0分)</w:t>
            </w:r>
          </w:p>
        </w:tc>
        <w:tc>
          <w:tcPr>
            <w:tcW w:type="dxa" w:w="5076"/>
          </w:tcPr>
          <w:p>
            <w:pPr>
              <w:jc w:val="left"/>
            </w:pPr>
            <w:r>
              <w:rPr/>
              <w:t>投标人自2017年1月1日（以合同签订时间为准）具有同类项目或“登革热”应急防控、除四害消杀项目业绩，每提供一个业绩得1分，最高得6分。 【备注：需要同时提供合同（或协议）的关键页（含签订合同（或协议）双方的单位名称、合同（或协议）项目名称、签订合同（或协议）双方的落款盖章、签订日期）复印件，合同须完整清晰，不清晰或未按要求提供不得分。】</w:t>
            </w:r>
          </w:p>
        </w:tc>
      </w:tr>
      <w:tr>
        <w:tc>
          <w:tcPr>
            <w:tcW w:type="dxa" w:w="922"/>
            <w:gridSpan w:val="2"/>
            <w:vMerge/>
          </w:tcPr>
          <w:p/>
        </w:tc>
        <w:tc>
          <w:tcPr>
            <w:tcW w:type="dxa" w:w="2307"/>
          </w:tcPr>
          <w:p>
            <w:pPr>
              <w:jc w:val="left"/>
            </w:pPr>
            <w:r>
              <w:rPr/>
              <w:t>拟投入人员情况 (11.0分)</w:t>
            </w:r>
          </w:p>
        </w:tc>
        <w:tc>
          <w:tcPr>
            <w:tcW w:type="dxa" w:w="5076"/>
          </w:tcPr>
          <w:p>
            <w:pPr>
              <w:jc w:val="left"/>
            </w:pPr>
            <w:r>
              <w:rPr/>
              <w:t>投标人拟投入本项目团队人员具有如下证书： （1）具有有害生物防制员三级/高级（或以上）技能职称，每提供1人得3分，本小项最高得3分； （2）具有有害生物防制员四级/中级（或以上）技能职称，每提供1人得2分，本小项最高得4分； （3）具有有害生物防制员五级/初级（或以上）技能职称，每提供1人得1分，本小项最高得4分。 本项最高得11分。 【备注：①须提供人社部门颁发的职业资格证书或广州卫生有害生物防制协会颁发的上岗证复印件②投标人为其缴纳的开标前六个月内任意1个月的社保证明复印件，加盖投标人公章】</w:t>
            </w:r>
          </w:p>
        </w:tc>
      </w:tr>
      <w:tr>
        <w:tc>
          <w:tcPr>
            <w:tcW w:type="dxa" w:w="922"/>
            <w:gridSpan w:val="2"/>
            <w:vMerge/>
          </w:tcPr>
          <w:p/>
        </w:tc>
        <w:tc>
          <w:tcPr>
            <w:tcW w:type="dxa" w:w="2307"/>
          </w:tcPr>
          <w:p>
            <w:pPr>
              <w:jc w:val="left"/>
            </w:pPr>
            <w:r>
              <w:rPr/>
              <w:t>拟本项目投入机械设备① (3.0分)</w:t>
            </w:r>
          </w:p>
        </w:tc>
        <w:tc>
          <w:tcPr>
            <w:tcW w:type="dxa" w:w="5076"/>
          </w:tcPr>
          <w:p>
            <w:pPr>
              <w:jc w:val="left"/>
            </w:pPr>
            <w:r>
              <w:rPr/>
              <w:t>根据投标人拟投入本项目固定作业使用的车辆情况进行评分： （1）每提供一台自有车辆或租赁车辆的得1.5分，本项最高得3分； （2）未提供不得分。 【备注：本项最高得3分，须同时提供①投标人的机动车登记证或行驶证、②车辆正侧面照片，车辆须具有醒目的公司标识、③证照信息须一致。设备为租赁的须同时提供有效期内的租赁合同复印件及实物照片。无提供或提供不全或证明材料不清晰评委无法辨认，则不得分。】</w:t>
            </w:r>
          </w:p>
        </w:tc>
      </w:tr>
      <w:tr>
        <w:tc>
          <w:tcPr>
            <w:tcW w:type="dxa" w:w="922"/>
            <w:gridSpan w:val="2"/>
            <w:vMerge/>
          </w:tcPr>
          <w:p/>
        </w:tc>
        <w:tc>
          <w:tcPr>
            <w:tcW w:type="dxa" w:w="2307"/>
          </w:tcPr>
          <w:p>
            <w:pPr>
              <w:jc w:val="left"/>
            </w:pPr>
            <w:r>
              <w:rPr/>
              <w:t>拟本项目投入机械设备② (20.0分)</w:t>
            </w:r>
          </w:p>
        </w:tc>
        <w:tc>
          <w:tcPr>
            <w:tcW w:type="dxa" w:w="5076"/>
          </w:tcPr>
          <w:p>
            <w:pPr>
              <w:jc w:val="left"/>
            </w:pPr>
            <w:r>
              <w:rPr/>
              <w:t>根据投标人拟投入本项目设备设施进行评分： （1）每提供一台背负式喷雾器得1分，本小项最高3分。 （2）每提供一台超低容量喷雾器得1分，本小项最高4分。 （3）每提供一台远程载式超低容量喷雾器得1分，本小项最高2分。（4）每提供一台手推式高压远程喷雾器得1分，本小项最高3分。（5）每提供一台热力烟枪得1分，本小项最高8分。 【备注：本项最高得20分，须提供设备购买发票（如设备为租用则需提供租用合同及租金发票）复印件及实物照片。未提供或提供不全或证明材料不清晰评委无法辨认，则不得分。】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ind w:firstLine="542"/>
      </w:pPr>
    </w:p>
    <w:p>
      <w:pPr>
        <w:jc w:val="right"/>
      </w:pPr>
      <w:r>
        <w:rPr>
          <w:sz w:val="22"/>
        </w:rPr>
        <w:t>合同编号：</w:t>
      </w:r>
      <w:r>
        <w:rPr>
          <w:sz w:val="22"/>
          <w:u w:val="single"/>
        </w:rPr>
        <w:t xml:space="preserve">     </w:t>
      </w:r>
    </w:p>
    <w:p>
      <w:pPr>
        <w:ind w:firstLine="880"/>
        <w:jc w:val="center"/>
      </w:pPr>
    </w:p>
    <w:p>
      <w:pPr>
        <w:ind w:firstLine="880"/>
        <w:jc w:val="center"/>
      </w:pPr>
    </w:p>
    <w:p>
      <w:pPr>
        <w:jc w:val="center"/>
      </w:pPr>
      <w:r>
        <w:rPr>
          <w:sz w:val="44"/>
        </w:rPr>
        <w:t>大岗镇2024年登革热防控及除四害服务单位项目合同</w:t>
      </w:r>
    </w:p>
    <w:p>
      <w:pPr>
        <w:ind w:firstLine="880"/>
        <w:jc w:val="center"/>
      </w:pPr>
    </w:p>
    <w:p>
      <w:pPr>
        <w:ind w:firstLine="880"/>
        <w:jc w:val="center"/>
      </w:pPr>
    </w:p>
    <w:p>
      <w:pPr>
        <w:ind w:firstLine="560"/>
        <w:jc w:val="both"/>
      </w:pPr>
      <w:r>
        <w:rPr>
          <w:sz w:val="28"/>
        </w:rPr>
        <w:t>甲方：</w:t>
      </w:r>
      <w:r>
        <w:rPr>
          <w:sz w:val="28"/>
          <w:u w:val="single"/>
        </w:rPr>
        <w:t xml:space="preserve">           </w:t>
      </w:r>
    </w:p>
    <w:p>
      <w:pPr>
        <w:ind w:firstLine="560"/>
        <w:jc w:val="both"/>
      </w:pPr>
    </w:p>
    <w:p>
      <w:pPr>
        <w:ind w:firstLine="560"/>
        <w:jc w:val="both"/>
      </w:pPr>
      <w:r>
        <w:rPr>
          <w:sz w:val="28"/>
        </w:rPr>
        <w:t>乙方：</w:t>
      </w:r>
      <w:r>
        <w:rPr>
          <w:sz w:val="28"/>
          <w:u w:val="single"/>
        </w:rPr>
        <w:t xml:space="preserve">           </w:t>
      </w:r>
    </w:p>
    <w:p>
      <w:pPr>
        <w:ind w:firstLine="560"/>
        <w:jc w:val="both"/>
      </w:pPr>
    </w:p>
    <w:p>
      <w:pPr>
        <w:ind w:firstLine="440"/>
      </w:pPr>
    </w:p>
    <w:p>
      <w:pPr>
        <w:ind w:firstLine="440"/>
      </w:pPr>
    </w:p>
    <w:p>
      <w:pPr>
        <w:ind w:firstLine="440"/>
      </w:pPr>
    </w:p>
    <w:p>
      <w:pPr>
        <w:jc w:val="center"/>
      </w:pPr>
    </w:p>
    <w:p>
      <w:pPr>
        <w:jc w:val="center"/>
      </w:pPr>
      <w:r>
        <w:rPr>
          <w:b/>
          <w:sz w:val="22"/>
        </w:rPr>
        <w:t>(</w:t>
      </w:r>
      <w:r>
        <w:rPr>
          <w:b/>
          <w:sz w:val="22"/>
        </w:rPr>
        <w:t>此合同样本仅供参考,合同具体细则以甲乙双方协定为准)</w:t>
      </w:r>
    </w:p>
    <w:p/>
    <w:p>
      <w:pPr>
        <w:ind w:firstLine="440"/>
      </w:pPr>
    </w:p>
    <w:p>
      <w:pPr>
        <w:ind w:firstLine="442"/>
      </w:pPr>
      <w:r>
        <w:rPr>
          <w:b/>
          <w:sz w:val="22"/>
        </w:rPr>
        <w:t>甲方：</w:t>
      </w:r>
      <w:r>
        <w:rPr>
          <w:b/>
          <w:sz w:val="22"/>
          <w:u w:val="single"/>
        </w:rPr>
        <w:t xml:space="preserve">          </w:t>
      </w:r>
    </w:p>
    <w:p>
      <w:pPr>
        <w:ind w:firstLine="442"/>
      </w:pPr>
      <w:r>
        <w:rPr>
          <w:b/>
          <w:sz w:val="22"/>
        </w:rPr>
        <w:t>乙方：</w:t>
      </w:r>
      <w:r>
        <w:rPr>
          <w:b/>
          <w:sz w:val="22"/>
          <w:u w:val="single"/>
        </w:rPr>
        <w:t xml:space="preserve">          </w:t>
      </w:r>
    </w:p>
    <w:p>
      <w:pPr>
        <w:ind w:firstLine="440"/>
        <w:jc w:val="both"/>
      </w:pPr>
      <w:r>
        <w:rPr>
          <w:sz w:val="22"/>
        </w:rPr>
        <w:t>受甲方委托，广东穗尊招标代理有限公司组织对</w:t>
      </w:r>
      <w:r>
        <w:rPr>
          <w:sz w:val="22"/>
          <w:u w:val="single"/>
        </w:rPr>
        <w:t xml:space="preserve">      </w:t>
      </w:r>
      <w:r>
        <w:rPr>
          <w:sz w:val="22"/>
        </w:rPr>
        <w:t>（项目名称）采购项目（采购编号：</w:t>
      </w:r>
      <w:r>
        <w:rPr>
          <w:sz w:val="22"/>
          <w:u w:val="single"/>
        </w:rPr>
        <w:t xml:space="preserve">      </w:t>
      </w:r>
      <w:r>
        <w:rPr>
          <w:sz w:val="22"/>
        </w:rPr>
        <w:t>）进行采购，于</w:t>
      </w:r>
      <w:r>
        <w:rPr>
          <w:sz w:val="22"/>
          <w:u w:val="single"/>
        </w:rPr>
        <w:t xml:space="preserve">   </w:t>
      </w:r>
      <w:r>
        <w:rPr>
          <w:sz w:val="22"/>
        </w:rPr>
        <w:t>年</w:t>
      </w:r>
      <w:r>
        <w:rPr>
          <w:sz w:val="22"/>
          <w:u w:val="single"/>
        </w:rPr>
        <w:t xml:space="preserve"> </w:t>
      </w:r>
      <w:r>
        <w:rPr>
          <w:sz w:val="22"/>
        </w:rPr>
        <w:t>月</w:t>
      </w:r>
      <w:r>
        <w:rPr>
          <w:sz w:val="22"/>
          <w:u w:val="single"/>
        </w:rPr>
        <w:t xml:space="preserve"> </w:t>
      </w:r>
      <w:r>
        <w:rPr>
          <w:sz w:val="22"/>
        </w:rPr>
        <w:t>日通过公开招标，经评标委员会评定乙方为中标供应商。为了保护甲、乙双方合法权益，根据《中华人民共和国政府采购法》及其实施条例、《中华人民共和国民法典》，在平等自愿的基础上，按照下面的条款和条件，签署本合同。</w:t>
      </w:r>
    </w:p>
    <w:p>
      <w:r>
        <w:rPr>
          <w:b/>
          <w:sz w:val="22"/>
        </w:rPr>
        <w:t>第一条 合同内容</w:t>
      </w:r>
    </w:p>
    <w:p>
      <w:pPr>
        <w:ind w:firstLine="440"/>
      </w:pPr>
      <w:r>
        <w:rPr>
          <w:sz w:val="22"/>
        </w:rPr>
        <w:t>1、项目名称：大岗镇2024年登革热防控及除四害服务单位项目；</w:t>
      </w:r>
    </w:p>
    <w:p>
      <w:pPr>
        <w:ind w:firstLine="440"/>
      </w:pPr>
      <w:r>
        <w:rPr>
          <w:sz w:val="22"/>
        </w:rPr>
        <w:t>2、项目编号：</w:t>
      </w:r>
      <w:r>
        <w:rPr>
          <w:sz w:val="22"/>
          <w:u w:val="single"/>
        </w:rPr>
        <w:t xml:space="preserve">               </w:t>
      </w:r>
    </w:p>
    <w:p>
      <w:pPr>
        <w:ind w:firstLine="440"/>
      </w:pPr>
      <w:r>
        <w:rPr>
          <w:sz w:val="22"/>
        </w:rPr>
        <w:t>3、合同期限：本服务项目自合同签订之日起一年，合同期满本项目合同自然终止。</w:t>
      </w:r>
    </w:p>
    <w:p>
      <w:r>
        <w:rPr>
          <w:b/>
          <w:sz w:val="22"/>
        </w:rPr>
        <w:t>第二条 合同金额</w:t>
      </w:r>
    </w:p>
    <w:p>
      <w:pPr>
        <w:ind w:firstLine="440"/>
      </w:pPr>
      <w:r>
        <w:rPr>
          <w:sz w:val="22"/>
        </w:rPr>
        <w:t>1、合同总价：人民币</w:t>
      </w:r>
      <w:r>
        <w:rPr>
          <w:sz w:val="22"/>
          <w:u w:val="single"/>
        </w:rPr>
        <w:t xml:space="preserve">         （¥           ）</w:t>
      </w:r>
    </w:p>
    <w:tbl>
      <w:tblPr>
        <w:tblW w:w="0" w:type="auto"/>
        <w:tblBorders>
          <w:top w:val="none" w:color="000000" w:sz="4"/>
          <w:left w:val="none" w:color="000000" w:sz="4"/>
          <w:bottom w:val="none" w:color="000000" w:sz="4"/>
          <w:right w:val="none" w:color="000000" w:sz="4"/>
          <w:insideH w:val="none"/>
          <w:insideV w:val="none"/>
        </w:tblBorders>
      </w:tblPr>
      <w:tblGrid>
        <w:gridCol w:w="1091"/>
        <w:gridCol w:w="5286"/>
        <w:gridCol w:w="1930"/>
      </w:tblGrid>
      <w:tr>
        <w:tc>
          <w:tcPr>
            <w:tcW w:type="dxa" w:w="1091"/>
            <w:tcBorders>
              <w:top w:val="single" w:color="000000" w:sz="4"/>
              <w:left w:val="single" w:color="000000" w:sz="4"/>
              <w:bottom w:val="single" w:color="000000" w:sz="4"/>
              <w:right w:val="single" w:color="000000" w:sz="4"/>
            </w:tcBorders>
            <w:vAlign w:val="top"/>
          </w:tcPr>
          <w:p>
            <w:pPr>
              <w:jc w:val="center"/>
            </w:pPr>
            <w:r>
              <w:rPr>
                <w:b/>
                <w:sz w:val="24"/>
              </w:rPr>
              <w:t>项目序号</w:t>
            </w:r>
          </w:p>
        </w:tc>
        <w:tc>
          <w:tcPr>
            <w:tcW w:type="dxa" w:w="5286"/>
            <w:tcBorders>
              <w:top w:val="single" w:color="000000" w:sz="4"/>
              <w:left w:val="none" w:color="000000" w:sz="4"/>
              <w:bottom w:val="single" w:color="000000" w:sz="4"/>
              <w:right w:val="single" w:color="000000" w:sz="4"/>
            </w:tcBorders>
            <w:vAlign w:val="top"/>
          </w:tcPr>
          <w:p>
            <w:pPr>
              <w:jc w:val="center"/>
            </w:pPr>
            <w:r>
              <w:rPr>
                <w:b/>
                <w:sz w:val="24"/>
              </w:rPr>
              <w:t>项目名称</w:t>
            </w:r>
          </w:p>
        </w:tc>
        <w:tc>
          <w:tcPr>
            <w:tcW w:type="dxa" w:w="1930"/>
            <w:tcBorders>
              <w:top w:val="single" w:color="000000" w:sz="4"/>
              <w:left w:val="none" w:color="000000" w:sz="4"/>
              <w:bottom w:val="single" w:color="000000" w:sz="4"/>
              <w:right w:val="single" w:color="000000" w:sz="4"/>
            </w:tcBorders>
            <w:vAlign w:val="top"/>
          </w:tcPr>
          <w:p>
            <w:pPr>
              <w:jc w:val="center"/>
            </w:pPr>
            <w:r>
              <w:rPr>
                <w:b/>
                <w:sz w:val="24"/>
              </w:rPr>
              <w:t>费用（元）</w:t>
            </w:r>
          </w:p>
        </w:tc>
      </w:tr>
      <w:tr>
        <w:tc>
          <w:tcPr>
            <w:tcW w:type="dxa" w:w="1091"/>
            <w:tcBorders>
              <w:top w:val="none" w:color="000000" w:sz="4"/>
              <w:left w:val="single" w:color="000000" w:sz="4"/>
              <w:bottom w:val="single" w:color="000000" w:sz="4"/>
              <w:right w:val="single" w:color="000000" w:sz="4"/>
            </w:tcBorders>
            <w:vAlign w:val="top"/>
          </w:tcPr>
          <w:p>
            <w:pPr>
              <w:jc w:val="center"/>
            </w:pPr>
            <w:r>
              <w:rPr>
                <w:sz w:val="24"/>
              </w:rPr>
              <w:t>1</w:t>
            </w:r>
          </w:p>
        </w:tc>
        <w:tc>
          <w:tcPr>
            <w:tcW w:type="dxa" w:w="5286"/>
            <w:tcBorders>
              <w:top w:val="none" w:color="000000" w:sz="4"/>
              <w:left w:val="none" w:color="000000" w:sz="4"/>
              <w:bottom w:val="single" w:color="000000" w:sz="4"/>
              <w:right w:val="single" w:color="000000" w:sz="4"/>
            </w:tcBorders>
            <w:vAlign w:val="top"/>
          </w:tcPr>
          <w:p>
            <w:pPr>
              <w:jc w:val="center"/>
            </w:pPr>
            <w:r>
              <w:rPr>
                <w:sz w:val="24"/>
              </w:rPr>
              <w:t>大型车载机及背负式成蚊消杀服务</w:t>
            </w:r>
          </w:p>
        </w:tc>
        <w:tc>
          <w:tcPr>
            <w:tcW w:type="dxa" w:w="1930"/>
            <w:tcBorders>
              <w:top w:val="none" w:color="000000" w:sz="4"/>
              <w:left w:val="none" w:color="000000" w:sz="4"/>
              <w:bottom w:val="single" w:color="000000" w:sz="4"/>
              <w:right w:val="single" w:color="000000" w:sz="4"/>
            </w:tcBorders>
            <w:vAlign w:val="top"/>
          </w:tcPr>
          <w:p>
            <w:pPr>
              <w:jc w:val="center"/>
            </w:pPr>
          </w:p>
        </w:tc>
      </w:tr>
      <w:tr>
        <w:tc>
          <w:tcPr>
            <w:tcW w:type="dxa" w:w="1091"/>
            <w:tcBorders>
              <w:top w:val="none" w:color="000000" w:sz="4"/>
              <w:left w:val="single" w:color="000000" w:sz="4"/>
              <w:bottom w:val="single" w:color="000000" w:sz="4"/>
              <w:right w:val="single" w:color="000000" w:sz="4"/>
            </w:tcBorders>
            <w:vAlign w:val="top"/>
          </w:tcPr>
          <w:p>
            <w:pPr>
              <w:jc w:val="center"/>
            </w:pPr>
            <w:r>
              <w:rPr>
                <w:sz w:val="24"/>
              </w:rPr>
              <w:t>2</w:t>
            </w:r>
          </w:p>
        </w:tc>
        <w:tc>
          <w:tcPr>
            <w:tcW w:type="dxa" w:w="5286"/>
            <w:tcBorders>
              <w:top w:val="none" w:color="000000" w:sz="4"/>
              <w:left w:val="none" w:color="000000" w:sz="4"/>
              <w:bottom w:val="single" w:color="000000" w:sz="4"/>
              <w:right w:val="single" w:color="000000" w:sz="4"/>
            </w:tcBorders>
            <w:vAlign w:val="top"/>
          </w:tcPr>
          <w:p>
            <w:pPr>
              <w:jc w:val="center"/>
            </w:pPr>
            <w:r>
              <w:rPr>
                <w:sz w:val="24"/>
              </w:rPr>
              <w:t>灭鼠灭蟑灭蝇消杀服务</w:t>
            </w:r>
          </w:p>
        </w:tc>
        <w:tc>
          <w:tcPr>
            <w:tcW w:type="dxa" w:w="1930"/>
            <w:tcBorders>
              <w:top w:val="none" w:color="000000" w:sz="4"/>
              <w:left w:val="none" w:color="000000" w:sz="4"/>
              <w:bottom w:val="single" w:color="000000" w:sz="4"/>
              <w:right w:val="single" w:color="000000" w:sz="4"/>
            </w:tcBorders>
            <w:vAlign w:val="top"/>
          </w:tcPr>
          <w:p>
            <w:pPr>
              <w:jc w:val="center"/>
            </w:pPr>
          </w:p>
        </w:tc>
      </w:tr>
      <w:tr>
        <w:tc>
          <w:tcPr>
            <w:tcW w:type="dxa" w:w="6377"/>
            <w:gridSpan w:val="2"/>
            <w:tcBorders>
              <w:top w:val="none" w:color="000000" w:sz="4"/>
              <w:left w:val="single" w:color="000000" w:sz="4"/>
              <w:bottom w:val="single" w:color="000000" w:sz="4"/>
              <w:right w:val="single" w:color="000000" w:sz="4"/>
            </w:tcBorders>
            <w:vAlign w:val="top"/>
          </w:tcPr>
          <w:p>
            <w:pPr>
              <w:ind w:firstLine="480"/>
              <w:jc w:val="center"/>
            </w:pPr>
            <w:r>
              <w:rPr>
                <w:sz w:val="24"/>
              </w:rPr>
              <w:t>合计</w:t>
            </w:r>
          </w:p>
        </w:tc>
        <w:tc>
          <w:tcPr>
            <w:tcW w:type="dxa" w:w="1930"/>
            <w:tcBorders>
              <w:top w:val="none" w:color="000000" w:sz="4"/>
              <w:left w:val="none" w:color="000000" w:sz="4"/>
              <w:bottom w:val="single" w:color="000000" w:sz="4"/>
              <w:right w:val="single" w:color="000000" w:sz="4"/>
            </w:tcBorders>
            <w:vAlign w:val="top"/>
          </w:tcPr>
          <w:p>
            <w:pPr>
              <w:jc w:val="center"/>
            </w:pPr>
          </w:p>
        </w:tc>
      </w:tr>
    </w:tbl>
    <w:p>
      <w:pPr>
        <w:ind w:firstLine="440"/>
      </w:pPr>
      <w:r>
        <w:rPr>
          <w:sz w:val="22"/>
        </w:rPr>
        <w:t>2、合同总价包括：消杀器械、人工费用、交通成本、人员管理、人员工资（加班费、突发性作业费）、应急消杀、人员社会保险、人员住房公积金、绩效奖金、人员培训、招标代理服务费、税费等履行合同所有相关服务的所有费用，甲方不另行支付其他任何费用。</w:t>
      </w:r>
    </w:p>
    <w:p>
      <w:pPr>
        <w:ind w:firstLine="440"/>
      </w:pPr>
      <w:r>
        <w:rPr>
          <w:sz w:val="22"/>
        </w:rPr>
        <w:t>3.合同金额在合同执行期间固定不变，不得因劳务成本的行业标准或国家标准的变动或其他任何理由予以变更。</w:t>
      </w:r>
    </w:p>
    <w:p>
      <w:r>
        <w:rPr>
          <w:b/>
          <w:sz w:val="22"/>
        </w:rPr>
        <w:t>第三条 合同组成</w:t>
      </w:r>
    </w:p>
    <w:p>
      <w:pPr>
        <w:ind w:firstLine="440"/>
      </w:pPr>
      <w:r>
        <w:rPr>
          <w:sz w:val="22"/>
        </w:rPr>
        <w:t>1、详细价格组成、技术说明及其它有关合同服务的特定信息可由合同附件说明。</w:t>
      </w:r>
    </w:p>
    <w:p>
      <w:pPr>
        <w:ind w:firstLine="440"/>
      </w:pPr>
      <w:r>
        <w:rPr>
          <w:sz w:val="22"/>
        </w:rPr>
        <w:t>2、所有附件及本项目的采购文件、答疑文件、投标文件及相关承诺、协议、会议纪要等均为本合同不可分割之一部分，该等文件与本合同正文约定不一致的，以合同正文约定为准。</w:t>
      </w:r>
    </w:p>
    <w:p>
      <w:r>
        <w:rPr>
          <w:b/>
          <w:sz w:val="22"/>
        </w:rPr>
        <w:t>第四条 付款方式</w:t>
      </w:r>
    </w:p>
    <w:p>
      <w:pPr>
        <w:ind w:firstLine="440"/>
      </w:pPr>
      <w:r>
        <w:rPr>
          <w:sz w:val="22"/>
        </w:rPr>
        <w:t>1.甲方分四期支付服务费，每一期服务时间完结后结算一次服务费用，每期按实际发生的工作次数进行按实结算，累计结算总额以合同总价为限。第一期服务时间为合同期生效之日起至2024年4月，第二期服务时间为2024年5月至2024年7月，第三期服务时间为2024年8月至2024年9月，第四期服务时间为2024年10月至合同期满。同时将按照合同约定的考核标准进行结算。</w:t>
      </w:r>
    </w:p>
    <w:p>
      <w:pPr>
        <w:ind w:firstLine="440"/>
      </w:pPr>
      <w:r>
        <w:rPr>
          <w:sz w:val="22"/>
        </w:rPr>
        <w:t>2.若发生以下情况还需在服务费中作相应的扣减作为违约金：甲方被省、市、区抽检蚊媒密度监测结果为高度风险；甲方被省、市、区抽检病媒生物监测（即蚊、蝇、鼠、蟑螂）综合评价结果为不达标；发生本地登革热；私自使用违禁药品或无效药物的，经甲方提出整改要求仍未达标等情况；采购文件或合同列明的其他情形。本项目计量支付或结算。</w:t>
      </w:r>
    </w:p>
    <w:p>
      <w:pPr>
        <w:ind w:firstLine="440"/>
      </w:pPr>
      <w:r>
        <w:rPr>
          <w:sz w:val="22"/>
        </w:rPr>
        <w:t>3.甲方以转账或支票形式结算服务费。</w:t>
      </w:r>
    </w:p>
    <w:p>
      <w:pPr>
        <w:ind w:firstLine="440"/>
      </w:pPr>
      <w:r>
        <w:rPr>
          <w:sz w:val="22"/>
        </w:rPr>
        <w:t>4.乙方凭以下有效文件与甲方结算：</w:t>
      </w:r>
    </w:p>
    <w:p>
      <w:pPr>
        <w:ind w:firstLine="440"/>
      </w:pPr>
      <w:r>
        <w:rPr>
          <w:sz w:val="22"/>
        </w:rPr>
        <w:t>（1）合同及中标通知书；</w:t>
      </w:r>
    </w:p>
    <w:p>
      <w:pPr>
        <w:ind w:firstLine="440"/>
      </w:pPr>
      <w:r>
        <w:rPr>
          <w:sz w:val="22"/>
        </w:rPr>
        <w:t>（2）相关的验收合格报告；</w:t>
      </w:r>
    </w:p>
    <w:p>
      <w:pPr>
        <w:ind w:firstLine="440"/>
      </w:pPr>
      <w:r>
        <w:rPr>
          <w:sz w:val="22"/>
        </w:rPr>
        <w:t>（3）乙方开具的完税后合法足额发票；</w:t>
      </w:r>
    </w:p>
    <w:p>
      <w:pPr>
        <w:ind w:firstLine="440"/>
      </w:pPr>
      <w:r>
        <w:rPr>
          <w:sz w:val="22"/>
        </w:rPr>
        <w:t>（4）其它结算资料以镇财政办公室要求为准（如有）；</w:t>
      </w:r>
    </w:p>
    <w:p>
      <w:pPr>
        <w:ind w:firstLine="440"/>
      </w:pPr>
      <w:r>
        <w:rPr>
          <w:sz w:val="22"/>
        </w:rPr>
        <w:t>（5）第三方评审报告。</w:t>
      </w:r>
    </w:p>
    <w:p>
      <w:pPr>
        <w:ind w:firstLine="440"/>
      </w:pPr>
      <w:r>
        <w:rPr>
          <w:sz w:val="22"/>
        </w:rPr>
        <w:t>乙方在每期结算交齐以上结算资料有效文件，且经甲方确认无误后，甲方在30个工作日内向乙方支付该期服务费用。</w:t>
      </w:r>
    </w:p>
    <w:p>
      <w:pPr>
        <w:ind w:firstLine="440"/>
      </w:pPr>
      <w:r>
        <w:rPr>
          <w:sz w:val="22"/>
        </w:rPr>
        <w:t>5.因甲方使用的是财政资金，甲方在规定的付款时间向政府财政部门提出办理财政支付申请手续的时间（不含政府财政支付部门审核的时间）即视为甲方已经按期支付，因政府财政部门审核支付导致实际付款迟延的，甲方不须承担逾期付款违约责任，乙方不得因费用拨付滞后而影响正常工作开展和工作质量。</w:t>
      </w:r>
    </w:p>
    <w:p>
      <w:r>
        <w:rPr>
          <w:b/>
          <w:sz w:val="22"/>
        </w:rPr>
        <w:t>第五条 服务内容</w:t>
      </w:r>
    </w:p>
    <w:p>
      <w:pPr>
        <w:ind w:firstLine="480"/>
      </w:pPr>
      <w:r>
        <w:rPr>
          <w:sz w:val="22"/>
        </w:rPr>
        <w:t>（一）大型车载机及背负式成蚊消杀服务</w:t>
      </w:r>
    </w:p>
    <w:p>
      <w:pPr>
        <w:ind w:firstLine="480"/>
      </w:pPr>
      <w:r>
        <w:rPr>
          <w:sz w:val="22"/>
        </w:rPr>
        <w:t>1.</w:t>
      </w:r>
      <w:r>
        <w:rPr>
          <w:sz w:val="22"/>
        </w:rPr>
        <w:t>对</w:t>
      </w:r>
      <w:r>
        <w:rPr>
          <w:sz w:val="22"/>
        </w:rPr>
        <w:t>31</w:t>
      </w:r>
      <w:r>
        <w:rPr>
          <w:sz w:val="22"/>
        </w:rPr>
        <w:t>个村（社区）、</w:t>
      </w:r>
      <w:r>
        <w:rPr>
          <w:sz w:val="22"/>
        </w:rPr>
        <w:t>14</w:t>
      </w:r>
      <w:r>
        <w:rPr>
          <w:sz w:val="22"/>
        </w:rPr>
        <w:t>所中（小）学校、</w:t>
      </w:r>
      <w:r>
        <w:rPr>
          <w:sz w:val="22"/>
        </w:rPr>
        <w:t>11</w:t>
      </w:r>
      <w:r>
        <w:rPr>
          <w:sz w:val="22"/>
        </w:rPr>
        <w:t>所公办幼儿园、潭洲公园、大岗公园、灵山公园、十八罗汉山森林公园开展日常外环境成蚊消杀，消杀服务面积约</w:t>
      </w:r>
      <w:r>
        <w:rPr>
          <w:sz w:val="22"/>
        </w:rPr>
        <w:t>327.86</w:t>
      </w:r>
      <w:r>
        <w:rPr>
          <w:sz w:val="22"/>
        </w:rPr>
        <w:t>万平方米，全年共消杀</w:t>
      </w:r>
      <w:r>
        <w:rPr>
          <w:sz w:val="22"/>
        </w:rPr>
        <w:t>28</w:t>
      </w:r>
      <w:r>
        <w:rPr>
          <w:sz w:val="22"/>
        </w:rPr>
        <w:t>次。如服务期内有新增公办学校、幼儿园，则纳入服务范围，不另行支付其他服务费。</w:t>
      </w:r>
    </w:p>
    <w:p>
      <w:pPr>
        <w:ind w:firstLine="480"/>
      </w:pPr>
      <w:r>
        <w:rPr>
          <w:sz w:val="22"/>
        </w:rPr>
        <w:t>2.</w:t>
      </w:r>
      <w:r>
        <w:rPr>
          <w:sz w:val="22"/>
        </w:rPr>
        <w:t>安排足够人员对车载消杀进行补充。</w:t>
      </w:r>
    </w:p>
    <w:p>
      <w:pPr>
        <w:ind w:firstLine="480"/>
      </w:pPr>
      <w:r>
        <w:rPr>
          <w:sz w:val="22"/>
        </w:rPr>
        <w:t>（二）灭鼠灭蟑灭蝇工作服务对豪岗社区 、二湾社区、镇南社区、潭洲社区、灵山社区、江滘社区、东流村、北流村、客家村开展全覆盖灭鼠灭蟑灭蝇工作，消杀服务面积</w:t>
      </w:r>
      <w:r>
        <w:rPr>
          <w:sz w:val="22"/>
        </w:rPr>
        <w:t>71.20</w:t>
      </w:r>
      <w:r>
        <w:rPr>
          <w:sz w:val="22"/>
        </w:rPr>
        <w:t>万平方米，全年共消杀</w:t>
      </w:r>
      <w:r>
        <w:rPr>
          <w:sz w:val="22"/>
        </w:rPr>
        <w:t>28</w:t>
      </w:r>
      <w:r>
        <w:rPr>
          <w:sz w:val="22"/>
        </w:rPr>
        <w:t>次。</w:t>
      </w:r>
    </w:p>
    <w:tbl>
      <w:tblPr>
        <w:tblW w:w="0" w:type="auto"/>
        <w:tblBorders>
          <w:top w:val="none" w:color="000000" w:sz="4"/>
          <w:left w:val="none" w:color="000000" w:sz="4"/>
          <w:bottom w:val="none" w:color="000000" w:sz="4"/>
          <w:right w:val="none" w:color="000000" w:sz="4"/>
          <w:insideH w:val="none"/>
          <w:insideV w:val="none"/>
        </w:tblBorders>
      </w:tblPr>
      <w:tblGrid>
        <w:gridCol w:w="461"/>
        <w:gridCol w:w="1477"/>
        <w:gridCol w:w="461"/>
        <w:gridCol w:w="461"/>
        <w:gridCol w:w="461"/>
        <w:gridCol w:w="461"/>
        <w:gridCol w:w="461"/>
        <w:gridCol w:w="461"/>
        <w:gridCol w:w="461"/>
        <w:gridCol w:w="461"/>
        <w:gridCol w:w="461"/>
        <w:gridCol w:w="554"/>
        <w:gridCol w:w="554"/>
        <w:gridCol w:w="554"/>
        <w:gridCol w:w="554"/>
      </w:tblGrid>
      <w:tr>
        <w:tc>
          <w:tcPr>
            <w:tcW w:type="dxa" w:w="461"/>
            <w:vMerge w:val="restart"/>
            <w:tcBorders>
              <w:top w:val="single" w:color="000000" w:sz="4"/>
              <w:left w:val="single" w:color="000000" w:sz="4"/>
              <w:bottom w:val="single" w:color="000000" w:sz="4"/>
              <w:right w:val="single" w:color="000000" w:sz="4"/>
            </w:tcBorders>
          </w:tcPr>
          <w:p>
            <w:pPr>
              <w:jc w:val="center"/>
            </w:pPr>
            <w:r>
              <w:rPr>
                <w:sz w:val="22"/>
              </w:rPr>
              <w:t>序号</w:t>
            </w:r>
          </w:p>
        </w:tc>
        <w:tc>
          <w:tcPr>
            <w:tcW w:type="dxa" w:w="1477"/>
            <w:vMerge w:val="restart"/>
            <w:tcBorders>
              <w:top w:val="single" w:color="000000" w:sz="4"/>
              <w:left w:val="none" w:color="000000" w:sz="4"/>
              <w:bottom w:val="single" w:color="000000" w:sz="4"/>
              <w:right w:val="single" w:color="000000" w:sz="4"/>
            </w:tcBorders>
          </w:tcPr>
          <w:p>
            <w:pPr>
              <w:jc w:val="center"/>
            </w:pPr>
            <w:r>
              <w:rPr>
                <w:sz w:val="22"/>
              </w:rPr>
              <w:t>项目</w:t>
            </w:r>
          </w:p>
        </w:tc>
        <w:tc>
          <w:tcPr>
            <w:tcW w:type="dxa" w:w="5811"/>
            <w:gridSpan w:val="12"/>
            <w:tcBorders>
              <w:top w:val="single" w:color="000000" w:sz="4"/>
              <w:left w:val="none" w:color="000000" w:sz="4"/>
              <w:bottom w:val="single" w:color="000000" w:sz="4"/>
              <w:right w:val="single" w:color="000000" w:sz="4"/>
            </w:tcBorders>
          </w:tcPr>
          <w:p>
            <w:pPr>
              <w:jc w:val="center"/>
            </w:pPr>
            <w:r>
              <w:rPr>
                <w:sz w:val="22"/>
              </w:rPr>
              <w:t>消杀计划</w:t>
            </w:r>
          </w:p>
        </w:tc>
        <w:tc>
          <w:tcPr>
            <w:tcW w:type="dxa" w:w="554"/>
            <w:vMerge w:val="restart"/>
            <w:tcBorders>
              <w:top w:val="single" w:color="000000" w:sz="4"/>
              <w:left w:val="none" w:color="000000" w:sz="4"/>
              <w:bottom w:val="single" w:color="000000" w:sz="4"/>
              <w:right w:val="single" w:color="000000" w:sz="4"/>
            </w:tcBorders>
          </w:tcPr>
          <w:p>
            <w:pPr>
              <w:jc w:val="center"/>
            </w:pPr>
            <w:r>
              <w:rPr>
                <w:sz w:val="22"/>
              </w:rPr>
              <w:t>合计</w:t>
            </w:r>
          </w:p>
        </w:tc>
      </w:tr>
      <w:tr>
        <w:tc>
          <w:tcPr>
            <w:tcW w:type="dxa" w:w="461"/>
            <w:vMerge/>
            <w:tcBorders>
              <w:top w:val="single" w:color="000000" w:sz="4"/>
              <w:left w:val="single" w:color="000000" w:sz="4"/>
              <w:bottom w:val="single" w:color="000000" w:sz="4"/>
              <w:right w:val="single" w:color="000000" w:sz="4"/>
            </w:tcBorders>
          </w:tcPr>
          <w:p/>
        </w:tc>
        <w:tc>
          <w:tcPr>
            <w:tcW w:type="dxa" w:w="1477"/>
            <w:vMerge/>
            <w:tcBorders>
              <w:top w:val="single" w:color="000000" w:sz="4"/>
              <w:left w:val="non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Pr>
          <w:p>
            <w:pPr>
              <w:jc w:val="center"/>
            </w:pPr>
            <w:r>
              <w:rPr>
                <w:sz w:val="22"/>
              </w:rPr>
              <w:t>1</w:t>
            </w:r>
            <w:r>
              <w:rPr>
                <w:sz w:val="22"/>
              </w:rPr>
              <w:t>月</w:t>
            </w:r>
          </w:p>
        </w:tc>
        <w:tc>
          <w:tcPr>
            <w:tcW w:type="dxa" w:w="461"/>
            <w:tcBorders>
              <w:top w:val="none" w:color="000000" w:sz="4"/>
              <w:left w:val="none" w:color="000000" w:sz="4"/>
              <w:bottom w:val="single" w:color="000000" w:sz="4"/>
              <w:right w:val="single" w:color="000000" w:sz="4"/>
            </w:tcBorders>
          </w:tcPr>
          <w:p>
            <w:pPr>
              <w:jc w:val="center"/>
            </w:pPr>
            <w:r>
              <w:rPr>
                <w:sz w:val="22"/>
              </w:rPr>
              <w:t>2</w:t>
            </w:r>
            <w:r>
              <w:rPr>
                <w:sz w:val="22"/>
              </w:rPr>
              <w:t>月</w:t>
            </w:r>
          </w:p>
        </w:tc>
        <w:tc>
          <w:tcPr>
            <w:tcW w:type="dxa" w:w="461"/>
            <w:tcBorders>
              <w:top w:val="none" w:color="000000" w:sz="4"/>
              <w:left w:val="none" w:color="000000" w:sz="4"/>
              <w:bottom w:val="single" w:color="000000" w:sz="4"/>
              <w:right w:val="single" w:color="000000" w:sz="4"/>
            </w:tcBorders>
          </w:tcPr>
          <w:p>
            <w:pPr>
              <w:jc w:val="center"/>
            </w:pPr>
            <w:r>
              <w:rPr>
                <w:sz w:val="22"/>
              </w:rPr>
              <w:t>3</w:t>
            </w:r>
            <w:r>
              <w:rPr>
                <w:sz w:val="22"/>
              </w:rPr>
              <w:t>月</w:t>
            </w:r>
          </w:p>
        </w:tc>
        <w:tc>
          <w:tcPr>
            <w:tcW w:type="dxa" w:w="461"/>
            <w:tcBorders>
              <w:top w:val="none" w:color="000000" w:sz="4"/>
              <w:left w:val="none" w:color="000000" w:sz="4"/>
              <w:bottom w:val="single" w:color="000000" w:sz="4"/>
              <w:right w:val="single" w:color="000000" w:sz="4"/>
            </w:tcBorders>
          </w:tcPr>
          <w:p>
            <w:pPr>
              <w:jc w:val="center"/>
            </w:pPr>
            <w:r>
              <w:rPr>
                <w:sz w:val="22"/>
              </w:rPr>
              <w:t>4</w:t>
            </w:r>
            <w:r>
              <w:rPr>
                <w:sz w:val="22"/>
              </w:rPr>
              <w:t>月</w:t>
            </w:r>
          </w:p>
        </w:tc>
        <w:tc>
          <w:tcPr>
            <w:tcW w:type="dxa" w:w="461"/>
            <w:tcBorders>
              <w:top w:val="none" w:color="000000" w:sz="4"/>
              <w:left w:val="none" w:color="000000" w:sz="4"/>
              <w:bottom w:val="single" w:color="000000" w:sz="4"/>
              <w:right w:val="single" w:color="000000" w:sz="4"/>
            </w:tcBorders>
          </w:tcPr>
          <w:p>
            <w:pPr>
              <w:jc w:val="center"/>
            </w:pPr>
            <w:r>
              <w:rPr>
                <w:sz w:val="22"/>
              </w:rPr>
              <w:t>5</w:t>
            </w:r>
            <w:r>
              <w:rPr>
                <w:sz w:val="22"/>
              </w:rPr>
              <w:t>月</w:t>
            </w:r>
          </w:p>
        </w:tc>
        <w:tc>
          <w:tcPr>
            <w:tcW w:type="dxa" w:w="461"/>
            <w:tcBorders>
              <w:top w:val="none" w:color="000000" w:sz="4"/>
              <w:left w:val="none" w:color="000000" w:sz="4"/>
              <w:bottom w:val="single" w:color="000000" w:sz="4"/>
              <w:right w:val="single" w:color="000000" w:sz="4"/>
            </w:tcBorders>
          </w:tcPr>
          <w:p>
            <w:pPr>
              <w:jc w:val="center"/>
            </w:pPr>
            <w:r>
              <w:rPr>
                <w:sz w:val="22"/>
              </w:rPr>
              <w:t>6</w:t>
            </w:r>
            <w:r>
              <w:rPr>
                <w:sz w:val="22"/>
              </w:rPr>
              <w:t>月</w:t>
            </w:r>
          </w:p>
        </w:tc>
        <w:tc>
          <w:tcPr>
            <w:tcW w:type="dxa" w:w="461"/>
            <w:tcBorders>
              <w:top w:val="none" w:color="000000" w:sz="4"/>
              <w:left w:val="none" w:color="000000" w:sz="4"/>
              <w:bottom w:val="single" w:color="000000" w:sz="4"/>
              <w:right w:val="single" w:color="000000" w:sz="4"/>
            </w:tcBorders>
          </w:tcPr>
          <w:p>
            <w:pPr>
              <w:jc w:val="center"/>
            </w:pPr>
            <w:r>
              <w:rPr>
                <w:sz w:val="22"/>
              </w:rPr>
              <w:t>7</w:t>
            </w:r>
            <w:r>
              <w:rPr>
                <w:sz w:val="22"/>
              </w:rPr>
              <w:t>月</w:t>
            </w:r>
          </w:p>
        </w:tc>
        <w:tc>
          <w:tcPr>
            <w:tcW w:type="dxa" w:w="461"/>
            <w:tcBorders>
              <w:top w:val="none" w:color="000000" w:sz="4"/>
              <w:left w:val="none" w:color="000000" w:sz="4"/>
              <w:bottom w:val="single" w:color="000000" w:sz="4"/>
              <w:right w:val="single" w:color="000000" w:sz="4"/>
            </w:tcBorders>
          </w:tcPr>
          <w:p>
            <w:pPr>
              <w:jc w:val="center"/>
            </w:pPr>
            <w:r>
              <w:rPr>
                <w:sz w:val="22"/>
              </w:rPr>
              <w:t>8</w:t>
            </w:r>
            <w:r>
              <w:rPr>
                <w:sz w:val="22"/>
              </w:rPr>
              <w:t>月</w:t>
            </w:r>
          </w:p>
        </w:tc>
        <w:tc>
          <w:tcPr>
            <w:tcW w:type="dxa" w:w="461"/>
            <w:tcBorders>
              <w:top w:val="none" w:color="000000" w:sz="4"/>
              <w:left w:val="none" w:color="000000" w:sz="4"/>
              <w:bottom w:val="single" w:color="000000" w:sz="4"/>
              <w:right w:val="single" w:color="000000" w:sz="4"/>
            </w:tcBorders>
          </w:tcPr>
          <w:p>
            <w:pPr>
              <w:jc w:val="center"/>
            </w:pPr>
            <w:r>
              <w:rPr>
                <w:sz w:val="22"/>
              </w:rPr>
              <w:t>9</w:t>
            </w:r>
            <w:r>
              <w:rPr>
                <w:sz w:val="22"/>
              </w:rPr>
              <w:t>月</w:t>
            </w:r>
          </w:p>
        </w:tc>
        <w:tc>
          <w:tcPr>
            <w:tcW w:type="dxa" w:w="554"/>
            <w:tcBorders>
              <w:top w:val="none" w:color="000000" w:sz="4"/>
              <w:left w:val="none" w:color="000000" w:sz="4"/>
              <w:bottom w:val="single" w:color="000000" w:sz="4"/>
              <w:right w:val="single" w:color="000000" w:sz="4"/>
            </w:tcBorders>
          </w:tcPr>
          <w:p>
            <w:pPr>
              <w:jc w:val="center"/>
            </w:pPr>
            <w:r>
              <w:rPr>
                <w:sz w:val="22"/>
              </w:rPr>
              <w:t>10</w:t>
            </w:r>
            <w:r>
              <w:rPr>
                <w:sz w:val="22"/>
              </w:rPr>
              <w:t>月</w:t>
            </w:r>
          </w:p>
        </w:tc>
        <w:tc>
          <w:tcPr>
            <w:tcW w:type="dxa" w:w="554"/>
            <w:tcBorders>
              <w:top w:val="none" w:color="000000" w:sz="4"/>
              <w:left w:val="none" w:color="000000" w:sz="4"/>
              <w:bottom w:val="single" w:color="000000" w:sz="4"/>
              <w:right w:val="single" w:color="000000" w:sz="4"/>
            </w:tcBorders>
          </w:tcPr>
          <w:p>
            <w:pPr>
              <w:jc w:val="center"/>
            </w:pPr>
            <w:r>
              <w:rPr>
                <w:sz w:val="22"/>
              </w:rPr>
              <w:t>11</w:t>
            </w:r>
            <w:r>
              <w:rPr>
                <w:sz w:val="22"/>
              </w:rPr>
              <w:t>月</w:t>
            </w:r>
          </w:p>
        </w:tc>
        <w:tc>
          <w:tcPr>
            <w:tcW w:type="dxa" w:w="554"/>
            <w:tcBorders>
              <w:top w:val="none" w:color="000000" w:sz="4"/>
              <w:left w:val="none" w:color="000000" w:sz="4"/>
              <w:bottom w:val="single" w:color="000000" w:sz="4"/>
              <w:right w:val="single" w:color="000000" w:sz="4"/>
            </w:tcBorders>
          </w:tcPr>
          <w:p>
            <w:pPr>
              <w:jc w:val="center"/>
            </w:pPr>
            <w:r>
              <w:rPr>
                <w:sz w:val="22"/>
              </w:rPr>
              <w:t>12</w:t>
            </w:r>
            <w:r>
              <w:rPr>
                <w:sz w:val="22"/>
              </w:rPr>
              <w:t>月</w:t>
            </w:r>
          </w:p>
        </w:tc>
      </w:tr>
      <w:tr>
        <w:tc>
          <w:tcPr>
            <w:tcW w:type="dxa" w:w="461"/>
            <w:tcBorders>
              <w:top w:val="none" w:color="000000" w:sz="4"/>
              <w:left w:val="single" w:color="000000" w:sz="4"/>
              <w:bottom w:val="single" w:color="000000" w:sz="4"/>
              <w:right w:val="single" w:color="000000" w:sz="4"/>
            </w:tcBorders>
          </w:tcPr>
          <w:p>
            <w:pPr>
              <w:jc w:val="center"/>
            </w:pPr>
            <w:r>
              <w:rPr>
                <w:sz w:val="22"/>
              </w:rPr>
              <w:t>1</w:t>
            </w:r>
          </w:p>
        </w:tc>
        <w:tc>
          <w:tcPr>
            <w:tcW w:type="dxa" w:w="1477"/>
            <w:tcBorders>
              <w:top w:val="none" w:color="000000" w:sz="4"/>
              <w:left w:val="none" w:color="000000" w:sz="4"/>
              <w:bottom w:val="single" w:color="000000" w:sz="4"/>
              <w:right w:val="single" w:color="000000" w:sz="4"/>
            </w:tcBorders>
          </w:tcPr>
          <w:p>
            <w:pPr>
              <w:jc w:val="center"/>
            </w:pPr>
            <w:r>
              <w:rPr>
                <w:sz w:val="22"/>
              </w:rPr>
              <w:t>大型车载机及背负式成蚊消杀服务</w:t>
            </w:r>
          </w:p>
        </w:tc>
        <w:tc>
          <w:tcPr>
            <w:tcW w:type="dxa" w:w="461"/>
            <w:tcBorders>
              <w:top w:val="none" w:color="000000" w:sz="4"/>
              <w:left w:val="none" w:color="000000" w:sz="4"/>
              <w:bottom w:val="single" w:color="000000" w:sz="4"/>
              <w:right w:val="single" w:color="000000" w:sz="4"/>
            </w:tcBorders>
          </w:tcPr>
          <w:p>
            <w:pPr>
              <w:jc w:val="center"/>
            </w:pPr>
            <w:r>
              <w:rPr>
                <w:sz w:val="22"/>
              </w:rPr>
              <w:t>1</w:t>
            </w:r>
            <w:r>
              <w:rPr>
                <w:sz w:val="22"/>
              </w:rPr>
              <w:t>次</w:t>
            </w:r>
          </w:p>
        </w:tc>
        <w:tc>
          <w:tcPr>
            <w:tcW w:type="dxa" w:w="461"/>
            <w:tcBorders>
              <w:top w:val="none" w:color="000000" w:sz="4"/>
              <w:left w:val="none" w:color="000000" w:sz="4"/>
              <w:bottom w:val="single" w:color="000000" w:sz="4"/>
              <w:right w:val="single" w:color="000000" w:sz="4"/>
            </w:tcBorders>
          </w:tcPr>
          <w:p>
            <w:pPr>
              <w:jc w:val="center"/>
            </w:pPr>
            <w:r>
              <w:rPr>
                <w:sz w:val="22"/>
              </w:rPr>
              <w:t>1</w:t>
            </w:r>
            <w:r>
              <w:rPr>
                <w:sz w:val="22"/>
              </w:rPr>
              <w:t>次</w:t>
            </w:r>
          </w:p>
        </w:tc>
        <w:tc>
          <w:tcPr>
            <w:tcW w:type="dxa" w:w="46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46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461"/>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461"/>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461"/>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461"/>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461"/>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554"/>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554"/>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554"/>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554"/>
            <w:tcBorders>
              <w:top w:val="none" w:color="000000" w:sz="4"/>
              <w:left w:val="none" w:color="000000" w:sz="4"/>
              <w:bottom w:val="single" w:color="000000" w:sz="4"/>
              <w:right w:val="single" w:color="000000" w:sz="4"/>
            </w:tcBorders>
          </w:tcPr>
          <w:p>
            <w:pPr>
              <w:jc w:val="center"/>
            </w:pPr>
            <w:r>
              <w:rPr>
                <w:sz w:val="22"/>
              </w:rPr>
              <w:t>28</w:t>
            </w:r>
            <w:r>
              <w:rPr>
                <w:sz w:val="22"/>
              </w:rPr>
              <w:t>次</w:t>
            </w:r>
          </w:p>
        </w:tc>
      </w:tr>
      <w:tr>
        <w:tc>
          <w:tcPr>
            <w:tcW w:type="dxa" w:w="461"/>
            <w:tcBorders>
              <w:top w:val="none" w:color="000000" w:sz="4"/>
              <w:left w:val="single" w:color="000000" w:sz="4"/>
              <w:bottom w:val="single" w:color="000000" w:sz="4"/>
              <w:right w:val="single" w:color="000000" w:sz="4"/>
            </w:tcBorders>
          </w:tcPr>
          <w:p>
            <w:pPr>
              <w:jc w:val="center"/>
            </w:pPr>
            <w:r>
              <w:rPr>
                <w:sz w:val="22"/>
              </w:rPr>
              <w:t>2</w:t>
            </w:r>
          </w:p>
        </w:tc>
        <w:tc>
          <w:tcPr>
            <w:tcW w:type="dxa" w:w="1477"/>
            <w:tcBorders>
              <w:top w:val="none" w:color="000000" w:sz="4"/>
              <w:left w:val="none" w:color="000000" w:sz="4"/>
              <w:bottom w:val="single" w:color="000000" w:sz="4"/>
              <w:right w:val="single" w:color="000000" w:sz="4"/>
            </w:tcBorders>
          </w:tcPr>
          <w:p>
            <w:pPr>
              <w:jc w:val="center"/>
            </w:pPr>
            <w:r>
              <w:rPr>
                <w:sz w:val="22"/>
              </w:rPr>
              <w:t>灭鼠灭蟑灭蝇工作服务</w:t>
            </w:r>
          </w:p>
        </w:tc>
        <w:tc>
          <w:tcPr>
            <w:tcW w:type="dxa" w:w="461"/>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46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46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46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46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461"/>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46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46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461"/>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554"/>
            <w:tcBorders>
              <w:top w:val="none" w:color="000000" w:sz="4"/>
              <w:left w:val="none" w:color="000000" w:sz="4"/>
              <w:bottom w:val="single" w:color="000000" w:sz="4"/>
              <w:right w:val="single" w:color="000000" w:sz="4"/>
            </w:tcBorders>
          </w:tcPr>
          <w:p>
            <w:pPr>
              <w:jc w:val="center"/>
            </w:pPr>
            <w:r>
              <w:rPr>
                <w:sz w:val="22"/>
              </w:rPr>
              <w:t>2</w:t>
            </w:r>
            <w:r>
              <w:rPr>
                <w:sz w:val="22"/>
              </w:rPr>
              <w:t>次</w:t>
            </w:r>
          </w:p>
        </w:tc>
        <w:tc>
          <w:tcPr>
            <w:tcW w:type="dxa" w:w="554"/>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554"/>
            <w:tcBorders>
              <w:top w:val="none" w:color="000000" w:sz="4"/>
              <w:left w:val="none" w:color="000000" w:sz="4"/>
              <w:bottom w:val="single" w:color="000000" w:sz="4"/>
              <w:right w:val="single" w:color="000000" w:sz="4"/>
            </w:tcBorders>
          </w:tcPr>
          <w:p>
            <w:pPr>
              <w:jc w:val="center"/>
            </w:pPr>
            <w:r>
              <w:rPr>
                <w:sz w:val="22"/>
              </w:rPr>
              <w:t>3</w:t>
            </w:r>
            <w:r>
              <w:rPr>
                <w:sz w:val="22"/>
              </w:rPr>
              <w:t>次</w:t>
            </w:r>
          </w:p>
        </w:tc>
        <w:tc>
          <w:tcPr>
            <w:tcW w:type="dxa" w:w="554"/>
            <w:tcBorders>
              <w:top w:val="none" w:color="000000" w:sz="4"/>
              <w:left w:val="none" w:color="000000" w:sz="4"/>
              <w:bottom w:val="single" w:color="000000" w:sz="4"/>
              <w:right w:val="single" w:color="000000" w:sz="4"/>
            </w:tcBorders>
          </w:tcPr>
          <w:p>
            <w:pPr>
              <w:jc w:val="center"/>
            </w:pPr>
            <w:r>
              <w:rPr>
                <w:sz w:val="22"/>
              </w:rPr>
              <w:t>28</w:t>
            </w:r>
            <w:r>
              <w:rPr>
                <w:sz w:val="22"/>
              </w:rPr>
              <w:t>次</w:t>
            </w:r>
          </w:p>
        </w:tc>
      </w:tr>
    </w:tbl>
    <w:p>
      <w:pPr>
        <w:ind w:firstLine="440"/>
      </w:pPr>
      <w:r>
        <w:rPr>
          <w:sz w:val="22"/>
        </w:rPr>
        <w:t>每月消杀次数可根据天气、上级检查或其他原因，可按甲方要求调整，但合同期内总消杀次数不变。</w:t>
      </w:r>
    </w:p>
    <w:p>
      <w:r>
        <w:rPr>
          <w:b/>
          <w:sz w:val="22"/>
        </w:rPr>
        <w:t>第六条 工作要求</w:t>
      </w:r>
    </w:p>
    <w:p>
      <w:pPr>
        <w:ind w:firstLine="480"/>
      </w:pPr>
      <w:r>
        <w:rPr>
          <w:sz w:val="22"/>
        </w:rPr>
        <w:t>1.</w:t>
      </w:r>
      <w:r>
        <w:rPr>
          <w:sz w:val="22"/>
        </w:rPr>
        <w:t>使用大型车载超低容量喷雾机对服务范围开展日常外环境成蚊消杀工作，需配置大型车载超低容量喷雾机</w:t>
      </w:r>
      <w:r>
        <w:rPr>
          <w:sz w:val="22"/>
        </w:rPr>
        <w:t>1</w:t>
      </w:r>
      <w:r>
        <w:rPr>
          <w:sz w:val="22"/>
        </w:rPr>
        <w:t>台或以上（同时配备相对应司机），如遇雨天或气温低于或等于</w:t>
      </w:r>
      <w:r>
        <w:rPr>
          <w:sz w:val="22"/>
        </w:rPr>
        <w:t>15</w:t>
      </w:r>
      <w:r>
        <w:rPr>
          <w:sz w:val="22"/>
        </w:rPr>
        <w:t>℃工作时间可顺延，乙方需严格保证器械和药物的专项专用。大型车载超低容量喷雾机参数：</w:t>
      </w:r>
    </w:p>
    <w:p>
      <w:pPr>
        <w:ind w:firstLine="480"/>
      </w:pPr>
      <w:r>
        <w:rPr>
          <w:sz w:val="22"/>
        </w:rPr>
        <w:t>15</w:t>
      </w:r>
      <w:r>
        <w:rPr>
          <w:sz w:val="22"/>
        </w:rPr>
        <w:t>匹马力以上；</w:t>
      </w:r>
    </w:p>
    <w:p>
      <w:pPr>
        <w:ind w:firstLine="480"/>
      </w:pPr>
      <w:r>
        <w:rPr>
          <w:sz w:val="22"/>
        </w:rPr>
        <w:t>超低容量输出量</w:t>
      </w:r>
      <w:r>
        <w:rPr>
          <w:sz w:val="22"/>
        </w:rPr>
        <w:t>5-50</w:t>
      </w:r>
      <w:r>
        <w:rPr>
          <w:sz w:val="22"/>
        </w:rPr>
        <w:t>公升</w:t>
      </w:r>
      <w:r>
        <w:rPr>
          <w:sz w:val="22"/>
        </w:rPr>
        <w:t>/</w:t>
      </w:r>
      <w:r>
        <w:rPr>
          <w:sz w:val="22"/>
        </w:rPr>
        <w:t>小时；</w:t>
      </w:r>
    </w:p>
    <w:p>
      <w:pPr>
        <w:ind w:firstLine="480"/>
      </w:pPr>
      <w:r>
        <w:rPr>
          <w:sz w:val="22"/>
        </w:rPr>
        <w:t>雾粒要求（</w:t>
      </w:r>
      <w:r>
        <w:rPr>
          <w:sz w:val="22"/>
        </w:rPr>
        <w:t>85%</w:t>
      </w:r>
      <w:r>
        <w:rPr>
          <w:sz w:val="22"/>
        </w:rPr>
        <w:t>） ＜</w:t>
      </w:r>
      <w:r>
        <w:rPr>
          <w:sz w:val="22"/>
        </w:rPr>
        <w:t>20</w:t>
      </w:r>
      <w:r>
        <w:rPr>
          <w:sz w:val="22"/>
        </w:rPr>
        <w:t>微米（雾粒直径）；</w:t>
      </w:r>
    </w:p>
    <w:p>
      <w:pPr>
        <w:ind w:firstLine="480"/>
      </w:pPr>
      <w:r>
        <w:rPr>
          <w:sz w:val="22"/>
        </w:rPr>
        <w:t>喷雾距离</w:t>
      </w:r>
      <w:r>
        <w:rPr>
          <w:sz w:val="22"/>
        </w:rPr>
        <w:t>100--200</w:t>
      </w:r>
      <w:r>
        <w:rPr>
          <w:sz w:val="22"/>
        </w:rPr>
        <w:t>米。</w:t>
      </w:r>
    </w:p>
    <w:p>
      <w:pPr>
        <w:ind w:firstLine="480"/>
      </w:pPr>
      <w:r>
        <w:rPr>
          <w:sz w:val="22"/>
        </w:rPr>
        <w:t>2.</w:t>
      </w:r>
      <w:r>
        <w:rPr>
          <w:sz w:val="22"/>
        </w:rPr>
        <w:t>乙方需安排专业消杀工作人员，在甲方规定的作业时间内，采用背负超低容量喷雾机、热烟雾机等对大型车载机无法消杀的区域进行人工背负消杀和补充。</w:t>
      </w:r>
    </w:p>
    <w:p>
      <w:pPr>
        <w:ind w:firstLine="480"/>
      </w:pPr>
      <w:r>
        <w:rPr>
          <w:sz w:val="22"/>
        </w:rPr>
        <w:t>3.</w:t>
      </w:r>
      <w:r>
        <w:rPr>
          <w:sz w:val="22"/>
        </w:rPr>
        <w:t>乙方需安排专业消杀工作人员，在甲方规定的作业时间内，每月对大岗镇内各农贸市场开展不少于</w:t>
      </w:r>
      <w:r>
        <w:rPr>
          <w:sz w:val="22"/>
        </w:rPr>
        <w:t>2</w:t>
      </w:r>
      <w:r>
        <w:rPr>
          <w:sz w:val="22"/>
        </w:rPr>
        <w:t>次的</w:t>
      </w:r>
      <w:r>
        <w:rPr>
          <w:sz w:val="22"/>
        </w:rPr>
        <w:t>“</w:t>
      </w:r>
      <w:r>
        <w:rPr>
          <w:sz w:val="22"/>
        </w:rPr>
        <w:t>四害</w:t>
      </w:r>
      <w:r>
        <w:rPr>
          <w:sz w:val="22"/>
        </w:rPr>
        <w:t>”</w:t>
      </w:r>
      <w:r>
        <w:rPr>
          <w:sz w:val="22"/>
        </w:rPr>
        <w:t>防制工作，每次消杀要在农贸市场当天休市后进行，保证市场</w:t>
      </w:r>
      <w:r>
        <w:rPr>
          <w:sz w:val="22"/>
        </w:rPr>
        <w:t>“</w:t>
      </w:r>
      <w:r>
        <w:rPr>
          <w:sz w:val="22"/>
        </w:rPr>
        <w:t>四害</w:t>
      </w:r>
      <w:r>
        <w:rPr>
          <w:sz w:val="22"/>
        </w:rPr>
        <w:t>”</w:t>
      </w:r>
      <w:r>
        <w:rPr>
          <w:sz w:val="22"/>
        </w:rPr>
        <w:t>防制工作达到国家病媒生物标准</w:t>
      </w:r>
      <w:r>
        <w:rPr>
          <w:sz w:val="22"/>
        </w:rPr>
        <w:t>C</w:t>
      </w:r>
      <w:r>
        <w:rPr>
          <w:sz w:val="22"/>
        </w:rPr>
        <w:t>级或以上。</w:t>
      </w:r>
    </w:p>
    <w:p>
      <w:pPr>
        <w:ind w:firstLine="480"/>
      </w:pPr>
      <w:r>
        <w:rPr>
          <w:sz w:val="22"/>
        </w:rPr>
        <w:t>4.</w:t>
      </w:r>
      <w:r>
        <w:rPr>
          <w:sz w:val="22"/>
        </w:rPr>
        <w:t>每次灭蝇灭蟑灭鼠服务、每次消杀行动需安排足够的专业消杀工作人员，每次消杀时间为期</w:t>
      </w:r>
      <w:r>
        <w:rPr>
          <w:sz w:val="22"/>
        </w:rPr>
        <w:t>4</w:t>
      </w:r>
      <w:r>
        <w:rPr>
          <w:sz w:val="22"/>
        </w:rPr>
        <w:t>天，如遇雨天工作时间可顺延，作业期间可采用热烟雾机、常量喷雾器等器械，乙方需严格保证器械和药物的专项专用。</w:t>
      </w:r>
    </w:p>
    <w:p>
      <w:pPr>
        <w:ind w:firstLine="480"/>
      </w:pPr>
      <w:r>
        <w:rPr>
          <w:sz w:val="22"/>
        </w:rPr>
        <w:t>5.</w:t>
      </w:r>
      <w:r>
        <w:rPr>
          <w:sz w:val="22"/>
        </w:rPr>
        <w:t>每月安排足够的工作人员，在甲方规定的作业时间内，对</w:t>
      </w:r>
      <w:r>
        <w:rPr>
          <w:sz w:val="22"/>
        </w:rPr>
        <w:t>31</w:t>
      </w:r>
      <w:r>
        <w:rPr>
          <w:sz w:val="22"/>
        </w:rPr>
        <w:t>个村（社区）开展布雷图监测，每月每村（社区）各检查</w:t>
      </w:r>
      <w:r>
        <w:rPr>
          <w:sz w:val="22"/>
        </w:rPr>
        <w:t>100</w:t>
      </w:r>
      <w:r>
        <w:rPr>
          <w:sz w:val="22"/>
        </w:rPr>
        <w:t>户，每月共</w:t>
      </w:r>
      <w:r>
        <w:rPr>
          <w:sz w:val="22"/>
        </w:rPr>
        <w:t>3100</w:t>
      </w:r>
      <w:r>
        <w:rPr>
          <w:sz w:val="22"/>
        </w:rPr>
        <w:t>户。乙方需每月将各村（社区）的蚊媒孳生地问题图片和布雷图指数低度风险以上的问题图片形成督办函提交至甲方，同时负责处理在蚊媒监测和控制过程中的存在问题。</w:t>
      </w:r>
    </w:p>
    <w:p>
      <w:pPr>
        <w:ind w:firstLine="480"/>
      </w:pPr>
      <w:r>
        <w:rPr>
          <w:sz w:val="22"/>
        </w:rPr>
        <w:t>6.</w:t>
      </w:r>
      <w:r>
        <w:rPr>
          <w:sz w:val="22"/>
        </w:rPr>
        <w:t>每月对</w:t>
      </w:r>
      <w:r>
        <w:rPr>
          <w:sz w:val="22"/>
        </w:rPr>
        <w:t>31</w:t>
      </w:r>
      <w:r>
        <w:rPr>
          <w:sz w:val="22"/>
        </w:rPr>
        <w:t>个村（社区）开展外环境消杀前、后的诱蚊诱卵器指数、标准间指数、成蚊密度监测等工作，乙方每月负责在村（社区）监测地点每月随机抽选</w:t>
      </w:r>
      <w:r>
        <w:rPr>
          <w:sz w:val="22"/>
        </w:rPr>
        <w:t>4</w:t>
      </w:r>
      <w:r>
        <w:rPr>
          <w:sz w:val="22"/>
        </w:rPr>
        <w:t>个或以上点位进行监测并制定监测结果报告。监测结果报告于次月</w:t>
      </w:r>
      <w:r>
        <w:rPr>
          <w:sz w:val="22"/>
        </w:rPr>
        <w:t>5</w:t>
      </w:r>
      <w:r>
        <w:rPr>
          <w:sz w:val="22"/>
        </w:rPr>
        <w:t>日前提交至甲方，如监测结果超出安全范围值需立刻上报。</w:t>
      </w:r>
    </w:p>
    <w:p>
      <w:pPr>
        <w:ind w:firstLine="480"/>
      </w:pPr>
      <w:r>
        <w:rPr>
          <w:sz w:val="22"/>
        </w:rPr>
        <w:t>7.</w:t>
      </w:r>
      <w:r>
        <w:rPr>
          <w:sz w:val="22"/>
        </w:rPr>
        <w:t>每月对豪岗社区、二湾社区、镇南社区、潭洲社区、灵山社区、江滘社区、东流村、北流村、客家村开展消杀前、后的鼠、蟑、蝇密度监测工作</w:t>
      </w:r>
      <w:r>
        <w:rPr>
          <w:sz w:val="22"/>
        </w:rPr>
        <w:t>,</w:t>
      </w:r>
      <w:r>
        <w:rPr>
          <w:sz w:val="22"/>
        </w:rPr>
        <w:t>监测结果于次月</w:t>
      </w:r>
      <w:r>
        <w:rPr>
          <w:sz w:val="22"/>
        </w:rPr>
        <w:t>5</w:t>
      </w:r>
      <w:r>
        <w:rPr>
          <w:sz w:val="22"/>
        </w:rPr>
        <w:t>日前提交甲方，如监测结果超出安全范围值需立刻上报并整改。</w:t>
      </w:r>
    </w:p>
    <w:p>
      <w:pPr>
        <w:ind w:firstLine="480"/>
      </w:pPr>
      <w:r>
        <w:rPr>
          <w:sz w:val="22"/>
        </w:rPr>
        <w:t>8.</w:t>
      </w:r>
      <w:r>
        <w:rPr>
          <w:sz w:val="22"/>
        </w:rPr>
        <w:t>乙方每月督导各村（社区）、医院、农贸市场、公园、建筑工地、学校、餐饮店档等开展病媒生物防制工作，完成督导后</w:t>
      </w:r>
      <w:r>
        <w:rPr>
          <w:sz w:val="22"/>
        </w:rPr>
        <w:t>2</w:t>
      </w:r>
      <w:r>
        <w:rPr>
          <w:sz w:val="22"/>
        </w:rPr>
        <w:t>个工作日内需形成督导报告提交至甲方。</w:t>
      </w:r>
    </w:p>
    <w:p>
      <w:pPr>
        <w:ind w:firstLine="480"/>
      </w:pPr>
      <w:r>
        <w:rPr>
          <w:sz w:val="22"/>
        </w:rPr>
        <w:t>9.</w:t>
      </w:r>
      <w:r>
        <w:rPr>
          <w:sz w:val="22"/>
        </w:rPr>
        <w:t>每月对镇城区范围内下水道口开展防蚊闸巡查，做好工作台帐记录，发现防蚊闸缺失、破损等情况立刻补充，并清理堵塞杂物；每月对镇城区范围内灭鼠屋进行巡查，做好工作台帐记录，发现灭鼠屋有缺失、破损或设置不规范等情况立刻整改，完善灭鼠屋标识牌编号，同时清理灭鼠屋周边的鼠洞、鼠迹及鼠路等相关情况；防蚊闸和灭鼠屋巡查记录每季度提交一次。</w:t>
      </w:r>
    </w:p>
    <w:p>
      <w:pPr>
        <w:ind w:firstLine="480"/>
      </w:pPr>
      <w:r>
        <w:rPr>
          <w:sz w:val="22"/>
        </w:rPr>
        <w:t>10.</w:t>
      </w:r>
      <w:r>
        <w:rPr>
          <w:sz w:val="22"/>
        </w:rPr>
        <w:t>如有省、市、区上级部门（含</w:t>
      </w:r>
      <w:r>
        <w:rPr>
          <w:sz w:val="22"/>
        </w:rPr>
        <w:t>12345</w:t>
      </w:r>
      <w:r>
        <w:rPr>
          <w:sz w:val="22"/>
        </w:rPr>
        <w:t>服务热线）对大岗镇</w:t>
      </w:r>
      <w:r>
        <w:rPr>
          <w:sz w:val="22"/>
        </w:rPr>
        <w:t>“</w:t>
      </w:r>
      <w:r>
        <w:rPr>
          <w:sz w:val="22"/>
        </w:rPr>
        <w:t>四害</w:t>
      </w:r>
      <w:r>
        <w:rPr>
          <w:sz w:val="22"/>
        </w:rPr>
        <w:t>”</w:t>
      </w:r>
      <w:r>
        <w:rPr>
          <w:sz w:val="22"/>
        </w:rPr>
        <w:t>防制方面发出督办整改，由乙方负责落实整改，形成报告提交至甲方；电话投诉同样由乙方负责落实整改和处理。</w:t>
      </w:r>
    </w:p>
    <w:p>
      <w:pPr>
        <w:ind w:firstLine="480"/>
      </w:pPr>
      <w:r>
        <w:rPr>
          <w:sz w:val="22"/>
        </w:rPr>
        <w:t>11.</w:t>
      </w:r>
      <w:r>
        <w:rPr>
          <w:sz w:val="22"/>
        </w:rPr>
        <w:t>无条件积极配合甲方接受上级部门开展的各项迎检工作。</w:t>
      </w:r>
    </w:p>
    <w:p>
      <w:pPr>
        <w:ind w:firstLine="480"/>
      </w:pPr>
      <w:r>
        <w:rPr>
          <w:sz w:val="22"/>
        </w:rPr>
        <w:t>12.</w:t>
      </w:r>
      <w:r>
        <w:rPr>
          <w:sz w:val="22"/>
        </w:rPr>
        <w:t>乙方需提供一台</w:t>
      </w:r>
      <w:r>
        <w:rPr>
          <w:sz w:val="22"/>
        </w:rPr>
        <w:t>0.6</w:t>
      </w:r>
      <w:r>
        <w:rPr>
          <w:sz w:val="22"/>
        </w:rPr>
        <w:t>吨以上的轻型普通货车作为车载消杀用车和一台五座以上的车辆作为日常监测用车，并承担车辆使用时相关费用，每次工作完成后提供车辆轨迹图给甲方。</w:t>
      </w:r>
    </w:p>
    <w:p>
      <w:pPr>
        <w:ind w:firstLine="480"/>
      </w:pPr>
      <w:r>
        <w:rPr>
          <w:sz w:val="22"/>
        </w:rPr>
        <w:t>13.</w:t>
      </w:r>
      <w:r>
        <w:rPr>
          <w:sz w:val="22"/>
        </w:rPr>
        <w:t>本项目使用国家、省、市爱卫办推荐使用药物，必须有药物三证，严禁使用其他明文禁用药物，消杀药物由甲方提供。</w:t>
      </w:r>
    </w:p>
    <w:p>
      <w:pPr>
        <w:ind w:firstLine="480"/>
      </w:pPr>
      <w:r>
        <w:rPr>
          <w:sz w:val="22"/>
        </w:rPr>
        <w:t>14.</w:t>
      </w:r>
      <w:r>
        <w:rPr>
          <w:sz w:val="22"/>
        </w:rPr>
        <w:t>本项目费用包含消杀机器设备（工具）、人工费用、燃油费、消杀设备及交通工具损耗费用、加班费、突发性作业费、应急消杀、保险、福利费、管理费、税费及利润、不可预见费等在项目实施过程中的全部费用，乙方报价中漏报、少报的费用，视为此项费用已隐含在投标报价中，乙方中标后不得再向甲方收取任何费用。消杀药物、防蚊闸、灭鼠屋由甲方提供，乙方需根据技术要求为甲方采购药物提供技术指导，每次进行药剂喷洒和投放作业时在甲方指定地点领取药物，作业完毕后剩余的消杀药物及药物空包装（空瓶）退还甲方。</w:t>
      </w:r>
    </w:p>
    <w:p>
      <w:pPr>
        <w:ind w:firstLine="440"/>
      </w:pPr>
      <w:r>
        <w:rPr>
          <w:sz w:val="22"/>
        </w:rPr>
        <w:t>15</w:t>
      </w:r>
      <w:r>
        <w:rPr>
          <w:sz w:val="22"/>
        </w:rPr>
        <w:t>、根据上级要求，做好臭虫防制相关工作。</w:t>
      </w:r>
    </w:p>
    <w:p>
      <w:r>
        <w:rPr>
          <w:b/>
          <w:sz w:val="22"/>
        </w:rPr>
        <w:t>第七条 服务要求</w:t>
      </w:r>
    </w:p>
    <w:p>
      <w:pPr>
        <w:ind w:firstLine="480"/>
      </w:pPr>
      <w:r>
        <w:rPr>
          <w:sz w:val="22"/>
        </w:rPr>
        <w:t>1.</w:t>
      </w:r>
      <w:r>
        <w:rPr>
          <w:sz w:val="22"/>
        </w:rPr>
        <w:t>甲方负责对乙方专业技术队伍质量考核、绩效评估。</w:t>
      </w:r>
    </w:p>
    <w:p>
      <w:pPr>
        <w:ind w:firstLine="480"/>
      </w:pPr>
      <w:r>
        <w:rPr>
          <w:sz w:val="22"/>
        </w:rPr>
        <w:t>2.</w:t>
      </w:r>
      <w:r>
        <w:rPr>
          <w:sz w:val="22"/>
        </w:rPr>
        <w:t>乙方每次执行各服务时，需将作业情况拍照取证，并和甲方相关工作人员签名确认工作量，由乙方出具达标验收报告，作为结算依据。</w:t>
      </w:r>
    </w:p>
    <w:p>
      <w:pPr>
        <w:ind w:firstLine="480"/>
      </w:pPr>
      <w:r>
        <w:rPr>
          <w:sz w:val="22"/>
        </w:rPr>
        <w:t>3.</w:t>
      </w:r>
      <w:r>
        <w:rPr>
          <w:sz w:val="22"/>
        </w:rPr>
        <w:t>人员管理</w:t>
      </w:r>
    </w:p>
    <w:p>
      <w:pPr>
        <w:ind w:firstLine="480"/>
      </w:pPr>
      <w:r>
        <w:rPr>
          <w:sz w:val="22"/>
        </w:rPr>
        <w:t>3.1</w:t>
      </w:r>
      <w:r>
        <w:rPr>
          <w:sz w:val="22"/>
        </w:rPr>
        <w:t>乙方的工作人员全部由乙方负责招聘和管理，必须按照我国《劳动合同法》的有关规定与工作人员签订劳动合同，人员工资、社会福利和各类保障由乙方承担，且人员工资福利应符合国家劳动法相关规定，如出现职业伤害、工伤等情况由乙方承担。甲方对乙方不称职的工作人员，可要求乙方限期更换。</w:t>
      </w:r>
    </w:p>
    <w:p>
      <w:pPr>
        <w:ind w:firstLine="480"/>
      </w:pPr>
      <w:r>
        <w:rPr>
          <w:sz w:val="22"/>
        </w:rPr>
        <w:t>3.2</w:t>
      </w:r>
      <w:r>
        <w:rPr>
          <w:sz w:val="22"/>
        </w:rPr>
        <w:t>作业点需提供足够工作人员（包括项目管理人员、使用大型车载超低容量喷雾机消杀人员、背负式超低容量消杀人员、灭蝇灭蟑灭鼠消杀人员、蚊媒密度监测人员等），乙方应严格保持消杀队伍人员稳定性，同时保证消杀队伍人员专门从事该项目工作任务，未经甲方同意不能调拨去参与或协助完成乙方其它工作任务。</w:t>
      </w:r>
    </w:p>
    <w:p>
      <w:pPr>
        <w:ind w:firstLine="480"/>
      </w:pPr>
      <w:r>
        <w:rPr>
          <w:sz w:val="22"/>
        </w:rPr>
        <w:t>3.3</w:t>
      </w:r>
      <w:r>
        <w:rPr>
          <w:sz w:val="22"/>
        </w:rPr>
        <w:t>作业点工作人员受乙方和甲方双重领导，如乙方按甲方要求的数量配置人员及设备，甲方仍认为不足以满足服务本项目需要的，乙方必须第一时间无条件增加人员及设备，确保本项目开展的效率和质量。</w:t>
      </w:r>
    </w:p>
    <w:p>
      <w:pPr>
        <w:ind w:firstLine="480"/>
      </w:pPr>
      <w:r>
        <w:rPr>
          <w:sz w:val="22"/>
        </w:rPr>
        <w:t>3.4</w:t>
      </w:r>
      <w:r>
        <w:rPr>
          <w:sz w:val="22"/>
        </w:rPr>
        <w:t>项目管理人员需具有中级及以上职业且工种为</w:t>
      </w:r>
      <w:r>
        <w:rPr>
          <w:sz w:val="22"/>
        </w:rPr>
        <w:t>“</w:t>
      </w:r>
      <w:r>
        <w:rPr>
          <w:sz w:val="22"/>
        </w:rPr>
        <w:t>有害生物防制员</w:t>
      </w:r>
      <w:r>
        <w:rPr>
          <w:sz w:val="22"/>
        </w:rPr>
        <w:t>”</w:t>
      </w:r>
      <w:r>
        <w:rPr>
          <w:sz w:val="22"/>
        </w:rPr>
        <w:t>的《中华人民共和国职业资格证书》。消杀人员需具备</w:t>
      </w:r>
      <w:r>
        <w:rPr>
          <w:sz w:val="22"/>
        </w:rPr>
        <w:t>“</w:t>
      </w:r>
      <w:r>
        <w:rPr>
          <w:sz w:val="22"/>
        </w:rPr>
        <w:t>有害生物防制员</w:t>
      </w:r>
      <w:r>
        <w:rPr>
          <w:sz w:val="22"/>
        </w:rPr>
        <w:t>”</w:t>
      </w:r>
      <w:r>
        <w:rPr>
          <w:sz w:val="22"/>
        </w:rPr>
        <w:t>的《中华人民共和国职业资格证书》或除虫灭鼠类上岗证书。</w:t>
      </w:r>
    </w:p>
    <w:p>
      <w:pPr>
        <w:ind w:firstLine="480"/>
      </w:pPr>
      <w:r>
        <w:rPr>
          <w:sz w:val="22"/>
        </w:rPr>
        <w:t>3.5</w:t>
      </w:r>
      <w:r>
        <w:rPr>
          <w:sz w:val="22"/>
        </w:rPr>
        <w:t>乙方安排的消杀工作人员必须有职业健康体检且符合参与消杀作业要求，在消杀过程中采取职业病防护措施及用品。</w:t>
      </w:r>
    </w:p>
    <w:p>
      <w:pPr>
        <w:ind w:firstLine="480"/>
      </w:pPr>
      <w:r>
        <w:rPr>
          <w:sz w:val="22"/>
        </w:rPr>
        <w:t>4.</w:t>
      </w:r>
      <w:r>
        <w:rPr>
          <w:sz w:val="22"/>
        </w:rPr>
        <w:t>药械管理</w:t>
      </w:r>
    </w:p>
    <w:p>
      <w:pPr>
        <w:ind w:firstLine="480"/>
      </w:pPr>
      <w:r>
        <w:rPr>
          <w:sz w:val="22"/>
        </w:rPr>
        <w:t>乙方需提供</w:t>
      </w:r>
      <w:r>
        <w:rPr>
          <w:sz w:val="22"/>
        </w:rPr>
        <w:t>“</w:t>
      </w:r>
      <w:r>
        <w:rPr>
          <w:sz w:val="22"/>
        </w:rPr>
        <w:t>四害</w:t>
      </w:r>
      <w:r>
        <w:rPr>
          <w:sz w:val="22"/>
        </w:rPr>
        <w:t>”</w:t>
      </w:r>
      <w:r>
        <w:rPr>
          <w:sz w:val="22"/>
        </w:rPr>
        <w:t>防制所需的消杀器械并做好日常维护工作，消杀药物由甲方提供。乙方负责将消杀药物的使用情况进行详细的记录，每月向甲方进行书面报告，乙方需严格保证器械和药物的专项专用，乙方使用的器械应有合格的质检报告报甲方存档。</w:t>
      </w:r>
    </w:p>
    <w:p>
      <w:pPr>
        <w:ind w:firstLine="480"/>
      </w:pPr>
      <w:r>
        <w:rPr>
          <w:sz w:val="22"/>
        </w:rPr>
        <w:t>5.</w:t>
      </w:r>
      <w:r>
        <w:rPr>
          <w:sz w:val="22"/>
        </w:rPr>
        <w:t>沟通机制</w:t>
      </w:r>
    </w:p>
    <w:p>
      <w:pPr>
        <w:ind w:firstLine="480"/>
      </w:pPr>
      <w:r>
        <w:rPr>
          <w:sz w:val="22"/>
        </w:rPr>
        <w:t>乙方项目管理人员应主动与甲方进行业务沟通，并指定专人负责与甲方业务联络，定期递交工作计划、工作总结、结算资料等。每月</w:t>
      </w:r>
      <w:r>
        <w:rPr>
          <w:sz w:val="22"/>
        </w:rPr>
        <w:t>25</w:t>
      </w:r>
      <w:r>
        <w:rPr>
          <w:sz w:val="22"/>
        </w:rPr>
        <w:t>日前应将下月的工作计划和时间表向甲方报告。</w:t>
      </w:r>
    </w:p>
    <w:p>
      <w:pPr>
        <w:ind w:firstLine="480"/>
      </w:pPr>
      <w:r>
        <w:rPr>
          <w:sz w:val="22"/>
        </w:rPr>
        <w:t>6.</w:t>
      </w:r>
      <w:r>
        <w:rPr>
          <w:sz w:val="22"/>
        </w:rPr>
        <w:t>考核评估</w:t>
      </w:r>
    </w:p>
    <w:p>
      <w:pPr>
        <w:ind w:firstLine="480"/>
      </w:pPr>
      <w:r>
        <w:rPr>
          <w:sz w:val="22"/>
        </w:rPr>
        <w:t>考核评估由甲方和第三方评审两部分组成。量化考核表及考核评分细则由甲方根据招标合同以及工作职责制定，考核采用量化考核法，根据工作任务完成情况打分，最终评分将作为甲方支付乙方项目经费数额的主要依据。</w:t>
      </w:r>
    </w:p>
    <w:p>
      <w:pPr>
        <w:ind w:firstLine="480"/>
      </w:pPr>
      <w:r>
        <w:rPr>
          <w:sz w:val="22"/>
        </w:rPr>
        <w:t>甲方评审：每期一次考核（第一期：合同期生效之日起至</w:t>
      </w:r>
      <w:r>
        <w:rPr>
          <w:sz w:val="22"/>
        </w:rPr>
        <w:t>2024</w:t>
      </w:r>
      <w:r>
        <w:rPr>
          <w:sz w:val="22"/>
        </w:rPr>
        <w:t>年</w:t>
      </w:r>
      <w:r>
        <w:rPr>
          <w:sz w:val="22"/>
        </w:rPr>
        <w:t>4</w:t>
      </w:r>
      <w:r>
        <w:rPr>
          <w:sz w:val="22"/>
        </w:rPr>
        <w:t>月，第二期：</w:t>
      </w:r>
      <w:r>
        <w:rPr>
          <w:sz w:val="22"/>
        </w:rPr>
        <w:t>2024</w:t>
      </w:r>
      <w:r>
        <w:rPr>
          <w:sz w:val="22"/>
        </w:rPr>
        <w:t>年</w:t>
      </w:r>
      <w:r>
        <w:rPr>
          <w:sz w:val="22"/>
        </w:rPr>
        <w:t>5</w:t>
      </w:r>
      <w:r>
        <w:rPr>
          <w:sz w:val="22"/>
        </w:rPr>
        <w:t>月至</w:t>
      </w:r>
      <w:r>
        <w:rPr>
          <w:sz w:val="22"/>
        </w:rPr>
        <w:t>2024</w:t>
      </w:r>
      <w:r>
        <w:rPr>
          <w:sz w:val="22"/>
        </w:rPr>
        <w:t>年</w:t>
      </w:r>
      <w:r>
        <w:rPr>
          <w:sz w:val="22"/>
        </w:rPr>
        <w:t>7</w:t>
      </w:r>
      <w:r>
        <w:rPr>
          <w:sz w:val="22"/>
        </w:rPr>
        <w:t>月，第三期：</w:t>
      </w:r>
      <w:r>
        <w:rPr>
          <w:sz w:val="22"/>
        </w:rPr>
        <w:t>2024</w:t>
      </w:r>
      <w:r>
        <w:rPr>
          <w:sz w:val="22"/>
        </w:rPr>
        <w:t>年</w:t>
      </w:r>
      <w:r>
        <w:rPr>
          <w:sz w:val="22"/>
        </w:rPr>
        <w:t>8</w:t>
      </w:r>
      <w:r>
        <w:rPr>
          <w:sz w:val="22"/>
        </w:rPr>
        <w:t>月至</w:t>
      </w:r>
      <w:r>
        <w:rPr>
          <w:sz w:val="22"/>
        </w:rPr>
        <w:t>2024</w:t>
      </w:r>
      <w:r>
        <w:rPr>
          <w:sz w:val="22"/>
        </w:rPr>
        <w:t>年</w:t>
      </w:r>
      <w:r>
        <w:rPr>
          <w:sz w:val="22"/>
        </w:rPr>
        <w:t>9</w:t>
      </w:r>
      <w:r>
        <w:rPr>
          <w:sz w:val="22"/>
        </w:rPr>
        <w:t>月，第四期：</w:t>
      </w:r>
      <w:r>
        <w:rPr>
          <w:sz w:val="22"/>
        </w:rPr>
        <w:t>2024</w:t>
      </w:r>
      <w:r>
        <w:rPr>
          <w:sz w:val="22"/>
        </w:rPr>
        <w:t>年</w:t>
      </w:r>
      <w:r>
        <w:rPr>
          <w:sz w:val="22"/>
        </w:rPr>
        <w:t>10</w:t>
      </w:r>
      <w:r>
        <w:rPr>
          <w:sz w:val="22"/>
        </w:rPr>
        <w:t>月至合同期满），乙方每期结束后一周内将自评报告和有关佐证资料交甲方备案，甲方组织人员审核。</w:t>
      </w:r>
    </w:p>
    <w:p>
      <w:pPr>
        <w:ind w:firstLine="480"/>
      </w:pPr>
      <w:r>
        <w:rPr>
          <w:sz w:val="22"/>
        </w:rPr>
        <w:t>第三方评审：每期一次，由甲方委托第三方机构或聘请专家组成评审小组，乙方负责组织第三方评审工作，评审工作须在每期结束前完成（即四期），并在完成评审后一周内将考核评估报告和有关佐证资料交甲方审核。</w:t>
      </w:r>
    </w:p>
    <w:p>
      <w:pPr>
        <w:ind w:firstLine="480"/>
      </w:pPr>
      <w:r>
        <w:rPr>
          <w:sz w:val="22"/>
        </w:rPr>
        <w:t>上述活动过程中所产生的包括但不限于第三方委托费、专家劳务费、工作人员加班补助等所有费用均由乙方承担。</w:t>
      </w:r>
    </w:p>
    <w:p>
      <w:pPr>
        <w:ind w:firstLine="480"/>
      </w:pPr>
      <w:r>
        <w:rPr>
          <w:sz w:val="22"/>
        </w:rPr>
        <w:t>7.</w:t>
      </w:r>
      <w:r>
        <w:rPr>
          <w:sz w:val="22"/>
        </w:rPr>
        <w:t>项目服务原则和要求</w:t>
      </w:r>
    </w:p>
    <w:p>
      <w:pPr>
        <w:ind w:firstLine="480"/>
      </w:pPr>
      <w:r>
        <w:rPr>
          <w:sz w:val="22"/>
        </w:rPr>
        <w:t>7.1</w:t>
      </w:r>
      <w:r>
        <w:rPr>
          <w:sz w:val="22"/>
        </w:rPr>
        <w:t>乙方需提供中级（或以上）职称人员，拟定蚊媒防制技术方案及疫情应急响应方案。</w:t>
      </w:r>
    </w:p>
    <w:p>
      <w:pPr>
        <w:ind w:firstLine="480"/>
      </w:pPr>
      <w:r>
        <w:rPr>
          <w:sz w:val="22"/>
        </w:rPr>
        <w:t>7.2</w:t>
      </w:r>
      <w:r>
        <w:rPr>
          <w:sz w:val="22"/>
        </w:rPr>
        <w:t>乙方应提供规范的管理制度、作业方案和操作流程，所有服务内容要有书面记录。</w:t>
      </w:r>
    </w:p>
    <w:p>
      <w:pPr>
        <w:ind w:firstLine="480"/>
      </w:pPr>
      <w:r>
        <w:rPr>
          <w:sz w:val="22"/>
        </w:rPr>
        <w:t>7.3</w:t>
      </w:r>
      <w:r>
        <w:rPr>
          <w:sz w:val="22"/>
        </w:rPr>
        <w:t>疫情应急响应：乙方消杀队伍的疫情应急管理将严格按照甲方的应急行动管理要求，确保在一小时内到达处理现场。</w:t>
      </w:r>
    </w:p>
    <w:p>
      <w:pPr>
        <w:ind w:firstLine="480"/>
      </w:pPr>
      <w:r>
        <w:rPr>
          <w:sz w:val="22"/>
        </w:rPr>
        <w:t>7.4</w:t>
      </w:r>
      <w:r>
        <w:rPr>
          <w:sz w:val="22"/>
        </w:rPr>
        <w:t>乙方应急消杀队伍的日常监测工作，将严格按照甲方制定的病媒生物监测与效果评估以及服务时间周期进行实施，并按照相关的操作规范实施。</w:t>
      </w:r>
    </w:p>
    <w:p>
      <w:pPr>
        <w:ind w:firstLine="480"/>
      </w:pPr>
      <w:r>
        <w:rPr>
          <w:sz w:val="22"/>
        </w:rPr>
        <w:t>7.5</w:t>
      </w:r>
      <w:r>
        <w:rPr>
          <w:sz w:val="22"/>
        </w:rPr>
        <w:t>乙方需提供蚊媒应急控制和日常监测所需的所有仪器、设备和物资等（药物除外）。</w:t>
      </w:r>
    </w:p>
    <w:p>
      <w:pPr>
        <w:ind w:firstLine="480"/>
      </w:pPr>
      <w:r>
        <w:rPr>
          <w:sz w:val="22"/>
        </w:rPr>
        <w:t>7.6</w:t>
      </w:r>
      <w:r>
        <w:rPr>
          <w:sz w:val="22"/>
        </w:rPr>
        <w:t>乙方参与服务实施人员需全部持有上岗证，穿着统一工作服，并提供相关人员身份证、资质证等信息供甲方复核。</w:t>
      </w:r>
    </w:p>
    <w:p>
      <w:pPr>
        <w:ind w:firstLine="440"/>
      </w:pPr>
      <w:r>
        <w:rPr>
          <w:sz w:val="22"/>
        </w:rPr>
        <w:t>7.7</w:t>
      </w:r>
      <w:r>
        <w:rPr>
          <w:sz w:val="22"/>
        </w:rPr>
        <w:t>乙方做好</w:t>
      </w:r>
      <w:r>
        <w:rPr>
          <w:sz w:val="22"/>
        </w:rPr>
        <w:t>“</w:t>
      </w:r>
      <w:r>
        <w:rPr>
          <w:sz w:val="22"/>
        </w:rPr>
        <w:t>四害</w:t>
      </w:r>
      <w:r>
        <w:rPr>
          <w:sz w:val="22"/>
        </w:rPr>
        <w:t>”</w:t>
      </w:r>
      <w:r>
        <w:rPr>
          <w:sz w:val="22"/>
        </w:rPr>
        <w:t>消杀记录，建立</w:t>
      </w:r>
      <w:r>
        <w:rPr>
          <w:sz w:val="22"/>
        </w:rPr>
        <w:t>“</w:t>
      </w:r>
      <w:r>
        <w:rPr>
          <w:sz w:val="22"/>
        </w:rPr>
        <w:t>四害</w:t>
      </w:r>
      <w:r>
        <w:rPr>
          <w:sz w:val="22"/>
        </w:rPr>
        <w:t>”</w:t>
      </w:r>
      <w:r>
        <w:rPr>
          <w:sz w:val="22"/>
        </w:rPr>
        <w:t>消杀工台帐，及时准确记录统一施药时间、投放药物名称数量、工作人员数量、消杀场景图片、面积等，并由甲方、乙方、消杀点管理方签字确认，做好工作资料台帐整理归档工作，同时协助甲方向上级填报各项工作数据。</w:t>
      </w:r>
    </w:p>
    <w:p>
      <w:r>
        <w:rPr>
          <w:b/>
          <w:sz w:val="22"/>
        </w:rPr>
        <w:t>第八条 服务质量考核及服务费的扣减</w:t>
      </w:r>
    </w:p>
    <w:p>
      <w:pPr>
        <w:ind w:firstLine="480"/>
      </w:pPr>
      <w:r>
        <w:rPr>
          <w:sz w:val="22"/>
        </w:rPr>
        <w:t>1.</w:t>
      </w:r>
      <w:r>
        <w:rPr>
          <w:sz w:val="22"/>
        </w:rPr>
        <w:t>考核实行百分制，若乙方每期的考核评分在</w:t>
      </w:r>
      <w:r>
        <w:rPr>
          <w:sz w:val="22"/>
        </w:rPr>
        <w:t>85</w:t>
      </w:r>
      <w:r>
        <w:rPr>
          <w:sz w:val="22"/>
        </w:rPr>
        <w:t>（含）分以上，甲方全额拨付当期服务经费；若考核评分在</w:t>
      </w:r>
      <w:r>
        <w:rPr>
          <w:sz w:val="22"/>
        </w:rPr>
        <w:t>75</w:t>
      </w:r>
      <w:r>
        <w:rPr>
          <w:sz w:val="22"/>
        </w:rPr>
        <w:t>（含）</w:t>
      </w:r>
      <w:r>
        <w:rPr>
          <w:sz w:val="22"/>
        </w:rPr>
        <w:t>-85</w:t>
      </w:r>
      <w:r>
        <w:rPr>
          <w:sz w:val="22"/>
        </w:rPr>
        <w:t>（不含）分扣减当期服务经费的</w:t>
      </w:r>
      <w:r>
        <w:rPr>
          <w:sz w:val="22"/>
        </w:rPr>
        <w:t>10%</w:t>
      </w:r>
      <w:r>
        <w:rPr>
          <w:sz w:val="22"/>
        </w:rPr>
        <w:t>作为违约金；若考核评分在</w:t>
      </w:r>
      <w:r>
        <w:rPr>
          <w:sz w:val="22"/>
        </w:rPr>
        <w:t>65</w:t>
      </w:r>
      <w:r>
        <w:rPr>
          <w:sz w:val="22"/>
        </w:rPr>
        <w:t>（含）</w:t>
      </w:r>
      <w:r>
        <w:rPr>
          <w:sz w:val="22"/>
        </w:rPr>
        <w:t>-75</w:t>
      </w:r>
      <w:r>
        <w:rPr>
          <w:sz w:val="22"/>
        </w:rPr>
        <w:t>（不含）分扣减当期服务经费的</w:t>
      </w:r>
      <w:r>
        <w:rPr>
          <w:sz w:val="22"/>
        </w:rPr>
        <w:t>20%</w:t>
      </w:r>
      <w:r>
        <w:rPr>
          <w:sz w:val="22"/>
        </w:rPr>
        <w:t>作为违约金；若考核评分在</w:t>
      </w:r>
      <w:r>
        <w:rPr>
          <w:sz w:val="22"/>
        </w:rPr>
        <w:t>60</w:t>
      </w:r>
      <w:r>
        <w:rPr>
          <w:sz w:val="22"/>
        </w:rPr>
        <w:t>（含）</w:t>
      </w:r>
      <w:r>
        <w:rPr>
          <w:sz w:val="22"/>
        </w:rPr>
        <w:t>-65</w:t>
      </w:r>
      <w:r>
        <w:rPr>
          <w:sz w:val="22"/>
        </w:rPr>
        <w:t>（不含）分扣减当期服务经费的</w:t>
      </w:r>
      <w:r>
        <w:rPr>
          <w:sz w:val="22"/>
        </w:rPr>
        <w:t>30%</w:t>
      </w:r>
      <w:r>
        <w:rPr>
          <w:sz w:val="22"/>
        </w:rPr>
        <w:t>作为违约金；</w:t>
      </w:r>
      <w:r>
        <w:rPr>
          <w:sz w:val="22"/>
        </w:rPr>
        <w:t>60</w:t>
      </w:r>
      <w:r>
        <w:rPr>
          <w:sz w:val="22"/>
        </w:rPr>
        <w:t>（不含）分以下不支付当期服务经费，且甲方有权单方面终止合同。每期最终评分</w:t>
      </w:r>
      <w:r>
        <w:rPr>
          <w:sz w:val="22"/>
        </w:rPr>
        <w:t>=</w:t>
      </w:r>
      <w:r>
        <w:rPr>
          <w:sz w:val="22"/>
        </w:rPr>
        <w:t>甲方考核评分×</w:t>
      </w:r>
      <w:r>
        <w:rPr>
          <w:sz w:val="22"/>
        </w:rPr>
        <w:t>50%+</w:t>
      </w:r>
      <w:r>
        <w:rPr>
          <w:sz w:val="22"/>
        </w:rPr>
        <w:t>村（社区）、学校、幼儿园、公园考核评分（平均分）×</w:t>
      </w:r>
      <w:r>
        <w:rPr>
          <w:sz w:val="22"/>
        </w:rPr>
        <w:t>50%</w:t>
      </w:r>
      <w:r>
        <w:rPr>
          <w:sz w:val="22"/>
        </w:rPr>
        <w:t>。</w:t>
      </w:r>
    </w:p>
    <w:p>
      <w:pPr>
        <w:ind w:firstLine="480"/>
      </w:pPr>
      <w:r>
        <w:rPr>
          <w:sz w:val="22"/>
        </w:rPr>
        <w:t>2.</w:t>
      </w:r>
      <w:r>
        <w:rPr>
          <w:sz w:val="22"/>
        </w:rPr>
        <w:t>出现紧急情况，且甲方通知后未能在一小时内到达现场的，除按考核办法进行扣减外，第一次给予扣减总合同价单次的</w:t>
      </w:r>
      <w:r>
        <w:rPr>
          <w:sz w:val="22"/>
        </w:rPr>
        <w:t>5%</w:t>
      </w:r>
      <w:r>
        <w:rPr>
          <w:sz w:val="22"/>
        </w:rPr>
        <w:t>作为违约金，出现第二次扣减总合同价款单次的</w:t>
      </w:r>
      <w:r>
        <w:rPr>
          <w:sz w:val="22"/>
        </w:rPr>
        <w:t>l0%</w:t>
      </w:r>
      <w:r>
        <w:rPr>
          <w:sz w:val="22"/>
        </w:rPr>
        <w:t>作为违约金，出现第三次甲方有权终止合同。</w:t>
      </w:r>
    </w:p>
    <w:p>
      <w:pPr>
        <w:ind w:firstLine="480"/>
      </w:pPr>
      <w:r>
        <w:rPr>
          <w:sz w:val="22"/>
        </w:rPr>
        <w:t>3.</w:t>
      </w:r>
      <w:r>
        <w:rPr>
          <w:sz w:val="22"/>
        </w:rPr>
        <w:t>每期服务工作未能按照甲方要求完成的，除按考核办法进行处罚外，第一次给予警告，并在</w:t>
      </w:r>
      <w:r>
        <w:rPr>
          <w:sz w:val="22"/>
        </w:rPr>
        <w:t>24</w:t>
      </w:r>
      <w:r>
        <w:rPr>
          <w:sz w:val="22"/>
        </w:rPr>
        <w:t>小时内完成整改，第二次扣罚合同价款单次的</w:t>
      </w:r>
      <w:r>
        <w:rPr>
          <w:sz w:val="22"/>
        </w:rPr>
        <w:t>5%</w:t>
      </w:r>
      <w:r>
        <w:rPr>
          <w:sz w:val="22"/>
        </w:rPr>
        <w:t>作为违约金并在</w:t>
      </w:r>
      <w:r>
        <w:rPr>
          <w:sz w:val="22"/>
        </w:rPr>
        <w:t>24</w:t>
      </w:r>
      <w:r>
        <w:rPr>
          <w:sz w:val="22"/>
        </w:rPr>
        <w:t>小时内完成整改，否则甲方有权终止合同。</w:t>
      </w:r>
    </w:p>
    <w:p>
      <w:pPr>
        <w:ind w:firstLine="480"/>
      </w:pPr>
      <w:r>
        <w:rPr>
          <w:sz w:val="22"/>
        </w:rPr>
        <w:t>4.</w:t>
      </w:r>
      <w:r>
        <w:rPr>
          <w:sz w:val="22"/>
        </w:rPr>
        <w:t>乙方未按要求配备工作人员和设备，甲方要求乙方整改达</w:t>
      </w:r>
      <w:r>
        <w:rPr>
          <w:sz w:val="22"/>
        </w:rPr>
        <w:t>3</w:t>
      </w:r>
      <w:r>
        <w:rPr>
          <w:sz w:val="22"/>
        </w:rPr>
        <w:t>次以上（含</w:t>
      </w:r>
      <w:r>
        <w:rPr>
          <w:sz w:val="22"/>
        </w:rPr>
        <w:t>3</w:t>
      </w:r>
      <w:r>
        <w:rPr>
          <w:sz w:val="22"/>
        </w:rPr>
        <w:t>次），仍未达到合同要求的，甲方有权终止合同。</w:t>
      </w:r>
    </w:p>
    <w:p>
      <w:pPr>
        <w:ind w:firstLine="480"/>
      </w:pPr>
      <w:r>
        <w:rPr>
          <w:sz w:val="22"/>
        </w:rPr>
        <w:t>5.</w:t>
      </w:r>
      <w:r>
        <w:rPr>
          <w:sz w:val="22"/>
        </w:rPr>
        <w:t>每月按照甲方要求提交当月服务工作总结，除按考核办法进行扣减外，若未能按时提交当月服务工作总结，扣减合同价款单次的</w:t>
      </w:r>
      <w:r>
        <w:rPr>
          <w:sz w:val="22"/>
        </w:rPr>
        <w:t>0.5%</w:t>
      </w:r>
      <w:r>
        <w:rPr>
          <w:sz w:val="22"/>
        </w:rPr>
        <w:t>作为违约金。</w:t>
      </w:r>
    </w:p>
    <w:p>
      <w:pPr>
        <w:ind w:firstLine="480"/>
      </w:pPr>
      <w:r>
        <w:rPr>
          <w:sz w:val="22"/>
        </w:rPr>
        <w:t>6.</w:t>
      </w:r>
      <w:r>
        <w:rPr>
          <w:sz w:val="22"/>
        </w:rPr>
        <w:t>发现不穿统一工作服及不佩带证件上岗作业的，除按考核办法进行扣减外，第一次给予警告，第二次给予扣减合同价款单次的</w:t>
      </w:r>
      <w:r>
        <w:rPr>
          <w:sz w:val="22"/>
        </w:rPr>
        <w:t>2%</w:t>
      </w:r>
      <w:r>
        <w:rPr>
          <w:sz w:val="22"/>
        </w:rPr>
        <w:t>作为违约金。</w:t>
      </w:r>
    </w:p>
    <w:p>
      <w:pPr>
        <w:ind w:firstLine="480"/>
      </w:pPr>
      <w:r>
        <w:rPr>
          <w:sz w:val="22"/>
        </w:rPr>
        <w:t>7.</w:t>
      </w:r>
      <w:r>
        <w:rPr>
          <w:sz w:val="22"/>
        </w:rPr>
        <w:t>乙方聘请人员构成需达到合同要求的人员标准，应急队员应在合同签署前到位，一旦到位，乙方将全部人员的信息和个人资料备齐后交甲方备案。如有人员变动，乙方应立即报甲方备案，期间不能出现冒名顶替或造假情况，如出现以上情况，一经查实，甲方有权将追究相应的法律责任，并有权终止合同。</w:t>
      </w:r>
    </w:p>
    <w:p>
      <w:pPr>
        <w:ind w:firstLine="480"/>
      </w:pPr>
      <w:r>
        <w:rPr>
          <w:sz w:val="22"/>
        </w:rPr>
        <w:t>8.</w:t>
      </w:r>
      <w:r>
        <w:rPr>
          <w:sz w:val="22"/>
        </w:rPr>
        <w:t>乙方要服从甲方管理及调配，若不服从管理及调配，每次扣减合同价款单次的</w:t>
      </w:r>
      <w:r>
        <w:rPr>
          <w:sz w:val="22"/>
        </w:rPr>
        <w:t>0.5%</w:t>
      </w:r>
      <w:r>
        <w:rPr>
          <w:sz w:val="22"/>
        </w:rPr>
        <w:t>作为违约金。</w:t>
      </w:r>
    </w:p>
    <w:p>
      <w:pPr>
        <w:ind w:firstLine="480"/>
      </w:pPr>
      <w:r>
        <w:rPr>
          <w:sz w:val="22"/>
        </w:rPr>
        <w:t>9.</w:t>
      </w:r>
      <w:r>
        <w:rPr>
          <w:sz w:val="22"/>
        </w:rPr>
        <w:t>若甲方被省、市、区抽检蚊媒密度监测，其监测结果为高度风险</w:t>
      </w:r>
      <w:r>
        <w:rPr>
          <w:sz w:val="22"/>
        </w:rPr>
        <w:t>(</w:t>
      </w:r>
      <w:r>
        <w:rPr>
          <w:sz w:val="22"/>
        </w:rPr>
        <w:t>以省、市、区文件或微信、粤政易通知为准）的每次扣减</w:t>
      </w:r>
      <w:r>
        <w:rPr>
          <w:sz w:val="22"/>
        </w:rPr>
        <w:t>3000</w:t>
      </w:r>
      <w:r>
        <w:rPr>
          <w:sz w:val="22"/>
        </w:rPr>
        <w:t>元作为违约金；若甲方被省、市、区抽检病媒生物监测（即蚊、蝇、鼠、蟑螂），其综合评价结果为不达标（以省、市、区文件或微信、粤政易通知为准）的每次扣罚</w:t>
      </w:r>
      <w:r>
        <w:rPr>
          <w:sz w:val="22"/>
        </w:rPr>
        <w:t>5000</w:t>
      </w:r>
      <w:r>
        <w:rPr>
          <w:sz w:val="22"/>
        </w:rPr>
        <w:t>元作为违约金；若发生本地登革热（以上级部门通报为准）每例扣减</w:t>
      </w:r>
      <w:r>
        <w:rPr>
          <w:sz w:val="22"/>
        </w:rPr>
        <w:t>5000</w:t>
      </w:r>
      <w:r>
        <w:rPr>
          <w:sz w:val="22"/>
        </w:rPr>
        <w:t>元作为违约金。</w:t>
      </w:r>
    </w:p>
    <w:p>
      <w:pPr>
        <w:ind w:firstLine="480"/>
      </w:pPr>
      <w:r>
        <w:rPr>
          <w:sz w:val="22"/>
        </w:rPr>
        <w:t>10.</w:t>
      </w:r>
      <w:r>
        <w:rPr>
          <w:sz w:val="22"/>
        </w:rPr>
        <w:t>乙方在消杀过程中因工作失误，被相关单位、村（社区）等投诉的，经甲方取证属实，每次扣款</w:t>
      </w:r>
      <w:r>
        <w:rPr>
          <w:sz w:val="22"/>
        </w:rPr>
        <w:t>500</w:t>
      </w:r>
      <w:r>
        <w:rPr>
          <w:sz w:val="22"/>
        </w:rPr>
        <w:t>元作为违约金，一年内类投诉违规事实超过类</w:t>
      </w:r>
      <w:r>
        <w:rPr>
          <w:sz w:val="22"/>
        </w:rPr>
        <w:t>10</w:t>
      </w:r>
      <w:r>
        <w:rPr>
          <w:sz w:val="22"/>
        </w:rPr>
        <w:t>次的，甲方有权终止合同。</w:t>
      </w:r>
    </w:p>
    <w:p>
      <w:pPr>
        <w:ind w:firstLine="480"/>
      </w:pPr>
      <w:r>
        <w:rPr>
          <w:sz w:val="22"/>
        </w:rPr>
        <w:t>11.</w:t>
      </w:r>
      <w:r>
        <w:rPr>
          <w:sz w:val="22"/>
        </w:rPr>
        <w:t>乙方在第三方评审中，若病媒生物考核结果（即蚊、蝇、鼠、蟑螂）的综合评价结果为不达标的，每次扣减</w:t>
      </w:r>
      <w:r>
        <w:rPr>
          <w:sz w:val="22"/>
        </w:rPr>
        <w:t>5000</w:t>
      </w:r>
      <w:r>
        <w:rPr>
          <w:sz w:val="22"/>
        </w:rPr>
        <w:t>元作为违约金，超过</w:t>
      </w:r>
      <w:r>
        <w:rPr>
          <w:sz w:val="22"/>
        </w:rPr>
        <w:t>3</w:t>
      </w:r>
      <w:r>
        <w:rPr>
          <w:sz w:val="22"/>
        </w:rPr>
        <w:t>次（含</w:t>
      </w:r>
      <w:r>
        <w:rPr>
          <w:sz w:val="22"/>
        </w:rPr>
        <w:t>3</w:t>
      </w:r>
      <w:r>
        <w:rPr>
          <w:sz w:val="22"/>
        </w:rPr>
        <w:t>次）甲方有权终止合同。如蚊、蝇、鼠、蟑螂的综合评价结果为</w:t>
      </w:r>
      <w:r>
        <w:rPr>
          <w:sz w:val="22"/>
        </w:rPr>
        <w:t>C</w:t>
      </w:r>
      <w:r>
        <w:rPr>
          <w:sz w:val="22"/>
        </w:rPr>
        <w:t>级或以上的，不扣罚。</w:t>
      </w:r>
    </w:p>
    <w:p>
      <w:pPr>
        <w:ind w:firstLine="480"/>
      </w:pPr>
      <w:r>
        <w:rPr>
          <w:sz w:val="22"/>
        </w:rPr>
        <w:t>12.</w:t>
      </w:r>
      <w:r>
        <w:rPr>
          <w:sz w:val="22"/>
        </w:rPr>
        <w:t>私自使用违禁药品或无效药物的，经甲方提出整改要求仍未达标的，除按考核办法进行扣减外，每次扣减</w:t>
      </w:r>
      <w:r>
        <w:rPr>
          <w:sz w:val="22"/>
        </w:rPr>
        <w:t>5000</w:t>
      </w:r>
      <w:r>
        <w:rPr>
          <w:sz w:val="22"/>
        </w:rPr>
        <w:t>元作为违约金，违规达</w:t>
      </w:r>
      <w:r>
        <w:rPr>
          <w:sz w:val="22"/>
        </w:rPr>
        <w:t>3</w:t>
      </w:r>
      <w:r>
        <w:rPr>
          <w:sz w:val="22"/>
        </w:rPr>
        <w:t>次以上（含</w:t>
      </w:r>
      <w:r>
        <w:rPr>
          <w:sz w:val="22"/>
        </w:rPr>
        <w:t>3</w:t>
      </w:r>
      <w:r>
        <w:rPr>
          <w:sz w:val="22"/>
        </w:rPr>
        <w:t>次）的，甲方有权终止合同。</w:t>
      </w:r>
    </w:p>
    <w:p>
      <w:pPr>
        <w:ind w:firstLine="480"/>
      </w:pPr>
      <w:r>
        <w:rPr>
          <w:sz w:val="22"/>
        </w:rPr>
        <w:t>13.</w:t>
      </w:r>
      <w:r>
        <w:rPr>
          <w:sz w:val="22"/>
        </w:rPr>
        <w:t>乙方应保证蚊媒应急处置和监测过程中的实际效果和监测数据的有效性，不能出现弄虚作假，一经发现或查实，甲方有权终止合同，并按照造成的实际影响和严重后果追究乙方的法律责任。</w:t>
      </w:r>
    </w:p>
    <w:p>
      <w:pPr>
        <w:ind w:firstLine="480"/>
      </w:pPr>
      <w:r>
        <w:rPr>
          <w:sz w:val="22"/>
        </w:rPr>
        <w:t>14.</w:t>
      </w:r>
      <w:r>
        <w:rPr>
          <w:sz w:val="22"/>
        </w:rPr>
        <w:t>服务质量考核评分表</w:t>
      </w:r>
    </w:p>
    <w:p>
      <w:pPr>
        <w:jc w:val="center"/>
      </w:pPr>
      <w:r>
        <w:rPr>
          <w:sz w:val="22"/>
        </w:rPr>
        <w:t>考核评分表</w:t>
      </w:r>
      <w:r>
        <w:rPr>
          <w:sz w:val="22"/>
        </w:rPr>
        <w:t>1</w:t>
      </w:r>
      <w:r>
        <w:rPr>
          <w:sz w:val="22"/>
        </w:rPr>
        <w:t>（适用于甲方评分）</w:t>
      </w:r>
    </w:p>
    <w:tbl>
      <w:tblPr>
        <w:tblW w:w="0" w:type="auto"/>
        <w:tblBorders>
          <w:top w:val="none" w:color="000000" w:sz="4"/>
          <w:left w:val="none" w:color="000000" w:sz="4"/>
          <w:bottom w:val="none" w:color="000000" w:sz="4"/>
          <w:right w:val="none" w:color="000000" w:sz="4"/>
          <w:insideH w:val="none"/>
          <w:insideV w:val="none"/>
        </w:tblBorders>
      </w:tblPr>
      <w:tblGrid>
        <w:gridCol w:w="678"/>
        <w:gridCol w:w="5594"/>
        <w:gridCol w:w="848"/>
        <w:gridCol w:w="1187"/>
      </w:tblGrid>
      <w:tr>
        <w:tc>
          <w:tcPr>
            <w:tcW w:type="dxa" w:w="678"/>
            <w:tcBorders>
              <w:top w:val="single" w:color="000000" w:sz="4"/>
              <w:left w:val="single" w:color="000000" w:sz="4"/>
              <w:bottom w:val="single" w:color="000000" w:sz="4"/>
              <w:right w:val="single" w:color="000000" w:sz="4"/>
            </w:tcBorders>
            <w:vAlign w:val="top"/>
          </w:tcPr>
          <w:p>
            <w:pPr>
              <w:jc w:val="center"/>
            </w:pPr>
            <w:r>
              <w:rPr>
                <w:sz w:val="22"/>
              </w:rPr>
              <w:t>序号</w:t>
            </w:r>
          </w:p>
        </w:tc>
        <w:tc>
          <w:tcPr>
            <w:tcW w:type="dxa" w:w="5594"/>
            <w:tcBorders>
              <w:top w:val="single" w:color="000000" w:sz="4"/>
              <w:left w:val="none" w:color="000000" w:sz="4"/>
              <w:bottom w:val="single" w:color="000000" w:sz="4"/>
              <w:right w:val="single" w:color="000000" w:sz="4"/>
            </w:tcBorders>
            <w:vAlign w:val="top"/>
          </w:tcPr>
          <w:p>
            <w:pPr>
              <w:jc w:val="center"/>
            </w:pPr>
            <w:r>
              <w:rPr>
                <w:sz w:val="22"/>
              </w:rPr>
              <w:t>考核项目</w:t>
            </w:r>
          </w:p>
        </w:tc>
        <w:tc>
          <w:tcPr>
            <w:tcW w:type="dxa" w:w="848"/>
            <w:tcBorders>
              <w:top w:val="single" w:color="000000" w:sz="4"/>
              <w:left w:val="none" w:color="000000" w:sz="4"/>
              <w:bottom w:val="single" w:color="000000" w:sz="4"/>
              <w:right w:val="single" w:color="000000" w:sz="4"/>
            </w:tcBorders>
            <w:vAlign w:val="top"/>
          </w:tcPr>
          <w:p>
            <w:pPr>
              <w:jc w:val="center"/>
            </w:pPr>
            <w:r>
              <w:rPr>
                <w:sz w:val="22"/>
              </w:rPr>
              <w:t>标准分</w:t>
            </w:r>
          </w:p>
        </w:tc>
        <w:tc>
          <w:tcPr>
            <w:tcW w:type="dxa" w:w="1187"/>
            <w:tcBorders>
              <w:top w:val="single" w:color="000000" w:sz="4"/>
              <w:left w:val="none" w:color="000000" w:sz="4"/>
              <w:bottom w:val="single" w:color="000000" w:sz="4"/>
              <w:right w:val="single" w:color="000000" w:sz="4"/>
            </w:tcBorders>
            <w:vAlign w:val="top"/>
          </w:tcPr>
          <w:p>
            <w:pPr>
              <w:jc w:val="center"/>
            </w:pPr>
            <w:r>
              <w:rPr>
                <w:sz w:val="22"/>
              </w:rPr>
              <w:t>得分</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1</w:t>
            </w:r>
          </w:p>
        </w:tc>
        <w:tc>
          <w:tcPr>
            <w:tcW w:type="dxa" w:w="5594"/>
            <w:tcBorders>
              <w:top w:val="none" w:color="000000" w:sz="4"/>
              <w:left w:val="none" w:color="000000" w:sz="4"/>
              <w:bottom w:val="single" w:color="000000" w:sz="4"/>
              <w:right w:val="single" w:color="000000" w:sz="4"/>
            </w:tcBorders>
            <w:vAlign w:val="top"/>
          </w:tcPr>
          <w:p>
            <w:r>
              <w:rPr>
                <w:sz w:val="22"/>
              </w:rPr>
              <w:t>按要求进行人员配置，发现人数明显不足以能完成服务的，每次扣</w:t>
            </w:r>
            <w:r>
              <w:rPr>
                <w:sz w:val="22"/>
              </w:rPr>
              <w:t>1</w:t>
            </w:r>
            <w:r>
              <w:rPr>
                <w:sz w:val="22"/>
              </w:rPr>
              <w:t>分。</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2</w:t>
            </w:r>
          </w:p>
        </w:tc>
        <w:tc>
          <w:tcPr>
            <w:tcW w:type="dxa" w:w="5594"/>
            <w:tcBorders>
              <w:top w:val="none" w:color="000000" w:sz="4"/>
              <w:left w:val="none" w:color="000000" w:sz="4"/>
              <w:bottom w:val="single" w:color="000000" w:sz="4"/>
              <w:right w:val="single" w:color="000000" w:sz="4"/>
            </w:tcBorders>
            <w:vAlign w:val="top"/>
          </w:tcPr>
          <w:p>
            <w:r>
              <w:rPr>
                <w:sz w:val="22"/>
              </w:rPr>
              <w:t>按要求配置设备和车辆，未达要求的，每次扣</w:t>
            </w:r>
            <w:r>
              <w:rPr>
                <w:sz w:val="22"/>
              </w:rPr>
              <w:t>2</w:t>
            </w:r>
            <w:r>
              <w:rPr>
                <w:sz w:val="22"/>
              </w:rPr>
              <w:t>分。</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3</w:t>
            </w:r>
          </w:p>
        </w:tc>
        <w:tc>
          <w:tcPr>
            <w:tcW w:type="dxa" w:w="5594"/>
            <w:tcBorders>
              <w:top w:val="none" w:color="000000" w:sz="4"/>
              <w:left w:val="none" w:color="000000" w:sz="4"/>
              <w:bottom w:val="single" w:color="000000" w:sz="4"/>
              <w:right w:val="single" w:color="000000" w:sz="4"/>
            </w:tcBorders>
            <w:vAlign w:val="top"/>
          </w:tcPr>
          <w:p>
            <w:r>
              <w:rPr>
                <w:sz w:val="22"/>
              </w:rPr>
              <w:t>按要求计划进行消杀，积极配合甲方开展各项迎检工作，未达要求的，每次扣</w:t>
            </w:r>
            <w:r>
              <w:rPr>
                <w:sz w:val="22"/>
              </w:rPr>
              <w:t>2</w:t>
            </w:r>
            <w:r>
              <w:rPr>
                <w:sz w:val="22"/>
              </w:rPr>
              <w:t>分。</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4</w:t>
            </w:r>
          </w:p>
        </w:tc>
        <w:tc>
          <w:tcPr>
            <w:tcW w:type="dxa" w:w="5594"/>
            <w:tcBorders>
              <w:top w:val="none" w:color="000000" w:sz="4"/>
              <w:left w:val="none" w:color="000000" w:sz="4"/>
              <w:bottom w:val="single" w:color="000000" w:sz="4"/>
              <w:right w:val="single" w:color="000000" w:sz="4"/>
            </w:tcBorders>
            <w:vAlign w:val="top"/>
          </w:tcPr>
          <w:p>
            <w:r>
              <w:rPr>
                <w:sz w:val="22"/>
              </w:rPr>
              <w:t>按要求报送工作计划、工作总结、工作记录、药品台帐、工作图片等合同要求提交的资料，每缺一项扣</w:t>
            </w:r>
            <w:r>
              <w:rPr>
                <w:sz w:val="22"/>
              </w:rPr>
              <w:t>2</w:t>
            </w:r>
            <w:r>
              <w:rPr>
                <w:sz w:val="22"/>
              </w:rPr>
              <w:t>分。</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5</w:t>
            </w:r>
          </w:p>
        </w:tc>
        <w:tc>
          <w:tcPr>
            <w:tcW w:type="dxa" w:w="5594"/>
            <w:tcBorders>
              <w:top w:val="none" w:color="000000" w:sz="4"/>
              <w:left w:val="none" w:color="000000" w:sz="4"/>
              <w:bottom w:val="single" w:color="000000" w:sz="4"/>
              <w:right w:val="single" w:color="000000" w:sz="4"/>
            </w:tcBorders>
            <w:vAlign w:val="top"/>
          </w:tcPr>
          <w:p>
            <w:r>
              <w:rPr>
                <w:sz w:val="22"/>
              </w:rPr>
              <w:t>消杀过程不得使用违禁药品或无效药物，未达要求的每次扣</w:t>
            </w:r>
            <w:r>
              <w:rPr>
                <w:sz w:val="22"/>
              </w:rPr>
              <w:t>2</w:t>
            </w:r>
            <w:r>
              <w:rPr>
                <w:sz w:val="22"/>
              </w:rPr>
              <w:t>分。</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6</w:t>
            </w:r>
          </w:p>
        </w:tc>
        <w:tc>
          <w:tcPr>
            <w:tcW w:type="dxa" w:w="5594"/>
            <w:tcBorders>
              <w:top w:val="none" w:color="000000" w:sz="4"/>
              <w:left w:val="none" w:color="000000" w:sz="4"/>
              <w:bottom w:val="single" w:color="000000" w:sz="4"/>
              <w:right w:val="single" w:color="000000" w:sz="4"/>
            </w:tcBorders>
            <w:vAlign w:val="top"/>
          </w:tcPr>
          <w:p>
            <w:r>
              <w:rPr>
                <w:sz w:val="22"/>
              </w:rPr>
              <w:t>甲方督导抽查发现鼠屋和防蚊闸设置不规范或缺失，督导过程中发现活鼠、鼠迹、鼠洞，毒饵缺失或洒落地面等情况每次扣</w:t>
            </w:r>
            <w:r>
              <w:rPr>
                <w:sz w:val="22"/>
              </w:rPr>
              <w:t>1</w:t>
            </w:r>
            <w:r>
              <w:rPr>
                <w:sz w:val="22"/>
              </w:rPr>
              <w:t>分。</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7</w:t>
            </w:r>
          </w:p>
        </w:tc>
        <w:tc>
          <w:tcPr>
            <w:tcW w:type="dxa" w:w="5594"/>
            <w:tcBorders>
              <w:top w:val="none" w:color="000000" w:sz="4"/>
              <w:left w:val="none" w:color="000000" w:sz="4"/>
              <w:bottom w:val="single" w:color="000000" w:sz="4"/>
              <w:right w:val="single" w:color="000000" w:sz="4"/>
            </w:tcBorders>
            <w:vAlign w:val="top"/>
          </w:tcPr>
          <w:p>
            <w:r>
              <w:rPr>
                <w:sz w:val="22"/>
              </w:rPr>
              <w:t>消杀人员工作时穿着工作服装、佩带工作证件并配备防护装备，未达要求的，每人每次扣</w:t>
            </w:r>
            <w:r>
              <w:rPr>
                <w:sz w:val="22"/>
              </w:rPr>
              <w:t>1</w:t>
            </w:r>
            <w:r>
              <w:rPr>
                <w:sz w:val="22"/>
              </w:rPr>
              <w:t>分。</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8</w:t>
            </w:r>
          </w:p>
        </w:tc>
        <w:tc>
          <w:tcPr>
            <w:tcW w:type="dxa" w:w="5594"/>
            <w:tcBorders>
              <w:top w:val="none" w:color="000000" w:sz="4"/>
              <w:left w:val="none" w:color="000000" w:sz="4"/>
              <w:bottom w:val="single" w:color="000000" w:sz="4"/>
              <w:right w:val="single" w:color="000000" w:sz="4"/>
            </w:tcBorders>
            <w:vAlign w:val="top"/>
          </w:tcPr>
          <w:p>
            <w:r>
              <w:rPr>
                <w:sz w:val="22"/>
              </w:rPr>
              <w:t>积极响应和配合甲方进行应急消杀，出现紧急情况或疫情时乙方接甲方通知后未在一小时内到达疫点或未达要求的每次扣</w:t>
            </w:r>
            <w:r>
              <w:rPr>
                <w:sz w:val="22"/>
              </w:rPr>
              <w:t>3</w:t>
            </w:r>
            <w:r>
              <w:rPr>
                <w:sz w:val="22"/>
              </w:rPr>
              <w:t>分。</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9</w:t>
            </w:r>
          </w:p>
        </w:tc>
        <w:tc>
          <w:tcPr>
            <w:tcW w:type="dxa" w:w="5594"/>
            <w:tcBorders>
              <w:top w:val="none" w:color="000000" w:sz="4"/>
              <w:left w:val="none" w:color="000000" w:sz="4"/>
              <w:bottom w:val="single" w:color="000000" w:sz="4"/>
              <w:right w:val="single" w:color="000000" w:sz="4"/>
            </w:tcBorders>
            <w:vAlign w:val="top"/>
          </w:tcPr>
          <w:p>
            <w:r>
              <w:rPr>
                <w:sz w:val="22"/>
              </w:rPr>
              <w:t>公共区域</w:t>
            </w:r>
            <w:r>
              <w:rPr>
                <w:sz w:val="22"/>
              </w:rPr>
              <w:t>“</w:t>
            </w:r>
            <w:r>
              <w:rPr>
                <w:sz w:val="22"/>
              </w:rPr>
              <w:t>四害</w:t>
            </w:r>
            <w:r>
              <w:rPr>
                <w:sz w:val="22"/>
              </w:rPr>
              <w:t>”</w:t>
            </w:r>
            <w:r>
              <w:rPr>
                <w:sz w:val="22"/>
              </w:rPr>
              <w:t>监测指标达标，上级部门检查未达要求的每次扣</w:t>
            </w:r>
            <w:r>
              <w:rPr>
                <w:sz w:val="22"/>
              </w:rPr>
              <w:t>1</w:t>
            </w:r>
            <w:r>
              <w:rPr>
                <w:sz w:val="22"/>
              </w:rPr>
              <w:t>分，甲方检查未达要求每次扣</w:t>
            </w:r>
            <w:r>
              <w:rPr>
                <w:sz w:val="22"/>
              </w:rPr>
              <w:t>0.5</w:t>
            </w:r>
            <w:r>
              <w:rPr>
                <w:sz w:val="22"/>
              </w:rPr>
              <w:t>分。</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10</w:t>
            </w:r>
          </w:p>
        </w:tc>
        <w:tc>
          <w:tcPr>
            <w:tcW w:type="dxa" w:w="5594"/>
            <w:tcBorders>
              <w:top w:val="none" w:color="000000" w:sz="4"/>
              <w:left w:val="none" w:color="000000" w:sz="4"/>
              <w:bottom w:val="single" w:color="000000" w:sz="4"/>
              <w:right w:val="single" w:color="000000" w:sz="4"/>
            </w:tcBorders>
            <w:vAlign w:val="top"/>
          </w:tcPr>
          <w:p>
            <w:r>
              <w:rPr>
                <w:sz w:val="22"/>
              </w:rPr>
              <w:t>消杀人员专业能力不足、无专业证、无岗前培训、不服从指挥，或被群众投诉工作态度差、服务不认真，经核属实，每次扣</w:t>
            </w:r>
            <w:r>
              <w:rPr>
                <w:sz w:val="22"/>
              </w:rPr>
              <w:t>2</w:t>
            </w:r>
            <w:r>
              <w:rPr>
                <w:sz w:val="22"/>
              </w:rPr>
              <w:t>分。</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272"/>
            <w:gridSpan w:val="2"/>
            <w:tcBorders>
              <w:top w:val="none" w:color="000000" w:sz="4"/>
              <w:left w:val="single" w:color="000000" w:sz="4"/>
              <w:bottom w:val="single" w:color="000000" w:sz="4"/>
              <w:right w:val="single" w:color="000000" w:sz="4"/>
            </w:tcBorders>
            <w:vAlign w:val="top"/>
          </w:tcPr>
          <w:p>
            <w:pPr>
              <w:jc w:val="center"/>
            </w:pPr>
            <w:r>
              <w:rPr>
                <w:b/>
                <w:sz w:val="22"/>
              </w:rPr>
              <w:t>合</w:t>
            </w:r>
            <w:r>
              <w:rPr>
                <w:b/>
                <w:sz w:val="22"/>
              </w:rPr>
              <w:t xml:space="preserve"> </w:t>
            </w:r>
            <w:r>
              <w:rPr>
                <w:b/>
                <w:sz w:val="22"/>
              </w:rPr>
              <w:t>计</w:t>
            </w:r>
          </w:p>
        </w:tc>
        <w:tc>
          <w:tcPr>
            <w:tcW w:type="dxa" w:w="848"/>
            <w:tcBorders>
              <w:top w:val="none" w:color="000000" w:sz="4"/>
              <w:left w:val="none" w:color="000000" w:sz="4"/>
              <w:bottom w:val="single" w:color="000000" w:sz="4"/>
              <w:right w:val="single" w:color="000000" w:sz="4"/>
            </w:tcBorders>
            <w:vAlign w:val="top"/>
          </w:tcPr>
          <w:p>
            <w:pPr>
              <w:jc w:val="center"/>
            </w:pPr>
            <w:r>
              <w:rPr>
                <w:b/>
                <w:sz w:val="22"/>
              </w:rPr>
              <w:t>100</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bl>
    <w:p>
      <w:pPr>
        <w:jc w:val="center"/>
      </w:pPr>
      <w:r>
        <w:rPr>
          <w:sz w:val="22"/>
        </w:rPr>
        <w:t>考核评分表</w:t>
      </w:r>
      <w:r>
        <w:rPr>
          <w:sz w:val="22"/>
        </w:rPr>
        <w:t>2</w:t>
      </w:r>
      <w:r>
        <w:rPr>
          <w:sz w:val="22"/>
        </w:rPr>
        <w:t>（适用于村、社区、学校、幼儿园、公园评分）</w:t>
      </w:r>
    </w:p>
    <w:tbl>
      <w:tblPr>
        <w:tblW w:w="0" w:type="auto"/>
        <w:tblBorders>
          <w:top w:val="none" w:color="000000" w:sz="4"/>
          <w:left w:val="none" w:color="000000" w:sz="4"/>
          <w:bottom w:val="none" w:color="000000" w:sz="4"/>
          <w:right w:val="none" w:color="000000" w:sz="4"/>
          <w:insideH w:val="none"/>
          <w:insideV w:val="none"/>
        </w:tblBorders>
      </w:tblPr>
      <w:tblGrid>
        <w:gridCol w:w="678"/>
        <w:gridCol w:w="5594"/>
        <w:gridCol w:w="848"/>
        <w:gridCol w:w="1187"/>
      </w:tblGrid>
      <w:tr>
        <w:tc>
          <w:tcPr>
            <w:tcW w:type="dxa" w:w="678"/>
            <w:tcBorders>
              <w:top w:val="single" w:color="000000" w:sz="4"/>
              <w:left w:val="single" w:color="000000" w:sz="4"/>
              <w:bottom w:val="single" w:color="000000" w:sz="4"/>
              <w:right w:val="single" w:color="000000" w:sz="4"/>
            </w:tcBorders>
            <w:vAlign w:val="top"/>
          </w:tcPr>
          <w:p>
            <w:pPr>
              <w:jc w:val="center"/>
            </w:pPr>
            <w:r>
              <w:rPr>
                <w:sz w:val="22"/>
              </w:rPr>
              <w:t>序号</w:t>
            </w:r>
          </w:p>
        </w:tc>
        <w:tc>
          <w:tcPr>
            <w:tcW w:type="dxa" w:w="5594"/>
            <w:tcBorders>
              <w:top w:val="single" w:color="000000" w:sz="4"/>
              <w:left w:val="none" w:color="000000" w:sz="4"/>
              <w:bottom w:val="single" w:color="000000" w:sz="4"/>
              <w:right w:val="single" w:color="000000" w:sz="4"/>
            </w:tcBorders>
            <w:vAlign w:val="top"/>
          </w:tcPr>
          <w:p>
            <w:pPr>
              <w:jc w:val="center"/>
            </w:pPr>
            <w:r>
              <w:rPr>
                <w:sz w:val="22"/>
              </w:rPr>
              <w:t>考核项目</w:t>
            </w:r>
          </w:p>
        </w:tc>
        <w:tc>
          <w:tcPr>
            <w:tcW w:type="dxa" w:w="848"/>
            <w:tcBorders>
              <w:top w:val="single" w:color="000000" w:sz="4"/>
              <w:left w:val="none" w:color="000000" w:sz="4"/>
              <w:bottom w:val="single" w:color="000000" w:sz="4"/>
              <w:right w:val="single" w:color="000000" w:sz="4"/>
            </w:tcBorders>
            <w:vAlign w:val="top"/>
          </w:tcPr>
          <w:p>
            <w:pPr>
              <w:jc w:val="center"/>
            </w:pPr>
            <w:r>
              <w:rPr>
                <w:sz w:val="22"/>
              </w:rPr>
              <w:t>标准分</w:t>
            </w:r>
          </w:p>
        </w:tc>
        <w:tc>
          <w:tcPr>
            <w:tcW w:type="dxa" w:w="1187"/>
            <w:tcBorders>
              <w:top w:val="single" w:color="000000" w:sz="4"/>
              <w:left w:val="none" w:color="000000" w:sz="4"/>
              <w:bottom w:val="single" w:color="000000" w:sz="4"/>
              <w:right w:val="single" w:color="000000" w:sz="4"/>
            </w:tcBorders>
            <w:vAlign w:val="top"/>
          </w:tcPr>
          <w:p>
            <w:pPr>
              <w:jc w:val="center"/>
            </w:pPr>
            <w:r>
              <w:rPr>
                <w:sz w:val="22"/>
              </w:rPr>
              <w:t>得分</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1</w:t>
            </w:r>
          </w:p>
        </w:tc>
        <w:tc>
          <w:tcPr>
            <w:tcW w:type="dxa" w:w="5594"/>
            <w:tcBorders>
              <w:top w:val="none" w:color="000000" w:sz="4"/>
              <w:left w:val="none" w:color="000000" w:sz="4"/>
              <w:bottom w:val="single" w:color="000000" w:sz="4"/>
              <w:right w:val="single" w:color="000000" w:sz="4"/>
            </w:tcBorders>
            <w:vAlign w:val="top"/>
          </w:tcPr>
          <w:p>
            <w:r>
              <w:rPr>
                <w:sz w:val="22"/>
              </w:rPr>
              <w:t>按要求进行人员配置，发现人数明显不足以能完成服务的，每次扣</w:t>
            </w:r>
            <w:r>
              <w:rPr>
                <w:sz w:val="22"/>
              </w:rPr>
              <w:t>1</w:t>
            </w:r>
            <w:r>
              <w:rPr>
                <w:sz w:val="22"/>
              </w:rPr>
              <w:t>分。</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2</w:t>
            </w:r>
          </w:p>
        </w:tc>
        <w:tc>
          <w:tcPr>
            <w:tcW w:type="dxa" w:w="5594"/>
            <w:tcBorders>
              <w:top w:val="none" w:color="000000" w:sz="4"/>
              <w:left w:val="none" w:color="000000" w:sz="4"/>
              <w:bottom w:val="single" w:color="000000" w:sz="4"/>
              <w:right w:val="single" w:color="000000" w:sz="4"/>
            </w:tcBorders>
            <w:vAlign w:val="top"/>
          </w:tcPr>
          <w:p>
            <w:r>
              <w:rPr>
                <w:sz w:val="22"/>
              </w:rPr>
              <w:t>按要求配置设备和车辆，未达要求或设备、车辆不能正常使用的，每次扣</w:t>
            </w:r>
            <w:r>
              <w:rPr>
                <w:sz w:val="22"/>
              </w:rPr>
              <w:t>1</w:t>
            </w:r>
            <w:r>
              <w:rPr>
                <w:sz w:val="22"/>
              </w:rPr>
              <w:t>分。</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3</w:t>
            </w:r>
          </w:p>
        </w:tc>
        <w:tc>
          <w:tcPr>
            <w:tcW w:type="dxa" w:w="5594"/>
            <w:tcBorders>
              <w:top w:val="none" w:color="000000" w:sz="4"/>
              <w:left w:val="none" w:color="000000" w:sz="4"/>
              <w:bottom w:val="single" w:color="000000" w:sz="4"/>
              <w:right w:val="single" w:color="000000" w:sz="4"/>
            </w:tcBorders>
            <w:vAlign w:val="top"/>
          </w:tcPr>
          <w:p>
            <w:r>
              <w:rPr>
                <w:sz w:val="22"/>
              </w:rPr>
              <w:t>消杀作业做到分工协作流畅，全覆盖，不遗留，无重复消杀，消杀效果好，未达要求的，每次扣</w:t>
            </w:r>
            <w:r>
              <w:rPr>
                <w:sz w:val="22"/>
              </w:rPr>
              <w:t>1</w:t>
            </w:r>
            <w:r>
              <w:rPr>
                <w:sz w:val="22"/>
              </w:rPr>
              <w:t>分。</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15</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4</w:t>
            </w:r>
          </w:p>
        </w:tc>
        <w:tc>
          <w:tcPr>
            <w:tcW w:type="dxa" w:w="5594"/>
            <w:tcBorders>
              <w:top w:val="none" w:color="000000" w:sz="4"/>
              <w:left w:val="none" w:color="000000" w:sz="4"/>
              <w:bottom w:val="single" w:color="000000" w:sz="4"/>
              <w:right w:val="single" w:color="000000" w:sz="4"/>
            </w:tcBorders>
            <w:vAlign w:val="top"/>
          </w:tcPr>
          <w:p>
            <w:r>
              <w:rPr>
                <w:sz w:val="22"/>
              </w:rPr>
              <w:t>消杀过程不得使用违禁药品或无效药物，未达要求的每次扣</w:t>
            </w:r>
            <w:r>
              <w:rPr>
                <w:sz w:val="22"/>
              </w:rPr>
              <w:t>2</w:t>
            </w:r>
            <w:r>
              <w:rPr>
                <w:sz w:val="22"/>
              </w:rPr>
              <w:t>分。（扣分请同时提供佐证材料）</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5</w:t>
            </w:r>
          </w:p>
        </w:tc>
        <w:tc>
          <w:tcPr>
            <w:tcW w:type="dxa" w:w="5594"/>
            <w:tcBorders>
              <w:top w:val="none" w:color="000000" w:sz="4"/>
              <w:left w:val="none" w:color="000000" w:sz="4"/>
              <w:bottom w:val="single" w:color="000000" w:sz="4"/>
              <w:right w:val="single" w:color="000000" w:sz="4"/>
            </w:tcBorders>
            <w:vAlign w:val="top"/>
          </w:tcPr>
          <w:p>
            <w:r>
              <w:rPr>
                <w:sz w:val="22"/>
              </w:rPr>
              <w:t>安全消杀作业，按要求作业时及时避开行人、动物、鱼类、蜜蜂等，未达要求的，每次扣</w:t>
            </w:r>
            <w:r>
              <w:rPr>
                <w:sz w:val="22"/>
              </w:rPr>
              <w:t>1</w:t>
            </w:r>
            <w:r>
              <w:rPr>
                <w:sz w:val="22"/>
              </w:rPr>
              <w:t>分。（扣分请同时提供佐证材料）</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15</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6</w:t>
            </w:r>
          </w:p>
        </w:tc>
        <w:tc>
          <w:tcPr>
            <w:tcW w:type="dxa" w:w="5594"/>
            <w:tcBorders>
              <w:top w:val="none" w:color="000000" w:sz="4"/>
              <w:left w:val="none" w:color="000000" w:sz="4"/>
              <w:bottom w:val="single" w:color="000000" w:sz="4"/>
              <w:right w:val="single" w:color="000000" w:sz="4"/>
            </w:tcBorders>
            <w:vAlign w:val="top"/>
          </w:tcPr>
          <w:p>
            <w:r>
              <w:rPr>
                <w:sz w:val="22"/>
              </w:rPr>
              <w:t>消杀人员工作时穿着工作服装、佩带工作证件并配备防护装备，未达要求的，每人每次扣</w:t>
            </w:r>
            <w:r>
              <w:rPr>
                <w:sz w:val="22"/>
              </w:rPr>
              <w:t>1</w:t>
            </w:r>
            <w:r>
              <w:rPr>
                <w:sz w:val="22"/>
              </w:rPr>
              <w:t>分。（扣分请同时提供佐证材料）</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10</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7</w:t>
            </w:r>
          </w:p>
        </w:tc>
        <w:tc>
          <w:tcPr>
            <w:tcW w:type="dxa" w:w="5594"/>
            <w:tcBorders>
              <w:top w:val="none" w:color="000000" w:sz="4"/>
              <w:left w:val="none" w:color="000000" w:sz="4"/>
              <w:bottom w:val="single" w:color="000000" w:sz="4"/>
              <w:right w:val="single" w:color="000000" w:sz="4"/>
            </w:tcBorders>
            <w:vAlign w:val="top"/>
          </w:tcPr>
          <w:p>
            <w:r>
              <w:rPr>
                <w:sz w:val="22"/>
              </w:rPr>
              <w:t>积极响应和配合甲方进行应急消杀，出现紧急情况或疫情时，接通知后未在一小时内到达疫点或未达要求的每次扣</w:t>
            </w:r>
            <w:r>
              <w:rPr>
                <w:sz w:val="22"/>
              </w:rPr>
              <w:t>3</w:t>
            </w:r>
            <w:r>
              <w:rPr>
                <w:sz w:val="22"/>
              </w:rPr>
              <w:t>分，现场不配合开展工作每次扣</w:t>
            </w:r>
            <w:r>
              <w:rPr>
                <w:sz w:val="22"/>
              </w:rPr>
              <w:t>1</w:t>
            </w:r>
            <w:r>
              <w:rPr>
                <w:sz w:val="22"/>
              </w:rPr>
              <w:t>分。</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15</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78"/>
            <w:tcBorders>
              <w:top w:val="none" w:color="000000" w:sz="4"/>
              <w:left w:val="single" w:color="000000" w:sz="4"/>
              <w:bottom w:val="single" w:color="000000" w:sz="4"/>
              <w:right w:val="single" w:color="000000" w:sz="4"/>
            </w:tcBorders>
            <w:vAlign w:val="top"/>
          </w:tcPr>
          <w:p>
            <w:pPr>
              <w:jc w:val="center"/>
            </w:pPr>
            <w:r>
              <w:rPr>
                <w:sz w:val="22"/>
              </w:rPr>
              <w:t>8</w:t>
            </w:r>
          </w:p>
        </w:tc>
        <w:tc>
          <w:tcPr>
            <w:tcW w:type="dxa" w:w="5594"/>
            <w:tcBorders>
              <w:top w:val="none" w:color="000000" w:sz="4"/>
              <w:left w:val="none" w:color="000000" w:sz="4"/>
              <w:bottom w:val="single" w:color="000000" w:sz="4"/>
              <w:right w:val="single" w:color="000000" w:sz="4"/>
            </w:tcBorders>
            <w:vAlign w:val="top"/>
          </w:tcPr>
          <w:p>
            <w:r>
              <w:rPr>
                <w:sz w:val="22"/>
              </w:rPr>
              <w:t>消杀人员工作态度差，服务不认真，消杀作业时有吸烟、进食等情况，每次扣</w:t>
            </w:r>
            <w:r>
              <w:rPr>
                <w:sz w:val="22"/>
              </w:rPr>
              <w:t>1</w:t>
            </w:r>
            <w:r>
              <w:rPr>
                <w:sz w:val="22"/>
              </w:rPr>
              <w:t>分。（扣分请同时提供佐证材料）</w:t>
            </w:r>
          </w:p>
        </w:tc>
        <w:tc>
          <w:tcPr>
            <w:tcW w:type="dxa" w:w="848"/>
            <w:tcBorders>
              <w:top w:val="none" w:color="000000" w:sz="4"/>
              <w:left w:val="none" w:color="000000" w:sz="4"/>
              <w:bottom w:val="single" w:color="000000" w:sz="4"/>
              <w:right w:val="single" w:color="000000" w:sz="4"/>
            </w:tcBorders>
            <w:vAlign w:val="top"/>
          </w:tcPr>
          <w:p>
            <w:pPr>
              <w:jc w:val="center"/>
            </w:pPr>
            <w:r>
              <w:rPr>
                <w:sz w:val="22"/>
              </w:rPr>
              <w:t>15</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r>
        <w:tc>
          <w:tcPr>
            <w:tcW w:type="dxa" w:w="6272"/>
            <w:gridSpan w:val="2"/>
            <w:tcBorders>
              <w:top w:val="none" w:color="000000" w:sz="4"/>
              <w:left w:val="single" w:color="000000" w:sz="4"/>
              <w:bottom w:val="single" w:color="000000" w:sz="4"/>
              <w:right w:val="single" w:color="000000" w:sz="4"/>
            </w:tcBorders>
            <w:vAlign w:val="top"/>
          </w:tcPr>
          <w:p>
            <w:pPr>
              <w:jc w:val="center"/>
            </w:pPr>
            <w:r>
              <w:rPr>
                <w:b/>
                <w:sz w:val="22"/>
              </w:rPr>
              <w:t>合</w:t>
            </w:r>
            <w:r>
              <w:rPr>
                <w:b/>
                <w:sz w:val="22"/>
              </w:rPr>
              <w:t xml:space="preserve"> </w:t>
            </w:r>
            <w:r>
              <w:rPr>
                <w:b/>
                <w:sz w:val="22"/>
              </w:rPr>
              <w:t>计</w:t>
            </w:r>
          </w:p>
        </w:tc>
        <w:tc>
          <w:tcPr>
            <w:tcW w:type="dxa" w:w="848"/>
            <w:tcBorders>
              <w:top w:val="none" w:color="000000" w:sz="4"/>
              <w:left w:val="none" w:color="000000" w:sz="4"/>
              <w:bottom w:val="single" w:color="000000" w:sz="4"/>
              <w:right w:val="single" w:color="000000" w:sz="4"/>
            </w:tcBorders>
            <w:vAlign w:val="top"/>
          </w:tcPr>
          <w:p>
            <w:pPr>
              <w:jc w:val="center"/>
            </w:pPr>
            <w:r>
              <w:rPr>
                <w:b/>
                <w:sz w:val="22"/>
              </w:rPr>
              <w:t>100</w:t>
            </w:r>
            <w:r>
              <w:rPr>
                <w:sz w:val="22"/>
              </w:rPr>
              <w:t>分</w:t>
            </w:r>
          </w:p>
        </w:tc>
        <w:tc>
          <w:tcPr>
            <w:tcW w:type="dxa" w:w="1187"/>
            <w:tcBorders>
              <w:top w:val="none" w:color="000000" w:sz="4"/>
              <w:left w:val="none" w:color="000000" w:sz="4"/>
              <w:bottom w:val="single" w:color="000000" w:sz="4"/>
              <w:right w:val="single" w:color="000000" w:sz="4"/>
            </w:tcBorders>
            <w:vAlign w:val="top"/>
          </w:tcPr>
          <w:p>
            <w:pPr>
              <w:jc w:val="center"/>
            </w:pPr>
          </w:p>
        </w:tc>
      </w:tr>
    </w:tbl>
    <w:p>
      <w:pPr>
        <w:ind w:firstLine="440"/>
      </w:pPr>
    </w:p>
    <w:p>
      <w:pPr>
        <w:ind w:firstLine="440"/>
      </w:pPr>
    </w:p>
    <w:p>
      <w:r>
        <w:rPr>
          <w:b/>
          <w:sz w:val="22"/>
        </w:rPr>
        <w:t>第九条 服务质量标准（国家标准）</w:t>
      </w:r>
    </w:p>
    <w:p>
      <w:pPr>
        <w:ind w:firstLine="480"/>
      </w:pPr>
      <w:r>
        <w:rPr>
          <w:sz w:val="22"/>
        </w:rPr>
        <w:t>（一）鼠密度控制水平（GB/T 27770-2011）</w:t>
      </w:r>
    </w:p>
    <w:p>
      <w:pPr>
        <w:ind w:firstLine="480"/>
      </w:pPr>
      <w:r>
        <w:rPr>
          <w:sz w:val="22"/>
        </w:rPr>
        <w:t>1.</w:t>
      </w:r>
      <w:r>
        <w:rPr>
          <w:sz w:val="22"/>
        </w:rPr>
        <w:t>防鼠设施：防鼠设施合格率大于或等于</w:t>
      </w:r>
      <w:r>
        <w:rPr>
          <w:sz w:val="22"/>
        </w:rPr>
        <w:t>93%</w:t>
      </w:r>
      <w:r>
        <w:rPr>
          <w:sz w:val="22"/>
        </w:rPr>
        <w:t>，必须达</w:t>
      </w:r>
      <w:r>
        <w:rPr>
          <w:sz w:val="22"/>
        </w:rPr>
        <w:t>C</w:t>
      </w:r>
      <w:r>
        <w:rPr>
          <w:sz w:val="22"/>
        </w:rPr>
        <w:t>级以上。</w:t>
      </w:r>
    </w:p>
    <w:p>
      <w:pPr>
        <w:ind w:firstLine="480"/>
      </w:pPr>
      <w:r>
        <w:rPr>
          <w:sz w:val="22"/>
        </w:rPr>
        <w:t>2.</w:t>
      </w:r>
      <w:r>
        <w:rPr>
          <w:sz w:val="22"/>
        </w:rPr>
        <w:t>室内鼠密度：鼠迹阳性率小于或等于</w:t>
      </w:r>
      <w:r>
        <w:rPr>
          <w:sz w:val="22"/>
        </w:rPr>
        <w:t>5%</w:t>
      </w:r>
      <w:r>
        <w:rPr>
          <w:sz w:val="22"/>
        </w:rPr>
        <w:t>，必须达</w:t>
      </w:r>
      <w:r>
        <w:rPr>
          <w:sz w:val="22"/>
        </w:rPr>
        <w:t>C</w:t>
      </w:r>
      <w:r>
        <w:rPr>
          <w:sz w:val="22"/>
        </w:rPr>
        <w:t>级以上。</w:t>
      </w:r>
    </w:p>
    <w:p>
      <w:pPr>
        <w:ind w:firstLine="480"/>
      </w:pPr>
      <w:r>
        <w:rPr>
          <w:sz w:val="22"/>
        </w:rPr>
        <w:t>3.</w:t>
      </w:r>
      <w:r>
        <w:rPr>
          <w:sz w:val="22"/>
        </w:rPr>
        <w:t>外环境：路径指数小于或等于</w:t>
      </w:r>
      <w:r>
        <w:rPr>
          <w:sz w:val="22"/>
        </w:rPr>
        <w:t>5</w:t>
      </w:r>
      <w:r>
        <w:rPr>
          <w:sz w:val="22"/>
        </w:rPr>
        <w:t>，必须达</w:t>
      </w:r>
      <w:r>
        <w:rPr>
          <w:sz w:val="22"/>
        </w:rPr>
        <w:t>C</w:t>
      </w:r>
      <w:r>
        <w:rPr>
          <w:sz w:val="22"/>
        </w:rPr>
        <w:t>级以上。</w:t>
      </w:r>
    </w:p>
    <w:p>
      <w:pPr>
        <w:ind w:firstLine="480"/>
      </w:pPr>
      <w:r>
        <w:rPr>
          <w:sz w:val="22"/>
        </w:rPr>
        <w:t>（二）蜚蠊密度控制水平（GB/T 27773-2011）</w:t>
      </w:r>
    </w:p>
    <w:p>
      <w:pPr>
        <w:ind w:firstLine="480"/>
      </w:pPr>
      <w:r>
        <w:rPr>
          <w:sz w:val="22"/>
        </w:rPr>
        <w:t>1.</w:t>
      </w:r>
      <w:r>
        <w:rPr>
          <w:sz w:val="22"/>
        </w:rPr>
        <w:t>成若虫侵害率：蜚蠊成若虫侵害率小于或等于</w:t>
      </w:r>
      <w:r>
        <w:rPr>
          <w:sz w:val="22"/>
        </w:rPr>
        <w:t>5%</w:t>
      </w:r>
      <w:r>
        <w:rPr>
          <w:sz w:val="22"/>
        </w:rPr>
        <w:t>，平均每阳性（处）成若虫数小蠊小于或等于</w:t>
      </w:r>
      <w:r>
        <w:rPr>
          <w:sz w:val="22"/>
        </w:rPr>
        <w:t>10</w:t>
      </w:r>
      <w:r>
        <w:rPr>
          <w:sz w:val="22"/>
        </w:rPr>
        <w:t>只，大蠊小于或等于</w:t>
      </w:r>
      <w:r>
        <w:rPr>
          <w:sz w:val="22"/>
        </w:rPr>
        <w:t>5</w:t>
      </w:r>
      <w:r>
        <w:rPr>
          <w:sz w:val="22"/>
        </w:rPr>
        <w:t>只。必须达</w:t>
      </w:r>
      <w:r>
        <w:rPr>
          <w:sz w:val="22"/>
        </w:rPr>
        <w:t>C</w:t>
      </w:r>
      <w:r>
        <w:rPr>
          <w:sz w:val="22"/>
        </w:rPr>
        <w:t>级以上。</w:t>
      </w:r>
    </w:p>
    <w:p>
      <w:pPr>
        <w:ind w:firstLine="480"/>
      </w:pPr>
      <w:r>
        <w:rPr>
          <w:sz w:val="22"/>
        </w:rPr>
        <w:t>2.</w:t>
      </w:r>
      <w:r>
        <w:rPr>
          <w:sz w:val="22"/>
        </w:rPr>
        <w:t>卵鞘查获率：蜚蠊卵鞘查获率小于或等于</w:t>
      </w:r>
      <w:r>
        <w:rPr>
          <w:sz w:val="22"/>
        </w:rPr>
        <w:t>3%</w:t>
      </w:r>
      <w:r>
        <w:rPr>
          <w:sz w:val="22"/>
        </w:rPr>
        <w:t>，平均每阳性房间（处）卵鞘数小于或等于</w:t>
      </w:r>
      <w:r>
        <w:rPr>
          <w:sz w:val="22"/>
        </w:rPr>
        <w:t>8</w:t>
      </w:r>
      <w:r>
        <w:rPr>
          <w:sz w:val="22"/>
        </w:rPr>
        <w:t>只。必须达</w:t>
      </w:r>
      <w:r>
        <w:rPr>
          <w:sz w:val="22"/>
        </w:rPr>
        <w:t>C</w:t>
      </w:r>
      <w:r>
        <w:rPr>
          <w:sz w:val="22"/>
        </w:rPr>
        <w:t>级以上。</w:t>
      </w:r>
    </w:p>
    <w:p>
      <w:pPr>
        <w:ind w:firstLine="480"/>
      </w:pPr>
      <w:r>
        <w:rPr>
          <w:sz w:val="22"/>
        </w:rPr>
        <w:t>3.</w:t>
      </w:r>
      <w:r>
        <w:rPr>
          <w:sz w:val="22"/>
        </w:rPr>
        <w:t>蟑迹查获率：蟑迹查获率小于或等于</w:t>
      </w:r>
      <w:r>
        <w:rPr>
          <w:sz w:val="22"/>
        </w:rPr>
        <w:t>7%</w:t>
      </w:r>
      <w:r>
        <w:rPr>
          <w:sz w:val="22"/>
        </w:rPr>
        <w:t>。必须达</w:t>
      </w:r>
      <w:r>
        <w:rPr>
          <w:sz w:val="22"/>
        </w:rPr>
        <w:t>C</w:t>
      </w:r>
      <w:r>
        <w:rPr>
          <w:sz w:val="22"/>
        </w:rPr>
        <w:t>级以上。</w:t>
      </w:r>
    </w:p>
    <w:p>
      <w:pPr>
        <w:ind w:firstLine="480"/>
      </w:pPr>
      <w:r>
        <w:rPr>
          <w:sz w:val="22"/>
        </w:rPr>
        <w:t>（三）蝇类控制水平（GB/T 27772-2011）</w:t>
      </w:r>
    </w:p>
    <w:p>
      <w:pPr>
        <w:ind w:firstLine="480"/>
      </w:pPr>
      <w:r>
        <w:rPr>
          <w:sz w:val="22"/>
        </w:rPr>
        <w:t>1.</w:t>
      </w:r>
      <w:r>
        <w:rPr>
          <w:sz w:val="22"/>
        </w:rPr>
        <w:t>生产销售直接入口食品的场所不得有蝇。室内不得存在蝇类孳生地，必须达</w:t>
      </w:r>
      <w:r>
        <w:rPr>
          <w:sz w:val="22"/>
        </w:rPr>
        <w:t>C</w:t>
      </w:r>
      <w:r>
        <w:rPr>
          <w:sz w:val="22"/>
        </w:rPr>
        <w:t>级以上。</w:t>
      </w:r>
    </w:p>
    <w:p>
      <w:pPr>
        <w:ind w:firstLine="480"/>
      </w:pPr>
      <w:r>
        <w:rPr>
          <w:sz w:val="22"/>
        </w:rPr>
        <w:t>2.</w:t>
      </w:r>
      <w:r>
        <w:rPr>
          <w:sz w:val="22"/>
        </w:rPr>
        <w:t>室内成蝇密度：有蝇房间阳性率小于或等于</w:t>
      </w:r>
      <w:r>
        <w:rPr>
          <w:sz w:val="22"/>
        </w:rPr>
        <w:t>9%</w:t>
      </w:r>
      <w:r>
        <w:rPr>
          <w:sz w:val="22"/>
        </w:rPr>
        <w:t>，阳性间蝇密度小于或等于</w:t>
      </w:r>
      <w:r>
        <w:rPr>
          <w:sz w:val="22"/>
        </w:rPr>
        <w:t>3</w:t>
      </w:r>
      <w:r>
        <w:rPr>
          <w:sz w:val="22"/>
        </w:rPr>
        <w:t>只</w:t>
      </w:r>
      <w:r>
        <w:rPr>
          <w:sz w:val="22"/>
        </w:rPr>
        <w:t>/</w:t>
      </w:r>
      <w:r>
        <w:rPr>
          <w:sz w:val="22"/>
        </w:rPr>
        <w:t>间，必须达</w:t>
      </w:r>
      <w:r>
        <w:rPr>
          <w:sz w:val="22"/>
        </w:rPr>
        <w:t>C</w:t>
      </w:r>
      <w:r>
        <w:rPr>
          <w:sz w:val="22"/>
        </w:rPr>
        <w:t>级以上。</w:t>
      </w:r>
    </w:p>
    <w:p>
      <w:pPr>
        <w:ind w:firstLine="480"/>
      </w:pPr>
      <w:r>
        <w:rPr>
          <w:sz w:val="22"/>
        </w:rPr>
        <w:t>3.</w:t>
      </w:r>
      <w:r>
        <w:rPr>
          <w:sz w:val="22"/>
        </w:rPr>
        <w:t>室外蝇类孳生地密度：蝇类孳生地阳性率小于或等于</w:t>
      </w:r>
      <w:r>
        <w:rPr>
          <w:sz w:val="22"/>
        </w:rPr>
        <w:t>5%</w:t>
      </w:r>
      <w:r>
        <w:rPr>
          <w:sz w:val="22"/>
        </w:rPr>
        <w:t>，必须达</w:t>
      </w:r>
      <w:r>
        <w:rPr>
          <w:sz w:val="22"/>
        </w:rPr>
        <w:t>C</w:t>
      </w:r>
      <w:r>
        <w:rPr>
          <w:sz w:val="22"/>
        </w:rPr>
        <w:t>级以上。</w:t>
      </w:r>
    </w:p>
    <w:p>
      <w:pPr>
        <w:ind w:firstLine="480"/>
      </w:pPr>
      <w:r>
        <w:rPr>
          <w:sz w:val="22"/>
        </w:rPr>
        <w:t>4.</w:t>
      </w:r>
      <w:r>
        <w:rPr>
          <w:sz w:val="22"/>
        </w:rPr>
        <w:t>防蝇设施：防蝇设施合格率大于或等于</w:t>
      </w:r>
      <w:r>
        <w:rPr>
          <w:sz w:val="22"/>
        </w:rPr>
        <w:t>90%</w:t>
      </w:r>
      <w:r>
        <w:rPr>
          <w:sz w:val="22"/>
        </w:rPr>
        <w:t>，必须达</w:t>
      </w:r>
      <w:r>
        <w:rPr>
          <w:sz w:val="22"/>
        </w:rPr>
        <w:t>C</w:t>
      </w:r>
      <w:r>
        <w:rPr>
          <w:sz w:val="22"/>
        </w:rPr>
        <w:t>级以上。</w:t>
      </w:r>
    </w:p>
    <w:p>
      <w:pPr>
        <w:ind w:firstLine="480"/>
      </w:pPr>
      <w:r>
        <w:rPr>
          <w:sz w:val="22"/>
        </w:rPr>
        <w:t>（四）蚊密度控制水平（GB/T 27771-2011）</w:t>
      </w:r>
    </w:p>
    <w:p>
      <w:pPr>
        <w:ind w:firstLine="480"/>
      </w:pPr>
      <w:r>
        <w:rPr>
          <w:sz w:val="22"/>
        </w:rPr>
        <w:t>1.</w:t>
      </w:r>
      <w:r>
        <w:rPr>
          <w:sz w:val="22"/>
        </w:rPr>
        <w:t>小型积水蚊虫密度：路径指数小于或等于</w:t>
      </w:r>
      <w:r>
        <w:rPr>
          <w:sz w:val="22"/>
        </w:rPr>
        <w:t>0.8</w:t>
      </w:r>
      <w:r>
        <w:rPr>
          <w:sz w:val="22"/>
        </w:rPr>
        <w:t>，必须达</w:t>
      </w:r>
      <w:r>
        <w:rPr>
          <w:sz w:val="22"/>
        </w:rPr>
        <w:t>C</w:t>
      </w:r>
      <w:r>
        <w:rPr>
          <w:sz w:val="22"/>
        </w:rPr>
        <w:t>级以上。</w:t>
      </w:r>
    </w:p>
    <w:p>
      <w:pPr>
        <w:ind w:firstLine="480"/>
      </w:pPr>
      <w:r>
        <w:rPr>
          <w:sz w:val="22"/>
        </w:rPr>
        <w:t>2.</w:t>
      </w:r>
      <w:r>
        <w:rPr>
          <w:sz w:val="22"/>
        </w:rPr>
        <w:t>大中型水体蚊虫密度：采样勺指数小于或等于</w:t>
      </w:r>
      <w:r>
        <w:rPr>
          <w:sz w:val="22"/>
        </w:rPr>
        <w:t>5%</w:t>
      </w:r>
      <w:r>
        <w:rPr>
          <w:sz w:val="22"/>
        </w:rPr>
        <w:t>，平均每阳性勺少于</w:t>
      </w:r>
      <w:r>
        <w:rPr>
          <w:sz w:val="22"/>
        </w:rPr>
        <w:t>8</w:t>
      </w:r>
      <w:r>
        <w:rPr>
          <w:sz w:val="22"/>
        </w:rPr>
        <w:t>只蚊虫幼虫和蛹，必须达</w:t>
      </w:r>
      <w:r>
        <w:rPr>
          <w:sz w:val="22"/>
        </w:rPr>
        <w:t>C</w:t>
      </w:r>
      <w:r>
        <w:rPr>
          <w:sz w:val="22"/>
        </w:rPr>
        <w:t>级以上。</w:t>
      </w:r>
    </w:p>
    <w:p>
      <w:pPr>
        <w:ind w:firstLine="440"/>
      </w:pPr>
      <w:r>
        <w:rPr>
          <w:sz w:val="22"/>
        </w:rPr>
        <w:t>3.</w:t>
      </w:r>
      <w:r>
        <w:rPr>
          <w:sz w:val="22"/>
        </w:rPr>
        <w:t>外环境蚊虫密度：停落指数小于或等于</w:t>
      </w:r>
      <w:r>
        <w:rPr>
          <w:sz w:val="22"/>
        </w:rPr>
        <w:t>1.5</w:t>
      </w:r>
      <w:r>
        <w:rPr>
          <w:sz w:val="22"/>
        </w:rPr>
        <w:t>，必须达</w:t>
      </w:r>
      <w:r>
        <w:rPr>
          <w:sz w:val="22"/>
        </w:rPr>
        <w:t>C</w:t>
      </w:r>
      <w:r>
        <w:rPr>
          <w:sz w:val="22"/>
        </w:rPr>
        <w:t>级以上。</w:t>
      </w:r>
    </w:p>
    <w:p>
      <w:r>
        <w:rPr>
          <w:b/>
          <w:sz w:val="22"/>
        </w:rPr>
        <w:t>第十条 突发时间应急要求</w:t>
      </w:r>
    </w:p>
    <w:p>
      <w:pPr>
        <w:ind w:firstLine="480"/>
      </w:pPr>
      <w:r>
        <w:rPr>
          <w:sz w:val="22"/>
        </w:rPr>
        <w:t>1.</w:t>
      </w:r>
      <w:r>
        <w:rPr>
          <w:sz w:val="22"/>
        </w:rPr>
        <w:t>出现登革热疫情时，乙方应在甲方通知后一小时内到达疫点，进行应急消杀、蚊媒密度监测、孳生地处置【包括</w:t>
      </w:r>
      <w:r>
        <w:rPr>
          <w:sz w:val="22"/>
        </w:rPr>
        <w:t>31</w:t>
      </w:r>
      <w:r>
        <w:rPr>
          <w:sz w:val="22"/>
        </w:rPr>
        <w:t>个村（社区）】等，配合上级部门开展疫情防控相关工作，直到各项监测指数达标、上级部门宣布解除疫情为止。</w:t>
      </w:r>
    </w:p>
    <w:p>
      <w:pPr>
        <w:ind w:firstLine="480"/>
      </w:pPr>
      <w:r>
        <w:rPr>
          <w:sz w:val="22"/>
        </w:rPr>
        <w:t>2.</w:t>
      </w:r>
      <w:r>
        <w:rPr>
          <w:sz w:val="22"/>
        </w:rPr>
        <w:t>要求乙方在我镇出现登革热疫情时，根据甲方应对应急消杀的要求及部署，安排足够的应急消杀人员、消杀器械及监测工具等，对发生登革热疫点的村（社区）开展应急成蚊消杀、蚊媒密度监测、孳生地消杀处置等应急工作，因登革热应急处置所产生的一切费用（包括应急人工费用、加班费、消杀器械和监测设备、其它突发性作业费等）由乙方承担，并做好应急消杀记录台帐。</w:t>
      </w:r>
    </w:p>
    <w:p>
      <w:pPr>
        <w:ind w:firstLine="480"/>
      </w:pPr>
      <w:r>
        <w:rPr>
          <w:sz w:val="22"/>
        </w:rPr>
        <w:t>3.</w:t>
      </w:r>
      <w:r>
        <w:rPr>
          <w:sz w:val="22"/>
        </w:rPr>
        <w:t>因疫情防控的不确定性，若甲方有应急消杀任务，乙方需配合并按相应工作标准进行消杀；若乙方非不可抗力因素而拒绝应急消杀任务的，甲方有权终止合同，甲方有权依法委托有资质的第三方继续履行本合同义务，由此造成的一切后续费用及损失（包括但不限于再行采购的费用、委托第三方继续履行时超出本合同费用部分等）由乙方全部承担。</w:t>
      </w:r>
    </w:p>
    <w:p>
      <w:pPr>
        <w:ind w:firstLine="440"/>
      </w:pPr>
      <w:r>
        <w:rPr>
          <w:b/>
          <w:sz w:val="22"/>
        </w:rPr>
        <w:t>4</w:t>
      </w:r>
      <w:r>
        <w:rPr>
          <w:b/>
          <w:sz w:val="22"/>
        </w:rPr>
        <w:t>、★投标报价已包含乙方应急消杀任务等费用，乙方需配合并按相应工作标准进行消杀。甲方不另行支付其他任何费用。（乙方须在投标文件中提供相应承诺函，格式自拟）</w:t>
      </w:r>
    </w:p>
    <w:p>
      <w:r>
        <w:rPr>
          <w:b/>
          <w:sz w:val="22"/>
        </w:rPr>
        <w:t>第十一条 内部管理要求</w:t>
      </w:r>
    </w:p>
    <w:p>
      <w:pPr>
        <w:ind w:firstLine="440"/>
      </w:pPr>
      <w:r>
        <w:rPr>
          <w:sz w:val="22"/>
        </w:rPr>
        <w:t>1.</w:t>
      </w:r>
      <w:r>
        <w:rPr>
          <w:sz w:val="22"/>
        </w:rPr>
        <w:t>乙方应具有完善的内部管理规章制度（包括但不限于财务制度、组织管理架构及岗位职责、薪酬管理、考勤、员工福利等），以保证项目顺利实施。</w:t>
      </w:r>
    </w:p>
    <w:p>
      <w:r>
        <w:rPr>
          <w:b/>
          <w:sz w:val="22"/>
        </w:rPr>
        <w:t>第十二条 保密内容</w:t>
      </w:r>
    </w:p>
    <w:p>
      <w:pPr>
        <w:ind w:firstLine="440"/>
      </w:pPr>
      <w:r>
        <w:rPr>
          <w:sz w:val="22"/>
        </w:rPr>
        <w:t>项目实施过程中至乙方正式向甲方交付项目资料时为止，乙方必须采取措施对本项目实施过程中的数据、文档等资料保密，否则，由于乙方过错导致的上述资料涉密的，乙方必须承担一切责任。项目完成后甲方和乙方双方均对本项目资料保密承担责任。</w:t>
      </w:r>
    </w:p>
    <w:p>
      <w:r>
        <w:rPr>
          <w:b/>
          <w:sz w:val="22"/>
        </w:rPr>
        <w:t>第十三条 其他要求</w:t>
      </w:r>
    </w:p>
    <w:p>
      <w:pPr>
        <w:ind w:firstLine="480"/>
      </w:pPr>
      <w:r>
        <w:rPr>
          <w:sz w:val="22"/>
        </w:rPr>
        <w:t>1.</w:t>
      </w:r>
      <w:r>
        <w:rPr>
          <w:sz w:val="22"/>
        </w:rPr>
        <w:t>乙方需提供工作人员的上岗资质证明（复印件）、身份证、健康证等，需要变更相关工作人员时需经甲方同意。</w:t>
      </w:r>
    </w:p>
    <w:p>
      <w:pPr>
        <w:ind w:firstLine="480"/>
      </w:pPr>
      <w:r>
        <w:rPr>
          <w:sz w:val="22"/>
        </w:rPr>
        <w:t>2.</w:t>
      </w:r>
      <w:r>
        <w:rPr>
          <w:sz w:val="22"/>
        </w:rPr>
        <w:t>甲方要求乙方提供直接或间接服务于本项目的各类型资料时，乙方需服从并按时如实提供。</w:t>
      </w:r>
    </w:p>
    <w:p>
      <w:pPr>
        <w:ind w:firstLine="480"/>
      </w:pPr>
      <w:r>
        <w:rPr>
          <w:sz w:val="22"/>
        </w:rPr>
        <w:t>3.</w:t>
      </w:r>
      <w:r>
        <w:rPr>
          <w:sz w:val="22"/>
        </w:rPr>
        <w:t>乙方需按药物说明规定比例配制消杀药物，不达要求的，甲方视为无效药品并依考核办法作出处理。</w:t>
      </w:r>
    </w:p>
    <w:p>
      <w:pPr>
        <w:ind w:firstLine="480"/>
      </w:pPr>
      <w:r>
        <w:rPr>
          <w:sz w:val="22"/>
        </w:rPr>
        <w:t>4.</w:t>
      </w:r>
      <w:r>
        <w:rPr>
          <w:sz w:val="22"/>
        </w:rPr>
        <w:t>需要进行额外应急消杀的，甲方只向乙方提供消杀药物，不向乙方另外支付其它费用。</w:t>
      </w:r>
    </w:p>
    <w:p>
      <w:pPr>
        <w:ind w:firstLine="480"/>
      </w:pPr>
      <w:r>
        <w:rPr>
          <w:sz w:val="22"/>
        </w:rPr>
        <w:t>5.</w:t>
      </w:r>
      <w:r>
        <w:rPr>
          <w:sz w:val="22"/>
        </w:rPr>
        <w:t>遇到单位、村（社区）投诉对消杀效果不满意的，需要在</w:t>
      </w:r>
      <w:r>
        <w:rPr>
          <w:sz w:val="22"/>
        </w:rPr>
        <w:t>12</w:t>
      </w:r>
      <w:r>
        <w:rPr>
          <w:sz w:val="22"/>
        </w:rPr>
        <w:t>小时内对投诉区域进行重复消杀，并书面解析说明情况。</w:t>
      </w:r>
    </w:p>
    <w:p>
      <w:pPr>
        <w:ind w:firstLine="480"/>
      </w:pPr>
      <w:r>
        <w:rPr>
          <w:sz w:val="22"/>
        </w:rPr>
        <w:t>6.</w:t>
      </w:r>
      <w:r>
        <w:rPr>
          <w:sz w:val="22"/>
        </w:rPr>
        <w:t>乙方在承包本项目过程中发生的人员安全事故、财产损失及与第三方发生纠纷、诉讼的，由乙方处理，一切责任由乙方承担，与甲方无关。</w:t>
      </w:r>
    </w:p>
    <w:p>
      <w:pPr>
        <w:ind w:firstLine="480"/>
      </w:pPr>
      <w:r>
        <w:rPr>
          <w:sz w:val="22"/>
        </w:rPr>
        <w:t>7.</w:t>
      </w:r>
      <w:r>
        <w:rPr>
          <w:sz w:val="22"/>
        </w:rPr>
        <w:t>消杀过程中产生噪音或使花草树林、农作物、动物、人员等造成任何伤害、损坏，由乙方承担一切法律责任和赔偿责任，一切责任均与甲方无关。</w:t>
      </w:r>
    </w:p>
    <w:p>
      <w:pPr>
        <w:ind w:firstLine="480"/>
      </w:pPr>
      <w:r>
        <w:rPr>
          <w:sz w:val="22"/>
        </w:rPr>
        <w:t>8.</w:t>
      </w:r>
      <w:r>
        <w:rPr>
          <w:sz w:val="22"/>
        </w:rPr>
        <w:t>本项目出现的计算、测绘等误差，甲方不作任何费用的调整，视作捆绑打包处理，乙方须无条件认同。</w:t>
      </w:r>
    </w:p>
    <w:p>
      <w:pPr>
        <w:ind w:firstLine="480"/>
      </w:pPr>
      <w:r>
        <w:rPr>
          <w:sz w:val="22"/>
        </w:rPr>
        <w:t>9.</w:t>
      </w:r>
      <w:r>
        <w:rPr>
          <w:sz w:val="22"/>
        </w:rPr>
        <w:t>乙方必须依据国家和地方政府颁布的法律法规的规定处理与员工的雇佣关系，乙方与员工之间各种纠纷或诉讼与甲方无关。</w:t>
      </w:r>
    </w:p>
    <w:p>
      <w:pPr>
        <w:ind w:firstLine="480"/>
      </w:pPr>
      <w:r>
        <w:rPr>
          <w:sz w:val="22"/>
        </w:rPr>
        <w:t>10.</w:t>
      </w:r>
      <w:r>
        <w:rPr>
          <w:sz w:val="22"/>
        </w:rPr>
        <w:t>乙方必须按法律、法规及有关政策规定为员工购买社会养老、工伤、医疗、失业、意外等其它保险以及强制性公积金。</w:t>
      </w:r>
    </w:p>
    <w:p>
      <w:pPr>
        <w:ind w:firstLine="480"/>
      </w:pPr>
      <w:r>
        <w:rPr>
          <w:sz w:val="22"/>
        </w:rPr>
        <w:t>11.</w:t>
      </w:r>
      <w:r>
        <w:rPr>
          <w:sz w:val="22"/>
        </w:rPr>
        <w:t>若乙方存在克扣工人工资、加班费、福利费，不给工人购买社会养老、工伤、医疗失业保险等违法违规行为的，甲方有权扣减乙方相应承包款，因乙方劳资矛盾并影响作业质量的，甲方有权终止合同。</w:t>
      </w:r>
    </w:p>
    <w:p>
      <w:pPr>
        <w:ind w:firstLine="480"/>
      </w:pPr>
      <w:r>
        <w:rPr>
          <w:sz w:val="22"/>
        </w:rPr>
        <w:t>12.</w:t>
      </w:r>
      <w:r>
        <w:rPr>
          <w:sz w:val="22"/>
        </w:rPr>
        <w:t>甲方有权在不超出约定的年度消杀总次数的前提下，调整每月的消杀次数。</w:t>
      </w:r>
    </w:p>
    <w:p>
      <w:pPr>
        <w:ind w:firstLine="480"/>
      </w:pPr>
      <w:r>
        <w:rPr>
          <w:sz w:val="22"/>
        </w:rPr>
        <w:t>13.</w:t>
      </w:r>
      <w:r>
        <w:rPr>
          <w:sz w:val="22"/>
        </w:rPr>
        <w:t>甲方有权委托第三方履行对乙方的监督、考核。</w:t>
      </w:r>
    </w:p>
    <w:p>
      <w:pPr>
        <w:ind w:firstLine="440"/>
      </w:pPr>
      <w:r>
        <w:rPr>
          <w:sz w:val="22"/>
        </w:rPr>
        <w:t>14.</w:t>
      </w:r>
      <w:r>
        <w:rPr>
          <w:sz w:val="22"/>
        </w:rPr>
        <w:t>乙方需为投入本项目的机动车辆购买相应的保险（包括但不限于交强险、第三者责任险等）。</w:t>
      </w:r>
    </w:p>
    <w:p>
      <w:r>
        <w:rPr>
          <w:b/>
          <w:sz w:val="22"/>
        </w:rPr>
        <w:t>第十四条 合同的转让和分包</w:t>
      </w:r>
    </w:p>
    <w:p>
      <w:pPr>
        <w:ind w:firstLine="440"/>
      </w:pPr>
      <w:r>
        <w:rPr>
          <w:sz w:val="22"/>
        </w:rPr>
        <w:t>1、本合同为总承包合同，不得以任何形式进行分包；</w:t>
      </w:r>
    </w:p>
    <w:p>
      <w:pPr>
        <w:ind w:firstLine="440"/>
      </w:pPr>
      <w:r>
        <w:rPr>
          <w:sz w:val="22"/>
        </w:rPr>
        <w:t>2、乙方不得部分转让或全部转让其应履行的合同义务。如甲方发现乙方转包或分包证据，甲方有权单方解除合同，不再付款，同时乙方还应承担相应的责任。</w:t>
      </w:r>
    </w:p>
    <w:p>
      <w:pPr>
        <w:ind w:firstLine="440"/>
      </w:pPr>
      <w:r>
        <w:rPr>
          <w:sz w:val="22"/>
        </w:rPr>
        <w:t>3、甲方和乙方都不得擅自变更本合同，但合同继续履行将损害国家和社会公共利益的除外。如必须对合同条款进行改动时，当事人双方须共同签署书面文件，作为合同的补充，并报同级政府采购监督管理部门备案。</w:t>
      </w:r>
    </w:p>
    <w:p>
      <w:r>
        <w:rPr>
          <w:b/>
          <w:sz w:val="22"/>
        </w:rPr>
        <w:t>第十五条 违约责任</w:t>
      </w:r>
    </w:p>
    <w:p>
      <w:pPr>
        <w:ind w:firstLine="440"/>
      </w:pPr>
      <w:r>
        <w:rPr>
          <w:sz w:val="22"/>
        </w:rPr>
        <w:t>1、乙方提供的服务不符合招标文件、投标文件或本合同规定的，甲方有权拒收，并且乙方须向甲方支付本合同总价0.5%的违约金，本条款所涉违约金可与合同其他违约责任同时适用。</w:t>
      </w:r>
    </w:p>
    <w:p>
      <w:pPr>
        <w:ind w:firstLine="440"/>
      </w:pPr>
      <w:r>
        <w:rPr>
          <w:sz w:val="22"/>
        </w:rPr>
        <w:t>2、乙方未能按本合同规定的时间提供服务，从逾期之日起每日按本合同总价0.05%的数额向甲方支付违约金；逾期半个月以上的，甲方有权终止合同，由此造成的甲方经济损失由乙方承担。</w:t>
      </w:r>
    </w:p>
    <w:p>
      <w:pPr>
        <w:ind w:firstLine="440"/>
      </w:pPr>
      <w:r>
        <w:rPr>
          <w:sz w:val="22"/>
        </w:rPr>
        <w:t>3、甲方逾期付款，则每日按本合同总价的0.05%向乙方偿付违约金。</w:t>
      </w:r>
    </w:p>
    <w:p>
      <w:pPr>
        <w:ind w:firstLine="440"/>
      </w:pPr>
      <w:r>
        <w:rPr>
          <w:sz w:val="22"/>
        </w:rPr>
        <w:t>4、其它违约责任按本合同其他约定及《中华人民共和国民法典》处理。</w:t>
      </w:r>
    </w:p>
    <w:p>
      <w:r>
        <w:rPr>
          <w:b/>
          <w:sz w:val="22"/>
        </w:rPr>
        <w:t>第十六条 不可抗力</w:t>
      </w:r>
    </w:p>
    <w:p>
      <w:pPr>
        <w:ind w:firstLine="440"/>
      </w:pPr>
      <w:r>
        <w:rPr>
          <w:sz w:val="22"/>
        </w:rPr>
        <w:t>1、任何一方由于不可抗力原因（不可抗力因素包括战争、火灾、洪水、台风、地震、政策变化、疫情原因或其它人力不可抗拒之事件）不能履行合同时，应在不可抗力事件结束后   日内向对方通报，以减轻可能给对方造成的损失，在取得有关机构的不可抗力证明或双方谅解确认后，根据情况可部分或全部免于承担违约责任。</w:t>
      </w:r>
    </w:p>
    <w:p>
      <w:r>
        <w:rPr>
          <w:b/>
          <w:sz w:val="22"/>
        </w:rPr>
        <w:t>第十七条 争议的解决</w:t>
      </w:r>
    </w:p>
    <w:p>
      <w:pPr>
        <w:ind w:firstLine="440"/>
      </w:pPr>
      <w:r>
        <w:rPr>
          <w:sz w:val="22"/>
        </w:rPr>
        <w:t>1、凡与本合同有关而引起的一切争议，甲乙双方应首先通过友好协商解决，如经协商后仍不能达成协议时，任何一方可以向法院提出诉讼。</w:t>
      </w:r>
    </w:p>
    <w:p>
      <w:pPr>
        <w:ind w:firstLine="440"/>
      </w:pPr>
      <w:r>
        <w:rPr>
          <w:sz w:val="22"/>
        </w:rPr>
        <w:t>2、本合同发生的诉讼管辖地为广州市南沙区人民法院。</w:t>
      </w:r>
    </w:p>
    <w:p>
      <w:pPr>
        <w:ind w:firstLine="440"/>
      </w:pPr>
      <w:r>
        <w:rPr>
          <w:sz w:val="22"/>
        </w:rPr>
        <w:t>3、在进行法院审理期间，除提交法院审理的事项外，合同其他部分仍继续履行。本合同按照中华人民共和国的法律进行解释。</w:t>
      </w:r>
    </w:p>
    <w:p>
      <w:r>
        <w:rPr>
          <w:b/>
          <w:sz w:val="22"/>
        </w:rPr>
        <w:t>第十八条 合同生效及终止</w:t>
      </w:r>
    </w:p>
    <w:p>
      <w:pPr>
        <w:ind w:firstLine="440"/>
      </w:pPr>
      <w:r>
        <w:rPr>
          <w:sz w:val="22"/>
        </w:rPr>
        <w:t>1、本合同自甲乙双方法定代表人或其授权代表签字并加盖公章之日起生效。合同期满本合同自然终止。</w:t>
      </w:r>
    </w:p>
    <w:p>
      <w:r>
        <w:rPr>
          <w:b/>
          <w:sz w:val="22"/>
        </w:rPr>
        <w:t>第十九条 其它</w:t>
      </w:r>
    </w:p>
    <w:p>
      <w:pPr>
        <w:ind w:firstLine="440"/>
      </w:pPr>
      <w:r>
        <w:rPr>
          <w:sz w:val="22"/>
        </w:rPr>
        <w:t>1、本合同所有附件及所有经甲乙双方签署确认的文件（包括会议纪要、补充协议、往来信函）均为本合同的有效组成部分，与本合同具有同等法律效力。</w:t>
      </w:r>
    </w:p>
    <w:p>
      <w:pPr>
        <w:ind w:firstLine="440"/>
      </w:pPr>
      <w:r>
        <w:rPr>
          <w:sz w:val="22"/>
        </w:rPr>
        <w:t>2、在本合同履行过程中，乙方不得消极怠工或拒不履行合同义务，否则将视为乙方违约，除按本合同约定追究违约责任外，甲方仍有权就违约事宜提出改正，如乙方仍拒不改正的，甲方有权解除合同，并有权依法委托有资质的第三方继续履行本合同义务，由此造成的一切损失（包括但不限于再行采购的费用、委托第三方继续履行时超出本合同费用部分等）由乙方全部承担。除甲方事先书面同意外，乙方不得部分或全部转让其应履行的合同项下的义务。</w:t>
      </w:r>
    </w:p>
    <w:p>
      <w:pPr>
        <w:ind w:firstLine="440"/>
      </w:pPr>
      <w:r>
        <w:rPr>
          <w:sz w:val="22"/>
        </w:rPr>
        <w:t>3、双方因履行本合同而相互发出或者提供的所有通知、文件、法律文书等材料，均以本合同载明的地址、联系方式为准。一方迁址或者变更联系方式的，应当提前三天书面通知对方。以当面交付文件方式送达的，交付之时视为送达；以邮寄方式送达的，邮件发出当日视为送达。双方均确认本合同载明地址为有效送达地址。通知、文件、法律文书等材料通过本合同载明地址发送的，一方拒签或他人签收不影响送达的生效。</w:t>
      </w:r>
    </w:p>
    <w:p>
      <w:pPr>
        <w:ind w:firstLine="440"/>
      </w:pPr>
      <w:r>
        <w:rPr>
          <w:sz w:val="22"/>
        </w:rPr>
        <w:t>4、本合同正本</w:t>
      </w:r>
      <w:r>
        <w:rPr>
          <w:sz w:val="22"/>
          <w:u w:val="single"/>
        </w:rPr>
        <w:t xml:space="preserve"> </w:t>
      </w:r>
      <w:r>
        <w:rPr>
          <w:sz w:val="22"/>
        </w:rPr>
        <w:t>份，甲、乙各执</w:t>
      </w:r>
      <w:r>
        <w:rPr>
          <w:sz w:val="22"/>
          <w:u w:val="single"/>
        </w:rPr>
        <w:t xml:space="preserve"> </w:t>
      </w:r>
      <w:r>
        <w:rPr>
          <w:sz w:val="22"/>
        </w:rPr>
        <w:t>份；副本</w:t>
      </w:r>
      <w:r>
        <w:rPr>
          <w:sz w:val="22"/>
          <w:u w:val="single"/>
        </w:rPr>
        <w:t xml:space="preserve"> </w:t>
      </w:r>
      <w:r>
        <w:rPr>
          <w:sz w:val="22"/>
        </w:rPr>
        <w:t>份，甲方</w:t>
      </w:r>
      <w:r>
        <w:rPr>
          <w:sz w:val="22"/>
          <w:u w:val="single"/>
        </w:rPr>
        <w:t xml:space="preserve"> </w:t>
      </w:r>
      <w:r>
        <w:rPr>
          <w:sz w:val="22"/>
        </w:rPr>
        <w:t>份，乙方</w:t>
      </w:r>
      <w:r>
        <w:rPr>
          <w:sz w:val="22"/>
          <w:u w:val="single"/>
        </w:rPr>
        <w:t xml:space="preserve"> </w:t>
      </w:r>
      <w:r>
        <w:rPr>
          <w:sz w:val="22"/>
        </w:rPr>
        <w:t>份，政府采购代理机构一份。乙方自本合同签订之日起2个工作日内向招标代理机构提交合同，用于办理合同备案手续。</w:t>
      </w:r>
    </w:p>
    <w:p>
      <w:pPr>
        <w:ind w:firstLine="440"/>
      </w:pPr>
      <w:r>
        <w:rPr>
          <w:sz w:val="22"/>
        </w:rPr>
        <w:t>甲方(买方)：                    乙方(卖方)：</w:t>
      </w:r>
    </w:p>
    <w:p>
      <w:pPr>
        <w:ind w:firstLine="440"/>
      </w:pPr>
      <w:r>
        <w:rPr>
          <w:sz w:val="22"/>
        </w:rPr>
        <w:t>法定代表人：                    法定代表人：</w:t>
      </w:r>
    </w:p>
    <w:p>
      <w:pPr>
        <w:ind w:firstLine="440"/>
      </w:pPr>
      <w:r>
        <w:rPr>
          <w:sz w:val="22"/>
        </w:rPr>
        <w:t>签约代表                        签约代表</w:t>
      </w:r>
    </w:p>
    <w:p>
      <w:pPr>
        <w:ind w:firstLine="440"/>
      </w:pPr>
      <w:r>
        <w:rPr>
          <w:sz w:val="22"/>
        </w:rPr>
        <w:t>地址：                          地址：</w:t>
      </w:r>
    </w:p>
    <w:p>
      <w:pPr>
        <w:ind w:firstLine="440"/>
      </w:pPr>
      <w:r>
        <w:rPr>
          <w:sz w:val="22"/>
        </w:rPr>
        <w:t>电话：                          电话：</w:t>
      </w:r>
    </w:p>
    <w:p>
      <w:pPr>
        <w:ind w:firstLine="440"/>
      </w:pPr>
      <w:r>
        <w:rPr>
          <w:sz w:val="22"/>
        </w:rPr>
        <w:t>传真：                          传真：</w:t>
      </w:r>
    </w:p>
    <w:p>
      <w:pPr>
        <w:ind w:firstLine="440"/>
      </w:pPr>
      <w:r>
        <w:rPr>
          <w:sz w:val="22"/>
        </w:rPr>
        <w:t>开户银行：                      开户银行：</w:t>
      </w:r>
    </w:p>
    <w:p>
      <w:pPr>
        <w:ind w:firstLine="440"/>
      </w:pPr>
      <w:r>
        <w:rPr>
          <w:sz w:val="22"/>
        </w:rPr>
        <w:t>银行账户：                      银行账户：</w:t>
      </w:r>
    </w:p>
    <w:p>
      <w:pPr>
        <w:ind w:firstLine="440"/>
      </w:pPr>
      <w:r>
        <w:rPr>
          <w:sz w:val="22"/>
        </w:rPr>
        <w:t>银行账号：                      银行账号：                签订日期：    年  月  日</w:t>
      </w:r>
    </w:p>
    <w:p>
      <w:pPr>
        <w:ind w:firstLine="440"/>
      </w:pPr>
      <w:r>
        <w:rPr>
          <w:sz w:val="22"/>
        </w:rPr>
        <w:t>签订地点：</w:t>
      </w:r>
    </w:p>
    <w:p>
      <w:pPr>
        <w:ind w:firstLine="440"/>
      </w:pPr>
      <w:r>
        <w:rPr>
          <w:sz w:val="22"/>
        </w:rPr>
        <w:t>合同附件（合同编号：        ） 附件1.中标通知书</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440115-2024-00162</w:t>
      </w:r>
    </w:p>
    <w:p>
      <w:pPr>
        <w:jc w:val="center"/>
      </w:pPr>
      <w:r>
        <w:rPr>
          <w:b/>
          <w:sz w:val="24"/>
        </w:rPr>
        <w:t>采购项目编号：</w:t>
      </w:r>
      <w:r>
        <w:rPr>
          <w:b/>
          <w:sz w:val="24"/>
        </w:rPr>
        <w:t>GDSZ-2023092（440115-2024-00162）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广东穗尊招标代理有限公司</w:t>
      </w:r>
    </w:p>
    <w:p>
      <w:pPr>
        <w:ind w:firstLine="480"/>
      </w:pPr>
      <w:r>
        <w:rPr/>
        <w:t>你方组织的</w:t>
      </w:r>
      <w:r>
        <w:rPr>
          <w:u w:val="single"/>
        </w:rPr>
        <w:t>“</w:t>
      </w:r>
      <w:r>
        <w:rPr>
          <w:u w:val="single"/>
        </w:rPr>
        <w:t>大岗镇2024年登革热防控及除四害服务单位项目</w:t>
      </w:r>
      <w:r>
        <w:rPr>
          <w:u w:val="single"/>
        </w:rPr>
        <w:t>”</w:t>
      </w:r>
      <w:r>
        <w:rPr/>
        <w:t>项目的招标[采购项目编号为：</w:t>
      </w:r>
      <w:r>
        <w:rPr>
          <w:u w:val="single"/>
        </w:rPr>
        <w:t>GDSZ-2023092（440115-2024-00162）</w:t>
      </w:r>
      <w:r>
        <w:rPr/>
        <w:t>]，我方愿参与投标。</w:t>
      </w:r>
    </w:p>
    <w:p>
      <w:pPr>
        <w:ind w:firstLine="480"/>
      </w:pPr>
      <w:r>
        <w:rPr/>
        <w:t>我方确认收到贵方提供的</w:t>
      </w:r>
      <w:r>
        <w:rPr>
          <w:u w:val="single"/>
        </w:rPr>
        <w:t>“</w:t>
      </w:r>
      <w:r>
        <w:rPr>
          <w:u w:val="single"/>
        </w:rPr>
        <w:t>大岗镇2024年登革热防控及除四害服务单位项目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（十二）我方承诺遵守《中华人民共和国劳动合同法》有关规定和《中华人民共和国妇女权益保障法》中关于“劳动和社会保障权益”的有关要求。</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广东穗尊招标代理有限公司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大岗镇2024年登革热防控及除四害服务单位项目</w:t>
      </w:r>
      <w:r>
        <w:rPr/>
        <w:t>”项目采购[采购项目编号为</w:t>
      </w:r>
      <w:r>
        <w:rPr/>
        <w:t>GDSZ-2023092（440115-2024-00162）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广州市南沙区大岗镇人民政府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广东穗尊招标代理有限公司</w:t>
      </w:r>
    </w:p>
    <w:p>
      <w:pPr>
        <w:ind w:firstLine="480"/>
      </w:pPr>
      <w:r>
        <w:rPr/>
        <w:t>如果我方在贵采购代理机构组织的</w:t>
      </w:r>
      <w:r>
        <w:rPr/>
        <w:t>大岗镇2024年登革热防控及除四害服务单位项目</w:t>
      </w:r>
      <w:r>
        <w:rPr/>
        <w:t>招标中获中标（采购项目编号：</w:t>
      </w:r>
      <w:r>
        <w:rPr/>
        <w:t>GDSZ-2023092（440115-2024-00162）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广东穗尊招标代理有限公司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