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spacing w:line="1600" w:lineRule="exact"/>
        <w:jc w:val="center"/>
        <w:outlineLvl w:val="9"/>
        <w:rPr>
          <w:rFonts w:hint="eastAsia" w:ascii="宋体" w:hAnsi="宋体" w:eastAsia="宋体" w:cs="宋体"/>
          <w:color w:val="auto"/>
          <w:sz w:val="100"/>
          <w:highlight w:val="none"/>
        </w:rPr>
      </w:pPr>
      <w:r>
        <w:rPr>
          <w:rFonts w:hint="eastAsia" w:ascii="宋体" w:hAnsi="宋体" w:eastAsia="宋体" w:cs="宋体"/>
          <w:color w:val="auto"/>
          <w:sz w:val="100"/>
          <w:highlight w:val="none"/>
        </w:rPr>
        <w:t>政府采购</w:t>
      </w:r>
    </w:p>
    <w:p>
      <w:pPr>
        <w:spacing w:line="1600" w:lineRule="exact"/>
        <w:jc w:val="center"/>
        <w:outlineLvl w:val="9"/>
        <w:rPr>
          <w:rFonts w:hint="eastAsia" w:ascii="宋体" w:hAnsi="宋体" w:eastAsia="宋体" w:cs="宋体"/>
          <w:color w:val="auto"/>
          <w:sz w:val="110"/>
          <w:szCs w:val="110"/>
          <w:highlight w:val="none"/>
        </w:rPr>
      </w:pPr>
      <w:r>
        <w:rPr>
          <w:rFonts w:hint="eastAsia" w:ascii="宋体" w:hAnsi="宋体" w:eastAsia="宋体" w:cs="宋体"/>
          <w:color w:val="auto"/>
          <w:sz w:val="110"/>
          <w:szCs w:val="110"/>
          <w:highlight w:val="none"/>
        </w:rPr>
        <w:t>竞争性磋商文件</w:t>
      </w:r>
    </w:p>
    <w:p>
      <w:pPr>
        <w:spacing w:line="700" w:lineRule="exact"/>
        <w:jc w:val="center"/>
        <w:rPr>
          <w:rFonts w:hint="eastAsia" w:ascii="宋体" w:hAnsi="宋体" w:eastAsia="宋体" w:cs="宋体"/>
          <w:color w:val="auto"/>
          <w:sz w:val="72"/>
          <w:szCs w:val="72"/>
          <w:highlight w:val="none"/>
        </w:rPr>
      </w:pPr>
    </w:p>
    <w:p>
      <w:pPr>
        <w:spacing w:line="700" w:lineRule="exact"/>
        <w:jc w:val="center"/>
        <w:rPr>
          <w:rFonts w:hint="eastAsia" w:ascii="宋体" w:hAnsi="宋体" w:eastAsia="宋体" w:cs="宋体"/>
          <w:color w:val="auto"/>
          <w:sz w:val="32"/>
          <w:highlight w:val="none"/>
        </w:rPr>
      </w:pPr>
    </w:p>
    <w:p>
      <w:pPr>
        <w:spacing w:line="700" w:lineRule="exact"/>
        <w:jc w:val="center"/>
        <w:rPr>
          <w:rFonts w:hint="eastAsia" w:ascii="宋体" w:hAnsi="宋体" w:eastAsia="宋体" w:cs="宋体"/>
          <w:color w:val="auto"/>
          <w:sz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  目  号：</w:t>
      </w:r>
      <w:r>
        <w:rPr>
          <w:rFonts w:hint="eastAsia" w:ascii="宋体" w:hAnsi="宋体" w:cs="宋体"/>
          <w:color w:val="auto"/>
          <w:sz w:val="36"/>
          <w:szCs w:val="36"/>
          <w:highlight w:val="none"/>
          <w:lang w:val="en-US" w:eastAsia="zh-CN"/>
        </w:rPr>
        <w:t>WZQ23B00016</w:t>
      </w:r>
    </w:p>
    <w:p>
      <w:pPr>
        <w:keepNext w:val="0"/>
        <w:keepLines w:val="0"/>
        <w:pageBreakBefore w:val="0"/>
        <w:widowControl w:val="0"/>
        <w:kinsoku/>
        <w:wordWrap/>
        <w:overflowPunct/>
        <w:topLinePunct w:val="0"/>
        <w:autoSpaceDE/>
        <w:autoSpaceDN/>
        <w:bidi w:val="0"/>
        <w:adjustRightInd/>
        <w:snapToGrid/>
        <w:spacing w:line="600" w:lineRule="exact"/>
        <w:ind w:left="2520" w:hanging="2520" w:hangingChars="7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36"/>
          <w:szCs w:val="36"/>
          <w:highlight w:val="none"/>
        </w:rPr>
        <w:t>磋商项目名称：</w:t>
      </w:r>
      <w:r>
        <w:rPr>
          <w:rFonts w:hint="eastAsia" w:ascii="宋体" w:hAnsi="宋体" w:eastAsia="宋体" w:cs="宋体"/>
          <w:color w:val="auto"/>
          <w:sz w:val="36"/>
          <w:szCs w:val="36"/>
          <w:highlight w:val="none"/>
          <w:lang w:eastAsia="zh-CN"/>
        </w:rPr>
        <w:t>万州区</w:t>
      </w:r>
      <w:r>
        <w:rPr>
          <w:rFonts w:hint="eastAsia" w:ascii="宋体" w:hAnsi="宋体" w:eastAsia="宋体" w:cs="宋体"/>
          <w:color w:val="auto"/>
          <w:sz w:val="36"/>
          <w:szCs w:val="36"/>
          <w:highlight w:val="none"/>
          <w:lang w:val="en-US" w:eastAsia="zh-CN"/>
        </w:rPr>
        <w:t>2023年水库大坝白蚁防治项目</w:t>
      </w:r>
    </w:p>
    <w:p>
      <w:pPr>
        <w:spacing w:line="500" w:lineRule="exact"/>
        <w:jc w:val="center"/>
        <w:outlineLvl w:val="9"/>
        <w:rPr>
          <w:rFonts w:hint="eastAsia" w:ascii="宋体" w:hAnsi="宋体" w:eastAsia="宋体" w:cs="宋体"/>
          <w:color w:val="auto"/>
          <w:sz w:val="36"/>
          <w:szCs w:val="36"/>
          <w:highlight w:val="none"/>
        </w:rPr>
      </w:pPr>
    </w:p>
    <w:p>
      <w:pPr>
        <w:spacing w:line="500" w:lineRule="exact"/>
        <w:jc w:val="center"/>
        <w:outlineLvl w:val="9"/>
        <w:rPr>
          <w:rFonts w:hint="eastAsia" w:ascii="宋体" w:hAnsi="宋体" w:eastAsia="宋体" w:cs="宋体"/>
          <w:color w:val="auto"/>
          <w:sz w:val="36"/>
          <w:szCs w:val="36"/>
          <w:highlight w:val="none"/>
        </w:rPr>
      </w:pPr>
    </w:p>
    <w:p>
      <w:pPr>
        <w:spacing w:line="500" w:lineRule="exact"/>
        <w:jc w:val="center"/>
        <w:outlineLvl w:val="9"/>
        <w:rPr>
          <w:rFonts w:hint="eastAsia" w:ascii="宋体" w:hAnsi="宋体" w:eastAsia="宋体" w:cs="宋体"/>
          <w:color w:val="auto"/>
          <w:sz w:val="36"/>
          <w:szCs w:val="36"/>
          <w:highlight w:val="none"/>
        </w:rPr>
      </w:pPr>
    </w:p>
    <w:p>
      <w:pPr>
        <w:spacing w:line="500" w:lineRule="exact"/>
        <w:jc w:val="center"/>
        <w:outlineLvl w:val="9"/>
        <w:rPr>
          <w:rFonts w:hint="eastAsia" w:ascii="宋体" w:hAnsi="宋体" w:eastAsia="宋体" w:cs="宋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采购人：重庆市万州区水利工程管理站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（重庆市万州区小型水库管理中心）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lang w:eastAsia="zh-CN"/>
        </w:rPr>
        <w:t>重庆万欧工程管理咨询有限公司</w:t>
      </w:r>
    </w:p>
    <w:p>
      <w:pPr>
        <w:spacing w:line="500" w:lineRule="exact"/>
        <w:jc w:val="center"/>
        <w:outlineLvl w:val="9"/>
        <w:rPr>
          <w:rFonts w:hint="eastAsia" w:ascii="宋体" w:hAnsi="宋体" w:eastAsia="宋体" w:cs="宋体"/>
          <w:color w:val="auto"/>
          <w:sz w:val="36"/>
          <w:szCs w:val="36"/>
          <w:highlight w:val="none"/>
        </w:rPr>
      </w:pPr>
    </w:p>
    <w:p>
      <w:pPr>
        <w:spacing w:line="720" w:lineRule="exact"/>
        <w:jc w:val="center"/>
        <w:outlineLvl w:val="9"/>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eastAsia="zh-CN"/>
        </w:rPr>
        <w:t>四</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lang w:eastAsia="zh-CN"/>
        </w:rPr>
        <w:t>一</w:t>
      </w:r>
      <w:r>
        <w:rPr>
          <w:rFonts w:hint="eastAsia" w:ascii="宋体" w:hAnsi="宋体" w:eastAsia="宋体" w:cs="宋体"/>
          <w:color w:val="auto"/>
          <w:sz w:val="36"/>
          <w:szCs w:val="36"/>
          <w:highlight w:val="none"/>
        </w:rPr>
        <w:t>月</w:t>
      </w:r>
    </w:p>
    <w:p>
      <w:pPr>
        <w:spacing w:line="720" w:lineRule="exact"/>
        <w:jc w:val="center"/>
        <w:outlineLvl w:val="0"/>
        <w:rPr>
          <w:rFonts w:hint="eastAsia" w:ascii="宋体" w:hAnsi="宋体" w:eastAsia="宋体" w:cs="宋体"/>
          <w:color w:val="auto"/>
          <w:sz w:val="48"/>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304" w:right="1304" w:bottom="130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sz w:val="40"/>
          <w:szCs w:val="4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   录</w:t>
      </w:r>
    </w:p>
    <w:p>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_Toc15897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第一篇  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_Toc10784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第二篇  </w:t>
      </w:r>
      <w:r>
        <w:rPr>
          <w:rFonts w:hint="eastAsia" w:ascii="宋体" w:hAnsi="宋体" w:eastAsia="宋体" w:cs="宋体"/>
          <w:color w:val="auto"/>
          <w:szCs w:val="30"/>
          <w:highlight w:val="none"/>
          <w:lang w:eastAsia="zh-CN"/>
        </w:rPr>
        <w:t>磋商</w:t>
      </w:r>
      <w:r>
        <w:rPr>
          <w:rFonts w:hint="eastAsia" w:ascii="宋体" w:hAnsi="宋体" w:eastAsia="宋体" w:cs="宋体"/>
          <w:color w:val="auto"/>
          <w:szCs w:val="30"/>
          <w:highlight w:val="none"/>
        </w:rPr>
        <w:t>项目技术（质量）需求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_Toc5636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项目商务需求</w:t>
      </w:r>
      <w:bookmarkStart w:id="267" w:name="_GoBack"/>
      <w:bookmarkEnd w:id="267"/>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_Toc27423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- 14 -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_Toc9988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0"/>
          <w:highlight w:val="none"/>
        </w:rPr>
        <w:t>第五篇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_Toc13876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第六篇  </w:t>
      </w:r>
      <w:r>
        <w:rPr>
          <w:rFonts w:hint="eastAsia" w:ascii="宋体" w:hAnsi="宋体" w:eastAsia="宋体" w:cs="宋体"/>
          <w:color w:val="auto"/>
          <w:szCs w:val="30"/>
          <w:highlight w:val="none"/>
          <w:lang w:val="en-US" w:eastAsia="zh-CN"/>
        </w:rPr>
        <w:t>合同主要条款和格式合同（样本）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299"/>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第七篇  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- 49 -</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7"/>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18"/>
          <w:szCs w:val="22"/>
          <w:highlight w:val="none"/>
        </w:rPr>
        <w:sectPr>
          <w:pgSz w:w="11907" w:h="16840"/>
          <w:pgMar w:top="1304" w:right="1304" w:bottom="130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Cs w:val="30"/>
          <w:highlight w:val="none"/>
        </w:rPr>
      </w:pPr>
      <w:bookmarkStart w:id="0" w:name="_Toc15897"/>
      <w:bookmarkStart w:id="1" w:name="_Toc11641050"/>
      <w:bookmarkStart w:id="2" w:name="_Toc76462316"/>
      <w:bookmarkStart w:id="3" w:name="_Toc12789052"/>
      <w:r>
        <w:rPr>
          <w:rFonts w:hint="eastAsia" w:ascii="宋体" w:hAnsi="宋体" w:eastAsia="宋体" w:cs="宋体"/>
          <w:b w:val="0"/>
          <w:color w:val="auto"/>
          <w:sz w:val="36"/>
          <w:szCs w:val="30"/>
          <w:highlight w:val="none"/>
        </w:rPr>
        <w:t>第一篇  采购邀请书</w:t>
      </w:r>
      <w:bookmarkEnd w:id="0"/>
      <w:bookmarkEnd w:id="1"/>
      <w:bookmarkEnd w:id="2"/>
      <w:bookmarkEnd w:id="3"/>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重庆万欧工程管理咨询有限公司</w:t>
      </w:r>
      <w:r>
        <w:rPr>
          <w:rFonts w:hint="eastAsia" w:ascii="宋体" w:hAnsi="宋体" w:eastAsia="宋体" w:cs="宋体"/>
          <w:color w:val="auto"/>
          <w:sz w:val="21"/>
          <w:szCs w:val="21"/>
          <w:highlight w:val="none"/>
        </w:rPr>
        <w:t>（以下简称：采购代理机构）接受重庆市万州区水利工程管理站（重庆市万州区小型水库管理中心）（以下简称：采购人）的委托，对</w:t>
      </w:r>
      <w:r>
        <w:rPr>
          <w:rFonts w:hint="eastAsia" w:ascii="宋体" w:hAnsi="宋体" w:eastAsia="宋体" w:cs="宋体"/>
          <w:color w:val="auto"/>
          <w:sz w:val="21"/>
          <w:szCs w:val="21"/>
          <w:highlight w:val="none"/>
          <w:lang w:eastAsia="zh-CN"/>
        </w:rPr>
        <w:t>万州区</w:t>
      </w:r>
      <w:r>
        <w:rPr>
          <w:rFonts w:hint="eastAsia" w:ascii="宋体" w:hAnsi="宋体" w:eastAsia="宋体" w:cs="宋体"/>
          <w:color w:val="auto"/>
          <w:sz w:val="21"/>
          <w:szCs w:val="21"/>
          <w:highlight w:val="none"/>
          <w:lang w:val="en-US" w:eastAsia="zh-CN"/>
        </w:rPr>
        <w:t>2023年水库大坝白蚁防治项目</w:t>
      </w:r>
      <w:r>
        <w:rPr>
          <w:rFonts w:hint="eastAsia" w:ascii="宋体" w:hAnsi="宋体" w:eastAsia="宋体" w:cs="宋体"/>
          <w:color w:val="auto"/>
          <w:sz w:val="21"/>
          <w:szCs w:val="21"/>
          <w:highlight w:val="none"/>
        </w:rPr>
        <w:t>进行竞争性磋商采购。欢迎有资格的供应商前来参与磋商。</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4" w:name="_Toc317775175"/>
      <w:bookmarkStart w:id="5" w:name="_Toc313893526"/>
      <w:bookmarkStart w:id="6" w:name="_Toc21963"/>
      <w:bookmarkStart w:id="7" w:name="_Toc76462317"/>
      <w:bookmarkStart w:id="8" w:name="_Toc17181"/>
      <w:r>
        <w:rPr>
          <w:rFonts w:hint="eastAsia" w:ascii="宋体" w:hAnsi="宋体" w:eastAsia="宋体" w:cs="宋体"/>
          <w:color w:val="auto"/>
          <w:sz w:val="21"/>
          <w:szCs w:val="21"/>
          <w:highlight w:val="none"/>
        </w:rPr>
        <w:t>一、竞争性磋商内容</w:t>
      </w:r>
      <w:bookmarkEnd w:id="4"/>
      <w:bookmarkEnd w:id="5"/>
      <w:bookmarkEnd w:id="6"/>
      <w:bookmarkEnd w:id="7"/>
      <w:bookmarkEnd w:id="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116"/>
        <w:gridCol w:w="1554"/>
        <w:gridCol w:w="1268"/>
        <w:gridCol w:w="2717"/>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50" w:type="pc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包号及名称</w:t>
            </w:r>
          </w:p>
        </w:tc>
        <w:tc>
          <w:tcPr>
            <w:tcW w:w="586" w:type="pc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c>
          <w:tcPr>
            <w:tcW w:w="816" w:type="pc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最高限价（元）</w:t>
            </w:r>
          </w:p>
        </w:tc>
        <w:tc>
          <w:tcPr>
            <w:tcW w:w="666" w:type="pct"/>
            <w:tcBorders>
              <w:top w:val="single" w:color="auto" w:sz="4" w:space="0"/>
              <w:left w:val="single" w:color="auto" w:sz="4" w:space="0"/>
              <w:right w:val="single" w:color="auto" w:sz="4" w:space="0"/>
            </w:tcBorders>
            <w:noWrap/>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磋商保证金（元）</w:t>
            </w:r>
          </w:p>
        </w:tc>
        <w:tc>
          <w:tcPr>
            <w:tcW w:w="1427" w:type="pct"/>
            <w:tcBorders>
              <w:top w:val="single" w:color="auto" w:sz="4" w:space="0"/>
              <w:left w:val="single" w:color="auto" w:sz="4" w:space="0"/>
              <w:right w:val="single" w:color="auto" w:sz="4" w:space="0"/>
            </w:tcBorders>
            <w:noWrap/>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采购标的对应的中小企业划分标准所属行业</w:t>
            </w:r>
          </w:p>
        </w:tc>
        <w:tc>
          <w:tcPr>
            <w:tcW w:w="252" w:type="pct"/>
            <w:tcBorders>
              <w:top w:val="single" w:color="auto" w:sz="4" w:space="0"/>
              <w:left w:val="single" w:color="auto" w:sz="4" w:space="0"/>
              <w:right w:val="single" w:color="auto" w:sz="4" w:space="0"/>
            </w:tcBorders>
            <w:noWrap/>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5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lang w:eastAsia="zh-CN"/>
              </w:rPr>
            </w:pPr>
            <w:bookmarkStart w:id="9" w:name="_Hlk344477914"/>
            <w:r>
              <w:rPr>
                <w:rFonts w:hint="eastAsia" w:ascii="宋体" w:hAnsi="宋体" w:eastAsia="宋体" w:cs="宋体"/>
                <w:color w:val="auto"/>
                <w:kern w:val="0"/>
                <w:sz w:val="21"/>
                <w:szCs w:val="21"/>
                <w:highlight w:val="none"/>
                <w:lang w:eastAsia="zh-CN"/>
              </w:rPr>
              <w:t>万州区</w:t>
            </w:r>
            <w:r>
              <w:rPr>
                <w:rFonts w:hint="eastAsia" w:ascii="宋体" w:hAnsi="宋体" w:eastAsia="宋体" w:cs="宋体"/>
                <w:color w:val="auto"/>
                <w:kern w:val="0"/>
                <w:sz w:val="21"/>
                <w:szCs w:val="21"/>
                <w:highlight w:val="none"/>
                <w:lang w:val="en-US" w:eastAsia="zh-CN"/>
              </w:rPr>
              <w:t>2023年水库大坝白蚁防治项目</w:t>
            </w:r>
          </w:p>
        </w:tc>
        <w:tc>
          <w:tcPr>
            <w:tcW w:w="586"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6"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3456510.48</w:t>
            </w:r>
          </w:p>
        </w:tc>
        <w:tc>
          <w:tcPr>
            <w:tcW w:w="666"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30000</w:t>
            </w:r>
          </w:p>
        </w:tc>
        <w:tc>
          <w:tcPr>
            <w:tcW w:w="1427"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其他未列明行业</w:t>
            </w:r>
          </w:p>
        </w:tc>
        <w:tc>
          <w:tcPr>
            <w:tcW w:w="25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bookmarkEnd w:id="9"/>
    </w:tbl>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10" w:name="_Toc32023"/>
      <w:bookmarkStart w:id="11" w:name="_Toc4225"/>
      <w:bookmarkStart w:id="12" w:name="_Toc76462318"/>
      <w:bookmarkStart w:id="13" w:name="_Toc373860293"/>
      <w:bookmarkStart w:id="14" w:name="_Toc317775178"/>
      <w:r>
        <w:rPr>
          <w:rFonts w:hint="eastAsia" w:ascii="宋体" w:hAnsi="宋体" w:eastAsia="宋体" w:cs="宋体"/>
          <w:color w:val="auto"/>
          <w:sz w:val="21"/>
          <w:szCs w:val="21"/>
          <w:highlight w:val="none"/>
        </w:rPr>
        <w:t>二、资金来源</w:t>
      </w:r>
      <w:bookmarkEnd w:id="10"/>
      <w:bookmarkEnd w:id="11"/>
      <w:bookmarkEnd w:id="12"/>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2023年第四批新增政府债券资金350万元及业主自筹</w:t>
      </w:r>
      <w:r>
        <w:rPr>
          <w:rFonts w:hint="eastAsia" w:ascii="宋体" w:hAnsi="宋体" w:eastAsia="宋体" w:cs="宋体"/>
          <w:color w:val="auto"/>
          <w:sz w:val="21"/>
          <w:szCs w:val="21"/>
          <w:highlight w:val="none"/>
        </w:rPr>
        <w:t>。</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15" w:name="_Toc76462319"/>
      <w:bookmarkStart w:id="16" w:name="_Toc21625"/>
      <w:bookmarkStart w:id="17" w:name="_Toc24516"/>
      <w:r>
        <w:rPr>
          <w:rFonts w:hint="eastAsia" w:ascii="宋体" w:hAnsi="宋体" w:eastAsia="宋体" w:cs="宋体"/>
          <w:color w:val="auto"/>
          <w:sz w:val="21"/>
          <w:szCs w:val="21"/>
          <w:highlight w:val="none"/>
        </w:rPr>
        <w:t>三、供应商资格条件</w:t>
      </w:r>
      <w:bookmarkEnd w:id="15"/>
      <w:bookmarkEnd w:id="16"/>
      <w:bookmarkEnd w:id="17"/>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（二）落实政府采购政策需满足的资格要求：属于专门面向中小企业采购的项目,</w:t>
      </w:r>
      <w:r>
        <w:rPr>
          <w:rFonts w:hint="eastAsia" w:ascii="宋体" w:hAnsi="宋体" w:eastAsia="宋体" w:cs="宋体"/>
          <w:color w:val="auto"/>
          <w:sz w:val="21"/>
          <w:szCs w:val="21"/>
          <w:highlight w:val="none"/>
          <w:lang w:eastAsia="zh-CN"/>
        </w:rPr>
        <w:t>承接本项目的</w:t>
      </w:r>
      <w:r>
        <w:rPr>
          <w:rFonts w:hint="eastAsia" w:ascii="宋体" w:hAnsi="宋体" w:eastAsia="宋体" w:cs="宋体"/>
          <w:color w:val="auto"/>
          <w:sz w:val="21"/>
          <w:szCs w:val="21"/>
          <w:highlight w:val="none"/>
        </w:rPr>
        <w:t>供应商应为中小微企业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（三）本项目的特定资格要求：</w:t>
      </w:r>
      <w:bookmarkStart w:id="18" w:name="_Toc76462320"/>
      <w:r>
        <w:rPr>
          <w:rFonts w:hint="eastAsia" w:ascii="宋体" w:hAnsi="宋体" w:eastAsia="宋体" w:cs="宋体"/>
          <w:color w:val="auto"/>
          <w:sz w:val="21"/>
          <w:szCs w:val="21"/>
          <w:highlight w:val="none"/>
          <w:lang w:eastAsia="zh-CN"/>
        </w:rPr>
        <w:t>无。</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19" w:name="_Toc9203"/>
      <w:bookmarkStart w:id="20" w:name="_Toc735"/>
      <w:r>
        <w:rPr>
          <w:rFonts w:hint="eastAsia" w:ascii="宋体" w:hAnsi="宋体" w:eastAsia="宋体" w:cs="宋体"/>
          <w:color w:val="auto"/>
          <w:sz w:val="21"/>
          <w:szCs w:val="21"/>
          <w:highlight w:val="none"/>
        </w:rPr>
        <w:t>四、磋商有关说明</w:t>
      </w:r>
      <w:bookmarkEnd w:id="13"/>
      <w:bookmarkEnd w:id="18"/>
      <w:bookmarkEnd w:id="19"/>
      <w:bookmarkEnd w:id="20"/>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（一）供应商应通过重庆市政府采购网（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"http://www.cqgp.gov.cn" </w:instrText>
      </w:r>
      <w:r>
        <w:rPr>
          <w:rFonts w:hint="eastAsia" w:ascii="宋体" w:hAnsi="宋体" w:eastAsia="宋体" w:cs="宋体"/>
          <w:color w:val="auto"/>
          <w:sz w:val="21"/>
          <w:szCs w:val="21"/>
          <w:highlight w:val="none"/>
        </w:rPr>
        <w:fldChar w:fldCharType="separate"/>
      </w:r>
      <w:r>
        <w:rPr>
          <w:rStyle w:val="23"/>
          <w:rFonts w:hint="eastAsia" w:ascii="宋体" w:hAnsi="宋体" w:eastAsia="宋体" w:cs="宋体"/>
          <w:color w:val="auto"/>
          <w:sz w:val="21"/>
          <w:szCs w:val="21"/>
          <w:highlight w:val="none"/>
        </w:rPr>
        <w:t>www.ccgp-chongqing.gov.cn</w:t>
      </w:r>
      <w:r>
        <w:rPr>
          <w:rStyle w:val="23"/>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）登记加入“重庆市政府采购供应商库”。</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（二）凡有意参加磋商的供应商，请登陆“重庆市政府采购网”→“个人中心”→“在线开评标”→“电子标书在线获取”处→搜索该项目并点击“在线获取”按钮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下载本项目竞争性磋商文件、澄清等磋商前公布的所有项目资料（本次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不提供纸质版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文件），无论供应商下载与否，均视为已知晓所有磋商实质性要求内容。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bookmarkStart w:id="21" w:name="_Hlk148295145"/>
      <w:bookmarkStart w:id="22" w:name="_Hlk148295165"/>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所附</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仅供阅览使用，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只有登陆“重庆市政府采购网”→“个人中心”→“在线开评标”→在“电子标书在线获取”处→搜索该项目并点击“在线获取”按钮完成网上获取采购文件，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才被视为合法获取了采购文件，否则其投标将被拒绝。即：若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未通过以上获取采购文件流程完成采购文件的下载、获取，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将无法在电子招投标系统中上传电子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注意事项：本项目为重庆市政府采购电子招投标项目，首次参与电子招投标的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申请重庆市政府采购网账号密码、办理CA证书（办理CA证书费用由供应商自行承担）并下载电子投标文件制作系统，制作电子投标文件进行互联网在线投标，具体操作流程请下载项目公告附件《采购公告附件（投标人必看手册）24-1版》进行查看。因未注册重庆市政府采购网账号、未办理CA证书、操作不当等原因造成无法投标或投标失败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A证书的办理流程：登录“重庆市政府采购网”→“个人中心”→“在线开评标”→“电子招投标中心”→“相关下载”栏目，下载附件《重庆市全流程电子招投标项目投标人办理正式CA签章流程手册》，并按照要求操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制作：登录“重庆市政府采购网”→“个人中心”→“在线开评标”→“电子招投标中心”→“相关下载”栏目，下载“投标文件制作工具下载_64(含32位)”、“CA证书及签章驱动” 安装包，并按照《政府采购全程电子化采购系统供应商操作手册（CA证书签章版）》、《【供应商必看】政府采购（CA版）供应商投标前软件安装手册》操作</w:t>
      </w:r>
      <w:bookmarkEnd w:id="21"/>
      <w:r>
        <w:rPr>
          <w:rFonts w:hint="eastAsia" w:ascii="宋体" w:hAnsi="宋体" w:eastAsia="宋体" w:cs="宋体"/>
          <w:color w:val="auto"/>
          <w:sz w:val="21"/>
          <w:szCs w:val="21"/>
          <w:highlight w:val="none"/>
        </w:rPr>
        <w:t>。</w:t>
      </w:r>
    </w:p>
    <w:bookmarkEnd w:id="22"/>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）竞争性磋商公告期限：自采购公告发布之日起五个工作日。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 xml:space="preserve">）竞争性磋商文件发售期限： </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1.竞争性磋商文件发售期：202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.竞争性磋商文件售价：人民币0元/包。</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递交方式：本项目采用网上递交方式，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于电子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递交截止时间前，登录“重庆市政府采购网”，进入“在线开评标”栏目，在“我的投标项目”→“在线投标”板块递交。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递交开始时间、截止时间：202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日北京时间09:30—202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日北京时间09:30（以电子招投标平台显示的时间为准，其他时间不接受任何形式的送达）。</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日北京时间09:30</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方式：本项目采用网上在线开标方式，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的法定代表人或其授权代表须持CA证书和可以上网的电脑（用于在线开标的电脑必须带有摄像头和麦克风、声卡等功能），于规定的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时间前登录“重庆市政府采购网”→“个人中心”→“在线开评标”→“开评标大厅”，进入电子开标室完成在线准备。</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开始后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须根据采购代理机构引导在电子开标室完成电子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文件解密、视频在线磋商、在线二次报价等工作。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的法定代表人或其授权代表也可以持CA证书和可以无线上网的笔记本电脑（用于在线开标的笔记本电脑必须带有摄像头和麦克风、声卡等功能）、无线网卡于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时间前，到达线下指定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地点（地址：重庆市万州区公共资源交易中心开标室（重庆市万州区天城大道709号闽天会展中心三楼））参加在线</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线下持对应设备到线下指定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地点参与在线</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都是由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主观自行决定。因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自身原因导致未能在规定时间内解密电子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文件或参与在线</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的，其后果由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3.线下指定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地点：重庆市万州区公共资源交易中心开标室（重庆市万州区天城大道709号闽天会展中心三楼）。</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注：电子招投标系统</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时间前的半个小时是供应商自主在线准备环节时间（是否在线准备由供应商主观决定，在线准备环节意义在于提前测试CA证书与当前电脑设备运行环境是否正常），在线准备环节不具备签到意义特此声明。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）其他补充事宜</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如未在规定解密时长（电子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文件截止时</w:t>
      </w:r>
      <w:r>
        <w:rPr>
          <w:rFonts w:hint="eastAsia" w:ascii="宋体" w:hAnsi="宋体" w:cs="宋体"/>
          <w:color w:val="auto"/>
          <w:sz w:val="21"/>
          <w:szCs w:val="21"/>
          <w:highlight w:val="none"/>
          <w:lang w:val="en-US" w:eastAsia="zh-CN"/>
        </w:rPr>
        <w:t>间</w:t>
      </w:r>
      <w:r>
        <w:rPr>
          <w:rFonts w:hint="eastAsia" w:ascii="宋体" w:hAnsi="宋体" w:eastAsia="宋体" w:cs="宋体"/>
          <w:color w:val="auto"/>
          <w:sz w:val="21"/>
          <w:szCs w:val="21"/>
          <w:highlight w:val="none"/>
        </w:rPr>
        <w:t>后30分钟为解密时长，采购人/采购代理机构可根据现场投标情况进行延长/变更解密时长）内解密电子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文件的情形约定：</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（1）因政府采购全程电子化系统客观原因影响解密时长的，采购人/采购代理机构可根据现场实际情况延长解密时长。</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在仍不能正常解密的情况下，</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可向采购人/采购代理机构申请，启用上传不加密的电子备份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文件的方法作为补救措施。</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供应商主观原因未完成解密工作的，且未在规定解密时长内向采购人/采购代理机构申请启用上传不加密的电子备份响应文件的方法作为补救措施或者已申请启用电子备份响应文件后仍不在规定解密时长内提供有效不加密的电子备份响应文件的情况，都视为供应商在递交电子响应文件截止时间后撤销电子响应文件，投标无效且供应商不得再参与本项目后续采购活动。</w:t>
      </w:r>
      <w:bookmarkStart w:id="23" w:name="_Hlk148296567"/>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2.本项目采用全流程电子招投标。各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熟悉了解整个政府采购电子化开评标全过程。具体电子化采购规则以及操作指南请下载项目公告附件《采购公告附件（投标人必看手册）24-1版》（《重庆市全流程电子招投标项目投标人办理正式CA签章流程手册》和《政府采购全程电子化采购系统供应商操作手册（CA证书签章版）》、《【供应商必看】政府采购（CA版）供应商投标前软件安装手册》），并按其对应手册要求完成操作。</w:t>
      </w:r>
    </w:p>
    <w:bookmarkEnd w:id="23"/>
    <w:p>
      <w:pPr>
        <w:keepNext w:val="0"/>
        <w:keepLines w:val="0"/>
        <w:pageBreakBefore w:val="0"/>
        <w:widowControl w:val="0"/>
        <w:kinsoku/>
        <w:wordWrap/>
        <w:overflowPunct/>
        <w:topLinePunct w:val="0"/>
        <w:autoSpaceDE/>
        <w:autoSpaceDN/>
        <w:bidi w:val="0"/>
        <w:adjustRightInd/>
        <w:spacing w:line="360" w:lineRule="auto"/>
        <w:ind w:firstLine="482"/>
        <w:textAlignment w:val="auto"/>
        <w:rPr>
          <w:rStyle w:val="43"/>
          <w:rFonts w:hint="eastAsia" w:ascii="宋体" w:hAnsi="宋体" w:eastAsia="宋体" w:cs="宋体"/>
          <w:b/>
          <w:bCs/>
          <w:color w:val="auto"/>
          <w:sz w:val="21"/>
          <w:szCs w:val="21"/>
          <w:highlight w:val="none"/>
        </w:rPr>
      </w:pPr>
      <w:bookmarkStart w:id="24" w:name="_Toc373860294"/>
      <w:bookmarkStart w:id="25" w:name="_Toc15442"/>
      <w:bookmarkStart w:id="26" w:name="_Toc76462321"/>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w:t>
      </w:r>
      <w:bookmarkEnd w:id="14"/>
      <w:bookmarkEnd w:id="24"/>
      <w:bookmarkStart w:id="27" w:name="_Toc479668114"/>
      <w:bookmarkStart w:id="28" w:name="_Toc480466698"/>
      <w:r>
        <w:rPr>
          <w:rFonts w:hint="eastAsia" w:ascii="宋体" w:hAnsi="宋体" w:eastAsia="宋体" w:cs="宋体"/>
          <w:b/>
          <w:bCs/>
          <w:color w:val="auto"/>
          <w:sz w:val="21"/>
          <w:szCs w:val="21"/>
          <w:highlight w:val="none"/>
          <w:lang w:eastAsia="zh-CN"/>
        </w:rPr>
        <w:t>磋商</w:t>
      </w:r>
      <w:r>
        <w:rPr>
          <w:rStyle w:val="43"/>
          <w:rFonts w:hint="eastAsia" w:ascii="宋体" w:hAnsi="宋体" w:eastAsia="宋体" w:cs="宋体"/>
          <w:b/>
          <w:bCs/>
          <w:color w:val="auto"/>
          <w:sz w:val="21"/>
          <w:szCs w:val="21"/>
          <w:highlight w:val="none"/>
        </w:rPr>
        <w:t>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的缴纳</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应当</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eastAsia="zh-CN"/>
        </w:rPr>
        <w:t>转账</w:t>
      </w:r>
      <w:r>
        <w:rPr>
          <w:rFonts w:hint="eastAsia" w:ascii="宋体" w:hAnsi="宋体" w:eastAsia="宋体" w:cs="宋体"/>
          <w:color w:val="auto"/>
          <w:sz w:val="21"/>
          <w:szCs w:val="21"/>
          <w:highlight w:val="none"/>
        </w:rPr>
        <w:t>支票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汇票</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本票或者金融机构、担保机构出具的保函等非现金形式提交。</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方式一：以银行转账</w:t>
      </w:r>
      <w:r>
        <w:rPr>
          <w:rFonts w:hint="eastAsia" w:ascii="宋体" w:hAnsi="宋体" w:eastAsia="宋体" w:cs="宋体"/>
          <w:b/>
          <w:bCs/>
          <w:color w:val="auto"/>
          <w:kern w:val="0"/>
          <w:sz w:val="21"/>
          <w:szCs w:val="21"/>
          <w:highlight w:val="none"/>
        </w:rPr>
        <w:t>形式缴纳</w:t>
      </w:r>
      <w:r>
        <w:rPr>
          <w:rFonts w:hint="eastAsia" w:ascii="宋体" w:hAnsi="宋体" w:eastAsia="宋体" w:cs="宋体"/>
          <w:b/>
          <w:bCs/>
          <w:color w:val="auto"/>
          <w:kern w:val="0"/>
          <w:sz w:val="21"/>
          <w:szCs w:val="21"/>
          <w:highlight w:val="none"/>
          <w:lang w:eastAsia="zh-CN"/>
        </w:rPr>
        <w:t>磋商保证金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的供应商应足额缴纳</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金额详见本篇，一、</w:t>
      </w:r>
      <w:r>
        <w:rPr>
          <w:rFonts w:hint="eastAsia" w:ascii="宋体" w:hAnsi="宋体" w:eastAsia="宋体" w:cs="宋体"/>
          <w:color w:val="auto"/>
          <w:sz w:val="21"/>
          <w:szCs w:val="21"/>
          <w:highlight w:val="none"/>
        </w:rPr>
        <w:t>竞争性磋商内容</w:t>
      </w:r>
      <w:r>
        <w:rPr>
          <w:rFonts w:hint="eastAsia" w:ascii="宋体" w:hAnsi="宋体" w:eastAsia="宋体" w:cs="宋体"/>
          <w:color w:val="auto"/>
          <w:sz w:val="21"/>
          <w:szCs w:val="21"/>
          <w:highlight w:val="none"/>
        </w:rPr>
        <w:t>），并汇至重庆市万州区水利工程管理站(重庆市万州区小型水库管理中心)的账号上，</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的到账截止时间同电子响应文件递交截止时间。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2、供应商应按照项目账户递交保证金。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名：重庆市万州区水利工程管理站(重庆市万州区小型水库管理中心)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开户行：重庆三峡银行股份有限公司五桥支行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号：0220016430000605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注：户名“括号”为半角字符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（1）供应商在银行转账（电汇）时，须充分考虑银行转账（电汇）的时间差风险，如同城转账、异地转账或汇款、跨行转账或电汇的时间要求。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（2）供应商在缴纳</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时，到款账户为上述指定的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专用账户。</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rPr>
        <w:t>方式二：</w:t>
      </w:r>
      <w:r>
        <w:rPr>
          <w:rFonts w:hint="eastAsia" w:ascii="宋体" w:hAnsi="宋体" w:eastAsia="宋体" w:cs="宋体"/>
          <w:b/>
          <w:bCs/>
          <w:color w:val="auto"/>
          <w:kern w:val="0"/>
          <w:sz w:val="21"/>
          <w:szCs w:val="21"/>
          <w:highlight w:val="none"/>
        </w:rPr>
        <w:t>以纸质保函形式缴纳</w:t>
      </w:r>
      <w:r>
        <w:rPr>
          <w:rFonts w:hint="eastAsia" w:ascii="宋体" w:hAnsi="宋体" w:eastAsia="宋体" w:cs="宋体"/>
          <w:b/>
          <w:bCs/>
          <w:color w:val="auto"/>
          <w:kern w:val="0"/>
          <w:sz w:val="21"/>
          <w:szCs w:val="21"/>
          <w:highlight w:val="none"/>
          <w:lang w:eastAsia="zh-CN"/>
        </w:rPr>
        <w:t>磋商保证金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1.纸质保函缴纳形式及要求：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（1）缴纳形式：供应商提供不可撤销且见索即付的金融机构或担保机构纸质保函；</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（2）具体要求：纸质投标保函</w:t>
      </w:r>
      <w:r>
        <w:rPr>
          <w:rFonts w:hint="eastAsia" w:ascii="宋体" w:hAnsi="宋体" w:cs="宋体"/>
          <w:b/>
          <w:color w:val="auto"/>
          <w:sz w:val="21"/>
          <w:szCs w:val="21"/>
          <w:highlight w:val="none"/>
          <w:lang w:eastAsia="zh-CN"/>
        </w:rPr>
        <w:t>正本原件扫描件</w:t>
      </w:r>
      <w:r>
        <w:rPr>
          <w:rFonts w:hint="eastAsia" w:ascii="宋体" w:hAnsi="宋体" w:eastAsia="宋体" w:cs="宋体"/>
          <w:b/>
          <w:color w:val="auto"/>
          <w:sz w:val="21"/>
          <w:szCs w:val="21"/>
          <w:highlight w:val="none"/>
        </w:rPr>
        <w:t>须装在“第七篇  响应文件格式”规定的“五、其他资料（二）其他与项目有关的资料”的电子响应文件中，纸质投标保函正本原件应当于响应截止时间前在开标现场递交给采购人审查、保管。纸质保函应至少体现如下内容：</w:t>
      </w:r>
      <w:r>
        <w:rPr>
          <w:rFonts w:hint="eastAsia" w:ascii="宋体" w:hAnsi="宋体" w:eastAsia="宋体" w:cs="宋体"/>
          <w:color w:val="auto"/>
          <w:sz w:val="21"/>
          <w:szCs w:val="21"/>
          <w:highlight w:val="none"/>
        </w:rPr>
        <w:t>①担保项目必须为本项目；②受益人必须为本项目采购人；③保函担保金额与竞争性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文件规定的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金额一致；④保函生效时间必须在电子响应文件递交截止时间前，有效期限必须至少包含整个</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有效期；⑤保函须不可撤销且见索即付。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注：（1）若电子响应文件递交截止时间延期，则纸质保函递交的截止时间和电子响应文件递交截止时间保持一致。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不满足上述要求的纸质</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保函无效。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2.以纸质保函形式提供</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的金额：详见本篇“一、竞争性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对其递交的纸质保函的真实性、合法性负责。供应商须在响应文件中提供纸质投标保函在重庆市辖区范围内的核验地点、方式和联系人，并确保其递交的纸质投标保函能在保函出具担保方在渝的总部或者分支机构核验真伪，否则该纸质投标保函视为无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开始前现场递交的纸质</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保函原件应与电子响应文件中提供的纸质保函正本</w:t>
      </w:r>
      <w:r>
        <w:rPr>
          <w:rFonts w:hint="eastAsia" w:ascii="宋体" w:hAnsi="宋体" w:cs="宋体"/>
          <w:color w:val="auto"/>
          <w:sz w:val="21"/>
          <w:szCs w:val="21"/>
          <w:highlight w:val="none"/>
          <w:lang w:eastAsia="zh-CN"/>
        </w:rPr>
        <w:t>扫描件</w:t>
      </w:r>
      <w:r>
        <w:rPr>
          <w:rFonts w:hint="eastAsia" w:ascii="宋体" w:hAnsi="宋体" w:eastAsia="宋体" w:cs="宋体"/>
          <w:color w:val="auto"/>
          <w:sz w:val="21"/>
          <w:szCs w:val="21"/>
          <w:highlight w:val="none"/>
        </w:rPr>
        <w:t>一致，不一致的以正本原件为准。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5.如果发现供应商递交的纸质保函存在弄虚作假的，采购人或采购代理机构应当报行政主管部门依法处理。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（二）如有下列情况之一，作无效响应处理：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（1）供应商没有在</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提交截止时间前缴纳</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无法进行认定的；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（3）所缴纳的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金额与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文件规定的金额不相符的。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是否有效，由重庆市万州区水利工程管理站(重庆市万州区小型水库管理中心)将各供应商缴纳</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到账时间、到账账户、到账金额的资料提交给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小组认定；以纸质保函形式缴纳的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是否有效，由</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小组认定。</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退还</w:t>
      </w:r>
    </w:p>
    <w:p>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1.未成交供应商的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，自成交通知书发出之日起5个工作日内，重庆市万州区水利工程管理站(重庆市万州区小型水库管理中心)按资金来款渠道直接退还。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2.成交供应商的</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，自采购合同签订之日起5个工作日内，重庆市万州区水利工程管理站(重庆市万州区小型水库管理中心)按资金来款渠道直接退还。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注：若因供应商自身原因导致</w:t>
      </w:r>
      <w:r>
        <w:rPr>
          <w:rFonts w:hint="eastAsia" w:ascii="宋体" w:hAnsi="宋体" w:eastAsia="宋体" w:cs="宋体"/>
          <w:color w:val="auto"/>
          <w:sz w:val="21"/>
          <w:szCs w:val="21"/>
          <w:highlight w:val="none"/>
          <w:lang w:eastAsia="zh-CN"/>
        </w:rPr>
        <w:t>磋商保证金</w:t>
      </w:r>
      <w:r>
        <w:rPr>
          <w:rFonts w:hint="eastAsia" w:ascii="宋体" w:hAnsi="宋体" w:eastAsia="宋体" w:cs="宋体"/>
          <w:color w:val="auto"/>
          <w:sz w:val="21"/>
          <w:szCs w:val="21"/>
          <w:highlight w:val="none"/>
        </w:rPr>
        <w:t>无法及时退还，后果由供应商自负。</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29" w:name="_Toc347"/>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采购项目需落实的政府采购政策</w:t>
      </w:r>
      <w:bookmarkEnd w:id="25"/>
      <w:bookmarkEnd w:id="26"/>
      <w:bookmarkEnd w:id="27"/>
      <w:bookmarkEnd w:id="28"/>
      <w:bookmarkEnd w:id="29"/>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（二）按照财政部、工业和信息化部关于印发《政府采购促进中小企业发展管理办法》的通知（财库〔2020〕46号）的规定，落实促进中小企业发展政策。</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（三）按照《财政部、司法部关于政府采购支持监狱企业发展有关问题的通知》（财库〔2014〕68号）的规定，落实支持监狱企业发展政策。</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（四）按照《三部门联合发布关于促进残疾人就业政府采购政策的通知》（财库〔2017〕 141号）的规定，落实支持残疾人福利性单位发展政策。</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30" w:name="_Toc76462322"/>
      <w:bookmarkStart w:id="31" w:name="_Toc480466699"/>
      <w:bookmarkStart w:id="32" w:name="_Toc5121"/>
      <w:bookmarkStart w:id="33" w:name="_Toc13037"/>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、其它有关规定</w:t>
      </w:r>
      <w:bookmarkEnd w:id="30"/>
      <w:bookmarkEnd w:id="31"/>
      <w:bookmarkEnd w:id="32"/>
      <w:bookmarkEnd w:id="33"/>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（一）单位负责人为同一人或者存在直接控股、管理关系的不同供应商，不得参加同一合同项（包）下的政府采购活动，否则均为无效响应。</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（三）同一合同项（包）下为单一品目的货物采购中，同一品牌同一型号产品有多家供应商参加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，只能按照一家供应商计算。</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（四）同一合同项（包）下的货物，制造商参与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的，不得再委托代理商参与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）本项目的澄清文件（如果有）一律在重庆市政府采购网（www.ccgp-chongqing.gov.cn）上发布，请各供应商注意下载；无论供应商下载与否，均视同供应商已知晓本项目澄清文件（如果有）的内容。</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eastAsia="zh-CN"/>
        </w:rPr>
        <w:t>电子响应文件</w:t>
      </w:r>
      <w:r>
        <w:rPr>
          <w:rFonts w:hint="eastAsia" w:ascii="宋体" w:hAnsi="宋体" w:eastAsia="宋体" w:cs="宋体"/>
          <w:color w:val="auto"/>
          <w:sz w:val="21"/>
          <w:szCs w:val="21"/>
          <w:highlight w:val="none"/>
        </w:rPr>
        <w:t>截止时间递交的</w:t>
      </w:r>
      <w:r>
        <w:rPr>
          <w:rFonts w:hint="eastAsia" w:ascii="宋体" w:hAnsi="宋体" w:eastAsia="宋体" w:cs="宋体"/>
          <w:color w:val="auto"/>
          <w:sz w:val="21"/>
          <w:szCs w:val="21"/>
          <w:highlight w:val="none"/>
          <w:lang w:eastAsia="zh-CN"/>
        </w:rPr>
        <w:t>电子响应文件</w:t>
      </w:r>
      <w:r>
        <w:rPr>
          <w:rFonts w:hint="eastAsia" w:ascii="宋体" w:hAnsi="宋体" w:eastAsia="宋体" w:cs="宋体"/>
          <w:color w:val="auto"/>
          <w:sz w:val="21"/>
          <w:szCs w:val="21"/>
          <w:highlight w:val="none"/>
        </w:rPr>
        <w:t>，恕不接收。</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）磋商费用：无论磋商结果如何，供应商参与本项目磋商的所有费用均应由供应商自行承担。</w:t>
      </w:r>
    </w:p>
    <w:p>
      <w:pPr>
        <w:pageBreakBefore w:val="0"/>
        <w:widowControl w:val="0"/>
        <w:kinsoku/>
        <w:wordWrap/>
        <w:overflowPunct/>
        <w:topLinePunct w:val="0"/>
        <w:autoSpaceDE/>
        <w:autoSpaceDN/>
        <w:bidi w:val="0"/>
        <w:snapToGrid w:val="0"/>
        <w:spacing w:line="360" w:lineRule="auto"/>
        <w:ind w:firstLine="316" w:firstLine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）本项目不接受联合体参与磋商，否则按无效处理。</w:t>
      </w:r>
    </w:p>
    <w:p>
      <w:pPr>
        <w:pageBreakBefore w:val="0"/>
        <w:widowControl w:val="0"/>
        <w:kinsoku/>
        <w:wordWrap/>
        <w:overflowPunct/>
        <w:topLinePunct w:val="0"/>
        <w:autoSpaceDE/>
        <w:autoSpaceDN/>
        <w:bidi w:val="0"/>
        <w:snapToGrid w:val="0"/>
        <w:spacing w:line="360" w:lineRule="auto"/>
        <w:ind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eastAsia="zh-CN"/>
        </w:rPr>
        <w:t>不</w:t>
      </w:r>
      <w:r>
        <w:rPr>
          <w:rFonts w:hint="eastAsia" w:ascii="宋体" w:hAnsi="宋体" w:eastAsia="宋体" w:cs="宋体"/>
          <w:b/>
          <w:bCs/>
          <w:color w:val="auto"/>
          <w:sz w:val="21"/>
          <w:szCs w:val="21"/>
          <w:highlight w:val="none"/>
        </w:rPr>
        <w:t>接受合同分包。</w:t>
      </w:r>
    </w:p>
    <w:p>
      <w:pPr>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w:t>
      </w:r>
      <w:bookmarkStart w:id="34" w:name="_Toc480466700"/>
      <w:r>
        <w:rPr>
          <w:rFonts w:hint="eastAsia" w:ascii="宋体" w:hAnsi="宋体" w:eastAsia="宋体" w:cs="宋体"/>
          <w:color w:val="auto"/>
          <w:sz w:val="21"/>
          <w:szCs w:val="21"/>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35" w:name="_Toc19198"/>
      <w:bookmarkStart w:id="36" w:name="_Toc76462323"/>
      <w:bookmarkStart w:id="37" w:name="_Toc10713"/>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、联系方式</w:t>
      </w:r>
      <w:bookmarkEnd w:id="34"/>
      <w:bookmarkEnd w:id="35"/>
      <w:bookmarkEnd w:id="36"/>
      <w:bookmarkEnd w:id="37"/>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（一）采购人：</w:t>
      </w:r>
      <w:r>
        <w:rPr>
          <w:rFonts w:hint="eastAsia" w:ascii="宋体" w:hAnsi="宋体" w:eastAsia="宋体" w:cs="宋体"/>
          <w:color w:val="auto"/>
          <w:sz w:val="21"/>
          <w:szCs w:val="21"/>
          <w:highlight w:val="none"/>
        </w:rPr>
        <w:t>重庆市万州区水利工程管理站（重庆市万州区小型水库管理中心）</w:t>
      </w:r>
      <w:r>
        <w:rPr>
          <w:rStyle w:val="40"/>
          <w:rFonts w:hint="eastAsia" w:ascii="宋体" w:hAnsi="宋体" w:eastAsia="宋体" w:cs="宋体"/>
          <w:bCs/>
          <w:color w:val="auto"/>
          <w:sz w:val="21"/>
          <w:szCs w:val="21"/>
          <w:highlight w:val="none"/>
        </w:rPr>
        <w:t xml:space="preserve"> </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联系人：邓老师</w:t>
      </w:r>
    </w:p>
    <w:p>
      <w:pPr>
        <w:pageBreakBefore w:val="0"/>
        <w:widowControl/>
        <w:kinsoku/>
        <w:wordWrap/>
        <w:overflowPunct/>
        <w:topLinePunct w:val="0"/>
        <w:autoSpaceDE/>
        <w:autoSpaceDN/>
        <w:bidi w:val="0"/>
        <w:spacing w:line="360" w:lineRule="auto"/>
        <w:ind w:firstLine="480"/>
        <w:jc w:val="left"/>
        <w:textAlignment w:val="auto"/>
        <w:rPr>
          <w:rStyle w:val="40"/>
          <w:rFonts w:hint="default" w:ascii="宋体" w:hAnsi="宋体" w:eastAsia="宋体" w:cs="宋体"/>
          <w:bCs/>
          <w:color w:val="auto"/>
          <w:sz w:val="21"/>
          <w:szCs w:val="21"/>
          <w:highlight w:val="none"/>
          <w:lang w:val="en-US"/>
        </w:rPr>
      </w:pPr>
      <w:r>
        <w:rPr>
          <w:rStyle w:val="40"/>
          <w:rFonts w:hint="eastAsia" w:ascii="宋体" w:hAnsi="宋体" w:eastAsia="宋体" w:cs="宋体"/>
          <w:bCs/>
          <w:color w:val="auto"/>
          <w:sz w:val="21"/>
          <w:szCs w:val="21"/>
          <w:highlight w:val="none"/>
        </w:rPr>
        <w:t>电  话：1</w:t>
      </w:r>
      <w:r>
        <w:rPr>
          <w:rStyle w:val="40"/>
          <w:rFonts w:hint="eastAsia" w:ascii="宋体" w:hAnsi="宋体" w:cs="宋体"/>
          <w:bCs/>
          <w:color w:val="auto"/>
          <w:sz w:val="21"/>
          <w:szCs w:val="21"/>
          <w:highlight w:val="none"/>
          <w:lang w:val="en-US"/>
        </w:rPr>
        <w:t>9123299430</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地  址：重庆市万州区百安坝安宁路68号</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（二）采购代理机构：重庆万欧工程管理咨询有限公司</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联系人：</w:t>
      </w:r>
      <w:r>
        <w:rPr>
          <w:rStyle w:val="40"/>
          <w:rFonts w:hint="eastAsia" w:ascii="宋体" w:hAnsi="宋体" w:eastAsia="宋体" w:cs="宋体"/>
          <w:bCs/>
          <w:color w:val="auto"/>
          <w:sz w:val="21"/>
          <w:szCs w:val="21"/>
          <w:highlight w:val="none"/>
          <w:lang w:eastAsia="zh-CN"/>
        </w:rPr>
        <w:t>张好燕</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电  话：</w:t>
      </w:r>
      <w:r>
        <w:rPr>
          <w:rStyle w:val="40"/>
          <w:rFonts w:hint="eastAsia" w:ascii="宋体" w:hAnsi="宋体" w:eastAsia="宋体" w:cs="宋体"/>
          <w:bCs/>
          <w:color w:val="auto"/>
          <w:sz w:val="21"/>
          <w:szCs w:val="21"/>
          <w:highlight w:val="none"/>
          <w:lang w:val="en-US" w:eastAsia="zh-CN"/>
        </w:rPr>
        <w:t>15330301081</w:t>
      </w:r>
    </w:p>
    <w:p>
      <w:pPr>
        <w:pageBreakBefore w:val="0"/>
        <w:widowControl/>
        <w:kinsoku/>
        <w:wordWrap/>
        <w:overflowPunct/>
        <w:topLinePunct w:val="0"/>
        <w:autoSpaceDE/>
        <w:autoSpaceDN/>
        <w:bidi w:val="0"/>
        <w:spacing w:line="360" w:lineRule="auto"/>
        <w:ind w:firstLine="480"/>
        <w:jc w:val="left"/>
        <w:textAlignment w:val="auto"/>
        <w:rPr>
          <w:rStyle w:val="40"/>
          <w:rFonts w:hint="eastAsia" w:ascii="宋体" w:hAnsi="宋体" w:eastAsia="宋体" w:cs="宋体"/>
          <w:bCs/>
          <w:color w:val="auto"/>
          <w:sz w:val="21"/>
          <w:szCs w:val="21"/>
          <w:highlight w:val="none"/>
        </w:rPr>
      </w:pPr>
      <w:r>
        <w:rPr>
          <w:rStyle w:val="40"/>
          <w:rFonts w:hint="eastAsia" w:ascii="宋体" w:hAnsi="宋体" w:eastAsia="宋体" w:cs="宋体"/>
          <w:bCs/>
          <w:color w:val="auto"/>
          <w:sz w:val="21"/>
          <w:szCs w:val="21"/>
          <w:highlight w:val="none"/>
        </w:rPr>
        <w:t>地  址：重庆市万州区沙龙路三段898号二楼</w:t>
      </w:r>
    </w:p>
    <w:p>
      <w:pPr>
        <w:snapToGrid w:val="0"/>
        <w:spacing w:line="400" w:lineRule="exact"/>
        <w:ind w:firstLine="482" w:firstLineChars="200"/>
        <w:rPr>
          <w:rFonts w:hint="eastAsia" w:ascii="宋体" w:hAnsi="宋体" w:eastAsia="宋体" w:cs="宋体"/>
          <w:b/>
          <w:color w:val="auto"/>
          <w:sz w:val="24"/>
          <w:szCs w:val="24"/>
          <w:highlight w:val="none"/>
        </w:rPr>
        <w:sectPr>
          <w:pgSz w:w="11907" w:h="16840"/>
          <w:pgMar w:top="1304" w:right="1304" w:bottom="1304" w:left="1304" w:header="794"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spacing w:line="360" w:lineRule="auto"/>
        <w:jc w:val="center"/>
        <w:rPr>
          <w:rFonts w:hint="eastAsia" w:ascii="宋体" w:hAnsi="宋体" w:eastAsia="宋体" w:cs="宋体"/>
          <w:color w:val="auto"/>
          <w:sz w:val="24"/>
          <w:szCs w:val="24"/>
          <w:highlight w:val="none"/>
        </w:rPr>
      </w:pPr>
      <w:bookmarkStart w:id="38" w:name="_Toc76462324"/>
      <w:bookmarkStart w:id="39" w:name="_Toc10784"/>
      <w:r>
        <w:rPr>
          <w:rFonts w:hint="eastAsia" w:ascii="宋体" w:hAnsi="宋体" w:eastAsia="宋体" w:cs="宋体"/>
          <w:b w:val="0"/>
          <w:color w:val="auto"/>
          <w:sz w:val="36"/>
          <w:szCs w:val="30"/>
          <w:highlight w:val="none"/>
        </w:rPr>
        <w:t xml:space="preserve">第二篇  </w:t>
      </w:r>
      <w:bookmarkEnd w:id="38"/>
      <w:bookmarkStart w:id="40" w:name="_Toc76462325"/>
      <w:bookmarkStart w:id="41" w:name="_Toc12789058"/>
      <w:r>
        <w:rPr>
          <w:rFonts w:hint="eastAsia" w:ascii="宋体" w:hAnsi="宋体" w:eastAsia="宋体" w:cs="宋体"/>
          <w:b w:val="0"/>
          <w:color w:val="auto"/>
          <w:sz w:val="36"/>
          <w:szCs w:val="30"/>
          <w:highlight w:val="none"/>
          <w:lang w:eastAsia="zh-CN"/>
        </w:rPr>
        <w:t>磋商</w:t>
      </w:r>
      <w:r>
        <w:rPr>
          <w:rFonts w:hint="eastAsia" w:ascii="宋体" w:hAnsi="宋体" w:eastAsia="宋体" w:cs="宋体"/>
          <w:b w:val="0"/>
          <w:color w:val="auto"/>
          <w:sz w:val="36"/>
          <w:szCs w:val="30"/>
          <w:highlight w:val="none"/>
        </w:rPr>
        <w:t>项目技术（质量）需求</w:t>
      </w:r>
      <w:bookmarkEnd w:id="39"/>
    </w:p>
    <w:bookmarkEnd w:id="40"/>
    <w:p>
      <w:pPr>
        <w:pStyle w:val="4"/>
        <w:spacing w:before="0" w:after="0" w:line="360" w:lineRule="auto"/>
        <w:ind w:firstLine="482" w:firstLineChars="200"/>
        <w:outlineLvl w:val="1"/>
        <w:rPr>
          <w:rFonts w:hint="eastAsia" w:ascii="宋体" w:hAnsi="宋体" w:eastAsia="宋体" w:cs="宋体"/>
          <w:color w:val="auto"/>
          <w:sz w:val="24"/>
          <w:szCs w:val="24"/>
          <w:highlight w:val="none"/>
          <w:lang w:eastAsia="zh-CN"/>
        </w:rPr>
      </w:pPr>
      <w:bookmarkStart w:id="42" w:name="_Toc28156"/>
      <w:bookmarkStart w:id="43" w:name="_Toc14352"/>
      <w:bookmarkStart w:id="44" w:name="_Toc16465"/>
      <w:bookmarkStart w:id="45" w:name="_Toc3893"/>
      <w:bookmarkStart w:id="46" w:name="_Toc485"/>
      <w:bookmarkStart w:id="47" w:name="_Toc8790"/>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bookmarkEnd w:id="42"/>
      <w:bookmarkEnd w:id="43"/>
      <w:bookmarkEnd w:id="44"/>
      <w:bookmarkEnd w:id="45"/>
      <w:bookmarkStart w:id="48" w:name="_Toc30066"/>
      <w:r>
        <w:rPr>
          <w:rFonts w:hint="eastAsia" w:ascii="宋体" w:hAnsi="宋体" w:eastAsia="宋体" w:cs="宋体"/>
          <w:color w:val="auto"/>
          <w:sz w:val="24"/>
          <w:szCs w:val="24"/>
          <w:highlight w:val="none"/>
          <w:lang w:eastAsia="zh-CN"/>
        </w:rPr>
        <w:t>项目基本概况介绍</w:t>
      </w:r>
      <w:bookmarkEnd w:id="46"/>
      <w:bookmarkEnd w:id="47"/>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75"/>
        <w:gridCol w:w="4782"/>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27" w:type="dxa"/>
            <w:noWrap w:val="0"/>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75" w:type="dxa"/>
            <w:noWrap w:val="0"/>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数量/单位</w:t>
            </w:r>
          </w:p>
        </w:tc>
        <w:tc>
          <w:tcPr>
            <w:tcW w:w="4782" w:type="dxa"/>
            <w:noWrap w:val="0"/>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主要建设内容</w:t>
            </w:r>
          </w:p>
        </w:tc>
        <w:tc>
          <w:tcPr>
            <w:tcW w:w="1931" w:type="dxa"/>
            <w:noWrap w:val="0"/>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8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万州区</w:t>
            </w:r>
            <w:r>
              <w:rPr>
                <w:rFonts w:hint="eastAsia" w:ascii="宋体" w:hAnsi="宋体" w:eastAsia="宋体" w:cs="宋体"/>
                <w:color w:val="auto"/>
                <w:kern w:val="0"/>
                <w:sz w:val="21"/>
                <w:szCs w:val="21"/>
                <w:highlight w:val="none"/>
                <w:lang w:val="en-US" w:eastAsia="zh-CN"/>
              </w:rPr>
              <w:t>2023年水库大坝白蚁防治项目</w:t>
            </w:r>
          </w:p>
        </w:tc>
        <w:tc>
          <w:tcPr>
            <w:tcW w:w="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批</w:t>
            </w:r>
          </w:p>
        </w:tc>
        <w:tc>
          <w:tcPr>
            <w:tcW w:w="47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根据全区</w:t>
            </w:r>
            <w:r>
              <w:rPr>
                <w:rFonts w:hint="eastAsia" w:ascii="宋体" w:hAnsi="宋体" w:eastAsia="宋体" w:cs="宋体"/>
                <w:color w:val="auto"/>
                <w:kern w:val="0"/>
                <w:sz w:val="21"/>
                <w:szCs w:val="21"/>
                <w:highlight w:val="none"/>
                <w:lang w:val="en-US" w:eastAsia="zh-CN"/>
              </w:rPr>
              <w:t>2022年白蚁普查成果和各水库白蚁危害类型，</w:t>
            </w:r>
            <w:r>
              <w:rPr>
                <w:rFonts w:hint="eastAsia" w:ascii="宋体" w:hAnsi="宋体" w:eastAsia="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lang w:val="en-US" w:eastAsia="zh-CN"/>
              </w:rPr>
              <w:t>杨河湾等92座存在存在建巢危害的水库采取人工挖巢法、设置药物土壤屏障隔离沟、设置药物网幕、坝体表面及蚁患区施药、埋设诱杀包等措施进行白蚁整治</w:t>
            </w:r>
            <w:r>
              <w:rPr>
                <w:rFonts w:hint="eastAsia" w:ascii="宋体" w:hAnsi="宋体" w:eastAsia="宋体" w:cs="宋体"/>
                <w:color w:val="auto"/>
                <w:kern w:val="0"/>
                <w:sz w:val="21"/>
                <w:szCs w:val="21"/>
                <w:highlight w:val="none"/>
                <w:lang w:eastAsia="zh-CN"/>
              </w:rPr>
              <w:t>。对熊家水库等</w:t>
            </w:r>
            <w:r>
              <w:rPr>
                <w:rFonts w:hint="eastAsia" w:ascii="宋体" w:hAnsi="宋体" w:eastAsia="宋体" w:cs="宋体"/>
                <w:color w:val="auto"/>
                <w:kern w:val="0"/>
                <w:sz w:val="21"/>
                <w:szCs w:val="21"/>
                <w:highlight w:val="none"/>
                <w:lang w:val="en-US" w:eastAsia="zh-CN"/>
              </w:rPr>
              <w:t>38座存在蔓延危害的水库采取人工挖巢法、坝体表面及蚁患区施药、埋设诱杀包等措施进行白蚁整治</w:t>
            </w:r>
            <w:r>
              <w:rPr>
                <w:rFonts w:hint="eastAsia" w:ascii="宋体" w:hAnsi="宋体" w:eastAsia="宋体" w:cs="宋体"/>
                <w:color w:val="auto"/>
                <w:kern w:val="0"/>
                <w:sz w:val="21"/>
                <w:szCs w:val="21"/>
                <w:highlight w:val="none"/>
                <w:lang w:eastAsia="zh-CN"/>
              </w:rPr>
              <w:t>。</w:t>
            </w:r>
          </w:p>
        </w:tc>
        <w:tc>
          <w:tcPr>
            <w:tcW w:w="19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本项目的清单表</w:t>
            </w:r>
            <w:r>
              <w:rPr>
                <w:rFonts w:hint="eastAsia" w:ascii="宋体" w:hAnsi="宋体" w:eastAsia="宋体" w:cs="宋体"/>
                <w:color w:val="auto"/>
                <w:kern w:val="0"/>
                <w:sz w:val="21"/>
                <w:szCs w:val="21"/>
                <w:highlight w:val="none"/>
                <w:lang w:val="en-US" w:eastAsia="zh-CN"/>
              </w:rPr>
              <w:t>为本项目附件资料，随文件同时发布，由投标供应商在网上自行下载。</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bookmarkEnd w:id="48"/>
      <w:r>
        <w:rPr>
          <w:rFonts w:hint="eastAsia" w:ascii="宋体" w:hAnsi="宋体" w:eastAsia="宋体" w:cs="宋体"/>
          <w:b/>
          <w:color w:val="auto"/>
          <w:kern w:val="2"/>
          <w:sz w:val="24"/>
          <w:szCs w:val="24"/>
          <w:highlight w:val="none"/>
          <w:lang w:val="en-US" w:eastAsia="zh-CN" w:bidi="ar-SA"/>
        </w:rPr>
        <w:t xml:space="preserve">二、 </w:t>
      </w:r>
      <w:bookmarkStart w:id="49" w:name="_Toc3529"/>
      <w:r>
        <w:rPr>
          <w:rFonts w:hint="eastAsia" w:ascii="宋体" w:hAnsi="宋体" w:eastAsia="宋体" w:cs="宋体"/>
          <w:b/>
          <w:color w:val="auto"/>
          <w:kern w:val="2"/>
          <w:sz w:val="24"/>
          <w:szCs w:val="24"/>
          <w:highlight w:val="none"/>
          <w:lang w:val="en-US" w:eastAsia="zh-CN" w:bidi="ar-SA"/>
        </w:rPr>
        <w:t>防治范围、防治方法及要求</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（一）防治范围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防治范围包括130</w:t>
      </w:r>
      <w:r>
        <w:rPr>
          <w:rFonts w:hint="eastAsia" w:ascii="宋体" w:hAnsi="宋体" w:eastAsia="宋体" w:cs="宋体"/>
          <w:b w:val="0"/>
          <w:bCs w:val="0"/>
          <w:color w:val="auto"/>
          <w:sz w:val="21"/>
          <w:szCs w:val="21"/>
          <w:highlight w:val="none"/>
        </w:rPr>
        <w:t>座水库</w:t>
      </w:r>
      <w:r>
        <w:rPr>
          <w:rFonts w:hint="eastAsia" w:ascii="宋体" w:hAnsi="宋体" w:eastAsia="宋体" w:cs="宋体"/>
          <w:color w:val="auto"/>
          <w:sz w:val="21"/>
          <w:szCs w:val="21"/>
          <w:highlight w:val="none"/>
        </w:rPr>
        <w:t>大坝及大坝管理范围50米内</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b w:val="0"/>
          <w:bCs w:val="0"/>
          <w:color w:val="auto"/>
          <w:sz w:val="21"/>
          <w:szCs w:val="21"/>
          <w:highlight w:val="none"/>
        </w:rPr>
        <w:t>其中</w:t>
      </w:r>
      <w:r>
        <w:rPr>
          <w:rFonts w:hint="eastAsia" w:ascii="宋体" w:hAnsi="宋体" w:eastAsia="宋体" w:cs="宋体"/>
          <w:b w:val="0"/>
          <w:bCs w:val="0"/>
          <w:color w:val="auto"/>
          <w:sz w:val="21"/>
          <w:szCs w:val="21"/>
          <w:highlight w:val="none"/>
          <w:lang w:val="en-US" w:eastAsia="zh-CN"/>
        </w:rPr>
        <w:t>92座</w:t>
      </w:r>
      <w:r>
        <w:rPr>
          <w:rFonts w:hint="eastAsia" w:ascii="宋体" w:hAnsi="宋体" w:eastAsia="宋体" w:cs="宋体"/>
          <w:b w:val="0"/>
          <w:bCs w:val="0"/>
          <w:color w:val="auto"/>
          <w:sz w:val="21"/>
          <w:szCs w:val="21"/>
          <w:highlight w:val="none"/>
        </w:rPr>
        <w:t>水库为建巢危害，</w:t>
      </w:r>
      <w:r>
        <w:rPr>
          <w:rFonts w:hint="eastAsia" w:ascii="宋体" w:hAnsi="宋体" w:eastAsia="宋体" w:cs="宋体"/>
          <w:b w:val="0"/>
          <w:bCs w:val="0"/>
          <w:color w:val="auto"/>
          <w:sz w:val="21"/>
          <w:szCs w:val="21"/>
          <w:highlight w:val="none"/>
          <w:lang w:val="en-US" w:eastAsia="zh-CN"/>
        </w:rPr>
        <w:t>38座</w:t>
      </w:r>
      <w:r>
        <w:rPr>
          <w:rFonts w:hint="eastAsia" w:ascii="宋体" w:hAnsi="宋体" w:eastAsia="宋体" w:cs="宋体"/>
          <w:b w:val="0"/>
          <w:bCs w:val="0"/>
          <w:color w:val="auto"/>
          <w:sz w:val="21"/>
          <w:szCs w:val="21"/>
          <w:highlight w:val="none"/>
        </w:rPr>
        <w:t>水库为蔓延危害。水库名称如下：</w:t>
      </w:r>
    </w:p>
    <w:p>
      <w:pPr>
        <w:pStyle w:val="18"/>
        <w:widowControl/>
        <w:spacing w:beforeAutospacing="0" w:afterAutospacing="0" w:line="360" w:lineRule="auto"/>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白蚁</w:t>
      </w:r>
      <w:r>
        <w:rPr>
          <w:rFonts w:hint="eastAsia" w:ascii="宋体" w:hAnsi="宋体" w:eastAsia="宋体" w:cs="宋体"/>
          <w:b w:val="0"/>
          <w:bCs w:val="0"/>
          <w:color w:val="auto"/>
          <w:sz w:val="21"/>
          <w:szCs w:val="21"/>
          <w:highlight w:val="none"/>
          <w:lang w:eastAsia="zh-CN"/>
        </w:rPr>
        <w:t>防治</w:t>
      </w:r>
      <w:r>
        <w:rPr>
          <w:rFonts w:hint="eastAsia" w:ascii="宋体" w:hAnsi="宋体" w:eastAsia="宋体" w:cs="宋体"/>
          <w:b w:val="0"/>
          <w:bCs w:val="0"/>
          <w:color w:val="auto"/>
          <w:sz w:val="21"/>
          <w:szCs w:val="21"/>
          <w:highlight w:val="none"/>
        </w:rPr>
        <w:t>的水库名单</w:t>
      </w:r>
    </w:p>
    <w:tbl>
      <w:tblPr>
        <w:tblStyle w:val="20"/>
        <w:tblW w:w="8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695"/>
        <w:gridCol w:w="1866"/>
        <w:gridCol w:w="172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水库名称</w:t>
            </w:r>
          </w:p>
        </w:tc>
        <w:tc>
          <w:tcPr>
            <w:tcW w:w="18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所属乡镇</w:t>
            </w:r>
          </w:p>
        </w:tc>
        <w:tc>
          <w:tcPr>
            <w:tcW w:w="17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工程规模</w:t>
            </w:r>
          </w:p>
        </w:tc>
        <w:tc>
          <w:tcPr>
            <w:tcW w:w="17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危害类型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马鞍水库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走马镇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普安水库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走马镇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杨河湾水库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天峰水库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中山水库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东桥水库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长岭镇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联合水库（罗田镇）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枫香坪水库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朱家沟水库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钟刘水库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乐堂水库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牛角水库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人和水库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工农水库（天城街道）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天城镇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双堰水库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天城街道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杜家冲水库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白羊镇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巨木水库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白羊镇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白羊镇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帽合水库（白土镇）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白土镇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工农水库（九池乡）</w:t>
            </w:r>
          </w:p>
        </w:tc>
        <w:tc>
          <w:tcPr>
            <w:tcW w:w="18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四方水库（九池乡）</w:t>
            </w:r>
          </w:p>
        </w:tc>
        <w:tc>
          <w:tcPr>
            <w:tcW w:w="18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丰收水库（九池乡）</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丰登水库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刘家沟水库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黄岭桥水库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大兴水库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联合水库（陈家坝街道）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仙鹤水库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茶店水库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尖山子水库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龙驹镇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抗家湾水库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钟鼓楼街道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前进水库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钟鼓楼街道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奋勇水库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大周镇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土楼水库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黄柏乡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五四水库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熊家镇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云万水库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铁峰乡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龙泉水库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新乡镇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高峰水库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万家沟水库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五桥街道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沙良水库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龙都街道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石岭水库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长岭镇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百安坝街道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东口水库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柱山乡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千口水库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柱山乡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青高水库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柱山乡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新华水库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后山镇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全胜水库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余家镇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余家镇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皂角塝水库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余家镇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大池水库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余家镇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易家水库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东风水库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溪口乡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韩池水库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大林水库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复龙水库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长塝水库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建设水库（武陵镇）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胜利水库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武陵镇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麦砚水库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滩河水库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丰收水库（龙沙镇）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红岩水库</w:t>
            </w:r>
          </w:p>
        </w:tc>
        <w:tc>
          <w:tcPr>
            <w:tcW w:w="18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晏家水库</w:t>
            </w:r>
          </w:p>
        </w:tc>
        <w:tc>
          <w:tcPr>
            <w:tcW w:w="18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龙井冲水库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石船水库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李河镇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帽合水库（李河镇）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李河镇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柏林水库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郭村镇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鸣放水库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郭村镇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晋家水库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郭村镇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桐林水库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郭村镇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五梁水库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腊坝冲水库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磴子河水库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新胜水库（甘宁镇）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茨竹沟水库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跃进水库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中屯水库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四方水库（分水镇）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石峡水库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红寨水库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青云山水库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彭家湾水库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金狮水库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长池水库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弹子镇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野鸭池水库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弹子镇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建巢危害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熊家水库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走马镇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走马镇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烂湾水库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恒合土家族乡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星火水库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恒合土家族乡</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长塘水库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太平水库（新田镇）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菜地沟水库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长岭镇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阳坪水库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高洞水库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长堰水库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新胜水库（罗田镇）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春口水库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罗田镇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红石水库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太安镇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高石头水库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白羊镇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湖口洞水库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白羊镇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何家湾水库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白土镇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石板水库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白土镇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向坪水库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陈家坝街道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天庆水库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龙驹镇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6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联合水库（钟鼓楼街道）</w:t>
            </w:r>
          </w:p>
        </w:tc>
        <w:tc>
          <w:tcPr>
            <w:tcW w:w="18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钟鼓楼街道</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26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宋家水库</w:t>
            </w:r>
          </w:p>
        </w:tc>
        <w:tc>
          <w:tcPr>
            <w:tcW w:w="18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大周镇</w:t>
            </w:r>
          </w:p>
        </w:tc>
        <w:tc>
          <w:tcPr>
            <w:tcW w:w="17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红专水库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天城街道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土坝水库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五桥街道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联合水库（响水镇）</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宝盒水库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响水镇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榨油洞水库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王家沟水库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燕马水库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龙沙镇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欠沟水库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普安水库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九池街道</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三丘子水库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郭村镇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金竹沟水库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小（1）型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26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大田水库</w:t>
            </w:r>
          </w:p>
        </w:tc>
        <w:tc>
          <w:tcPr>
            <w:tcW w:w="18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甘宁镇</w:t>
            </w:r>
          </w:p>
        </w:tc>
        <w:tc>
          <w:tcPr>
            <w:tcW w:w="17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269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芭蕉水库</w:t>
            </w:r>
          </w:p>
        </w:tc>
        <w:tc>
          <w:tcPr>
            <w:tcW w:w="1866"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五马水库</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分水镇</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柿子坪水库</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弹子镇</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小（2）型</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蔓延危害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w:t>
            </w:r>
          </w:p>
        </w:tc>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新田水库</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新田镇</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中型</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蔓延危害</w:t>
            </w:r>
          </w:p>
        </w:tc>
      </w:tr>
    </w:tbl>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50" w:name="_Toc76462327"/>
      <w:r>
        <w:rPr>
          <w:rFonts w:hint="eastAsia" w:ascii="宋体" w:hAnsi="宋体" w:eastAsia="宋体" w:cs="宋体"/>
          <w:color w:val="auto"/>
          <w:sz w:val="21"/>
          <w:szCs w:val="21"/>
          <w:highlight w:val="none"/>
          <w:lang w:eastAsia="zh-CN"/>
        </w:rPr>
        <w:t>防治方法</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按照重庆《白蚁防治施工技术标准》DBJ50T-034-2018等规范要求，贯彻“以防为主、防治结合、综合治理”的方针，针对本工程白蚁防治主要采取人工挖巢法、</w:t>
      </w:r>
      <w:r>
        <w:rPr>
          <w:rFonts w:hint="eastAsia" w:ascii="宋体" w:hAnsi="宋体" w:eastAsia="宋体" w:cs="宋体"/>
          <w:color w:val="auto"/>
          <w:kern w:val="0"/>
          <w:sz w:val="21"/>
          <w:szCs w:val="21"/>
          <w:highlight w:val="none"/>
          <w:lang w:eastAsia="zh-CN"/>
        </w:rPr>
        <w:t>设置药物土壤屏障隔离沟</w:t>
      </w:r>
      <w:r>
        <w:rPr>
          <w:rFonts w:hint="eastAsia" w:ascii="宋体" w:hAnsi="宋体" w:eastAsia="宋体" w:cs="宋体"/>
          <w:color w:val="auto"/>
          <w:kern w:val="0"/>
          <w:sz w:val="21"/>
          <w:szCs w:val="21"/>
          <w:highlight w:val="none"/>
        </w:rPr>
        <w:t>、设置药物网幕、</w:t>
      </w:r>
      <w:r>
        <w:rPr>
          <w:rFonts w:hint="eastAsia" w:ascii="宋体" w:hAnsi="宋体" w:eastAsia="宋体" w:cs="宋体"/>
          <w:color w:val="auto"/>
          <w:kern w:val="0"/>
          <w:sz w:val="21"/>
          <w:szCs w:val="21"/>
          <w:highlight w:val="none"/>
          <w:lang w:eastAsia="zh-CN"/>
        </w:rPr>
        <w:t>坝体表面及蚁患区施药</w:t>
      </w:r>
      <w:r>
        <w:rPr>
          <w:rFonts w:hint="eastAsia" w:ascii="宋体" w:hAnsi="宋体" w:eastAsia="宋体" w:cs="宋体"/>
          <w:color w:val="auto"/>
          <w:kern w:val="0"/>
          <w:sz w:val="21"/>
          <w:szCs w:val="21"/>
          <w:highlight w:val="none"/>
        </w:rPr>
        <w:t>、埋设诱杀包等技术措施，确保白蚁防治满足要求，达到防治效果。根据水库现场白蚁危害类型</w:t>
      </w:r>
      <w:r>
        <w:rPr>
          <w:rFonts w:hint="eastAsia" w:ascii="宋体" w:hAnsi="宋体" w:eastAsia="宋体" w:cs="宋体"/>
          <w:color w:val="auto"/>
          <w:kern w:val="0"/>
          <w:sz w:val="21"/>
          <w:szCs w:val="21"/>
          <w:highlight w:val="none"/>
          <w:lang w:eastAsia="zh-CN"/>
        </w:rPr>
        <w:t>，建巢危害类型</w:t>
      </w:r>
      <w:r>
        <w:rPr>
          <w:rFonts w:hint="eastAsia" w:ascii="宋体" w:hAnsi="宋体" w:eastAsia="宋体" w:cs="宋体"/>
          <w:color w:val="auto"/>
          <w:kern w:val="0"/>
          <w:sz w:val="21"/>
          <w:szCs w:val="21"/>
          <w:highlight w:val="none"/>
        </w:rPr>
        <w:t>采取人工挖巢法、</w:t>
      </w:r>
      <w:r>
        <w:rPr>
          <w:rFonts w:hint="eastAsia" w:ascii="宋体" w:hAnsi="宋体" w:eastAsia="宋体" w:cs="宋体"/>
          <w:color w:val="auto"/>
          <w:kern w:val="0"/>
          <w:sz w:val="21"/>
          <w:szCs w:val="21"/>
          <w:highlight w:val="none"/>
          <w:lang w:eastAsia="zh-CN"/>
        </w:rPr>
        <w:t>设置药物土壤屏障隔离沟</w:t>
      </w:r>
      <w:r>
        <w:rPr>
          <w:rFonts w:hint="eastAsia" w:ascii="宋体" w:hAnsi="宋体" w:eastAsia="宋体" w:cs="宋体"/>
          <w:color w:val="auto"/>
          <w:kern w:val="0"/>
          <w:sz w:val="21"/>
          <w:szCs w:val="21"/>
          <w:highlight w:val="none"/>
        </w:rPr>
        <w:t>、设置药物网幕、</w:t>
      </w:r>
      <w:r>
        <w:rPr>
          <w:rFonts w:hint="eastAsia" w:ascii="宋体" w:hAnsi="宋体" w:eastAsia="宋体" w:cs="宋体"/>
          <w:color w:val="auto"/>
          <w:kern w:val="0"/>
          <w:sz w:val="21"/>
          <w:szCs w:val="21"/>
          <w:highlight w:val="none"/>
          <w:lang w:eastAsia="zh-CN"/>
        </w:rPr>
        <w:t>坝体表面及蚁患区施药</w:t>
      </w:r>
      <w:r>
        <w:rPr>
          <w:rFonts w:hint="eastAsia" w:ascii="宋体" w:hAnsi="宋体" w:eastAsia="宋体" w:cs="宋体"/>
          <w:color w:val="auto"/>
          <w:kern w:val="0"/>
          <w:sz w:val="21"/>
          <w:szCs w:val="21"/>
          <w:highlight w:val="none"/>
        </w:rPr>
        <w:t>、埋设诱杀包等技术措施</w:t>
      </w:r>
      <w:r>
        <w:rPr>
          <w:rFonts w:hint="eastAsia" w:ascii="宋体" w:hAnsi="宋体" w:eastAsia="宋体" w:cs="宋体"/>
          <w:color w:val="auto"/>
          <w:kern w:val="0"/>
          <w:sz w:val="21"/>
          <w:szCs w:val="21"/>
          <w:highlight w:val="none"/>
          <w:lang w:eastAsia="zh-CN"/>
        </w:rPr>
        <w:t>进行白蚁防治；蔓延危害类型</w:t>
      </w:r>
      <w:r>
        <w:rPr>
          <w:rFonts w:hint="eastAsia" w:ascii="宋体" w:hAnsi="宋体" w:eastAsia="宋体" w:cs="宋体"/>
          <w:color w:val="auto"/>
          <w:kern w:val="0"/>
          <w:sz w:val="21"/>
          <w:szCs w:val="21"/>
          <w:highlight w:val="none"/>
        </w:rPr>
        <w:t>采取人工挖巢法、</w:t>
      </w:r>
      <w:r>
        <w:rPr>
          <w:rFonts w:hint="eastAsia" w:ascii="宋体" w:hAnsi="宋体" w:eastAsia="宋体" w:cs="宋体"/>
          <w:color w:val="auto"/>
          <w:kern w:val="0"/>
          <w:sz w:val="21"/>
          <w:szCs w:val="21"/>
          <w:highlight w:val="none"/>
          <w:lang w:eastAsia="zh-CN"/>
        </w:rPr>
        <w:t>坝体表面及蚁患区施药</w:t>
      </w:r>
      <w:r>
        <w:rPr>
          <w:rFonts w:hint="eastAsia" w:ascii="宋体" w:hAnsi="宋体" w:eastAsia="宋体" w:cs="宋体"/>
          <w:color w:val="auto"/>
          <w:kern w:val="0"/>
          <w:sz w:val="21"/>
          <w:szCs w:val="21"/>
          <w:highlight w:val="none"/>
        </w:rPr>
        <w:t>、埋设诱杀包等技术措施</w:t>
      </w:r>
      <w:r>
        <w:rPr>
          <w:rFonts w:hint="eastAsia" w:ascii="宋体" w:hAnsi="宋体" w:eastAsia="宋体" w:cs="宋体"/>
          <w:color w:val="auto"/>
          <w:kern w:val="0"/>
          <w:sz w:val="21"/>
          <w:szCs w:val="21"/>
          <w:highlight w:val="none"/>
          <w:lang w:eastAsia="zh-CN"/>
        </w:rPr>
        <w:t>进行白蚁防治；</w:t>
      </w:r>
      <w:r>
        <w:rPr>
          <w:rFonts w:hint="eastAsia" w:ascii="宋体" w:hAnsi="宋体" w:eastAsia="宋体" w:cs="宋体"/>
          <w:color w:val="auto"/>
          <w:kern w:val="0"/>
          <w:sz w:val="21"/>
          <w:szCs w:val="21"/>
          <w:highlight w:val="none"/>
        </w:rPr>
        <w:t>无危害类型的水库暂无须进行白蚁</w:t>
      </w:r>
      <w:r>
        <w:rPr>
          <w:rFonts w:hint="eastAsia" w:ascii="宋体" w:hAnsi="宋体" w:eastAsia="宋体" w:cs="宋体"/>
          <w:color w:val="auto"/>
          <w:kern w:val="0"/>
          <w:sz w:val="21"/>
          <w:szCs w:val="21"/>
          <w:highlight w:val="none"/>
          <w:lang w:eastAsia="zh-CN"/>
        </w:rPr>
        <w:t>防治</w:t>
      </w:r>
      <w:r>
        <w:rPr>
          <w:rFonts w:hint="eastAsia" w:ascii="宋体" w:hAnsi="宋体" w:eastAsia="宋体" w:cs="宋体"/>
          <w:color w:val="auto"/>
          <w:kern w:val="0"/>
          <w:sz w:val="21"/>
          <w:szCs w:val="21"/>
          <w:highlight w:val="none"/>
        </w:rPr>
        <w:t>，后期注意进行日常检查。</w:t>
      </w:r>
    </w:p>
    <w:p>
      <w:pPr>
        <w:pStyle w:val="1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防治要求</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1、对于蔓延危害的大坝，白蚁灭治方法采用重庆《白蚁防治施工技术标准》DBJ50T-034-2018中附录A执行。</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2、对于建巢危害的大坝，可按“开沟截路，清理蚁道，毒烟熏杀，追挖主巢，施药回填”的方法进行，具体操作应符合以下规定：</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①应选择内坡坝顶下斜坡面 2-4m，外坡从坝顶到浸润线之间斜坡面的中部，外坡开1-2条顺坝沟；应在坝体两端与山体结合部各开一条横沟与顺坝沟端相连接，形成一条闭合的沟道，沟道规格：上口宽度×下底宽度×外壁深度－0.8m×0.5m×0.5m；</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②清理沟壁，查找主蚁道，应做好标志并立即进行熏杀处理，熏杀完毕，用泥土封闭主蚁道口。</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③应顺熏杀后的主蚁道追挖主巢，清理副巢，取出巢体，施药回填。</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3、对在坝体内形成的穿坝蚁路和空腔，应由水工部门进行灌浆处理。</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4、锥探灭治：应和利用分飞孔，鸡枞菌等确定主巢位置，采用锥探法直接对主巢进行灌浆处理。</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5、灭治过程中所使用的药剂应参照下表：</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drawing>
          <wp:inline distT="0" distB="0" distL="0" distR="0">
            <wp:extent cx="5039995" cy="2150745"/>
            <wp:effectExtent l="0" t="0" r="8255" b="1905"/>
            <wp:docPr id="29" name="图片 29" descr="C:\Users\ADMINI~1\AppData\Local\Temp\WeChat Files\8516220f914057d83633d496a66ca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1\AppData\Local\Temp\WeChat Files\8516220f914057d83633d496a66ca0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40000" cy="2150760"/>
                    </a:xfrm>
                    <a:prstGeom prst="rect">
                      <a:avLst/>
                    </a:prstGeom>
                    <a:noFill/>
                    <a:ln>
                      <a:noFill/>
                    </a:ln>
                  </pic:spPr>
                </pic:pic>
              </a:graphicData>
            </a:graphic>
          </wp:inline>
        </w:drawing>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420" w:firstLineChars="20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图3-1  大坝白蚁灭治使用药剂</w:t>
      </w:r>
    </w:p>
    <w:p>
      <w:pPr>
        <w:pStyle w:val="18"/>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Chars="0"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白蚁灭治后，应对坝体进行预防处理。</w:t>
      </w:r>
    </w:p>
    <w:p>
      <w:pPr>
        <w:pStyle w:val="6"/>
        <w:pageBreakBefore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bookmarkStart w:id="51" w:name="_Toc94396502"/>
      <w:bookmarkStart w:id="52" w:name="_Toc31650"/>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药物的选取</w:t>
      </w:r>
      <w:bookmarkEnd w:id="51"/>
      <w:bookmarkEnd w:id="52"/>
    </w:p>
    <w:p>
      <w:pPr>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（1）使用的白蚁防治药物取得农药登记证（登记范围包括白蚁防治）、农药生产许可证和农药生产批准文件、产品质量标准、产品质量检验合格证，高效低毒，对人畜无害，对环境无污染的药物。</w:t>
      </w:r>
    </w:p>
    <w:p>
      <w:pPr>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大坝</w:t>
      </w:r>
      <w:r>
        <w:rPr>
          <w:rFonts w:hint="eastAsia" w:ascii="宋体" w:hAnsi="宋体" w:eastAsia="宋体" w:cs="宋体"/>
          <w:color w:val="auto"/>
          <w:sz w:val="21"/>
          <w:szCs w:val="21"/>
          <w:highlight w:val="none"/>
        </w:rPr>
        <w:t>白蚁防治使用有驱避作用，残效期比较长，不溶于水，不挥发或难溶于水、难挥发，且对人兽无害，对环境无污染的药物。</w:t>
      </w:r>
    </w:p>
    <w:p>
      <w:pPr>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（3）灭治白蚁必须使用慢性无毒，无驱避作用，水溶性剂或粉剂，灭蚁药效适中，对人兽无害，对环境无污染的药物。</w:t>
      </w:r>
    </w:p>
    <w:p>
      <w:pPr>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（4）选用药剂应遵循“高效、低毒、对环境友好”的原则，所选用的药剂必须符合《中华人民共和国农药管理条例》等国家和重庆市有关现行规定的白蚁防治专用药剂。</w:t>
      </w:r>
    </w:p>
    <w:p>
      <w:pPr>
        <w:pStyle w:val="6"/>
        <w:pageBreakBefore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bookmarkStart w:id="53" w:name="_Toc1220"/>
      <w:bookmarkStart w:id="54" w:name="_Toc94396503"/>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药物的成分、用量</w:t>
      </w:r>
      <w:bookmarkEnd w:id="53"/>
      <w:bookmarkEnd w:id="54"/>
    </w:p>
    <w:tbl>
      <w:tblPr>
        <w:tblStyle w:val="20"/>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55"/>
        <w:gridCol w:w="3317"/>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药物有效成分</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药物用量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人工取巢</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10%吡虫啉白蚁悬浮剂</w:t>
            </w:r>
            <w:r>
              <w:rPr>
                <w:rFonts w:hint="eastAsia" w:ascii="宋体" w:hAnsi="宋体" w:eastAsia="宋体" w:cs="宋体"/>
                <w:color w:val="auto"/>
                <w:sz w:val="21"/>
                <w:szCs w:val="21"/>
                <w:highlight w:val="none"/>
                <w:lang w:eastAsia="zh-CN"/>
              </w:rPr>
              <w:t>，5%联苯菊酯水乳剂</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每个主巢用药量0.04kg，每100个副巢用药量0.35kg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设置药物土壤屏障隔离沟</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10%吡虫啉白蚁悬浮剂</w:t>
            </w:r>
            <w:r>
              <w:rPr>
                <w:rFonts w:hint="eastAsia" w:ascii="宋体" w:hAnsi="宋体" w:eastAsia="宋体" w:cs="宋体"/>
                <w:color w:val="auto"/>
                <w:sz w:val="21"/>
                <w:szCs w:val="21"/>
                <w:highlight w:val="none"/>
                <w:lang w:eastAsia="zh-CN"/>
              </w:rPr>
              <w:t>，5%联苯菊酯水乳剂</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每米沟用药量</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lang w:eastAsia="zh-CN"/>
              </w:rPr>
              <w:t>0.4kg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设置药物网幕</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10%吡虫啉白蚁悬浮剂</w:t>
            </w:r>
            <w:r>
              <w:rPr>
                <w:rFonts w:hint="eastAsia" w:ascii="宋体" w:hAnsi="宋体" w:eastAsia="宋体" w:cs="宋体"/>
                <w:color w:val="auto"/>
                <w:sz w:val="21"/>
                <w:szCs w:val="21"/>
                <w:highlight w:val="none"/>
                <w:lang w:eastAsia="zh-CN"/>
              </w:rPr>
              <w:t>，5%联苯菊酯水乳剂</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每100个</w:t>
            </w:r>
            <w:r>
              <w:rPr>
                <w:rFonts w:hint="eastAsia" w:ascii="宋体" w:hAnsi="宋体" w:eastAsia="宋体" w:cs="宋体"/>
                <w:color w:val="auto"/>
                <w:sz w:val="21"/>
                <w:szCs w:val="21"/>
                <w:highlight w:val="none"/>
                <w:lang w:val="en-US" w:eastAsia="zh-CN"/>
              </w:rPr>
              <w:t>孔</w:t>
            </w:r>
            <w:r>
              <w:rPr>
                <w:rFonts w:hint="eastAsia" w:ascii="宋体" w:hAnsi="宋体" w:eastAsia="宋体" w:cs="宋体"/>
                <w:color w:val="auto"/>
                <w:sz w:val="21"/>
                <w:szCs w:val="21"/>
                <w:highlight w:val="none"/>
                <w:lang w:eastAsia="zh-CN"/>
              </w:rPr>
              <w:t>喷药量2kg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坝体表面及蚁患区施药</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10%吡虫啉白蚁悬浮剂</w:t>
            </w:r>
            <w:r>
              <w:rPr>
                <w:rFonts w:hint="eastAsia" w:ascii="宋体" w:hAnsi="宋体" w:eastAsia="宋体" w:cs="宋体"/>
                <w:color w:val="auto"/>
                <w:sz w:val="21"/>
                <w:szCs w:val="21"/>
                <w:highlight w:val="none"/>
                <w:lang w:eastAsia="zh-CN"/>
              </w:rPr>
              <w:t>，5%联苯菊酯水乳剂</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每100㎡喷药量2kg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3"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55"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埋设诱杀包</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5g白蚁诱杀包</w:t>
            </w:r>
          </w:p>
        </w:tc>
        <w:tc>
          <w:tcPr>
            <w:tcW w:w="3317" w:type="dxa"/>
            <w:shd w:val="clear" w:color="auto" w:fill="auto"/>
            <w:vAlign w:val="center"/>
          </w:tcPr>
          <w:p>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每亩不少于80包</w:t>
            </w:r>
          </w:p>
        </w:tc>
      </w:tr>
    </w:tbl>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kern w:val="0"/>
          <w:sz w:val="21"/>
          <w:szCs w:val="21"/>
          <w:highlight w:val="none"/>
          <w:lang w:eastAsia="zh-CN"/>
        </w:rPr>
      </w:pP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both"/>
        <w:textAlignment w:val="auto"/>
        <w:rPr>
          <w:rFonts w:hint="eastAsia" w:ascii="宋体" w:hAnsi="宋体" w:eastAsia="宋体" w:cs="宋体"/>
          <w:color w:val="auto"/>
          <w:kern w:val="0"/>
          <w:sz w:val="21"/>
          <w:szCs w:val="21"/>
          <w:highlight w:val="none"/>
          <w:lang w:eastAsia="zh-CN"/>
        </w:rPr>
      </w:pPr>
    </w:p>
    <w:p>
      <w:pPr>
        <w:numPr>
          <w:ilvl w:val="0"/>
          <w:numId w:val="1"/>
        </w:numPr>
        <w:ind w:firstLine="720" w:firstLineChars="200"/>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p>
    <w:p>
      <w:pPr>
        <w:pStyle w:val="4"/>
        <w:spacing w:line="360" w:lineRule="auto"/>
        <w:jc w:val="center"/>
        <w:rPr>
          <w:rFonts w:hint="eastAsia" w:ascii="宋体" w:hAnsi="宋体" w:eastAsia="宋体" w:cs="宋体"/>
          <w:b w:val="0"/>
          <w:color w:val="auto"/>
          <w:sz w:val="36"/>
          <w:szCs w:val="30"/>
          <w:highlight w:val="none"/>
        </w:rPr>
      </w:pPr>
      <w:bookmarkStart w:id="55" w:name="_Toc5636"/>
      <w:r>
        <w:rPr>
          <w:rFonts w:hint="eastAsia" w:ascii="宋体" w:hAnsi="宋体" w:eastAsia="宋体" w:cs="宋体"/>
          <w:b w:val="0"/>
          <w:color w:val="auto"/>
          <w:sz w:val="36"/>
          <w:szCs w:val="30"/>
          <w:highlight w:val="none"/>
        </w:rPr>
        <w:t xml:space="preserve">第三篇  </w:t>
      </w:r>
      <w:bookmarkEnd w:id="41"/>
      <w:r>
        <w:rPr>
          <w:rFonts w:hint="eastAsia" w:ascii="宋体" w:hAnsi="宋体" w:eastAsia="宋体" w:cs="宋体"/>
          <w:b w:val="0"/>
          <w:color w:val="auto"/>
          <w:sz w:val="36"/>
          <w:szCs w:val="30"/>
          <w:highlight w:val="none"/>
        </w:rPr>
        <w:t>项目商务需求</w:t>
      </w:r>
      <w:bookmarkEnd w:id="50"/>
      <w:bookmarkEnd w:id="55"/>
    </w:p>
    <w:p>
      <w:pPr>
        <w:pStyle w:val="13"/>
        <w:pageBreakBefore w:val="0"/>
        <w:widowControl w:val="0"/>
        <w:kinsoku/>
        <w:wordWrap/>
        <w:overflowPunct/>
        <w:topLinePunct w:val="0"/>
        <w:autoSpaceDE/>
        <w:autoSpaceDN/>
        <w:bidi w:val="0"/>
        <w:spacing w:line="360" w:lineRule="auto"/>
        <w:ind w:firstLine="315" w:firstLineChars="150"/>
        <w:outlineLvl w:val="2"/>
        <w:rPr>
          <w:rFonts w:hint="eastAsia" w:ascii="宋体" w:hAnsi="宋体" w:eastAsia="宋体" w:cs="宋体"/>
          <w:color w:val="auto"/>
          <w:sz w:val="21"/>
          <w:szCs w:val="21"/>
          <w:highlight w:val="none"/>
          <w:lang w:eastAsia="zh-CN"/>
        </w:rPr>
      </w:pPr>
      <w:bookmarkStart w:id="56" w:name="_Toc267320049"/>
      <w:r>
        <w:rPr>
          <w:rFonts w:hint="eastAsia" w:ascii="宋体" w:hAnsi="宋体" w:eastAsia="宋体" w:cs="宋体"/>
          <w:color w:val="auto"/>
          <w:sz w:val="21"/>
          <w:szCs w:val="21"/>
          <w:highlight w:val="none"/>
          <w:lang w:eastAsia="zh-CN"/>
        </w:rPr>
        <w:t>“※”标注的商务要求为符合性审查中的实质性要求，若不满足按无效投标处理。</w:t>
      </w:r>
    </w:p>
    <w:p>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57" w:name="_Toc14029"/>
      <w:bookmarkStart w:id="58" w:name="_Toc13389"/>
      <w:bookmarkStart w:id="59" w:name="_Toc9676"/>
      <w:bookmarkStart w:id="60" w:name="_Toc21429"/>
      <w:bookmarkStart w:id="61" w:name="_Toc23501"/>
      <w:bookmarkStart w:id="62" w:name="_Toc13728"/>
      <w:bookmarkStart w:id="63" w:name="_Toc106030385"/>
      <w:bookmarkStart w:id="64" w:name="_Toc28521"/>
      <w:bookmarkStart w:id="65" w:name="_Toc75793509"/>
      <w:bookmarkStart w:id="66" w:name="_Toc30118"/>
      <w:bookmarkStart w:id="67" w:name="_Toc12768"/>
      <w:bookmarkStart w:id="68" w:name="_Toc11380"/>
      <w:bookmarkStart w:id="69" w:name="_Toc22944"/>
      <w:bookmarkStart w:id="70" w:name="_Toc10039"/>
      <w:bookmarkStart w:id="71" w:name="_Toc6595"/>
      <w:bookmarkStart w:id="72" w:name="_Toc8752"/>
      <w:bookmarkStart w:id="73" w:name="_Toc25477"/>
      <w:bookmarkStart w:id="74" w:name="_Toc4030"/>
      <w:r>
        <w:rPr>
          <w:rFonts w:hint="eastAsia" w:ascii="宋体" w:hAnsi="宋体" w:eastAsia="宋体" w:cs="宋体"/>
          <w:color w:val="auto"/>
          <w:sz w:val="21"/>
          <w:szCs w:val="21"/>
          <w:highlight w:val="none"/>
          <w:lang w:eastAsia="zh-CN"/>
        </w:rPr>
        <w:t>一、</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宋体" w:hAnsi="宋体" w:eastAsia="宋体" w:cs="宋体"/>
          <w:color w:val="auto"/>
          <w:sz w:val="21"/>
          <w:szCs w:val="21"/>
          <w:highlight w:val="none"/>
          <w:lang w:eastAsia="zh-CN"/>
        </w:rPr>
        <w:t>实施工</w:t>
      </w:r>
      <w:r>
        <w:rPr>
          <w:rFonts w:hint="eastAsia" w:ascii="宋体" w:hAnsi="宋体" w:eastAsia="宋体" w:cs="宋体"/>
          <w:color w:val="auto"/>
          <w:sz w:val="21"/>
          <w:szCs w:val="21"/>
          <w:highlight w:val="none"/>
        </w:rPr>
        <w:t>期、地点及验收方式</w:t>
      </w:r>
      <w:bookmarkEnd w:id="73"/>
      <w:bookmarkEnd w:id="74"/>
    </w:p>
    <w:p>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实施工</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个月内完成整个项目实施</w:t>
      </w:r>
      <w:r>
        <w:rPr>
          <w:rFonts w:hint="eastAsia" w:ascii="宋体" w:hAnsi="宋体" w:eastAsia="宋体" w:cs="宋体"/>
          <w:color w:val="auto"/>
          <w:sz w:val="21"/>
          <w:szCs w:val="21"/>
          <w:highlight w:val="none"/>
          <w:lang w:eastAsia="zh-CN"/>
        </w:rPr>
        <w:t>，质保期为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地点：采购人指定地点。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（三）验收方式：按《财政部关于进一步加强政府采购需求和履约验收管理的指导意见》（财库〔2016〕205号）的要求，本项目由采购人依法组织履约验收工作。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具体验收方式如下：</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1、本项目白蚁防治完成后，验收时防治范围无白蚁活体继续危害，达到一次性验收合格标准。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2、本项目白蚁防治须符合《水利部办公厅关于印发水利工程白蚁防治技术指南（试行）的通知》（办运管〔2023〕209号）、《重庆白蚁防治施工技术标准DBJ50/T-034-2018》以及国家、重庆市白蚁防治相关技术标准。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3、选用药剂应遵循“高效、低毒、对环境友好”的原则，所选用的药剂必须符合《中华人民共和国农药管理条例》等国家和重庆市有关现行规定的白蚁防治专用药剂。</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4、根据甲乙双方签字认可的施工技术资料（含预防施工技术方案、施工记录等），对照《白蚁防治施工技术规程》进行验收，并签署竣工验收报告</w:t>
      </w:r>
      <w:r>
        <w:rPr>
          <w:rFonts w:hint="eastAsia" w:ascii="宋体" w:hAnsi="宋体" w:eastAsia="宋体" w:cs="宋体"/>
          <w:color w:val="auto"/>
          <w:sz w:val="21"/>
          <w:szCs w:val="21"/>
          <w:highlight w:val="none"/>
        </w:rPr>
        <w:t>。</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rPr>
          <w:rFonts w:hint="eastAsia" w:ascii="宋体" w:hAnsi="宋体" w:eastAsia="宋体" w:cs="宋体"/>
          <w:color w:val="auto"/>
          <w:sz w:val="21"/>
          <w:szCs w:val="21"/>
          <w:highlight w:val="none"/>
        </w:rPr>
      </w:pPr>
      <w:bookmarkStart w:id="75" w:name="_Toc106034635"/>
      <w:bookmarkStart w:id="76" w:name="_Toc65660344"/>
      <w:bookmarkStart w:id="77" w:name="_Toc122"/>
      <w:bookmarkStart w:id="78" w:name="_Toc12184"/>
      <w:bookmarkStart w:id="79" w:name="_Toc8262"/>
      <w:bookmarkStart w:id="80" w:name="_Toc10036"/>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、报价要求</w:t>
      </w:r>
      <w:bookmarkEnd w:id="75"/>
      <w:bookmarkEnd w:id="76"/>
      <w:bookmarkEnd w:id="77"/>
      <w:bookmarkEnd w:id="78"/>
      <w:bookmarkEnd w:id="79"/>
      <w:bookmarkEnd w:id="80"/>
    </w:p>
    <w:p>
      <w:pPr>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bookmarkStart w:id="81" w:name="_Toc65660345"/>
      <w:bookmarkStart w:id="82" w:name="_Toc9192"/>
      <w:bookmarkStart w:id="83" w:name="_Toc106034636"/>
      <w:bookmarkStart w:id="84" w:name="_Toc7562"/>
      <w:r>
        <w:rPr>
          <w:rFonts w:hint="eastAsia" w:ascii="宋体" w:hAnsi="宋体" w:eastAsia="宋体" w:cs="宋体"/>
          <w:color w:val="auto"/>
          <w:sz w:val="21"/>
          <w:szCs w:val="21"/>
          <w:highlight w:val="none"/>
          <w:lang w:eastAsia="zh-CN"/>
        </w:rPr>
        <w:t>本次报价须为人民币报价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包含但不限于建设工程人工费、材料费、施工机具使用费、资料费、后期维护费、企业管理费、利润、风险费、税金、工程相关施工手续的办理审批、施工、管理、保险、周边社会关系协调费等所有费用。因成交供应商自身原因造成漏报、少报皆由其自行</w:t>
      </w:r>
      <w:r>
        <w:rPr>
          <w:rFonts w:hint="eastAsia" w:ascii="宋体" w:hAnsi="宋体" w:eastAsia="宋体" w:cs="宋体"/>
          <w:color w:val="auto"/>
          <w:sz w:val="21"/>
          <w:szCs w:val="21"/>
          <w:highlight w:val="none"/>
          <w:lang w:eastAsia="zh-CN"/>
        </w:rPr>
        <w:t>承担责任，采购人不再补偿。</w:t>
      </w:r>
    </w:p>
    <w:p>
      <w:pPr>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安全生产费计费费率为2.5%，安全生产费具体金额由供应商自行计算填报，不作为竞争性报价，也不作评审要求。安全生产费结算时，按建筑安装工程总造价（不含设备费）的2.5%按实结算。</w:t>
      </w:r>
    </w:p>
    <w:p>
      <w:pPr>
        <w:pStyle w:val="4"/>
        <w:pageBreakBefore w:val="0"/>
        <w:widowControl w:val="0"/>
        <w:kinsoku/>
        <w:wordWrap/>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bookmarkStart w:id="85" w:name="_Toc12967"/>
      <w:bookmarkStart w:id="86" w:name="_Toc2581"/>
      <w:r>
        <w:rPr>
          <w:rFonts w:hint="eastAsia" w:ascii="宋体" w:hAnsi="宋体" w:eastAsia="宋体" w:cs="宋体"/>
          <w:color w:val="auto"/>
          <w:kern w:val="2"/>
          <w:sz w:val="21"/>
          <w:szCs w:val="21"/>
          <w:highlight w:val="none"/>
          <w:lang w:val="en-US" w:eastAsia="zh-CN" w:bidi="ar-SA"/>
        </w:rPr>
        <w:t>三、付款方式</w:t>
      </w:r>
      <w:bookmarkEnd w:id="81"/>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bookmarkStart w:id="87" w:name="_Toc106034637"/>
      <w:bookmarkStart w:id="88" w:name="_Toc24751"/>
      <w:bookmarkStart w:id="89" w:name="_Toc7228"/>
      <w:bookmarkStart w:id="90" w:name="_Toc65660346"/>
      <w:r>
        <w:rPr>
          <w:rFonts w:hint="eastAsia" w:ascii="宋体" w:hAnsi="宋体" w:eastAsia="宋体" w:cs="宋体"/>
          <w:color w:val="auto"/>
          <w:sz w:val="21"/>
          <w:szCs w:val="21"/>
          <w:highlight w:val="none"/>
          <w:lang w:val="en-US" w:eastAsia="zh-CN"/>
        </w:rPr>
        <w:t>工程开工后，经区行业主管部门确认后支付至合同价款的50%；项目进度过半，由项目法人单位申请、区行业主管部门复核确认后支付至合同价款的80%；工程竣工验收合格后，由项目法人单位提出申请，按程序报区行业主管部门审核后支付至审定金额的97%。余下审定金额的3%作为工程质量保证金，从竣工验收合格之日起到质保期满并修复完成缺陷后，30日内无息退还(具体以签订合同约定时间为准)。</w:t>
      </w:r>
    </w:p>
    <w:bookmarkEnd w:id="87"/>
    <w:bookmarkEnd w:id="88"/>
    <w:bookmarkEnd w:id="89"/>
    <w:bookmarkEnd w:id="90"/>
    <w:p>
      <w:pPr>
        <w:pStyle w:val="4"/>
        <w:pageBreakBefore w:val="0"/>
        <w:widowControl w:val="0"/>
        <w:kinsoku/>
        <w:wordWrap/>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bookmarkStart w:id="91" w:name="_Toc23"/>
      <w:bookmarkStart w:id="92" w:name="_Toc30732"/>
      <w:bookmarkStart w:id="93" w:name="_Toc106034639"/>
      <w:bookmarkStart w:id="94" w:name="_Toc65660348"/>
      <w:bookmarkStart w:id="95" w:name="_Toc21248"/>
      <w:bookmarkStart w:id="96" w:name="_Toc31659"/>
      <w:r>
        <w:rPr>
          <w:rFonts w:hint="eastAsia" w:ascii="宋体" w:hAnsi="宋体" w:eastAsia="宋体" w:cs="宋体"/>
          <w:color w:val="auto"/>
          <w:kern w:val="2"/>
          <w:sz w:val="21"/>
          <w:szCs w:val="21"/>
          <w:highlight w:val="none"/>
          <w:lang w:val="en-US" w:eastAsia="zh-CN" w:bidi="ar-SA"/>
        </w:rPr>
        <w:t>四、履约担保</w:t>
      </w:r>
      <w:bookmarkEnd w:id="91"/>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人是否提供履约担保：</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承包人</w:t>
      </w:r>
      <w:r>
        <w:rPr>
          <w:rFonts w:hint="eastAsia" w:ascii="宋体" w:hAnsi="宋体" w:eastAsia="宋体" w:cs="宋体"/>
          <w:color w:val="auto"/>
          <w:kern w:val="0"/>
          <w:sz w:val="21"/>
          <w:szCs w:val="21"/>
          <w:highlight w:val="none"/>
        </w:rPr>
        <w:t>提供履约担保的形式、金额及期限：</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（1）履约担保的形式：现金或</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保函或现金+</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保函的组合</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保函包括银行保函、保证保险和担保保函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其示范文本详见第四章合同条款及格式附件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承包人提交的履约保函应</w:t>
      </w:r>
      <w:r>
        <w:rPr>
          <w:rFonts w:hint="eastAsia" w:ascii="宋体" w:hAnsi="宋体" w:eastAsia="宋体" w:cs="宋体"/>
          <w:color w:val="auto"/>
          <w:kern w:val="0"/>
          <w:sz w:val="21"/>
          <w:szCs w:val="21"/>
          <w:highlight w:val="none"/>
        </w:rPr>
        <w:t>严格执行</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示范文本，不得对示范文本中的实质性内容进行修改</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（2）具体要求：履约保函</w:t>
      </w:r>
      <w:r>
        <w:rPr>
          <w:rFonts w:hint="eastAsia" w:ascii="宋体" w:hAnsi="宋体" w:eastAsia="宋体" w:cs="宋体"/>
          <w:color w:val="auto"/>
          <w:kern w:val="0"/>
          <w:sz w:val="21"/>
          <w:szCs w:val="21"/>
          <w:highlight w:val="none"/>
        </w:rPr>
        <w:t>的开立人应当是具有相应资格的银行、保险机构、融资担保公司，其信用资质、履约能力、担保能力、赔付流程、安全保密等应符合</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保函业务条件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履约保函</w:t>
      </w:r>
      <w:r>
        <w:rPr>
          <w:rFonts w:hint="eastAsia" w:ascii="宋体" w:hAnsi="宋体" w:eastAsia="宋体" w:cs="宋体"/>
          <w:color w:val="auto"/>
          <w:kern w:val="0"/>
          <w:sz w:val="21"/>
          <w:szCs w:val="21"/>
          <w:highlight w:val="none"/>
          <w:lang w:eastAsia="zh-CN"/>
        </w:rPr>
        <w:t>应合法合规，符合招投标行政监督部门、行业主管部门和金融监管部门的相关规定，满足磋商文件约定要求。</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应选择在渝依法设立总部或者设有分支机构的金融机构开具</w:t>
      </w:r>
      <w:r>
        <w:rPr>
          <w:rFonts w:hint="eastAsia" w:ascii="宋体" w:hAnsi="宋体" w:eastAsia="宋体" w:cs="宋体"/>
          <w:color w:val="auto"/>
          <w:kern w:val="0"/>
          <w:sz w:val="21"/>
          <w:szCs w:val="21"/>
          <w:highlight w:val="none"/>
          <w:lang w:val="en-US" w:eastAsia="zh-CN"/>
        </w:rPr>
        <w:t>履约保函（包括纸质保函或电子保函）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履约保函为纸质保函的，纸质保函应注明在</w:t>
      </w:r>
      <w:r>
        <w:rPr>
          <w:rFonts w:hint="eastAsia" w:ascii="宋体" w:hAnsi="宋体" w:eastAsia="宋体" w:cs="宋体"/>
          <w:color w:val="auto"/>
          <w:kern w:val="0"/>
          <w:sz w:val="21"/>
          <w:szCs w:val="21"/>
          <w:highlight w:val="none"/>
        </w:rPr>
        <w:t>重庆市辖区范围内的核验地址和核验方式，并确保该纸质保函能在开立人在渝的总部或者分支机构进行核验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承包人对所提交的履约保函的真实性、合法性、有效性负责</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）履约担保的金额：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中标金额的</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b w:val="0"/>
          <w:bCs/>
          <w:color w:val="auto"/>
          <w:sz w:val="21"/>
          <w:szCs w:val="21"/>
          <w:highlight w:val="none"/>
        </w:rPr>
        <w:t>保证金</w:t>
      </w:r>
      <w:r>
        <w:rPr>
          <w:rFonts w:hint="eastAsia" w:ascii="宋体" w:hAnsi="宋体" w:eastAsia="宋体" w:cs="宋体"/>
          <w:b w:val="0"/>
          <w:bCs/>
          <w:color w:val="auto"/>
          <w:sz w:val="21"/>
          <w:szCs w:val="21"/>
          <w:highlight w:val="none"/>
          <w:lang w:eastAsia="zh-CN"/>
        </w:rPr>
        <w:t>为</w:t>
      </w:r>
      <w:r>
        <w:rPr>
          <w:rFonts w:hint="eastAsia" w:ascii="宋体" w:hAnsi="宋体" w:eastAsia="宋体" w:cs="宋体"/>
          <w:b w:val="0"/>
          <w:bCs/>
          <w:color w:val="auto"/>
          <w:sz w:val="21"/>
          <w:szCs w:val="21"/>
          <w:highlight w:val="none"/>
        </w:rPr>
        <w:t>人民币（大写）</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）履约担保的提交时间：从</w:t>
      </w:r>
      <w:r>
        <w:rPr>
          <w:rFonts w:hint="eastAsia" w:ascii="宋体" w:hAnsi="宋体" w:eastAsia="宋体" w:cs="宋体"/>
          <w:color w:val="auto"/>
          <w:kern w:val="0"/>
          <w:sz w:val="21"/>
          <w:szCs w:val="21"/>
          <w:highlight w:val="none"/>
          <w:lang w:eastAsia="zh-CN"/>
        </w:rPr>
        <w:t>发包</w:t>
      </w:r>
      <w:r>
        <w:rPr>
          <w:rFonts w:hint="eastAsia" w:ascii="宋体" w:hAnsi="宋体" w:eastAsia="宋体" w:cs="宋体"/>
          <w:color w:val="auto"/>
          <w:kern w:val="0"/>
          <w:sz w:val="21"/>
          <w:szCs w:val="21"/>
          <w:highlight w:val="none"/>
        </w:rPr>
        <w:t>人中标通知书送达拟</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人之日起5个工作日内（</w:t>
      </w:r>
      <w:r>
        <w:rPr>
          <w:rFonts w:hint="eastAsia" w:ascii="宋体" w:hAnsi="宋体" w:eastAsia="宋体" w:cs="宋体"/>
          <w:color w:val="auto"/>
          <w:kern w:val="0"/>
          <w:sz w:val="21"/>
          <w:szCs w:val="21"/>
          <w:highlight w:val="none"/>
          <w:u w:val="none"/>
          <w:lang w:val="en-US" w:eastAsia="zh-CN"/>
        </w:rPr>
        <w:t>履约</w:t>
      </w:r>
      <w:r>
        <w:rPr>
          <w:rFonts w:hint="eastAsia" w:ascii="宋体" w:hAnsi="宋体" w:eastAsia="宋体" w:cs="宋体"/>
          <w:color w:val="auto"/>
          <w:kern w:val="0"/>
          <w:sz w:val="21"/>
          <w:szCs w:val="21"/>
          <w:highlight w:val="none"/>
          <w:u w:val="none"/>
        </w:rPr>
        <w:t>保函</w:t>
      </w:r>
      <w:r>
        <w:rPr>
          <w:rFonts w:hint="eastAsia" w:ascii="宋体" w:hAnsi="宋体" w:eastAsia="宋体" w:cs="宋体"/>
          <w:color w:val="auto"/>
          <w:kern w:val="0"/>
          <w:sz w:val="21"/>
          <w:szCs w:val="21"/>
          <w:highlight w:val="none"/>
        </w:rPr>
        <w:t>提交时限为15个工作日）按规定金额向</w:t>
      </w:r>
      <w:r>
        <w:rPr>
          <w:rFonts w:hint="eastAsia" w:ascii="宋体" w:hAnsi="宋体" w:eastAsia="宋体" w:cs="宋体"/>
          <w:color w:val="auto"/>
          <w:kern w:val="0"/>
          <w:sz w:val="21"/>
          <w:szCs w:val="21"/>
          <w:highlight w:val="none"/>
          <w:lang w:eastAsia="zh-CN"/>
        </w:rPr>
        <w:t>发包</w:t>
      </w:r>
      <w:r>
        <w:rPr>
          <w:rFonts w:hint="eastAsia" w:ascii="宋体" w:hAnsi="宋体" w:eastAsia="宋体" w:cs="宋体"/>
          <w:color w:val="auto"/>
          <w:kern w:val="0"/>
          <w:sz w:val="21"/>
          <w:szCs w:val="21"/>
          <w:highlight w:val="none"/>
        </w:rPr>
        <w:t>人提交履约担保，并作为签定施工合同的必备条件。若未按要求提交的，视为放弃中标，其</w:t>
      </w:r>
      <w:r>
        <w:rPr>
          <w:rFonts w:hint="eastAsia" w:ascii="宋体" w:hAnsi="宋体" w:eastAsia="宋体" w:cs="宋体"/>
          <w:color w:val="auto"/>
          <w:kern w:val="0"/>
          <w:sz w:val="21"/>
          <w:szCs w:val="21"/>
          <w:highlight w:val="none"/>
          <w:lang w:eastAsia="zh-CN"/>
        </w:rPr>
        <w:t>磋商保证金</w:t>
      </w:r>
      <w:r>
        <w:rPr>
          <w:rFonts w:hint="eastAsia" w:ascii="宋体" w:hAnsi="宋体" w:eastAsia="宋体" w:cs="宋体"/>
          <w:color w:val="auto"/>
          <w:kern w:val="0"/>
          <w:sz w:val="21"/>
          <w:szCs w:val="21"/>
          <w:highlight w:val="none"/>
        </w:rPr>
        <w:t>不予退还，并依法重新确定</w:t>
      </w:r>
      <w:r>
        <w:rPr>
          <w:rFonts w:hint="eastAsia" w:ascii="宋体" w:hAnsi="宋体" w:eastAsia="宋体" w:cs="宋体"/>
          <w:color w:val="auto"/>
          <w:kern w:val="0"/>
          <w:sz w:val="21"/>
          <w:szCs w:val="21"/>
          <w:highlight w:val="none"/>
          <w:lang w:eastAsia="zh-CN"/>
        </w:rPr>
        <w:t>承包人</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）履约担保的期限：</w:t>
      </w:r>
      <w:r>
        <w:rPr>
          <w:rFonts w:hint="eastAsia" w:ascii="宋体" w:hAnsi="宋体" w:eastAsia="宋体" w:cs="宋体"/>
          <w:color w:val="auto"/>
          <w:sz w:val="21"/>
          <w:szCs w:val="21"/>
          <w:highlight w:val="none"/>
          <w:u w:val="single"/>
        </w:rPr>
        <w:t>自</w:t>
      </w:r>
      <w:r>
        <w:rPr>
          <w:rFonts w:hint="eastAsia" w:ascii="宋体" w:hAnsi="宋体" w:eastAsia="宋体" w:cs="宋体"/>
          <w:color w:val="auto"/>
          <w:sz w:val="21"/>
          <w:szCs w:val="21"/>
          <w:highlight w:val="none"/>
          <w:u w:val="single"/>
          <w:lang w:eastAsia="zh-CN"/>
        </w:rPr>
        <w:t>履约</w:t>
      </w:r>
      <w:r>
        <w:rPr>
          <w:rFonts w:hint="eastAsia" w:ascii="宋体" w:hAnsi="宋体" w:eastAsia="宋体" w:cs="宋体"/>
          <w:color w:val="auto"/>
          <w:sz w:val="21"/>
          <w:szCs w:val="21"/>
          <w:highlight w:val="none"/>
          <w:u w:val="single"/>
        </w:rPr>
        <w:t>担保生效之日起至工程</w:t>
      </w:r>
      <w:r>
        <w:rPr>
          <w:rFonts w:hint="eastAsia" w:ascii="宋体" w:hAnsi="宋体" w:eastAsia="宋体" w:cs="宋体"/>
          <w:color w:val="auto"/>
          <w:sz w:val="21"/>
          <w:szCs w:val="21"/>
          <w:highlight w:val="none"/>
          <w:u w:val="single"/>
          <w:lang w:eastAsia="zh-CN"/>
        </w:rPr>
        <w:t>完工</w:t>
      </w:r>
      <w:r>
        <w:rPr>
          <w:rFonts w:hint="eastAsia" w:ascii="宋体" w:hAnsi="宋体" w:eastAsia="宋体" w:cs="宋体"/>
          <w:color w:val="auto"/>
          <w:sz w:val="21"/>
          <w:szCs w:val="21"/>
          <w:highlight w:val="none"/>
          <w:u w:val="single"/>
        </w:rPr>
        <w:t>验收合格之日止</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）履约担保的退还时间：</w:t>
      </w:r>
      <w:r>
        <w:rPr>
          <w:rFonts w:hint="eastAsia" w:ascii="宋体" w:hAnsi="宋体" w:eastAsia="宋体" w:cs="宋体"/>
          <w:color w:val="auto"/>
          <w:kern w:val="0"/>
          <w:sz w:val="21"/>
          <w:szCs w:val="21"/>
          <w:highlight w:val="none"/>
          <w:u w:val="single"/>
          <w:lang w:eastAsia="zh-CN"/>
        </w:rPr>
        <w:t>完工</w:t>
      </w:r>
      <w:r>
        <w:rPr>
          <w:rFonts w:hint="eastAsia" w:ascii="宋体" w:hAnsi="宋体" w:eastAsia="宋体" w:cs="宋体"/>
          <w:color w:val="auto"/>
          <w:kern w:val="0"/>
          <w:sz w:val="21"/>
          <w:szCs w:val="21"/>
          <w:highlight w:val="none"/>
          <w:u w:val="single"/>
        </w:rPr>
        <w:t>验收合格且</w:t>
      </w:r>
      <w:r>
        <w:rPr>
          <w:rFonts w:hint="eastAsia" w:ascii="宋体" w:hAnsi="宋体" w:eastAsia="宋体" w:cs="宋体"/>
          <w:color w:val="auto"/>
          <w:kern w:val="0"/>
          <w:sz w:val="21"/>
          <w:szCs w:val="21"/>
          <w:highlight w:val="none"/>
          <w:u w:val="single"/>
          <w:lang w:eastAsia="zh-CN"/>
        </w:rPr>
        <w:t>发包</w:t>
      </w:r>
      <w:r>
        <w:rPr>
          <w:rFonts w:hint="eastAsia" w:ascii="宋体" w:hAnsi="宋体" w:eastAsia="宋体" w:cs="宋体"/>
          <w:color w:val="auto"/>
          <w:kern w:val="0"/>
          <w:sz w:val="21"/>
          <w:szCs w:val="21"/>
          <w:highlight w:val="none"/>
          <w:u w:val="single"/>
        </w:rPr>
        <w:t>人收到</w:t>
      </w:r>
      <w:r>
        <w:rPr>
          <w:rFonts w:hint="eastAsia" w:ascii="宋体" w:hAnsi="宋体" w:eastAsia="宋体" w:cs="宋体"/>
          <w:color w:val="auto"/>
          <w:kern w:val="0"/>
          <w:sz w:val="21"/>
          <w:szCs w:val="21"/>
          <w:highlight w:val="none"/>
          <w:u w:val="single"/>
          <w:lang w:eastAsia="zh-CN"/>
        </w:rPr>
        <w:t>承包</w:t>
      </w:r>
      <w:r>
        <w:rPr>
          <w:rFonts w:hint="eastAsia" w:ascii="宋体" w:hAnsi="宋体" w:eastAsia="宋体" w:cs="宋体"/>
          <w:color w:val="auto"/>
          <w:kern w:val="0"/>
          <w:sz w:val="21"/>
          <w:szCs w:val="21"/>
          <w:highlight w:val="none"/>
          <w:u w:val="single"/>
        </w:rPr>
        <w:t>人提出的退还履约保证金的书面申请后，</w:t>
      </w:r>
      <w:r>
        <w:rPr>
          <w:rFonts w:hint="eastAsia" w:ascii="宋体" w:hAnsi="宋体" w:eastAsia="宋体" w:cs="宋体"/>
          <w:color w:val="auto"/>
          <w:kern w:val="0"/>
          <w:sz w:val="21"/>
          <w:szCs w:val="21"/>
          <w:highlight w:val="none"/>
          <w:u w:val="single"/>
          <w:lang w:eastAsia="zh-CN"/>
        </w:rPr>
        <w:t>发包</w:t>
      </w:r>
      <w:r>
        <w:rPr>
          <w:rFonts w:hint="eastAsia" w:ascii="宋体" w:hAnsi="宋体" w:eastAsia="宋体" w:cs="宋体"/>
          <w:color w:val="auto"/>
          <w:kern w:val="0"/>
          <w:sz w:val="21"/>
          <w:szCs w:val="21"/>
          <w:highlight w:val="none"/>
          <w:u w:val="single"/>
        </w:rPr>
        <w:t>人15个工作日内无息退还</w:t>
      </w:r>
      <w:r>
        <w:rPr>
          <w:rFonts w:hint="eastAsia" w:ascii="宋体" w:hAnsi="宋体" w:eastAsia="宋体" w:cs="宋体"/>
          <w:color w:val="auto"/>
          <w:kern w:val="0"/>
          <w:sz w:val="21"/>
          <w:szCs w:val="21"/>
          <w:highlight w:val="none"/>
          <w:u w:val="single"/>
          <w:lang w:eastAsia="zh-CN"/>
        </w:rPr>
        <w:t>承包</w:t>
      </w:r>
      <w:r>
        <w:rPr>
          <w:rFonts w:hint="eastAsia" w:ascii="宋体" w:hAnsi="宋体" w:eastAsia="宋体" w:cs="宋体"/>
          <w:color w:val="auto"/>
          <w:kern w:val="0"/>
          <w:sz w:val="21"/>
          <w:szCs w:val="21"/>
          <w:highlight w:val="none"/>
          <w:u w:val="single"/>
        </w:rPr>
        <w:t>人所缴纳的履约保证金</w:t>
      </w:r>
      <w:r>
        <w:rPr>
          <w:rFonts w:hint="eastAsia" w:ascii="宋体" w:hAnsi="宋体" w:eastAsia="宋体" w:cs="宋体"/>
          <w:color w:val="auto"/>
          <w:kern w:val="0"/>
          <w:sz w:val="21"/>
          <w:szCs w:val="21"/>
          <w:highlight w:val="none"/>
        </w:rPr>
        <w:t>。</w:t>
      </w:r>
    </w:p>
    <w:p>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97" w:name="_Toc13010"/>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其他</w:t>
      </w:r>
      <w:bookmarkEnd w:id="92"/>
      <w:bookmarkEnd w:id="93"/>
      <w:bookmarkEnd w:id="94"/>
      <w:bookmarkEnd w:id="95"/>
      <w:bookmarkEnd w:id="96"/>
      <w:bookmarkEnd w:id="97"/>
    </w:p>
    <w:p>
      <w:pPr>
        <w:pStyle w:val="4"/>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bookmarkStart w:id="98" w:name="_Toc28406"/>
      <w:bookmarkStart w:id="99" w:name="_Toc19016"/>
      <w:r>
        <w:rPr>
          <w:rFonts w:hint="eastAsia" w:ascii="宋体" w:hAnsi="宋体" w:eastAsia="宋体" w:cs="宋体"/>
          <w:b w:val="0"/>
          <w:color w:val="auto"/>
          <w:kern w:val="2"/>
          <w:sz w:val="21"/>
          <w:szCs w:val="21"/>
          <w:highlight w:val="none"/>
          <w:lang w:val="en-US" w:eastAsia="zh-CN" w:bidi="ar-SA"/>
        </w:rPr>
        <w:t>（一）供应商必须在响应文件中对以上条款和服务承诺明确列出，承诺内容必须达到本篇的要求。</w:t>
      </w:r>
      <w:bookmarkEnd w:id="98"/>
      <w:bookmarkEnd w:id="99"/>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（二）其他未尽事宜由供需双方在采购合同中详细约定。</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color w:val="auto"/>
          <w:sz w:val="24"/>
          <w:szCs w:val="18"/>
          <w:highlight w:val="none"/>
        </w:rPr>
      </w:pPr>
    </w:p>
    <w:p>
      <w:pPr>
        <w:pStyle w:val="4"/>
        <w:pageBreakBefore/>
        <w:spacing w:line="360" w:lineRule="auto"/>
        <w:jc w:val="center"/>
        <w:rPr>
          <w:rFonts w:hint="eastAsia" w:ascii="宋体" w:hAnsi="宋体" w:eastAsia="宋体" w:cs="宋体"/>
          <w:b w:val="0"/>
          <w:color w:val="auto"/>
          <w:sz w:val="36"/>
          <w:szCs w:val="30"/>
          <w:highlight w:val="none"/>
        </w:rPr>
      </w:pPr>
      <w:bookmarkStart w:id="100" w:name="_Toc76462332"/>
      <w:bookmarkStart w:id="101" w:name="_Toc27423"/>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100"/>
      <w:bookmarkEnd w:id="101"/>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bookmarkStart w:id="102" w:name="_Toc21366"/>
      <w:bookmarkStart w:id="103" w:name="_Toc76462333"/>
      <w:bookmarkStart w:id="104" w:name="_Toc12384"/>
      <w:bookmarkStart w:id="105" w:name="_Toc20171"/>
      <w:bookmarkStart w:id="106" w:name="_Toc21650"/>
      <w:bookmarkStart w:id="107" w:name="_Toc28549"/>
      <w:bookmarkStart w:id="108" w:name="_Toc106030395"/>
      <w:bookmarkStart w:id="109" w:name="_Toc25341"/>
      <w:bookmarkStart w:id="110" w:name="_Toc18909"/>
      <w:bookmarkStart w:id="111" w:name="_Toc26796"/>
      <w:bookmarkStart w:id="112" w:name="_Toc27015"/>
      <w:bookmarkStart w:id="113" w:name="_Toc30011"/>
      <w:bookmarkStart w:id="114" w:name="_Toc14824"/>
      <w:bookmarkStart w:id="115" w:name="_Toc27633"/>
      <w:bookmarkStart w:id="116" w:name="_Toc31997"/>
      <w:bookmarkStart w:id="117" w:name="_Toc9094"/>
      <w:bookmarkStart w:id="118" w:name="_Toc21934"/>
      <w:bookmarkStart w:id="119" w:name="_Toc30717"/>
      <w:bookmarkStart w:id="120" w:name="_Toc5620"/>
      <w:bookmarkStart w:id="121" w:name="_Toc9090"/>
      <w:bookmarkStart w:id="122" w:name="_Toc75793519"/>
      <w:bookmarkStart w:id="123" w:name="_Toc29140"/>
      <w:r>
        <w:rPr>
          <w:rFonts w:hint="eastAsia" w:ascii="宋体" w:hAnsi="宋体" w:eastAsia="宋体" w:cs="宋体"/>
          <w:color w:val="auto"/>
          <w:sz w:val="21"/>
          <w:szCs w:val="21"/>
          <w:highlight w:val="none"/>
        </w:rPr>
        <w:t>一、磋商程序及方法</w:t>
      </w:r>
      <w:bookmarkEnd w:id="102"/>
      <w:bookmarkEnd w:id="103"/>
      <w:bookmarkEnd w:id="104"/>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磋商小组由3人组成，其中：采购方授权代表1名，其余2名评审专家在专家库中随机抽取。</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（二）磋商小组对各供应商的资格条件、响应文件的有效性、完整性和响应程度进行审查。各供应商只有在完全符合要求的前提下，才能参与正式磋商。</w:t>
      </w:r>
    </w:p>
    <w:p>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资格性审查。依据法律法规和竞争性磋商文件的规定，对响应文件中的资格证明、等进行审查，以确定供应商是否具备磋商资格。资格性审查资料表如下：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709"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3118"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w:t>
            </w:r>
            <w:r>
              <w:rPr>
                <w:rFonts w:hint="eastAsia" w:ascii="宋体" w:hAnsi="宋体" w:eastAsia="宋体" w:cs="宋体"/>
                <w:color w:val="auto"/>
                <w:sz w:val="21"/>
                <w:szCs w:val="21"/>
                <w:highlight w:val="none"/>
                <w:lang w:val="en-US" w:eastAsia="zh-CN"/>
              </w:rPr>
              <w:t>条件</w:t>
            </w:r>
            <w:r>
              <w:rPr>
                <w:rFonts w:hint="eastAsia" w:ascii="宋体" w:hAnsi="宋体" w:eastAsia="宋体" w:cs="宋体"/>
                <w:color w:val="auto"/>
                <w:sz w:val="21"/>
                <w:szCs w:val="21"/>
                <w:highlight w:val="none"/>
              </w:rPr>
              <w:t>（三）本项目的特定资格要求”的要求提交。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w:t>
            </w:r>
            <w:r>
              <w:rPr>
                <w:rFonts w:hint="eastAsia" w:ascii="宋体" w:hAnsi="宋体" w:eastAsia="宋体" w:cs="宋体"/>
                <w:color w:val="auto"/>
                <w:sz w:val="21"/>
                <w:szCs w:val="21"/>
                <w:highlight w:val="none"/>
                <w:lang w:val="en-US" w:eastAsia="zh-CN"/>
              </w:rPr>
              <w:t>条件</w:t>
            </w:r>
            <w:r>
              <w:rPr>
                <w:rFonts w:hint="eastAsia" w:ascii="宋体" w:hAnsi="宋体" w:eastAsia="宋体" w:cs="宋体"/>
                <w:color w:val="auto"/>
                <w:sz w:val="21"/>
                <w:szCs w:val="21"/>
                <w:highlight w:val="none"/>
              </w:rPr>
              <w:t>（二）落实政府采购政策需满足的资格要求”的要求提交。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p>
        </w:tc>
        <w:tc>
          <w:tcPr>
            <w:tcW w:w="3827" w:type="dxa"/>
            <w:gridSpan w:val="2"/>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磋商保证金</w:t>
            </w:r>
          </w:p>
        </w:tc>
        <w:tc>
          <w:tcPr>
            <w:tcW w:w="4984" w:type="dxa"/>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文件要求足额交纳所投包的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position w:val="0"/>
          <w:sz w:val="21"/>
          <w:szCs w:val="21"/>
          <w:highlight w:val="none"/>
        </w:rPr>
        <w:instrText xml:space="preserve">,1)</w:instrTex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75"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5"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5" w:type="dxa"/>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文件数量符合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Merge w:val="restart"/>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ign w:val="center"/>
          </w:tcPr>
          <w:p>
            <w:pPr>
              <w:pStyle w:val="12"/>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ign w:val="center"/>
          </w:tcPr>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560" w:type="dxa"/>
            <w:vMerge w:val="continue"/>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zh-CN"/>
              </w:rPr>
            </w:pPr>
          </w:p>
        </w:tc>
        <w:tc>
          <w:tcPr>
            <w:tcW w:w="1984"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ign w:val="center"/>
          </w:tcPr>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（五）在磋商过程中磋商的任何一方不得向他人透露与磋商有关的技术资料、价格或其他信息。</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（七）供应商在磋商时作出的所有书面承诺须由法定代表人（或其授权代表）或自然人（供应商为自然人）签署。</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（八）经磋商确定最终采购需求且磋商结束后，磋商小组要求所有参加正式磋商的供应商在规定时间内以线上方式提交最后报价及有关承诺，系统界面会自动提示，供应商须完成以下步骤：</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①点击“二次报价”按钮，进入二次报价界面。</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②在“本轮报价”里输入第二次报价的金额。如需上传二次报价单价明细表或者其他附件，可以点击“报价附件”→“上传文件”按钮，完成二次报价单价明细表或者其他附件的上传。</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③提交报价，然后完成报价表签章，二次报价就操作成功了。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注：已提交电子响应文件但未在规定时间内进行最后报价的供应商，视为放弃最后报价，以供应商电子招投标系统中的最后一次报价为准。</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1"/>
          <w:szCs w:val="21"/>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（十）磋商小组各成员独立对每个有效响应（通过资格性审查、</w:t>
      </w:r>
      <w:r>
        <w:rPr>
          <w:rFonts w:hint="eastAsia" w:ascii="宋体" w:hAnsi="宋体" w:eastAsia="宋体" w:cs="宋体"/>
          <w:color w:val="auto"/>
          <w:kern w:val="0"/>
          <w:sz w:val="21"/>
          <w:szCs w:val="21"/>
          <w:highlight w:val="none"/>
        </w:rPr>
        <w:t>符合性审查的供应商</w:t>
      </w:r>
      <w:r>
        <w:rPr>
          <w:rFonts w:hint="eastAsia" w:ascii="宋体" w:hAnsi="宋体" w:eastAsia="宋体" w:cs="宋体"/>
          <w:color w:val="auto"/>
          <w:sz w:val="21"/>
          <w:szCs w:val="21"/>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pPr>
        <w:pStyle w:val="4"/>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bookmarkStart w:id="124" w:name="_Toc76462334"/>
      <w:bookmarkStart w:id="125" w:name="_Toc25147"/>
      <w:bookmarkStart w:id="126" w:name="_Toc4347"/>
      <w:r>
        <w:rPr>
          <w:rFonts w:hint="eastAsia" w:ascii="宋体" w:hAnsi="宋体" w:eastAsia="宋体" w:cs="宋体"/>
          <w:color w:val="auto"/>
          <w:sz w:val="21"/>
          <w:szCs w:val="21"/>
          <w:highlight w:val="none"/>
        </w:rPr>
        <w:t>二、评审标准</w:t>
      </w:r>
      <w:bookmarkEnd w:id="124"/>
      <w:bookmarkEnd w:id="125"/>
      <w:bookmarkEnd w:id="126"/>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tbl>
      <w:tblPr>
        <w:tblStyle w:val="20"/>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37"/>
        <w:gridCol w:w="1185"/>
        <w:gridCol w:w="4861"/>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评分因素及权重</w:t>
            </w:r>
          </w:p>
        </w:tc>
        <w:tc>
          <w:tcPr>
            <w:tcW w:w="1185"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4861"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2167" w:type="dxa"/>
            <w:noWrap/>
            <w:vAlign w:val="center"/>
          </w:tcPr>
          <w:p>
            <w:pPr>
              <w:pStyle w:val="28"/>
              <w:keepNext w:val="0"/>
              <w:keepLines w:val="0"/>
              <w:pageBreakBefore w:val="0"/>
              <w:widowControl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7" w:type="dxa"/>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185" w:type="dxa"/>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分</w:t>
            </w:r>
          </w:p>
        </w:tc>
        <w:tc>
          <w:tcPr>
            <w:tcW w:w="4861" w:type="dxa"/>
            <w:noWrap/>
            <w:vAlign w:val="center"/>
          </w:tcPr>
          <w:p>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167" w:type="dxa"/>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restart"/>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部分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w:t>
            </w:r>
          </w:p>
        </w:tc>
        <w:tc>
          <w:tcPr>
            <w:tcW w:w="118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60分</w:t>
            </w:r>
          </w:p>
        </w:tc>
        <w:tc>
          <w:tcPr>
            <w:tcW w:w="4861" w:type="dxa"/>
            <w:noWrap/>
            <w:vAlign w:val="center"/>
          </w:tcPr>
          <w:p>
            <w:pPr>
              <w:keepNext w:val="0"/>
              <w:keepLines w:val="0"/>
              <w:pageBreakBefore w:val="0"/>
              <w:numPr>
                <w:ilvl w:val="0"/>
                <w:numId w:val="0"/>
              </w:numPr>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1、项目理解及需求分析（10分）</w:t>
            </w:r>
          </w:p>
          <w:p>
            <w:pPr>
              <w:keepNext w:val="0"/>
              <w:keepLines w:val="0"/>
              <w:pageBreakBefore w:val="0"/>
              <w:numPr>
                <w:ilvl w:val="0"/>
                <w:numId w:val="0"/>
              </w:numPr>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对本项目实施的重点、难点分析和解决方案进行整体分析。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根据供应商提供方案进行评分，优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提供得0分</w:t>
            </w:r>
            <w:r>
              <w:rPr>
                <w:rFonts w:hint="eastAsia" w:ascii="宋体" w:hAnsi="宋体" w:eastAsia="宋体" w:cs="宋体"/>
                <w:color w:val="auto"/>
                <w:sz w:val="21"/>
                <w:szCs w:val="21"/>
                <w:highlight w:val="none"/>
                <w:lang w:val="en-US" w:eastAsia="zh-CN"/>
              </w:rPr>
              <w:t>。</w:t>
            </w:r>
          </w:p>
        </w:tc>
        <w:tc>
          <w:tcPr>
            <w:tcW w:w="2167" w:type="dxa"/>
            <w:vMerge w:val="restart"/>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根据供应商提供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方案进行评分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优标准：内容完整，科学合理，可操作性强，符合项目实际情况；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良标准：内容较完整，较科学合理，可操作性较强，较符合项目实际情况；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一般标准：内容基本完整，基本科学合理，可操作性一般，基本符合项目实际情况；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差标准：内容不完整性，科学合理性较差，可操作性较差，内容与项目实际情况不符。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4861" w:type="dxa"/>
            <w:noWrap/>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rPr>
              <w:t>2、白蚁药物实施方案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因水库大坝为涉水建筑物，库区周边村庄、牲畜较多，为防止药品污染水库上下游水质，所以对药品使用安全性要求较高。</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需制定完善的药物实施管理方案，包括药物配比计量、药品种类及作用特点、药品使用安全及管理规范，并确保使用的白蚁防治药品符合环保标准及人畜安全等进行综合评分。</w:t>
            </w:r>
          </w:p>
          <w:p>
            <w:pPr>
              <w:pStyle w:val="31"/>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根据供应商提供方案进行评分，优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提供得0分</w:t>
            </w:r>
            <w:r>
              <w:rPr>
                <w:rFonts w:hint="eastAsia" w:ascii="宋体" w:hAnsi="宋体" w:eastAsia="宋体" w:cs="宋体"/>
                <w:color w:val="auto"/>
                <w:sz w:val="21"/>
                <w:szCs w:val="21"/>
                <w:highlight w:val="none"/>
                <w:lang w:val="en-US" w:eastAsia="zh-CN"/>
              </w:rPr>
              <w:t>。</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p>
        </w:tc>
        <w:tc>
          <w:tcPr>
            <w:tcW w:w="4861" w:type="dxa"/>
            <w:noWrap/>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rPr>
              <w:t>3、白蚁防治治理方案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于白蚁在堤坝内密集营巢，迅速繁殖，菌圃星罗棋布，蚁道四通八达，有些蚁道甚至穿通堤坝的内外坡，当汛期水位升高时，常常出现管漏险情，更严重易酿成塌堤垮坝危险。投标供应商应根据此项目特点，提出有效的白蚁灭治方法及防治措施等进行综合评分。</w:t>
            </w:r>
          </w:p>
          <w:p>
            <w:pPr>
              <w:pStyle w:val="31"/>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根据供应商提供方案进行评分，优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分，一般得5分，差</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提供得0分。</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p>
        </w:tc>
        <w:tc>
          <w:tcPr>
            <w:tcW w:w="4861" w:type="dxa"/>
            <w:noWrap/>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color w:val="auto"/>
                <w:sz w:val="21"/>
                <w:szCs w:val="21"/>
                <w:highlight w:val="none"/>
                <w:lang w:val="en-US" w:eastAsia="zh-CN"/>
              </w:rPr>
              <w:t>4、施工进度计划及保障措施</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为保障本项目顺利完成，需做好施工总体规划。科学合理地安排施工程序及施工进度，各关键节点工期切实可行。工作总体进度计划合理、控制性项目安排得当。项目管理、资金保障、人员配备、施工方案、技术保证措施、工期保证措施全面、合理等进行综合评分。 </w:t>
            </w:r>
          </w:p>
          <w:p>
            <w:pPr>
              <w:pStyle w:val="31"/>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根据供应商提供方案进行评分，优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提供得0分</w:t>
            </w:r>
            <w:r>
              <w:rPr>
                <w:rFonts w:hint="eastAsia" w:ascii="宋体" w:hAnsi="宋体" w:eastAsia="宋体" w:cs="宋体"/>
                <w:color w:val="auto"/>
                <w:sz w:val="21"/>
                <w:szCs w:val="21"/>
                <w:highlight w:val="none"/>
                <w:lang w:val="en-US" w:eastAsia="zh-CN"/>
              </w:rPr>
              <w:t>。</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p>
        </w:tc>
        <w:tc>
          <w:tcPr>
            <w:tcW w:w="4861" w:type="dxa"/>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5、安全管理体系与保障措施（5分）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为确保项目安全文明施工，需制定完善的安全管理体系及制度，并建立施工安全保障措施。</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根据供应商提供方案进行评分，优得5分，良得3分，一般得2分，差得1分，未提供得0分。</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lang w:eastAsia="zh-CN"/>
              </w:rPr>
            </w:pPr>
          </w:p>
        </w:tc>
        <w:tc>
          <w:tcPr>
            <w:tcW w:w="4861" w:type="dxa"/>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6、</w:t>
            </w:r>
            <w:r>
              <w:rPr>
                <w:rFonts w:hint="eastAsia" w:ascii="宋体" w:hAnsi="宋体" w:eastAsia="宋体" w:cs="宋体"/>
                <w:i w:val="0"/>
                <w:iCs w:val="0"/>
                <w:color w:val="auto"/>
                <w:kern w:val="0"/>
                <w:sz w:val="21"/>
                <w:szCs w:val="21"/>
                <w:highlight w:val="none"/>
                <w:u w:val="none"/>
                <w:lang w:val="en-US" w:eastAsia="zh-CN" w:bidi="ar"/>
              </w:rPr>
              <w:t>水源地保护措施（5分）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因水库大坝为涉水建筑物，应该加强水源地保护，采取有效措施防止水污染和破坏，特别是本次施工将涉及到部分饮用水源， 需按照现行法律法规以及相关规范及标准制定水源地保护措施。</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根据供应商提供方案进行评分，优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w:t>
            </w:r>
            <w:r>
              <w:rPr>
                <w:rFonts w:hint="eastAsia" w:ascii="宋体" w:hAnsi="宋体" w:eastAsia="宋体" w:cs="宋体"/>
                <w:color w:val="auto"/>
                <w:sz w:val="21"/>
                <w:szCs w:val="21"/>
                <w:highlight w:val="none"/>
              </w:rPr>
              <w:t>提供得0分</w:t>
            </w:r>
            <w:r>
              <w:rPr>
                <w:rFonts w:hint="eastAsia" w:ascii="宋体" w:hAnsi="宋体" w:eastAsia="宋体" w:cs="宋体"/>
                <w:color w:val="auto"/>
                <w:sz w:val="21"/>
                <w:szCs w:val="21"/>
                <w:highlight w:val="none"/>
                <w:lang w:val="en-US" w:eastAsia="zh-CN"/>
              </w:rPr>
              <w:t>。</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4861" w:type="dxa"/>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color w:val="auto"/>
                <w:sz w:val="21"/>
                <w:szCs w:val="21"/>
                <w:highlight w:val="none"/>
                <w:lang w:val="en-US" w:eastAsia="zh-CN"/>
              </w:rPr>
              <w:t>质保期服务方案（5分）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为了确保项目质保期内将白蚁控制在不危害水库堤坝安全的水平，需制定完善的服务方案。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根据供应商提供方案进行评分，优得5分，良得3分，一般得2分，差得1分，未提供得0分。</w:t>
            </w:r>
          </w:p>
        </w:tc>
        <w:tc>
          <w:tcPr>
            <w:tcW w:w="216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restart"/>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商务部分（20%）</w:t>
            </w:r>
          </w:p>
        </w:tc>
        <w:tc>
          <w:tcPr>
            <w:tcW w:w="11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项目人员配置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（12分）</w:t>
            </w:r>
          </w:p>
        </w:tc>
        <w:tc>
          <w:tcPr>
            <w:tcW w:w="4861" w:type="dxa"/>
            <w:noWrap/>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供应商拟派</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i w:val="0"/>
                <w:iCs w:val="0"/>
                <w:color w:val="auto"/>
                <w:kern w:val="0"/>
                <w:sz w:val="21"/>
                <w:szCs w:val="21"/>
                <w:highlight w:val="none"/>
                <w:u w:val="none"/>
                <w:lang w:val="en-US" w:eastAsia="zh-CN" w:bidi="ar"/>
              </w:rPr>
              <w:t>的项目负责人具有</w:t>
            </w:r>
            <w:r>
              <w:rPr>
                <w:rFonts w:hint="eastAsia" w:ascii="宋体" w:hAnsi="宋体" w:eastAsia="宋体" w:cs="宋体"/>
                <w:color w:val="auto"/>
                <w:sz w:val="21"/>
                <w:szCs w:val="21"/>
                <w:highlight w:val="none"/>
                <w:lang w:val="en-US" w:eastAsia="zh-CN"/>
              </w:rPr>
              <w:t>白蚁防治员（高级）证书或具有有害生物防制工程师（高级）证书的</w:t>
            </w:r>
            <w:r>
              <w:rPr>
                <w:rFonts w:hint="eastAsia" w:ascii="宋体" w:hAnsi="宋体" w:eastAsia="宋体" w:cs="宋体"/>
                <w:i w:val="0"/>
                <w:iCs w:val="0"/>
                <w:color w:val="auto"/>
                <w:kern w:val="0"/>
                <w:sz w:val="21"/>
                <w:szCs w:val="21"/>
                <w:highlight w:val="none"/>
                <w:u w:val="none"/>
                <w:lang w:val="en-US" w:eastAsia="zh-CN" w:bidi="ar"/>
              </w:rPr>
              <w:t>得3分；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供应商拟派的技术负责人具有水利水电高级及以上职称证书，且同时具有白蚁防治工程师证书</w:t>
            </w:r>
            <w:r>
              <w:rPr>
                <w:rFonts w:hint="eastAsia" w:ascii="宋体" w:hAnsi="宋体" w:eastAsia="宋体" w:cs="宋体"/>
                <w:color w:val="auto"/>
                <w:sz w:val="21"/>
                <w:szCs w:val="21"/>
                <w:highlight w:val="none"/>
                <w:lang w:val="en-US" w:eastAsia="zh-CN"/>
              </w:rPr>
              <w:t>或具有有害生物防制工程师证书的</w:t>
            </w:r>
            <w:r>
              <w:rPr>
                <w:rFonts w:hint="eastAsia" w:ascii="宋体" w:hAnsi="宋体" w:eastAsia="宋体" w:cs="宋体"/>
                <w:i w:val="0"/>
                <w:iCs w:val="0"/>
                <w:color w:val="auto"/>
                <w:kern w:val="0"/>
                <w:sz w:val="21"/>
                <w:szCs w:val="21"/>
                <w:highlight w:val="none"/>
                <w:u w:val="none"/>
                <w:lang w:val="en-US" w:eastAsia="zh-CN" w:bidi="ar"/>
              </w:rPr>
              <w:t>得3分；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供应商拟派现场人员取得白蚁防治员</w:t>
            </w:r>
            <w:r>
              <w:rPr>
                <w:rFonts w:hint="eastAsia" w:ascii="宋体" w:hAnsi="宋体" w:eastAsia="宋体" w:cs="宋体"/>
                <w:color w:val="auto"/>
                <w:sz w:val="21"/>
                <w:szCs w:val="21"/>
                <w:highlight w:val="none"/>
                <w:lang w:val="en-US" w:eastAsia="zh-CN"/>
              </w:rPr>
              <w:t>或有害生物防制员</w:t>
            </w:r>
            <w:r>
              <w:rPr>
                <w:rFonts w:hint="eastAsia" w:ascii="宋体" w:hAnsi="宋体" w:eastAsia="宋体" w:cs="宋体"/>
                <w:i w:val="0"/>
                <w:iCs w:val="0"/>
                <w:color w:val="auto"/>
                <w:kern w:val="0"/>
                <w:sz w:val="21"/>
                <w:szCs w:val="21"/>
                <w:highlight w:val="none"/>
                <w:u w:val="none"/>
                <w:lang w:val="en-US" w:eastAsia="zh-CN" w:bidi="ar"/>
              </w:rPr>
              <w:t>证书的每个得1分，最高得6分。</w:t>
            </w:r>
          </w:p>
        </w:tc>
        <w:tc>
          <w:tcPr>
            <w:tcW w:w="21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提供以上人员相关证书及2023年</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月起连续3个月在供应商单位缴纳社保等证明材料复印件加盖供应商公章。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企业实力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（3分）</w:t>
            </w:r>
          </w:p>
        </w:tc>
        <w:tc>
          <w:tcPr>
            <w:tcW w:w="4861" w:type="dxa"/>
            <w:noWrap/>
            <w:vAlign w:val="center"/>
          </w:tcPr>
          <w:p>
            <w:pPr>
              <w:pStyle w:val="31"/>
              <w:keepNext w:val="0"/>
              <w:keepLines w:val="0"/>
              <w:pageBreakBefore w:val="0"/>
              <w:kinsoku/>
              <w:wordWrap/>
              <w:overflowPunct/>
              <w:topLinePunct w:val="0"/>
              <w:bidi w:val="0"/>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供应商具备白蚁防治服务机构服务能力评定证书或</w:t>
            </w:r>
            <w:r>
              <w:rPr>
                <w:rFonts w:hint="eastAsia" w:ascii="宋体" w:hAnsi="宋体" w:eastAsia="宋体" w:cs="宋体"/>
                <w:b w:val="0"/>
                <w:bCs w:val="0"/>
                <w:i w:val="0"/>
                <w:iCs w:val="0"/>
                <w:color w:val="auto"/>
                <w:kern w:val="0"/>
                <w:sz w:val="21"/>
                <w:szCs w:val="21"/>
                <w:highlight w:val="none"/>
                <w:u w:val="none"/>
                <w:lang w:val="en-US" w:eastAsia="zh-CN" w:bidi="ar"/>
              </w:rPr>
              <w:t>获得有害生物防治服务企业资质证书，得3分。</w:t>
            </w:r>
          </w:p>
        </w:tc>
        <w:tc>
          <w:tcPr>
            <w:tcW w:w="21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提供相应的证书复印件加盖供应商公章。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firstLine="28"/>
              <w:jc w:val="center"/>
              <w:textAlignment w:val="auto"/>
              <w:rPr>
                <w:rFonts w:hint="eastAsia" w:ascii="宋体" w:hAnsi="宋体" w:eastAsia="宋体" w:cs="宋体"/>
                <w:color w:val="auto"/>
                <w:sz w:val="21"/>
                <w:szCs w:val="21"/>
                <w:highlight w:val="none"/>
              </w:rPr>
            </w:pPr>
          </w:p>
        </w:tc>
        <w:tc>
          <w:tcPr>
            <w:tcW w:w="1237" w:type="dxa"/>
            <w:vMerge w:val="continue"/>
            <w:noWrap/>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p>
        </w:tc>
        <w:tc>
          <w:tcPr>
            <w:tcW w:w="11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业绩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（5分）</w:t>
            </w:r>
          </w:p>
        </w:tc>
        <w:tc>
          <w:tcPr>
            <w:tcW w:w="48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供应商 2022 年 1 月 1 日起至磋商截止日止（以合同签订日期为准），承接过水库大坝白蚁防治项目业绩的，每提供一个得</w:t>
            </w: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分，最多得5分。</w:t>
            </w:r>
          </w:p>
        </w:tc>
        <w:tc>
          <w:tcPr>
            <w:tcW w:w="216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提供合同协议书及中标通知书复印件加盖供应商公章。</w:t>
            </w:r>
          </w:p>
        </w:tc>
      </w:tr>
    </w:tbl>
    <w:p>
      <w:pPr>
        <w:pageBreakBefore w:val="0"/>
        <w:kinsoku/>
        <w:wordWrap/>
        <w:overflowPunct/>
        <w:topLinePunct w:val="0"/>
        <w:bidi w:val="0"/>
        <w:snapToGrid w:val="0"/>
        <w:spacing w:line="360" w:lineRule="auto"/>
        <w:ind w:firstLine="46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关于小微企业报价扣除比例说明</w:t>
      </w:r>
    </w:p>
    <w:p>
      <w:pPr>
        <w:pageBreakBefore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残疾人福利性单位应提供监狱企业证明文件</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残疾人福利性单位声明函（详见第七篇）。监狱企业、残疾人福利性单位视同小型、微型企业。</w:t>
      </w:r>
    </w:p>
    <w:p>
      <w:pPr>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本项目属于专门面向中小企业采购的项目</w:t>
      </w:r>
      <w:r>
        <w:rPr>
          <w:rFonts w:hint="eastAsia" w:ascii="宋体" w:hAnsi="宋体" w:eastAsia="宋体" w:cs="宋体"/>
          <w:color w:val="auto"/>
          <w:sz w:val="21"/>
          <w:szCs w:val="21"/>
          <w:highlight w:val="none"/>
          <w:lang w:eastAsia="zh-CN"/>
        </w:rPr>
        <w:t>，因此</w:t>
      </w:r>
      <w:r>
        <w:rPr>
          <w:rFonts w:hint="eastAsia" w:ascii="宋体" w:hAnsi="宋体" w:eastAsia="宋体" w:cs="宋体"/>
          <w:color w:val="auto"/>
          <w:sz w:val="21"/>
          <w:szCs w:val="21"/>
          <w:highlight w:val="none"/>
        </w:rPr>
        <w:t>不再执行价格评审优惠的扶持政策。</w:t>
      </w:r>
    </w:p>
    <w:p>
      <w:pPr>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127" w:name="_Toc106030890"/>
      <w:bookmarkStart w:id="128" w:name="_Toc76462335"/>
      <w:r>
        <w:rPr>
          <w:rFonts w:hint="eastAsia" w:ascii="宋体" w:hAnsi="宋体" w:eastAsia="宋体" w:cs="宋体"/>
          <w:b/>
          <w:bCs/>
          <w:color w:val="auto"/>
          <w:sz w:val="21"/>
          <w:szCs w:val="21"/>
          <w:highlight w:val="none"/>
          <w:lang w:val="en-US" w:eastAsia="zh-CN"/>
        </w:rPr>
        <w:t>三、无效响应</w:t>
      </w:r>
      <w:bookmarkEnd w:id="127"/>
      <w:bookmarkEnd w:id="128"/>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供应商发生以下条款情况之一者，视为无效响应，其响应文件将被拒绝：</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（一）供应商不符合规定的资格条件的；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（二）供应商的法定代表人（或其授权代表）或自然人未参加磋商；</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（三）供应商所提交的响应文件不按“第七篇响应文件编制要求”要求签署或盖章；</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（四）供应商的最后报价超过采购预算或最高限价的；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（五）法定代表人为同一个人的两个及两个以上法人，母公司、全资子公司及其控股公司，在同一包采购中同时参与磋商；</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（六）单位负责人为同一人或者存在直接控股、管理关系的不同供应商，参加同一合同项下的政府采购活动的；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（七）为采购项目提供整体设计、规范编制或者项目管理、监理、检测等服务的供应商，再参加该采购项目的其他采购活动；</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（八）供应商磋商有效期不满足竞争性磋商文件要求的；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（九）供应商响应文件内容有与国家现行法律法规相违背的内容，或附有采购人无法接受的条件；</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（十）法律、法规和竞争性磋商文件规定的其他无效情形。</w:t>
      </w:r>
    </w:p>
    <w:p>
      <w:pPr>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129" w:name="_Toc106030891"/>
      <w:bookmarkStart w:id="130" w:name="_Toc76462336"/>
      <w:r>
        <w:rPr>
          <w:rFonts w:hint="eastAsia" w:ascii="宋体" w:hAnsi="宋体" w:eastAsia="宋体" w:cs="宋体"/>
          <w:b/>
          <w:bCs/>
          <w:color w:val="auto"/>
          <w:sz w:val="21"/>
          <w:szCs w:val="21"/>
          <w:highlight w:val="none"/>
          <w:lang w:val="en-US" w:eastAsia="zh-CN"/>
        </w:rPr>
        <w:t>四、采购终止</w:t>
      </w:r>
      <w:bookmarkEnd w:id="129"/>
      <w:bookmarkEnd w:id="130"/>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出现下列情形之一的，采购人或者采购代理机构应当终止竞争性磋商采购活动，发布项目终止公告并说明原因，重新开展采购活动：</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（一）因情况变化，不再符合规定的竞争性磋商采购方式适用情形的；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（二）出现影响采购公正的违法、违规行为的；</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（三）在采购过程中符合要求的供应商或者报价未超过采购预算的供应商不足3家的，但《政府采购竞争性磋商采购方式管理暂行办法》第二十一条第三款规定的情形除外。</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4"/>
          <w:szCs w:val="24"/>
          <w:highlight w:val="none"/>
          <w:lang w:val="en-US" w:eastAsia="zh-CN"/>
        </w:rPr>
        <w:sectPr>
          <w:headerReference r:id="rId9" w:type="default"/>
          <w:footerReference r:id="rId10" w:type="default"/>
          <w:pgSz w:w="11907" w:h="16840"/>
          <w:pgMar w:top="1304" w:right="1304" w:bottom="1304" w:left="1304" w:header="794" w:footer="907"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1"/>
          <w:szCs w:val="21"/>
          <w:highlight w:val="none"/>
          <w:lang w:val="en-US" w:eastAsia="zh-CN"/>
        </w:rPr>
        <w:t xml:space="preserve">   </w:t>
      </w:r>
    </w:p>
    <w:p>
      <w:pPr>
        <w:pStyle w:val="4"/>
        <w:pageBreakBefore/>
        <w:spacing w:line="360" w:lineRule="auto"/>
        <w:jc w:val="center"/>
        <w:rPr>
          <w:rFonts w:hint="eastAsia" w:ascii="宋体" w:hAnsi="宋体" w:eastAsia="宋体" w:cs="宋体"/>
          <w:b w:val="0"/>
          <w:bCs/>
          <w:color w:val="auto"/>
          <w:sz w:val="36"/>
          <w:szCs w:val="30"/>
          <w:highlight w:val="none"/>
        </w:rPr>
      </w:pPr>
      <w:bookmarkStart w:id="131" w:name="_Toc102227313"/>
      <w:bookmarkStart w:id="132" w:name="_Toc76462337"/>
      <w:bookmarkStart w:id="133" w:name="_Toc9988"/>
      <w:r>
        <w:rPr>
          <w:rFonts w:hint="eastAsia" w:ascii="宋体" w:hAnsi="宋体" w:eastAsia="宋体" w:cs="宋体"/>
          <w:b w:val="0"/>
          <w:bCs/>
          <w:color w:val="auto"/>
          <w:sz w:val="36"/>
          <w:szCs w:val="30"/>
          <w:highlight w:val="none"/>
        </w:rPr>
        <w:t>第五篇  供应商须知</w:t>
      </w:r>
      <w:bookmarkEnd w:id="131"/>
      <w:bookmarkEnd w:id="132"/>
      <w:bookmarkEnd w:id="133"/>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34" w:name="_Toc76462338"/>
      <w:bookmarkStart w:id="135" w:name="_Toc342913389"/>
      <w:bookmarkStart w:id="136" w:name="_Toc8849"/>
      <w:bookmarkStart w:id="137" w:name="_Toc23121"/>
      <w:r>
        <w:rPr>
          <w:rFonts w:hint="eastAsia" w:ascii="宋体" w:hAnsi="宋体" w:eastAsia="宋体" w:cs="宋体"/>
          <w:color w:val="auto"/>
          <w:sz w:val="21"/>
          <w:szCs w:val="21"/>
          <w:highlight w:val="none"/>
        </w:rPr>
        <w:t>一、磋商费用</w:t>
      </w:r>
      <w:bookmarkEnd w:id="134"/>
      <w:bookmarkEnd w:id="135"/>
      <w:bookmarkEnd w:id="136"/>
      <w:bookmarkEnd w:id="137"/>
    </w:p>
    <w:p>
      <w:pPr>
        <w:pStyle w:val="29"/>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参与磋商的供应商应承担其编制响应文件与递交响应文件所涉及的一切费用，不论磋商结果如何，采购人和采购代理机构在任何情况下无义务也无责任承担这些费用。</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38" w:name="_Toc342913391"/>
      <w:bookmarkStart w:id="139" w:name="_Toc76462339"/>
      <w:bookmarkStart w:id="140" w:name="_Toc1885"/>
      <w:bookmarkStart w:id="141" w:name="_Toc30264"/>
      <w:r>
        <w:rPr>
          <w:rFonts w:hint="eastAsia" w:ascii="宋体" w:hAnsi="宋体" w:eastAsia="宋体" w:cs="宋体"/>
          <w:color w:val="auto"/>
          <w:sz w:val="21"/>
          <w:szCs w:val="21"/>
          <w:highlight w:val="none"/>
        </w:rPr>
        <w:t>二、竞争性磋商文件</w:t>
      </w:r>
      <w:bookmarkEnd w:id="138"/>
      <w:bookmarkEnd w:id="139"/>
      <w:bookmarkEnd w:id="140"/>
      <w:bookmarkEnd w:id="141"/>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（一）竞争性磋商文件由采购邀请书、磋商项目技术（质量）需求、供应商须知、项目商务需求、磋商程序及方法、评审标准、无效响应和采购终止、供应商须知</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政府采购合同</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响应文件编制要求七部分组成。</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（二）采购人（或采购代理机构）所作的一切有效的书面通知、修改及补充，都是竞争性磋商文件不可分割的部分。</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（三）竞争性磋商文件的解释</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42" w:name="_Toc318166429"/>
      <w:bookmarkStart w:id="143" w:name="_Toc318159349"/>
      <w:bookmarkStart w:id="144" w:name="_Toc318159780"/>
      <w:bookmarkStart w:id="145" w:name="_Toc318159160"/>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（四）本竞争性磋商文件中，磋商小组根据与供应商进行磋商可能实质性变动的内容为竞争性磋商文件第二、三、六篇全部内容。</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（五）评审的依据为竞争性磋商文件和响应文件（含有效的书面承诺）。磋商小组判断响应文件对竞争性磋商文件的响应，仅基于响应文件本身而不靠外部证据。</w:t>
      </w:r>
    </w:p>
    <w:bookmarkEnd w:id="142"/>
    <w:bookmarkEnd w:id="143"/>
    <w:bookmarkEnd w:id="144"/>
    <w:bookmarkEnd w:id="145"/>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46" w:name="_Toc76462340"/>
      <w:bookmarkStart w:id="147" w:name="_Toc179714297"/>
      <w:bookmarkStart w:id="148" w:name="_Toc24911"/>
      <w:bookmarkStart w:id="149" w:name="_Toc4284"/>
      <w:bookmarkStart w:id="150" w:name="_Toc342913392"/>
      <w:bookmarkStart w:id="151" w:name="_Toc102227318"/>
      <w:r>
        <w:rPr>
          <w:rFonts w:hint="eastAsia" w:ascii="宋体" w:hAnsi="宋体" w:eastAsia="宋体" w:cs="宋体"/>
          <w:color w:val="auto"/>
          <w:sz w:val="21"/>
          <w:szCs w:val="21"/>
          <w:highlight w:val="none"/>
        </w:rPr>
        <w:t>三、磋商要求</w:t>
      </w:r>
      <w:bookmarkEnd w:id="146"/>
      <w:bookmarkEnd w:id="147"/>
      <w:bookmarkEnd w:id="148"/>
      <w:bookmarkEnd w:id="149"/>
      <w:bookmarkEnd w:id="150"/>
      <w:bookmarkEnd w:id="151"/>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1.供应商应当按照竞争性磋商文件的要求编制</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响应文件，并对竞争性磋商文件提出的要求和条件作出实质性响应，</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响应文件应编制完整的页码、目录。</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响应文件组成</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响应文件由“第七篇响应文件编制要求”规定的部分和供应商所作的一切有效补充、修改和承诺等文件组成，供应商应按照“第七篇响应文件编制要求”规定的目录顺序组织编写。</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文件必须根据《政府采购全程电子化采购系统供应商操作手册（CA证书签章版）》手册第五章内容，完成电子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文件的报价一览表信息填写、</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文件（PDF格式）的导入、条款页码关联、电子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文件电子章签署、下载加密电子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文件等工作。否则有可能影响评委对电子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文件的评审。</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本项目不接受联合体参与磋商。</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（三）磋商有效期：响应文件及有关承诺文件有效期为提交响应文件截止时间起90天。</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（四）修正错误</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1.若供应商所递交的响应文件或最后报价中的价格出现大写金额和小写金额不一致的错误，以大写金额修正为准。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（五）提交</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响应文件的份数和签署</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一式一份，投标时请提交通过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制作系统下载的电子加密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。若因系统或CA证书异常原因无法正常解密，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须在电子开标室向采购代理机构申请提交电子备份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，电子招投标系统会对电子备份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与电子加密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的一致性进行核验，若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操作失误，后果自行负责。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应按各分包分别进行编制。</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1.2在电子加密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文件“第七篇响应文件编制要求”中规定签署、盖章的地方必须按其规定签署、盖章。</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1.3电报、电话、传真形式的投标文件概不接受。</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（六）电子响应文件的递交</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电子响应文件的递交按照《政府采购全程电子化采购系统供应商操作手册（CA证书签章版）》手册第七章流程操作。</w:t>
      </w:r>
    </w:p>
    <w:p>
      <w:pPr>
        <w:pStyle w:val="11"/>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2.须提交的相关原件（如果有）：应完整封装，且在封套上注明项目名称、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名称，递交时间地点同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时间地点。</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52" w:name="_Toc76462341"/>
      <w:bookmarkStart w:id="153" w:name="_Toc20796"/>
      <w:bookmarkStart w:id="154" w:name="_Toc20075"/>
      <w:r>
        <w:rPr>
          <w:rFonts w:hint="eastAsia" w:ascii="宋体" w:hAnsi="宋体" w:eastAsia="宋体" w:cs="宋体"/>
          <w:color w:val="auto"/>
          <w:sz w:val="21"/>
          <w:szCs w:val="21"/>
          <w:highlight w:val="none"/>
        </w:rPr>
        <w:t>四、成交供应商的确认和变更</w:t>
      </w:r>
      <w:bookmarkEnd w:id="152"/>
      <w:bookmarkEnd w:id="153"/>
      <w:bookmarkEnd w:id="154"/>
    </w:p>
    <w:p>
      <w:pPr>
        <w:pageBreakBefore w:val="0"/>
        <w:widowControl w:val="0"/>
        <w:kinsoku/>
        <w:wordWrap/>
        <w:overflowPunct/>
        <w:topLinePunct w:val="0"/>
        <w:autoSpaceDE/>
        <w:autoSpaceDN/>
        <w:bidi w:val="0"/>
        <w:snapToGrid w:val="0"/>
        <w:spacing w:line="360"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（一）成交供应商的确认</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autoSpaceDE/>
        <w:autoSpaceDN/>
        <w:bidi w:val="0"/>
        <w:snapToGrid w:val="0"/>
        <w:spacing w:line="360"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（二）成交供应商的变更</w:t>
      </w:r>
    </w:p>
    <w:p>
      <w:pPr>
        <w:pageBreakBefore w:val="0"/>
        <w:widowControl w:val="0"/>
        <w:kinsoku/>
        <w:wordWrap/>
        <w:overflowPunct/>
        <w:topLinePunct w:val="0"/>
        <w:autoSpaceDE/>
        <w:autoSpaceDN/>
        <w:bidi w:val="0"/>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成交供应商拒绝与采购人签订合同的，采购人可以按照评标报告推荐的成交候选供应商顺序，确定排名下一位的候选人为成交供应商，也可以重新开展政府采购活动。</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55" w:name="_Toc102227321"/>
      <w:bookmarkStart w:id="156" w:name="_Toc76462342"/>
      <w:bookmarkStart w:id="157" w:name="_Toc342913395"/>
      <w:bookmarkStart w:id="158" w:name="_Toc3978"/>
      <w:bookmarkStart w:id="159" w:name="_Toc6767"/>
      <w:r>
        <w:rPr>
          <w:rFonts w:hint="eastAsia" w:ascii="宋体" w:hAnsi="宋体" w:eastAsia="宋体" w:cs="宋体"/>
          <w:color w:val="auto"/>
          <w:sz w:val="21"/>
          <w:szCs w:val="21"/>
          <w:highlight w:val="none"/>
        </w:rPr>
        <w:t>五、成交通知</w:t>
      </w:r>
      <w:bookmarkEnd w:id="155"/>
      <w:bookmarkEnd w:id="156"/>
      <w:bookmarkEnd w:id="157"/>
      <w:bookmarkEnd w:id="158"/>
      <w:bookmarkEnd w:id="159"/>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（一）成交供应商确定后，采购代理机构将在重庆市政府采购网（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"http://www.cqgp.gov.cn"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www.ccgp-chongqing.gov.cn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）上发布成交结果公告。</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（二）结果公告发出同时，采购代理机构将以书面形式发出《成交通知书》。《成交通知书》一经发出即发生法律效力。</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（三）《成交通知书》将作为签订合同的依据。</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60" w:name="_Toc76462343"/>
      <w:bookmarkStart w:id="161" w:name="_Toc12240"/>
      <w:bookmarkStart w:id="162" w:name="_Toc1381"/>
      <w:r>
        <w:rPr>
          <w:rFonts w:hint="eastAsia" w:ascii="宋体" w:hAnsi="宋体" w:eastAsia="宋体" w:cs="宋体"/>
          <w:color w:val="auto"/>
          <w:sz w:val="21"/>
          <w:szCs w:val="21"/>
          <w:highlight w:val="none"/>
        </w:rPr>
        <w:t>六、关于质疑和投诉</w:t>
      </w:r>
      <w:bookmarkEnd w:id="160"/>
      <w:bookmarkEnd w:id="161"/>
      <w:bookmarkEnd w:id="162"/>
    </w:p>
    <w:p>
      <w:pPr>
        <w:pageBreakBefore w:val="0"/>
        <w:widowControl w:val="0"/>
        <w:kinsoku/>
        <w:wordWrap/>
        <w:overflowPunct/>
        <w:topLinePunct w:val="0"/>
        <w:autoSpaceDE/>
        <w:autoSpaceDN/>
        <w:bidi w:val="0"/>
        <w:spacing w:line="360"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供应商认为采购文件、采购过程和成交结果使自己的权益收到伤害的，可向采购人或采购代理机构以书面形式提出质疑。</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提出质疑的应当是参与所质疑项目采购活动的供应商。 </w:t>
      </w:r>
    </w:p>
    <w:p>
      <w:pPr>
        <w:pageBreakBefore w:val="0"/>
        <w:widowControl w:val="0"/>
        <w:kinsoku/>
        <w:wordWrap/>
        <w:overflowPunct/>
        <w:topLinePunct w:val="0"/>
        <w:autoSpaceDE/>
        <w:autoSpaceDN/>
        <w:bidi w:val="0"/>
        <w:spacing w:line="360"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1.质疑时限、内容</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供应商认为采购文件、采购过程、成交结果使自己的权益受到损害的，可以在知道或者应知其权益受到损害之日起7个工作日内，以书面形式向采购人、采购代理机构提出质疑。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1.2供应商提出质疑应当提交质疑函和必要的证明材料，质疑函应当包括下列内容：</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1.2.1供应商的姓名或者名称、地址、邮编、联系人及联系电话；</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1.2.2质疑项目的名称、项目号以及采购执行编号；</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1.2.3具体、明确的质疑事项和与质疑事项相关的请求；</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1.2.4事实依据；</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1.2.5必要的法律依据；</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1.2.6提出质疑的日期；</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1.2.7营业执照（或事业单位法人证书，或个体工商户营业执照或有效的自然人身份证明）复印件；</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spacing w:line="360"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2.质疑答复</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spacing w:line="360"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3.2质疑函范本可在财政部门户网站和中国政府采购网下载。</w:t>
      </w:r>
    </w:p>
    <w:p>
      <w:pPr>
        <w:pageBreakBefore w:val="0"/>
        <w:widowControl w:val="0"/>
        <w:kinsoku/>
        <w:wordWrap/>
        <w:overflowPunct/>
        <w:topLinePunct w:val="0"/>
        <w:autoSpaceDE/>
        <w:autoSpaceDN/>
        <w:bidi w:val="0"/>
        <w:spacing w:line="360"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1.供应商对采购人、采购代理机构的答复不满意，或者采购人、采购代理机构未在规定时间内作出答复的，可以在答复期满后15个工作日内按照相关法律法规向财政部门提起投诉。</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autoSpaceDE/>
        <w:autoSpaceDN/>
        <w:bidi w:val="0"/>
        <w:spacing w:line="360" w:lineRule="auto"/>
        <w:ind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b w:val="0"/>
          <w:color w:val="auto"/>
          <w:kern w:val="2"/>
          <w:sz w:val="21"/>
          <w:szCs w:val="21"/>
          <w:highlight w:val="none"/>
          <w:lang w:val="en-US" w:eastAsia="zh-CN" w:bidi="ar-SA"/>
        </w:rPr>
      </w:pPr>
      <w:bookmarkStart w:id="163" w:name="_Toc16627"/>
      <w:bookmarkStart w:id="164" w:name="_Toc76462344"/>
      <w:bookmarkStart w:id="165" w:name="_Toc10516"/>
      <w:r>
        <w:rPr>
          <w:rFonts w:hint="eastAsia" w:ascii="宋体" w:hAnsi="宋体" w:eastAsia="宋体" w:cs="宋体"/>
          <w:b/>
          <w:bCs/>
          <w:color w:val="auto"/>
          <w:kern w:val="2"/>
          <w:sz w:val="21"/>
          <w:szCs w:val="21"/>
          <w:highlight w:val="none"/>
          <w:lang w:val="en-US" w:eastAsia="zh-CN" w:bidi="ar-SA"/>
        </w:rPr>
        <w:t>七、采购代理服务费</w:t>
      </w:r>
      <w:bookmarkEnd w:id="163"/>
      <w:bookmarkEnd w:id="164"/>
      <w:bookmarkEnd w:id="165"/>
    </w:p>
    <w:p>
      <w:pPr>
        <w:pageBreakBefore w:val="0"/>
        <w:widowControl w:val="0"/>
        <w:kinsoku/>
        <w:wordWrap/>
        <w:overflowPunct/>
        <w:topLinePunct w:val="0"/>
        <w:autoSpaceDE/>
        <w:autoSpaceDN/>
        <w:bidi w:val="0"/>
        <w:adjustRightInd w:val="0"/>
        <w:snapToGrid w:val="0"/>
        <w:spacing w:line="360" w:lineRule="auto"/>
        <w:ind w:right="0" w:firstLine="420" w:firstLineChars="200"/>
        <w:textAlignment w:val="auto"/>
        <w:outlineLvl w:val="9"/>
        <w:rPr>
          <w:rFonts w:hint="eastAsia" w:ascii="宋体" w:hAnsi="宋体" w:eastAsia="宋体" w:cs="宋体"/>
          <w:color w:val="auto"/>
          <w:sz w:val="21"/>
          <w:szCs w:val="21"/>
          <w:highlight w:val="none"/>
        </w:rPr>
      </w:pPr>
      <w:bookmarkStart w:id="166" w:name="_Toc76462345"/>
      <w:r>
        <w:rPr>
          <w:rFonts w:hint="eastAsia" w:ascii="宋体" w:hAnsi="宋体" w:eastAsia="宋体" w:cs="宋体"/>
          <w:b w:val="0"/>
          <w:color w:val="auto"/>
          <w:kern w:val="2"/>
          <w:sz w:val="21"/>
          <w:szCs w:val="21"/>
          <w:highlight w:val="none"/>
          <w:lang w:val="en-US" w:eastAsia="zh-CN" w:bidi="ar-SA"/>
        </w:rPr>
        <w:t xml:space="preserve">  </w:t>
      </w:r>
      <w:bookmarkStart w:id="167" w:name="_Toc24360"/>
      <w:r>
        <w:rPr>
          <w:rFonts w:hint="eastAsia" w:ascii="宋体" w:hAnsi="宋体" w:eastAsia="宋体" w:cs="宋体"/>
          <w:b w:val="0"/>
          <w:color w:val="auto"/>
          <w:kern w:val="2"/>
          <w:sz w:val="21"/>
          <w:szCs w:val="21"/>
          <w:highlight w:val="none"/>
          <w:lang w:val="en-US" w:eastAsia="zh-CN" w:bidi="ar-SA"/>
        </w:rPr>
        <w:t>供应商成交后向采购代理机构缴纳采购代理服务费，采购代理服务费按“重庆市招标投标协会关于印发《重庆市招标代理服务规范（试行）》的通知”渝招投协〔2015〕11号文的90%计取，由成交供应商在领取成交通知书前一次性付清该项目的采购代理服务费。</w:t>
      </w:r>
      <w:bookmarkEnd w:id="167"/>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68" w:name="_Toc26775"/>
      <w:bookmarkStart w:id="169" w:name="_Toc24578"/>
      <w:r>
        <w:rPr>
          <w:rFonts w:hint="eastAsia" w:ascii="宋体" w:hAnsi="宋体" w:eastAsia="宋体" w:cs="宋体"/>
          <w:color w:val="auto"/>
          <w:sz w:val="21"/>
          <w:szCs w:val="21"/>
          <w:highlight w:val="none"/>
        </w:rPr>
        <w:t>八、交易服务费</w:t>
      </w:r>
      <w:bookmarkEnd w:id="166"/>
      <w:bookmarkEnd w:id="168"/>
      <w:bookmarkEnd w:id="169"/>
    </w:p>
    <w:p>
      <w:pPr>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textAlignment w:val="auto"/>
        <w:rPr>
          <w:rFonts w:hint="eastAsia" w:ascii="宋体" w:hAnsi="宋体" w:eastAsia="宋体" w:cs="宋体"/>
          <w:color w:val="auto"/>
          <w:sz w:val="21"/>
          <w:szCs w:val="21"/>
          <w:highlight w:val="none"/>
        </w:rPr>
      </w:pPr>
      <w:bookmarkStart w:id="170" w:name="_Toc102227322"/>
      <w:bookmarkStart w:id="171" w:name="_Toc342913396"/>
      <w:bookmarkStart w:id="172" w:name="_Toc76462346"/>
      <w:bookmarkStart w:id="173" w:name="_Toc11641055"/>
      <w:bookmarkStart w:id="174" w:name="_Toc12789059"/>
      <w:r>
        <w:rPr>
          <w:rFonts w:hint="eastAsia" w:ascii="宋体" w:hAnsi="宋体" w:eastAsia="宋体" w:cs="宋体"/>
          <w:color w:val="auto"/>
          <w:sz w:val="21"/>
          <w:szCs w:val="21"/>
          <w:highlight w:val="none"/>
        </w:rPr>
        <w:t>本项目因使用重庆市万州区公共资源交易中心开评标场地，成交供应商须在领取成交通知书前向万州区公共资源交易中心一次性缴纳交易服务费，交易服务费的收取标准按照万州发改费【2019】17号执行。</w:t>
      </w:r>
    </w:p>
    <w:p>
      <w:pPr>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万州发改费【2019】17号文件规定的交易服务费费率如下：</w:t>
      </w:r>
    </w:p>
    <w:tbl>
      <w:tblPr>
        <w:tblStyle w:val="20"/>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241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项目成交金额（人民币、万元）</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收费费率</w:t>
            </w:r>
          </w:p>
        </w:tc>
        <w:tc>
          <w:tcPr>
            <w:tcW w:w="200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100（含）以下</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9" w:type="dxa"/>
            <w:vMerge w:val="restart"/>
            <w:noWrap/>
            <w:vAlign w:val="center"/>
          </w:tcPr>
          <w:p>
            <w:pPr>
              <w:pageBreakBefore w:val="0"/>
              <w:widowControl w:val="0"/>
              <w:kinsoku/>
              <w:wordWrap/>
              <w:overflowPunct/>
              <w:topLinePunct w:val="0"/>
              <w:autoSpaceDE/>
              <w:autoSpaceDN/>
              <w:bidi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1.交易服务费由中选人支付。双方有合同约定的从其约定。</w:t>
            </w:r>
          </w:p>
          <w:p>
            <w:pPr>
              <w:pageBreakBefore w:val="0"/>
              <w:widowControl w:val="0"/>
              <w:kinsoku/>
              <w:wordWrap/>
              <w:overflowPunct/>
              <w:topLinePunct w:val="0"/>
              <w:autoSpaceDE/>
              <w:autoSpaceDN/>
              <w:bidi w:val="0"/>
              <w:snapToGrid w:val="0"/>
              <w:spacing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2.每宗交易收费不低于500元。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100-500（含）</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0.95‰</w:t>
            </w:r>
          </w:p>
        </w:tc>
        <w:tc>
          <w:tcPr>
            <w:tcW w:w="2009" w:type="dxa"/>
            <w:vMerge w:val="continue"/>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500-1000（含）</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2009" w:type="dxa"/>
            <w:vMerge w:val="continue"/>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1000-5000（含）</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0.85‰</w:t>
            </w:r>
          </w:p>
        </w:tc>
        <w:tc>
          <w:tcPr>
            <w:tcW w:w="2009" w:type="dxa"/>
            <w:vMerge w:val="continue"/>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5000-10000（含）</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009" w:type="dxa"/>
            <w:vMerge w:val="continue"/>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10000以上</w:t>
            </w:r>
          </w:p>
        </w:tc>
        <w:tc>
          <w:tcPr>
            <w:tcW w:w="2417" w:type="dxa"/>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2009" w:type="dxa"/>
            <w:vMerge w:val="continue"/>
            <w:noWrap/>
            <w:vAlign w:val="center"/>
          </w:tcPr>
          <w:p>
            <w:pPr>
              <w:pageBreakBefore w:val="0"/>
              <w:widowControl w:val="0"/>
              <w:kinsoku/>
              <w:wordWrap/>
              <w:overflowPunct/>
              <w:topLinePunct w:val="0"/>
              <w:autoSpaceDE/>
              <w:autoSpaceDN/>
              <w:bidi w:val="0"/>
              <w:snapToGrid w:val="0"/>
              <w:spacing w:line="360" w:lineRule="auto"/>
              <w:ind w:right="0" w:firstLine="558" w:firstLineChars="266"/>
              <w:textAlignment w:val="auto"/>
              <w:rPr>
                <w:rFonts w:hint="eastAsia" w:ascii="宋体" w:hAnsi="宋体" w:eastAsia="宋体" w:cs="宋体"/>
                <w:color w:val="auto"/>
                <w:sz w:val="21"/>
                <w:szCs w:val="21"/>
                <w:highlight w:val="none"/>
              </w:rPr>
            </w:pPr>
          </w:p>
        </w:tc>
      </w:tr>
    </w:tbl>
    <w:p>
      <w:pPr>
        <w:pageBreakBefore w:val="0"/>
        <w:widowControl w:val="0"/>
        <w:kinsoku/>
        <w:wordWrap/>
        <w:overflowPunct/>
        <w:topLinePunct w:val="0"/>
        <w:autoSpaceDE/>
        <w:autoSpaceDN/>
        <w:bidi w:val="0"/>
        <w:snapToGrid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注：交易服务收费按差额定率累进法计算。由项目经办人填制收费单，到“区交易中心”财务科缴纳（可使用刷银联卡、现金或微信）之后，方可领取成交通知书。</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75" w:name="_Toc3504"/>
      <w:bookmarkStart w:id="176" w:name="_Toc9784"/>
      <w:r>
        <w:rPr>
          <w:rFonts w:hint="eastAsia" w:ascii="宋体" w:hAnsi="宋体" w:eastAsia="宋体" w:cs="宋体"/>
          <w:color w:val="auto"/>
          <w:sz w:val="21"/>
          <w:szCs w:val="21"/>
          <w:highlight w:val="none"/>
        </w:rPr>
        <w:t>九、签订</w:t>
      </w:r>
      <w:bookmarkEnd w:id="170"/>
      <w:r>
        <w:rPr>
          <w:rFonts w:hint="eastAsia" w:ascii="宋体" w:hAnsi="宋体" w:eastAsia="宋体" w:cs="宋体"/>
          <w:color w:val="auto"/>
          <w:sz w:val="21"/>
          <w:szCs w:val="21"/>
          <w:highlight w:val="none"/>
        </w:rPr>
        <w:t>合同</w:t>
      </w:r>
      <w:bookmarkEnd w:id="171"/>
      <w:bookmarkEnd w:id="172"/>
      <w:bookmarkEnd w:id="175"/>
      <w:bookmarkEnd w:id="176"/>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（三）竞争性磋商文件、供应商的响应文件及澄清文件等，均为签订政府采购合同的依据。</w:t>
      </w:r>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（五）合同原则上应按照《重庆市政府采购合同》签订，相关单位要求适用合同通用格式版本的，应按其要求另行签订其他合同。</w:t>
      </w:r>
    </w:p>
    <w:p>
      <w:pPr>
        <w:pageBreakBefore w:val="0"/>
        <w:widowControl w:val="0"/>
        <w:kinsoku/>
        <w:wordWrap/>
        <w:overflowPunct/>
        <w:topLinePunct w:val="0"/>
        <w:autoSpaceDE/>
        <w:autoSpaceDN/>
        <w:bidi w:val="0"/>
        <w:spacing w:line="360"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（六）采购人要求成交供应商提供履约保证金的，应当在竞争性磋商文件中予以约定。成交供应商履约完毕后，采购人根据采购文件规定无息退还其履约保证金。</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77" w:name="_Toc2435"/>
      <w:bookmarkStart w:id="178" w:name="_Toc22793"/>
      <w:r>
        <w:rPr>
          <w:rFonts w:hint="eastAsia" w:ascii="宋体" w:hAnsi="宋体" w:eastAsia="宋体" w:cs="宋体"/>
          <w:color w:val="auto"/>
          <w:sz w:val="21"/>
          <w:szCs w:val="21"/>
          <w:highlight w:val="none"/>
        </w:rPr>
        <w:t>十、项目验收</w:t>
      </w:r>
      <w:bookmarkEnd w:id="177"/>
      <w:bookmarkEnd w:id="178"/>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合同执行完毕，采购人或采购代理机构原则上应在7个工作日内组织履约情况验收，不得无故拖延或附加额外条件。</w:t>
      </w:r>
    </w:p>
    <w:p>
      <w:pPr>
        <w:pStyle w:val="4"/>
        <w:pageBreakBefore w:val="0"/>
        <w:widowControl w:val="0"/>
        <w:kinsoku/>
        <w:wordWrap/>
        <w:overflowPunct/>
        <w:topLinePunct w:val="0"/>
        <w:autoSpaceDE/>
        <w:autoSpaceDN/>
        <w:bidi w:val="0"/>
        <w:adjustRightInd w:val="0"/>
        <w:snapToGrid w:val="0"/>
        <w:spacing w:line="360" w:lineRule="auto"/>
        <w:ind w:right="0" w:firstLine="422" w:firstLineChars="200"/>
        <w:textAlignment w:val="auto"/>
        <w:rPr>
          <w:rFonts w:hint="eastAsia" w:ascii="宋体" w:hAnsi="宋体" w:eastAsia="宋体" w:cs="宋体"/>
          <w:color w:val="auto"/>
          <w:sz w:val="21"/>
          <w:szCs w:val="21"/>
          <w:highlight w:val="none"/>
        </w:rPr>
      </w:pPr>
      <w:bookmarkStart w:id="179" w:name="_Toc14780"/>
      <w:bookmarkStart w:id="180" w:name="_Toc76462347"/>
      <w:bookmarkStart w:id="181" w:name="_Toc22306"/>
      <w:bookmarkStart w:id="182" w:name="_Toc7403"/>
      <w:r>
        <w:rPr>
          <w:rFonts w:hint="eastAsia" w:ascii="宋体" w:hAnsi="宋体" w:eastAsia="宋体" w:cs="宋体"/>
          <w:color w:val="auto"/>
          <w:sz w:val="21"/>
          <w:szCs w:val="21"/>
          <w:highlight w:val="none"/>
        </w:rPr>
        <w:t>十一、政府采购信用融资</w:t>
      </w:r>
      <w:bookmarkEnd w:id="179"/>
      <w:bookmarkEnd w:id="180"/>
      <w:bookmarkEnd w:id="181"/>
      <w:bookmarkEnd w:id="182"/>
    </w:p>
    <w:p>
      <w:pPr>
        <w:pageBreakBefore w:val="0"/>
        <w:widowControl w:val="0"/>
        <w:kinsoku/>
        <w:wordWrap/>
        <w:overflowPunct/>
        <w:topLinePunct w:val="0"/>
        <w:autoSpaceDE/>
        <w:autoSpaceDN/>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4"/>
        <w:spacing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83" w:name="_Toc76462348"/>
      <w:bookmarkStart w:id="184" w:name="_Toc13876"/>
      <w:r>
        <w:rPr>
          <w:rFonts w:hint="eastAsia" w:ascii="宋体" w:hAnsi="宋体" w:eastAsia="宋体" w:cs="宋体"/>
          <w:b w:val="0"/>
          <w:color w:val="auto"/>
          <w:sz w:val="36"/>
          <w:szCs w:val="30"/>
          <w:highlight w:val="none"/>
        </w:rPr>
        <w:t xml:space="preserve">第六篇  </w:t>
      </w:r>
      <w:bookmarkEnd w:id="173"/>
      <w:bookmarkEnd w:id="174"/>
      <w:bookmarkEnd w:id="183"/>
      <w:r>
        <w:rPr>
          <w:rFonts w:hint="eastAsia" w:ascii="宋体" w:hAnsi="宋体" w:eastAsia="宋体" w:cs="宋体"/>
          <w:b w:val="0"/>
          <w:color w:val="auto"/>
          <w:sz w:val="36"/>
          <w:szCs w:val="30"/>
          <w:highlight w:val="none"/>
          <w:lang w:val="en-US" w:eastAsia="zh-CN"/>
        </w:rPr>
        <w:t>合同主要条款和格式合同（样本）</w:t>
      </w:r>
      <w:bookmarkEnd w:id="184"/>
    </w:p>
    <w:p>
      <w:pPr>
        <w:rPr>
          <w:rFonts w:hint="eastAsia" w:ascii="宋体" w:hAnsi="宋体" w:eastAsia="宋体" w:cs="宋体"/>
          <w:b/>
          <w:color w:val="auto"/>
          <w:sz w:val="40"/>
          <w:szCs w:val="18"/>
          <w:highlight w:val="none"/>
        </w:rPr>
      </w:pPr>
      <w:bookmarkStart w:id="185" w:name="_Hlt41879464"/>
      <w:bookmarkEnd w:id="185"/>
      <w:bookmarkStart w:id="186" w:name="_Toc76462349"/>
      <w:r>
        <w:rPr>
          <w:rFonts w:hint="eastAsia" w:ascii="宋体" w:hAnsi="宋体" w:eastAsia="宋体" w:cs="宋体"/>
          <w:b/>
          <w:color w:val="auto"/>
          <w:sz w:val="40"/>
          <w:szCs w:val="18"/>
          <w:highlight w:val="none"/>
        </w:rPr>
        <w:br w:type="page"/>
      </w:r>
    </w:p>
    <w:p>
      <w:pPr>
        <w:numPr>
          <w:ilvl w:val="0"/>
          <w:numId w:val="4"/>
        </w:numPr>
        <w:rPr>
          <w:rFonts w:hint="eastAsia" w:ascii="宋体" w:hAnsi="宋体" w:eastAsia="宋体" w:cs="宋体"/>
          <w:b/>
          <w:color w:val="auto"/>
          <w:sz w:val="24"/>
          <w:highlight w:val="none"/>
        </w:rPr>
      </w:pPr>
      <w:bookmarkStart w:id="187" w:name="_Toc561"/>
      <w:bookmarkStart w:id="188" w:name="_Toc15977"/>
      <w:bookmarkStart w:id="189" w:name="_Toc12709"/>
      <w:bookmarkStart w:id="190" w:name="_Toc169"/>
      <w:r>
        <w:rPr>
          <w:rFonts w:hint="eastAsia" w:ascii="宋体" w:hAnsi="宋体" w:eastAsia="宋体" w:cs="宋体"/>
          <w:b/>
          <w:color w:val="auto"/>
          <w:sz w:val="24"/>
          <w:highlight w:val="none"/>
        </w:rPr>
        <w:t>合同主要条款</w:t>
      </w:r>
      <w:bookmarkEnd w:id="187"/>
      <w:bookmarkEnd w:id="188"/>
      <w:bookmarkEnd w:id="189"/>
      <w:bookmarkEnd w:id="190"/>
    </w:p>
    <w:p>
      <w:pPr>
        <w:keepNext w:val="0"/>
        <w:keepLines w:val="0"/>
        <w:pageBreakBefore w:val="0"/>
        <w:widowControl w:val="0"/>
        <w:kinsoku/>
        <w:wordWrap/>
        <w:overflowPunct/>
        <w:topLinePunct w:val="0"/>
        <w:autoSpaceDE/>
        <w:autoSpaceDN/>
        <w:bidi w:val="0"/>
        <w:adjustRightInd w:val="0"/>
        <w:snapToGrid w:val="0"/>
        <w:spacing w:line="440" w:lineRule="exact"/>
        <w:ind w:left="0" w:leftChars="0"/>
        <w:jc w:val="center"/>
        <w:textAlignment w:val="auto"/>
        <w:outlineLvl w:val="9"/>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发包人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（以下简称甲方）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（以下简称乙方）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76" w:firstLineChars="200"/>
        <w:jc w:val="both"/>
        <w:textAlignment w:val="auto"/>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4"/>
          <w:sz w:val="21"/>
          <w:szCs w:val="21"/>
          <w:highlight w:val="none"/>
        </w:rPr>
        <w:t>根据</w:t>
      </w:r>
      <w:r>
        <w:rPr>
          <w:rFonts w:hint="eastAsia" w:ascii="宋体" w:hAnsi="宋体" w:eastAsia="宋体" w:cs="宋体"/>
          <w:color w:val="auto"/>
          <w:sz w:val="21"/>
          <w:szCs w:val="21"/>
          <w:highlight w:val="none"/>
        </w:rPr>
        <w:t>《中华人民共和国民法典》</w:t>
      </w:r>
      <w:r>
        <w:rPr>
          <w:rFonts w:hint="eastAsia" w:ascii="宋体" w:hAnsi="宋体" w:eastAsia="宋体" w:cs="宋体"/>
          <w:color w:val="auto"/>
          <w:spacing w:val="14"/>
          <w:sz w:val="21"/>
          <w:szCs w:val="21"/>
          <w:highlight w:val="none"/>
          <w:lang w:eastAsia="zh-CN"/>
        </w:rPr>
        <w:t>及有关法律法规的规定</w:t>
      </w:r>
      <w:r>
        <w:rPr>
          <w:rFonts w:hint="eastAsia" w:ascii="宋体" w:hAnsi="宋体" w:eastAsia="宋体" w:cs="宋体"/>
          <w:color w:val="auto"/>
          <w:spacing w:val="14"/>
          <w:sz w:val="21"/>
          <w:szCs w:val="21"/>
          <w:highlight w:val="none"/>
        </w:rPr>
        <w:t>，甲乙双方在自愿平等和协商一致的基础上甲方将</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u w:val="single"/>
          <w:lang w:val="en-US" w:eastAsia="zh-CN"/>
        </w:rPr>
        <w:t xml:space="preserve">       </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u w:val="single"/>
          <w:lang w:eastAsia="zh-CN"/>
        </w:rPr>
        <w:t>（项目名称）</w:t>
      </w:r>
      <w:r>
        <w:rPr>
          <w:rFonts w:hint="eastAsia" w:ascii="宋体" w:hAnsi="宋体" w:eastAsia="宋体" w:cs="宋体"/>
          <w:color w:val="auto"/>
          <w:spacing w:val="14"/>
          <w:sz w:val="21"/>
          <w:szCs w:val="21"/>
          <w:highlight w:val="none"/>
          <w:u w:val="none"/>
          <w:lang w:eastAsia="zh-CN"/>
        </w:rPr>
        <w:t>由</w:t>
      </w:r>
      <w:r>
        <w:rPr>
          <w:rFonts w:hint="eastAsia" w:ascii="宋体" w:hAnsi="宋体" w:eastAsia="宋体" w:cs="宋体"/>
          <w:color w:val="auto"/>
          <w:spacing w:val="14"/>
          <w:sz w:val="21"/>
          <w:szCs w:val="21"/>
          <w:highlight w:val="none"/>
        </w:rPr>
        <w:t>乙方进行</w:t>
      </w:r>
      <w:r>
        <w:rPr>
          <w:rFonts w:hint="eastAsia" w:ascii="宋体" w:hAnsi="宋体" w:eastAsia="宋体" w:cs="宋体"/>
          <w:color w:val="auto"/>
          <w:spacing w:val="14"/>
          <w:sz w:val="21"/>
          <w:szCs w:val="21"/>
          <w:highlight w:val="none"/>
          <w:lang w:eastAsia="zh-CN"/>
        </w:rPr>
        <w:t>实施完成</w:t>
      </w:r>
      <w:r>
        <w:rPr>
          <w:rFonts w:hint="eastAsia" w:ascii="宋体" w:hAnsi="宋体" w:eastAsia="宋体" w:cs="宋体"/>
          <w:color w:val="auto"/>
          <w:spacing w:val="16"/>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1.工程名称：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3.工程批准文号：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4.资金来源：</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5.工程承包范围：</w:t>
      </w:r>
      <w:r>
        <w:rPr>
          <w:rFonts w:hint="eastAsia" w:ascii="宋体" w:hAnsi="宋体" w:eastAsia="宋体" w:cs="宋体"/>
          <w:color w:val="auto"/>
          <w:sz w:val="21"/>
          <w:szCs w:val="21"/>
          <w:highlight w:val="none"/>
          <w:u w:val="single"/>
          <w:lang w:val="en-US" w:eastAsia="zh-CN"/>
        </w:rPr>
        <w:t>详见发包人提供的本工程实施方案及工程量清单所明确的全部工程内容</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6.根据本工程的实际情况，工程需要某些项目不实施或部分实施，发包人有权修改工程的量、项等，承包人必须无条件接受，并不得因此要求发包人在</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规定以外的计价原则另行计价。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中承诺的工期总日历天数：</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日历天。工期总日历天数与根据下述计划开工完工（竣工）日期计算的工期天数不一致的，以工期总日历天数为准。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符合《白蚁防治施工技术标准》DBJ50/T-034-2018 及国家、重庆市白蚁防治相关技术标准。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四、签约合同价与合同价格形式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.签约合同价为：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五</w:t>
      </w:r>
      <w:r>
        <w:rPr>
          <w:rFonts w:hint="eastAsia" w:ascii="宋体" w:hAnsi="宋体" w:eastAsia="宋体" w:cs="宋体"/>
          <w:b w:val="0"/>
          <w:bCs w:val="0"/>
          <w:color w:val="auto"/>
          <w:sz w:val="21"/>
          <w:szCs w:val="21"/>
          <w:highlight w:val="none"/>
        </w:rPr>
        <w:t>、履约担保、民工工资担保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（一）履约担保</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人是否提供履约担保：</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承包人</w:t>
      </w:r>
      <w:r>
        <w:rPr>
          <w:rFonts w:hint="eastAsia" w:ascii="宋体" w:hAnsi="宋体" w:eastAsia="宋体" w:cs="宋体"/>
          <w:color w:val="auto"/>
          <w:kern w:val="0"/>
          <w:sz w:val="21"/>
          <w:szCs w:val="21"/>
          <w:highlight w:val="none"/>
        </w:rPr>
        <w:t>提供履约担保的形式、金额及期限：</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（1）履约担保的形式：现金或</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保函或现金+</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保函的组合</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保函包括银行保函、保证保险和担保保函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其示范文本详见第四章合同条款及格式附件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承包人提交的履约保函应</w:t>
      </w:r>
      <w:r>
        <w:rPr>
          <w:rFonts w:hint="eastAsia" w:ascii="宋体" w:hAnsi="宋体" w:eastAsia="宋体" w:cs="宋体"/>
          <w:color w:val="auto"/>
          <w:kern w:val="0"/>
          <w:sz w:val="21"/>
          <w:szCs w:val="21"/>
          <w:highlight w:val="none"/>
        </w:rPr>
        <w:t>严格执行</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示范文本，不得对示范文本中的实质性内容进行修改</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（2）具体要求：履约保函</w:t>
      </w:r>
      <w:r>
        <w:rPr>
          <w:rFonts w:hint="eastAsia" w:ascii="宋体" w:hAnsi="宋体" w:eastAsia="宋体" w:cs="宋体"/>
          <w:color w:val="auto"/>
          <w:kern w:val="0"/>
          <w:sz w:val="21"/>
          <w:szCs w:val="21"/>
          <w:highlight w:val="none"/>
        </w:rPr>
        <w:t>的开立人应当是具有相应资格的银行、保险机构、融资担保公司，其信用资质、履约能力、担保能力、赔付流程、安全保密等应符合</w:t>
      </w:r>
      <w:r>
        <w:rPr>
          <w:rFonts w:hint="eastAsia" w:ascii="宋体" w:hAnsi="宋体" w:eastAsia="宋体" w:cs="宋体"/>
          <w:color w:val="auto"/>
          <w:kern w:val="0"/>
          <w:sz w:val="21"/>
          <w:szCs w:val="21"/>
          <w:highlight w:val="none"/>
          <w:lang w:eastAsia="zh-CN"/>
        </w:rPr>
        <w:t>履约</w:t>
      </w:r>
      <w:r>
        <w:rPr>
          <w:rFonts w:hint="eastAsia" w:ascii="宋体" w:hAnsi="宋体" w:eastAsia="宋体" w:cs="宋体"/>
          <w:color w:val="auto"/>
          <w:kern w:val="0"/>
          <w:sz w:val="21"/>
          <w:szCs w:val="21"/>
          <w:highlight w:val="none"/>
        </w:rPr>
        <w:t>保函业务条件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履约保函</w:t>
      </w:r>
      <w:r>
        <w:rPr>
          <w:rFonts w:hint="eastAsia" w:ascii="宋体" w:hAnsi="宋体" w:eastAsia="宋体" w:cs="宋体"/>
          <w:color w:val="auto"/>
          <w:kern w:val="0"/>
          <w:sz w:val="21"/>
          <w:szCs w:val="21"/>
          <w:highlight w:val="none"/>
          <w:lang w:eastAsia="zh-CN"/>
        </w:rPr>
        <w:t>应合法合规，符合招投标行政监督部门、行业主管部门和金融监管部门的相关规定，满足磋商文件约定要求。</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应选择在渝依法设立总部或者设有分支机构的金融机构开具</w:t>
      </w:r>
      <w:r>
        <w:rPr>
          <w:rFonts w:hint="eastAsia" w:ascii="宋体" w:hAnsi="宋体" w:eastAsia="宋体" w:cs="宋体"/>
          <w:color w:val="auto"/>
          <w:kern w:val="0"/>
          <w:sz w:val="21"/>
          <w:szCs w:val="21"/>
          <w:highlight w:val="none"/>
          <w:lang w:val="en-US" w:eastAsia="zh-CN"/>
        </w:rPr>
        <w:t>履约保函（包括纸质保函或电子保函）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履约保函为纸质保函的，纸质保函应注明在</w:t>
      </w:r>
      <w:r>
        <w:rPr>
          <w:rFonts w:hint="eastAsia" w:ascii="宋体" w:hAnsi="宋体" w:eastAsia="宋体" w:cs="宋体"/>
          <w:color w:val="auto"/>
          <w:kern w:val="0"/>
          <w:sz w:val="21"/>
          <w:szCs w:val="21"/>
          <w:highlight w:val="none"/>
        </w:rPr>
        <w:t>重庆市辖区范围内的核验地址和核验方式，并确保该纸质保函能在开立人在渝的总部或者分支机构进行核验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承包人对所提交的履约保函的真实性、合法性、有效性负责</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）履约担保的金额：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中标金额的</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b w:val="0"/>
          <w:bCs/>
          <w:color w:val="auto"/>
          <w:sz w:val="24"/>
          <w:highlight w:val="none"/>
        </w:rPr>
        <w:t>保证金</w:t>
      </w:r>
      <w:r>
        <w:rPr>
          <w:rFonts w:hint="eastAsia" w:ascii="宋体" w:hAnsi="宋体" w:eastAsia="宋体" w:cs="宋体"/>
          <w:b w:val="0"/>
          <w:bCs/>
          <w:color w:val="auto"/>
          <w:sz w:val="24"/>
          <w:highlight w:val="none"/>
          <w:lang w:eastAsia="zh-CN"/>
        </w:rPr>
        <w:t>为</w:t>
      </w:r>
      <w:r>
        <w:rPr>
          <w:rFonts w:hint="eastAsia" w:ascii="宋体" w:hAnsi="宋体" w:eastAsia="宋体" w:cs="宋体"/>
          <w:b w:val="0"/>
          <w:bCs/>
          <w:color w:val="auto"/>
          <w:sz w:val="24"/>
          <w:highlight w:val="none"/>
        </w:rPr>
        <w:t>人民币（大写）</w:t>
      </w:r>
      <w:r>
        <w:rPr>
          <w:rFonts w:hint="eastAsia" w:ascii="宋体" w:hAnsi="宋体" w:eastAsia="宋体" w:cs="宋体"/>
          <w:b/>
          <w:bCs w:val="0"/>
          <w:color w:val="auto"/>
          <w:sz w:val="24"/>
          <w:highlight w:val="none"/>
          <w:u w:val="single"/>
          <w:lang w:val="en-US" w:eastAsia="zh-CN"/>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）履约担保的提交时间：从</w:t>
      </w:r>
      <w:r>
        <w:rPr>
          <w:rFonts w:hint="eastAsia" w:ascii="宋体" w:hAnsi="宋体" w:eastAsia="宋体" w:cs="宋体"/>
          <w:color w:val="auto"/>
          <w:kern w:val="0"/>
          <w:sz w:val="21"/>
          <w:szCs w:val="21"/>
          <w:highlight w:val="none"/>
          <w:lang w:eastAsia="zh-CN"/>
        </w:rPr>
        <w:t>发包</w:t>
      </w:r>
      <w:r>
        <w:rPr>
          <w:rFonts w:hint="eastAsia" w:ascii="宋体" w:hAnsi="宋体" w:eastAsia="宋体" w:cs="宋体"/>
          <w:color w:val="auto"/>
          <w:kern w:val="0"/>
          <w:sz w:val="21"/>
          <w:szCs w:val="21"/>
          <w:highlight w:val="none"/>
        </w:rPr>
        <w:t>人中标通知书送达拟</w:t>
      </w:r>
      <w:r>
        <w:rPr>
          <w:rFonts w:hint="eastAsia" w:ascii="宋体" w:hAnsi="宋体" w:eastAsia="宋体" w:cs="宋体"/>
          <w:color w:val="auto"/>
          <w:kern w:val="0"/>
          <w:sz w:val="21"/>
          <w:szCs w:val="21"/>
          <w:highlight w:val="none"/>
          <w:lang w:eastAsia="zh-CN"/>
        </w:rPr>
        <w:t>承包</w:t>
      </w:r>
      <w:r>
        <w:rPr>
          <w:rFonts w:hint="eastAsia" w:ascii="宋体" w:hAnsi="宋体" w:eastAsia="宋体" w:cs="宋体"/>
          <w:color w:val="auto"/>
          <w:kern w:val="0"/>
          <w:sz w:val="21"/>
          <w:szCs w:val="21"/>
          <w:highlight w:val="none"/>
        </w:rPr>
        <w:t>人之日起5个工作日内（</w:t>
      </w:r>
      <w:r>
        <w:rPr>
          <w:rFonts w:hint="eastAsia" w:ascii="宋体" w:hAnsi="宋体" w:eastAsia="宋体" w:cs="宋体"/>
          <w:color w:val="auto"/>
          <w:kern w:val="0"/>
          <w:sz w:val="21"/>
          <w:szCs w:val="21"/>
          <w:highlight w:val="none"/>
          <w:u w:val="none"/>
          <w:lang w:val="en-US" w:eastAsia="zh-CN"/>
        </w:rPr>
        <w:t>履约</w:t>
      </w:r>
      <w:r>
        <w:rPr>
          <w:rFonts w:hint="eastAsia" w:ascii="宋体" w:hAnsi="宋体" w:eastAsia="宋体" w:cs="宋体"/>
          <w:color w:val="auto"/>
          <w:kern w:val="0"/>
          <w:sz w:val="21"/>
          <w:szCs w:val="21"/>
          <w:highlight w:val="none"/>
          <w:u w:val="none"/>
        </w:rPr>
        <w:t>保函</w:t>
      </w:r>
      <w:r>
        <w:rPr>
          <w:rFonts w:hint="eastAsia" w:ascii="宋体" w:hAnsi="宋体" w:eastAsia="宋体" w:cs="宋体"/>
          <w:color w:val="auto"/>
          <w:kern w:val="0"/>
          <w:sz w:val="21"/>
          <w:szCs w:val="21"/>
          <w:highlight w:val="none"/>
        </w:rPr>
        <w:t>提交时限为15个工作日）按规定金额向</w:t>
      </w:r>
      <w:r>
        <w:rPr>
          <w:rFonts w:hint="eastAsia" w:ascii="宋体" w:hAnsi="宋体" w:eastAsia="宋体" w:cs="宋体"/>
          <w:color w:val="auto"/>
          <w:kern w:val="0"/>
          <w:sz w:val="21"/>
          <w:szCs w:val="21"/>
          <w:highlight w:val="none"/>
          <w:lang w:eastAsia="zh-CN"/>
        </w:rPr>
        <w:t>发包</w:t>
      </w:r>
      <w:r>
        <w:rPr>
          <w:rFonts w:hint="eastAsia" w:ascii="宋体" w:hAnsi="宋体" w:eastAsia="宋体" w:cs="宋体"/>
          <w:color w:val="auto"/>
          <w:kern w:val="0"/>
          <w:sz w:val="21"/>
          <w:szCs w:val="21"/>
          <w:highlight w:val="none"/>
        </w:rPr>
        <w:t>人提交履约担保，并作为签定施工合同的必备条件。若未按要求提交的，视为放弃中标，其</w:t>
      </w:r>
      <w:r>
        <w:rPr>
          <w:rFonts w:hint="eastAsia" w:ascii="宋体" w:hAnsi="宋体" w:eastAsia="宋体" w:cs="宋体"/>
          <w:color w:val="auto"/>
          <w:kern w:val="0"/>
          <w:sz w:val="21"/>
          <w:szCs w:val="21"/>
          <w:highlight w:val="none"/>
          <w:lang w:eastAsia="zh-CN"/>
        </w:rPr>
        <w:t>磋商保证金</w:t>
      </w:r>
      <w:r>
        <w:rPr>
          <w:rFonts w:hint="eastAsia" w:ascii="宋体" w:hAnsi="宋体" w:eastAsia="宋体" w:cs="宋体"/>
          <w:color w:val="auto"/>
          <w:kern w:val="0"/>
          <w:sz w:val="21"/>
          <w:szCs w:val="21"/>
          <w:highlight w:val="none"/>
        </w:rPr>
        <w:t>不予退还，并依法重新确定</w:t>
      </w:r>
      <w:r>
        <w:rPr>
          <w:rFonts w:hint="eastAsia" w:ascii="宋体" w:hAnsi="宋体" w:eastAsia="宋体" w:cs="宋体"/>
          <w:color w:val="auto"/>
          <w:kern w:val="0"/>
          <w:sz w:val="21"/>
          <w:szCs w:val="21"/>
          <w:highlight w:val="none"/>
          <w:lang w:eastAsia="zh-CN"/>
        </w:rPr>
        <w:t>承包人</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）履约担保的期限：</w:t>
      </w:r>
      <w:r>
        <w:rPr>
          <w:rFonts w:hint="eastAsia" w:ascii="宋体" w:hAnsi="宋体" w:eastAsia="宋体" w:cs="宋体"/>
          <w:color w:val="auto"/>
          <w:sz w:val="21"/>
          <w:szCs w:val="21"/>
          <w:highlight w:val="none"/>
          <w:u w:val="single"/>
        </w:rPr>
        <w:t>自</w:t>
      </w:r>
      <w:r>
        <w:rPr>
          <w:rFonts w:hint="eastAsia" w:ascii="宋体" w:hAnsi="宋体" w:eastAsia="宋体" w:cs="宋体"/>
          <w:color w:val="auto"/>
          <w:sz w:val="21"/>
          <w:szCs w:val="21"/>
          <w:highlight w:val="none"/>
          <w:u w:val="single"/>
          <w:lang w:eastAsia="zh-CN"/>
        </w:rPr>
        <w:t>履约</w:t>
      </w:r>
      <w:r>
        <w:rPr>
          <w:rFonts w:hint="eastAsia" w:ascii="宋体" w:hAnsi="宋体" w:eastAsia="宋体" w:cs="宋体"/>
          <w:color w:val="auto"/>
          <w:sz w:val="21"/>
          <w:szCs w:val="21"/>
          <w:highlight w:val="none"/>
          <w:u w:val="single"/>
        </w:rPr>
        <w:t>担保生效之日起至工程</w:t>
      </w:r>
      <w:r>
        <w:rPr>
          <w:rFonts w:hint="eastAsia" w:ascii="宋体" w:hAnsi="宋体" w:eastAsia="宋体" w:cs="宋体"/>
          <w:color w:val="auto"/>
          <w:sz w:val="21"/>
          <w:szCs w:val="21"/>
          <w:highlight w:val="none"/>
          <w:u w:val="single"/>
          <w:lang w:eastAsia="zh-CN"/>
        </w:rPr>
        <w:t>完工</w:t>
      </w:r>
      <w:r>
        <w:rPr>
          <w:rFonts w:hint="eastAsia" w:ascii="宋体" w:hAnsi="宋体" w:eastAsia="宋体" w:cs="宋体"/>
          <w:color w:val="auto"/>
          <w:sz w:val="21"/>
          <w:szCs w:val="21"/>
          <w:highlight w:val="none"/>
          <w:u w:val="single"/>
        </w:rPr>
        <w:t>验收合格之日止</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）履约担保的退还时间：</w:t>
      </w:r>
      <w:r>
        <w:rPr>
          <w:rFonts w:hint="eastAsia" w:ascii="宋体" w:hAnsi="宋体" w:eastAsia="宋体" w:cs="宋体"/>
          <w:color w:val="auto"/>
          <w:kern w:val="0"/>
          <w:sz w:val="21"/>
          <w:szCs w:val="21"/>
          <w:highlight w:val="none"/>
          <w:u w:val="single"/>
          <w:lang w:eastAsia="zh-CN"/>
        </w:rPr>
        <w:t>完工</w:t>
      </w:r>
      <w:r>
        <w:rPr>
          <w:rFonts w:hint="eastAsia" w:ascii="宋体" w:hAnsi="宋体" w:eastAsia="宋体" w:cs="宋体"/>
          <w:color w:val="auto"/>
          <w:kern w:val="0"/>
          <w:sz w:val="21"/>
          <w:szCs w:val="21"/>
          <w:highlight w:val="none"/>
          <w:u w:val="single"/>
        </w:rPr>
        <w:t>验收合格且</w:t>
      </w:r>
      <w:r>
        <w:rPr>
          <w:rFonts w:hint="eastAsia" w:ascii="宋体" w:hAnsi="宋体" w:eastAsia="宋体" w:cs="宋体"/>
          <w:color w:val="auto"/>
          <w:kern w:val="0"/>
          <w:sz w:val="21"/>
          <w:szCs w:val="21"/>
          <w:highlight w:val="none"/>
          <w:u w:val="single"/>
          <w:lang w:eastAsia="zh-CN"/>
        </w:rPr>
        <w:t>发包</w:t>
      </w:r>
      <w:r>
        <w:rPr>
          <w:rFonts w:hint="eastAsia" w:ascii="宋体" w:hAnsi="宋体" w:eastAsia="宋体" w:cs="宋体"/>
          <w:color w:val="auto"/>
          <w:kern w:val="0"/>
          <w:sz w:val="21"/>
          <w:szCs w:val="21"/>
          <w:highlight w:val="none"/>
          <w:u w:val="single"/>
        </w:rPr>
        <w:t>人收到</w:t>
      </w:r>
      <w:r>
        <w:rPr>
          <w:rFonts w:hint="eastAsia" w:ascii="宋体" w:hAnsi="宋体" w:eastAsia="宋体" w:cs="宋体"/>
          <w:color w:val="auto"/>
          <w:kern w:val="0"/>
          <w:sz w:val="21"/>
          <w:szCs w:val="21"/>
          <w:highlight w:val="none"/>
          <w:u w:val="single"/>
          <w:lang w:eastAsia="zh-CN"/>
        </w:rPr>
        <w:t>承包</w:t>
      </w:r>
      <w:r>
        <w:rPr>
          <w:rFonts w:hint="eastAsia" w:ascii="宋体" w:hAnsi="宋体" w:eastAsia="宋体" w:cs="宋体"/>
          <w:color w:val="auto"/>
          <w:kern w:val="0"/>
          <w:sz w:val="21"/>
          <w:szCs w:val="21"/>
          <w:highlight w:val="none"/>
          <w:u w:val="single"/>
        </w:rPr>
        <w:t>人提出的退还履约保证金的书面申请后，</w:t>
      </w:r>
      <w:r>
        <w:rPr>
          <w:rFonts w:hint="eastAsia" w:ascii="宋体" w:hAnsi="宋体" w:eastAsia="宋体" w:cs="宋体"/>
          <w:color w:val="auto"/>
          <w:kern w:val="0"/>
          <w:sz w:val="21"/>
          <w:szCs w:val="21"/>
          <w:highlight w:val="none"/>
          <w:u w:val="single"/>
          <w:lang w:eastAsia="zh-CN"/>
        </w:rPr>
        <w:t>发包</w:t>
      </w:r>
      <w:r>
        <w:rPr>
          <w:rFonts w:hint="eastAsia" w:ascii="宋体" w:hAnsi="宋体" w:eastAsia="宋体" w:cs="宋体"/>
          <w:color w:val="auto"/>
          <w:kern w:val="0"/>
          <w:sz w:val="21"/>
          <w:szCs w:val="21"/>
          <w:highlight w:val="none"/>
          <w:u w:val="single"/>
        </w:rPr>
        <w:t>人15个工作日内无息退还</w:t>
      </w:r>
      <w:r>
        <w:rPr>
          <w:rFonts w:hint="eastAsia" w:ascii="宋体" w:hAnsi="宋体" w:eastAsia="宋体" w:cs="宋体"/>
          <w:color w:val="auto"/>
          <w:kern w:val="0"/>
          <w:sz w:val="21"/>
          <w:szCs w:val="21"/>
          <w:highlight w:val="none"/>
          <w:u w:val="single"/>
          <w:lang w:eastAsia="zh-CN"/>
        </w:rPr>
        <w:t>承包</w:t>
      </w:r>
      <w:r>
        <w:rPr>
          <w:rFonts w:hint="eastAsia" w:ascii="宋体" w:hAnsi="宋体" w:eastAsia="宋体" w:cs="宋体"/>
          <w:color w:val="auto"/>
          <w:kern w:val="0"/>
          <w:sz w:val="21"/>
          <w:szCs w:val="21"/>
          <w:highlight w:val="none"/>
          <w:u w:val="single"/>
        </w:rPr>
        <w:t>人所缴纳的履约保证金</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b w:val="0"/>
          <w:bCs w:val="0"/>
          <w:color w:val="auto"/>
          <w:sz w:val="21"/>
          <w:szCs w:val="21"/>
          <w:highlight w:val="none"/>
        </w:rPr>
        <w:t>民工工资担保</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应按照《重庆市工程建设领域农民工工资保证金实施办法》的通知（渝人社发〔2022〕5号）要求，在本合同签订后20个工作日之内到符合条件的银行开立工资保证金专用账户储存工资保证金或申请开立银行保函，保证金或银行保函金额为合同金额的2%。存储工资保证金的，与经办银行签订《农民工工资保证金存款协议书》并将协议书于签订后3个工作日内送达工资保证金管理地人力资源社会保障部门和发包人备案。以保函替代现金存储工资保证金的，将保函正本于签订后3个工作日内送达工资保证金管理地人力资源社会保障部门和发包人备案。承包人如未按规定执行工资保证金制度，发包人将向区水利局和区人力资源和社会保障局报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、合同文件构成</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))技术标准和要求；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实施方案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)已标价工程量清单；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)其他合同文件及设计变更通知书等。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、承诺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、结算、支付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变更</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关于变更的范围的约定：设计变更、发包人要求的施工变更及招标</w:t>
      </w: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rPr>
        <w:t>范围外的增项或减少、技术商洽均属工程变更。工程变更必须按程序先审批后实施。所有工程变更必须征得监理签发变更指令后，才可以实施。承包人不得直接向设计单位提出设计变更，确需进行设计变更的，由承包人向监理工程师和发包人提出，经监理工程师和发包人同意后，由发包人向设计单位提出进行设计变更报送主管部分审核。施工中发生工程变更，承包人按照经批复后的变更设计文件，进行变更施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结算单价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投标人应结合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实施方案</w:t>
      </w:r>
      <w:r>
        <w:rPr>
          <w:rFonts w:hint="eastAsia" w:ascii="宋体" w:hAnsi="宋体" w:eastAsia="宋体" w:cs="宋体"/>
          <w:color w:val="auto"/>
          <w:sz w:val="21"/>
          <w:szCs w:val="21"/>
          <w:highlight w:val="none"/>
        </w:rPr>
        <w:t>、重庆市地方标准DBJ50-034-2004《白蚁防治施工技术规程》</w:t>
      </w:r>
      <w:r>
        <w:rPr>
          <w:rFonts w:hint="eastAsia" w:ascii="宋体" w:hAnsi="宋体" w:eastAsia="宋体" w:cs="宋体"/>
          <w:color w:val="auto"/>
          <w:sz w:val="21"/>
          <w:szCs w:val="21"/>
          <w:highlight w:val="none"/>
          <w:lang w:eastAsia="zh-CN"/>
        </w:rPr>
        <w:t>等相关</w:t>
      </w:r>
      <w:r>
        <w:rPr>
          <w:rFonts w:hint="eastAsia" w:ascii="宋体" w:hAnsi="宋体" w:eastAsia="宋体" w:cs="宋体"/>
          <w:color w:val="auto"/>
          <w:sz w:val="21"/>
          <w:szCs w:val="21"/>
          <w:highlight w:val="none"/>
        </w:rPr>
        <w:t>规范和对现场的勘察情况等确定</w:t>
      </w: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rPr>
        <w:t>报价。结算时</w:t>
      </w:r>
      <w:r>
        <w:rPr>
          <w:rFonts w:hint="eastAsia" w:ascii="宋体" w:hAnsi="宋体" w:eastAsia="宋体" w:cs="宋体"/>
          <w:color w:val="auto"/>
          <w:sz w:val="21"/>
          <w:szCs w:val="21"/>
          <w:highlight w:val="none"/>
          <w:lang w:eastAsia="zh-CN"/>
        </w:rPr>
        <w:t>中标综合单价</w:t>
      </w:r>
      <w:r>
        <w:rPr>
          <w:rFonts w:hint="eastAsia" w:ascii="宋体" w:hAnsi="宋体" w:eastAsia="宋体" w:cs="宋体"/>
          <w:color w:val="auto"/>
          <w:sz w:val="21"/>
          <w:szCs w:val="21"/>
          <w:highlight w:val="none"/>
        </w:rPr>
        <w:t>均不作调整。</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工程计量</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重庆市地方标准DBJ50-034-2004《白蚁防治施工技术规程》及</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的规定计算。</w:t>
      </w:r>
    </w:p>
    <w:p>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bookmarkStart w:id="191" w:name="_Toc221951226"/>
      <w:r>
        <w:rPr>
          <w:rFonts w:hint="eastAsia" w:ascii="宋体" w:hAnsi="宋体" w:eastAsia="宋体" w:cs="宋体"/>
          <w:color w:val="auto"/>
          <w:sz w:val="21"/>
          <w:szCs w:val="21"/>
          <w:highlight w:val="none"/>
          <w:lang w:eastAsia="zh-CN"/>
        </w:rPr>
        <w:t>付款方式</w:t>
      </w:r>
    </w:p>
    <w:p>
      <w:pPr>
        <w:spacing w:line="400" w:lineRule="exact"/>
        <w:ind w:firstLine="420" w:firstLineChars="200"/>
        <w:rPr>
          <w:rFonts w:hint="eastAsia" w:ascii="宋体" w:hAnsi="宋体" w:eastAsia="宋体" w:cs="宋体"/>
          <w:cap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程开工后，经区行业主管部门确认后支付至合同价款的50%；项目进度过半，由项目法人单位申请、区行业主管部门复核确认后支付至合同价款的80%；工程竣工验收合格后，由项目法人单位提出申请，按程序报区行业主管部门审核后支付至审定金额的97%。余下审定金额的3%作为工程质量保证金，从竣工验收合格之日起到质保期满并修复完成缺陷后，30日内无息退还(具体以签订合同约定时间为准)。</w:t>
      </w:r>
      <w:bookmarkEnd w:id="191"/>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结算原则</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的要求，以实际完成合格工程量进行结算。</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（2）承包范围以外的工程项目（如果有）及设计变更工程结算原则：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①已标价工程量清单中有适用于变更工程项目的，采用该项目的单价；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②已标价工程量清单中没有适用，但有类似于变更工程项目的，可参照类似项目的单价；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③承包范围以外的工程项目（如果有）及设计变更增加的工程项目而致使已标价工程量清单中没有适用也没有类似于变更工程项目的，按重庆市地方标准DBJ50-034-2004《白蚁防治施工技术规程》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年的重庆市相关定额</w:t>
      </w:r>
      <w:r>
        <w:rPr>
          <w:rFonts w:hint="eastAsia" w:ascii="宋体" w:hAnsi="宋体" w:eastAsia="宋体" w:cs="宋体"/>
          <w:color w:val="auto"/>
          <w:sz w:val="21"/>
          <w:szCs w:val="21"/>
          <w:highlight w:val="none"/>
          <w:lang w:eastAsia="zh-CN"/>
        </w:rPr>
        <w:t>等相关</w:t>
      </w:r>
      <w:r>
        <w:rPr>
          <w:rFonts w:hint="eastAsia" w:ascii="宋体" w:hAnsi="宋体" w:eastAsia="宋体" w:cs="宋体"/>
          <w:color w:val="auto"/>
          <w:sz w:val="21"/>
          <w:szCs w:val="21"/>
          <w:highlight w:val="none"/>
        </w:rPr>
        <w:t>规范和</w:t>
      </w:r>
      <w:r>
        <w:rPr>
          <w:rFonts w:hint="eastAsia" w:ascii="宋体" w:hAnsi="宋体" w:eastAsia="宋体" w:cs="宋体"/>
          <w:color w:val="auto"/>
          <w:sz w:val="21"/>
          <w:szCs w:val="21"/>
          <w:highlight w:val="none"/>
          <w:lang w:eastAsia="zh-CN"/>
        </w:rPr>
        <w:t>结合市场</w:t>
      </w:r>
      <w:r>
        <w:rPr>
          <w:rFonts w:hint="eastAsia" w:ascii="宋体" w:hAnsi="宋体" w:eastAsia="宋体" w:cs="宋体"/>
          <w:color w:val="auto"/>
          <w:sz w:val="21"/>
          <w:szCs w:val="21"/>
          <w:highlight w:val="none"/>
        </w:rPr>
        <w:t>情况等</w:t>
      </w:r>
      <w:r>
        <w:rPr>
          <w:rFonts w:hint="eastAsia" w:ascii="宋体" w:hAnsi="宋体" w:eastAsia="宋体" w:cs="宋体"/>
          <w:color w:val="auto"/>
          <w:sz w:val="21"/>
          <w:szCs w:val="21"/>
          <w:highlight w:val="none"/>
          <w:lang w:eastAsia="zh-CN"/>
        </w:rPr>
        <w:t>确定价格后按照投标时的下浮比例同比例下浮。</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在工程实施工程中当实际完成的工程量与招标工程量偏差超过15%，调整原则为：当工程量增加15%以上时，其增加部分的工程量综合单价下调1%；当工程量减少15%以上时，减少后剩余部分的工程量的综合单价上调1%。</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、验收标准和方式：</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1.验收标准：DBJ50-034-2004《白蚁防治施工技术规程》。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2.验收方法：根据甲乙双方签字认可的施工技术资料（含预防施工技术方案、施工记录等），对照《白蚁防治施工技术规程》进行验收，并签署竣工验收报告。</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、预防期限：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白蚁防治</w:t>
      </w:r>
      <w:r>
        <w:rPr>
          <w:rFonts w:hint="eastAsia" w:ascii="宋体" w:hAnsi="宋体" w:eastAsia="宋体" w:cs="宋体"/>
          <w:color w:val="auto"/>
          <w:sz w:val="21"/>
          <w:szCs w:val="21"/>
          <w:highlight w:val="none"/>
          <w:lang w:eastAsia="zh-CN"/>
        </w:rPr>
        <w:t>质保</w:t>
      </w:r>
      <w:r>
        <w:rPr>
          <w:rFonts w:hint="eastAsia" w:ascii="宋体" w:hAnsi="宋体" w:eastAsia="宋体" w:cs="宋体"/>
          <w:color w:val="auto"/>
          <w:sz w:val="21"/>
          <w:szCs w:val="21"/>
          <w:highlight w:val="none"/>
        </w:rPr>
        <w:t>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年，自防治工程交付使用之日起计算，质量保证金为结算</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从竣工验收合格之日起到质保期满并修复完成缺陷后，30日内无息退还(具体以签订合同约定时间为准)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、甲方的权利、义务：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享有乙方在防治工程和白蚁防治</w:t>
      </w:r>
      <w:r>
        <w:rPr>
          <w:rFonts w:hint="eastAsia" w:ascii="宋体" w:hAnsi="宋体" w:eastAsia="宋体" w:cs="宋体"/>
          <w:color w:val="auto"/>
          <w:sz w:val="21"/>
          <w:szCs w:val="21"/>
          <w:highlight w:val="none"/>
          <w:lang w:eastAsia="zh-CN"/>
        </w:rPr>
        <w:t>质保</w:t>
      </w:r>
      <w:r>
        <w:rPr>
          <w:rFonts w:hint="eastAsia" w:ascii="宋体" w:hAnsi="宋体" w:eastAsia="宋体" w:cs="宋体"/>
          <w:color w:val="auto"/>
          <w:sz w:val="21"/>
          <w:szCs w:val="21"/>
          <w:highlight w:val="none"/>
        </w:rPr>
        <w:t>期限内为其提供白蚁防治服务的权利。</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2.为乙方施工过程提供必要的现场施工协调。</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3.白蚁防治施工完毕，在甲方的组织下甲乙双方共同完成工程验收工作，并共同签署《白蚁防治工程验收报告》。</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.施工期间，甲方应为乙方的工作、生活协调必需的条件（费用由乙方自理）。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.甲方如接到乙方在对堤坝检查后发现危情的书面通知，应及时所出书面处理答复。如甲方未按双方处理决定消除危情，所产生的危害结果由甲方负全责。</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、乙方的权利、义务：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1.享有按双方约定从甲方获得报酬的权利。</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2.在约定的工期内完成施工任务。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.乙方在</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过程中占用的</w:t>
      </w:r>
      <w:r>
        <w:rPr>
          <w:rFonts w:hint="eastAsia" w:ascii="宋体" w:hAnsi="宋体" w:eastAsia="宋体" w:cs="宋体"/>
          <w:color w:val="auto"/>
          <w:sz w:val="21"/>
          <w:szCs w:val="21"/>
          <w:highlight w:val="none"/>
          <w:lang w:eastAsia="zh-CN"/>
        </w:rPr>
        <w:t>耕地、农田、植被、农作物等</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后的土方回填</w:t>
      </w:r>
      <w:r>
        <w:rPr>
          <w:rFonts w:hint="eastAsia" w:ascii="宋体" w:hAnsi="宋体" w:eastAsia="宋体" w:cs="宋体"/>
          <w:color w:val="auto"/>
          <w:sz w:val="21"/>
          <w:szCs w:val="21"/>
          <w:highlight w:val="none"/>
          <w:lang w:eastAsia="zh-CN"/>
        </w:rPr>
        <w:t>、现场恢复</w:t>
      </w:r>
      <w:r>
        <w:rPr>
          <w:rFonts w:hint="eastAsia" w:ascii="宋体" w:hAnsi="宋体" w:eastAsia="宋体" w:cs="宋体"/>
          <w:color w:val="auto"/>
          <w:sz w:val="21"/>
          <w:szCs w:val="21"/>
          <w:highlight w:val="none"/>
        </w:rPr>
        <w:t>等均由</w:t>
      </w:r>
      <w:r>
        <w:rPr>
          <w:rFonts w:hint="eastAsia" w:ascii="宋体" w:hAnsi="宋体" w:eastAsia="宋体" w:cs="宋体"/>
          <w:color w:val="auto"/>
          <w:sz w:val="21"/>
          <w:szCs w:val="21"/>
          <w:highlight w:val="none"/>
          <w:lang w:eastAsia="zh-CN"/>
        </w:rPr>
        <w:t>已</w:t>
      </w:r>
      <w:r>
        <w:rPr>
          <w:rFonts w:hint="eastAsia" w:ascii="宋体" w:hAnsi="宋体" w:eastAsia="宋体" w:cs="宋体"/>
          <w:color w:val="auto"/>
          <w:sz w:val="21"/>
          <w:szCs w:val="21"/>
          <w:highlight w:val="none"/>
        </w:rPr>
        <w:t>方负责。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.白蚁防治施工完毕，在甲方的组织下与甲方一道完成工程验收工作，并共同签署工程验收报告。验收完成后，将防治有关资料和工程验收报告提交甲方。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.在白蚁</w:t>
      </w:r>
      <w:r>
        <w:rPr>
          <w:rFonts w:hint="eastAsia" w:ascii="宋体" w:hAnsi="宋体" w:eastAsia="宋体" w:cs="宋体"/>
          <w:color w:val="auto"/>
          <w:sz w:val="21"/>
          <w:szCs w:val="21"/>
          <w:highlight w:val="none"/>
          <w:lang w:eastAsia="zh-CN"/>
        </w:rPr>
        <w:t>质保</w:t>
      </w:r>
      <w:r>
        <w:rPr>
          <w:rFonts w:hint="eastAsia" w:ascii="宋体" w:hAnsi="宋体" w:eastAsia="宋体" w:cs="宋体"/>
          <w:color w:val="auto"/>
          <w:sz w:val="21"/>
          <w:szCs w:val="21"/>
          <w:highlight w:val="none"/>
        </w:rPr>
        <w:t>期限内，如在工程防治范围内发生蚁害，由乙方无偿提供防治服务。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.承包人提交的竣工资料的内容：承包人提供给发包人完整的竣工资料（含</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部门验收合格的档案资料及竣工图）。</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承包人需要提交的竣工资料套数：提供一式贰套完整的竣工图及竣工资料（至少两套原件）和竣工图电子版光盘壹张，同时承包人按</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档案材料备案。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 由承包人承担。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承包人提交的竣工资料移交时间：工程竣工验收（决算审计前的完工验收）合格之日起20日内。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承包人提交的竣工资料形式要求：书面和电子文档。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.承包人应履行的其他义务：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A、承担施工安全保卫工作及非夜间施工照明的责任和要求：承包人按行政管理部门和相关部门的要求，提供相应设施（如护板、围栏等）以保护公共安全，并提供方便。</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B、按合同约定的工作内容和施工进度要求，编制施工组织设计和施工措施计划，并对所有施工作业和施工方法的完备性和安全可靠负责。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C、需承包人办理的有关施工场地交通、环卫和施工噪音管理等手续：均由承包人自行负责办理，费用已包含在合同价中。</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已完工程成品保护的特殊要求及费用承担：工程移交前承包人需采取有效措施保护已完工程不受损坏，非发包人原因造成成品、半成品、材料设备（包括其它专业或施工单位所有的）损坏由承包人负责修复并承担赔偿责任；如造成第三方人身伤害的，由承包人依法承担一切责任并承担相应费用。工程移交后由发包人负责。</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E、施工场地清洁卫生的要求：按有关规定执行。</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F、施工过程当中应严格按照重庆市环保、建设等行政管理部门的规定，文明、安全施工、环保施工，确保达到文明工地标准。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凡设计图及说明要求与“重庆市建设领域限制、禁止使用落后技术的通告（一、二、三、四、五、六、七号）”（简称通告）等国家和重庆地方强制性规定相矛盾的，一律以“通告”和强制性规定为准，其相关的费用已包括在合同价中。</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承包人负责保护施工现场范围内地上、地下各种管线和施工场地用地红线外既有的一切管线、构筑物等，并承担由此而发生的费用。如承包人对管线和建、构筑物造成损坏或破坏的由承包人自行负责修复并承担所有经济责任和法律责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I、严格按发包人提供的施工图、图说、设计变更、答疑纪要、技术交底等有效来往函件及现行国家、地方施工验收规范进行施工，确保工程按质按期完成。</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J、做好开工前的准备工作。</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K、负责将水、电接入施工场地，负责承担水（含水源）、电（含电源）及其接口、接入点后所需的材料、安装及水、电设施的管理等所有费用。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L、负责组织施工采取预防措施，确保安全，在施工期间因承包人原因发生的一切人员伤亡、财产损失（含附近人、畜及一切财产）均由承包人承担一切经济损失和法律责任。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M、负责施工中所有材料购买、运输、储存保管，且应遵守国家、地方有关管理条例等相关规定，同时向有关部门报告并办理有关手续且自行承担由此产生的相关费用。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N、施工过程中非发包人原因引起的安全事故，由承包人承担全部责任。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承包人入场后与监理工程师、发包人代表和与本工程有关的其他平行发包单位共同对需要交接部位进行交接，作好记录，并由监理工程师和发包人代表认可，未经认可，不得开工，否则，由此造成的损失全部由承包人承担。</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P、凡发包人要求增加的与本工程相关的工作，承包人应无条件接受并即时组织施工，费用另行计算。</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在执行合同过程中任何一方违约，违约方都应向另一方支付白蚁防治工程款总额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、解决争议的方式：</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本合同在履行过程中若发生争议，由双方当事人协商解决。协商不成，可向人民法院起诉。</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、合同效力</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1.甲乙双方法定代表人签字、单位加盖公章后生效。</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、其他事宜：</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本合同若有未尽事宜，由双方共同协商，做出补充规定。补充规定与本合同具有同等效力。</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03" w:firstLineChars="192"/>
        <w:jc w:val="both"/>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甲方（签章）：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乙方（签章）：</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或委托代理人：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或委托代理人：</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经办人：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经办人：</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624" w:rightChars="-223"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开户行：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账号：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邮编：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邮编：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25" w:firstLineChars="25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 </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500" w:lineRule="exact"/>
        <w:ind w:firstLine="420" w:firstLineChars="20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rPr>
        <w:br w:type="page"/>
      </w:r>
      <w:bookmarkStart w:id="192" w:name="_Toc351203632"/>
    </w:p>
    <w:p>
      <w:pPr>
        <w:keepNext/>
        <w:keepLines/>
        <w:snapToGrid w:val="0"/>
        <w:spacing w:line="600" w:lineRule="exact"/>
        <w:outlineLvl w:val="3"/>
        <w:rPr>
          <w:rFonts w:hint="eastAsia" w:ascii="宋体" w:hAnsi="宋体" w:eastAsia="宋体" w:cs="宋体"/>
          <w:color w:val="auto"/>
          <w:kern w:val="0"/>
          <w:sz w:val="21"/>
          <w:szCs w:val="21"/>
          <w:highlight w:val="none"/>
        </w:rPr>
      </w:pPr>
      <w:bookmarkStart w:id="193" w:name="baidusnap7"/>
      <w:bookmarkEnd w:id="193"/>
      <w:bookmarkStart w:id="194" w:name="_Toc303538974"/>
      <w:bookmarkEnd w:id="194"/>
      <w:bookmarkStart w:id="195" w:name="baidusnap3"/>
      <w:bookmarkEnd w:id="195"/>
      <w:bookmarkStart w:id="196" w:name="_Toc303538976"/>
      <w:bookmarkEnd w:id="196"/>
      <w:bookmarkStart w:id="197" w:name="_Toc303538972"/>
      <w:bookmarkEnd w:id="197"/>
      <w:bookmarkStart w:id="198" w:name="_Toc303538975"/>
      <w:bookmarkEnd w:id="198"/>
      <w:bookmarkStart w:id="199" w:name="_Toc303538973"/>
      <w:bookmarkEnd w:id="199"/>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：履约担保</w:t>
      </w:r>
    </w:p>
    <w:p>
      <w:pPr>
        <w:pStyle w:val="8"/>
        <w:spacing w:line="360" w:lineRule="auto"/>
        <w:rPr>
          <w:rFonts w:hint="eastAsia" w:ascii="宋体" w:hAnsi="宋体" w:eastAsia="宋体" w:cs="宋体"/>
          <w:color w:val="auto"/>
          <w:kern w:val="0"/>
          <w:sz w:val="21"/>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w:t>
      </w:r>
      <w:r>
        <w:rPr>
          <w:rFonts w:hint="eastAsia" w:ascii="宋体" w:hAnsi="宋体" w:eastAsia="宋体" w:cs="宋体"/>
          <w:color w:val="auto"/>
          <w:kern w:val="2"/>
          <w:sz w:val="21"/>
          <w:szCs w:val="21"/>
          <w:highlight w:val="none"/>
          <w:lang w:eastAsia="zh-CN"/>
        </w:rPr>
        <w:t>磋商文件</w:t>
      </w:r>
      <w:r>
        <w:rPr>
          <w:rFonts w:hint="eastAsia" w:ascii="宋体" w:hAnsi="宋体" w:eastAsia="宋体" w:cs="宋体"/>
          <w:color w:val="auto"/>
          <w:kern w:val="2"/>
          <w:sz w:val="21"/>
          <w:szCs w:val="21"/>
          <w:highlight w:val="none"/>
        </w:rPr>
        <w:t>和投标文件，了解到申请人为本工程项下之承包人、受益人为本工程项下之发包人，基于申请人的请求，我方（即“开立人”）同意就申请人履行本工程依据中标通知书、</w:t>
      </w:r>
      <w:r>
        <w:rPr>
          <w:rFonts w:hint="eastAsia" w:ascii="宋体" w:hAnsi="宋体" w:eastAsia="宋体" w:cs="宋体"/>
          <w:color w:val="auto"/>
          <w:kern w:val="2"/>
          <w:sz w:val="21"/>
          <w:szCs w:val="21"/>
          <w:highlight w:val="none"/>
          <w:lang w:eastAsia="zh-CN"/>
        </w:rPr>
        <w:t>磋商文件</w:t>
      </w:r>
      <w:r>
        <w:rPr>
          <w:rFonts w:hint="eastAsia" w:ascii="宋体" w:hAnsi="宋体" w:eastAsia="宋体" w:cs="宋体"/>
          <w:color w:val="auto"/>
          <w:kern w:val="2"/>
          <w:sz w:val="21"/>
          <w:szCs w:val="21"/>
          <w:highlight w:val="none"/>
        </w:rPr>
        <w:t>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spacing w:beforeLines="0" w:line="360" w:lineRule="auto"/>
        <w:ind w:firstLine="420" w:firstLineChars="200"/>
        <w:jc w:val="left"/>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spacing w:beforeLines="0" w:line="360" w:lineRule="auto"/>
        <w:ind w:lef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br w:type="page"/>
      </w:r>
      <w:bookmarkStart w:id="200" w:name="_Toc33183802"/>
    </w:p>
    <w:p>
      <w:pPr>
        <w:keepNext/>
        <w:keepLines/>
        <w:pageBreakBefore w:val="0"/>
        <w:widowControl w:val="0"/>
        <w:kinsoku/>
        <w:wordWrap/>
        <w:overflowPunct/>
        <w:topLinePunct w:val="0"/>
        <w:autoSpaceDE/>
        <w:autoSpaceDN/>
        <w:bidi w:val="0"/>
        <w:adjustRightInd/>
        <w:snapToGrid w:val="0"/>
        <w:spacing w:line="360" w:lineRule="auto"/>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bookmarkEnd w:id="200"/>
      <w:r>
        <w:rPr>
          <w:rFonts w:hint="eastAsia" w:ascii="宋体" w:hAnsi="宋体" w:eastAsia="宋体" w:cs="宋体"/>
          <w:color w:val="auto"/>
          <w:kern w:val="0"/>
          <w:sz w:val="21"/>
          <w:szCs w:val="21"/>
          <w:highlight w:val="none"/>
        </w:rPr>
        <w:t>重庆市水利工程建设安全生产合同</w:t>
      </w:r>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重庆市水利工程建设安全生产合同</w:t>
      </w:r>
      <w:r>
        <w:rPr>
          <w:rFonts w:hint="eastAsia" w:ascii="宋体" w:hAnsi="宋体" w:eastAsia="宋体" w:cs="宋体"/>
          <w:color w:val="auto"/>
          <w:kern w:val="0"/>
          <w:sz w:val="21"/>
          <w:szCs w:val="21"/>
          <w:highlight w:val="none"/>
        </w:rPr>
        <w:tab/>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施工工程合同编号：</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安全生产合同编号：</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甲方（建设工程的项目法人）：</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乙方（中标单位即施工单位）：</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工程实施过程中营造安全、高效的施工环境，切实搞好项目安全管理工作，根据《中华人民共和同合同法》、《中华人民共和国安全生产法》、《建设工程安全生产管理条例》以及《水利工程建设安全生产管理办法》等法律法规以及相关政策的规定，经甲、乙双方协商一致，特制定本合同。</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一、项目工程名称：</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二、项目所在地：</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二、工程内容：</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三、合同履行期限：</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四、本工程主要危险源：</w:t>
      </w:r>
      <w:r>
        <w:rPr>
          <w:rFonts w:hint="eastAsia" w:ascii="宋体" w:hAnsi="宋体" w:eastAsia="宋体" w:cs="宋体"/>
          <w:color w:val="auto"/>
          <w:kern w:val="0"/>
          <w:sz w:val="21"/>
          <w:szCs w:val="21"/>
          <w:highlight w:val="none"/>
          <w:u w:val="single"/>
        </w:rPr>
        <w:t xml:space="preserve">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五、双方的权利义务</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 甲方的权利义务</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2．甲方不得调减和挪用中标价中所确定的水利工程建设有关安全作业环境及安全施工措施等所需费用。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甲方应督促乙方严格执行财政部、国家安全生产监督管理总局《关于印发高危行业企业安全生产费用财务管理暂行办法的通知》（财企〔2006〕478号）和重庆市水利局、市财政局、市发改委和市安监局《关于落实水利工程建设安全生产费用及使用管理问题的通知》（渝水基〔2009〕28号）的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4．甲方不得对乙方提出不符合建设工程安全生产法律、法规和强制性标准规定的要求，不得压缩合同约定的工期。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5．甲方应编制保证安全生产的措施方案，并在规定时间内报有管辖权的水行政主管部门备案。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6．在本水利工程开工前，甲方应当就落实保证安全生产的措施进行全面系统的布置，明确施工单位的安全生产责任。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甲方应当在拆除或者爆破工程施工15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8．甲方有权检查乙方执行有关安全生产方面的工作规定，对乙方不符合安全、文明施工要求的行为进行制止、纠正并发出安全整改通知书，直至清退出场。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9．甲方应确保安全设施与主体工程建设“三同时”的原则，即：同时设计，同时施工，同时投入使用。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10．甲方不得明示或者暗示乙方购买、租赁、使用不符合安全施工要求的安全防护用具、机械设备、施工机具及配件、消防设施和器材。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11．甲方应在事故发生后，按照事故处理的相关程序上报有关部门，不得延误。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bookmarkStart w:id="201" w:name="_Toc33183803"/>
      <w:r>
        <w:rPr>
          <w:rFonts w:hint="eastAsia" w:ascii="宋体" w:hAnsi="宋体" w:eastAsia="宋体" w:cs="宋体"/>
          <w:color w:val="auto"/>
          <w:kern w:val="0"/>
          <w:sz w:val="21"/>
          <w:szCs w:val="21"/>
          <w:highlight w:val="none"/>
        </w:rPr>
        <w:t>（二）乙方的权利义务</w:t>
      </w:r>
      <w:bookmarkEnd w:id="20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1．乙方应严格执行安全生产法律法规，水行政主管部门的规定，按照工程建设规范要求，特别是强制性规范对安全施工的各项规定，依法履行安全生产管理职责和义务。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2．乙方应承诺本单位依法取得符合本工程要求的《安全生产许可证》；本单位的主要负责人、拟投入项目负责人以及专职安全生产管理人员具有合法有效的安全资质证书。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为保证施工现场安全管理体系有效运行，乙方应当设立专职的安全生产管理机构，并配备专职安全生产管理人员。施工现场应当按照每2000万元施工合同额配备1名的比例，配备专职安全生产管理人员，每个标段不足2000万元的至少配备1名；建立健全安全生产规章制度和操作规程，对工程建设进行经常性的安全检查，并做好安全检查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4．乙方应按照财政部安全监督总局关于印发《企业安全生产费用提取和使用管理办法》的通知（财企[2012]16号）要求</w:t>
      </w:r>
      <w:r>
        <w:rPr>
          <w:rFonts w:hint="eastAsia" w:ascii="宋体" w:hAnsi="宋体" w:eastAsia="宋体" w:cs="宋体"/>
          <w:color w:val="auto"/>
          <w:sz w:val="21"/>
          <w:szCs w:val="21"/>
          <w:highlight w:val="none"/>
          <w:lang w:val="en-US" w:eastAsia="zh-CN"/>
        </w:rPr>
        <w:t>和重庆市水利局办公室文件《重庆市水利局办公室关于进一步加强水利工程安全文明施工管理的通知》（渝水办建</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]1号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的规定，以不低于建筑安装工程造价的</w:t>
      </w:r>
      <w:r>
        <w:rPr>
          <w:rFonts w:hint="eastAsia" w:ascii="宋体" w:hAnsi="宋体" w:eastAsia="宋体" w:cs="宋体"/>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计提安全费用，保证安全生产投入。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5．乙方应认可其投标报价已包括（但不限于）完成本工程实物工作量所需的安全管理、质量管理、安全培训、劳动保护、文明施工等全部费用。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乙方参与项目的承建单位所有人员（含农民工）上岗前均按照相关规定的要求进行了与其从事岗位相符的安全教育培训，具备必要的安全生产知识，熟悉有关的安全生产规章制度和安全操作规程，掌握本岗位的安全操作技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所有特种作业人员接受了与本工种相适应的、专门的安全技术培训，经安全技术理论考核实际操作技能考试合格，并取得有效的特种作业人员操作证书。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7．乙方所有进场设备、机具、设备应符合安全技术规范要求。特种设备具有特种设备安全检测机构出具的有效的检测合格证书或审批手续。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8．乙方应遵守法律法规关于易燃易爆及危化物品购买、运输、储存、管理使用的相关规定，自觉接受当地公安部门的监管。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9．乙方应按照《安全生产事故隐患排查治理暂行规定》的要求，主动承担起隐患排查、治理和防控的主体责任，建立并落实从主要负责人到每个从业人员的隐患排查治理和监控责任制。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乙方应当按照重庆市水利局、市安监局《重庆市重点水利工程危险性较大单项工程安全专项施工方案编制和审查管理（暂行）办法》（渝水基〔2010〕15号）的要求，对危险性较大的单项工程编制安全生产专项方案，并严格履行审核、审查批准程序后方可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11．乙方应按照本工程项目特点，组织制定本工程实施中的生产安全事故应急救援预案；承担度汛要求的工程，还应当编制满足度汛要求的施工度汛方案，并按程序审批、备案。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12．乙方应按照国务院《生产安全事故报告和调查处理条例》及相关规定的要求，及时上报有关部门，不得延误。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13．乙方应承担施工期间因生产安全事故造成的刑事、行政、民事责任和全部直接经济损失。</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发生“七、违约责任”中所述乙方违约情形时的有关违约金以及施工单位承担责任的安全事故处置和事故善后工作所产生的有关费用，甲方将在工程进度款中扣除，后续进度款不足的在履约保证金中扣除。乙方应在发生生产安全事故后及时开展救援处置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七、违约责任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（一）甲方违反本合同约定的义务，导致乙方发生生产安全事故和经济损失的，应承担由此而产生的直接经济损失。</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（二）乙方如发生特别重大、重大、较大和一般生产安全事故，应当以安全生产行政主管部门出具的事故调查处理报告为依据，分别承担100万元、50万元、30万元、10万元的违约金。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（三）乙方发生人身伤亡工伤事故或机械设备事故后，故意破坏或伪造事故现场，隐瞒不报、谎报、虚报，应承担违约金50万元。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（四）乙方每发生一次本合同附件所列举的“习惯性违章行为”一条，乙方应承担违约金1万元；发生一次两条，乙方应承担违约金2万元，以此类推。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八、甲、乙双方应自觉接受项目监理单位对本工程实施的安全监督和检查，并按要求承担违约责任。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九、本合同有效期为：甲乙双方签署之日起至合同工程完工验收之日止。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十、本合同一式陆份，甲乙双方各执份贰份，监理单位贰份，由双方加盖公章、法定代表人或其授权代理人</w:t>
      </w: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后生效。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十一、合同未尽事宜，各方协商解决。如协商不成，可提请有管辖权的仲裁机构或法院进行裁决。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法定代表人（或授权的代理人）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法定代表人（或授权的代理人）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p>
    <w:p>
      <w:pPr>
        <w:snapToGrid w:val="0"/>
        <w:spacing w:line="324"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习惯性违章行为</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1．进入施工生产区域的人员不正确穿戴使用劳动防护用品。</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2．作业人员随意解除、挪动已设置的安全措施或擅自穿、跨越安全围栏或超越安全警戒线。</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3．在行人道口或人口密集区从事高处作业，工作地点的下面不设围栏、未设专人看守或其他安全措施。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4．高处作业不系安全带、安全带系在移动或不牢固的物件上、换位时失去安全带保护；高处作业人员不系安全绳、安全绳低挂高用。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5．高处作业不用绳索传递物品，随手上下抛掷器具、材料。</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6．施工现场临时搭建的建筑物不符合安全使用要求。</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7．未对因建设工程施工可能造成损害的毗邻建筑物、构筑物和地下管线等采取专项防护措施。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8．施工现场的井、洞、坑、沟、口等危险处不设明显警示标志，未采取加盖板或设置围栏等防护措施。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9．临水、临空、临边等部位不设安全防护栏杆和挡脚板。</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10．上下层垂直立体作业无隔离防护措施，或错开作业期间无专人监护。</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11．在高处平台、孔洞边缘倚坐或跨越栏杆。</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12．高边坡作业未在作业面上方设置防护设施。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13．隧洞作业未采取必要的安全措施。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14．将运行中转动设备的防护罩打开；将手伸入运动中转动设备的遮拦内；戴手套或用抹布对转动部分进行清扫或进行其他工作。</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15．空气压缩机房的维修平台和电动机地坑的周围无防护栏杆，或栏杆下部无防护网（板），地沟未铺设盖板；移动式空压机无防雨、防晒、隔离防拦等设施。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16．现场倒闸操作不戴绝缘手套，雷雨天气巡视或操作室外高压设备不穿绝缘靴。</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17．停电作业不验电接地或不按规定顺序装拆接地线、不按规定使用个人保安线。</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18．在带电设备周围使用钢卷尺、皮卷尺和线尺（夹有金属丝者）进行测量工作。</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19．在带电设备周围使用金属梯子进行作业；在户外变电站和高压室内不按规定使用和搬运梯子、管子等长物。</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20．未经值班人员许可，擅自进入带电运行设备区域。</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21．水上作业不佩戴救生工具。</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22．建设项目施工单位不严格按照安全设施的施工图纸和设计要求施工。</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23．作业人员不按照审批后的施工方案进行作业或随意变动施工方案；擅自扩大工作范围、工作内容。</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24．开工前没有对所有作业人员进行安全技术交底、不明确工作范围、安全措施不交代或交代不清，盲目开工。</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25．专责监护人不认真履行监护职责，从事与监护无关的工作。</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26．对基坑支护与降水、土方开挖与边坡防护、模板、起重吊装、脚手架、拆除、爆破等单项工程无专项施工方案和安全技术措施，或专项施工方案未完善编、审、批手续，或方案不符合强制性标准要求。</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27．组立杆塔、撤杆、撤线或紧线前未按规定使用防倒杆装置等防倒杆措施或采取突然剪断导线、地线、拉线等方法撤杆撤线。</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28．使用吊篮载人。</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29．吊车起吊前未鸣笛示警或起重工作无专人指挥。</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30．起重时凭借栏杆、脚手架、瓷件等起吊物件。</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31．在起吊或牵引过程中，受力钢丝绳周围、上下方、内角侧和起吊物下面，有人逗留和通过。吊运重物时从人头顶通过或吊臂下站人。</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32．龙门吊、塔吊拆卸(安装)工程中未严格按照规定程序执行。</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33．在梯子上作业，无人扶梯子或梯子架设在不稳定的支持物上。</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34．施工临时用电未严格执行“三相五线制”、线路敷设不整齐、绝缘不可靠、用其他金属丝代替熔断丝。</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35．配电箱、开关箱及漏电保护开关的配置未实行“三级配电、两级保护”，配电箱内电器设置应按“一机、一闸、一漏”原则设置。</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36．配电箱、开关箱无防雨、防尘和防砸措施。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37．不按规定使用合格的安全工器具或超过检测周期的安全工器具进行作业。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38．使用未经检验或检验不合格的特种设备。</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39．带电作业，不按规定使用绝缘工具。</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40．使用电动工器具时未接入漏电保护装置、金属外壳不接地或接地不可靠、或不戴绝缘手套。</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41．使用电动工具时将电源线直接插入插座孔或钩挂在闸刀开关上使用。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42．爆破物、有害气体和液体存放处不设明显且符合国际标准的安全警示标志。</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43．对有爆炸和火灾危险的场所，未按危险场所等级选择相应的防爆型照明器。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44．在易燃物品及重要设备上方进行焊接，下方无监护人，未采取防火等安全措施。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45．在宿舍、办公室、休息室内存放易燃易爆物品，使用电炉。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46．未履行有关手续即对有压力、带电、充油的容器及管道施焊。</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47．消防设施配备不足或使用已过期失效的消防器材。</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48．爆破作业时无专人指挥、无统一信号和专人警戒。</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49．特种作业人员不持证上岗或非特种作业人员进行特种作业。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50．无证驾驶、酒后驾驶、客货混装。</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51．机器的传动部分没有装防护罩或其他防护设备，露出的轴端没有设护盖。</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52．高空作业搭设的脚手架不符合安全要求。</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53．深沟、深坑四周无安全警戒线，夜间无警告红灯。</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54．起重机械，如绞磨、汽车吊、卷扬机等无制动和逆止装置，或制动装置失灵、不灵敏。</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55．易燃易爆区、重点防火区内的防火设施不全或符合规定要求。</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56．电器防误闭锁装置不全。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57．高低压线路对地、对建筑物等安全距离不够。</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58．电气设备外壳无接地。</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59．临时电源无漏电保护器。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60．未建立和完善各级人员安全生产责任制，使各级人员安全管理职责不清、安全责任不明。</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61．不建立健全安全生产管理制度和基础台帐。</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62．未按规定设置安全监督机构和配置安全员。</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63．未按规定落实安全生产措施、计划、资金。</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64．未按规定配备符合国家标准和行业标准的安全防护装置、安全工器具和个人防护用品。</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65．施工单位不为现场从事危险作业人员依法办理保险的凭证。</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66．新进场人员（包括农民工）未进行安全教育或未配证上岗作业的；或安排非特种作业人员进行特种作业的。</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67．临时工从事有危险的工作时，未派专人监护。</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68．违章指挥，强令工人冒险作业。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69．对排查出的安全隐患未制定整改计划或未落实整改治理措施。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70．使用无相应资质的单位在施工现场安装、拆卸施工起重机械和整体提升脚手架、模板等自升式架设设施。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71．对承包方未进行资质审查或违规进行工程发包。</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72．承发包工程未依法签订安全协议，未明确双方应承担的安全责任。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73．建设工程中租用未经安全性能检测或者经检测不合格的机械设备和施工机具。</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  未按要求编制生产安全事故应急救援预案和施工度汛方案。</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75．在尚未竣工的建筑物内设置员工集体宿舍。</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76．发生施工安全事故后，不按规定程序进行报告或不遵循“四不放过”原则组织开展事故调查及处理。</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 法律法规、强制性规范规定的其他违章行为。</w:t>
      </w:r>
    </w:p>
    <w:p>
      <w:pPr>
        <w:snapToGrid w:val="0"/>
        <w:spacing w:line="324" w:lineRule="auto"/>
        <w:rPr>
          <w:rFonts w:hint="eastAsia" w:ascii="宋体" w:hAnsi="宋体" w:eastAsia="宋体" w:cs="宋体"/>
          <w:color w:val="auto"/>
          <w:kern w:val="0"/>
          <w:sz w:val="21"/>
          <w:szCs w:val="21"/>
          <w:highlight w:val="none"/>
        </w:rPr>
      </w:pP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甲方：（盖章）</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法定代表人（或授权的代理人）</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法定代表人（或授权的代理人）</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p>
    <w:p>
      <w:pPr>
        <w:snapToGrid w:val="0"/>
        <w:spacing w:line="324" w:lineRule="auto"/>
        <w:rPr>
          <w:rFonts w:hint="eastAsia" w:ascii="宋体" w:hAnsi="宋体" w:eastAsia="宋体" w:cs="宋体"/>
          <w:color w:val="auto"/>
          <w:kern w:val="0"/>
          <w:sz w:val="21"/>
          <w:szCs w:val="21"/>
          <w:highlight w:val="none"/>
        </w:rPr>
      </w:pPr>
    </w:p>
    <w:p>
      <w:pPr>
        <w:snapToGrid w:val="0"/>
        <w:spacing w:line="324" w:lineRule="auto"/>
        <w:rPr>
          <w:rFonts w:hint="eastAsia" w:ascii="宋体" w:hAnsi="宋体" w:eastAsia="宋体" w:cs="宋体"/>
          <w:color w:val="auto"/>
          <w:kern w:val="0"/>
          <w:sz w:val="21"/>
          <w:szCs w:val="21"/>
          <w:highlight w:val="none"/>
        </w:rPr>
      </w:pPr>
    </w:p>
    <w:p>
      <w:pPr>
        <w:snapToGrid w:val="0"/>
        <w:spacing w:line="324"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bookmarkStart w:id="202" w:name="_Toc33183804"/>
    </w:p>
    <w:p>
      <w:pPr>
        <w:keepNext/>
        <w:keepLines/>
        <w:snapToGrid w:val="0"/>
        <w:spacing w:line="600" w:lineRule="exac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bookmarkEnd w:id="202"/>
      <w:r>
        <w:rPr>
          <w:rFonts w:hint="eastAsia" w:ascii="宋体" w:hAnsi="宋体" w:eastAsia="宋体" w:cs="宋体"/>
          <w:color w:val="auto"/>
          <w:kern w:val="0"/>
          <w:sz w:val="21"/>
          <w:szCs w:val="21"/>
          <w:highlight w:val="none"/>
        </w:rPr>
        <w:t>重庆市水利工程建设廉政合同</w:t>
      </w:r>
    </w:p>
    <w:p>
      <w:pPr>
        <w:spacing w:line="360" w:lineRule="auto"/>
        <w:ind w:firstLine="422" w:firstLineChars="200"/>
        <w:rPr>
          <w:rFonts w:hint="eastAsia" w:ascii="宋体" w:hAnsi="宋体" w:eastAsia="宋体" w:cs="宋体"/>
          <w:b/>
          <w:color w:val="auto"/>
          <w:sz w:val="21"/>
          <w:szCs w:val="21"/>
          <w:highlight w:val="none"/>
        </w:rPr>
      </w:pPr>
    </w:p>
    <w:p>
      <w:pPr>
        <w:snapToGrid w:val="0"/>
        <w:spacing w:line="324"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重庆市水利工程建设廉政合同</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工程合同编号：</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廉政合同编号：</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工程项目名称：</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工程项目地址：</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项目法人（甲方）：</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施工单位（乙方）：</w:t>
      </w:r>
      <w:r>
        <w:rPr>
          <w:rFonts w:hint="eastAsia" w:ascii="宋体" w:hAnsi="宋体" w:eastAsia="宋体" w:cs="宋体"/>
          <w:color w:val="auto"/>
          <w:kern w:val="0"/>
          <w:sz w:val="21"/>
          <w:szCs w:val="21"/>
          <w:highlight w:val="none"/>
          <w:u w:val="single"/>
        </w:rPr>
        <w:t xml:space="preserve">                                     </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为加强水利工程建设中的党风廉政建设，保证工程建设高效优质，保证建设资金的安全和有效使用以及投资效益，双方特订立本廉政合同。</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双方的责任：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（一）严格遵守党和国家有关法律法规及水行政主管部门的规定。</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建设工程的合同，自觉遵守合同。</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（三）双方的业务活动坚持公开、公正、诚信、透明原则（法律认定的商业秘密和合同文件另有规定的除外），不得损害国家和集体利益，不得违反工程建设管理规章制度。</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（四）建立健全廉政制度，开展廉政教育，设立廉政告示牌，公布举报电话，监督并认真查处违法违纪行为。</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（五）任何一方发现对方在业务活动中有违反廉政规定的行为，有及时提醒对方纠正的权利和义务。</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（六）发现对方严重违反本合同的行为，任何一方有向上级有关部门举报、建议给予处理并要求告知处理结果的权利。</w:t>
      </w:r>
    </w:p>
    <w:p>
      <w:pPr>
        <w:adjustRightInd w:val="0"/>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甲方应遵守的内容：</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（一）甲方及其工作人员不得索取、接受或者变相接受乙方的财物。不得在乙方报销任何应由甲方或个人支付的费用等。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（二）甲方工作人员不得接受可能影响公正执行公务的礼品、宴请以及旅游、健身、娱乐等活动安排，不得接受乙方提供的通讯工具、交通工具和高档办公用品等。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（三）甲方及其工作人员不得要求或者接受乙方为其住房装修、婚丧嫁娶活动、配偶子女的工作安排以及出国出境、旅游等提供方便等。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（四）甲方工作人员的配偶、子女不得从事与甲方工程有关的材料设备供应、工程分包、劳务等经济活动等。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（五）除本合同规定外，甲方及其工作人员不得以任何理由向乙方推荐分包单位，不得要求乙方购买合同规定外的材料和设备。</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乙方应遵守的内容：</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（一）乙方不得以任何理由向甲方及其工作人员行贿或馈赠财物。</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（二）乙方不得以任何名义为甲方及其工作人员报销应由甲方单位或个人支付的任何费用。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（三）乙方不得以任何理由邀请甲方及其工作人员外出旅游或安排甲方工作人员参加超标准宴请及娱乐活动。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（四）乙方不得为甲方单位和个人购置或提供通讯工具、交通工具和高档办公用品等。</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（五）乙方及其工作人员应严格按监理规程办事，不得为谋取私利向监理人员非法行贿，私下串通，损害甲方利益。同时必须对监理单位和工程监理人员履行向甲方承诺的上述其他廉政义务。</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（一）甲方及其工作人员违反本合同第一、二条，按管理权限，依据有关规定给予党纪、政纪或组织处理；涉嫌犯罪的，移交司法机关追究刑事责任；给乙方单位造成经济损失的，应予以赔偿。</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违反本合同第一、三条的，按管理权限，依据有关规定，给予党纪、政纪或组织处理；给甲方单位造成经济损失的，应予以赔偿；情节严重的，甲方建议水行政主管部门给予乙方二至五年内不得进入其主管的水利工程建设市场的处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及其工作人员违反本《廉政合同》规定，根据查证金额的10倍，由乙方向甲方承担违约金，并在工程进度款中扣除，后续进度款不足的在履约保证金中扣除。若仍不足以支付违约金，甲方还可向乙方继续追讨。</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本《廉政合同》的监督单位为项目所在地水行政主管部门纪检监察机构。</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本合同有效期为甲乙双方签署之日起至该合同工程完工验收后止。</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第七条  本合同作为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工程施工合同的附件，与工程施工合同具有同等的法律效力，经甲乙双方监督单位加盖公章，法定代表人或授权代理人</w:t>
      </w: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后生效。</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第八条  本合同一式叁份，甲、乙双方及监督单位各执一份。</w:t>
      </w:r>
    </w:p>
    <w:p>
      <w:pPr>
        <w:snapToGrid w:val="0"/>
        <w:spacing w:line="324" w:lineRule="auto"/>
        <w:rPr>
          <w:rFonts w:hint="eastAsia" w:ascii="宋体" w:hAnsi="宋体" w:eastAsia="宋体" w:cs="宋体"/>
          <w:color w:val="auto"/>
          <w:kern w:val="0"/>
          <w:sz w:val="21"/>
          <w:szCs w:val="21"/>
          <w:highlight w:val="none"/>
        </w:rPr>
      </w:pPr>
    </w:p>
    <w:p>
      <w:pPr>
        <w:snapToGrid w:val="0"/>
        <w:spacing w:line="324" w:lineRule="auto"/>
        <w:rPr>
          <w:rFonts w:hint="eastAsia" w:ascii="宋体" w:hAnsi="宋体" w:eastAsia="宋体" w:cs="宋体"/>
          <w:color w:val="auto"/>
          <w:kern w:val="0"/>
          <w:sz w:val="21"/>
          <w:szCs w:val="21"/>
          <w:highlight w:val="none"/>
        </w:rPr>
      </w:pP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甲方单位：（盖章）              乙方单位：（盖章）</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                         地址：</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                         电话：</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                年   月   日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监督单位：（盖章）</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p>
      <w:pPr>
        <w:keepNext/>
        <w:keepLines/>
        <w:snapToGrid w:val="0"/>
        <w:spacing w:line="600" w:lineRule="exact"/>
        <w:outlineLvl w:val="3"/>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br w:type="page"/>
      </w:r>
      <w:bookmarkStart w:id="203" w:name="_Toc33183805"/>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bookmarkEnd w:id="203"/>
      <w:r>
        <w:rPr>
          <w:rFonts w:hint="eastAsia" w:ascii="宋体" w:hAnsi="宋体" w:eastAsia="宋体" w:cs="宋体"/>
          <w:color w:val="auto"/>
          <w:kern w:val="0"/>
          <w:sz w:val="21"/>
          <w:szCs w:val="21"/>
          <w:highlight w:val="none"/>
        </w:rPr>
        <w:t>按期支付农民工工资合同</w:t>
      </w:r>
    </w:p>
    <w:p>
      <w:pPr>
        <w:snapToGrid w:val="0"/>
        <w:spacing w:line="324" w:lineRule="auto"/>
        <w:ind w:firstLine="420" w:firstLineChars="200"/>
        <w:rPr>
          <w:rFonts w:hint="eastAsia" w:ascii="宋体" w:hAnsi="宋体" w:eastAsia="宋体" w:cs="宋体"/>
          <w:color w:val="auto"/>
          <w:kern w:val="0"/>
          <w:sz w:val="21"/>
          <w:szCs w:val="21"/>
          <w:highlight w:val="none"/>
        </w:rPr>
      </w:pPr>
    </w:p>
    <w:p>
      <w:pPr>
        <w:snapToGrid w:val="0"/>
        <w:spacing w:line="324" w:lineRule="auto"/>
        <w:jc w:val="center"/>
        <w:rPr>
          <w:rFonts w:hint="eastAsia" w:ascii="宋体" w:hAnsi="宋体" w:eastAsia="宋体" w:cs="宋体"/>
          <w:color w:val="auto"/>
          <w:kern w:val="0"/>
          <w:sz w:val="21"/>
          <w:szCs w:val="21"/>
          <w:highlight w:val="none"/>
        </w:rPr>
      </w:pPr>
    </w:p>
    <w:p>
      <w:pPr>
        <w:snapToGrid w:val="0"/>
        <w:spacing w:line="324"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按期支付农民工工资合同</w:t>
      </w:r>
    </w:p>
    <w:p>
      <w:pPr>
        <w:snapToGrid w:val="0"/>
        <w:spacing w:line="324" w:lineRule="auto"/>
        <w:jc w:val="center"/>
        <w:rPr>
          <w:rFonts w:hint="eastAsia" w:ascii="宋体" w:hAnsi="宋体" w:eastAsia="宋体" w:cs="宋体"/>
          <w:color w:val="auto"/>
          <w:kern w:val="0"/>
          <w:sz w:val="21"/>
          <w:szCs w:val="21"/>
          <w:highlight w:val="none"/>
        </w:rPr>
      </w:pP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施工工程合同编号：</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支付农民工工资合同编号：</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甲方（建设工程的项目法人）：</w:t>
      </w:r>
      <w:r>
        <w:rPr>
          <w:rFonts w:hint="eastAsia" w:ascii="宋体" w:hAnsi="宋体" w:eastAsia="宋体" w:cs="宋体"/>
          <w:color w:val="auto"/>
          <w:kern w:val="0"/>
          <w:sz w:val="21"/>
          <w:szCs w:val="21"/>
          <w:highlight w:val="none"/>
          <w:u w:val="single"/>
        </w:rPr>
        <w:t xml:space="preserve">                  </w:t>
      </w:r>
    </w:p>
    <w:p>
      <w:pPr>
        <w:snapToGrid w:val="0"/>
        <w:spacing w:line="324"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乙方（中标单位即施工单位）：</w:t>
      </w:r>
      <w:r>
        <w:rPr>
          <w:rFonts w:hint="eastAsia" w:ascii="宋体" w:hAnsi="宋体" w:eastAsia="宋体" w:cs="宋体"/>
          <w:color w:val="auto"/>
          <w:kern w:val="0"/>
          <w:sz w:val="21"/>
          <w:szCs w:val="21"/>
          <w:highlight w:val="none"/>
          <w:u w:val="single"/>
        </w:rPr>
        <w:t xml:space="preserve">                  </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为保证工程建设过程中对农民工管理规范有序，工资依法支付，切实保障农民工的合法权益，维护社会稳定，根据《中华人民共和国劳动法》、《中华人民共和国建筑法》、《劳动保障监察条例》、</w:t>
      </w:r>
      <w:r>
        <w:rPr>
          <w:rFonts w:hint="eastAsia" w:ascii="宋体" w:hAnsi="宋体" w:eastAsia="宋体" w:cs="宋体"/>
          <w:color w:val="auto"/>
          <w:sz w:val="21"/>
          <w:szCs w:val="21"/>
          <w:highlight w:val="none"/>
        </w:rPr>
        <w:t>《保障农民工工资支付条例》（中华人民共和国国务院令第724号）、</w:t>
      </w:r>
      <w:r>
        <w:rPr>
          <w:rFonts w:hint="eastAsia" w:ascii="宋体" w:hAnsi="宋体" w:eastAsia="宋体" w:cs="宋体"/>
          <w:color w:val="auto"/>
          <w:kern w:val="0"/>
          <w:sz w:val="21"/>
          <w:szCs w:val="21"/>
          <w:highlight w:val="none"/>
        </w:rPr>
        <w:t>《重庆市建设领域农民工工资支付监管暂行办法》（渝人社发〔2009〕65号）</w:t>
      </w:r>
      <w:r>
        <w:rPr>
          <w:rFonts w:hint="eastAsia" w:ascii="宋体" w:hAnsi="宋体" w:eastAsia="宋体" w:cs="宋体"/>
          <w:color w:val="auto"/>
          <w:sz w:val="21"/>
          <w:szCs w:val="21"/>
          <w:highlight w:val="none"/>
        </w:rPr>
        <w:t>以及《重庆市人民政府办公厅关于全面治理拖欠农民工工资问题的实施意见》（渝府办发〔2016〕101号）</w:t>
      </w:r>
      <w:r>
        <w:rPr>
          <w:rFonts w:hint="eastAsia" w:ascii="宋体" w:hAnsi="宋体" w:eastAsia="宋体" w:cs="宋体"/>
          <w:color w:val="auto"/>
          <w:kern w:val="0"/>
          <w:sz w:val="21"/>
          <w:szCs w:val="21"/>
          <w:highlight w:val="none"/>
        </w:rPr>
        <w:t>等相关法律法规的规定，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（工程名称</w:t>
      </w:r>
      <w:r>
        <w:rPr>
          <w:rFonts w:hint="eastAsia" w:ascii="宋体" w:hAnsi="宋体" w:eastAsia="宋体" w:cs="宋体"/>
          <w:color w:val="auto"/>
          <w:kern w:val="0"/>
          <w:sz w:val="21"/>
          <w:szCs w:val="21"/>
          <w:highlight w:val="none"/>
        </w:rPr>
        <w:t>）的项目法人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（以下简称甲方），与中标单位即施工单位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（以下简称乙方），特订立如下合同。</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基本要求</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（一）本工程农民工工资支付实行项目业主责任制，即本合同甲方在工程项目发生拖欠农民工工资时，承担监督和维稳责任。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（二）施工单位（本合同乙方）对农民工工资支付负总责，即本合同乙方对所承包工程的农民工工资支付负直接责任。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（三）本工程监理单位对施工单位农民工工资支付行为加强监督，督促其按月结清农民工工资，施工单位应接受监理单位的监督管理。</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（四）本工程农民工工资支付情况应当接受项目所在地人力资源与社会劳动保障主管部门和水行政主管部门的监督管理。</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本工程实行农民工工资支付保证金制度。</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lang w:val="en-US" w:eastAsia="zh-CN"/>
        </w:rPr>
        <w:t>在本合同签订后20个工作日之内到符合条件的银行开立工资保证金专用账户储存工资保证金或申请开立银行保函，保证金或银行保函金额为合同金额的2%。存储工资保证金的，与经办银行签订《农民工工资保证金存款协议书》并将协议书于签订后3个工作日内送达工资保证金管理地人力资源社会保障部门和发包人备案。以保函替代现金存储工资保证金的，将保函正本于签订后3个工作日内送达工资保证金管理地人力资源社会保障部门和发包人备案。</w:t>
      </w:r>
      <w:r>
        <w:rPr>
          <w:rFonts w:hint="eastAsia" w:ascii="宋体" w:hAnsi="宋体" w:eastAsia="宋体" w:cs="宋体"/>
          <w:color w:val="auto"/>
          <w:kern w:val="0"/>
          <w:sz w:val="21"/>
          <w:szCs w:val="21"/>
          <w:highlight w:val="none"/>
        </w:rPr>
        <w:t>，如乙方未按时足额</w:t>
      </w:r>
      <w:r>
        <w:rPr>
          <w:rFonts w:hint="eastAsia" w:ascii="宋体" w:hAnsi="宋体" w:eastAsia="宋体" w:cs="宋体"/>
          <w:color w:val="auto"/>
          <w:kern w:val="0"/>
          <w:sz w:val="21"/>
          <w:szCs w:val="21"/>
          <w:highlight w:val="none"/>
          <w:lang w:val="en-US" w:eastAsia="zh-CN"/>
        </w:rPr>
        <w:t>储存工资保证金或申请开立银行保函</w:t>
      </w:r>
      <w:r>
        <w:rPr>
          <w:rFonts w:hint="eastAsia" w:ascii="宋体" w:hAnsi="宋体" w:eastAsia="宋体" w:cs="宋体"/>
          <w:color w:val="auto"/>
          <w:kern w:val="0"/>
          <w:sz w:val="21"/>
          <w:szCs w:val="21"/>
          <w:highlight w:val="none"/>
        </w:rPr>
        <w:t>，甲方有权拒绝签订工程承包合同，并要求乙方承担缔约过失责任。</w:t>
      </w:r>
    </w:p>
    <w:p>
      <w:pPr>
        <w:snapToGrid w:val="0"/>
        <w:spacing w:line="324"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（二）若乙方发生拖欠农民工工资和其他应付农民工的费用（包括工伤赔偿金等）的情况，经工程所在地人力资源社会保障部门依法作出责令限期清偿或先行清偿的行政处理决定，</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到期拒不履行的，工程所在地人力资源社会保障部门可以向经办银行出具《农民工工资保证金支付通知书》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书面通知有关施工单位和经办银行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从工资保证金账户中将相应数额的款项以银行转账方式支付给人力资源社会保障部门指定的被拖欠工资农民工本人</w:t>
      </w:r>
      <w:r>
        <w:rPr>
          <w:rFonts w:hint="eastAsia" w:ascii="宋体" w:hAnsi="宋体" w:eastAsia="宋体" w:cs="宋体"/>
          <w:color w:val="auto"/>
          <w:kern w:val="0"/>
          <w:sz w:val="21"/>
          <w:szCs w:val="21"/>
          <w:highlight w:val="none"/>
          <w:lang w:eastAsia="zh-CN"/>
        </w:rPr>
        <w:t>。</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（三）工资保证金使用后，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应当自使用之日起10个工作日内将工资保证金补足。采用保函形式替代现金存储工资保证金发生前款情形的，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应在10个工作日内提供与原保函相同担保范围和金额的新保函。</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开立新保函后，原保函即行失效。</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工资保证金对应的工程完工或解除合同，</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书面承诺该工程不存在未解决的拖欠农民工工资问题，并在施工现场维权信息告示牌及管理地政府或人力资源社会保障部门门户网站公示30日后，可以申请返还工资保证金或保函。</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甲乙双方的责任和义务</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（一）甲方负责按本工程施工承包合同约定及时支付工程款，并跟踪、监督乙方及时足额支付农民工工资，乙方应接受甲方监督。</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招用农民工，应严格劳动用工制度，必须依照《中华人民共和国劳动法》及相关规定，与农民工签订劳动合同。劳动合同要明确合同期限、劳动报酬、工作内容、工作时间、劳动保护、劳动条件、工资支付的方式及违反劳动合同的责任等内容。</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（三）乙方按照与农民工依法签订的集体合同或劳动合同约定的日期，按月支付农民工工资，实行月结月清制度，支付的工资不得低于当地最低工资标准。</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为确保农民工工资月结月清，甲方将乙方上月农民工工资支付清单作为拨付当月工程进度款的前置条件。若上月农民工工资未按约定付清，在水行政主管部门和劳动保障行政部门的监督下，按照本合同第二条第二款及第三款规定使用农民工工资支付保证金账户内的保证金或应支付乙方的当月工程款直接支付农民工工资。</w:t>
      </w:r>
    </w:p>
    <w:p>
      <w:pPr>
        <w:snapToGrid w:val="0"/>
        <w:spacing w:line="324" w:lineRule="auto"/>
        <w:ind w:firstLine="420" w:firstLineChars="200"/>
        <w:rPr>
          <w:rFonts w:hint="eastAsia" w:ascii="宋体" w:hAnsi="宋体" w:eastAsia="宋体" w:cs="宋体"/>
          <w:color w:val="auto"/>
          <w:kern w:val="0"/>
          <w:sz w:val="21"/>
          <w:szCs w:val="21"/>
          <w:highlight w:val="none"/>
        </w:rPr>
      </w:pPr>
      <w:bookmarkStart w:id="204" w:name="_Toc33183806"/>
      <w:r>
        <w:rPr>
          <w:rFonts w:hint="eastAsia" w:ascii="宋体" w:hAnsi="宋体" w:eastAsia="宋体" w:cs="宋体"/>
          <w:color w:val="auto"/>
          <w:kern w:val="0"/>
          <w:sz w:val="21"/>
          <w:szCs w:val="21"/>
          <w:highlight w:val="none"/>
        </w:rPr>
        <w:t>（五）甲乙双方共同在项目施工现场设立“农民工维权告示牌”（见附件1）</w:t>
      </w:r>
      <w:bookmarkEnd w:id="204"/>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应建立农民工用工工资档案制度。农民工工资档案（含农民工花名册、农民工工资支付表、劳动用工及工资支付情况汇总表，格式见附件2、3、4）以书面形式记录支付农民工工资的数额、时间、领取者的姓名以及</w:t>
      </w: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等，并保存两年以上以备查。</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接受监督管理的约定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双方约定：本《合同》的监督管理单位为项目所在地劳动保障行政部门和水行政主管部门。监督管理单位负责对《合同》执行情况检查，提出在本《合同》规定范围内的裁定意见，执行本《合同》第五条所规定的处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检查方式：本《合同》的履约情况检查由监督管理单位主持，甲乙双方共同派人参加，检查方式为座谈、问卷调查、查看资料或各方约定的其他方式等。检查时间、次数、检查方式、检查结论和处罚意见等由各方协商确定，如无法达成一致意见，由监督管理单位依据事实裁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（三）本《合同》有效期为：甲乙双方签署之日起至合同工程完工验收，且乙方结清本工程所有农民工工资和其他应付给农民工的费用之日止。</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监管与处罚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（一）甲乙双方约定，本工程接受监督管理单位对农民工工资支付保证金专用账户的监管，接受监督管理单位视具体情节提出的资金使用、处理意见。</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法拖欠或克扣农民工工资或拒绝纠正违法行为，甲方有权向监督单位建议将其列入工程建设不良行为并记入信用档案。如乙方发生两次及以上拖欠行为，拒不改正，甲方可向监督管理单位申请清退乙方。</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不可抗力事件的合同责任</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（一）由于战争、地震、水灾、火灾、暴风雪或其他不可抗力原因导致不能履行合同或延迟履行合同的，不适用第四条和第五条规定。</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按照本工程施工合同约定负责办理工程保险的一方，应及时投保“建筑工程一切险”、“安装工程一切险”和“人身意外伤害险”，由保险公司赔偿工程施工过程中因自然灾害或意外事故而引起的一切损失，乙方所获得的损失赔偿首先用于清欠不可抗力事件发生前的所有农民工工资和其他应付费用。当乙方有权获得工期顺延时，负责办理保险的一方应在保险合同有效期届满前办理保险的延续手续；若因乙方原因不能按期竣工，在延迟的施工时间内发生的不可抗力引起的一切损失由乙方自行负责。</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第七条  本《合同》为</w:t>
      </w:r>
      <w:r>
        <w:rPr>
          <w:rFonts w:hint="eastAsia" w:ascii="宋体" w:hAnsi="宋体" w:eastAsia="宋体" w:cs="宋体"/>
          <w:color w:val="auto"/>
          <w:kern w:val="0"/>
          <w:sz w:val="21"/>
          <w:szCs w:val="21"/>
          <w:highlight w:val="none"/>
          <w:u w:val="single"/>
        </w:rPr>
        <w:t xml:space="preserve">           （工程名称）</w:t>
      </w:r>
      <w:r>
        <w:rPr>
          <w:rFonts w:hint="eastAsia" w:ascii="宋体" w:hAnsi="宋体" w:eastAsia="宋体" w:cs="宋体"/>
          <w:color w:val="auto"/>
          <w:kern w:val="0"/>
          <w:sz w:val="21"/>
          <w:szCs w:val="21"/>
          <w:highlight w:val="none"/>
        </w:rPr>
        <w:t>施工承包合同的附件，与工程施工承包合同具有同等法律效力，经甲乙双方法定代表人（或其授权代表）签署，加盖公章立即生效。</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第八条  本《合同》一式陆份，甲、乙双方各执贰份，送交项目所在地的水行政主管部门和人力资源与社会劳动保障部门各一份备案。 </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第九条  未尽事宜，双方另行协商或签订补充协议解决，补充协议及本合同附件与本合同具有同等法律效力。 </w:t>
      </w:r>
    </w:p>
    <w:p>
      <w:pPr>
        <w:snapToGrid w:val="0"/>
        <w:spacing w:line="324" w:lineRule="auto"/>
        <w:ind w:firstLine="420" w:firstLineChars="2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附件：1．农民工维权告示牌</w:t>
      </w:r>
    </w:p>
    <w:p>
      <w:pPr>
        <w:snapToGrid w:val="0"/>
        <w:spacing w:line="324" w:lineRule="auto"/>
        <w:ind w:firstLine="1050" w:firstLineChars="5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2．农民工花名册</w:t>
      </w:r>
    </w:p>
    <w:p>
      <w:pPr>
        <w:snapToGrid w:val="0"/>
        <w:spacing w:line="324" w:lineRule="auto"/>
        <w:ind w:firstLine="1050" w:firstLineChars="5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3．农民工工资表</w:t>
      </w:r>
    </w:p>
    <w:p>
      <w:pPr>
        <w:snapToGrid w:val="0"/>
        <w:spacing w:line="324" w:lineRule="auto"/>
        <w:ind w:firstLine="1050" w:firstLineChars="5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4．劳动用工及工资支付情况汇总表</w:t>
      </w:r>
    </w:p>
    <w:p>
      <w:pPr>
        <w:snapToGrid w:val="0"/>
        <w:spacing w:line="324" w:lineRule="auto"/>
        <w:ind w:firstLine="1050" w:firstLineChars="500"/>
        <w:rPr>
          <w:rFonts w:hint="eastAsia" w:ascii="宋体" w:hAnsi="宋体" w:eastAsia="宋体" w:cs="宋体"/>
          <w:color w:val="auto"/>
          <w:kern w:val="0"/>
          <w:sz w:val="21"/>
          <w:szCs w:val="21"/>
          <w:highlight w:val="none"/>
        </w:rPr>
      </w:pPr>
    </w:p>
    <w:p>
      <w:pPr>
        <w:snapToGrid w:val="0"/>
        <w:spacing w:line="324" w:lineRule="auto"/>
        <w:ind w:firstLine="1050" w:firstLineChars="5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甲方单位：（盖章）         乙方单位：（盖章）</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                    地址：</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                    电话：</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            年    月    日</w:t>
      </w:r>
    </w:p>
    <w:p>
      <w:pPr>
        <w:snapToGrid w:val="0"/>
        <w:spacing w:line="324" w:lineRule="auto"/>
        <w:ind w:firstLine="420" w:firstLineChars="2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监督单位（项目所在地劳动保障部门）（盖章）</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pPr>
        <w:snapToGrid w:val="0"/>
        <w:spacing w:line="324" w:lineRule="auto"/>
        <w:ind w:firstLine="420" w:firstLineChars="2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监督单位（项目所在地水行政主管部门）（盖章）</w:t>
      </w:r>
    </w:p>
    <w:p>
      <w:pPr>
        <w:snapToGrid w:val="0"/>
        <w:spacing w:line="324"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pPr>
        <w:ind w:firstLine="420" w:firstLineChars="200"/>
        <w:rPr>
          <w:rFonts w:hint="eastAsia" w:ascii="宋体" w:hAnsi="宋体" w:eastAsia="宋体" w:cs="宋体"/>
          <w:color w:val="auto"/>
          <w:kern w:val="0"/>
          <w:sz w:val="21"/>
          <w:szCs w:val="21"/>
          <w:highlight w:val="none"/>
        </w:rPr>
      </w:pPr>
    </w:p>
    <w:p>
      <w:pPr>
        <w:snapToGrid w:val="0"/>
        <w:spacing w:line="324" w:lineRule="auto"/>
        <w:ind w:firstLine="420" w:firstLineChars="200"/>
        <w:rPr>
          <w:rFonts w:hint="eastAsia" w:ascii="宋体" w:hAnsi="宋体" w:eastAsia="宋体" w:cs="宋体"/>
          <w:color w:val="auto"/>
          <w:kern w:val="0"/>
          <w:sz w:val="21"/>
          <w:szCs w:val="21"/>
          <w:highlight w:val="none"/>
        </w:rPr>
      </w:pPr>
      <w:bookmarkStart w:id="205" w:name="_Toc33183807"/>
    </w:p>
    <w:p>
      <w:pPr>
        <w:snapToGrid w:val="0"/>
        <w:spacing w:line="324" w:lineRule="auto"/>
        <w:rPr>
          <w:rFonts w:hint="eastAsia" w:ascii="宋体" w:hAnsi="宋体" w:eastAsia="宋体" w:cs="宋体"/>
          <w:color w:val="auto"/>
          <w:kern w:val="0"/>
          <w:sz w:val="21"/>
          <w:szCs w:val="21"/>
          <w:highlight w:val="none"/>
        </w:rPr>
      </w:pPr>
    </w:p>
    <w:p>
      <w:pPr>
        <w:pStyle w:val="41"/>
        <w:spacing w:before="120" w:after="120"/>
        <w:outlineLvl w:val="9"/>
        <w:rPr>
          <w:rFonts w:hint="eastAsia" w:ascii="宋体" w:hAnsi="宋体" w:eastAsia="宋体" w:cs="宋体"/>
          <w:b w:val="0"/>
          <w:color w:val="auto"/>
          <w:sz w:val="21"/>
          <w:szCs w:val="21"/>
          <w:highlight w:val="none"/>
        </w:rPr>
      </w:pPr>
      <w:bookmarkStart w:id="206" w:name="_Toc26490"/>
      <w:bookmarkStart w:id="207" w:name="_Toc59810430"/>
      <w:bookmarkStart w:id="208" w:name="_Toc19505"/>
      <w:bookmarkStart w:id="209" w:name="_Toc7110"/>
      <w:bookmarkStart w:id="210" w:name="_Toc3517"/>
      <w:r>
        <w:rPr>
          <w:rFonts w:hint="eastAsia" w:ascii="宋体" w:hAnsi="宋体" w:eastAsia="宋体" w:cs="宋体"/>
          <w:b w:val="0"/>
          <w:color w:val="auto"/>
          <w:sz w:val="21"/>
          <w:szCs w:val="21"/>
          <w:highlight w:val="none"/>
        </w:rPr>
        <w:t>附件：</w:t>
      </w:r>
      <w:bookmarkEnd w:id="205"/>
      <w:bookmarkEnd w:id="206"/>
      <w:bookmarkEnd w:id="207"/>
      <w:bookmarkEnd w:id="208"/>
      <w:bookmarkEnd w:id="209"/>
      <w:bookmarkEnd w:id="210"/>
    </w:p>
    <w:p>
      <w:pPr>
        <w:pStyle w:val="41"/>
        <w:spacing w:before="120" w:after="120"/>
        <w:outlineLvl w:val="9"/>
        <w:rPr>
          <w:rFonts w:hint="eastAsia" w:ascii="宋体" w:hAnsi="宋体" w:eastAsia="宋体" w:cs="宋体"/>
          <w:b w:val="0"/>
          <w:color w:val="auto"/>
          <w:sz w:val="21"/>
          <w:szCs w:val="21"/>
          <w:highlight w:val="none"/>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0"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6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农民工维权告示牌</w:t>
            </w:r>
          </w:p>
          <w:p>
            <w:pPr>
              <w:spacing w:line="400" w:lineRule="exact"/>
              <w:ind w:firstLine="629"/>
              <w:jc w:val="center"/>
              <w:rPr>
                <w:rFonts w:hint="eastAsia" w:ascii="宋体" w:hAnsi="宋体" w:eastAsia="宋体" w:cs="宋体"/>
                <w:color w:val="auto"/>
                <w:kern w:val="0"/>
                <w:sz w:val="21"/>
                <w:szCs w:val="21"/>
                <w:highlight w:val="none"/>
              </w:rPr>
            </w:pPr>
          </w:p>
          <w:p>
            <w:pPr>
              <w:spacing w:line="5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项目全体农民工：</w:t>
            </w:r>
          </w:p>
          <w:p>
            <w:pPr>
              <w:pStyle w:val="1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为保障你在项目劳动期间的合法权益，帮助你依法有序维权，现将有关情况告示如下：</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◆农民工劳动保障权益主要内容：</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建筑领域直接招用农民工的施工企业或劳务分包企业，必须依照《中华人民共和国劳动法》、《中华人民共和国劳动合同法》的规定，与农民工签订劳动合同，并提倡签订集体合同。</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建筑领域直接招用农民工的施工企业或劳务分包企业，必须按劳动合同约定或劳动保障法律法规规定足额支付工资。</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◆特别提醒</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用人单位拒不与你签订劳动合同、集体合同，以及未按劳动合同、集体合同约定足额支付工资，请及时向劳工监督员或劳工管理员反映有关情况，由其协调解决；同时也可向项目所在地劳动保障监察机构投诉。</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为有效维护你的权益，你应妥善保留各种有效证据，如劳动合同或协议、工作证件、工资结算单等。</w:t>
            </w:r>
          </w:p>
          <w:p>
            <w:pPr>
              <w:spacing w:line="520" w:lineRule="exact"/>
              <w:ind w:firstLine="630"/>
              <w:rPr>
                <w:rFonts w:hint="eastAsia" w:ascii="宋体" w:hAnsi="宋体" w:eastAsia="宋体" w:cs="宋体"/>
                <w:color w:val="auto"/>
                <w:kern w:val="0"/>
                <w:sz w:val="21"/>
                <w:szCs w:val="21"/>
                <w:highlight w:val="none"/>
              </w:rPr>
            </w:pP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施工企业劳工管理员：             联系电话：</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分包企业劳工管理员：             联系电话：</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建设单位劳工监督员：             联系电话：</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劳动保障监察机构：               联系电话：</w:t>
            </w:r>
          </w:p>
          <w:p>
            <w:pPr>
              <w:spacing w:line="520" w:lineRule="exact"/>
              <w:ind w:firstLine="63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spacing w:line="640" w:lineRule="exact"/>
              <w:rPr>
                <w:rFonts w:hint="eastAsia" w:ascii="宋体" w:hAnsi="宋体" w:eastAsia="宋体" w:cs="宋体"/>
                <w:color w:val="auto"/>
                <w:kern w:val="0"/>
                <w:sz w:val="21"/>
                <w:szCs w:val="21"/>
                <w:highlight w:val="none"/>
              </w:rPr>
            </w:pPr>
          </w:p>
        </w:tc>
      </w:tr>
    </w:tbl>
    <w:p>
      <w:pPr>
        <w:widowControl/>
        <w:jc w:val="left"/>
        <w:rPr>
          <w:rFonts w:hint="eastAsia" w:ascii="宋体" w:hAnsi="宋体" w:eastAsia="宋体" w:cs="宋体"/>
          <w:color w:val="auto"/>
          <w:kern w:val="0"/>
          <w:szCs w:val="21"/>
          <w:highlight w:val="none"/>
        </w:rPr>
        <w:sectPr>
          <w:pgSz w:w="11907" w:h="16840"/>
          <w:pgMar w:top="1418" w:right="1418" w:bottom="1418" w:left="1418" w:header="851" w:footer="1247" w:gutter="0"/>
          <w:pgBorders>
            <w:top w:val="none" w:sz="0" w:space="0"/>
            <w:left w:val="none" w:sz="0" w:space="0"/>
            <w:bottom w:val="none" w:sz="0" w:space="0"/>
            <w:right w:val="none" w:sz="0" w:space="0"/>
          </w:pgBorders>
          <w:pgNumType w:fmt="numberInDash"/>
          <w:cols w:space="720" w:num="1"/>
          <w:titlePg/>
        </w:sectPr>
      </w:pPr>
    </w:p>
    <w:p>
      <w:pPr>
        <w:pStyle w:val="41"/>
        <w:spacing w:before="120" w:after="120"/>
        <w:outlineLvl w:val="9"/>
        <w:rPr>
          <w:rFonts w:hint="eastAsia" w:ascii="宋体" w:hAnsi="宋体" w:eastAsia="宋体" w:cs="宋体"/>
          <w:b w:val="0"/>
          <w:color w:val="auto"/>
          <w:sz w:val="21"/>
          <w:szCs w:val="21"/>
          <w:highlight w:val="none"/>
        </w:rPr>
      </w:pPr>
      <w:bookmarkStart w:id="211" w:name="_Toc33183808"/>
      <w:bookmarkStart w:id="212" w:name="_Toc13123"/>
      <w:bookmarkStart w:id="213" w:name="_Toc26215"/>
      <w:bookmarkStart w:id="214" w:name="_Toc29836"/>
      <w:bookmarkStart w:id="215" w:name="_Toc59810431"/>
      <w:bookmarkStart w:id="216" w:name="_Toc28158"/>
      <w:r>
        <w:rPr>
          <w:rFonts w:hint="eastAsia" w:ascii="宋体" w:hAnsi="宋体" w:eastAsia="宋体" w:cs="宋体"/>
          <w:b w:val="0"/>
          <w:color w:val="auto"/>
          <w:sz w:val="21"/>
          <w:szCs w:val="21"/>
          <w:highlight w:val="none"/>
        </w:rPr>
        <w:t>附件：</w:t>
      </w:r>
      <w:bookmarkEnd w:id="211"/>
      <w:bookmarkEnd w:id="212"/>
      <w:bookmarkEnd w:id="213"/>
      <w:bookmarkEnd w:id="214"/>
      <w:bookmarkEnd w:id="215"/>
      <w:bookmarkEnd w:id="216"/>
      <w:r>
        <w:rPr>
          <w:rFonts w:hint="eastAsia" w:ascii="宋体" w:hAnsi="宋体" w:eastAsia="宋体" w:cs="宋体"/>
          <w:b w:val="0"/>
          <w:color w:val="auto"/>
          <w:sz w:val="21"/>
          <w:szCs w:val="21"/>
          <w:highlight w:val="none"/>
        </w:rPr>
        <w:t xml:space="preserve"> </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农民工花名册</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                                              用工单位名称（盖章）：</w:t>
      </w:r>
    </w:p>
    <w:tbl>
      <w:tblPr>
        <w:tblStyle w:val="20"/>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74"/>
        <w:gridCol w:w="546"/>
        <w:gridCol w:w="2584"/>
        <w:gridCol w:w="1419"/>
        <w:gridCol w:w="966"/>
        <w:gridCol w:w="1266"/>
        <w:gridCol w:w="1266"/>
        <w:gridCol w:w="1266"/>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岗位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进场</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劳动者签 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离场</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w:t>
            </w: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劳动者签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25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bl>
    <w:p>
      <w:pPr>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  页</w:t>
      </w:r>
    </w:p>
    <w:p>
      <w:pPr>
        <w:widowControl/>
        <w:jc w:val="left"/>
        <w:rPr>
          <w:rFonts w:hint="eastAsia" w:ascii="宋体" w:hAnsi="宋体" w:eastAsia="宋体" w:cs="宋体"/>
          <w:color w:val="auto"/>
          <w:kern w:val="0"/>
          <w:sz w:val="21"/>
          <w:szCs w:val="21"/>
          <w:highlight w:val="none"/>
        </w:rPr>
        <w:sectPr>
          <w:pgSz w:w="16840" w:h="11907" w:orient="landscape"/>
          <w:pgMar w:top="1418" w:right="1418" w:bottom="1418" w:left="1418" w:header="851" w:footer="1247" w:gutter="0"/>
          <w:pgBorders>
            <w:top w:val="none" w:sz="0" w:space="0"/>
            <w:left w:val="none" w:sz="0" w:space="0"/>
            <w:bottom w:val="none" w:sz="0" w:space="0"/>
            <w:right w:val="none" w:sz="0" w:space="0"/>
          </w:pgBorders>
          <w:pgNumType w:fmt="numberInDash"/>
          <w:cols w:space="720" w:num="1"/>
        </w:sectPr>
      </w:pPr>
    </w:p>
    <w:p>
      <w:pPr>
        <w:pStyle w:val="41"/>
        <w:spacing w:before="156" w:after="156"/>
        <w:outlineLvl w:val="9"/>
        <w:rPr>
          <w:rFonts w:hint="eastAsia" w:ascii="宋体" w:hAnsi="宋体" w:eastAsia="宋体" w:cs="宋体"/>
          <w:b w:val="0"/>
          <w:color w:val="auto"/>
          <w:sz w:val="21"/>
          <w:szCs w:val="21"/>
          <w:highlight w:val="none"/>
        </w:rPr>
      </w:pPr>
      <w:bookmarkStart w:id="217" w:name="_Toc11604"/>
      <w:bookmarkStart w:id="218" w:name="_Toc59810432"/>
      <w:bookmarkStart w:id="219" w:name="_Toc8776"/>
      <w:bookmarkStart w:id="220" w:name="_Toc19494"/>
      <w:bookmarkStart w:id="221" w:name="_Toc33183809"/>
      <w:bookmarkStart w:id="222" w:name="_Toc20703"/>
      <w:r>
        <w:rPr>
          <w:rFonts w:hint="eastAsia" w:ascii="宋体" w:hAnsi="宋体" w:eastAsia="宋体" w:cs="宋体"/>
          <w:b w:val="0"/>
          <w:color w:val="auto"/>
          <w:sz w:val="21"/>
          <w:szCs w:val="21"/>
          <w:highlight w:val="none"/>
        </w:rPr>
        <w:t>附件：</w:t>
      </w:r>
      <w:bookmarkEnd w:id="217"/>
      <w:bookmarkEnd w:id="218"/>
      <w:bookmarkEnd w:id="219"/>
      <w:bookmarkEnd w:id="220"/>
      <w:bookmarkEnd w:id="221"/>
      <w:bookmarkEnd w:id="222"/>
      <w:r>
        <w:rPr>
          <w:rFonts w:hint="eastAsia" w:ascii="宋体" w:hAnsi="宋体" w:eastAsia="宋体" w:cs="宋体"/>
          <w:b w:val="0"/>
          <w:color w:val="auto"/>
          <w:sz w:val="21"/>
          <w:szCs w:val="21"/>
          <w:highlight w:val="none"/>
        </w:rPr>
        <w:t xml:space="preserve"> </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农民工工资表</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                         班组名称：                                     时间：  年   月</w:t>
      </w:r>
    </w:p>
    <w:tbl>
      <w:tblPr>
        <w:tblStyle w:val="2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17"/>
        <w:gridCol w:w="997"/>
        <w:gridCol w:w="745"/>
        <w:gridCol w:w="745"/>
        <w:gridCol w:w="745"/>
        <w:gridCol w:w="745"/>
        <w:gridCol w:w="745"/>
        <w:gridCol w:w="745"/>
        <w:gridCol w:w="745"/>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工作量</w:t>
            </w:r>
          </w:p>
        </w:tc>
        <w:tc>
          <w:tcPr>
            <w:tcW w:w="1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工资计算标准</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应得</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工资</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借支预支金额</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实得工资金额</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领取人</w:t>
            </w:r>
            <w:r>
              <w:rPr>
                <w:rFonts w:hint="eastAsia" w:ascii="宋体" w:hAnsi="宋体" w:eastAsia="宋体" w:cs="宋体"/>
                <w:color w:val="auto"/>
                <w:kern w:val="0"/>
                <w:sz w:val="21"/>
                <w:szCs w:val="21"/>
                <w:highlight w:val="none"/>
                <w:lang w:eastAsia="zh-CN"/>
              </w:rPr>
              <w:t>签名</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计时</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计件</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bl>
    <w:p>
      <w:pPr>
        <w:spacing w:before="240"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用工单位负责人：                   用工单位劳工员：                       制表人：</w:t>
      </w:r>
    </w:p>
    <w:p>
      <w:pPr>
        <w:spacing w:line="400" w:lineRule="exact"/>
        <w:ind w:firstLine="3570" w:firstLineChars="17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日（用人单位印章）</w:t>
      </w:r>
    </w:p>
    <w:p>
      <w:pPr>
        <w:snapToGrid w:val="0"/>
        <w:spacing w:before="240" w:line="324"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注：1．领取人</w:t>
      </w: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后即表示当月工资已足额领取。</w:t>
      </w:r>
    </w:p>
    <w:p>
      <w:pPr>
        <w:snapToGrid w:val="0"/>
        <w:spacing w:line="324"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2．以上情况属实，</w:t>
      </w:r>
      <w:r>
        <w:rPr>
          <w:rFonts w:hint="eastAsia" w:ascii="宋体" w:hAnsi="宋体" w:eastAsia="宋体" w:cs="宋体"/>
          <w:color w:val="auto"/>
          <w:kern w:val="0"/>
          <w:sz w:val="21"/>
          <w:szCs w:val="21"/>
          <w:highlight w:val="none"/>
          <w:lang w:eastAsia="zh-CN"/>
        </w:rPr>
        <w:t>签名</w:t>
      </w:r>
      <w:r>
        <w:rPr>
          <w:rFonts w:hint="eastAsia" w:ascii="宋体" w:hAnsi="宋体" w:eastAsia="宋体" w:cs="宋体"/>
          <w:color w:val="auto"/>
          <w:kern w:val="0"/>
          <w:sz w:val="21"/>
          <w:szCs w:val="21"/>
          <w:highlight w:val="none"/>
        </w:rPr>
        <w:t>人愿对其真实性负法律责任。</w:t>
      </w:r>
    </w:p>
    <w:p>
      <w:pPr>
        <w:jc w:val="left"/>
        <w:rPr>
          <w:rFonts w:hint="eastAsia" w:ascii="宋体" w:hAnsi="宋体" w:eastAsia="宋体" w:cs="宋体"/>
          <w:color w:val="auto"/>
          <w:kern w:val="0"/>
          <w:sz w:val="21"/>
          <w:szCs w:val="21"/>
          <w:highlight w:val="none"/>
        </w:rPr>
      </w:pPr>
    </w:p>
    <w:p>
      <w:pPr>
        <w:jc w:val="left"/>
        <w:rPr>
          <w:rFonts w:hint="eastAsia" w:ascii="宋体" w:hAnsi="宋体" w:eastAsia="宋体" w:cs="宋体"/>
          <w:color w:val="auto"/>
          <w:kern w:val="0"/>
          <w:sz w:val="21"/>
          <w:szCs w:val="21"/>
          <w:highlight w:val="none"/>
        </w:rPr>
      </w:pPr>
    </w:p>
    <w:p>
      <w:pPr>
        <w:jc w:val="left"/>
        <w:rPr>
          <w:rFonts w:hint="eastAsia" w:ascii="宋体" w:hAnsi="宋体" w:eastAsia="宋体" w:cs="宋体"/>
          <w:color w:val="auto"/>
          <w:kern w:val="0"/>
          <w:sz w:val="21"/>
          <w:szCs w:val="21"/>
          <w:highlight w:val="none"/>
        </w:rPr>
      </w:pPr>
    </w:p>
    <w:p>
      <w:pPr>
        <w:pStyle w:val="41"/>
        <w:spacing w:before="156" w:after="156"/>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br w:type="page"/>
      </w:r>
      <w:bookmarkStart w:id="223" w:name="_Toc14465"/>
      <w:bookmarkStart w:id="224" w:name="_Toc59810433"/>
      <w:bookmarkStart w:id="225" w:name="_Toc22003"/>
      <w:bookmarkStart w:id="226" w:name="_Toc33183810"/>
      <w:bookmarkStart w:id="227" w:name="_Toc6580"/>
      <w:bookmarkStart w:id="228" w:name="_Toc12789"/>
      <w:r>
        <w:rPr>
          <w:rFonts w:hint="eastAsia" w:ascii="宋体" w:hAnsi="宋体" w:eastAsia="宋体" w:cs="宋体"/>
          <w:b w:val="0"/>
          <w:color w:val="auto"/>
          <w:sz w:val="21"/>
          <w:szCs w:val="21"/>
          <w:highlight w:val="none"/>
        </w:rPr>
        <w:t>附件：</w:t>
      </w:r>
      <w:bookmarkEnd w:id="223"/>
      <w:bookmarkEnd w:id="224"/>
      <w:bookmarkEnd w:id="225"/>
      <w:bookmarkEnd w:id="226"/>
      <w:bookmarkEnd w:id="227"/>
      <w:bookmarkEnd w:id="228"/>
      <w:r>
        <w:rPr>
          <w:rFonts w:hint="eastAsia" w:ascii="宋体" w:hAnsi="宋体" w:eastAsia="宋体" w:cs="宋体"/>
          <w:b w:val="0"/>
          <w:color w:val="auto"/>
          <w:sz w:val="21"/>
          <w:szCs w:val="21"/>
          <w:highlight w:val="none"/>
        </w:rPr>
        <w:t xml:space="preserve"> </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劳动用工及工资支付情况汇总表</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                               时间：    年   季度</w:t>
      </w:r>
    </w:p>
    <w:tbl>
      <w:tblPr>
        <w:tblStyle w:val="2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56"/>
        <w:gridCol w:w="1056"/>
        <w:gridCol w:w="1056"/>
        <w:gridCol w:w="1056"/>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31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用工变动情况</w:t>
            </w:r>
          </w:p>
        </w:tc>
        <w:tc>
          <w:tcPr>
            <w:tcW w:w="422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工资支付情况</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当月离场人数</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当月新增进场人数</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月末</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农民工人数（人）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应付工资总额（元）</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应付工资人数（人）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实付工资总额（元）</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实付工资人数（人）</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签订劳动合同人数（人）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本季度第一月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本季度第二月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本季度第三月</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季度合计</w:t>
            </w: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r>
    </w:tbl>
    <w:p>
      <w:pPr>
        <w:spacing w:before="24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用工单位负责人：        用工单位劳工管理员：      填表时间：</w:t>
      </w:r>
    </w:p>
    <w:p>
      <w:pPr>
        <w:jc w:val="left"/>
        <w:rPr>
          <w:rFonts w:hint="eastAsia" w:ascii="宋体" w:hAnsi="宋体" w:eastAsia="宋体" w:cs="宋体"/>
          <w:color w:val="auto"/>
          <w:kern w:val="0"/>
          <w:sz w:val="21"/>
          <w:szCs w:val="21"/>
          <w:highlight w:val="none"/>
        </w:rPr>
      </w:pPr>
    </w:p>
    <w:p>
      <w:pPr>
        <w:spacing w:line="440" w:lineRule="exact"/>
        <w:ind w:left="420" w:hanging="420" w:hanging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注：此表为每季度末后5天内向项目所在地区县（自治县）劳动和社会保障行政部门报送。</w:t>
      </w:r>
    </w:p>
    <w:p>
      <w:pPr>
        <w:pStyle w:val="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联系电话：             传真：</w:t>
      </w:r>
    </w:p>
    <w:p>
      <w:pPr>
        <w:pStyle w:val="41"/>
        <w:spacing w:before="156" w:after="156"/>
        <w:outlineLvl w:val="9"/>
        <w:rPr>
          <w:rFonts w:hint="eastAsia" w:ascii="宋体" w:hAnsi="宋体" w:eastAsia="宋体" w:cs="宋体"/>
          <w:b w:val="0"/>
          <w:color w:val="auto"/>
          <w:sz w:val="21"/>
          <w:szCs w:val="21"/>
          <w:highlight w:val="none"/>
        </w:rPr>
      </w:pPr>
    </w:p>
    <w:p>
      <w:pPr>
        <w:pStyle w:val="41"/>
        <w:spacing w:before="156" w:after="156"/>
        <w:outlineLvl w:val="9"/>
        <w:rPr>
          <w:rFonts w:hint="eastAsia" w:ascii="宋体" w:hAnsi="宋体" w:eastAsia="宋体" w:cs="宋体"/>
          <w:b w:val="0"/>
          <w:color w:val="auto"/>
          <w:sz w:val="21"/>
          <w:szCs w:val="21"/>
          <w:highlight w:val="none"/>
        </w:rPr>
      </w:pPr>
    </w:p>
    <w:bookmarkEnd w:id="192"/>
    <w:p>
      <w:pPr>
        <w:keepNext w:val="0"/>
        <w:keepLines w:val="0"/>
        <w:snapToGrid/>
        <w:spacing w:line="240" w:lineRule="auto"/>
        <w:ind w:firstLine="0" w:firstLineChars="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pPr>
        <w:pStyle w:val="4"/>
        <w:spacing w:line="360" w:lineRule="auto"/>
        <w:jc w:val="center"/>
        <w:rPr>
          <w:rFonts w:hint="eastAsia" w:ascii="宋体" w:hAnsi="宋体" w:eastAsia="宋体" w:cs="宋体"/>
          <w:b w:val="0"/>
          <w:color w:val="auto"/>
          <w:sz w:val="36"/>
          <w:szCs w:val="30"/>
          <w:highlight w:val="none"/>
        </w:rPr>
      </w:pPr>
      <w:bookmarkStart w:id="229" w:name="_Toc14898"/>
      <w:r>
        <w:rPr>
          <w:rFonts w:hint="eastAsia" w:ascii="宋体" w:hAnsi="宋体" w:eastAsia="宋体" w:cs="宋体"/>
          <w:b w:val="0"/>
          <w:color w:val="auto"/>
          <w:sz w:val="36"/>
          <w:szCs w:val="30"/>
          <w:highlight w:val="none"/>
        </w:rPr>
        <w:t>第七篇  响应文件编制要求</w:t>
      </w:r>
      <w:bookmarkEnd w:id="186"/>
      <w:bookmarkEnd w:id="229"/>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一、经济部分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（一）竞争性磋商报价函</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（二）明细报价表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（一）技术（质量）响应偏离表</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技术方案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三、商务部分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（一）商务响应偏离表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商务资料</w:t>
      </w:r>
      <w:r>
        <w:rPr>
          <w:rFonts w:hint="eastAsia" w:ascii="宋体" w:hAnsi="宋体" w:eastAsia="宋体" w:cs="宋体"/>
          <w:color w:val="auto"/>
          <w:sz w:val="21"/>
          <w:szCs w:val="21"/>
          <w:highlight w:val="none"/>
        </w:rPr>
        <w:t>（格式自定）</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四、资格条件及其他</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（一）法人营业执照（副本）或事业单位法人证书（副本）或个体工商户营业执照或有效的自然人身份证明或社会团体法人登记证书复印件</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（二）法定代表人身份证明书（格式）</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（三）法定代表人授权委托书（格式）</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（四）基本资格条件承诺函（格式）</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（五）特定资格条件证书或证明文件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五、其他资料</w:t>
      </w:r>
    </w:p>
    <w:p>
      <w:pPr>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（一）中小企业声明函、监狱企业证明文件、残疾人福利性单位声明函</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（二）其他与项目有关的资料</w:t>
      </w:r>
    </w:p>
    <w:p>
      <w:pPr>
        <w:snapToGrid w:val="0"/>
        <w:spacing w:line="360" w:lineRule="auto"/>
        <w:rPr>
          <w:rFonts w:hint="eastAsia" w:ascii="宋体" w:hAnsi="宋体" w:eastAsia="宋体" w:cs="宋体"/>
          <w:color w:val="auto"/>
          <w:sz w:val="24"/>
          <w:szCs w:val="24"/>
          <w:highlight w:val="none"/>
          <w:bdr w:val="single" w:color="auto" w:sz="4" w:space="0"/>
        </w:rPr>
        <w:sectPr>
          <w:footerReference r:id="rId11" w:type="default"/>
          <w:pgSz w:w="11907" w:h="16840"/>
          <w:pgMar w:top="1304" w:right="1304" w:bottom="1304" w:left="1304" w:header="794" w:footer="992" w:gutter="0"/>
          <w:pgBorders>
            <w:top w:val="none" w:sz="0" w:space="0"/>
            <w:left w:val="none" w:sz="0" w:space="0"/>
            <w:bottom w:val="none" w:sz="0" w:space="0"/>
            <w:right w:val="none" w:sz="0" w:space="0"/>
          </w:pgBorders>
          <w:pgNumType w:fmt="numberInDash"/>
          <w:cols w:space="720" w:num="1"/>
          <w:docGrid w:linePitch="380" w:charSpace="-5735"/>
        </w:sectPr>
      </w:pPr>
    </w:p>
    <w:p>
      <w:pPr>
        <w:pStyle w:val="4"/>
        <w:adjustRightInd w:val="0"/>
        <w:snapToGrid w:val="0"/>
        <w:spacing w:line="400" w:lineRule="exact"/>
        <w:ind w:firstLine="482" w:firstLineChars="200"/>
        <w:rPr>
          <w:rFonts w:hint="eastAsia" w:ascii="宋体" w:hAnsi="宋体" w:eastAsia="宋体" w:cs="宋体"/>
          <w:color w:val="auto"/>
          <w:sz w:val="24"/>
          <w:highlight w:val="none"/>
        </w:rPr>
      </w:pPr>
      <w:bookmarkStart w:id="230" w:name="_Toc342913419"/>
      <w:bookmarkStart w:id="231" w:name="_Toc313888360"/>
      <w:bookmarkStart w:id="232" w:name="_Toc14365"/>
      <w:bookmarkStart w:id="233" w:name="_Toc227"/>
      <w:bookmarkStart w:id="234" w:name="_Toc313008356"/>
      <w:bookmarkStart w:id="235" w:name="_Toc18151"/>
      <w:bookmarkStart w:id="236" w:name="_Toc76462350"/>
      <w:bookmarkStart w:id="237" w:name="_Toc12789073"/>
      <w:bookmarkStart w:id="238" w:name="_Toc283382454"/>
      <w:r>
        <w:rPr>
          <w:rFonts w:hint="eastAsia" w:ascii="宋体" w:hAnsi="宋体" w:eastAsia="宋体" w:cs="宋体"/>
          <w:color w:val="auto"/>
          <w:sz w:val="24"/>
          <w:highlight w:val="none"/>
        </w:rPr>
        <w:t>一、经济部分</w:t>
      </w:r>
      <w:bookmarkEnd w:id="230"/>
      <w:bookmarkEnd w:id="231"/>
      <w:bookmarkEnd w:id="232"/>
      <w:bookmarkEnd w:id="233"/>
      <w:bookmarkEnd w:id="234"/>
      <w:bookmarkEnd w:id="235"/>
      <w:bookmarkEnd w:id="236"/>
    </w:p>
    <w:bookmarkEnd w:id="237"/>
    <w:bookmarkEnd w:id="238"/>
    <w:p>
      <w:pPr>
        <w:keepNext w:val="0"/>
        <w:keepLines w:val="0"/>
        <w:pageBreakBefore w:val="0"/>
        <w:widowControl w:val="0"/>
        <w:tabs>
          <w:tab w:val="left" w:pos="6300"/>
        </w:tabs>
        <w:kinsoku/>
        <w:wordWrap/>
        <w:overflowPunct/>
        <w:topLinePunct w:val="0"/>
        <w:autoSpaceDE/>
        <w:autoSpaceDN/>
        <w:bidi w:val="0"/>
        <w:adjustRightInd/>
        <w:snapToGrid w:val="0"/>
        <w:spacing w:before="191" w:beforeLines="50"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（一）竞争性磋商报价函</w:t>
      </w:r>
    </w:p>
    <w:p>
      <w:pPr>
        <w:keepNext w:val="0"/>
        <w:keepLines w:val="0"/>
        <w:pageBreakBefore w:val="0"/>
        <w:widowControl w:val="0"/>
        <w:kinsoku/>
        <w:wordWrap/>
        <w:overflowPunct/>
        <w:topLinePunct w:val="0"/>
        <w:autoSpaceDE/>
        <w:autoSpaceDN/>
        <w:bidi w:val="0"/>
        <w:adjustRightInd/>
        <w:snapToGrid/>
        <w:spacing w:before="191" w:beforeLine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竞争性磋商报价函</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（采购</w:t>
      </w:r>
      <w:r>
        <w:rPr>
          <w:rFonts w:hint="eastAsia" w:ascii="宋体" w:hAnsi="宋体" w:eastAsia="宋体" w:cs="宋体"/>
          <w:color w:val="auto"/>
          <w:sz w:val="21"/>
          <w:szCs w:val="21"/>
          <w:highlight w:val="none"/>
          <w:u w:val="single"/>
          <w:lang w:eastAsia="zh-CN"/>
        </w:rPr>
        <w:t>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我方收到____________________________（磋商项目名称）的竞争性磋商文件，经详细研究，决定参加该项目的磋商。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1.愿意按照竞争性磋商文件中的一切要求，提供本项目的</w:t>
      </w:r>
      <w:r>
        <w:rPr>
          <w:rFonts w:hint="eastAsia" w:ascii="宋体" w:hAnsi="宋体" w:eastAsia="宋体" w:cs="宋体"/>
          <w:color w:val="auto"/>
          <w:sz w:val="21"/>
          <w:szCs w:val="21"/>
          <w:highlight w:val="none"/>
          <w:lang w:eastAsia="zh-CN"/>
        </w:rPr>
        <w:t>工作内容</w:t>
      </w:r>
      <w:r>
        <w:rPr>
          <w:rFonts w:hint="eastAsia" w:ascii="宋体" w:hAnsi="宋体" w:eastAsia="宋体" w:cs="宋体"/>
          <w:color w:val="auto"/>
          <w:sz w:val="21"/>
          <w:szCs w:val="21"/>
          <w:highlight w:val="none"/>
        </w:rPr>
        <w:t>，项目初始报价（总价）为人民币大写：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；人民币小写：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2.我方现提交的响应文件为：</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u w:val="single"/>
          <w:lang w:val="en-US" w:eastAsia="zh-CN"/>
        </w:rPr>
        <w:t xml:space="preserve"> 壹 </w:t>
      </w:r>
      <w:r>
        <w:rPr>
          <w:rFonts w:hint="eastAsia" w:ascii="宋体" w:hAnsi="宋体" w:eastAsia="宋体" w:cs="宋体"/>
          <w:color w:val="auto"/>
          <w:sz w:val="21"/>
          <w:szCs w:val="21"/>
          <w:highlight w:val="none"/>
        </w:rPr>
        <w:t>份。</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3.我方承诺：本次磋商的有效期为提交响应文件截止时间起90天。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4.我方完全理解和接受贵方竞争性磋商文件的一切规定和要求及评审办法。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5.在整个竞争性磋商过程中，我方若有违规行为，接受按照《中华人民共和国政府采购法》和《竞争性磋商文件》之规定给予惩罚。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6.我方若成为成交供应商，将按照最终磋商结果签订合同，并且严格履行合同义务。本承诺函将成为合同不可分割的一部分，与合同具有同等的法律效力。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7.如果我方成为成交供应商，保证在接到成交通知书后，向采购代理机构和交易中心缴纳竞争性磋商文件规定的采购代理服务费和交易服务费。</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8.我方未为采购项目提供整体设计、规范编制或者项目管理、监理、检测等服务。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p>
      <w:pPr>
        <w:pStyle w:val="8"/>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（二）明细报价表</w:t>
      </w:r>
    </w:p>
    <w:p>
      <w:pPr>
        <w:pStyle w:val="8"/>
        <w:rPr>
          <w:rFonts w:hint="eastAsia" w:ascii="宋体" w:hAnsi="宋体" w:eastAsia="宋体" w:cs="宋体"/>
          <w:color w:val="auto"/>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eastAsia="zh-CN"/>
        </w:rPr>
        <w:t>注：明细报价表必须按照本项目发布的清单表格式填报。</w:t>
      </w: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highlight w:val="none"/>
        </w:rPr>
        <w:sectPr>
          <w:pgSz w:w="11907" w:h="16840"/>
          <w:pgMar w:top="1304" w:right="1304" w:bottom="1304" w:left="1304" w:header="794" w:footer="992" w:gutter="0"/>
          <w:pgBorders>
            <w:top w:val="none" w:sz="0" w:space="0"/>
            <w:left w:val="none" w:sz="0" w:space="0"/>
            <w:bottom w:val="none" w:sz="0" w:space="0"/>
            <w:right w:val="none" w:sz="0" w:space="0"/>
          </w:pgBorders>
          <w:pgNumType w:fmt="numberInDash"/>
          <w:cols w:space="720" w:num="1"/>
          <w:docGrid w:linePitch="380" w:charSpace="-5735"/>
        </w:sectPr>
      </w:pPr>
    </w:p>
    <w:p>
      <w:pPr>
        <w:bidi w:val="0"/>
        <w:spacing w:line="360" w:lineRule="auto"/>
        <w:outlineLvl w:val="1"/>
        <w:rPr>
          <w:rFonts w:hint="eastAsia" w:ascii="宋体" w:hAnsi="宋体" w:eastAsia="宋体" w:cs="宋体"/>
          <w:b/>
          <w:color w:val="auto"/>
          <w:kern w:val="2"/>
          <w:sz w:val="24"/>
          <w:szCs w:val="24"/>
          <w:highlight w:val="none"/>
          <w:lang w:val="en-US" w:eastAsia="zh-CN" w:bidi="ar-SA"/>
        </w:rPr>
      </w:pPr>
      <w:bookmarkStart w:id="239" w:name="_Toc342913420"/>
      <w:bookmarkStart w:id="240" w:name="_Toc313888361"/>
      <w:bookmarkStart w:id="241" w:name="_Toc313008357"/>
      <w:bookmarkStart w:id="242" w:name="_Toc76462351"/>
      <w:bookmarkStart w:id="243" w:name="_Toc26594"/>
      <w:bookmarkStart w:id="244" w:name="_Toc27956"/>
      <w:bookmarkStart w:id="245" w:name="_Toc6440"/>
      <w:r>
        <w:rPr>
          <w:rFonts w:hint="eastAsia" w:ascii="宋体" w:hAnsi="宋体" w:eastAsia="宋体" w:cs="宋体"/>
          <w:b/>
          <w:color w:val="auto"/>
          <w:kern w:val="2"/>
          <w:sz w:val="24"/>
          <w:szCs w:val="24"/>
          <w:highlight w:val="none"/>
          <w:lang w:val="en-US" w:eastAsia="zh-CN" w:bidi="ar-SA"/>
        </w:rPr>
        <w:t>二、</w:t>
      </w:r>
      <w:bookmarkEnd w:id="239"/>
      <w:bookmarkEnd w:id="240"/>
      <w:bookmarkEnd w:id="241"/>
      <w:bookmarkEnd w:id="242"/>
      <w:bookmarkEnd w:id="243"/>
      <w:r>
        <w:rPr>
          <w:rFonts w:hint="eastAsia" w:ascii="宋体" w:hAnsi="宋体" w:eastAsia="宋体" w:cs="宋体"/>
          <w:b/>
          <w:color w:val="auto"/>
          <w:kern w:val="2"/>
          <w:sz w:val="24"/>
          <w:szCs w:val="24"/>
          <w:highlight w:val="none"/>
          <w:lang w:val="en-US" w:eastAsia="zh-CN" w:bidi="ar-SA"/>
        </w:rPr>
        <w:t>技术部分</w:t>
      </w:r>
    </w:p>
    <w:p>
      <w:pPr>
        <w:tabs>
          <w:tab w:val="left" w:pos="6300"/>
        </w:tabs>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（一）技术（质量）响应偏离表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项目号：                                </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bookmarkStart w:id="246" w:name="_Toc7459"/>
            <w:r>
              <w:rPr>
                <w:rFonts w:hint="eastAsia" w:ascii="宋体" w:hAnsi="宋体" w:eastAsia="宋体" w:cs="宋体"/>
                <w:color w:val="auto"/>
                <w:sz w:val="21"/>
                <w:szCs w:val="21"/>
                <w:highlight w:val="none"/>
              </w:rPr>
              <w:t>序号</w:t>
            </w:r>
            <w:bookmarkEnd w:id="246"/>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bookmarkStart w:id="247" w:name="_Toc6043"/>
            <w:r>
              <w:rPr>
                <w:rFonts w:hint="eastAsia" w:ascii="宋体" w:hAnsi="宋体" w:eastAsia="宋体" w:cs="宋体"/>
                <w:color w:val="auto"/>
                <w:sz w:val="21"/>
                <w:szCs w:val="21"/>
                <w:highlight w:val="none"/>
              </w:rPr>
              <w:t>采购需求</w:t>
            </w:r>
            <w:bookmarkEnd w:id="247"/>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bookmarkStart w:id="248" w:name="_Toc4173"/>
            <w:r>
              <w:rPr>
                <w:rFonts w:hint="eastAsia" w:ascii="宋体" w:hAnsi="宋体" w:eastAsia="宋体" w:cs="宋体"/>
                <w:color w:val="auto"/>
                <w:sz w:val="21"/>
                <w:szCs w:val="21"/>
                <w:highlight w:val="none"/>
              </w:rPr>
              <w:t>响应情况</w:t>
            </w:r>
            <w:bookmarkEnd w:id="248"/>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bookmarkStart w:id="249" w:name="_Toc17307"/>
            <w:r>
              <w:rPr>
                <w:rFonts w:hint="eastAsia" w:ascii="宋体" w:hAnsi="宋体" w:eastAsia="宋体" w:cs="宋体"/>
                <w:color w:val="auto"/>
                <w:sz w:val="21"/>
                <w:szCs w:val="21"/>
                <w:highlight w:val="none"/>
              </w:rPr>
              <w:t>差异说明</w:t>
            </w:r>
            <w:bookmarkEnd w:id="2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967"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081"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09" w:type="dxa"/>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bl>
    <w:p>
      <w:pPr>
        <w:spacing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法定代表人（或其授权代表）或自然人：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5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                               （签署或盖章）</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1.本表即为对本项目“第二篇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项目技术（质量）需求”中所列条款进行比较和响应；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2.该表必须按照竞争性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3.该表可扩展，并逐页签字或盖章；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4.可附相关支撑材料。（格式自定）。</w:t>
      </w:r>
    </w:p>
    <w:p>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技术方案</w:t>
      </w:r>
    </w:p>
    <w:bookmarkEnd w:id="244"/>
    <w:bookmarkEnd w:id="245"/>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由供应商按照评审标准、项目实际情况、自身水平等自行编写。</w:t>
      </w: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rPr>
          <w:rFonts w:hint="eastAsia" w:ascii="宋体" w:hAnsi="宋体" w:eastAsia="宋体" w:cs="宋体"/>
          <w:b/>
          <w:color w:val="auto"/>
          <w:kern w:val="2"/>
          <w:sz w:val="24"/>
          <w:highlight w:val="none"/>
          <w:lang w:val="en-US" w:eastAsia="zh-CN" w:bidi="ar-SA"/>
        </w:rPr>
      </w:pPr>
      <w:bookmarkStart w:id="250" w:name="_Toc313888362"/>
      <w:bookmarkStart w:id="251" w:name="_Toc342913421"/>
      <w:bookmarkStart w:id="252" w:name="_Toc313008358"/>
      <w:bookmarkStart w:id="253" w:name="_Toc76462352"/>
      <w:r>
        <w:rPr>
          <w:rFonts w:hint="eastAsia" w:ascii="宋体" w:hAnsi="宋体" w:eastAsia="宋体" w:cs="宋体"/>
          <w:b/>
          <w:color w:val="auto"/>
          <w:kern w:val="2"/>
          <w:sz w:val="24"/>
          <w:highlight w:val="none"/>
          <w:lang w:val="en-US" w:eastAsia="zh-CN" w:bidi="ar-SA"/>
        </w:rPr>
        <w:br w:type="page"/>
      </w:r>
    </w:p>
    <w:p>
      <w:pPr>
        <w:tabs>
          <w:tab w:val="left" w:pos="6300"/>
        </w:tabs>
        <w:snapToGrid w:val="0"/>
        <w:spacing w:line="400" w:lineRule="exact"/>
        <w:ind w:firstLine="482" w:firstLineChars="200"/>
        <w:outlineLvl w:val="1"/>
        <w:rPr>
          <w:rFonts w:hint="eastAsia" w:ascii="宋体" w:hAnsi="宋体" w:eastAsia="宋体" w:cs="宋体"/>
          <w:color w:val="auto"/>
          <w:sz w:val="24"/>
          <w:highlight w:val="none"/>
        </w:rPr>
      </w:pPr>
      <w:r>
        <w:rPr>
          <w:rFonts w:hint="eastAsia" w:ascii="宋体" w:hAnsi="宋体" w:eastAsia="宋体" w:cs="宋体"/>
          <w:b/>
          <w:color w:val="auto"/>
          <w:kern w:val="2"/>
          <w:sz w:val="24"/>
          <w:highlight w:val="none"/>
          <w:lang w:val="en-US" w:eastAsia="zh-CN" w:bidi="ar-SA"/>
        </w:rPr>
        <w:t>三、商务部分</w:t>
      </w:r>
      <w:bookmarkEnd w:id="250"/>
      <w:bookmarkEnd w:id="251"/>
      <w:bookmarkEnd w:id="252"/>
      <w:bookmarkEnd w:id="253"/>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（一）商务响应偏离表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项目号：                                </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磋商项目名称： </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10" w:type="dxa"/>
            <w:noWrap/>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6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磋商项目商务需求</w:t>
            </w: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79"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434"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355" w:type="dxa"/>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snapToGrid w:val="0"/>
        <w:spacing w:line="360" w:lineRule="auto"/>
        <w:ind w:firstLine="465"/>
        <w:rPr>
          <w:rFonts w:hint="eastAsia" w:ascii="宋体" w:hAnsi="宋体" w:eastAsia="宋体" w:cs="宋体"/>
          <w:color w:val="auto"/>
          <w:sz w:val="21"/>
          <w:szCs w:val="21"/>
          <w:highlight w:val="none"/>
        </w:rPr>
      </w:pPr>
    </w:p>
    <w:p>
      <w:pPr>
        <w:spacing w:line="5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法定代表人（或其授权代表）或自然人：</w:t>
      </w:r>
    </w:p>
    <w:p>
      <w:pPr>
        <w:spacing w:line="500" w:lineRule="exact"/>
        <w:rPr>
          <w:rFonts w:hint="eastAsia" w:ascii="宋体" w:hAnsi="宋体" w:eastAsia="宋体" w:cs="宋体"/>
          <w:color w:val="auto"/>
          <w:sz w:val="21"/>
          <w:szCs w:val="21"/>
          <w:highlight w:val="none"/>
        </w:rPr>
      </w:pPr>
    </w:p>
    <w:p>
      <w:pPr>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                                 （签署或盖章）</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1.本表即为对本项目“第三篇  项目商务需求”中所列条款进行比较和响应；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bookmarkStart w:id="254" w:name="_Toc283382459"/>
      <w:r>
        <w:rPr>
          <w:rFonts w:hint="eastAsia" w:ascii="宋体" w:hAnsi="宋体" w:eastAsia="宋体" w:cs="宋体"/>
          <w:color w:val="auto"/>
          <w:sz w:val="21"/>
          <w:szCs w:val="21"/>
          <w:highlight w:val="none"/>
        </w:rPr>
        <w:t>2.该表必须按照竞争性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3.该表可扩展，并逐页签字或盖章；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4.可附相关支撑材料。（格式自定）。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商务资料</w:t>
      </w:r>
      <w:r>
        <w:rPr>
          <w:rFonts w:hint="eastAsia" w:ascii="宋体" w:hAnsi="宋体" w:eastAsia="宋体" w:cs="宋体"/>
          <w:color w:val="auto"/>
          <w:sz w:val="21"/>
          <w:szCs w:val="21"/>
          <w:highlight w:val="none"/>
        </w:rPr>
        <w:t>（格式自定）</w:t>
      </w:r>
    </w:p>
    <w:p>
      <w:pPr>
        <w:snapToGrid w:val="0"/>
        <w:spacing w:line="400" w:lineRule="exact"/>
        <w:ind w:firstLine="420" w:firstLineChars="200"/>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供应商按照评审标准自行编写。</w:t>
      </w:r>
    </w:p>
    <w:p>
      <w:pPr>
        <w:pStyle w:val="4"/>
        <w:adjustRightInd w:val="0"/>
        <w:snapToGrid w:val="0"/>
        <w:spacing w:line="400" w:lineRule="exact"/>
        <w:ind w:firstLine="422"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br w:type="page"/>
      </w:r>
      <w:bookmarkEnd w:id="254"/>
      <w:bookmarkStart w:id="255" w:name="_Toc76462353"/>
      <w:bookmarkStart w:id="256" w:name="_Toc342913422"/>
      <w:bookmarkStart w:id="257" w:name="_Toc313888363"/>
      <w:bookmarkStart w:id="258" w:name="_Toc313008359"/>
      <w:bookmarkStart w:id="259" w:name="_Toc29519"/>
      <w:bookmarkStart w:id="260" w:name="_Toc15166"/>
      <w:bookmarkStart w:id="261" w:name="_Toc1317"/>
      <w:r>
        <w:rPr>
          <w:rFonts w:hint="eastAsia" w:ascii="宋体" w:hAnsi="宋体" w:eastAsia="宋体" w:cs="宋体"/>
          <w:color w:val="auto"/>
          <w:sz w:val="24"/>
          <w:highlight w:val="none"/>
        </w:rPr>
        <w:t>四、资格条件</w:t>
      </w:r>
      <w:bookmarkEnd w:id="255"/>
      <w:bookmarkEnd w:id="256"/>
      <w:bookmarkEnd w:id="257"/>
      <w:bookmarkEnd w:id="258"/>
      <w:bookmarkEnd w:id="259"/>
      <w:bookmarkEnd w:id="260"/>
      <w:bookmarkEnd w:id="261"/>
    </w:p>
    <w:p>
      <w:pPr>
        <w:tabs>
          <w:tab w:val="left" w:pos="6300"/>
        </w:tabs>
        <w:snapToGrid w:val="0"/>
        <w:spacing w:line="4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snapToGrid w:val="0"/>
        <w:spacing w:line="400" w:lineRule="exact"/>
        <w:ind w:firstLine="56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1"/>
          <w:szCs w:val="21"/>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采购人名称</w:t>
      </w:r>
      <w:r>
        <w:rPr>
          <w:rFonts w:hint="eastAsia" w:ascii="宋体" w:hAnsi="宋体" w:eastAsia="宋体" w:cs="宋体"/>
          <w:color w:val="auto"/>
          <w:sz w:val="21"/>
          <w:szCs w:val="21"/>
          <w:highlight w:val="none"/>
        </w:rPr>
        <w:t>）：</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（职务名称）职务，是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（供应商公章）</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column"/>
      </w:r>
      <w:r>
        <w:rPr>
          <w:rFonts w:hint="eastAsia" w:ascii="宋体" w:hAnsi="宋体" w:eastAsia="宋体" w:cs="宋体"/>
          <w:color w:val="auto"/>
          <w:sz w:val="21"/>
          <w:szCs w:val="21"/>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r>
        <w:rPr>
          <w:rFonts w:hint="eastAsia" w:ascii="宋体" w:hAnsi="宋体" w:eastAsia="宋体" w:cs="宋体"/>
          <w:color w:val="auto"/>
          <w:sz w:val="21"/>
          <w:szCs w:val="21"/>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采购人名称</w:t>
      </w:r>
      <w:r>
        <w:rPr>
          <w:rFonts w:hint="eastAsia" w:ascii="宋体" w:hAnsi="宋体" w:eastAsia="宋体" w:cs="宋体"/>
          <w:color w:val="auto"/>
          <w:sz w:val="21"/>
          <w:szCs w:val="21"/>
          <w:highlight w:val="none"/>
        </w:rPr>
        <w:t>）：</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（供应商法定代表人名称）是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我单位对被授权人的签署负全部责任。</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                                 供应商法定代表人：</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（签署或盖章）                                （签署或盖章）</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firstLine="570"/>
        <w:rPr>
          <w:rFonts w:hint="eastAsia" w:ascii="宋体" w:hAnsi="宋体" w:eastAsia="宋体" w:cs="宋体"/>
          <w:color w:val="auto"/>
          <w:sz w:val="21"/>
          <w:szCs w:val="21"/>
          <w:highlight w:val="none"/>
        </w:rPr>
      </w:pPr>
    </w:p>
    <w:p>
      <w:pPr>
        <w:tabs>
          <w:tab w:val="left" w:pos="6300"/>
        </w:tabs>
        <w:snapToGrid w:val="0"/>
        <w:spacing w:line="500" w:lineRule="exact"/>
        <w:ind w:right="480" w:firstLine="57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tabs>
          <w:tab w:val="left" w:pos="6300"/>
        </w:tabs>
        <w:snapToGrid w:val="0"/>
        <w:spacing w:line="500" w:lineRule="exact"/>
        <w:ind w:right="480" w:firstLine="57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tabs>
          <w:tab w:val="left" w:pos="6300"/>
        </w:tabs>
        <w:snapToGrid w:val="0"/>
        <w:spacing w:line="500" w:lineRule="exact"/>
        <w:ind w:right="480"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1.若为法定代表人办理并签署响应文件的，不提供此文件。</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2.若为联合体参与的，法定代表人授权委托书由联合体主办方</w:t>
      </w:r>
      <w:r>
        <w:rPr>
          <w:rFonts w:hint="eastAsia" w:ascii="宋体" w:hAnsi="宋体" w:eastAsia="宋体" w:cs="宋体"/>
          <w:color w:val="auto"/>
          <w:kern w:val="0"/>
          <w:sz w:val="21"/>
          <w:szCs w:val="21"/>
          <w:highlight w:val="none"/>
        </w:rPr>
        <w:t>（主体）</w:t>
      </w:r>
      <w:r>
        <w:rPr>
          <w:rFonts w:hint="eastAsia" w:ascii="宋体" w:hAnsi="宋体" w:eastAsia="宋体" w:cs="宋体"/>
          <w:color w:val="auto"/>
          <w:sz w:val="21"/>
          <w:szCs w:val="21"/>
          <w:highlight w:val="none"/>
        </w:rPr>
        <w:t>出具。</w:t>
      </w:r>
    </w:p>
    <w:p>
      <w:pPr>
        <w:tabs>
          <w:tab w:val="left" w:pos="6300"/>
        </w:tabs>
        <w:snapToGrid w:val="0"/>
        <w:spacing w:line="50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column"/>
      </w:r>
      <w:r>
        <w:rPr>
          <w:rFonts w:hint="eastAsia" w:ascii="宋体" w:hAnsi="宋体" w:eastAsia="宋体" w:cs="宋体"/>
          <w:color w:val="auto"/>
          <w:sz w:val="21"/>
          <w:szCs w:val="21"/>
          <w:highlight w:val="none"/>
        </w:rPr>
        <w:t>（四）基本资格条件承诺函</w:t>
      </w:r>
    </w:p>
    <w:p>
      <w:pPr>
        <w:tabs>
          <w:tab w:val="left" w:pos="6300"/>
        </w:tabs>
        <w:snapToGrid w:val="0"/>
        <w:spacing w:line="50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基本资格条件承诺函</w:t>
      </w:r>
    </w:p>
    <w:p>
      <w:pPr>
        <w:tabs>
          <w:tab w:val="left" w:pos="6300"/>
        </w:tabs>
        <w:snapToGrid w:val="0"/>
        <w:spacing w:line="530" w:lineRule="exact"/>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采购人名称</w:t>
      </w:r>
      <w:r>
        <w:rPr>
          <w:rFonts w:hint="eastAsia" w:ascii="宋体" w:hAnsi="宋体" w:eastAsia="宋体" w:cs="宋体"/>
          <w:color w:val="auto"/>
          <w:sz w:val="21"/>
          <w:szCs w:val="21"/>
          <w:highlight w:val="none"/>
        </w:rPr>
        <w:t>）：</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（供应商名称）郑重承诺：</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1.我方具有良好的商业信誉和健全的财务会计制度，具有履行合同所必需的设备和专业技术能力，具</w:t>
      </w:r>
      <w:r>
        <w:rPr>
          <w:rFonts w:hint="eastAsia" w:ascii="宋体" w:hAnsi="宋体" w:eastAsia="宋体" w:cs="宋体"/>
          <w:color w:val="auto"/>
          <w:sz w:val="21"/>
          <w:szCs w:val="21"/>
          <w:highlight w:val="none"/>
          <w:lang w:val="zh-CN"/>
        </w:rPr>
        <w:t>有依法缴纳税收和社会保障金的良好记录</w:t>
      </w:r>
      <w:r>
        <w:rPr>
          <w:rFonts w:hint="eastAsia" w:ascii="宋体" w:hAnsi="宋体" w:eastAsia="宋体" w:cs="宋体"/>
          <w:color w:val="auto"/>
          <w:sz w:val="21"/>
          <w:szCs w:val="21"/>
          <w:highlight w:val="none"/>
        </w:rPr>
        <w:t>，参加本项目采购活动前三年内无重大违法活动记录。</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我方对以上承诺负全部法律责任。</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tabs>
          <w:tab w:val="left" w:pos="6300"/>
        </w:tabs>
        <w:snapToGrid w:val="0"/>
        <w:spacing w:line="500" w:lineRule="exact"/>
        <w:ind w:firstLine="6930" w:firstLineChars="3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（五）特定资格条件证明文件</w:t>
      </w: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pStyle w:val="4"/>
        <w:adjustRightInd w:val="0"/>
        <w:snapToGrid w:val="0"/>
        <w:spacing w:line="400" w:lineRule="exact"/>
        <w:ind w:firstLine="560" w:firstLineChars="200"/>
        <w:rPr>
          <w:rFonts w:hint="eastAsia" w:ascii="宋体" w:hAnsi="宋体" w:eastAsia="宋体" w:cs="宋体"/>
          <w:color w:val="auto"/>
          <w:sz w:val="24"/>
          <w:highlight w:val="none"/>
        </w:rPr>
      </w:pPr>
      <w:bookmarkStart w:id="262" w:name="_Toc14422"/>
      <w:r>
        <w:rPr>
          <w:rFonts w:hint="eastAsia" w:ascii="宋体" w:hAnsi="宋体" w:eastAsia="宋体" w:cs="宋体"/>
          <w:b w:val="0"/>
          <w:color w:val="auto"/>
          <w:sz w:val="28"/>
          <w:highlight w:val="none"/>
        </w:rPr>
        <w:br w:type="page"/>
      </w:r>
      <w:bookmarkStart w:id="263" w:name="_Toc76462354"/>
      <w:bookmarkStart w:id="264" w:name="_Toc7346"/>
      <w:bookmarkStart w:id="265" w:name="_Toc29798"/>
      <w:bookmarkStart w:id="266" w:name="_Toc27046"/>
      <w:r>
        <w:rPr>
          <w:rFonts w:hint="eastAsia" w:ascii="宋体" w:hAnsi="宋体" w:eastAsia="宋体" w:cs="宋体"/>
          <w:color w:val="auto"/>
          <w:sz w:val="24"/>
          <w:highlight w:val="none"/>
        </w:rPr>
        <w:t>五、其他资料</w:t>
      </w:r>
      <w:bookmarkEnd w:id="262"/>
      <w:bookmarkEnd w:id="263"/>
      <w:bookmarkEnd w:id="264"/>
      <w:bookmarkEnd w:id="265"/>
      <w:bookmarkEnd w:id="266"/>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pPr>
        <w:tabs>
          <w:tab w:val="left" w:pos="6300"/>
        </w:tabs>
        <w:snapToGrid w:val="0"/>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本公司郑重声明，根据《政府采购促进中小企业发展管理办法》（财库〔2020〕46号）的规定，本公司参加</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val="en-US" w:eastAsia="zh-CN"/>
        </w:rPr>
        <w:t>工程的施工单位</w:t>
      </w:r>
      <w:r>
        <w:rPr>
          <w:rFonts w:hint="eastAsia" w:ascii="宋体" w:hAnsi="宋体" w:eastAsia="宋体" w:cs="宋体"/>
          <w:color w:val="auto"/>
          <w:sz w:val="21"/>
          <w:szCs w:val="21"/>
          <w:highlight w:val="none"/>
        </w:rPr>
        <w:t>全部</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符合政策要求的中小企业承接。相关企业的具体情况如下：</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tabs>
          <w:tab w:val="left" w:pos="6300"/>
        </w:tabs>
        <w:snapToGrid w:val="0"/>
        <w:spacing w:line="500" w:lineRule="exact"/>
        <w:ind w:firstLine="5355" w:firstLineChars="2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pPr>
        <w:tabs>
          <w:tab w:val="left" w:pos="6300"/>
        </w:tabs>
        <w:snapToGrid w:val="0"/>
        <w:spacing w:line="500" w:lineRule="exact"/>
        <w:ind w:right="784" w:firstLine="5355" w:firstLineChars="2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p>
    <w:p>
      <w:pPr>
        <w:tabs>
          <w:tab w:val="left" w:pos="6300"/>
        </w:tabs>
        <w:snapToGrid w:val="0"/>
        <w:spacing w:line="420" w:lineRule="exact"/>
        <w:jc w:val="left"/>
        <w:rPr>
          <w:rFonts w:hint="eastAsia" w:ascii="宋体" w:hAnsi="宋体" w:eastAsia="宋体" w:cs="宋体"/>
          <w:color w:val="auto"/>
          <w:kern w:val="0"/>
          <w:sz w:val="21"/>
          <w:szCs w:val="21"/>
          <w:highlight w:val="none"/>
        </w:rPr>
      </w:pPr>
    </w:p>
    <w:p>
      <w:pPr>
        <w:tabs>
          <w:tab w:val="left" w:pos="6300"/>
        </w:tabs>
        <w:snapToGrid w:val="0"/>
        <w:spacing w:line="420" w:lineRule="exact"/>
        <w:jc w:val="left"/>
        <w:rPr>
          <w:rFonts w:hint="eastAsia" w:ascii="宋体" w:hAnsi="宋体" w:eastAsia="宋体" w:cs="宋体"/>
          <w:color w:val="auto"/>
          <w:kern w:val="0"/>
          <w:sz w:val="21"/>
          <w:szCs w:val="21"/>
          <w:highlight w:val="none"/>
        </w:rPr>
      </w:pPr>
    </w:p>
    <w:p>
      <w:pPr>
        <w:tabs>
          <w:tab w:val="left" w:pos="6300"/>
        </w:tabs>
        <w:snapToGri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填写《中小企业声明函》中所属行业时，应与采购文件第一篇“采购标的对应的中小企业划分标准所属行业”中填写的所属行业一致。</w:t>
      </w:r>
    </w:p>
    <w:p>
      <w:pPr>
        <w:tabs>
          <w:tab w:val="left" w:pos="6300"/>
        </w:tabs>
        <w:snapToGrid w:val="0"/>
        <w:spacing w:line="420" w:lineRule="exact"/>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盖章。</w:t>
      </w:r>
    </w:p>
    <w:p>
      <w:pPr>
        <w:tabs>
          <w:tab w:val="left" w:pos="6300"/>
        </w:tabs>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注：各行业划型标准：</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1"/>
          <w:szCs w:val="21"/>
          <w:highlight w:val="none"/>
        </w:rPr>
        <w:t>监狱企业证明文件</w:t>
      </w:r>
    </w:p>
    <w:p>
      <w:pPr>
        <w:tabs>
          <w:tab w:val="left" w:pos="6300"/>
        </w:tabs>
        <w:snapToGrid w:val="0"/>
        <w:spacing w:line="400" w:lineRule="exact"/>
        <w:ind w:firstLine="56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宋体" w:hAnsi="宋体" w:eastAsia="宋体" w:cs="宋体"/>
          <w:color w:val="auto"/>
          <w:sz w:val="21"/>
          <w:szCs w:val="21"/>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sz w:val="21"/>
          <w:szCs w:val="21"/>
          <w:highlight w:val="none"/>
        </w:rPr>
        <w:t xml:space="preserve"> 残疾人福利性单位声明函</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p>
    <w:p>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p>
    <w:p>
      <w:pPr>
        <w:tabs>
          <w:tab w:val="left" w:pos="6300"/>
        </w:tabs>
        <w:snapToGrid w:val="0"/>
        <w:spacing w:line="500" w:lineRule="exact"/>
        <w:ind w:firstLine="57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为残疾人福利性单位的，将在结果公告时公告其《残疾人福利性单位声明函》。</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（二）其他与项目有关的资料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其他与项目有关的资料（自附）：供应商总体情况介绍、其他与本项目有关的资料等。</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pPr>
        <w:rPr>
          <w:rFonts w:hint="eastAsia" w:ascii="宋体" w:hAnsi="宋体" w:eastAsia="宋体" w:cs="宋体"/>
          <w:color w:val="auto"/>
          <w:highlight w:val="none"/>
        </w:rPr>
      </w:pPr>
    </w:p>
    <w:sectPr>
      <w:headerReference r:id="rId12" w:type="default"/>
      <w:pgSz w:w="11907" w:h="16840"/>
      <w:pgMar w:top="1304" w:right="1304" w:bottom="1304" w:left="1304" w:header="794"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- 6 -</w:t>
    </w:r>
    <w:r>
      <w:rPr>
        <w:rFonts w:asci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p>
  <w:p>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18"/>
        <w:szCs w:val="18"/>
      </w:rPr>
    </w:pPr>
    <w:r>
      <w:rPr>
        <w:rFonts w:ascii="宋体" w:hAnsi="宋体"/>
        <w:sz w:val="18"/>
        <w:szCs w:val="18"/>
      </w:rPr>
      <w:fldChar w:fldCharType="begin"/>
    </w:r>
    <w:r>
      <w:rPr>
        <w:rStyle w:val="22"/>
        <w:rFonts w:ascii="宋体" w:hAnsi="宋体"/>
        <w:sz w:val="18"/>
        <w:szCs w:val="18"/>
      </w:rPr>
      <w:instrText xml:space="preserve"> PAGE </w:instrText>
    </w:r>
    <w:r>
      <w:rPr>
        <w:rFonts w:ascii="宋体" w:hAnsi="宋体"/>
        <w:sz w:val="18"/>
        <w:szCs w:val="18"/>
      </w:rPr>
      <w:fldChar w:fldCharType="separate"/>
    </w:r>
    <w:r>
      <w:rPr>
        <w:rStyle w:val="22"/>
        <w:rFonts w:ascii="宋体" w:hAnsi="宋体"/>
        <w:sz w:val="18"/>
        <w:szCs w:val="18"/>
      </w:rPr>
      <w:t>- 8 -</w:t>
    </w:r>
    <w:r>
      <w:rPr>
        <w:rFonts w:ascii="宋体" w:hAnsi="宋体"/>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18"/>
        <w:szCs w:val="18"/>
      </w:rPr>
    </w:pPr>
    <w:r>
      <w:rPr>
        <w:rFonts w:ascii="宋体" w:hAnsi="宋体"/>
        <w:sz w:val="18"/>
        <w:szCs w:val="18"/>
      </w:rPr>
      <w:fldChar w:fldCharType="begin"/>
    </w:r>
    <w:r>
      <w:rPr>
        <w:rStyle w:val="22"/>
        <w:rFonts w:ascii="宋体" w:hAnsi="宋体"/>
        <w:sz w:val="18"/>
        <w:szCs w:val="18"/>
      </w:rPr>
      <w:instrText xml:space="preserve"> PAGE </w:instrText>
    </w:r>
    <w:r>
      <w:rPr>
        <w:rFonts w:ascii="宋体" w:hAnsi="宋体"/>
        <w:sz w:val="18"/>
        <w:szCs w:val="18"/>
      </w:rPr>
      <w:fldChar w:fldCharType="separate"/>
    </w:r>
    <w:r>
      <w:rPr>
        <w:rStyle w:val="22"/>
        <w:rFonts w:ascii="宋体" w:hAnsi="宋体"/>
        <w:sz w:val="18"/>
        <w:szCs w:val="18"/>
      </w:rPr>
      <w:t>- 40 -</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0"/>
        <w:szCs w:val="20"/>
      </w:rPr>
    </w:pPr>
    <w:r>
      <w:rPr>
        <w:rFonts w:hint="eastAsia" w:ascii="方正仿宋_GBK" w:eastAsia="方正仿宋_GBK"/>
        <w:sz w:val="21"/>
        <w:szCs w:val="21"/>
      </w:rPr>
      <w:t xml:space="preserve">                                                                     </w:t>
    </w:r>
    <w:r>
      <w:rPr>
        <w:rFonts w:hint="eastAsia" w:ascii="宋体" w:hAnsi="宋体" w:eastAsia="宋体" w:cs="宋体"/>
        <w:sz w:val="20"/>
        <w:szCs w:val="20"/>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rPr>
        <w:rFonts w:hint="eastAsia" w:ascii="宋体" w:hAnsi="宋体" w:eastAsia="宋体" w:cs="宋体"/>
        <w:sz w:val="18"/>
        <w:szCs w:val="18"/>
      </w:rPr>
    </w:pPr>
    <w:r>
      <w:rPr>
        <w:rFonts w:hint="eastAsia" w:ascii="方正仿宋_GBK" w:eastAsia="方正仿宋_GBK"/>
        <w:sz w:val="21"/>
        <w:szCs w:val="24"/>
      </w:rPr>
      <w:t xml:space="preserve">                                                    </w:t>
    </w:r>
    <w:r>
      <w:rPr>
        <w:rFonts w:hint="eastAsia" w:ascii="方正仿宋_GBK" w:eastAsia="方正仿宋_GBK"/>
        <w:sz w:val="21"/>
        <w:szCs w:val="24"/>
        <w:lang w:val="en-US" w:eastAsia="zh-CN"/>
      </w:rPr>
      <w:t xml:space="preserve">         </w:t>
    </w:r>
    <w:r>
      <w:rPr>
        <w:rFonts w:hint="eastAsia" w:ascii="方正仿宋_GBK" w:eastAsia="方正仿宋_GBK"/>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eastAsia="宋体" w:cs="宋体"/>
        <w:sz w:val="20"/>
        <w:szCs w:val="20"/>
      </w:rPr>
    </w:pPr>
    <w:r>
      <w:rPr>
        <w:rFonts w:hint="eastAsia" w:ascii="方正仿宋_GBK" w:eastAsia="方正仿宋_GBK"/>
        <w:sz w:val="21"/>
        <w:szCs w:val="21"/>
      </w:rPr>
      <w:t xml:space="preserve">                                                                      </w:t>
    </w:r>
    <w:r>
      <w:rPr>
        <w:rFonts w:hint="eastAsia" w:ascii="宋体" w:hAnsi="宋体" w:eastAsia="宋体" w:cs="宋体"/>
        <w:sz w:val="20"/>
        <w:szCs w:val="20"/>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8F77B"/>
    <w:multiLevelType w:val="singleLevel"/>
    <w:tmpl w:val="E6A8F77B"/>
    <w:lvl w:ilvl="0" w:tentative="0">
      <w:start w:val="1"/>
      <w:numFmt w:val="decimal"/>
      <w:suff w:val="nothing"/>
      <w:lvlText w:val="%1、"/>
      <w:lvlJc w:val="left"/>
    </w:lvl>
  </w:abstractNum>
  <w:abstractNum w:abstractNumId="1">
    <w:nsid w:val="FEC1DAC9"/>
    <w:multiLevelType w:val="singleLevel"/>
    <w:tmpl w:val="FEC1DAC9"/>
    <w:lvl w:ilvl="0" w:tentative="0">
      <w:start w:val="2"/>
      <w:numFmt w:val="chineseCounting"/>
      <w:suff w:val="nothing"/>
      <w:lvlText w:val="（%1）"/>
      <w:lvlJc w:val="left"/>
      <w:rPr>
        <w:rFonts w:hint="eastAsia"/>
      </w:rPr>
    </w:lvl>
  </w:abstractNum>
  <w:abstractNum w:abstractNumId="2">
    <w:nsid w:val="0D5EB5E6"/>
    <w:multiLevelType w:val="singleLevel"/>
    <w:tmpl w:val="0D5EB5E6"/>
    <w:lvl w:ilvl="0" w:tentative="0">
      <w:start w:val="1"/>
      <w:numFmt w:val="chineseCounting"/>
      <w:suff w:val="nothing"/>
      <w:lvlText w:val="%1、"/>
      <w:lvlJc w:val="left"/>
      <w:rPr>
        <w:rFonts w:hint="eastAsia"/>
      </w:rPr>
    </w:lvl>
  </w:abstractNum>
  <w:abstractNum w:abstractNumId="3">
    <w:nsid w:val="182B9704"/>
    <w:multiLevelType w:val="singleLevel"/>
    <w:tmpl w:val="182B9704"/>
    <w:lvl w:ilvl="0" w:tentative="0">
      <w:start w:val="6"/>
      <w:numFmt w:val="decimal"/>
      <w:suff w:val="nothing"/>
      <w:lvlText w:val="%1、"/>
      <w:lvlJc w:val="left"/>
    </w:lvl>
  </w:abstractNum>
  <w:abstractNum w:abstractNumId="4">
    <w:nsid w:val="5934DA0F"/>
    <w:multiLevelType w:val="singleLevel"/>
    <w:tmpl w:val="5934DA0F"/>
    <w:lvl w:ilvl="0" w:tentative="0">
      <w:start w:val="3"/>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mMyNzE3ZWM4N2NjYTUwODkxZDJiMGVhNmRhZTYifQ=="/>
  </w:docVars>
  <w:rsids>
    <w:rsidRoot w:val="00000000"/>
    <w:rsid w:val="005A3527"/>
    <w:rsid w:val="007C1D8E"/>
    <w:rsid w:val="02CD5A6F"/>
    <w:rsid w:val="03872431"/>
    <w:rsid w:val="042B098B"/>
    <w:rsid w:val="04AB1DE0"/>
    <w:rsid w:val="05431F3D"/>
    <w:rsid w:val="06632E6C"/>
    <w:rsid w:val="067B0F1F"/>
    <w:rsid w:val="0696510E"/>
    <w:rsid w:val="070B7BC3"/>
    <w:rsid w:val="09094CA7"/>
    <w:rsid w:val="0A333B8A"/>
    <w:rsid w:val="0A534B21"/>
    <w:rsid w:val="0B536D2E"/>
    <w:rsid w:val="0CE01EB4"/>
    <w:rsid w:val="0EB93D1B"/>
    <w:rsid w:val="0F6D2766"/>
    <w:rsid w:val="10186528"/>
    <w:rsid w:val="102858E0"/>
    <w:rsid w:val="11C444E1"/>
    <w:rsid w:val="11CE177A"/>
    <w:rsid w:val="18664D2A"/>
    <w:rsid w:val="19B27315"/>
    <w:rsid w:val="19BF27AB"/>
    <w:rsid w:val="19C05ED6"/>
    <w:rsid w:val="1C3B7A96"/>
    <w:rsid w:val="1CF77E61"/>
    <w:rsid w:val="1DA7330C"/>
    <w:rsid w:val="20FE37A9"/>
    <w:rsid w:val="225278CE"/>
    <w:rsid w:val="227C6712"/>
    <w:rsid w:val="23E37454"/>
    <w:rsid w:val="24175A98"/>
    <w:rsid w:val="24FE4721"/>
    <w:rsid w:val="259937EC"/>
    <w:rsid w:val="26310445"/>
    <w:rsid w:val="27B212CC"/>
    <w:rsid w:val="286F0688"/>
    <w:rsid w:val="289B5D70"/>
    <w:rsid w:val="29EB7762"/>
    <w:rsid w:val="2BFF711A"/>
    <w:rsid w:val="2C610E53"/>
    <w:rsid w:val="2D37726D"/>
    <w:rsid w:val="2E4E49E1"/>
    <w:rsid w:val="320E797B"/>
    <w:rsid w:val="347A1589"/>
    <w:rsid w:val="34EF5078"/>
    <w:rsid w:val="35EB3E83"/>
    <w:rsid w:val="3B040195"/>
    <w:rsid w:val="3B173DDA"/>
    <w:rsid w:val="3CE42F68"/>
    <w:rsid w:val="3CED422B"/>
    <w:rsid w:val="3D890A36"/>
    <w:rsid w:val="415134C7"/>
    <w:rsid w:val="422538A1"/>
    <w:rsid w:val="42C62075"/>
    <w:rsid w:val="43BB6C43"/>
    <w:rsid w:val="43C071B6"/>
    <w:rsid w:val="44650CC0"/>
    <w:rsid w:val="45E46410"/>
    <w:rsid w:val="45E83804"/>
    <w:rsid w:val="478A4DF9"/>
    <w:rsid w:val="48E409EA"/>
    <w:rsid w:val="49AD5AB1"/>
    <w:rsid w:val="4B8640C1"/>
    <w:rsid w:val="4C0E6B1F"/>
    <w:rsid w:val="4D3857A8"/>
    <w:rsid w:val="4D43568C"/>
    <w:rsid w:val="4E5E0CF7"/>
    <w:rsid w:val="4F3855EC"/>
    <w:rsid w:val="4F7C7BCE"/>
    <w:rsid w:val="4FD8604C"/>
    <w:rsid w:val="519D3E2C"/>
    <w:rsid w:val="52C20F57"/>
    <w:rsid w:val="53281E1B"/>
    <w:rsid w:val="539C10C0"/>
    <w:rsid w:val="54A7162E"/>
    <w:rsid w:val="565B41B0"/>
    <w:rsid w:val="57EA47CE"/>
    <w:rsid w:val="5AF93CBF"/>
    <w:rsid w:val="5BD743DE"/>
    <w:rsid w:val="624E3D04"/>
    <w:rsid w:val="65A06D2D"/>
    <w:rsid w:val="65DB6691"/>
    <w:rsid w:val="66A15D14"/>
    <w:rsid w:val="68CB2633"/>
    <w:rsid w:val="6A1631A0"/>
    <w:rsid w:val="6B4B3C0F"/>
    <w:rsid w:val="6B9467C5"/>
    <w:rsid w:val="6BAD30A1"/>
    <w:rsid w:val="6EB97E31"/>
    <w:rsid w:val="701858EF"/>
    <w:rsid w:val="70DB2647"/>
    <w:rsid w:val="711D5908"/>
    <w:rsid w:val="714D04D7"/>
    <w:rsid w:val="71C347A6"/>
    <w:rsid w:val="72242B1E"/>
    <w:rsid w:val="73C53042"/>
    <w:rsid w:val="73E72C65"/>
    <w:rsid w:val="749266E1"/>
    <w:rsid w:val="77621414"/>
    <w:rsid w:val="7792294C"/>
    <w:rsid w:val="7942327A"/>
    <w:rsid w:val="7D8E0949"/>
    <w:rsid w:val="7DF37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widowControl/>
      <w:adjustRightInd w:val="0"/>
      <w:snapToGrid w:val="0"/>
      <w:spacing w:beforeAutospacing="1"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line="413" w:lineRule="auto"/>
      <w:outlineLvl w:val="1"/>
    </w:pPr>
    <w:rPr>
      <w:rFonts w:ascii="Arial" w:hAnsi="Arial" w:eastAsia="黑体"/>
      <w:b/>
      <w:sz w:val="32"/>
    </w:rPr>
  </w:style>
  <w:style w:type="paragraph" w:styleId="5">
    <w:name w:val="heading 3"/>
    <w:basedOn w:val="1"/>
    <w:next w:val="1"/>
    <w:autoRedefine/>
    <w:qFormat/>
    <w:uiPriority w:val="0"/>
    <w:pPr>
      <w:keepNext/>
      <w:keepLines/>
      <w:adjustRightInd w:val="0"/>
      <w:snapToGrid w:val="0"/>
      <w:spacing w:before="260" w:after="260" w:line="416" w:lineRule="auto"/>
      <w:outlineLvl w:val="2"/>
    </w:pPr>
    <w:rPr>
      <w:rFonts w:ascii="Tahoma" w:hAnsi="Tahoma" w:eastAsia="宋体" w:cs="Times New Roman"/>
      <w:b/>
      <w:bCs/>
      <w:sz w:val="32"/>
      <w:szCs w:val="32"/>
      <w:lang w:val="en-US" w:eastAsia="zh-CN" w:bidi="ar-SA"/>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autoRedefine/>
    <w:qFormat/>
    <w:uiPriority w:val="1"/>
  </w:style>
  <w:style w:type="table" w:default="1" w:styleId="20">
    <w:name w:val="Normal Table"/>
    <w:autoRedefine/>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500" w:lineRule="exact"/>
      <w:textAlignment w:val="baseline"/>
    </w:pPr>
    <w:rPr>
      <w:rFonts w:ascii="宋体" w:hAnsi="宋体"/>
      <w:kern w:val="0"/>
    </w:rPr>
  </w:style>
  <w:style w:type="paragraph" w:styleId="7">
    <w:name w:val="Normal Indent"/>
    <w:basedOn w:val="1"/>
    <w:next w:val="1"/>
    <w:autoRedefine/>
    <w:qFormat/>
    <w:uiPriority w:val="0"/>
    <w:pPr>
      <w:adjustRightInd w:val="0"/>
      <w:snapToGrid w:val="0"/>
      <w:spacing w:line="360" w:lineRule="auto"/>
      <w:ind w:firstLine="420"/>
    </w:pPr>
    <w:rPr>
      <w:rFonts w:eastAsia="方正仿宋_GBK"/>
      <w:sz w:val="24"/>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10">
    <w:name w:val="toc 5"/>
    <w:basedOn w:val="1"/>
    <w:next w:val="1"/>
    <w:autoRedefine/>
    <w:qFormat/>
    <w:uiPriority w:val="0"/>
    <w:pPr>
      <w:ind w:left="1680" w:leftChars="800"/>
    </w:pPr>
  </w:style>
  <w:style w:type="paragraph" w:styleId="11">
    <w:name w:val="Plain Text"/>
    <w:basedOn w:val="1"/>
    <w:autoRedefine/>
    <w:qFormat/>
    <w:uiPriority w:val="0"/>
    <w:pPr>
      <w:widowControl w:val="0"/>
      <w:jc w:val="both"/>
    </w:pPr>
    <w:rPr>
      <w:rFonts w:ascii="宋体" w:hAnsi="Courier New" w:eastAsia="宋体" w:cs="Times New Roman"/>
      <w:kern w:val="2"/>
      <w:sz w:val="21"/>
      <w:lang w:val="en-US" w:eastAsia="zh-CN" w:bidi="ar-SA"/>
    </w:rPr>
  </w:style>
  <w:style w:type="paragraph" w:styleId="12">
    <w:name w:val="Date"/>
    <w:basedOn w:val="1"/>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3">
    <w:name w:val="Body Text Indent 2"/>
    <w:basedOn w:val="1"/>
    <w:autoRedefine/>
    <w:qFormat/>
    <w:uiPriority w:val="0"/>
    <w:pPr>
      <w:widowControl w:val="0"/>
      <w:snapToGrid w:val="0"/>
      <w:spacing w:line="560" w:lineRule="atLeast"/>
      <w:ind w:firstLine="540"/>
      <w:jc w:val="both"/>
    </w:pPr>
    <w:rPr>
      <w:rFonts w:ascii="Times New Roman" w:hAnsi="Times New Roman" w:eastAsia="宋体" w:cs="Times New Roman"/>
      <w:kern w:val="2"/>
      <w:sz w:val="28"/>
      <w:lang w:val="en-US" w:eastAsia="zh-CN" w:bidi="ar-SA"/>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6">
    <w:name w:val="toc 1"/>
    <w:basedOn w:val="1"/>
    <w:next w:val="1"/>
    <w:autoRedefine/>
    <w:qFormat/>
    <w:uiPriority w:val="0"/>
    <w:pPr>
      <w:widowControl w:val="0"/>
      <w:spacing w:line="180" w:lineRule="auto"/>
      <w:jc w:val="center"/>
    </w:pPr>
    <w:rPr>
      <w:rFonts w:ascii="Times New Roman" w:hAnsi="Times New Roman" w:eastAsia="宋体" w:cs="Times New Roman"/>
      <w:kern w:val="2"/>
      <w:sz w:val="30"/>
      <w:lang w:val="en-US" w:eastAsia="zh-CN" w:bidi="ar-SA"/>
    </w:rPr>
  </w:style>
  <w:style w:type="paragraph" w:styleId="17">
    <w:name w:val="toc 2"/>
    <w:next w:val="1"/>
    <w:autoRedefine/>
    <w:qFormat/>
    <w:uiPriority w:val="39"/>
    <w:pPr>
      <w:widowControl w:val="0"/>
      <w:ind w:left="420" w:leftChars="200"/>
      <w:jc w:val="both"/>
    </w:pPr>
    <w:rPr>
      <w:rFonts w:ascii="Times New Roman" w:hAnsi="Times New Roman" w:eastAsia="宋体" w:cs="Times New Roman"/>
      <w:kern w:val="2"/>
      <w:sz w:val="28"/>
      <w:lang w:val="en-US" w:eastAsia="zh-CN" w:bidi="ar-SA"/>
    </w:rPr>
  </w:style>
  <w:style w:type="paragraph" w:styleId="18">
    <w:name w:val="Normal (Web)"/>
    <w:basedOn w:val="1"/>
    <w:autoRedefine/>
    <w:qFormat/>
    <w:uiPriority w:val="0"/>
    <w:rPr>
      <w:sz w:val="24"/>
      <w:szCs w:val="20"/>
    </w:rPr>
  </w:style>
  <w:style w:type="paragraph" w:styleId="19">
    <w:name w:val="Body Text First Indent 2"/>
    <w:basedOn w:val="9"/>
    <w:autoRedefine/>
    <w:qFormat/>
    <w:uiPriority w:val="0"/>
    <w:pPr>
      <w:ind w:firstLine="420" w:firstLineChars="200"/>
    </w:pPr>
    <w:rPr>
      <w:sz w:val="21"/>
    </w:rPr>
  </w:style>
  <w:style w:type="character" w:styleId="22">
    <w:name w:val="page number"/>
    <w:basedOn w:val="21"/>
    <w:autoRedefine/>
    <w:qFormat/>
    <w:uiPriority w:val="0"/>
  </w:style>
  <w:style w:type="character" w:styleId="23">
    <w:name w:val="FollowedHyperlink"/>
    <w:basedOn w:val="21"/>
    <w:autoRedefine/>
    <w:qFormat/>
    <w:uiPriority w:val="0"/>
    <w:rPr>
      <w:color w:val="800080"/>
      <w:u w:val="single"/>
    </w:rPr>
  </w:style>
  <w:style w:type="character" w:styleId="24">
    <w:name w:val="Hyperlink"/>
    <w:autoRedefine/>
    <w:qFormat/>
    <w:uiPriority w:val="99"/>
    <w:rPr>
      <w:color w:val="0000FF"/>
      <w:u w:val="single"/>
    </w:rPr>
  </w:style>
  <w:style w:type="paragraph" w:customStyle="1" w:styleId="2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索引 51"/>
    <w:basedOn w:val="1"/>
    <w:next w:val="1"/>
    <w:autoRedefine/>
    <w:qFormat/>
    <w:uiPriority w:val="0"/>
    <w:pPr>
      <w:ind w:left="1680"/>
    </w:pPr>
  </w:style>
  <w:style w:type="paragraph" w:customStyle="1" w:styleId="27">
    <w:name w:val="默认"/>
    <w:autoRedefine/>
    <w:qFormat/>
    <w:uiPriority w:val="0"/>
    <w:rPr>
      <w:rFonts w:ascii="Helvetica" w:hAnsi="Helvetica" w:eastAsia="宋体" w:cs="Helvetica"/>
      <w:color w:val="000000"/>
      <w:sz w:val="22"/>
      <w:szCs w:val="22"/>
      <w:lang w:val="en-US" w:eastAsia="zh-CN" w:bidi="ar-SA"/>
    </w:rPr>
  </w:style>
  <w:style w:type="paragraph" w:customStyle="1" w:styleId="28">
    <w:name w:val="图例"/>
    <w:autoRedefine/>
    <w:qFormat/>
    <w:uiPriority w:val="0"/>
    <w:pPr>
      <w:widowControl w:val="0"/>
      <w:spacing w:line="360" w:lineRule="auto"/>
      <w:jc w:val="center"/>
    </w:pPr>
    <w:rPr>
      <w:rFonts w:ascii="Times New Roman" w:hAnsi="Times New Roman" w:eastAsia="仿宋_GB2312" w:cs="Times New Roman"/>
      <w:b/>
      <w:kern w:val="2"/>
      <w:sz w:val="24"/>
      <w:lang w:val="en-US" w:eastAsia="zh-CN" w:bidi="ar-SA"/>
    </w:rPr>
  </w:style>
  <w:style w:type="paragraph" w:customStyle="1" w:styleId="29">
    <w:name w:val="1"/>
    <w:next w:val="11"/>
    <w:autoRedefine/>
    <w:qFormat/>
    <w:uiPriority w:val="0"/>
    <w:pPr>
      <w:widowControl w:val="0"/>
      <w:jc w:val="both"/>
    </w:pPr>
    <w:rPr>
      <w:rFonts w:ascii="宋体" w:hAnsi="Courier New" w:eastAsia="宋体" w:cs="Times New Roman"/>
      <w:kern w:val="2"/>
      <w:sz w:val="21"/>
      <w:lang w:val="en-US" w:eastAsia="zh-CN" w:bidi="ar-SA"/>
    </w:rPr>
  </w:style>
  <w:style w:type="paragraph" w:customStyle="1" w:styleId="30">
    <w:name w:val="标题3"/>
    <w:next w:val="11"/>
    <w:autoRedefine/>
    <w:qFormat/>
    <w:uiPriority w:val="0"/>
    <w:pPr>
      <w:keepNext/>
      <w:keepLines/>
      <w:widowControl w:val="0"/>
      <w:spacing w:before="260" w:after="240" w:line="560" w:lineRule="exact"/>
      <w:jc w:val="center"/>
      <w:outlineLvl w:val="2"/>
    </w:pPr>
    <w:rPr>
      <w:rFonts w:ascii="仿宋" w:hAnsi="仿宋" w:eastAsia="仿宋" w:cs="Times New Roman"/>
      <w:b/>
      <w:bCs/>
      <w:kern w:val="2"/>
      <w:sz w:val="28"/>
      <w:szCs w:val="28"/>
      <w:lang w:val="en-US" w:eastAsia="zh-CN" w:bidi="ar-SA"/>
    </w:rPr>
  </w:style>
  <w:style w:type="paragraph" w:customStyle="1" w:styleId="31">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2">
    <w:name w:val="font41"/>
    <w:basedOn w:val="21"/>
    <w:autoRedefine/>
    <w:qFormat/>
    <w:uiPriority w:val="0"/>
    <w:rPr>
      <w:rFonts w:ascii="Arial" w:hAnsi="Arial" w:cs="Arial"/>
      <w:color w:val="000000"/>
      <w:sz w:val="28"/>
      <w:szCs w:val="28"/>
      <w:u w:val="none"/>
    </w:rPr>
  </w:style>
  <w:style w:type="character" w:customStyle="1" w:styleId="33">
    <w:name w:val="font21"/>
    <w:basedOn w:val="21"/>
    <w:autoRedefine/>
    <w:qFormat/>
    <w:uiPriority w:val="0"/>
    <w:rPr>
      <w:rFonts w:hint="eastAsia" w:ascii="楷体" w:hAnsi="楷体" w:eastAsia="楷体" w:cs="楷体"/>
      <w:color w:val="000000"/>
      <w:sz w:val="28"/>
      <w:szCs w:val="28"/>
      <w:u w:val="none"/>
    </w:rPr>
  </w:style>
  <w:style w:type="paragraph" w:customStyle="1" w:styleId="34">
    <w:name w:val="符号列表"/>
    <w:basedOn w:val="1"/>
    <w:next w:val="35"/>
    <w:autoRedefine/>
    <w:qFormat/>
    <w:uiPriority w:val="1"/>
    <w:pPr>
      <w:ind w:firstLine="420" w:firstLineChars="200"/>
    </w:pPr>
    <w:rPr>
      <w:lang w:val="zh-CN" w:eastAsia="zh-CN"/>
    </w:rPr>
  </w:style>
  <w:style w:type="paragraph" w:styleId="35">
    <w:name w:val="List Paragraph"/>
    <w:basedOn w:val="1"/>
    <w:autoRedefine/>
    <w:qFormat/>
    <w:uiPriority w:val="34"/>
    <w:pPr>
      <w:ind w:firstLine="420" w:firstLineChars="200"/>
    </w:pPr>
  </w:style>
  <w:style w:type="character" w:customStyle="1" w:styleId="36">
    <w:name w:val="UserStyle_74"/>
    <w:autoRedefine/>
    <w:qFormat/>
    <w:uiPriority w:val="0"/>
    <w:rPr>
      <w:kern w:val="2"/>
      <w:sz w:val="28"/>
      <w:lang w:val="en-US" w:eastAsia="zh-CN" w:bidi="ar-SA"/>
    </w:rPr>
  </w:style>
  <w:style w:type="character" w:customStyle="1" w:styleId="37">
    <w:name w:val="font51"/>
    <w:basedOn w:val="21"/>
    <w:autoRedefine/>
    <w:qFormat/>
    <w:uiPriority w:val="0"/>
    <w:rPr>
      <w:rFonts w:hint="eastAsia" w:ascii="宋体" w:hAnsi="宋体" w:eastAsia="宋体" w:cs="宋体"/>
      <w:color w:val="000000"/>
      <w:sz w:val="16"/>
      <w:szCs w:val="16"/>
      <w:u w:val="none"/>
    </w:rPr>
  </w:style>
  <w:style w:type="paragraph" w:customStyle="1" w:styleId="38">
    <w:name w:val="p0"/>
    <w:basedOn w:val="1"/>
    <w:autoRedefine/>
    <w:qFormat/>
    <w:uiPriority w:val="0"/>
    <w:pPr>
      <w:widowControl/>
    </w:pPr>
    <w:rPr>
      <w:kern w:val="0"/>
      <w:szCs w:val="21"/>
    </w:rPr>
  </w:style>
  <w:style w:type="character" w:customStyle="1" w:styleId="39">
    <w:name w:val="font31"/>
    <w:basedOn w:val="21"/>
    <w:autoRedefine/>
    <w:qFormat/>
    <w:uiPriority w:val="0"/>
    <w:rPr>
      <w:rFonts w:hint="eastAsia" w:ascii="宋体" w:hAnsi="宋体" w:eastAsia="宋体" w:cs="宋体"/>
      <w:color w:val="000000"/>
      <w:sz w:val="22"/>
      <w:szCs w:val="22"/>
      <w:u w:val="none"/>
    </w:rPr>
  </w:style>
  <w:style w:type="character" w:customStyle="1" w:styleId="40">
    <w:name w:val="NormalCharacter"/>
    <w:autoRedefine/>
    <w:qFormat/>
    <w:uiPriority w:val="0"/>
    <w:rPr>
      <w:rFonts w:ascii="Times New Roman" w:hAnsi="Times New Roman" w:eastAsia="宋体" w:cs="Times New Roman"/>
      <w:kern w:val="2"/>
      <w:sz w:val="28"/>
      <w:lang w:val="en-US" w:eastAsia="zh-CN" w:bidi="ar-SA"/>
    </w:rPr>
  </w:style>
  <w:style w:type="paragraph" w:customStyle="1" w:styleId="41">
    <w:name w:val="招标节"/>
    <w:basedOn w:val="1"/>
    <w:next w:val="1"/>
    <w:autoRedefine/>
    <w:qFormat/>
    <w:uiPriority w:val="0"/>
    <w:pPr>
      <w:spacing w:beforeLines="50" w:afterLines="50"/>
      <w:outlineLvl w:val="1"/>
    </w:pPr>
    <w:rPr>
      <w:b/>
      <w:kern w:val="0"/>
      <w:sz w:val="24"/>
    </w:rPr>
  </w:style>
  <w:style w:type="paragraph" w:customStyle="1" w:styleId="42">
    <w:name w:val="招标正文"/>
    <w:basedOn w:val="1"/>
    <w:autoRedefine/>
    <w:qFormat/>
    <w:uiPriority w:val="0"/>
    <w:pPr>
      <w:spacing w:line="300" w:lineRule="auto"/>
      <w:ind w:firstLine="420" w:firstLineChars="200"/>
    </w:pPr>
    <w:rPr>
      <w:rFonts w:ascii="宋体" w:hAnsi="宋体"/>
      <w:color w:val="0070C0"/>
      <w:kern w:val="0"/>
      <w:sz w:val="20"/>
      <w:szCs w:val="21"/>
    </w:rPr>
  </w:style>
  <w:style w:type="character" w:customStyle="1" w:styleId="43">
    <w:name w:val="标题 2 字符"/>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47</Pages>
  <Words>33541</Words>
  <Characters>37329</Characters>
  <Paragraphs>1619</Paragraphs>
  <TotalTime>3</TotalTime>
  <ScaleCrop>false</ScaleCrop>
  <LinksUpToDate>false</LinksUpToDate>
  <CharactersWithSpaces>38894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2022-10-26T07:29:00Z</dcterms:created>
  <dc:creator>Administrator</dc:creator>
  <cp:lastModifiedBy>张好燕</cp:lastModifiedBy>
  <cp:lastPrinted>2023-08-16T00:36:00Z</cp:lastPrinted>
  <dcterms:modified xsi:type="dcterms:W3CDTF">2024-01-12T02:42:24Z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3C069FC7969D405CA2C2CC48CABFA6CA_13</vt:lpwstr>
  </property>
</Properties>
</file>