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bookmarkStart w:id="0" w:name="（一）项目服务范围"/>
      <w:bookmarkEnd w:id="0"/>
      <w:r>
        <w:rPr>
          <w:rFonts w:hint="eastAsia"/>
          <w:lang w:val="en-US" w:eastAsia="zh-CN"/>
        </w:rPr>
        <w:t>采购</w:t>
      </w:r>
      <w:bookmarkStart w:id="1" w:name="_GoBack"/>
      <w:bookmarkEnd w:id="1"/>
      <w:r>
        <w:rPr>
          <w:rFonts w:hint="eastAsia"/>
          <w:lang w:val="en-US" w:eastAsia="zh-CN"/>
        </w:rPr>
        <w:t>需求</w:t>
      </w:r>
    </w:p>
    <w:p>
      <w:pPr>
        <w:numPr>
          <w:ilvl w:val="0"/>
          <w:numId w:val="1"/>
        </w:numPr>
        <w:spacing w:line="600" w:lineRule="exact"/>
        <w:ind w:firstLine="640" w:firstLineChars="200"/>
        <w:rPr>
          <w:rFonts w:ascii="黑体" w:hAnsi="黑体" w:eastAsia="黑体" w:cs="黑体"/>
          <w:bCs/>
          <w:sz w:val="32"/>
          <w:szCs w:val="32"/>
          <w:highlight w:val="white"/>
        </w:rPr>
      </w:pPr>
      <w:r>
        <w:rPr>
          <w:rFonts w:hint="eastAsia" w:ascii="黑体" w:hAnsi="黑体" w:eastAsia="黑体" w:cs="黑体"/>
          <w:bCs/>
          <w:sz w:val="32"/>
          <w:szCs w:val="32"/>
          <w:highlight w:val="white"/>
        </w:rPr>
        <w:t>项目基本情况</w:t>
      </w:r>
    </w:p>
    <w:p>
      <w:pPr>
        <w:spacing w:line="600" w:lineRule="exact"/>
        <w:ind w:firstLine="640" w:firstLineChars="200"/>
        <w:rPr>
          <w:rFonts w:ascii="仿宋_GB2312" w:hAnsi="仿宋_GB2312" w:eastAsia="仿宋_GB2312" w:cs="仿宋_GB2312"/>
          <w:bCs/>
          <w:sz w:val="32"/>
          <w:szCs w:val="32"/>
          <w:highlight w:val="white"/>
        </w:rPr>
      </w:pPr>
      <w:r>
        <w:rPr>
          <w:rFonts w:hint="eastAsia" w:ascii="仿宋_GB2312" w:hAnsi="仿宋_GB2312" w:eastAsia="仿宋_GB2312" w:cs="仿宋_GB2312"/>
          <w:sz w:val="32"/>
          <w:szCs w:val="32"/>
        </w:rPr>
        <w:t>渝水区负责城南片区，城北片区的无物业小区、城中村（安置小区），珠珊镇集镇范围（含潭口村委、西岸村委），</w:t>
      </w:r>
      <w:r>
        <w:rPr>
          <w:rFonts w:hint="eastAsia" w:ascii="仿宋_GB2312" w:hAnsi="仿宋_GB2312" w:eastAsia="仿宋_GB2312" w:cs="仿宋_GB2312"/>
          <w:color w:val="000000"/>
          <w:sz w:val="32"/>
          <w:szCs w:val="32"/>
        </w:rPr>
        <w:t>辖区内的</w:t>
      </w:r>
      <w:r>
        <w:rPr>
          <w:rFonts w:hint="eastAsia" w:ascii="仿宋_GB2312" w:hAnsi="仿宋_GB2312" w:eastAsia="仿宋_GB2312" w:cs="仿宋_GB2312"/>
          <w:sz w:val="32"/>
          <w:szCs w:val="32"/>
        </w:rPr>
        <w:t>农贸市场、公立医疗卫生机构的公共场所外环境</w:t>
      </w:r>
      <w:r>
        <w:rPr>
          <w:rFonts w:hint="eastAsia" w:ascii="仿宋_GB2312" w:hAnsi="仿宋_GB2312" w:eastAsia="仿宋_GB2312" w:cs="仿宋_GB2312"/>
          <w:bCs/>
          <w:sz w:val="32"/>
          <w:szCs w:val="32"/>
          <w:highlight w:val="white"/>
        </w:rPr>
        <w:t>开展病媒生物防制（</w:t>
      </w:r>
      <w:r>
        <w:rPr>
          <w:rFonts w:hint="eastAsia" w:ascii="仿宋_GB2312" w:hAnsi="仿宋_GB2312" w:eastAsia="仿宋_GB2312" w:cs="仿宋_GB2312"/>
          <w:sz w:val="32"/>
          <w:szCs w:val="32"/>
        </w:rPr>
        <w:t>除“四害”）服务工作。具体范围为：浙赣铁路以南、天工大道以东城南片区涉及6个街道办、珠珊镇集镇范围（含潭口村委、西岸村委）的公共外环境，包括</w:t>
      </w:r>
      <w:r>
        <w:rPr>
          <w:rFonts w:hint="eastAsia" w:ascii="仿宋_GB2312" w:hAnsi="仿宋_GB2312" w:eastAsia="仿宋_GB2312" w:cs="仿宋_GB2312"/>
          <w:bCs/>
          <w:sz w:val="32"/>
          <w:szCs w:val="32"/>
          <w:highlight w:val="white"/>
        </w:rPr>
        <w:t>城市道路、</w:t>
      </w:r>
      <w:r>
        <w:rPr>
          <w:rFonts w:hint="eastAsia" w:ascii="仿宋_GB2312" w:hAnsi="仿宋_GB2312" w:eastAsia="仿宋_GB2312" w:cs="仿宋_GB2312"/>
          <w:sz w:val="32"/>
          <w:szCs w:val="32"/>
        </w:rPr>
        <w:t>公园、广场、背街小巷、城中村、城乡结合部、单位院落、有物业小区、无物业小区、安置小区、地下通道、垃圾堆放点、</w:t>
      </w:r>
      <w:r>
        <w:rPr>
          <w:rFonts w:hint="eastAsia" w:ascii="仿宋_GB2312" w:hAnsi="仿宋_GB2312" w:eastAsia="仿宋_GB2312" w:cs="仿宋_GB2312"/>
          <w:bCs/>
          <w:sz w:val="32"/>
          <w:szCs w:val="32"/>
          <w:highlight w:val="white"/>
        </w:rPr>
        <w:t>河堤、</w:t>
      </w:r>
      <w:r>
        <w:rPr>
          <w:rFonts w:hint="eastAsia" w:ascii="仿宋_GB2312" w:hAnsi="仿宋_GB2312" w:eastAsia="仿宋_GB2312" w:cs="仿宋_GB2312"/>
          <w:sz w:val="32"/>
          <w:szCs w:val="32"/>
        </w:rPr>
        <w:t>水体、水沟、下水道、</w:t>
      </w:r>
      <w:r>
        <w:rPr>
          <w:rFonts w:hint="eastAsia" w:ascii="仿宋_GB2312" w:hAnsi="仿宋_GB2312" w:eastAsia="仿宋_GB2312" w:cs="仿宋_GB2312"/>
          <w:bCs/>
          <w:sz w:val="32"/>
          <w:szCs w:val="32"/>
          <w:highlight w:val="white"/>
        </w:rPr>
        <w:t>公共绿化带、蚊虫孳生水体、苍蝇孳生地</w:t>
      </w:r>
      <w:r>
        <w:rPr>
          <w:rFonts w:hint="eastAsia" w:ascii="仿宋_GB2312" w:hAnsi="仿宋_GB2312" w:eastAsia="仿宋_GB2312" w:cs="仿宋_GB2312"/>
          <w:sz w:val="32"/>
          <w:szCs w:val="32"/>
        </w:rPr>
        <w:t>等</w:t>
      </w:r>
      <w:r>
        <w:rPr>
          <w:rFonts w:hint="eastAsia" w:ascii="仿宋_GB2312" w:hAnsi="仿宋_GB2312" w:eastAsia="仿宋_GB2312" w:cs="仿宋_GB2312"/>
          <w:bCs/>
          <w:sz w:val="32"/>
          <w:szCs w:val="32"/>
          <w:highlight w:val="white"/>
        </w:rPr>
        <w:t>公共外环境区域；</w:t>
      </w:r>
      <w:r>
        <w:rPr>
          <w:rFonts w:hint="eastAsia" w:ascii="仿宋_GB2312" w:hAnsi="仿宋_GB2312" w:eastAsia="仿宋_GB2312" w:cs="仿宋_GB2312"/>
          <w:color w:val="000000"/>
          <w:sz w:val="32"/>
          <w:szCs w:val="32"/>
        </w:rPr>
        <w:t>辖区内的</w:t>
      </w:r>
      <w:r>
        <w:rPr>
          <w:rFonts w:hint="eastAsia" w:ascii="仿宋_GB2312" w:hAnsi="仿宋_GB2312" w:eastAsia="仿宋_GB2312" w:cs="仿宋_GB2312"/>
          <w:sz w:val="32"/>
          <w:szCs w:val="32"/>
        </w:rPr>
        <w:t>农贸市场、公立医疗卫生机构；城北片区的无物业小区、城中村（安置小区）范围内的公共外环境，面积约37.5平方公里，对全区重点行业、重点单位每个月开展一次现场技术指导，每年集中对全区各单位各部门开展两次以上（含两次）业务培训，</w:t>
      </w:r>
      <w:r>
        <w:rPr>
          <w:rFonts w:hint="eastAsia" w:ascii="仿宋_GB2312" w:hAnsi="仿宋_GB2312" w:eastAsia="仿宋_GB2312" w:cs="仿宋_GB2312"/>
          <w:color w:val="000000" w:themeColor="text1"/>
          <w:sz w:val="32"/>
          <w:szCs w:val="32"/>
          <w14:textFill>
            <w14:solidFill>
              <w14:schemeClr w14:val="tx1"/>
            </w14:solidFill>
          </w14:textFill>
        </w:rPr>
        <w:t>按要求</w:t>
      </w:r>
      <w:r>
        <w:rPr>
          <w:rFonts w:hint="eastAsia" w:eastAsia="仿宋_GB2312"/>
          <w:color w:val="000000" w:themeColor="text1"/>
          <w:sz w:val="32"/>
          <w:szCs w:val="32"/>
          <w14:textFill>
            <w14:solidFill>
              <w14:schemeClr w14:val="tx1"/>
            </w14:solidFill>
          </w14:textFill>
        </w:rPr>
        <w:t>开展蚊蝇孳生地调查</w:t>
      </w:r>
      <w:r>
        <w:rPr>
          <w:rFonts w:hint="eastAsia" w:ascii="仿宋_GB2312" w:eastAsia="仿宋_GB2312"/>
          <w:color w:val="000000" w:themeColor="text1"/>
          <w:sz w:val="32"/>
          <w:szCs w:val="32"/>
          <w14:textFill>
            <w14:solidFill>
              <w14:schemeClr w14:val="tx1"/>
            </w14:solidFill>
          </w14:textFill>
        </w:rPr>
        <w:t>、重点行业病媒侵害率调查、四害密度监测、</w:t>
      </w:r>
      <w:r>
        <w:rPr>
          <w:rFonts w:hint="eastAsia" w:ascii="仿宋_GB2312" w:hAnsi="仿宋_GB2312" w:eastAsia="仿宋_GB2312" w:cs="仿宋_GB2312"/>
          <w:color w:val="000000" w:themeColor="text1"/>
          <w:sz w:val="32"/>
          <w:szCs w:val="32"/>
          <w14:textFill>
            <w14:solidFill>
              <w14:schemeClr w14:val="tx1"/>
            </w14:solidFill>
          </w14:textFill>
        </w:rPr>
        <w:t>病媒控制效果评估</w:t>
      </w:r>
      <w:r>
        <w:rPr>
          <w:rFonts w:hint="eastAsia" w:ascii="仿宋_GB2312" w:hAnsi="仿宋_GB2312" w:eastAsia="仿宋_GB2312" w:cs="仿宋_GB2312"/>
          <w:sz w:val="32"/>
          <w:szCs w:val="32"/>
        </w:rPr>
        <w:t>。</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highlight w:val="white"/>
        </w:rPr>
        <w:t>二、项目主要目标</w:t>
      </w:r>
    </w:p>
    <w:p>
      <w:pPr>
        <w:spacing w:line="600" w:lineRule="exact"/>
        <w:ind w:firstLine="640" w:firstLineChars="200"/>
        <w:rPr>
          <w:rFonts w:ascii="仿宋_GB2312" w:hAnsi="仿宋_GB2312" w:eastAsia="仿宋_GB2312" w:cs="仿宋_GB2312"/>
          <w:bCs/>
          <w:sz w:val="32"/>
          <w:szCs w:val="32"/>
          <w:highlight w:val="white"/>
        </w:rPr>
      </w:pPr>
      <w:r>
        <w:rPr>
          <w:rFonts w:hint="eastAsia" w:ascii="仿宋_GB2312" w:hAnsi="仿宋_GB2312" w:eastAsia="仿宋_GB2312" w:cs="仿宋_GB2312"/>
          <w:sz w:val="32"/>
          <w:szCs w:val="32"/>
          <w:highlight w:val="white"/>
        </w:rPr>
        <w:t>按照《病媒生物预防控制管理规定》，通过持续控制，</w:t>
      </w:r>
      <w:r>
        <w:rPr>
          <w:rFonts w:hint="eastAsia" w:ascii="仿宋_GB2312" w:hAnsi="仿宋_GB2312" w:eastAsia="仿宋_GB2312" w:cs="仿宋_GB2312"/>
          <w:bCs/>
          <w:sz w:val="32"/>
          <w:szCs w:val="32"/>
          <w:highlight w:val="white"/>
        </w:rPr>
        <w:t>建成区鼠、蟑、蚊、蝇密度控制在国家标准C级水平；服务区域病媒生物防制通过国家、省、市创建国家卫生城市检查达标。</w:t>
      </w:r>
    </w:p>
    <w:p>
      <w:pPr>
        <w:pStyle w:val="10"/>
        <w:widowControl/>
        <w:spacing w:line="276" w:lineRule="auto"/>
        <w:ind w:firstLine="640"/>
        <w:jc w:val="left"/>
        <w:rPr>
          <w:rFonts w:ascii="黑体" w:hAnsi="黑体" w:eastAsia="黑体" w:cs="黑体"/>
          <w:bCs/>
          <w:sz w:val="32"/>
          <w:szCs w:val="32"/>
          <w:highlight w:val="white"/>
        </w:rPr>
      </w:pPr>
      <w:r>
        <w:rPr>
          <w:rFonts w:hint="eastAsia" w:ascii="黑体" w:hAnsi="黑体" w:eastAsia="黑体" w:cs="黑体"/>
          <w:bCs/>
          <w:sz w:val="32"/>
          <w:szCs w:val="32"/>
          <w:highlight w:val="white"/>
        </w:rPr>
        <w:t>三、项目服务期限</w:t>
      </w:r>
    </w:p>
    <w:p>
      <w:pPr>
        <w:spacing w:line="600" w:lineRule="exact"/>
        <w:ind w:firstLine="640" w:firstLineChars="200"/>
        <w:rPr>
          <w:rFonts w:ascii="仿宋_GB2312" w:hAnsi="仿宋_GB2312" w:eastAsia="仿宋_GB2312" w:cs="仿宋_GB2312"/>
          <w:sz w:val="32"/>
          <w:szCs w:val="32"/>
          <w:highlight w:val="white"/>
        </w:rPr>
      </w:pPr>
      <w:r>
        <w:rPr>
          <w:rFonts w:hint="eastAsia" w:ascii="仿宋_GB2312" w:hAnsi="仿宋_GB2312" w:eastAsia="仿宋_GB2312" w:cs="仿宋_GB2312"/>
          <w:sz w:val="32"/>
          <w:szCs w:val="32"/>
          <w:highlight w:val="white"/>
        </w:rPr>
        <w:t>2024-2026年度（共三年），以签订合同为准。</w:t>
      </w:r>
    </w:p>
    <w:p>
      <w:pPr>
        <w:widowControl/>
        <w:spacing w:line="276" w:lineRule="auto"/>
        <w:ind w:firstLine="640" w:firstLineChars="200"/>
        <w:jc w:val="left"/>
        <w:rPr>
          <w:rFonts w:ascii="仿宋" w:hAnsi="仿宋" w:eastAsia="仿宋" w:cs="宋体"/>
          <w:kern w:val="44"/>
          <w:sz w:val="24"/>
        </w:rPr>
      </w:pPr>
      <w:r>
        <w:rPr>
          <w:rFonts w:hint="eastAsia" w:ascii="黑体" w:hAnsi="黑体" w:eastAsia="黑体" w:cs="黑体"/>
          <w:bCs/>
          <w:sz w:val="32"/>
          <w:szCs w:val="32"/>
          <w:highlight w:val="white"/>
        </w:rPr>
        <w:t>四、项目服务频率</w:t>
      </w:r>
    </w:p>
    <w:p>
      <w:pPr>
        <w:spacing w:line="600" w:lineRule="exact"/>
        <w:ind w:firstLine="640" w:firstLineChars="200"/>
        <w:rPr>
          <w:rFonts w:ascii="仿宋_GB2312" w:hAnsi="仿宋_GB2312" w:eastAsia="仿宋_GB2312" w:cs="仿宋_GB2312"/>
          <w:bCs/>
          <w:sz w:val="32"/>
          <w:szCs w:val="32"/>
          <w:highlight w:val="white"/>
        </w:rPr>
      </w:pPr>
      <w:r>
        <w:rPr>
          <w:rFonts w:hint="eastAsia" w:ascii="仿宋_GB2312" w:hAnsi="仿宋_GB2312" w:eastAsia="仿宋_GB2312" w:cs="仿宋_GB2312"/>
          <w:bCs/>
          <w:sz w:val="32"/>
          <w:szCs w:val="32"/>
          <w:highlight w:val="white"/>
        </w:rPr>
        <w:t>春季（3-5月）、夏季（6-8月）、秋季（9-11月）、冬季（12-2月），定期开展病媒生物防制服务工作（根据实际情况相应增加服务次数）。</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highlight w:val="white"/>
        </w:rPr>
        <w:t>五、项目服务内容</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highlight w:val="white"/>
        </w:rPr>
        <w:t>1. 本底孳生地调查：</w:t>
      </w:r>
      <w:r>
        <w:rPr>
          <w:rFonts w:hint="eastAsia" w:ascii="仿宋_GB2312" w:hAnsi="仿宋_GB2312" w:eastAsia="仿宋_GB2312" w:cs="仿宋_GB2312"/>
          <w:sz w:val="32"/>
          <w:szCs w:val="32"/>
          <w:highlight w:val="white"/>
        </w:rPr>
        <w:t>为科学有效制订病媒生物防制工作计划，切合实际有效展开相关综合防治工作，在开始病媒生物防制服务消杀工作之前必须先开展以上范围病媒生物密度和孳生地调查，在消杀过程中自评防治效果，并依据评估情况进行及时纠偏，确保综合防制效果。同时形成病媒生物防制台账资料，收集归档。</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white"/>
        </w:rPr>
        <w:t>2、主要服务内容：</w:t>
      </w:r>
      <w:r>
        <w:rPr>
          <w:rFonts w:hint="eastAsia" w:ascii="仿宋_GB2312" w:hAnsi="仿宋_GB2312" w:eastAsia="仿宋_GB2312" w:cs="仿宋_GB2312"/>
          <w:sz w:val="32"/>
          <w:szCs w:val="32"/>
          <w:highlight w:val="white"/>
        </w:rPr>
        <w:t>在</w:t>
      </w:r>
      <w:r>
        <w:rPr>
          <w:rFonts w:hint="eastAsia" w:ascii="仿宋_GB2312" w:hAnsi="仿宋_GB2312" w:eastAsia="仿宋_GB2312" w:cs="仿宋_GB2312"/>
          <w:sz w:val="32"/>
          <w:szCs w:val="32"/>
        </w:rPr>
        <w:t>城南片区涉及6个街道办、珠珊镇集镇范围内（含潭口村委、西岸村委）、</w:t>
      </w:r>
      <w:r>
        <w:rPr>
          <w:rFonts w:hint="eastAsia" w:ascii="仿宋_GB2312" w:hAnsi="仿宋_GB2312" w:eastAsia="仿宋_GB2312" w:cs="仿宋_GB2312"/>
          <w:color w:val="000000"/>
          <w:sz w:val="32"/>
          <w:szCs w:val="32"/>
        </w:rPr>
        <w:t>辖区内的</w:t>
      </w:r>
      <w:r>
        <w:rPr>
          <w:rFonts w:hint="eastAsia" w:ascii="仿宋_GB2312" w:hAnsi="仿宋_GB2312" w:eastAsia="仿宋_GB2312" w:cs="仿宋_GB2312"/>
          <w:sz w:val="32"/>
          <w:szCs w:val="32"/>
        </w:rPr>
        <w:t>农贸市场、公立医疗卫生机构、城北片区的无物业小区、城中村（安置小区）范围内</w:t>
      </w:r>
      <w:r>
        <w:rPr>
          <w:rFonts w:hint="eastAsia" w:ascii="仿宋_GB2312" w:hAnsi="仿宋_GB2312" w:eastAsia="仿宋_GB2312" w:cs="仿宋_GB2312"/>
          <w:sz w:val="32"/>
          <w:szCs w:val="32"/>
          <w:highlight w:val="white"/>
        </w:rPr>
        <w:t>全面开展病媒生物防制，投放灭鼠药饵和堵塞鼠洞，开展蚊、蝇、蟑的药物消杀，包括喷洒灭蚊蝇药物，下水道灭蟑螂，道路两侧灭蚊、蝇、公共区域积水等水体灭蚊子孑孓、垃圾等孳生地灭蝇幼虫。按相关要求布放灭鼠毒饵站。</w:t>
      </w:r>
    </w:p>
    <w:p>
      <w:pPr>
        <w:adjustRightInd w:val="0"/>
        <w:snapToGrid w:val="0"/>
        <w:spacing w:line="600" w:lineRule="exact"/>
        <w:ind w:firstLine="643" w:firstLineChars="200"/>
        <w:rPr>
          <w:rFonts w:ascii="仿宋_GB2312" w:hAnsi="仿宋_GB2312" w:eastAsia="仿宋_GB2312" w:cs="仿宋_GB2312"/>
          <w:b/>
          <w:bCs/>
          <w:sz w:val="32"/>
          <w:szCs w:val="32"/>
          <w:highlight w:val="white"/>
        </w:rPr>
      </w:pPr>
      <w:r>
        <w:rPr>
          <w:rFonts w:hint="eastAsia" w:ascii="仿宋_GB2312" w:hAnsi="仿宋_GB2312" w:eastAsia="仿宋_GB2312" w:cs="仿宋_GB2312"/>
          <w:b/>
          <w:bCs/>
          <w:sz w:val="32"/>
          <w:szCs w:val="32"/>
          <w:highlight w:val="white"/>
        </w:rPr>
        <w:t>3.消杀范围：</w:t>
      </w:r>
      <w:r>
        <w:rPr>
          <w:rFonts w:hint="eastAsia" w:ascii="仿宋_GB2312" w:hAnsi="仿宋_GB2312" w:eastAsia="仿宋_GB2312" w:cs="仿宋_GB2312"/>
          <w:sz w:val="32"/>
          <w:szCs w:val="32"/>
        </w:rPr>
        <w:t>浙赣铁路以南、天工大道以东城南片区涉及6个街道办、珠珊镇集镇范围内（含潭口村委、西岸村委）的公共外环境，包括</w:t>
      </w:r>
      <w:r>
        <w:rPr>
          <w:rFonts w:hint="eastAsia" w:ascii="仿宋_GB2312" w:hAnsi="仿宋_GB2312" w:eastAsia="仿宋_GB2312" w:cs="仿宋_GB2312"/>
          <w:bCs/>
          <w:sz w:val="32"/>
          <w:szCs w:val="32"/>
          <w:highlight w:val="white"/>
        </w:rPr>
        <w:t>城市道路、</w:t>
      </w:r>
      <w:r>
        <w:rPr>
          <w:rFonts w:hint="eastAsia" w:ascii="仿宋_GB2312" w:hAnsi="仿宋_GB2312" w:eastAsia="仿宋_GB2312" w:cs="仿宋_GB2312"/>
          <w:sz w:val="32"/>
          <w:szCs w:val="32"/>
        </w:rPr>
        <w:t>公园、广场、背街小巷、城中村、城乡结合部、单位院落、有物业小区、无物业小区、安置小区、地下通道、垃圾堆放点、</w:t>
      </w:r>
      <w:r>
        <w:rPr>
          <w:rFonts w:hint="eastAsia" w:ascii="仿宋_GB2312" w:hAnsi="仿宋_GB2312" w:eastAsia="仿宋_GB2312" w:cs="仿宋_GB2312"/>
          <w:bCs/>
          <w:sz w:val="32"/>
          <w:szCs w:val="32"/>
          <w:highlight w:val="white"/>
        </w:rPr>
        <w:t>河堤、</w:t>
      </w:r>
      <w:r>
        <w:rPr>
          <w:rFonts w:hint="eastAsia" w:ascii="仿宋_GB2312" w:hAnsi="仿宋_GB2312" w:eastAsia="仿宋_GB2312" w:cs="仿宋_GB2312"/>
          <w:sz w:val="32"/>
          <w:szCs w:val="32"/>
        </w:rPr>
        <w:t>水体、水沟、下水道，</w:t>
      </w:r>
      <w:r>
        <w:rPr>
          <w:rFonts w:hint="eastAsia" w:ascii="仿宋_GB2312" w:hAnsi="仿宋_GB2312" w:eastAsia="仿宋_GB2312" w:cs="仿宋_GB2312"/>
          <w:bCs/>
          <w:sz w:val="32"/>
          <w:szCs w:val="32"/>
          <w:highlight w:val="white"/>
        </w:rPr>
        <w:t>公共绿化带、蚊虫孳生水体、苍蝇孳生地</w:t>
      </w:r>
      <w:r>
        <w:rPr>
          <w:rFonts w:hint="eastAsia" w:ascii="仿宋_GB2312" w:hAnsi="仿宋_GB2312" w:eastAsia="仿宋_GB2312" w:cs="仿宋_GB2312"/>
          <w:sz w:val="32"/>
          <w:szCs w:val="32"/>
        </w:rPr>
        <w:t>等</w:t>
      </w:r>
      <w:r>
        <w:rPr>
          <w:rFonts w:hint="eastAsia" w:ascii="仿宋_GB2312" w:hAnsi="仿宋_GB2312" w:eastAsia="仿宋_GB2312" w:cs="仿宋_GB2312"/>
          <w:bCs/>
          <w:sz w:val="32"/>
          <w:szCs w:val="32"/>
          <w:highlight w:val="white"/>
        </w:rPr>
        <w:t>公共外环境区域；</w:t>
      </w:r>
      <w:r>
        <w:rPr>
          <w:rFonts w:hint="eastAsia" w:ascii="仿宋_GB2312" w:hAnsi="仿宋_GB2312" w:eastAsia="仿宋_GB2312" w:cs="仿宋_GB2312"/>
          <w:color w:val="000000"/>
          <w:sz w:val="32"/>
          <w:szCs w:val="32"/>
        </w:rPr>
        <w:t>辖区内的</w:t>
      </w:r>
      <w:r>
        <w:rPr>
          <w:rFonts w:hint="eastAsia" w:ascii="仿宋_GB2312" w:hAnsi="仿宋_GB2312" w:eastAsia="仿宋_GB2312" w:cs="仿宋_GB2312"/>
          <w:sz w:val="32"/>
          <w:szCs w:val="32"/>
        </w:rPr>
        <w:t>农贸市场、公立医疗卫生机构；城北片区的无物业小区、城中村（安置小区）范围内的公共外环境。</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highlight w:val="white"/>
        </w:rPr>
        <w:t>六、项目技术要求</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white"/>
        </w:rPr>
        <w:t>1、病媒生物防制作业要求：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（1）严格执行公共外环境场所除四害工作方案，按计划进行全方位的灭鼠、灭蚊、灭蝇、灭蟑螂作业，日常服务频次及内容符合要求。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2）坚持“预防为主，综合防治”的消杀方针，确保使用国家规定或爱卫会认定和推荐的药物。对病媒生物防制药物建立进出登记台账，病媒生物防制作业时要注意安全用药，废弃药物及死鼠等要妥善处理，防止污染。</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（3）病媒生物防制工作人员需经培训后持证上岗，按照病媒生物防制工作的法规标准，规范操作。作业时必须统一服装、统一标准，做到安全作业、文明作业。</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（4）做好每次病媒生物防制工作的记录，登记时间、处理位置、用药量等数据，并拍摄现场照片。</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（5）合同期间应配合区爱卫办在大规模环境整治行动前或突击、应急检查前做好病媒生物防制工作。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（6）确保施工安全，若因施工原因造成的安全事故及存在安全隐患造成自身和他人人身财产损害，其责任均由投标人承担。</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（7）病媒生物防制工作人员给予采购单位辖区内的重点行业病媒生物防制相关业务人员，每月至少开展一次现场技术指导，一年至少两次相关专业知识培训。</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（8）在迎接相关上级考核检查工作时，需要提供相应专业人员配合指导相应知识。</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white"/>
        </w:rPr>
        <w:t>2、消杀要求：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1）蚊、蝇消杀：孳生地投放灭幼药剂，重点部位及害虫栖息场所进行药物滞留喷洒和空间喷雾，药品均采用国家相关部门批准使用的高效低毒卫生杀虫药剂；宣传并指导相关村民和居民做好防蚊、防蝇工作，消除孳生地，做到重点区域重点监控，发现问题及时处理的施工原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2）灭鼠药械统一投放，进行多轮统一投药，即：灭鼠重点区域为老鼠活动和容易孳生栖息的地点等作为灭鼠防鼠工作重点，原则上投药必须投入固定鼠穴、毒鼠屋或相对隐蔽的区域和地点，选用药物为第二代抗凝血剂灭鼠毒饵，确保安全高效，严禁使用国家禁止使用的灭鼠药物，并将加大对服务范围内各单位、各居民区人员的宣传介绍，提供药物保障和24小时的技术支撑。</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（3）下水道的灭蟑：害虫侵犯点需进行下水道的灭蟑工作，药品采用国家相关部门批准使用的卫生杀虫药剂；孳生地点主要是下水道、公厕、垃圾中转站及其周边、公共绿化带及其周边等。</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white"/>
        </w:rPr>
        <w:t>3、灭鼠毒饵站要求：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1）灭鼠毒饵站：陶瓷毒饵站表面涂釉，规格长≥30cm、高≥10cm、宽≥10cm,毒饵站内孔洞高度不少于7cm，毒饵站外表面应有彩色的警示标示。陶瓷毒饵盒固定安装，并提供安装示意图和编码。毒饵站应按合同约定足量投放，且合同约定量为暂估数量，以投放区域实际需求量为准，并及时对遗失、损坏的毒饵站进行补充，保证毒饵站的总量。</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（2）中标人提供的灭鼠服务，毒饵投放覆盖率、到位率、饱和率及灭效均≥80%；</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3）毒饵站应根据孳生地调查设置在有鼠迹、位置隐蔽、人员稀少、不引人注目的地方沿墙等位置布放，在主次街路、人行道等人员集中的地方布放时应慎重；布放毒饵站时应张贴醒目警示标志，毒饵施放应准确到位防止人、畜、禽、鸟等误食误服。</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highlight w:val="white"/>
        </w:rPr>
        <w:t>七、项目服务标准和要求</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white"/>
        </w:rPr>
        <w:t>1、用药标准和要求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投标单位使用的药物必须符合《杀鼠剂安全使用准则》（GB/T 27777-2011）与《卫生杀虫剂安全使用准则》（GB/T 27779-2011）的要求，并交替使用药物防止产生耐药性。</w:t>
      </w:r>
    </w:p>
    <w:p>
      <w:pPr>
        <w:pStyle w:val="4"/>
        <w:spacing w:line="276" w:lineRule="auto"/>
        <w:jc w:val="left"/>
        <w:rPr>
          <w:rFonts w:ascii="仿宋" w:hAnsi="仿宋" w:eastAsia="仿宋"/>
          <w:sz w:val="24"/>
          <w:szCs w:val="24"/>
        </w:rPr>
      </w:pPr>
      <w:r>
        <w:rPr>
          <w:rFonts w:hint="eastAsia" w:ascii="仿宋_GB2312" w:hAnsi="仿宋_GB2312" w:eastAsia="仿宋_GB2312" w:cs="仿宋_GB2312"/>
          <w:sz w:val="32"/>
          <w:szCs w:val="32"/>
          <w:highlight w:val="white"/>
        </w:rPr>
        <w:t>投标单位必须注重科学合理用药，不得使用国家禁用的药物，并须确保药物来源和质量正当可靠，达到“科学、安全、高效、环保”。</w:t>
      </w:r>
      <w:r>
        <w:rPr>
          <w:rFonts w:hint="eastAsia" w:ascii="仿宋_GB2312" w:hAnsi="仿宋_GB2312" w:eastAsia="仿宋_GB2312" w:cs="仿宋_GB2312"/>
          <w:sz w:val="32"/>
          <w:szCs w:val="32"/>
        </w:rPr>
        <w:t>本项目药物及参数指标如下：</w:t>
      </w:r>
    </w:p>
    <w:p>
      <w:pPr>
        <w:pStyle w:val="4"/>
        <w:spacing w:line="276" w:lineRule="auto"/>
        <w:jc w:val="left"/>
        <w:rPr>
          <w:rFonts w:ascii="仿宋" w:hAnsi="仿宋" w:eastAsia="仿宋" w:cs="宋体"/>
          <w:bCs/>
          <w:sz w:val="24"/>
          <w:szCs w:val="24"/>
          <w:u w:val="single"/>
        </w:rPr>
      </w:pPr>
    </w:p>
    <w:tbl>
      <w:tblPr>
        <w:tblStyle w:val="7"/>
        <w:tblW w:w="10343" w:type="dxa"/>
        <w:jc w:val="center"/>
        <w:tblLayout w:type="fixed"/>
        <w:tblCellMar>
          <w:top w:w="0" w:type="dxa"/>
          <w:left w:w="108" w:type="dxa"/>
          <w:bottom w:w="0" w:type="dxa"/>
          <w:right w:w="108" w:type="dxa"/>
        </w:tblCellMar>
      </w:tblPr>
      <w:tblGrid>
        <w:gridCol w:w="846"/>
        <w:gridCol w:w="3685"/>
        <w:gridCol w:w="2456"/>
        <w:gridCol w:w="1640"/>
        <w:gridCol w:w="1716"/>
      </w:tblGrid>
      <w:tr>
        <w:tblPrEx>
          <w:tblCellMar>
            <w:top w:w="0" w:type="dxa"/>
            <w:left w:w="108" w:type="dxa"/>
            <w:bottom w:w="0" w:type="dxa"/>
            <w:right w:w="108" w:type="dxa"/>
          </w:tblCellMar>
        </w:tblPrEx>
        <w:trPr>
          <w:trHeight w:val="59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b/>
                <w:bCs/>
                <w:sz w:val="28"/>
                <w:szCs w:val="28"/>
              </w:rPr>
            </w:pPr>
            <w:r>
              <w:rPr>
                <w:rFonts w:hint="eastAsia" w:ascii="仿宋_GB2312" w:hAnsi="仿宋" w:eastAsia="仿宋_GB2312"/>
                <w:b/>
                <w:bCs/>
                <w:sz w:val="28"/>
                <w:szCs w:val="28"/>
              </w:rPr>
              <w:t>序号</w:t>
            </w:r>
          </w:p>
        </w:tc>
        <w:tc>
          <w:tcPr>
            <w:tcW w:w="3685"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b/>
                <w:bCs/>
                <w:sz w:val="28"/>
                <w:szCs w:val="28"/>
              </w:rPr>
            </w:pPr>
            <w:r>
              <w:rPr>
                <w:rFonts w:hint="eastAsia" w:ascii="仿宋_GB2312" w:hAnsi="仿宋" w:eastAsia="仿宋_GB2312"/>
                <w:b/>
                <w:bCs/>
                <w:sz w:val="28"/>
                <w:szCs w:val="28"/>
              </w:rPr>
              <w:t>药物主要参数（成份与剂型）</w:t>
            </w:r>
          </w:p>
        </w:tc>
        <w:tc>
          <w:tcPr>
            <w:tcW w:w="2456"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b/>
                <w:bCs/>
                <w:sz w:val="28"/>
                <w:szCs w:val="28"/>
              </w:rPr>
            </w:pPr>
            <w:r>
              <w:rPr>
                <w:rFonts w:hint="eastAsia" w:ascii="仿宋_GB2312" w:hAnsi="仿宋" w:eastAsia="仿宋_GB2312"/>
                <w:b/>
                <w:bCs/>
                <w:sz w:val="28"/>
                <w:szCs w:val="28"/>
              </w:rPr>
              <w:t>用途及类别</w:t>
            </w:r>
          </w:p>
        </w:tc>
        <w:tc>
          <w:tcPr>
            <w:tcW w:w="1640" w:type="dxa"/>
            <w:tcBorders>
              <w:top w:val="single" w:color="auto" w:sz="4" w:space="0"/>
              <w:left w:val="nil"/>
              <w:bottom w:val="single" w:color="auto" w:sz="4" w:space="0"/>
              <w:right w:val="single" w:color="auto" w:sz="4" w:space="0"/>
            </w:tcBorders>
            <w:vAlign w:val="center"/>
          </w:tcPr>
          <w:p>
            <w:pPr>
              <w:spacing w:line="276" w:lineRule="auto"/>
              <w:ind w:firstLine="281" w:firstLineChars="100"/>
              <w:rPr>
                <w:rFonts w:ascii="仿宋_GB2312" w:hAnsi="仿宋" w:eastAsia="仿宋_GB2312"/>
                <w:b/>
                <w:bCs/>
                <w:sz w:val="28"/>
                <w:szCs w:val="28"/>
              </w:rPr>
            </w:pPr>
            <w:r>
              <w:rPr>
                <w:rFonts w:hint="eastAsia" w:ascii="仿宋_GB2312" w:hAnsi="仿宋" w:eastAsia="仿宋_GB2312"/>
                <w:b/>
                <w:bCs/>
                <w:sz w:val="28"/>
                <w:szCs w:val="28"/>
              </w:rPr>
              <w:t>单 位</w:t>
            </w:r>
          </w:p>
        </w:tc>
        <w:tc>
          <w:tcPr>
            <w:tcW w:w="1716" w:type="dxa"/>
            <w:tcBorders>
              <w:top w:val="single" w:color="auto" w:sz="4" w:space="0"/>
              <w:left w:val="nil"/>
              <w:bottom w:val="single" w:color="auto" w:sz="4" w:space="0"/>
              <w:right w:val="single" w:color="auto" w:sz="4" w:space="0"/>
            </w:tcBorders>
            <w:vAlign w:val="center"/>
          </w:tcPr>
          <w:p>
            <w:pPr>
              <w:spacing w:line="276" w:lineRule="auto"/>
              <w:ind w:firstLine="281" w:firstLineChars="100"/>
              <w:rPr>
                <w:rFonts w:ascii="仿宋_GB2312" w:hAnsi="仿宋" w:eastAsia="仿宋_GB2312"/>
                <w:b/>
                <w:bCs/>
                <w:sz w:val="28"/>
                <w:szCs w:val="28"/>
              </w:rPr>
            </w:pPr>
            <w:r>
              <w:rPr>
                <w:rFonts w:hint="eastAsia" w:ascii="仿宋_GB2312" w:hAnsi="仿宋" w:eastAsia="仿宋_GB2312"/>
                <w:b/>
                <w:bCs/>
                <w:sz w:val="28"/>
                <w:szCs w:val="28"/>
              </w:rPr>
              <w:t>数  量</w:t>
            </w:r>
          </w:p>
        </w:tc>
      </w:tr>
      <w:tr>
        <w:tblPrEx>
          <w:tblCellMar>
            <w:top w:w="0" w:type="dxa"/>
            <w:left w:w="108" w:type="dxa"/>
            <w:bottom w:w="0" w:type="dxa"/>
            <w:right w:w="108" w:type="dxa"/>
          </w:tblCellMar>
        </w:tblPrEx>
        <w:trPr>
          <w:trHeight w:val="59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1</w:t>
            </w:r>
          </w:p>
        </w:tc>
        <w:tc>
          <w:tcPr>
            <w:tcW w:w="3685"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0.005%溴敌隆蜡丸</w:t>
            </w:r>
          </w:p>
        </w:tc>
        <w:tc>
          <w:tcPr>
            <w:tcW w:w="2456"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外环境灭鼠</w:t>
            </w:r>
          </w:p>
        </w:tc>
        <w:tc>
          <w:tcPr>
            <w:tcW w:w="1640"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公斤</w:t>
            </w:r>
          </w:p>
        </w:tc>
        <w:tc>
          <w:tcPr>
            <w:tcW w:w="1716"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500</w:t>
            </w:r>
          </w:p>
        </w:tc>
      </w:tr>
      <w:tr>
        <w:tblPrEx>
          <w:tblCellMar>
            <w:top w:w="0" w:type="dxa"/>
            <w:left w:w="108" w:type="dxa"/>
            <w:bottom w:w="0" w:type="dxa"/>
            <w:right w:w="108" w:type="dxa"/>
          </w:tblCellMar>
        </w:tblPrEx>
        <w:trPr>
          <w:trHeight w:val="59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2</w:t>
            </w:r>
          </w:p>
        </w:tc>
        <w:tc>
          <w:tcPr>
            <w:tcW w:w="3685"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0.005%溴敌隆或溴鼠灵饵剂</w:t>
            </w:r>
          </w:p>
        </w:tc>
        <w:tc>
          <w:tcPr>
            <w:tcW w:w="2456"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外环境灭鼠</w:t>
            </w:r>
          </w:p>
        </w:tc>
        <w:tc>
          <w:tcPr>
            <w:tcW w:w="1640"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公斤</w:t>
            </w:r>
          </w:p>
        </w:tc>
        <w:tc>
          <w:tcPr>
            <w:tcW w:w="1716"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000</w:t>
            </w:r>
          </w:p>
        </w:tc>
      </w:tr>
      <w:tr>
        <w:tblPrEx>
          <w:tblCellMar>
            <w:top w:w="0" w:type="dxa"/>
            <w:left w:w="108" w:type="dxa"/>
            <w:bottom w:w="0" w:type="dxa"/>
            <w:right w:w="108" w:type="dxa"/>
          </w:tblCellMar>
        </w:tblPrEx>
        <w:trPr>
          <w:trHeight w:val="59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3</w:t>
            </w:r>
          </w:p>
        </w:tc>
        <w:tc>
          <w:tcPr>
            <w:tcW w:w="3685"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2%苯醚.胺聚酯超低容量液剂</w:t>
            </w:r>
          </w:p>
        </w:tc>
        <w:tc>
          <w:tcPr>
            <w:tcW w:w="2456"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室内场所杀灭蟑螂、蚂蚁、苍蝇</w:t>
            </w:r>
          </w:p>
        </w:tc>
        <w:tc>
          <w:tcPr>
            <w:tcW w:w="1640"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公斤</w:t>
            </w:r>
          </w:p>
        </w:tc>
        <w:tc>
          <w:tcPr>
            <w:tcW w:w="1716"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1000</w:t>
            </w:r>
          </w:p>
        </w:tc>
      </w:tr>
      <w:tr>
        <w:tblPrEx>
          <w:tblCellMar>
            <w:top w:w="0" w:type="dxa"/>
            <w:left w:w="108" w:type="dxa"/>
            <w:bottom w:w="0" w:type="dxa"/>
            <w:right w:w="108" w:type="dxa"/>
          </w:tblCellMar>
        </w:tblPrEx>
        <w:trPr>
          <w:trHeight w:val="59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4</w:t>
            </w:r>
          </w:p>
        </w:tc>
        <w:tc>
          <w:tcPr>
            <w:tcW w:w="3685"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5%高效氯氟氰菊酯水乳剂</w:t>
            </w:r>
          </w:p>
        </w:tc>
        <w:tc>
          <w:tcPr>
            <w:tcW w:w="2456" w:type="dxa"/>
            <w:tcBorders>
              <w:top w:val="single" w:color="auto" w:sz="4" w:space="0"/>
              <w:left w:val="nil"/>
              <w:bottom w:val="single" w:color="auto" w:sz="4" w:space="0"/>
              <w:right w:val="single" w:color="auto" w:sz="4"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内外环境蚊类孳生地用药</w:t>
            </w:r>
          </w:p>
        </w:tc>
        <w:tc>
          <w:tcPr>
            <w:tcW w:w="1640"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公斤</w:t>
            </w:r>
          </w:p>
        </w:tc>
        <w:tc>
          <w:tcPr>
            <w:tcW w:w="1716"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1000</w:t>
            </w:r>
          </w:p>
        </w:tc>
      </w:tr>
      <w:tr>
        <w:tblPrEx>
          <w:tblCellMar>
            <w:top w:w="0" w:type="dxa"/>
            <w:left w:w="108" w:type="dxa"/>
            <w:bottom w:w="0" w:type="dxa"/>
            <w:right w:w="108" w:type="dxa"/>
          </w:tblCellMar>
        </w:tblPrEx>
        <w:trPr>
          <w:trHeight w:val="738" w:hRule="atLeast"/>
          <w:jc w:val="center"/>
        </w:trPr>
        <w:tc>
          <w:tcPr>
            <w:tcW w:w="846" w:type="dxa"/>
            <w:tcBorders>
              <w:top w:val="nil"/>
              <w:left w:val="single" w:color="auto" w:sz="8" w:space="0"/>
              <w:bottom w:val="single" w:color="auto" w:sz="8" w:space="0"/>
              <w:right w:val="single" w:color="auto" w:sz="8"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5</w:t>
            </w:r>
          </w:p>
        </w:tc>
        <w:tc>
          <w:tcPr>
            <w:tcW w:w="3685" w:type="dxa"/>
            <w:tcBorders>
              <w:top w:val="nil"/>
              <w:left w:val="nil"/>
              <w:bottom w:val="single" w:color="auto" w:sz="8" w:space="0"/>
              <w:right w:val="single" w:color="auto" w:sz="8"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4.5%溴氰.高氯氟可湿性粉剂</w:t>
            </w:r>
          </w:p>
        </w:tc>
        <w:tc>
          <w:tcPr>
            <w:tcW w:w="2456" w:type="dxa"/>
            <w:tcBorders>
              <w:top w:val="nil"/>
              <w:left w:val="nil"/>
              <w:bottom w:val="single" w:color="auto" w:sz="8" w:space="0"/>
              <w:right w:val="single" w:color="auto" w:sz="8"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外环境成蚊、蝇、蟑螂栖息场所用药</w:t>
            </w:r>
          </w:p>
        </w:tc>
        <w:tc>
          <w:tcPr>
            <w:tcW w:w="1640" w:type="dxa"/>
            <w:tcBorders>
              <w:top w:val="nil"/>
              <w:left w:val="nil"/>
              <w:bottom w:val="single" w:color="auto" w:sz="8" w:space="0"/>
              <w:right w:val="single" w:color="auto" w:sz="8"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公斤</w:t>
            </w:r>
          </w:p>
        </w:tc>
        <w:tc>
          <w:tcPr>
            <w:tcW w:w="1716" w:type="dxa"/>
            <w:tcBorders>
              <w:top w:val="nil"/>
              <w:left w:val="nil"/>
              <w:bottom w:val="single" w:color="auto" w:sz="8" w:space="0"/>
              <w:right w:val="single" w:color="auto" w:sz="8"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500</w:t>
            </w:r>
          </w:p>
        </w:tc>
      </w:tr>
      <w:tr>
        <w:tblPrEx>
          <w:tblCellMar>
            <w:top w:w="0" w:type="dxa"/>
            <w:left w:w="108" w:type="dxa"/>
            <w:bottom w:w="0" w:type="dxa"/>
            <w:right w:w="108" w:type="dxa"/>
          </w:tblCellMar>
        </w:tblPrEx>
        <w:trPr>
          <w:trHeight w:val="824" w:hRule="atLeast"/>
          <w:jc w:val="center"/>
        </w:trPr>
        <w:tc>
          <w:tcPr>
            <w:tcW w:w="846" w:type="dxa"/>
            <w:tcBorders>
              <w:top w:val="nil"/>
              <w:left w:val="single" w:color="auto" w:sz="8" w:space="0"/>
              <w:bottom w:val="single" w:color="auto" w:sz="8" w:space="0"/>
              <w:right w:val="single" w:color="auto" w:sz="8"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6</w:t>
            </w:r>
          </w:p>
        </w:tc>
        <w:tc>
          <w:tcPr>
            <w:tcW w:w="3685" w:type="dxa"/>
            <w:tcBorders>
              <w:top w:val="nil"/>
              <w:left w:val="nil"/>
              <w:bottom w:val="single" w:color="auto" w:sz="8" w:space="0"/>
              <w:right w:val="single" w:color="auto" w:sz="8"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0.5%吡丙醚杀虫颗粒剂</w:t>
            </w:r>
          </w:p>
        </w:tc>
        <w:tc>
          <w:tcPr>
            <w:tcW w:w="2456" w:type="dxa"/>
            <w:tcBorders>
              <w:top w:val="nil"/>
              <w:left w:val="nil"/>
              <w:bottom w:val="single" w:color="auto" w:sz="8" w:space="0"/>
              <w:right w:val="single" w:color="auto" w:sz="8" w:space="0"/>
            </w:tcBorders>
            <w:vAlign w:val="center"/>
          </w:tcPr>
          <w:p>
            <w:pPr>
              <w:spacing w:line="276" w:lineRule="auto"/>
              <w:rPr>
                <w:rFonts w:ascii="仿宋_GB2312" w:hAnsi="仿宋" w:eastAsia="仿宋_GB2312"/>
                <w:sz w:val="28"/>
                <w:szCs w:val="28"/>
              </w:rPr>
            </w:pPr>
            <w:r>
              <w:rPr>
                <w:rFonts w:hint="eastAsia" w:ascii="仿宋_GB2312" w:hAnsi="仿宋" w:eastAsia="仿宋_GB2312"/>
                <w:color w:val="000000" w:themeColor="text1"/>
                <w:sz w:val="28"/>
                <w:szCs w:val="28"/>
                <w14:textFill>
                  <w14:solidFill>
                    <w14:schemeClr w14:val="tx1"/>
                  </w14:solidFill>
                </w14:textFill>
              </w:rPr>
              <w:t>处理幼虫（阻止羽化成虫）用药</w:t>
            </w:r>
          </w:p>
        </w:tc>
        <w:tc>
          <w:tcPr>
            <w:tcW w:w="1640" w:type="dxa"/>
            <w:tcBorders>
              <w:top w:val="nil"/>
              <w:left w:val="nil"/>
              <w:bottom w:val="single" w:color="auto" w:sz="8" w:space="0"/>
              <w:right w:val="single" w:color="auto" w:sz="8" w:space="0"/>
            </w:tcBorders>
            <w:vAlign w:val="center"/>
          </w:tcPr>
          <w:p>
            <w:pPr>
              <w:spacing w:line="276" w:lineRule="auto"/>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公斤</w:t>
            </w:r>
          </w:p>
        </w:tc>
        <w:tc>
          <w:tcPr>
            <w:tcW w:w="1716" w:type="dxa"/>
            <w:tcBorders>
              <w:top w:val="nil"/>
              <w:left w:val="nil"/>
              <w:bottom w:val="single" w:color="auto" w:sz="8" w:space="0"/>
              <w:right w:val="single" w:color="auto" w:sz="8" w:space="0"/>
            </w:tcBorders>
            <w:vAlign w:val="center"/>
          </w:tcPr>
          <w:p>
            <w:pPr>
              <w:spacing w:line="276" w:lineRule="auto"/>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500</w:t>
            </w:r>
          </w:p>
        </w:tc>
      </w:tr>
      <w:tr>
        <w:tblPrEx>
          <w:tblCellMar>
            <w:top w:w="0" w:type="dxa"/>
            <w:left w:w="108" w:type="dxa"/>
            <w:bottom w:w="0" w:type="dxa"/>
            <w:right w:w="108" w:type="dxa"/>
          </w:tblCellMar>
        </w:tblPrEx>
        <w:trPr>
          <w:trHeight w:val="682" w:hRule="atLeast"/>
          <w:jc w:val="center"/>
        </w:trPr>
        <w:tc>
          <w:tcPr>
            <w:tcW w:w="846" w:type="dxa"/>
            <w:tcBorders>
              <w:top w:val="nil"/>
              <w:left w:val="single" w:color="auto" w:sz="8" w:space="0"/>
              <w:bottom w:val="single" w:color="auto" w:sz="8" w:space="0"/>
              <w:right w:val="single" w:color="auto" w:sz="8"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7</w:t>
            </w:r>
          </w:p>
        </w:tc>
        <w:tc>
          <w:tcPr>
            <w:tcW w:w="3685" w:type="dxa"/>
            <w:tcBorders>
              <w:top w:val="nil"/>
              <w:left w:val="nil"/>
              <w:bottom w:val="single" w:color="auto" w:sz="8" w:space="0"/>
              <w:right w:val="single" w:color="auto" w:sz="8"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0.5%呋虫胺饵剂</w:t>
            </w:r>
          </w:p>
        </w:tc>
        <w:tc>
          <w:tcPr>
            <w:tcW w:w="2456" w:type="dxa"/>
            <w:tcBorders>
              <w:top w:val="nil"/>
              <w:left w:val="nil"/>
              <w:bottom w:val="single" w:color="auto" w:sz="8" w:space="0"/>
              <w:right w:val="single" w:color="auto" w:sz="8" w:space="0"/>
            </w:tcBorders>
            <w:vAlign w:val="center"/>
          </w:tcPr>
          <w:p>
            <w:pPr>
              <w:spacing w:line="276" w:lineRule="auto"/>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灭蟑使用</w:t>
            </w:r>
          </w:p>
        </w:tc>
        <w:tc>
          <w:tcPr>
            <w:tcW w:w="1640" w:type="dxa"/>
            <w:tcBorders>
              <w:top w:val="nil"/>
              <w:left w:val="nil"/>
              <w:bottom w:val="single" w:color="auto" w:sz="8" w:space="0"/>
              <w:right w:val="single" w:color="auto" w:sz="8" w:space="0"/>
            </w:tcBorders>
            <w:vAlign w:val="center"/>
          </w:tcPr>
          <w:p>
            <w:pPr>
              <w:spacing w:line="276" w:lineRule="auto"/>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10克*250支</w:t>
            </w:r>
          </w:p>
        </w:tc>
        <w:tc>
          <w:tcPr>
            <w:tcW w:w="1716" w:type="dxa"/>
            <w:tcBorders>
              <w:top w:val="nil"/>
              <w:left w:val="nil"/>
              <w:bottom w:val="single" w:color="auto" w:sz="8" w:space="0"/>
              <w:right w:val="single" w:color="auto" w:sz="8" w:space="0"/>
            </w:tcBorders>
            <w:vAlign w:val="center"/>
          </w:tcPr>
          <w:p>
            <w:pPr>
              <w:spacing w:line="276" w:lineRule="auto"/>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10箱</w:t>
            </w:r>
          </w:p>
        </w:tc>
      </w:tr>
      <w:tr>
        <w:tblPrEx>
          <w:tblCellMar>
            <w:top w:w="0" w:type="dxa"/>
            <w:left w:w="108" w:type="dxa"/>
            <w:bottom w:w="0" w:type="dxa"/>
            <w:right w:w="108" w:type="dxa"/>
          </w:tblCellMar>
        </w:tblPrEx>
        <w:trPr>
          <w:trHeight w:val="628" w:hRule="atLeast"/>
          <w:jc w:val="center"/>
        </w:trPr>
        <w:tc>
          <w:tcPr>
            <w:tcW w:w="846" w:type="dxa"/>
            <w:tcBorders>
              <w:top w:val="nil"/>
              <w:left w:val="single" w:color="auto" w:sz="8" w:space="0"/>
              <w:bottom w:val="single" w:color="auto" w:sz="8" w:space="0"/>
              <w:right w:val="single" w:color="auto" w:sz="8"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8</w:t>
            </w:r>
          </w:p>
        </w:tc>
        <w:tc>
          <w:tcPr>
            <w:tcW w:w="3685" w:type="dxa"/>
            <w:tcBorders>
              <w:top w:val="nil"/>
              <w:left w:val="nil"/>
              <w:bottom w:val="single" w:color="auto" w:sz="8" w:space="0"/>
              <w:right w:val="single" w:color="auto" w:sz="8"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2.5%高氯.右旋胺聚酯菊酯杀虫热雾剂</w:t>
            </w:r>
          </w:p>
        </w:tc>
        <w:tc>
          <w:tcPr>
            <w:tcW w:w="2456" w:type="dxa"/>
            <w:tcBorders>
              <w:top w:val="nil"/>
              <w:left w:val="nil"/>
              <w:bottom w:val="single" w:color="auto" w:sz="8" w:space="0"/>
              <w:right w:val="single" w:color="auto" w:sz="8" w:space="0"/>
            </w:tcBorders>
            <w:vAlign w:val="center"/>
          </w:tcPr>
          <w:p>
            <w:pPr>
              <w:spacing w:line="276" w:lineRule="auto"/>
              <w:rPr>
                <w:rFonts w:ascii="仿宋_GB2312" w:hAnsi="仿宋" w:eastAsia="仿宋_GB2312"/>
                <w:sz w:val="28"/>
                <w:szCs w:val="28"/>
              </w:rPr>
            </w:pPr>
            <w:r>
              <w:rPr>
                <w:rFonts w:hint="eastAsia" w:ascii="仿宋_GB2312" w:hAnsi="仿宋" w:eastAsia="仿宋_GB2312"/>
                <w:sz w:val="28"/>
                <w:szCs w:val="28"/>
              </w:rPr>
              <w:t>室内外防治卫生害虫蚊、蝇、蟑螂</w:t>
            </w:r>
          </w:p>
        </w:tc>
        <w:tc>
          <w:tcPr>
            <w:tcW w:w="1640" w:type="dxa"/>
            <w:tcBorders>
              <w:top w:val="nil"/>
              <w:left w:val="nil"/>
              <w:bottom w:val="single" w:color="auto" w:sz="8" w:space="0"/>
              <w:right w:val="single" w:color="auto" w:sz="8"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5升*4桶</w:t>
            </w:r>
          </w:p>
        </w:tc>
        <w:tc>
          <w:tcPr>
            <w:tcW w:w="1716" w:type="dxa"/>
            <w:tcBorders>
              <w:top w:val="nil"/>
              <w:left w:val="nil"/>
              <w:bottom w:val="single" w:color="auto" w:sz="8" w:space="0"/>
              <w:right w:val="single" w:color="auto" w:sz="8" w:space="0"/>
            </w:tcBorders>
            <w:vAlign w:val="center"/>
          </w:tcPr>
          <w:p>
            <w:pPr>
              <w:spacing w:line="276" w:lineRule="auto"/>
              <w:jc w:val="center"/>
              <w:rPr>
                <w:rFonts w:ascii="仿宋_GB2312" w:hAnsi="仿宋" w:eastAsia="仿宋_GB2312"/>
                <w:sz w:val="28"/>
                <w:szCs w:val="28"/>
              </w:rPr>
            </w:pPr>
            <w:r>
              <w:rPr>
                <w:rFonts w:hint="eastAsia" w:ascii="仿宋_GB2312" w:hAnsi="仿宋" w:eastAsia="仿宋_GB2312"/>
                <w:sz w:val="28"/>
                <w:szCs w:val="28"/>
              </w:rPr>
              <w:t>20箱</w:t>
            </w:r>
          </w:p>
        </w:tc>
      </w:tr>
    </w:tbl>
    <w:p>
      <w:pPr>
        <w:widowControl/>
        <w:spacing w:line="276" w:lineRule="auto"/>
        <w:jc w:val="left"/>
        <w:rPr>
          <w:rFonts w:ascii="仿宋_GB2312" w:hAnsi="仿宋" w:eastAsia="仿宋_GB2312" w:cs="宋体"/>
          <w:b/>
          <w:bCs/>
          <w:kern w:val="44"/>
          <w:sz w:val="28"/>
          <w:szCs w:val="28"/>
        </w:rPr>
      </w:pP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highlight w:val="white"/>
        </w:rPr>
        <w:t>2、病媒生物防制质量标准</w:t>
      </w:r>
      <w:r>
        <w:rPr>
          <w:rFonts w:hint="eastAsia" w:ascii="仿宋_GB2312" w:hAnsi="仿宋_GB2312" w:eastAsia="仿宋_GB2312" w:cs="仿宋_GB2312"/>
          <w:sz w:val="32"/>
          <w:szCs w:val="32"/>
          <w:highlight w:val="white"/>
        </w:rPr>
        <w:t>：</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（1）监测标准：《〈中华人民共和国国家标准（GB/T 23796-2009）病媒生物密度监测方法蝇类》《中华人民共和国国家标准（GB/T 23797-2009）病媒生物密度监测方法蚊虫》《中华人民共和国国家标准（GB/T 23798-2009）病媒生物密度监测方法鼠类》《中华人民共和国国家标准（GB/T 23795-2009）病媒生物密度监测方法蜚蠊》。</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（2）病媒生物控制水平标准：《中华人民共和国国家标准（GB/T 27773-2011）病媒生物密度控制水平蜚蠊》《中华人民共和国国家标准（GB/T 27772-2011）病媒生物密度控制水平蝇类》《中华人民共和国国家标准（GB/T 27771-2011）病媒生物密度控制水平蚊虫》《中华人民共和国国家标准（GB/T 27770-2011）病媒生物密度控制水平鼠类》。</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highlight w:val="white"/>
        </w:rPr>
        <w:t>八、项目服务人员、设施要求</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white"/>
        </w:rPr>
        <w:t>1、人员要求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white"/>
        </w:rPr>
        <w:t>（1）包防治用药、包防治技术实施用工。在发包方的规定要求下，做好整个辖区责任范围内公共外环境病媒生物防制达标工作。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white"/>
        </w:rPr>
        <w:t>（2）在承包期内保证承包范围内的“灭鼠、灭蟑、灭蚊、灭蝇”完全达到上述服务质量控制标准，并确保片区内创建国家卫生城市病媒生物防制各项检查达标通过。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white"/>
        </w:rPr>
        <w:t>（3）协助做好城区病媒生物防制的督查工作，安排行业专家进行创卫病媒生物控制培训宣讲工作。</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white"/>
        </w:rPr>
        <w:t>（4）在服务期内药物使用必须符合国家规定的病媒生物防治用药，安全规范用药，严禁使用国家明令禁止使用的药物，如发生人、畜误食中毒，经权威部门鉴定属使用禁用药物，需承担全部责任。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white"/>
        </w:rPr>
        <w:t>（5）常设全年每天24小时热线服务和免费技术支持。接到电话后，工作日响应时间为半小时，1小时内到达现场；非工作日响应时间为1小时，2小时内到达现场。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white"/>
        </w:rPr>
        <w:t>（6）自觉接受国家、省、市、区爱卫办的工作指导监督，按要求落实整改措施。</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white"/>
        </w:rPr>
        <w:t>2、设备要求</w:t>
      </w:r>
    </w:p>
    <w:p>
      <w:pPr>
        <w:adjustRightInd w:val="0"/>
        <w:snapToGrid w:val="0"/>
        <w:spacing w:line="600" w:lineRule="exact"/>
        <w:ind w:firstLine="630" w:firstLineChars="197"/>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（1）老鼠、蚊、蝇、蟑螂防制设施设备，灭鼠药、杀虫剂、陶瓷毒饵盒等药品全部由中标人提供。</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white"/>
        </w:rPr>
        <w:t>（2）毒饵站的建立、投放与维护全部由中标人提供。</w:t>
      </w:r>
    </w:p>
    <w:p>
      <w:pPr>
        <w:adjustRightInd w:val="0"/>
        <w:snapToGrid w:val="0"/>
        <w:spacing w:line="600" w:lineRule="exact"/>
        <w:ind w:firstLine="640" w:firstLineChars="200"/>
        <w:rPr>
          <w:rFonts w:ascii="仿宋_GB2312" w:hAnsi="仿宋_GB2312" w:eastAsia="仿宋_GB2312" w:cs="仿宋_GB2312"/>
          <w:color w:val="000000"/>
          <w:sz w:val="32"/>
          <w:szCs w:val="32"/>
          <w:highlight w:val="white"/>
        </w:rPr>
      </w:pPr>
    </w:p>
    <w:p>
      <w:pPr>
        <w:adjustRightInd w:val="0"/>
        <w:snapToGrid w:val="0"/>
        <w:spacing w:line="600" w:lineRule="exact"/>
        <w:ind w:firstLine="640" w:firstLineChars="200"/>
        <w:rPr>
          <w:rFonts w:ascii="仿宋_GB2312" w:hAnsi="仿宋_GB2312" w:eastAsia="仿宋_GB2312" w:cs="仿宋_GB2312"/>
          <w:color w:val="000000"/>
          <w:sz w:val="32"/>
          <w:szCs w:val="32"/>
          <w:highlight w:val="white"/>
        </w:rPr>
      </w:pPr>
    </w:p>
    <w:p>
      <w:pPr>
        <w:adjustRightInd w:val="0"/>
        <w:snapToGrid w:val="0"/>
        <w:spacing w:line="600" w:lineRule="exact"/>
        <w:ind w:firstLine="640" w:firstLineChars="200"/>
        <w:rPr>
          <w:rFonts w:ascii="仿宋_GB2312" w:hAnsi="仿宋_GB2312" w:eastAsia="仿宋_GB2312" w:cs="仿宋_GB2312"/>
          <w:color w:val="000000"/>
          <w:sz w:val="32"/>
          <w:szCs w:val="32"/>
          <w:highlight w:val="white"/>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7"/>
        <w:tblW w:w="9520" w:type="dxa"/>
        <w:tblInd w:w="96" w:type="dxa"/>
        <w:tblLayout w:type="autofit"/>
        <w:tblCellMar>
          <w:top w:w="0" w:type="dxa"/>
          <w:left w:w="108" w:type="dxa"/>
          <w:bottom w:w="0" w:type="dxa"/>
          <w:right w:w="108" w:type="dxa"/>
        </w:tblCellMar>
      </w:tblPr>
      <w:tblGrid>
        <w:gridCol w:w="1404"/>
        <w:gridCol w:w="1341"/>
        <w:gridCol w:w="3656"/>
        <w:gridCol w:w="3119"/>
      </w:tblGrid>
      <w:tr>
        <w:tblPrEx>
          <w:tblCellMar>
            <w:top w:w="0" w:type="dxa"/>
            <w:left w:w="108" w:type="dxa"/>
            <w:bottom w:w="0" w:type="dxa"/>
            <w:right w:w="108" w:type="dxa"/>
          </w:tblCellMar>
        </w:tblPrEx>
        <w:trPr>
          <w:trHeight w:val="640" w:hRule="atLeast"/>
        </w:trPr>
        <w:tc>
          <w:tcPr>
            <w:tcW w:w="9520" w:type="dxa"/>
            <w:gridSpan w:val="4"/>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考核表</w:t>
            </w:r>
          </w:p>
        </w:tc>
      </w:tr>
      <w:tr>
        <w:tblPrEx>
          <w:tblCellMar>
            <w:top w:w="0" w:type="dxa"/>
            <w:left w:w="108" w:type="dxa"/>
            <w:bottom w:w="0" w:type="dxa"/>
            <w:right w:w="108" w:type="dxa"/>
          </w:tblCellMar>
        </w:tblPrEx>
        <w:trPr>
          <w:trHeight w:val="640" w:hRule="atLeast"/>
        </w:trPr>
        <w:tc>
          <w:tcPr>
            <w:tcW w:w="9520" w:type="dxa"/>
            <w:gridSpan w:val="4"/>
            <w:tcBorders>
              <w:top w:val="nil"/>
              <w:left w:val="nil"/>
              <w:bottom w:val="nil"/>
              <w:right w:val="nil"/>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8"/>
                <w:szCs w:val="28"/>
                <w:lang w:bidi="ar"/>
              </w:rPr>
              <w:t>（一）日常考核</w:t>
            </w:r>
          </w:p>
        </w:tc>
      </w:tr>
      <w:tr>
        <w:tblPrEx>
          <w:tblCellMar>
            <w:top w:w="0" w:type="dxa"/>
            <w:left w:w="108" w:type="dxa"/>
            <w:bottom w:w="0" w:type="dxa"/>
            <w:right w:w="108" w:type="dxa"/>
          </w:tblCellMar>
        </w:tblPrEx>
        <w:trPr>
          <w:trHeight w:val="726"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保养项目</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考  核  标  准</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评 分 标 准</w:t>
            </w:r>
          </w:p>
        </w:tc>
      </w:tr>
      <w:tr>
        <w:tblPrEx>
          <w:tblCellMar>
            <w:top w:w="0" w:type="dxa"/>
            <w:left w:w="108" w:type="dxa"/>
            <w:bottom w:w="0" w:type="dxa"/>
            <w:right w:w="108" w:type="dxa"/>
          </w:tblCellMar>
        </w:tblPrEx>
        <w:trPr>
          <w:trHeight w:val="1446"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消杀计划及实施情况</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按服务要求及时分别制定冬春、春夏、夏秋、秋冬消杀工作计划，并遵照实施，定期进行消杀。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此项目共10分，每发现一项不符合扣1分。</w:t>
            </w:r>
          </w:p>
        </w:tc>
      </w:tr>
      <w:tr>
        <w:tblPrEx>
          <w:tblCellMar>
            <w:top w:w="0" w:type="dxa"/>
            <w:left w:w="108" w:type="dxa"/>
            <w:bottom w:w="0" w:type="dxa"/>
            <w:right w:w="108" w:type="dxa"/>
          </w:tblCellMar>
        </w:tblPrEx>
        <w:trPr>
          <w:trHeight w:val="1592"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消杀效果</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鼠</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管理区域内发现鼠迹须符合国家除四害标准，且保证公共区域无明显鼠迹。</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此项目共10分，每发现一处扣0.5分。</w:t>
            </w:r>
          </w:p>
        </w:tc>
      </w:tr>
      <w:tr>
        <w:tblPrEx>
          <w:tblCellMar>
            <w:top w:w="0" w:type="dxa"/>
            <w:left w:w="108" w:type="dxa"/>
            <w:bottom w:w="0" w:type="dxa"/>
            <w:right w:w="108" w:type="dxa"/>
          </w:tblCellMar>
        </w:tblPrEx>
        <w:trPr>
          <w:trHeight w:val="179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4"/>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蝇、蚊</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抽查20处公共绿化带、蚊虫孳生水体、苍蝇孳生地，须符合国家除四害标准，且目视无明显蚊虫在飞。</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此项目共10分，每发现1只扣0.1分 。</w:t>
            </w:r>
          </w:p>
        </w:tc>
      </w:tr>
      <w:tr>
        <w:tblPrEx>
          <w:tblCellMar>
            <w:top w:w="0" w:type="dxa"/>
            <w:left w:w="108" w:type="dxa"/>
            <w:bottom w:w="0" w:type="dxa"/>
            <w:right w:w="108" w:type="dxa"/>
          </w:tblCellMar>
        </w:tblPrEx>
        <w:trPr>
          <w:trHeight w:val="1267"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4"/>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蟑螂</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抽查污、雨水井10个，须符合国家除四害标准。</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此项目共10分，每超过1只扣0.1分 。</w:t>
            </w:r>
          </w:p>
        </w:tc>
      </w:tr>
      <w:tr>
        <w:tblPrEx>
          <w:tblCellMar>
            <w:top w:w="0" w:type="dxa"/>
            <w:left w:w="108" w:type="dxa"/>
            <w:bottom w:w="0" w:type="dxa"/>
            <w:right w:w="108" w:type="dxa"/>
          </w:tblCellMar>
        </w:tblPrEx>
        <w:trPr>
          <w:trHeight w:val="1526"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服务态度</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接听电话、现场服务，服务人员均应热情有礼对待管理人员和业主/用户。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此项目共10分，每发现一项不符合扣1分。</w:t>
            </w:r>
          </w:p>
        </w:tc>
      </w:tr>
      <w:tr>
        <w:tblPrEx>
          <w:tblCellMar>
            <w:top w:w="0" w:type="dxa"/>
            <w:left w:w="108" w:type="dxa"/>
            <w:bottom w:w="0" w:type="dxa"/>
            <w:right w:w="108" w:type="dxa"/>
          </w:tblCellMar>
        </w:tblPrEx>
        <w:trPr>
          <w:trHeight w:val="1638"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投诉处理</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因消杀质量不过关，造成四害影响严重的 。</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此项共10分，如发生重大事故则全部扣除。检查中每发现一处问题视情节严重扣1 — 5分。</w:t>
            </w:r>
          </w:p>
        </w:tc>
      </w:tr>
      <w:tr>
        <w:tblPrEx>
          <w:tblCellMar>
            <w:top w:w="0" w:type="dxa"/>
            <w:left w:w="108" w:type="dxa"/>
            <w:bottom w:w="0" w:type="dxa"/>
            <w:right w:w="108" w:type="dxa"/>
          </w:tblCellMar>
        </w:tblPrEx>
        <w:trPr>
          <w:trHeight w:val="14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工具及药物使用情况</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工具及药物的使用符合要求。</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此项目共10分，每发现一项不符合要求的扣1分。</w:t>
            </w:r>
          </w:p>
        </w:tc>
      </w:tr>
      <w:tr>
        <w:tblPrEx>
          <w:tblCellMar>
            <w:top w:w="0" w:type="dxa"/>
            <w:left w:w="108" w:type="dxa"/>
            <w:bottom w:w="0" w:type="dxa"/>
            <w:right w:w="108" w:type="dxa"/>
          </w:tblCellMar>
        </w:tblPrEx>
        <w:trPr>
          <w:trHeight w:val="726"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保养项目</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考  核  标  准</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评 分 标 准</w:t>
            </w:r>
          </w:p>
        </w:tc>
      </w:tr>
      <w:tr>
        <w:tblPrEx>
          <w:tblCellMar>
            <w:top w:w="0" w:type="dxa"/>
            <w:left w:w="108" w:type="dxa"/>
            <w:bottom w:w="0" w:type="dxa"/>
            <w:right w:w="108" w:type="dxa"/>
          </w:tblCellMar>
        </w:tblPrEx>
        <w:trPr>
          <w:trHeight w:val="2216"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街道、社区（管理处）检查结果</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抽查管理区域内的居民小区、安置小区、城中村、城乡结合部的公共外环境四害消杀效果，保证无明显鼠迹、蟑迹，无明显蚊虫、苍蝇在飞。</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此项目共10分，每发现1处/1只扣0.1分 。</w:t>
            </w:r>
          </w:p>
        </w:tc>
      </w:tr>
      <w:tr>
        <w:tblPrEx>
          <w:tblCellMar>
            <w:top w:w="0" w:type="dxa"/>
            <w:left w:w="108" w:type="dxa"/>
            <w:bottom w:w="0" w:type="dxa"/>
            <w:right w:w="108" w:type="dxa"/>
          </w:tblCellMar>
        </w:tblPrEx>
        <w:trPr>
          <w:trHeight w:val="4262"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区疾控中心检查结果</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年度有工作计划，每次消杀前制定阶段性工作计划，报区疾控中心审核通过后开展病媒生物防制工作，开展病媒生物密度和孳生地调查，消杀过程中自评防制效果，日常服务频次及内容符合要求，工作记录资料台账真实、完整、规范，每次消杀后有阶段性工作总结，年度工作总结，并及时将相关资料报送至区疾控中心。</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此项目共10分，每发现一项不符合要求的扣1分。</w:t>
            </w:r>
          </w:p>
        </w:tc>
      </w:tr>
      <w:tr>
        <w:tblPrEx>
          <w:tblCellMar>
            <w:top w:w="0" w:type="dxa"/>
            <w:left w:w="108" w:type="dxa"/>
            <w:bottom w:w="0" w:type="dxa"/>
            <w:right w:w="108" w:type="dxa"/>
          </w:tblCellMar>
        </w:tblPrEx>
        <w:trPr>
          <w:trHeight w:val="1848"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上级单位检查结果</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顺利通过上级单位检查，发现的问题及时解决。</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此项目共10分，未通过检查扣除5分，发现的问题没有及时改正，每经发现扣一分</w:t>
            </w:r>
          </w:p>
        </w:tc>
      </w:tr>
      <w:tr>
        <w:tblPrEx>
          <w:tblCellMar>
            <w:top w:w="0" w:type="dxa"/>
            <w:left w:w="108" w:type="dxa"/>
            <w:bottom w:w="0" w:type="dxa"/>
            <w:right w:w="108" w:type="dxa"/>
          </w:tblCellMar>
        </w:tblPrEx>
        <w:trPr>
          <w:trHeight w:val="1848" w:hRule="atLeast"/>
        </w:trPr>
        <w:tc>
          <w:tcPr>
            <w:tcW w:w="9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highlight w:val="white"/>
                <w:lang w:bidi="ar"/>
              </w:rPr>
              <w:t>1、定期考核结果直接与服务费用挂钩且连续两次扣分分数高于20分，甲方扣除相应费用外并可视情单方面解除合同。</w:t>
            </w:r>
          </w:p>
          <w:p>
            <w:pPr>
              <w:widowControl/>
              <w:spacing w:line="340" w:lineRule="exact"/>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highlight w:val="white"/>
                <w:lang w:bidi="ar"/>
              </w:rPr>
              <w:t>2、年终考核结果，次均扣分数高于 25 分,甲方不再考虑将乙方列为下一次的招标对象</w:t>
            </w:r>
          </w:p>
          <w:p>
            <w:pPr>
              <w:widowControl/>
              <w:spacing w:line="340" w:lineRule="exact"/>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highlight w:val="white"/>
                <w:lang w:bidi="ar"/>
              </w:rPr>
              <w:t>*（1）1 分等于 2000元人民币。</w:t>
            </w:r>
          </w:p>
          <w:p>
            <w:pPr>
              <w:widowControl/>
              <w:spacing w:line="340" w:lineRule="exact"/>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highlight w:val="white"/>
                <w:lang w:bidi="ar"/>
              </w:rPr>
              <w:t>（3）甲方对乙方开展定期服务质量考核和年终考核，如乙方对考核结果产生异议，需在考核结果发布后 2 日内提出书面异议申请并出示相关依据，逾期视无异议，考核结果异议受理工作由甲方考核。</w:t>
            </w:r>
          </w:p>
        </w:tc>
      </w:tr>
    </w:tbl>
    <w:p>
      <w:pPr>
        <w:spacing w:line="60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7"/>
        <w:tblW w:w="8681" w:type="dxa"/>
        <w:tblInd w:w="96" w:type="dxa"/>
        <w:tblLayout w:type="fixed"/>
        <w:tblCellMar>
          <w:top w:w="0" w:type="dxa"/>
          <w:left w:w="108" w:type="dxa"/>
          <w:bottom w:w="0" w:type="dxa"/>
          <w:right w:w="108" w:type="dxa"/>
        </w:tblCellMar>
      </w:tblPr>
      <w:tblGrid>
        <w:gridCol w:w="2214"/>
        <w:gridCol w:w="3294"/>
        <w:gridCol w:w="3173"/>
      </w:tblGrid>
      <w:tr>
        <w:tblPrEx>
          <w:tblCellMar>
            <w:top w:w="0" w:type="dxa"/>
            <w:left w:w="108" w:type="dxa"/>
            <w:bottom w:w="0" w:type="dxa"/>
            <w:right w:w="108" w:type="dxa"/>
          </w:tblCellMar>
        </w:tblPrEx>
        <w:trPr>
          <w:trHeight w:val="951" w:hRule="atLeast"/>
        </w:trPr>
        <w:tc>
          <w:tcPr>
            <w:tcW w:w="8681" w:type="dxa"/>
            <w:gridSpan w:val="3"/>
            <w:tcBorders>
              <w:top w:val="nil"/>
              <w:left w:val="nil"/>
              <w:bottom w:val="nil"/>
              <w:right w:val="nil"/>
            </w:tcBorders>
            <w:shd w:val="clear" w:color="auto" w:fill="auto"/>
            <w:noWrap/>
            <w:vAlign w:val="center"/>
          </w:tcPr>
          <w:p>
            <w:pPr>
              <w:widowControl/>
              <w:jc w:val="left"/>
              <w:textAlignment w:val="center"/>
              <w:rPr>
                <w:rFonts w:ascii="楷体_GB2312" w:hAnsi="等线" w:eastAsia="楷体_GB2312" w:cs="楷体_GB2312"/>
                <w:color w:val="000000"/>
                <w:sz w:val="24"/>
              </w:rPr>
            </w:pPr>
            <w:r>
              <w:rPr>
                <w:rFonts w:hint="eastAsia" w:ascii="楷体_GB2312" w:hAnsi="等线" w:eastAsia="楷体_GB2312" w:cs="楷体_GB2312"/>
                <w:color w:val="000000"/>
                <w:kern w:val="0"/>
                <w:sz w:val="28"/>
                <w:szCs w:val="28"/>
                <w:lang w:bidi="ar"/>
              </w:rPr>
              <w:t>（二）年终单项考核</w:t>
            </w:r>
          </w:p>
        </w:tc>
      </w:tr>
      <w:tr>
        <w:tblPrEx>
          <w:tblCellMar>
            <w:top w:w="0" w:type="dxa"/>
            <w:left w:w="108" w:type="dxa"/>
            <w:bottom w:w="0" w:type="dxa"/>
            <w:right w:w="108" w:type="dxa"/>
          </w:tblCellMar>
        </w:tblPrEx>
        <w:trPr>
          <w:trHeight w:val="1095"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保养项目</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考  核  标  准</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评 分 标 准</w:t>
            </w:r>
          </w:p>
        </w:tc>
      </w:tr>
      <w:tr>
        <w:tblPrEx>
          <w:tblCellMar>
            <w:top w:w="0" w:type="dxa"/>
            <w:left w:w="108" w:type="dxa"/>
            <w:bottom w:w="0" w:type="dxa"/>
            <w:right w:w="108" w:type="dxa"/>
          </w:tblCellMar>
        </w:tblPrEx>
        <w:trPr>
          <w:trHeight w:val="277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年终单项考核要求</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辖区内鼠、蟑、蚊、蝇密度控制在国家标准C级水平；服务区域病媒生物防制通过国家、省、市创建国家卫生城市检查达标。</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此项为一票否决项，辖区内鼠、蟑、蚊、蝇密度控制未达到国家标准C级水平</w:t>
            </w:r>
            <w:r>
              <w:rPr>
                <w:rStyle w:val="11"/>
                <w:rFonts w:hint="default" w:hAnsi="等线"/>
                <w:lang w:bidi="ar"/>
              </w:rPr>
              <w:t>甲方扣除相应费用外并单方面解除合同。</w:t>
            </w:r>
          </w:p>
        </w:tc>
      </w:tr>
      <w:tr>
        <w:tblPrEx>
          <w:tblCellMar>
            <w:top w:w="0" w:type="dxa"/>
            <w:left w:w="108" w:type="dxa"/>
            <w:bottom w:w="0" w:type="dxa"/>
            <w:right w:w="108" w:type="dxa"/>
          </w:tblCellMar>
        </w:tblPrEx>
        <w:trPr>
          <w:trHeight w:val="278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年终单项考核要求</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国家卫生城市现场考核评分50分分值得分率需达到80%以上。</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lang w:bidi="ar"/>
              </w:rPr>
              <w:t>此项为一票否决项，辖区内得分率未到达75%以上</w:t>
            </w:r>
            <w:r>
              <w:rPr>
                <w:rStyle w:val="11"/>
                <w:rFonts w:hint="default" w:hAnsi="等线"/>
                <w:lang w:bidi="ar"/>
              </w:rPr>
              <w:t>扣除相应费用外并单方面解除合同。</w:t>
            </w:r>
          </w:p>
        </w:tc>
      </w:tr>
      <w:tr>
        <w:tblPrEx>
          <w:tblCellMar>
            <w:top w:w="0" w:type="dxa"/>
            <w:left w:w="108" w:type="dxa"/>
            <w:bottom w:w="0" w:type="dxa"/>
            <w:right w:w="108" w:type="dxa"/>
          </w:tblCellMar>
        </w:tblPrEx>
        <w:trPr>
          <w:trHeight w:val="278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年终单项考核要求</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国家卫生城市现场考核评分50分分值得分率需达到80%以上。</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得分率在75%-80%之间每低1分扣总经费的3%。</w:t>
            </w:r>
          </w:p>
        </w:tc>
      </w:tr>
    </w:tbl>
    <w:p>
      <w:pPr>
        <w:spacing w:line="60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4"/>
                            </w:rPr>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cs="宋体"/>
                        <w:sz w:val="24"/>
                      </w:rPr>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A1813"/>
    <w:multiLevelType w:val="singleLevel"/>
    <w:tmpl w:val="334A18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YWZmODQ2OThjYzc1ZmQzMTY2Yzc2YjkyYzNhZTcifQ=="/>
  </w:docVars>
  <w:rsids>
    <w:rsidRoot w:val="00FC4044"/>
    <w:rsid w:val="00062DDE"/>
    <w:rsid w:val="001A3F84"/>
    <w:rsid w:val="005B273A"/>
    <w:rsid w:val="0061238A"/>
    <w:rsid w:val="006A67EA"/>
    <w:rsid w:val="00904098"/>
    <w:rsid w:val="00B14FA1"/>
    <w:rsid w:val="00E859B3"/>
    <w:rsid w:val="00FC4044"/>
    <w:rsid w:val="01083A23"/>
    <w:rsid w:val="04C75D62"/>
    <w:rsid w:val="05270FE3"/>
    <w:rsid w:val="05A91BD8"/>
    <w:rsid w:val="05F30D52"/>
    <w:rsid w:val="06526B6D"/>
    <w:rsid w:val="07832762"/>
    <w:rsid w:val="098F153E"/>
    <w:rsid w:val="0A476B7E"/>
    <w:rsid w:val="0AF023FF"/>
    <w:rsid w:val="0B367F72"/>
    <w:rsid w:val="0CE16432"/>
    <w:rsid w:val="0D3D5EE8"/>
    <w:rsid w:val="0DCB34F3"/>
    <w:rsid w:val="0EC01DBF"/>
    <w:rsid w:val="0EEE140B"/>
    <w:rsid w:val="10DC6C37"/>
    <w:rsid w:val="117C54BB"/>
    <w:rsid w:val="124064FE"/>
    <w:rsid w:val="13CD6F8A"/>
    <w:rsid w:val="14037464"/>
    <w:rsid w:val="17DC43BC"/>
    <w:rsid w:val="17EC7D4E"/>
    <w:rsid w:val="187E183C"/>
    <w:rsid w:val="1D0D31E0"/>
    <w:rsid w:val="1E154347"/>
    <w:rsid w:val="1F805BBC"/>
    <w:rsid w:val="20FD21F5"/>
    <w:rsid w:val="211C0E60"/>
    <w:rsid w:val="21CC3F35"/>
    <w:rsid w:val="21E52AA7"/>
    <w:rsid w:val="23C742C2"/>
    <w:rsid w:val="24F2272A"/>
    <w:rsid w:val="250D6B57"/>
    <w:rsid w:val="27313F6F"/>
    <w:rsid w:val="289C222B"/>
    <w:rsid w:val="2AA9450A"/>
    <w:rsid w:val="2B505F9D"/>
    <w:rsid w:val="2D3938BF"/>
    <w:rsid w:val="2F296CB7"/>
    <w:rsid w:val="2F921F94"/>
    <w:rsid w:val="2FC751F2"/>
    <w:rsid w:val="30AA79E3"/>
    <w:rsid w:val="31901E8D"/>
    <w:rsid w:val="340672CC"/>
    <w:rsid w:val="349E7669"/>
    <w:rsid w:val="34C571BA"/>
    <w:rsid w:val="34E77D57"/>
    <w:rsid w:val="365B0F3E"/>
    <w:rsid w:val="365D7A7F"/>
    <w:rsid w:val="3667350A"/>
    <w:rsid w:val="376C0D7B"/>
    <w:rsid w:val="396A4FBD"/>
    <w:rsid w:val="3A88752B"/>
    <w:rsid w:val="3A8E189D"/>
    <w:rsid w:val="3AD33019"/>
    <w:rsid w:val="3C231F77"/>
    <w:rsid w:val="3D910C10"/>
    <w:rsid w:val="3DE418E4"/>
    <w:rsid w:val="3FF7137F"/>
    <w:rsid w:val="412C7C2C"/>
    <w:rsid w:val="412E6E7D"/>
    <w:rsid w:val="41B73AB8"/>
    <w:rsid w:val="43A56435"/>
    <w:rsid w:val="452F2C10"/>
    <w:rsid w:val="46200617"/>
    <w:rsid w:val="463333B8"/>
    <w:rsid w:val="48F11FB7"/>
    <w:rsid w:val="49742590"/>
    <w:rsid w:val="4C233C37"/>
    <w:rsid w:val="4C4C5224"/>
    <w:rsid w:val="4CD07C03"/>
    <w:rsid w:val="5002538F"/>
    <w:rsid w:val="513122B5"/>
    <w:rsid w:val="51EB3EF3"/>
    <w:rsid w:val="52462715"/>
    <w:rsid w:val="52AD3FB1"/>
    <w:rsid w:val="55933D75"/>
    <w:rsid w:val="55B442A9"/>
    <w:rsid w:val="56EC7829"/>
    <w:rsid w:val="595E259F"/>
    <w:rsid w:val="5A4C2893"/>
    <w:rsid w:val="5A6B325C"/>
    <w:rsid w:val="5AEA6A34"/>
    <w:rsid w:val="5B076365"/>
    <w:rsid w:val="5B713816"/>
    <w:rsid w:val="5BAB6A1E"/>
    <w:rsid w:val="5C140AA0"/>
    <w:rsid w:val="5D0B2591"/>
    <w:rsid w:val="5E567D56"/>
    <w:rsid w:val="5EFC4EC0"/>
    <w:rsid w:val="6349526F"/>
    <w:rsid w:val="63CE45CF"/>
    <w:rsid w:val="6505684A"/>
    <w:rsid w:val="664F5E00"/>
    <w:rsid w:val="66DC0193"/>
    <w:rsid w:val="670766BA"/>
    <w:rsid w:val="69C0748D"/>
    <w:rsid w:val="6A3142C9"/>
    <w:rsid w:val="6C943AB3"/>
    <w:rsid w:val="6F0312AE"/>
    <w:rsid w:val="6F401113"/>
    <w:rsid w:val="6F607449"/>
    <w:rsid w:val="705F3769"/>
    <w:rsid w:val="713626B4"/>
    <w:rsid w:val="718F0905"/>
    <w:rsid w:val="755A0A19"/>
    <w:rsid w:val="766905FD"/>
    <w:rsid w:val="77117F6B"/>
    <w:rsid w:val="77353AF1"/>
    <w:rsid w:val="7869031C"/>
    <w:rsid w:val="7A311E86"/>
    <w:rsid w:val="7B0A3A31"/>
    <w:rsid w:val="7B263697"/>
    <w:rsid w:val="7BE94A5A"/>
    <w:rsid w:val="7D937014"/>
    <w:rsid w:val="7EC31904"/>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8" w:lineRule="auto"/>
    </w:pPr>
    <w:rPr>
      <w:b w:val="0"/>
      <w:bCs w:val="0"/>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autoRedefine/>
    <w:qFormat/>
    <w:uiPriority w:val="0"/>
    <w:pPr>
      <w:outlineLvl w:val="0"/>
    </w:pPr>
    <w:rPr>
      <w:b/>
      <w:bCs/>
      <w:sz w:val="32"/>
      <w:szCs w:val="32"/>
    </w:rPr>
  </w:style>
  <w:style w:type="paragraph" w:styleId="4">
    <w:name w:val="Plain Text"/>
    <w:basedOn w:val="1"/>
    <w:link w:val="12"/>
    <w:autoRedefine/>
    <w:qFormat/>
    <w:uiPriority w:val="0"/>
    <w:rPr>
      <w:rFonts w:ascii="宋体" w:hAnsi="Courier New"/>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34"/>
    <w:pPr>
      <w:ind w:firstLine="420" w:firstLineChars="200"/>
    </w:pPr>
  </w:style>
  <w:style w:type="character" w:customStyle="1" w:styleId="11">
    <w:name w:val="font51"/>
    <w:basedOn w:val="9"/>
    <w:autoRedefine/>
    <w:qFormat/>
    <w:uiPriority w:val="0"/>
    <w:rPr>
      <w:rFonts w:hint="eastAsia" w:ascii="仿宋_GB2312" w:eastAsia="仿宋_GB2312" w:cs="仿宋_GB2312"/>
      <w:color w:val="000000"/>
      <w:sz w:val="24"/>
      <w:szCs w:val="24"/>
      <w:u w:val="none"/>
    </w:rPr>
  </w:style>
  <w:style w:type="character" w:customStyle="1" w:styleId="12">
    <w:name w:val="纯文本 字符"/>
    <w:link w:val="4"/>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810</Words>
  <Characters>4620</Characters>
  <Lines>38</Lines>
  <Paragraphs>10</Paragraphs>
  <TotalTime>26</TotalTime>
  <ScaleCrop>false</ScaleCrop>
  <LinksUpToDate>false</LinksUpToDate>
  <CharactersWithSpaces>5420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2023-11-09T07:31:00Z</dcterms:created>
  <dc:creator>Administrator</dc:creator>
  <cp:lastModifiedBy>微信用户</cp:lastModifiedBy>
  <cp:lastPrinted>2023-12-24T03:20:00Z</cp:lastPrinted>
  <dcterms:modified xsi:type="dcterms:W3CDTF">2024-01-09T07:45:14Z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9A94C917E70944959805AE1BFC7AA3B0_13</vt:lpwstr>
  </property>
</Properties>
</file>