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440113-2023-08341</w:t>
      </w:r>
    </w:p>
    <w:p>
      <w:pPr>
        <w:jc w:val="center"/>
      </w:pPr>
      <w:r>
        <w:rPr>
          <w:b/>
          <w:sz w:val="24"/>
        </w:rPr>
        <w:t>采购项目编号：</w:t>
      </w:r>
      <w:r>
        <w:rPr>
          <w:b/>
          <w:sz w:val="24"/>
        </w:rPr>
        <w:t>GZBC23FG11006</w:t>
      </w:r>
    </w:p>
    <w:p>
      <w:pPr>
        <w:jc w:val="center"/>
      </w:pPr>
      <w:r>
        <w:rPr>
          <w:b/>
          <w:sz w:val="24"/>
        </w:rPr>
        <w:t>项目名称：</w:t>
      </w:r>
      <w:r>
        <w:rPr>
          <w:b/>
          <w:sz w:val="24"/>
        </w:rPr>
        <w:t>2024-2027年钟村街辖区内除四害消杀服务项目</w:t>
      </w:r>
    </w:p>
    <w:p>
      <w:pPr>
        <w:jc w:val="center"/>
      </w:pPr>
      <w:r>
        <w:rPr>
          <w:b/>
          <w:sz w:val="24"/>
        </w:rPr>
        <w:t>采购人：</w:t>
      </w:r>
      <w:r>
        <w:rPr>
          <w:b/>
          <w:sz w:val="24"/>
        </w:rPr>
        <w:t>广州市番禺区人民政府钟村街道办事处</w:t>
      </w:r>
    </w:p>
    <w:p>
      <w:pPr>
        <w:jc w:val="center"/>
      </w:pPr>
      <w:r>
        <w:rPr>
          <w:b/>
          <w:sz w:val="24"/>
        </w:rPr>
        <w:t>采购代理机构：</w:t>
      </w:r>
      <w:r>
        <w:rPr>
          <w:b/>
          <w:sz w:val="24"/>
        </w:rPr>
        <w:t>广州宝诚招标代理咨询有限公司</w:t>
      </w:r>
    </w:p>
    <w:p>
      <w:pPr>
        <w:ind w:firstLine="480"/>
      </w:pPr>
    </w:p>
    <w:p>
      <w:r>
        <w:rPr/>
        <w:t xml:space="preserve"> </w:t>
      </w:r>
    </w:p>
    <w:p/>
    <w:p>
      <w:pPr>
        <w:jc w:val="center"/>
      </w:pPr>
      <w:r>
        <w:rPr>
          <w:b/>
          <w:sz w:val="36"/>
        </w:rPr>
        <w:t>第一章投标邀请</w:t>
      </w:r>
    </w:p>
    <w:p>
      <w:pPr>
        <w:ind w:firstLine="480"/>
      </w:pPr>
      <w:r>
        <w:rPr/>
        <w:t>广州宝诚招标代理咨询有限公司</w:t>
      </w:r>
      <w:r>
        <w:rPr/>
        <w:t>受</w:t>
      </w:r>
      <w:r>
        <w:rPr/>
        <w:t>广州市番禺区人民政府钟村街道办事处</w:t>
      </w:r>
      <w:r>
        <w:rPr/>
        <w:t>的委托，采用</w:t>
      </w:r>
      <w:r>
        <w:rPr/>
        <w:t>公开招标</w:t>
      </w:r>
      <w:r>
        <w:rPr/>
        <w:t>方式组织采购</w:t>
      </w:r>
      <w:r>
        <w:rPr/>
        <w:t>2024-2027年钟村街辖区内除四害消杀服务项目</w:t>
      </w:r>
      <w:r>
        <w:rPr/>
        <w:t>。欢迎符合资格条件的国内供应商参加投标。</w:t>
      </w:r>
    </w:p>
    <w:p>
      <w:r>
        <w:rPr>
          <w:b/>
          <w:sz w:val="28"/>
        </w:rPr>
        <w:t>一.项目概述</w:t>
      </w:r>
    </w:p>
    <w:p>
      <w:r>
        <w:rPr>
          <w:b/>
          <w:sz w:val="24"/>
        </w:rPr>
        <w:t>1.名称与编号</w:t>
      </w:r>
    </w:p>
    <w:p>
      <w:pPr>
        <w:ind w:firstLine="480"/>
      </w:pPr>
      <w:r>
        <w:rPr/>
        <w:t>项目名称：</w:t>
      </w:r>
      <w:r>
        <w:rPr/>
        <w:t>2024-2027年钟村街辖区内除四害消杀服务项目</w:t>
      </w:r>
    </w:p>
    <w:p>
      <w:pPr>
        <w:ind w:firstLine="480"/>
      </w:pPr>
      <w:r>
        <w:rPr/>
        <w:t>采购计划编号：</w:t>
      </w:r>
      <w:r>
        <w:rPr/>
        <w:t>440113-2023-08341</w:t>
      </w:r>
    </w:p>
    <w:p>
      <w:pPr>
        <w:ind w:firstLine="480"/>
      </w:pPr>
      <w:r>
        <w:rPr/>
        <w:t>采购项目编号：</w:t>
      </w:r>
      <w:r>
        <w:rPr/>
        <w:t>GZBC23FG11006</w:t>
      </w:r>
    </w:p>
    <w:p>
      <w:pPr>
        <w:ind w:firstLine="480"/>
      </w:pPr>
      <w:r>
        <w:rPr/>
        <w:t>采购方式：</w:t>
      </w:r>
      <w:r>
        <w:rPr/>
        <w:t>公开招标</w:t>
      </w:r>
    </w:p>
    <w:p>
      <w:pPr>
        <w:ind w:firstLine="480"/>
      </w:pPr>
      <w:r>
        <w:rPr/>
        <w:t>预算金额：</w:t>
      </w:r>
      <w:r>
        <w:rPr/>
        <w:t>8,400,000.00</w:t>
      </w:r>
      <w:r>
        <w:rPr/>
        <w:t>元</w:t>
      </w:r>
    </w:p>
    <w:p>
      <w:r>
        <w:rPr>
          <w:b/>
          <w:sz w:val="24"/>
        </w:rPr>
        <w:t>2.项目内容及需求情况（采购项目技术规格、参数及要求）</w:t>
      </w:r>
    </w:p>
    <w:p>
      <w:pPr>
        <w:ind w:firstLine="480"/>
      </w:pPr>
    </w:p>
    <w:p/>
    <w:p>
      <w:r>
        <w:rPr/>
        <w:t>采购包1(2024-2027年钟村街辖区内除四害消杀服务项目):</w:t>
      </w:r>
    </w:p>
    <w:p>
      <w:r>
        <w:rPr/>
        <w:t>采购包预算金额：8,400,000.00元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其他城镇公共卫生服务</w:t>
            </w:r>
          </w:p>
        </w:tc>
        <w:tc>
          <w:tcPr>
            <w:tcW w:type="dxa" w:w="2136"/>
          </w:tcPr>
          <w:p>
            <w:r>
              <w:rPr/>
              <w:t>2024-2027年钟村街辖区内除四害消杀服务项目</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本采购包不接受联合体投标</w:t>
      </w:r>
    </w:p>
    <w:p/>
    <w:p>
      <w:r>
        <w:rPr/>
        <w:t>合同履行期限：自签订合同之日起3年止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2）有依法缴纳税收和社会保障资金的良好记录：提供声明函，格式自定。</w:t>
      </w:r>
    </w:p>
    <w:p/>
    <w:p>
      <w:r>
        <w:rPr/>
        <w:t>3）具有良好的商业信誉和健全的财务会计制度：提供声明函，格式自定。</w:t>
      </w:r>
    </w:p>
    <w:p/>
    <w:p>
      <w:r>
        <w:rPr/>
        <w:t>4）履行合同所必需的设备和专业技术能力：提供声明函，格式自定。</w:t>
      </w:r>
    </w:p>
    <w:p/>
    <w:p>
      <w:r>
        <w:rPr/>
        <w:t>5）参加采购活动前3年内，在经营活动中没有重大违法记录：提供声明函，格式自定。参照投标（报价）函相关承诺格式内容。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采购包1（2024-2027年钟村街辖区内除四害消杀服务项目）：</w:t>
      </w:r>
      <w:r>
        <w:rPr/>
        <w:t>参与的供应商（联合体）服务全部由符合政策要求的中小企业承接</w:t>
      </w:r>
    </w:p>
    <w:p/>
    <w:p>
      <w:r>
        <w:rPr>
          <w:b/>
          <w:sz w:val="24"/>
        </w:rPr>
        <w:t>3.本项目特定的资格要求：</w:t>
      </w:r>
    </w:p>
    <w:p>
      <w:pPr>
        <w:ind w:firstLine="480"/>
      </w:pPr>
    </w:p>
    <w:p/>
    <w:p>
      <w:r>
        <w:rPr/>
        <w:t>采购包1（2024-2027年钟村街辖区内除四害消杀服务项目）：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广州市番禺区人民政府钟村街道办事处</w:t>
      </w:r>
    </w:p>
    <w:p>
      <w:pPr>
        <w:ind w:firstLine="480"/>
      </w:pPr>
      <w:r>
        <w:rPr/>
        <w:t>地址：</w:t>
      </w:r>
      <w:r>
        <w:rPr/>
        <w:t>广州市番禺区钟村街毓秀东路11号</w:t>
      </w:r>
    </w:p>
    <w:p>
      <w:pPr>
        <w:ind w:firstLine="480"/>
      </w:pPr>
      <w:r>
        <w:rPr/>
        <w:t>联系方式：</w:t>
      </w:r>
      <w:r>
        <w:rPr/>
        <w:t>020-34630133</w:t>
      </w:r>
    </w:p>
    <w:p>
      <w:r>
        <w:rPr>
          <w:b/>
          <w:sz w:val="24"/>
        </w:rPr>
        <w:t>2.采购代理机构信息</w:t>
      </w:r>
    </w:p>
    <w:p>
      <w:pPr>
        <w:ind w:firstLine="480"/>
      </w:pPr>
      <w:r>
        <w:rPr/>
        <w:t>名称：</w:t>
      </w:r>
      <w:r>
        <w:rPr/>
        <w:t>广州宝诚招标代理咨询有限公司</w:t>
      </w:r>
    </w:p>
    <w:p>
      <w:pPr>
        <w:ind w:firstLine="480"/>
      </w:pPr>
      <w:r>
        <w:rPr/>
        <w:t>地址：</w:t>
      </w:r>
      <w:r>
        <w:rPr/>
        <w:t>广州市番禺区南村镇敏捷上城国际1期2栋1806</w:t>
      </w:r>
    </w:p>
    <w:p>
      <w:pPr>
        <w:ind w:firstLine="480"/>
      </w:pPr>
      <w:r>
        <w:rPr/>
        <w:t>联系方式：</w:t>
      </w:r>
      <w:r>
        <w:rPr/>
        <w:t>020-37887429</w:t>
      </w:r>
    </w:p>
    <w:p>
      <w:r>
        <w:rPr>
          <w:b/>
          <w:sz w:val="24"/>
        </w:rPr>
        <w:t>3.项目联系方式</w:t>
      </w:r>
    </w:p>
    <w:p>
      <w:pPr>
        <w:ind w:firstLine="480"/>
      </w:pPr>
      <w:r>
        <w:rPr/>
        <w:t>项目联系人：</w:t>
      </w:r>
      <w:r>
        <w:rPr/>
        <w:t>周澔阳</w:t>
      </w:r>
    </w:p>
    <w:p>
      <w:pPr>
        <w:ind w:firstLine="480"/>
      </w:pPr>
      <w:r>
        <w:rPr/>
        <w:t>电话：</w:t>
      </w:r>
      <w:r>
        <w:rPr/>
        <w:t>020-37887429</w:t>
      </w:r>
    </w:p>
    <w:p>
      <w:r>
        <w:rPr>
          <w:b/>
          <w:sz w:val="24"/>
        </w:rPr>
        <w:t>4.技术支持联系方式</w:t>
      </w:r>
    </w:p>
    <w:p>
      <w:pPr>
        <w:ind w:firstLine="480"/>
      </w:pPr>
      <w:r>
        <w:rPr/>
        <w:t>云平台联系方式：020-88696588</w:t>
      </w:r>
    </w:p>
    <w:p>
      <w:r>
        <w:rPr/>
        <w:t>采购代理机构：</w:t>
      </w:r>
      <w:r>
        <w:rPr/>
        <w:t>广州宝诚招标代理咨询有限公司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2"/>
        <w:jc w:val="both"/>
      </w:pPr>
      <w:r>
        <w:rPr>
          <w:b/>
          <w:sz w:val="21"/>
        </w:rPr>
        <w:t>一、项目概述</w:t>
      </w:r>
      <w:r>
        <w:rPr>
          <w:sz w:val="21"/>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879"/>
        <w:gridCol w:w="1082"/>
        <w:gridCol w:w="2522"/>
        <w:gridCol w:w="1796"/>
      </w:tblGrid>
      <w:tr>
        <w:tc>
          <w:tcPr>
            <w:tcW w:type="dxa" w:w="2879"/>
            <w:tcBorders>
              <w:top w:val="single" w:color="000000" w:sz="4"/>
              <w:left w:val="single" w:color="000000" w:sz="4"/>
              <w:bottom w:val="single" w:color="000000" w:sz="4"/>
              <w:right w:val="single" w:color="000000" w:sz="4"/>
            </w:tcBorders>
            <w:vAlign w:val="top"/>
          </w:tcPr>
          <w:p>
            <w:pPr>
              <w:jc w:val="center"/>
            </w:pPr>
            <w:r>
              <w:rPr>
                <w:b/>
                <w:sz w:val="21"/>
              </w:rPr>
              <w:t>项目名称</w:t>
            </w:r>
          </w:p>
        </w:tc>
        <w:tc>
          <w:tcPr>
            <w:tcW w:type="dxa" w:w="1082"/>
            <w:tcBorders>
              <w:top w:val="single" w:color="000000" w:sz="4"/>
              <w:left w:val="single" w:color="000000" w:sz="4"/>
              <w:bottom w:val="single" w:color="000000" w:sz="4"/>
              <w:right w:val="single" w:color="000000" w:sz="4"/>
            </w:tcBorders>
            <w:vAlign w:val="top"/>
          </w:tcPr>
          <w:p>
            <w:pPr>
              <w:jc w:val="center"/>
            </w:pPr>
            <w:r>
              <w:rPr>
                <w:b/>
                <w:sz w:val="21"/>
              </w:rPr>
              <w:t>服务期</w:t>
            </w:r>
          </w:p>
        </w:tc>
        <w:tc>
          <w:tcPr>
            <w:tcW w:type="dxa" w:w="2522"/>
            <w:tcBorders>
              <w:top w:val="single" w:color="000000" w:sz="4"/>
              <w:left w:val="single" w:color="000000" w:sz="4"/>
              <w:bottom w:val="single" w:color="000000" w:sz="4"/>
              <w:right w:val="single" w:color="000000" w:sz="4"/>
            </w:tcBorders>
            <w:vAlign w:val="top"/>
          </w:tcPr>
          <w:p>
            <w:pPr>
              <w:jc w:val="center"/>
            </w:pPr>
            <w:r>
              <w:rPr>
                <w:b/>
                <w:sz w:val="21"/>
              </w:rPr>
              <w:t>预算金额（元）</w:t>
            </w:r>
          </w:p>
        </w:tc>
        <w:tc>
          <w:tcPr>
            <w:tcW w:type="dxa" w:w="1796"/>
            <w:tcBorders>
              <w:top w:val="single" w:color="000000" w:sz="4"/>
              <w:left w:val="single" w:color="000000" w:sz="4"/>
              <w:bottom w:val="single" w:color="000000" w:sz="4"/>
              <w:right w:val="single" w:color="000000" w:sz="4"/>
            </w:tcBorders>
            <w:vAlign w:val="top"/>
          </w:tcPr>
          <w:p>
            <w:pPr>
              <w:jc w:val="center"/>
            </w:pPr>
            <w:r>
              <w:rPr>
                <w:b/>
                <w:sz w:val="21"/>
              </w:rPr>
              <w:t>供应商数量</w:t>
            </w:r>
          </w:p>
        </w:tc>
      </w:tr>
      <w:tr>
        <w:tc>
          <w:tcPr>
            <w:tcW w:type="dxa" w:w="2879"/>
            <w:tcBorders>
              <w:top w:val="none" w:color="000000" w:sz="4"/>
              <w:left w:val="single" w:color="000000" w:sz="4"/>
              <w:bottom w:val="single" w:color="000000" w:sz="4"/>
              <w:right w:val="single" w:color="000000" w:sz="4"/>
            </w:tcBorders>
            <w:vAlign w:val="top"/>
          </w:tcPr>
          <w:p>
            <w:pPr>
              <w:jc w:val="center"/>
            </w:pPr>
            <w:r>
              <w:rPr>
                <w:sz w:val="21"/>
              </w:rPr>
              <w:t>2024-2027年钟村街辖区内除四害消杀服务项目</w:t>
            </w:r>
          </w:p>
        </w:tc>
        <w:tc>
          <w:tcPr>
            <w:tcW w:type="dxa" w:w="1082"/>
            <w:tcBorders>
              <w:top w:val="none" w:color="000000" w:sz="4"/>
              <w:left w:val="single" w:color="000000" w:sz="4"/>
              <w:bottom w:val="single" w:color="000000" w:sz="4"/>
              <w:right w:val="single" w:color="000000" w:sz="4"/>
            </w:tcBorders>
            <w:vAlign w:val="top"/>
          </w:tcPr>
          <w:p>
            <w:pPr>
              <w:jc w:val="center"/>
            </w:pPr>
            <w:r>
              <w:rPr>
                <w:sz w:val="21"/>
              </w:rPr>
              <w:t>三年</w:t>
            </w:r>
          </w:p>
        </w:tc>
        <w:tc>
          <w:tcPr>
            <w:tcW w:type="dxa" w:w="2522"/>
            <w:tcBorders>
              <w:top w:val="none" w:color="000000" w:sz="4"/>
              <w:left w:val="single" w:color="000000" w:sz="4"/>
              <w:bottom w:val="single" w:color="000000" w:sz="4"/>
              <w:right w:val="single" w:color="000000" w:sz="4"/>
            </w:tcBorders>
            <w:vAlign w:val="top"/>
          </w:tcPr>
          <w:p>
            <w:pPr>
              <w:jc w:val="center"/>
            </w:pPr>
            <w:r>
              <w:rPr>
                <w:sz w:val="21"/>
              </w:rPr>
              <w:t>280万元/年，840万元/3年</w:t>
            </w:r>
          </w:p>
        </w:tc>
        <w:tc>
          <w:tcPr>
            <w:tcW w:type="dxa" w:w="1796"/>
            <w:tcBorders>
              <w:top w:val="none" w:color="000000" w:sz="4"/>
              <w:left w:val="single" w:color="000000" w:sz="4"/>
              <w:bottom w:val="single" w:color="000000" w:sz="4"/>
              <w:right w:val="single" w:color="000000" w:sz="4"/>
            </w:tcBorders>
            <w:vAlign w:val="top"/>
          </w:tcPr>
          <w:p>
            <w:pPr>
              <w:jc w:val="center"/>
            </w:pPr>
            <w:r>
              <w:rPr>
                <w:sz w:val="21"/>
              </w:rPr>
              <w:t>通过公开招标方式，确定</w:t>
            </w:r>
            <w:r>
              <w:rPr>
                <w:sz w:val="21"/>
              </w:rPr>
              <w:t>1家供应商</w:t>
            </w:r>
          </w:p>
        </w:tc>
      </w:tr>
    </w:tbl>
    <w:p>
      <w:pPr>
        <w:ind w:firstLine="420"/>
        <w:jc w:val="both"/>
      </w:pPr>
      <w:r>
        <w:rPr>
          <w:b/>
          <w:sz w:val="21"/>
        </w:rPr>
        <w:t>二、项目服务内容及要求</w:t>
      </w:r>
    </w:p>
    <w:p>
      <w:pPr>
        <w:ind w:firstLine="420"/>
        <w:jc w:val="both"/>
      </w:pPr>
      <w:r>
        <w:rPr>
          <w:sz w:val="21"/>
        </w:rPr>
        <w:t>1</w:t>
      </w:r>
      <w:r>
        <w:rPr>
          <w:color w:val="000000"/>
          <w:sz w:val="21"/>
        </w:rPr>
        <w:t>消杀范围：广州市番禺区钟村街辖区内所有</w:t>
      </w:r>
      <w:r>
        <w:rPr>
          <w:color w:val="000000"/>
          <w:sz w:val="21"/>
        </w:rPr>
        <w:t>四害孳生地的灭鼠、灭蚊、灭苍蝇、灭蟑螂工作（如有传染病时义务配合消杀工作）。具体</w:t>
      </w:r>
      <w:r>
        <w:rPr>
          <w:color w:val="000000"/>
          <w:sz w:val="21"/>
        </w:rPr>
        <w:t>消杀范围</w:t>
      </w:r>
      <w:r>
        <w:rPr>
          <w:color w:val="000000"/>
          <w:sz w:val="21"/>
        </w:rPr>
        <w:t>包括但不限于：钟村街道钟韦路、解放路、云市路、宏达街、宏达四街、宏达五街、宏达六街、社学西路、社学东路、钟灵路、毓秀路、嘉胜路、趣园后街、骏兴路、骏业路、钟新路、人民路、太平路、礼贤路、文化广场前水泥路、钟胜西街、钟胜东街、钟创路、钟盛路、钟顺路（</w:t>
      </w:r>
      <w:r>
        <w:rPr>
          <w:color w:val="000000"/>
          <w:sz w:val="21"/>
        </w:rPr>
        <w:t>G105国道）、福翠路（新市广路）、金山大道、钟韵路、钟韵路辅道、钟村文化广场大街、钟兴路、钟兴路辅道、兴业大道（一、二、三标）、谢石公路、汉溪大道、汉兴西路、汉兴东路、汉兴五街、汉兴四街、汉兴三街、汉兴直街、钟汉路、旧市广辅道（钟三段、钟二段）、旧市广路、创源路、富山路、钟韵路、环村路、钟韵路①天桥、钟韵路②天桥、汉溪大道人行天桥、福翠路与钟顺路交界、钟村街辖区所有公园、公厕、广场及街道各个职能部门等四害孳生地的灭鼠、灭蚊、灭苍蝇、灭蟑螂工作。负责鼠、蚊、蝇、蟑螂等“四害”的监控、防治、消杀工作；收集动物尸体工作（含老鼠、蟑螂尸体收集清理工作），并将尸体做无害化处理。确保不低于国家卫生镇标准和要求，鼠、蚊、蝇、蟑螂密度须控制在全国爱卫会规定的标准内。其次是完成突发性的各类疫情消毒消杀并按次数确定服务费用。</w:t>
      </w:r>
    </w:p>
    <w:p>
      <w:pPr>
        <w:jc w:val="both"/>
      </w:pPr>
      <w:r>
        <w:rPr>
          <w:sz w:val="21"/>
        </w:rPr>
        <w:t xml:space="preserve">    </w:t>
      </w:r>
      <w:r>
        <w:rPr>
          <w:sz w:val="21"/>
        </w:rPr>
        <w:t>2.负责提供除四害</w:t>
      </w:r>
      <w:r>
        <w:rPr>
          <w:sz w:val="21"/>
        </w:rPr>
        <w:t>消杀</w:t>
      </w:r>
      <w:r>
        <w:rPr>
          <w:sz w:val="21"/>
        </w:rPr>
        <w:t>工作所需的药物，组建除四害工作专业消杀队伍，按要求开展相关工作。</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0"/>
        <w:gridCol w:w="2625"/>
        <w:gridCol w:w="1530"/>
        <w:gridCol w:w="1305"/>
        <w:gridCol w:w="1890"/>
      </w:tblGrid>
      <w:tr>
        <w:tc>
          <w:tcPr>
            <w:tcW w:type="dxa" w:w="660"/>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2625"/>
            <w:tcBorders>
              <w:top w:val="single" w:color="000000" w:sz="4"/>
              <w:left w:val="single" w:color="000000" w:sz="4"/>
              <w:bottom w:val="single" w:color="000000" w:sz="4"/>
              <w:right w:val="single" w:color="000000" w:sz="4"/>
            </w:tcBorders>
            <w:vAlign w:val="top"/>
          </w:tcPr>
          <w:p>
            <w:pPr>
              <w:jc w:val="center"/>
            </w:pPr>
            <w:r>
              <w:rPr>
                <w:color w:val="000000"/>
                <w:sz w:val="21"/>
              </w:rPr>
              <w:t>有效成份</w:t>
            </w:r>
          </w:p>
        </w:tc>
        <w:tc>
          <w:tcPr>
            <w:tcW w:type="dxa" w:w="1530"/>
            <w:tcBorders>
              <w:top w:val="single" w:color="000000" w:sz="4"/>
              <w:left w:val="single" w:color="000000" w:sz="4"/>
              <w:bottom w:val="single" w:color="000000" w:sz="4"/>
              <w:right w:val="single" w:color="000000" w:sz="4"/>
            </w:tcBorders>
            <w:vAlign w:val="top"/>
          </w:tcPr>
          <w:p>
            <w:pPr>
              <w:jc w:val="center"/>
            </w:pPr>
            <w:r>
              <w:rPr>
                <w:color w:val="000000"/>
                <w:sz w:val="21"/>
              </w:rPr>
              <w:t>规格</w:t>
            </w:r>
          </w:p>
        </w:tc>
        <w:tc>
          <w:tcPr>
            <w:tcW w:type="dxa" w:w="1305"/>
            <w:tcBorders>
              <w:top w:val="single" w:color="000000" w:sz="4"/>
              <w:left w:val="single" w:color="000000" w:sz="4"/>
              <w:bottom w:val="single" w:color="000000" w:sz="4"/>
              <w:right w:val="single" w:color="000000" w:sz="4"/>
            </w:tcBorders>
            <w:vAlign w:val="top"/>
          </w:tcPr>
          <w:p>
            <w:pPr>
              <w:jc w:val="center"/>
            </w:pPr>
            <w:r>
              <w:rPr>
                <w:color w:val="000000"/>
                <w:sz w:val="21"/>
              </w:rPr>
              <w:t>剂型</w:t>
            </w:r>
          </w:p>
        </w:tc>
        <w:tc>
          <w:tcPr>
            <w:tcW w:type="dxa" w:w="1890"/>
            <w:tcBorders>
              <w:top w:val="single" w:color="000000" w:sz="4"/>
              <w:left w:val="single" w:color="000000" w:sz="4"/>
              <w:bottom w:val="single" w:color="000000" w:sz="4"/>
              <w:right w:val="single" w:color="000000" w:sz="4"/>
            </w:tcBorders>
            <w:vAlign w:val="top"/>
          </w:tcPr>
          <w:p>
            <w:pPr>
              <w:jc w:val="center"/>
            </w:pPr>
            <w:r>
              <w:rPr>
                <w:color w:val="000000"/>
                <w:sz w:val="21"/>
              </w:rPr>
              <w:t>要求</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溴鼠灵</w:t>
            </w:r>
            <w:r>
              <w:rPr>
                <w:color w:val="000000"/>
                <w:sz w:val="21"/>
              </w:rPr>
              <w:t>≥0.005%</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100g/包</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饵剂</w:t>
            </w:r>
          </w:p>
        </w:tc>
        <w:tc>
          <w:tcPr>
            <w:tcW w:type="dxa" w:w="1890"/>
            <w:vMerge w:val="restart"/>
            <w:tcBorders>
              <w:top w:val="none" w:color="000000" w:sz="4"/>
              <w:left w:val="single" w:color="000000" w:sz="4"/>
              <w:bottom w:val="single" w:color="000000" w:sz="4"/>
              <w:right w:val="single" w:color="000000" w:sz="4"/>
            </w:tcBorders>
            <w:vAlign w:val="top"/>
          </w:tcPr>
          <w:p>
            <w:pPr>
              <w:jc w:val="both"/>
            </w:pPr>
            <w:r>
              <w:rPr>
                <w:color w:val="000000"/>
                <w:sz w:val="21"/>
              </w:rPr>
              <w:t>药品的三证（农药生产许可证、农药登记证、企业标准封面）、检测报告并加盖厂家公章、厂家为供应商提供本项目药品的优先供货承诺书和质量保证书并加盖厂家公章。</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倍硫磷</w:t>
            </w:r>
            <w:r>
              <w:rPr>
                <w:color w:val="000000"/>
                <w:sz w:val="21"/>
              </w:rPr>
              <w:t>≥5%</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10kg/包</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颗粒剂</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Es-生物烯丙菊酯与氯菊酯混配总含量≥10.5%</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500ml*20瓶/箱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乳油</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高效氯氰菊酯与甲基嘧啶磷混配总含量</w:t>
            </w:r>
            <w:r>
              <w:rPr>
                <w:color w:val="000000"/>
                <w:sz w:val="21"/>
              </w:rPr>
              <w:t>≥7%</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1kg*10瓶/箱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水乳剂</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 xml:space="preserve"> </w:t>
            </w:r>
            <w:r>
              <w:rPr>
                <w:color w:val="000000"/>
                <w:sz w:val="21"/>
              </w:rPr>
              <w:t>残杀威和右旋反式氯丙炔菊酯混配总含量</w:t>
            </w:r>
            <w:r>
              <w:rPr>
                <w:color w:val="000000"/>
                <w:sz w:val="21"/>
              </w:rPr>
              <w:t>≥5%</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1升*10瓶/箱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乳油</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高效氯氰菊酯和残杀威混配总含量</w:t>
            </w:r>
            <w:r>
              <w:rPr>
                <w:color w:val="000000"/>
                <w:sz w:val="21"/>
              </w:rPr>
              <w:t>≥10%</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500g*20瓶/箱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悬浮剂</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氯氰菊酯和敌敌畏混配总含量</w:t>
            </w:r>
            <w:r>
              <w:rPr>
                <w:color w:val="000000"/>
                <w:sz w:val="21"/>
              </w:rPr>
              <w:t>≥20%</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500g*20瓶/箱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乳油</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高效氯氰菊酯和胺菊酯混配总含量</w:t>
            </w:r>
            <w:r>
              <w:rPr>
                <w:color w:val="000000"/>
                <w:sz w:val="21"/>
              </w:rPr>
              <w:t xml:space="preserve">≥2.5%  </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5升*4桶/箱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热雾剂</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高效氯氰菊酯</w:t>
            </w:r>
            <w:r>
              <w:rPr>
                <w:color w:val="000000"/>
                <w:sz w:val="21"/>
              </w:rPr>
              <w:t>≥5%</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500g*20瓶/箱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悬浮剂</w:t>
            </w:r>
          </w:p>
        </w:tc>
      </w:tr>
    </w:tbl>
    <w:p>
      <w:pPr>
        <w:jc w:val="both"/>
      </w:pPr>
      <w:r>
        <w:rPr>
          <w:sz w:val="21"/>
        </w:rPr>
        <w:t xml:space="preserve">    </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r>
        <w:rPr>
          <w:sz w:val="21"/>
        </w:rPr>
        <w:t>3.配备不少</w:t>
      </w:r>
      <w:r>
        <w:rPr>
          <w:sz w:val="21"/>
        </w:rPr>
        <w:t>于10人专业</w:t>
      </w:r>
      <w:r>
        <w:rPr>
          <w:sz w:val="21"/>
        </w:rPr>
        <w:t>防控队伍（具有有害生物防制资质证、上岗证和公共卫生消毒员证书），必须在项目所在地辖区内设有固定办公场所，长期驻点开展日常防控工作，并配合计生办（卫生）部门开展日常巡查工作。</w:t>
      </w:r>
    </w:p>
    <w:p>
      <w:pPr>
        <w:jc w:val="both"/>
      </w:pPr>
      <w:r>
        <w:rPr>
          <w:sz w:val="21"/>
        </w:rPr>
        <w:t xml:space="preserve">    </w:t>
      </w:r>
      <w:r>
        <w:rPr>
          <w:sz w:val="21"/>
        </w:rPr>
        <w:t>4.消杀装备:本项目要求投标人至少提供（1）背负式电动喷雾器不少于6台；（2）超低容量喷雾器不少于10台；（3）热烟雾机不少于5台；（4）大型超低容量设备(分散雾滴＜100μm，静风射程≥40m)不少于2台；（5）服务车辆不少于1辆。</w:t>
      </w:r>
    </w:p>
    <w:p>
      <w:pPr>
        <w:jc w:val="both"/>
      </w:pPr>
      <w:r>
        <w:rPr>
          <w:sz w:val="21"/>
        </w:rPr>
        <w:t xml:space="preserve">    </w:t>
      </w:r>
      <w:r>
        <w:rPr>
          <w:sz w:val="21"/>
        </w:rPr>
        <w:t>5.用药标准及要求</w:t>
      </w:r>
    </w:p>
    <w:p>
      <w:pPr>
        <w:ind w:firstLine="420"/>
        <w:jc w:val="both"/>
      </w:pPr>
      <w:r>
        <w:rPr>
          <w:sz w:val="21"/>
        </w:rPr>
        <w:t>投标人必须注重科学合理用药，不得使用假药、国家禁用的药物，并须确保药物来源和质量正当可靠。达到</w:t>
      </w:r>
      <w:r>
        <w:rPr>
          <w:sz w:val="21"/>
        </w:rPr>
        <w:t>“安全、高效、环保”并交替使用药物防止产生耐药性的要求。为保证用药质量，确保创卫工作顺利进行，使用药物必须按照以下标准和要求执行。</w:t>
      </w:r>
    </w:p>
    <w:p>
      <w:pPr>
        <w:ind w:firstLine="420"/>
        <w:jc w:val="both"/>
      </w:pPr>
    </w:p>
    <w:p>
      <w:pPr>
        <w:jc w:val="both"/>
      </w:pPr>
    </w:p>
    <w:p>
      <w:pPr>
        <w:ind w:firstLine="210"/>
        <w:jc w:val="both"/>
      </w:pPr>
      <w:r>
        <w:rPr>
          <w:sz w:val="21"/>
        </w:rPr>
        <w:t xml:space="preserve">  </w:t>
      </w:r>
      <w:r>
        <w:rPr>
          <w:sz w:val="21"/>
        </w:rPr>
        <w:t>6.认真做好各社区除四害</w:t>
      </w:r>
      <w:r>
        <w:rPr>
          <w:sz w:val="21"/>
        </w:rPr>
        <w:t>消杀</w:t>
      </w:r>
      <w:r>
        <w:rPr>
          <w:sz w:val="21"/>
        </w:rPr>
        <w:t>周记、建立除四害消杀工作台账，及时准确记录统一施药时间、投放药物名称数量、防控工作人员数量、消杀场景图片、面积、并由防控人员和监督检查人员签字确认，并做好防控工作资料的整理归档工作。</w:t>
      </w:r>
    </w:p>
    <w:p>
      <w:pPr>
        <w:jc w:val="both"/>
      </w:pPr>
      <w:r>
        <w:rPr>
          <w:sz w:val="21"/>
        </w:rPr>
        <w:t xml:space="preserve">    </w:t>
      </w:r>
      <w:r>
        <w:rPr>
          <w:sz w:val="21"/>
        </w:rPr>
        <w:t>7.负责每月定期对钟村街范围内防蚊闸板进行检查及清疏工作。</w:t>
      </w:r>
    </w:p>
    <w:p>
      <w:pPr>
        <w:jc w:val="both"/>
      </w:pPr>
      <w:r>
        <w:rPr>
          <w:sz w:val="21"/>
        </w:rPr>
        <w:t xml:space="preserve">    </w:t>
      </w:r>
      <w:r>
        <w:rPr>
          <w:sz w:val="21"/>
        </w:rPr>
        <w:t>8.每次区爱卫办第三方监测机构对社区开展蚊媒密度监测工作时必须安排不少于5名工作人员协助入户开展监测工作。</w:t>
      </w:r>
    </w:p>
    <w:p>
      <w:pPr>
        <w:jc w:val="both"/>
      </w:pPr>
      <w:r>
        <w:rPr>
          <w:sz w:val="21"/>
        </w:rPr>
        <w:t xml:space="preserve">    </w:t>
      </w:r>
      <w:r>
        <w:rPr>
          <w:sz w:val="21"/>
        </w:rPr>
        <w:t>9.登革热防控时期协助计生办（卫生）部门开展灭蚊消杀药品、灭蚊工作宣传品的运输及派发工作。</w:t>
      </w:r>
    </w:p>
    <w:p>
      <w:pPr>
        <w:jc w:val="both"/>
      </w:pPr>
      <w:r>
        <w:rPr>
          <w:sz w:val="21"/>
        </w:rPr>
        <w:t xml:space="preserve">    </w:t>
      </w:r>
      <w:r>
        <w:rPr>
          <w:sz w:val="21"/>
        </w:rPr>
        <w:t>10.在登革热防控时期按照计生办（卫生）部门的工作安排每周安排人员、清洁工具、运输车辆对承包范围内社区、侨队开展清理蚊虫孳生地、卫生死角等爱国卫生运动并对清理后杂物垃圾进行搬运处理。</w:t>
      </w:r>
    </w:p>
    <w:p>
      <w:pPr>
        <w:jc w:val="both"/>
      </w:pPr>
      <w:r>
        <w:rPr>
          <w:sz w:val="21"/>
        </w:rPr>
        <w:t xml:space="preserve">    </w:t>
      </w:r>
      <w:r>
        <w:rPr>
          <w:sz w:val="21"/>
        </w:rPr>
        <w:t>11.登革热疫情出现疫点时，采购人通知中标人后须当天立即安排人员进行疫点应急消杀，疫点处理所需的消杀人员、药品及器械由中标人负责，直至达到上级疾控部门解除疫点处置要求为止。</w:t>
      </w:r>
    </w:p>
    <w:p>
      <w:pPr>
        <w:jc w:val="both"/>
      </w:pPr>
      <w:r>
        <w:rPr>
          <w:sz w:val="21"/>
        </w:rPr>
        <w:t xml:space="preserve">    </w:t>
      </w:r>
      <w:r>
        <w:rPr>
          <w:sz w:val="21"/>
        </w:rPr>
        <w:t>12.配合做好登革热时期上级部门各项考核迎检工作和临时性任务（含检查、蚊虫孳生地清理、重大活动等）。</w:t>
      </w:r>
    </w:p>
    <w:p>
      <w:pPr>
        <w:jc w:val="both"/>
      </w:pPr>
      <w:r>
        <w:rPr>
          <w:sz w:val="21"/>
        </w:rPr>
        <w:t xml:space="preserve">    </w:t>
      </w:r>
      <w:r>
        <w:rPr>
          <w:sz w:val="21"/>
        </w:rPr>
        <w:t>13.投标人中标后须在项目所在地设立固定的办公场所。</w:t>
      </w:r>
    </w:p>
    <w:p>
      <w:pPr>
        <w:jc w:val="both"/>
      </w:pPr>
      <w:r>
        <w:rPr>
          <w:sz w:val="21"/>
        </w:rPr>
        <w:t xml:space="preserve">    </w:t>
      </w:r>
      <w:r>
        <w:rPr>
          <w:sz w:val="21"/>
        </w:rPr>
        <w:t>14.负责消杀工作人员的聘用、业务技能培训及工资福利，必须按国家、省、市有关规定支付工人工资，并按《劳动法》的规定与员工签订劳动合同，为员工购买社会保险等。</w:t>
      </w:r>
    </w:p>
    <w:p>
      <w:pPr>
        <w:jc w:val="both"/>
      </w:pPr>
      <w:r>
        <w:rPr>
          <w:sz w:val="21"/>
        </w:rPr>
        <w:t xml:space="preserve">    </w:t>
      </w:r>
      <w:r>
        <w:rPr>
          <w:sz w:val="21"/>
        </w:rPr>
        <w:t>15.本服务项目不得转包，合同一方因不可抗力原因不能履行合同要提前30天书面通知发包单位，经双方协商后再作决定。</w:t>
      </w:r>
    </w:p>
    <w:p>
      <w:pPr>
        <w:jc w:val="both"/>
      </w:pPr>
      <w:r>
        <w:rPr>
          <w:sz w:val="21"/>
        </w:rPr>
        <w:t xml:space="preserve">    </w:t>
      </w:r>
      <w:r>
        <w:rPr>
          <w:sz w:val="21"/>
        </w:rPr>
        <w:t>16.本项目为大包干项目，投标人承包及负责招标文件对投标人要求的一切事宜及责任。投标报价包含项目策划、人员工资、福利、保险、加班费、突发性作业费、劳保费等所有费用、药物费、工具机械费、包装、仓储、运输、安装、调试、检测、验收、技术服务、保质期保障、所有税费和其他服务以及合同实施过程中应预见和不可预见的一切费用。如发生缺漏项视同以包含在报价之中。投标人中标后不得再向采购人收取任何费用。</w:t>
      </w:r>
    </w:p>
    <w:p>
      <w:pPr>
        <w:jc w:val="both"/>
      </w:pPr>
      <w:r>
        <w:rPr>
          <w:sz w:val="21"/>
        </w:rPr>
        <w:t xml:space="preserve">    </w:t>
      </w:r>
      <w:r>
        <w:rPr>
          <w:sz w:val="21"/>
        </w:rPr>
        <w:t>三</w:t>
      </w:r>
      <w:r>
        <w:rPr>
          <w:b/>
          <w:sz w:val="21"/>
        </w:rPr>
        <w:t>、服务质量标准</w:t>
      </w:r>
    </w:p>
    <w:p>
      <w:pPr>
        <w:ind w:firstLine="422"/>
        <w:jc w:val="left"/>
      </w:pPr>
      <w:r>
        <w:rPr>
          <w:b/>
          <w:sz w:val="21"/>
        </w:rPr>
        <w:t>1.鼠密度控制水平</w:t>
      </w:r>
    </w:p>
    <w:p>
      <w:pPr>
        <w:ind w:firstLine="420"/>
        <w:jc w:val="left"/>
      </w:pPr>
      <w:r>
        <w:rPr>
          <w:sz w:val="21"/>
        </w:rPr>
        <w:t>1.1防鼠设施：防鼠设施合格率大于或等于93%，必须达C级以上。</w:t>
      </w:r>
    </w:p>
    <w:p>
      <w:pPr>
        <w:ind w:firstLine="420"/>
        <w:jc w:val="left"/>
      </w:pPr>
      <w:r>
        <w:rPr>
          <w:sz w:val="21"/>
        </w:rPr>
        <w:t>1.2室内鼠密度：鼠迹阳性率小于或等于5%，必须达C级以上。</w:t>
      </w:r>
    </w:p>
    <w:p>
      <w:pPr>
        <w:ind w:firstLine="420"/>
        <w:jc w:val="left"/>
      </w:pPr>
      <w:r>
        <w:rPr>
          <w:sz w:val="21"/>
        </w:rPr>
        <w:t>1.3外环境：路径指数小于或等于5，必须达C级以上。</w:t>
      </w:r>
    </w:p>
    <w:p>
      <w:pPr>
        <w:ind w:firstLine="422"/>
        <w:jc w:val="left"/>
      </w:pPr>
      <w:r>
        <w:rPr>
          <w:b/>
          <w:sz w:val="21"/>
        </w:rPr>
        <w:t>2.蜚蠊密度控制水平</w:t>
      </w:r>
    </w:p>
    <w:p>
      <w:pPr>
        <w:ind w:firstLine="420"/>
        <w:jc w:val="left"/>
      </w:pPr>
      <w:r>
        <w:rPr>
          <w:sz w:val="21"/>
        </w:rPr>
        <w:t>2.1成若虫侵害率：蜚蠊成若虫侵害率小于或等于5%，平均每阳性（处）成若虫数小蠊小于或等于10只，大蠊小于或等于5只。达C级以上。</w:t>
      </w:r>
    </w:p>
    <w:p>
      <w:pPr>
        <w:ind w:firstLine="420"/>
        <w:jc w:val="left"/>
      </w:pPr>
      <w:r>
        <w:rPr>
          <w:sz w:val="21"/>
        </w:rPr>
        <w:t>2.2卵鞘查获率：蜚蠊卵鞘查获率小于或等于3%，平均每阳性房间（处）卵鞘数小于或等于8只。达C级以上。</w:t>
      </w:r>
    </w:p>
    <w:p>
      <w:pPr>
        <w:ind w:firstLine="420"/>
        <w:jc w:val="left"/>
      </w:pPr>
      <w:r>
        <w:rPr>
          <w:sz w:val="21"/>
        </w:rPr>
        <w:t>2.3蟑迹查获率：蟑迹查获率小于或等于7%。达C级以上。</w:t>
      </w:r>
    </w:p>
    <w:p>
      <w:pPr>
        <w:ind w:firstLine="422"/>
        <w:jc w:val="left"/>
      </w:pPr>
      <w:r>
        <w:rPr>
          <w:b/>
          <w:sz w:val="21"/>
        </w:rPr>
        <w:t>3.蝇类控制水平</w:t>
      </w:r>
    </w:p>
    <w:p>
      <w:pPr>
        <w:ind w:firstLine="420"/>
        <w:jc w:val="left"/>
      </w:pPr>
      <w:r>
        <w:rPr>
          <w:sz w:val="21"/>
        </w:rPr>
        <w:t>3.1生产销售直接入口食品的场所不得有蝇。室内不得存在蝇类孳生地，必须达C级以上。</w:t>
      </w:r>
    </w:p>
    <w:p>
      <w:pPr>
        <w:ind w:firstLine="420"/>
        <w:jc w:val="left"/>
      </w:pPr>
      <w:r>
        <w:rPr>
          <w:sz w:val="21"/>
        </w:rPr>
        <w:t>3.2室内成蝇密度：有蝇房间阳性率小于或等于9%，阳性间蝇密度小于或等于3只/间，必须达C级以上。</w:t>
      </w:r>
    </w:p>
    <w:p>
      <w:pPr>
        <w:ind w:firstLine="420"/>
        <w:jc w:val="left"/>
      </w:pPr>
      <w:r>
        <w:rPr>
          <w:sz w:val="21"/>
        </w:rPr>
        <w:t>3.3室外蝇类孳生地密度：蝇类孳生地阳性率小于或等于5%，必须达C级以上。</w:t>
      </w:r>
    </w:p>
    <w:p>
      <w:pPr>
        <w:ind w:firstLine="420"/>
        <w:jc w:val="left"/>
      </w:pPr>
      <w:r>
        <w:rPr>
          <w:sz w:val="21"/>
        </w:rPr>
        <w:t>3.4防蝇设施：防蝇设施合格率大于或等于90%，必须达C级以上。</w:t>
      </w:r>
    </w:p>
    <w:p>
      <w:pPr>
        <w:ind w:firstLine="422"/>
        <w:jc w:val="left"/>
      </w:pPr>
      <w:r>
        <w:rPr>
          <w:b/>
          <w:sz w:val="21"/>
        </w:rPr>
        <w:t>4.蚊密度控制水平</w:t>
      </w:r>
    </w:p>
    <w:p>
      <w:pPr>
        <w:ind w:firstLine="420"/>
        <w:jc w:val="left"/>
      </w:pPr>
      <w:r>
        <w:rPr>
          <w:sz w:val="21"/>
        </w:rPr>
        <w:t>4.1小型积水蚊虫密度：路径指数小于或等于0.8，达C级以上。</w:t>
      </w:r>
    </w:p>
    <w:p>
      <w:pPr>
        <w:ind w:firstLine="420"/>
        <w:jc w:val="left"/>
      </w:pPr>
      <w:r>
        <w:rPr>
          <w:sz w:val="21"/>
        </w:rPr>
        <w:t>4.2大中型水体蚊虫密度：采样勺指数小于或等于5%，平均每阳性勺少于8只蚊虫幼虫和蛹，达C级以上。</w:t>
      </w:r>
    </w:p>
    <w:p>
      <w:pPr>
        <w:jc w:val="both"/>
      </w:pPr>
      <w:r>
        <w:rPr>
          <w:sz w:val="21"/>
        </w:rPr>
        <w:t xml:space="preserve">    </w:t>
      </w:r>
      <w:r>
        <w:rPr>
          <w:sz w:val="21"/>
        </w:rPr>
        <w:t>4.3外环境蚊虫密度：停落指数小于或等于1.5，达C级以上。</w:t>
      </w:r>
    </w:p>
    <w:p>
      <w:pPr>
        <w:ind w:firstLine="422"/>
        <w:jc w:val="both"/>
      </w:pPr>
      <w:r>
        <w:rPr>
          <w:b/>
          <w:sz w:val="21"/>
        </w:rPr>
        <w:t>四、付款方式</w:t>
      </w:r>
    </w:p>
    <w:p>
      <w:pPr>
        <w:ind w:firstLine="420"/>
        <w:jc w:val="left"/>
      </w:pPr>
    </w:p>
    <w:p>
      <w:pPr>
        <w:ind w:firstLine="420"/>
        <w:jc w:val="left"/>
      </w:pPr>
      <w:r>
        <w:rPr>
          <w:sz w:val="21"/>
        </w:rPr>
        <w:t>1.每年的服务费按照合同中的年度服务费金额，分12次（月）进行支付，以此类推三年。</w:t>
      </w:r>
    </w:p>
    <w:p>
      <w:pPr>
        <w:ind w:firstLine="420"/>
        <w:jc w:val="left"/>
      </w:pPr>
      <w:r>
        <w:rPr>
          <w:sz w:val="21"/>
        </w:rPr>
        <w:t>2.每次（月）支付时，由采购人出具月度考核报告，按“考评与奖惩”中的规定，计算出当月考核评分，采购人根据考核评分计算当</w:t>
      </w:r>
      <w:r>
        <w:rPr>
          <w:sz w:val="21"/>
        </w:rPr>
        <w:t>月</w:t>
      </w:r>
      <w:r>
        <w:rPr>
          <w:sz w:val="21"/>
        </w:rPr>
        <w:t>服务</w:t>
      </w:r>
      <w:r>
        <w:rPr>
          <w:sz w:val="21"/>
        </w:rPr>
        <w:t>费总额</w:t>
      </w:r>
      <w:r>
        <w:rPr>
          <w:sz w:val="21"/>
        </w:rPr>
        <w:t>，并给</w:t>
      </w:r>
      <w:r>
        <w:rPr>
          <w:sz w:val="21"/>
        </w:rPr>
        <w:t>中标人</w:t>
      </w:r>
      <w:r>
        <w:rPr>
          <w:sz w:val="21"/>
        </w:rPr>
        <w:t>。</w:t>
      </w:r>
    </w:p>
    <w:p>
      <w:pPr>
        <w:ind w:firstLine="420"/>
        <w:jc w:val="left"/>
      </w:pPr>
      <w:r>
        <w:rPr>
          <w:sz w:val="21"/>
        </w:rPr>
        <w:t>3.中标人申请支付服务费时向采购人开具等额国家完税服务类发票。</w:t>
      </w:r>
    </w:p>
    <w:p>
      <w:pPr>
        <w:ind w:firstLine="420"/>
        <w:jc w:val="both"/>
      </w:pPr>
      <w:r>
        <w:rPr>
          <w:sz w:val="21"/>
        </w:rPr>
        <w:t>4.由于服务费的计量拨付需经财政部门审批，实际支付时间可能滞后于合同约定的时限，采购人不做补偿，中标人不得因费用拨付滞后而影响正常工作开展和消杀质量。</w:t>
      </w:r>
    </w:p>
    <w:p>
      <w:pPr>
        <w:ind w:firstLine="420"/>
        <w:jc w:val="left"/>
      </w:pPr>
      <w:r>
        <w:rPr>
          <w:sz w:val="21"/>
        </w:rPr>
        <w:t>5.</w:t>
      </w:r>
      <w:r>
        <w:rPr>
          <w:sz w:val="21"/>
        </w:rPr>
        <w:t>为确保合同履行过程中合同双方遵守诚信原则，</w:t>
      </w:r>
      <w:r>
        <w:rPr>
          <w:sz w:val="21"/>
        </w:rPr>
        <w:t>采购人</w:t>
      </w:r>
      <w:r>
        <w:rPr>
          <w:sz w:val="21"/>
        </w:rPr>
        <w:t>预留</w:t>
      </w:r>
      <w:r>
        <w:rPr>
          <w:sz w:val="21"/>
        </w:rPr>
        <w:t>5%</w:t>
      </w:r>
      <w:r>
        <w:rPr>
          <w:sz w:val="21"/>
        </w:rPr>
        <w:t>作为履约保证金或提供采购人认可的合同总价</w:t>
      </w:r>
      <w:r>
        <w:rPr>
          <w:sz w:val="21"/>
        </w:rPr>
        <w:t>5</w:t>
      </w:r>
      <w:r>
        <w:rPr>
          <w:sz w:val="21"/>
        </w:rPr>
        <w:t>%</w:t>
      </w:r>
      <w:r>
        <w:rPr>
          <w:sz w:val="21"/>
        </w:rPr>
        <w:t>且期限到合同期满不可撤销的履约保函</w:t>
      </w:r>
      <w:r>
        <w:rPr>
          <w:sz w:val="21"/>
        </w:rPr>
        <w:t>。若提供履约保证金，</w:t>
      </w:r>
      <w:r>
        <w:rPr>
          <w:sz w:val="21"/>
        </w:rPr>
        <w:t>中标人</w:t>
      </w:r>
      <w:r>
        <w:rPr>
          <w:sz w:val="21"/>
        </w:rPr>
        <w:t>完成本合同全部服务内容且经采购人审核通过后三个月内</w:t>
      </w:r>
      <w:r>
        <w:rPr>
          <w:sz w:val="21"/>
        </w:rPr>
        <w:t>，采购人</w:t>
      </w:r>
      <w:r>
        <w:rPr>
          <w:sz w:val="21"/>
        </w:rPr>
        <w:t>暂无发现</w:t>
      </w:r>
      <w:r>
        <w:rPr>
          <w:sz w:val="21"/>
        </w:rPr>
        <w:t>中标人</w:t>
      </w:r>
      <w:r>
        <w:rPr>
          <w:sz w:val="21"/>
        </w:rPr>
        <w:t>存在虚假结算、行贿、受贿等情形的，采购人于</w:t>
      </w:r>
      <w:r>
        <w:rPr>
          <w:sz w:val="21"/>
        </w:rPr>
        <w:t>5</w:t>
      </w:r>
      <w:r>
        <w:rPr>
          <w:sz w:val="21"/>
        </w:rPr>
        <w:t>个工作日内无息退还履约保证金金额。采购人约定的退款时间为向政府采购支付部门提出办理财政支付申请手续的时间（不含政府财政支付部门审核的时间），在上述约定的时间内提出支付申请手续后即视为采购人已经按期退款。</w:t>
      </w:r>
    </w:p>
    <w:p>
      <w:pPr>
        <w:ind w:firstLine="420"/>
        <w:jc w:val="left"/>
      </w:pPr>
    </w:p>
    <w:p>
      <w:pPr>
        <w:ind w:firstLine="422"/>
        <w:jc w:val="both"/>
      </w:pPr>
      <w:r>
        <w:rPr>
          <w:b/>
          <w:sz w:val="21"/>
        </w:rPr>
        <w:t>五、考评与奖惩</w:t>
      </w:r>
    </w:p>
    <w:p>
      <w:pPr>
        <w:ind w:firstLine="420"/>
        <w:jc w:val="left"/>
      </w:pPr>
      <w:r>
        <w:rPr>
          <w:sz w:val="21"/>
        </w:rPr>
        <w:t>1.考评主体</w:t>
      </w:r>
    </w:p>
    <w:p>
      <w:pPr>
        <w:ind w:firstLine="420"/>
        <w:jc w:val="left"/>
      </w:pPr>
      <w:r>
        <w:rPr>
          <w:sz w:val="21"/>
        </w:rPr>
        <w:t>为保证服务质量，采购人负责对中标人的服务质量进行监督管理和检查考评。</w:t>
      </w:r>
    </w:p>
    <w:p>
      <w:pPr>
        <w:ind w:firstLine="420"/>
        <w:jc w:val="left"/>
      </w:pPr>
      <w:r>
        <w:rPr>
          <w:sz w:val="21"/>
        </w:rPr>
        <w:t>2.考评方式</w:t>
      </w:r>
    </w:p>
    <w:p>
      <w:pPr>
        <w:ind w:firstLine="420"/>
        <w:jc w:val="left"/>
      </w:pPr>
      <w:r>
        <w:rPr>
          <w:sz w:val="21"/>
        </w:rPr>
        <w:t>2.1日常巡查</w:t>
      </w:r>
    </w:p>
    <w:p>
      <w:pPr>
        <w:ind w:firstLine="420"/>
        <w:jc w:val="left"/>
      </w:pPr>
      <w:r>
        <w:rPr>
          <w:sz w:val="21"/>
        </w:rPr>
        <w:t>1）中标人需配备专门巡查人员，自行安排日常巡查，发现问题及时处理。</w:t>
      </w:r>
    </w:p>
    <w:p>
      <w:pPr>
        <w:ind w:firstLine="420"/>
        <w:jc w:val="left"/>
      </w:pPr>
      <w:r>
        <w:rPr>
          <w:sz w:val="21"/>
        </w:rPr>
        <w:t>2）采购人安排人员负责日常巡查并建立记录档案，发现问题通知中标人限期解决。</w:t>
      </w:r>
    </w:p>
    <w:p>
      <w:pPr>
        <w:ind w:firstLine="420"/>
        <w:jc w:val="left"/>
      </w:pPr>
      <w:r>
        <w:rPr>
          <w:sz w:val="21"/>
        </w:rPr>
        <w:t>2.2考评与奖惩</w:t>
      </w:r>
    </w:p>
    <w:p>
      <w:pPr>
        <w:ind w:firstLine="420"/>
        <w:jc w:val="left"/>
      </w:pPr>
      <w:r>
        <w:rPr>
          <w:sz w:val="21"/>
        </w:rPr>
        <w:t>1）采购人在服务期满一年后对中标人的服务进行考核，考核通过的才能继续下一年度的服务，如未能通过考核的，采购人有权单方面终止合同，将该项目另行招标。</w:t>
      </w:r>
    </w:p>
    <w:p>
      <w:pPr>
        <w:ind w:firstLine="420"/>
        <w:jc w:val="left"/>
      </w:pPr>
      <w:r>
        <w:rPr>
          <w:sz w:val="21"/>
        </w:rPr>
        <w:t>2）采购人每月对中标人消杀质量进行不少于1次的抽检考核，考核评分项目内容及扣分标准由采购人制定，采购人确认后实施，中标人需无条件遵照执行。</w:t>
      </w:r>
    </w:p>
    <w:p>
      <w:pPr>
        <w:ind w:firstLine="420"/>
        <w:jc w:val="left"/>
      </w:pPr>
      <w:r>
        <w:rPr>
          <w:sz w:val="21"/>
        </w:rPr>
        <w:t>月考核要求：满分</w:t>
      </w:r>
      <w:r>
        <w:rPr>
          <w:sz w:val="21"/>
        </w:rPr>
        <w:t>100分，按下列原则评定：</w:t>
      </w:r>
    </w:p>
    <w:p>
      <w:pPr>
        <w:ind w:firstLine="420"/>
        <w:jc w:val="left"/>
      </w:pPr>
      <w:r>
        <w:rPr>
          <w:sz w:val="21"/>
        </w:rPr>
        <w:t>a.90分以上的（含90分）视为合格；采购人按付款方式的约定支付当期服务费；</w:t>
      </w:r>
    </w:p>
    <w:p>
      <w:pPr>
        <w:ind w:firstLine="420"/>
        <w:jc w:val="left"/>
      </w:pPr>
      <w:r>
        <w:rPr>
          <w:sz w:val="21"/>
        </w:rPr>
        <w:t>b.低于90分的视为不合格；月考核成绩每低于90分1分（不足1分按1分计，下同）则扣减中标人当月服务费的1%；扣分超过20分的（得分低于70分）扣减中标人当月全部服务费；</w:t>
      </w:r>
    </w:p>
    <w:p>
      <w:pPr>
        <w:ind w:firstLine="420"/>
        <w:jc w:val="left"/>
      </w:pPr>
      <w:r>
        <w:rPr>
          <w:sz w:val="21"/>
        </w:rPr>
        <w:t>c.连续3个月考核不合格或一年内不合格次数累计达到5次的，采购人有权取消其中标资格，解除合同另选其他单位承接消杀任务。</w:t>
      </w:r>
    </w:p>
    <w:p>
      <w:pPr>
        <w:ind w:firstLine="420"/>
        <w:jc w:val="left"/>
      </w:pPr>
      <w:r>
        <w:rPr>
          <w:sz w:val="21"/>
        </w:rPr>
        <w:t>3）中标人在全国、省的重要检查或重大突击性任务中，发现属中标人质量责任问题，经查属实，且不及时或不配合整改，受到上级或市和区本级职能部门通报批评两次以上，每一次扣减当月的全部服务经费。</w:t>
      </w:r>
    </w:p>
    <w:p>
      <w:pPr>
        <w:ind w:firstLine="420"/>
        <w:jc w:val="left"/>
      </w:pPr>
      <w:r>
        <w:rPr>
          <w:sz w:val="21"/>
        </w:rPr>
        <w:t>4）对于上级或采购人及监督管理部门提出的书面整改意见或群众投诉、传媒曝光等问题，中标人不进行整改或整改后，经监督管理部门检查仍不符合质量标准要求的同类问题，承包期内每年累计三次的，每一次除扣减当月全部服务经费。</w:t>
      </w:r>
    </w:p>
    <w:p>
      <w:pPr>
        <w:ind w:firstLine="420"/>
        <w:jc w:val="left"/>
      </w:pPr>
      <w:r>
        <w:rPr>
          <w:sz w:val="21"/>
        </w:rPr>
        <w:t>5）采购人在服务期内有权结合实际需求及相关法规规范的变更，更新、调整考核项目内容及扣分标准。</w:t>
      </w:r>
    </w:p>
    <w:p>
      <w:pPr>
        <w:ind w:firstLine="420"/>
        <w:jc w:val="center"/>
      </w:pPr>
    </w:p>
    <w:p>
      <w:pPr>
        <w:ind w:firstLine="422"/>
        <w:jc w:val="center"/>
      </w:pPr>
      <w:r>
        <w:rPr>
          <w:b/>
          <w:sz w:val="21"/>
        </w:rPr>
        <w:t>考核表</w:t>
      </w:r>
    </w:p>
    <w:p>
      <w:pPr>
        <w:ind w:firstLine="420"/>
        <w:jc w:val="left"/>
      </w:pP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10"/>
        <w:gridCol w:w="953"/>
        <w:gridCol w:w="597"/>
        <w:gridCol w:w="5520"/>
        <w:gridCol w:w="597"/>
      </w:tblGrid>
      <w:tr>
        <w:tc>
          <w:tcPr>
            <w:tcW w:type="dxa" w:w="1563"/>
            <w:gridSpan w:val="2"/>
            <w:tcBorders>
              <w:top w:val="single" w:color="000000" w:sz="4"/>
              <w:left w:val="single" w:color="000000" w:sz="4"/>
              <w:bottom w:val="single" w:color="000000" w:sz="4"/>
              <w:right w:val="single" w:color="000000" w:sz="4"/>
            </w:tcBorders>
            <w:vAlign w:val="top"/>
          </w:tcPr>
          <w:p>
            <w:pPr>
              <w:jc w:val="center"/>
            </w:pPr>
            <w:r>
              <w:rPr>
                <w:b/>
                <w:sz w:val="21"/>
              </w:rPr>
              <w:t>项目</w:t>
            </w:r>
          </w:p>
        </w:tc>
        <w:tc>
          <w:tcPr>
            <w:tcW w:type="dxa" w:w="597"/>
            <w:tcBorders>
              <w:top w:val="single" w:color="000000" w:sz="4"/>
              <w:left w:val="none" w:color="000000" w:sz="4"/>
              <w:bottom w:val="single" w:color="000000" w:sz="4"/>
              <w:right w:val="single" w:color="000000" w:sz="4"/>
            </w:tcBorders>
            <w:vAlign w:val="top"/>
          </w:tcPr>
          <w:p>
            <w:pPr>
              <w:jc w:val="center"/>
            </w:pPr>
            <w:r>
              <w:rPr>
                <w:b/>
                <w:sz w:val="21"/>
              </w:rPr>
              <w:t>分值</w:t>
            </w:r>
          </w:p>
        </w:tc>
        <w:tc>
          <w:tcPr>
            <w:tcW w:type="dxa" w:w="5520"/>
            <w:tcBorders>
              <w:top w:val="single" w:color="000000" w:sz="4"/>
              <w:left w:val="none" w:color="000000" w:sz="4"/>
              <w:bottom w:val="single" w:color="000000" w:sz="4"/>
              <w:right w:val="single" w:color="000000" w:sz="4"/>
            </w:tcBorders>
            <w:vAlign w:val="top"/>
          </w:tcPr>
          <w:p>
            <w:pPr>
              <w:jc w:val="center"/>
            </w:pPr>
            <w:r>
              <w:rPr>
                <w:b/>
                <w:sz w:val="21"/>
              </w:rPr>
              <w:t>考核项目</w:t>
            </w:r>
          </w:p>
        </w:tc>
        <w:tc>
          <w:tcPr>
            <w:tcW w:type="dxa" w:w="597"/>
            <w:tcBorders>
              <w:top w:val="single" w:color="000000" w:sz="4"/>
              <w:left w:val="none" w:color="000000" w:sz="4"/>
              <w:bottom w:val="single" w:color="000000" w:sz="4"/>
              <w:right w:val="single" w:color="000000" w:sz="4"/>
            </w:tcBorders>
            <w:vAlign w:val="top"/>
          </w:tcPr>
          <w:p>
            <w:pPr>
              <w:jc w:val="center"/>
            </w:pPr>
            <w:r>
              <w:rPr>
                <w:b/>
                <w:sz w:val="21"/>
              </w:rPr>
              <w:t>扣分</w:t>
            </w:r>
          </w:p>
        </w:tc>
      </w:tr>
      <w:tr>
        <w:tc>
          <w:tcPr>
            <w:tcW w:type="dxa" w:w="610"/>
            <w:vMerge w:val="restart"/>
            <w:tcBorders>
              <w:top w:val="none" w:color="000000" w:sz="4"/>
              <w:left w:val="single" w:color="000000" w:sz="4"/>
              <w:bottom w:val="single" w:color="000000" w:sz="4"/>
              <w:right w:val="single" w:color="000000" w:sz="4"/>
            </w:tcBorders>
            <w:vAlign w:val="top"/>
          </w:tcPr>
          <w:p>
            <w:pPr>
              <w:jc w:val="center"/>
            </w:pPr>
            <w:r>
              <w:rPr>
                <w:sz w:val="21"/>
              </w:rPr>
              <w:t>一、基本要求</w:t>
            </w:r>
          </w:p>
        </w:tc>
        <w:tc>
          <w:tcPr>
            <w:tcW w:type="dxa" w:w="953"/>
            <w:vMerge w:val="restart"/>
            <w:tcBorders>
              <w:top w:val="none" w:color="000000" w:sz="4"/>
              <w:left w:val="none" w:color="000000" w:sz="4"/>
              <w:bottom w:val="single" w:color="000000" w:sz="4"/>
              <w:right w:val="single" w:color="000000" w:sz="4"/>
            </w:tcBorders>
            <w:vAlign w:val="top"/>
          </w:tcPr>
          <w:p>
            <w:pPr>
              <w:jc w:val="center"/>
            </w:pPr>
            <w:r>
              <w:rPr>
                <w:sz w:val="21"/>
              </w:rPr>
              <w:t>40</w:t>
            </w:r>
            <w:r>
              <w:rPr>
                <w:sz w:val="21"/>
              </w:rPr>
              <w:t>分</w:t>
            </w:r>
          </w:p>
        </w:tc>
        <w:tc>
          <w:tcPr>
            <w:tcW w:type="dxa" w:w="597"/>
            <w:tcBorders>
              <w:top w:val="none" w:color="000000" w:sz="4"/>
              <w:left w:val="none" w:color="000000" w:sz="4"/>
              <w:bottom w:val="single" w:color="000000" w:sz="4"/>
              <w:right w:val="single" w:color="000000" w:sz="4"/>
            </w:tcBorders>
            <w:vAlign w:val="top"/>
          </w:tcPr>
          <w:p>
            <w:pPr>
              <w:jc w:val="center"/>
            </w:pPr>
            <w:r>
              <w:rPr>
                <w:sz w:val="21"/>
              </w:rPr>
              <w:t>4</w:t>
            </w:r>
          </w:p>
        </w:tc>
        <w:tc>
          <w:tcPr>
            <w:tcW w:type="dxa" w:w="5520"/>
            <w:tcBorders>
              <w:top w:val="none" w:color="000000" w:sz="4"/>
              <w:left w:val="none" w:color="000000" w:sz="4"/>
              <w:bottom w:val="single" w:color="000000" w:sz="4"/>
              <w:right w:val="single" w:color="000000" w:sz="4"/>
            </w:tcBorders>
            <w:vAlign w:val="top"/>
          </w:tcPr>
          <w:p>
            <w:pPr>
              <w:jc w:val="both"/>
            </w:pPr>
            <w:r>
              <w:rPr>
                <w:sz w:val="21"/>
              </w:rPr>
              <w:t>1.</w:t>
            </w:r>
            <w:r>
              <w:rPr>
                <w:sz w:val="21"/>
              </w:rPr>
              <w:t>按要求进行人员配置，未达要求的，每缺</w:t>
            </w:r>
            <w:r>
              <w:rPr>
                <w:sz w:val="21"/>
              </w:rPr>
              <w:t>1</w:t>
            </w:r>
            <w:r>
              <w:rPr>
                <w:sz w:val="21"/>
              </w:rPr>
              <w:t>人</w:t>
            </w:r>
          </w:p>
        </w:tc>
        <w:tc>
          <w:tcPr>
            <w:tcW w:type="dxa" w:w="59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c>
          <w:tcPr>
            <w:tcW w:type="dxa" w:w="5520"/>
            <w:tcBorders>
              <w:top w:val="none" w:color="000000" w:sz="4"/>
              <w:left w:val="none" w:color="000000" w:sz="4"/>
              <w:bottom w:val="single" w:color="000000" w:sz="4"/>
              <w:right w:val="single" w:color="000000" w:sz="4"/>
            </w:tcBorders>
            <w:vAlign w:val="top"/>
          </w:tcPr>
          <w:p>
            <w:pPr>
              <w:jc w:val="left"/>
            </w:pPr>
            <w:r>
              <w:rPr>
                <w:sz w:val="21"/>
              </w:rPr>
              <w:t>2.</w:t>
            </w:r>
            <w:r>
              <w:rPr>
                <w:sz w:val="21"/>
              </w:rPr>
              <w:t>按要求配置设备，未达要求的，每缺一台设备</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12</w:t>
            </w:r>
          </w:p>
        </w:tc>
        <w:tc>
          <w:tcPr>
            <w:tcW w:type="dxa" w:w="5520"/>
            <w:tcBorders>
              <w:top w:val="none" w:color="000000" w:sz="4"/>
              <w:left w:val="none" w:color="000000" w:sz="4"/>
              <w:bottom w:val="single" w:color="000000" w:sz="4"/>
              <w:right w:val="single" w:color="000000" w:sz="4"/>
            </w:tcBorders>
            <w:vAlign w:val="top"/>
          </w:tcPr>
          <w:p>
            <w:pPr>
              <w:jc w:val="both"/>
            </w:pPr>
            <w:r>
              <w:rPr>
                <w:sz w:val="21"/>
              </w:rPr>
              <w:t>3.</w:t>
            </w:r>
            <w:r>
              <w:rPr>
                <w:sz w:val="21"/>
              </w:rPr>
              <w:t>按要求定期进行各项消杀，未落实的，每项</w:t>
            </w: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left"/>
            </w:pPr>
            <w:r>
              <w:rPr>
                <w:sz w:val="21"/>
              </w:rPr>
              <w:t>4.</w:t>
            </w:r>
            <w:r>
              <w:rPr>
                <w:sz w:val="21"/>
              </w:rPr>
              <w:t>按要求落实密度监测，未落实的，每项</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both"/>
            </w:pPr>
            <w:r>
              <w:rPr>
                <w:sz w:val="21"/>
              </w:rPr>
              <w:t>5.</w:t>
            </w:r>
            <w:r>
              <w:rPr>
                <w:sz w:val="21"/>
              </w:rPr>
              <w:t>按要求落实滋生地调查，未落实的，每项</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left"/>
            </w:pPr>
            <w:r>
              <w:rPr>
                <w:sz w:val="21"/>
              </w:rPr>
              <w:t>6.</w:t>
            </w:r>
            <w:r>
              <w:rPr>
                <w:sz w:val="21"/>
              </w:rPr>
              <w:t>按采购人要求报送工作计划、工作记录、质检记录、药品台帐等资料，每缺一项</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0.3</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c>
          <w:tcPr>
            <w:tcW w:type="dxa" w:w="5520"/>
            <w:tcBorders>
              <w:top w:val="none" w:color="000000" w:sz="4"/>
              <w:left w:val="none" w:color="000000" w:sz="4"/>
              <w:bottom w:val="single" w:color="000000" w:sz="4"/>
              <w:right w:val="single" w:color="000000" w:sz="4"/>
            </w:tcBorders>
            <w:vAlign w:val="top"/>
          </w:tcPr>
          <w:p>
            <w:pPr>
              <w:jc w:val="both"/>
            </w:pPr>
            <w:r>
              <w:rPr>
                <w:sz w:val="21"/>
              </w:rPr>
              <w:t>7.</w:t>
            </w:r>
            <w:r>
              <w:rPr>
                <w:sz w:val="21"/>
              </w:rPr>
              <w:t>消杀过程不得使用违禁药品或无效药物，未达要求的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0.5</w:t>
            </w:r>
          </w:p>
        </w:tc>
        <w:tc>
          <w:tcPr>
            <w:tcW w:type="dxa" w:w="5520"/>
            <w:tcBorders>
              <w:top w:val="none" w:color="000000" w:sz="4"/>
              <w:left w:val="none" w:color="000000" w:sz="4"/>
              <w:bottom w:val="single" w:color="000000" w:sz="4"/>
              <w:right w:val="single" w:color="000000" w:sz="4"/>
            </w:tcBorders>
            <w:vAlign w:val="top"/>
          </w:tcPr>
          <w:p>
            <w:pPr>
              <w:jc w:val="left"/>
            </w:pPr>
            <w:r>
              <w:rPr>
                <w:sz w:val="21"/>
              </w:rPr>
              <w:t>8.</w:t>
            </w:r>
            <w:r>
              <w:rPr>
                <w:sz w:val="21"/>
              </w:rPr>
              <w:t>消杀人员配备防护装备，未达要求的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0.5</w:t>
            </w:r>
          </w:p>
        </w:tc>
        <w:tc>
          <w:tcPr>
            <w:tcW w:type="dxa" w:w="5520"/>
            <w:tcBorders>
              <w:top w:val="none" w:color="000000" w:sz="4"/>
              <w:left w:val="none" w:color="000000" w:sz="4"/>
              <w:bottom w:val="single" w:color="000000" w:sz="4"/>
              <w:right w:val="single" w:color="000000" w:sz="4"/>
            </w:tcBorders>
            <w:vAlign w:val="top"/>
          </w:tcPr>
          <w:p>
            <w:pPr>
              <w:jc w:val="both"/>
            </w:pPr>
            <w:r>
              <w:rPr>
                <w:sz w:val="21"/>
              </w:rPr>
              <w:t>9.</w:t>
            </w:r>
            <w:r>
              <w:rPr>
                <w:sz w:val="21"/>
              </w:rPr>
              <w:t>消杀人员工作时穿着工作服装并戴带工作证件，未达要求的，每人</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both"/>
            </w:pPr>
            <w:r>
              <w:rPr>
                <w:sz w:val="21"/>
              </w:rPr>
              <w:t>10.</w:t>
            </w:r>
            <w:r>
              <w:rPr>
                <w:sz w:val="21"/>
              </w:rPr>
              <w:t>积极配合采购人进行应急消杀，未达要求的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both"/>
            </w:pPr>
            <w:r>
              <w:rPr>
                <w:sz w:val="21"/>
              </w:rPr>
              <w:t>11.</w:t>
            </w:r>
            <w:r>
              <w:rPr>
                <w:sz w:val="21"/>
              </w:rPr>
              <w:t>积极配合甲方开展各项迎检工作，未达要求的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4</w:t>
            </w:r>
          </w:p>
        </w:tc>
        <w:tc>
          <w:tcPr>
            <w:tcW w:type="dxa" w:w="5520"/>
            <w:tcBorders>
              <w:top w:val="none" w:color="000000" w:sz="4"/>
              <w:left w:val="none" w:color="000000" w:sz="4"/>
              <w:bottom w:val="single" w:color="000000" w:sz="4"/>
              <w:right w:val="single" w:color="000000" w:sz="4"/>
            </w:tcBorders>
            <w:vAlign w:val="top"/>
          </w:tcPr>
          <w:p>
            <w:pPr>
              <w:jc w:val="both"/>
            </w:pPr>
            <w:r>
              <w:rPr>
                <w:sz w:val="21"/>
              </w:rPr>
              <w:t>12.</w:t>
            </w:r>
            <w:r>
              <w:rPr>
                <w:sz w:val="21"/>
              </w:rPr>
              <w:t>每季度各类有效投诉或媒体负面曝光不得超过</w:t>
            </w:r>
            <w:r>
              <w:rPr>
                <w:sz w:val="21"/>
              </w:rPr>
              <w:t>10</w:t>
            </w:r>
            <w:r>
              <w:rPr>
                <w:sz w:val="21"/>
              </w:rPr>
              <w:t>宗，每超出</w:t>
            </w:r>
            <w:r>
              <w:rPr>
                <w:sz w:val="21"/>
              </w:rPr>
              <w:t>1</w:t>
            </w:r>
            <w:r>
              <w:rPr>
                <w:sz w:val="21"/>
              </w:rPr>
              <w:t>宗</w:t>
            </w:r>
          </w:p>
        </w:tc>
        <w:tc>
          <w:tcPr>
            <w:tcW w:type="dxa" w:w="59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610"/>
            <w:vMerge w:val="restart"/>
            <w:tcBorders>
              <w:top w:val="none" w:color="000000" w:sz="4"/>
              <w:left w:val="single" w:color="000000" w:sz="4"/>
              <w:bottom w:val="single" w:color="000000" w:sz="4"/>
              <w:right w:val="single" w:color="000000" w:sz="4"/>
            </w:tcBorders>
            <w:vAlign w:val="top"/>
          </w:tcPr>
          <w:p>
            <w:pPr>
              <w:jc w:val="center"/>
            </w:pPr>
            <w:r>
              <w:rPr>
                <w:sz w:val="21"/>
              </w:rPr>
              <w:t>二、作业效果</w:t>
            </w:r>
          </w:p>
        </w:tc>
        <w:tc>
          <w:tcPr>
            <w:tcW w:type="dxa" w:w="953"/>
            <w:vMerge w:val="restart"/>
            <w:tcBorders>
              <w:top w:val="none" w:color="000000" w:sz="4"/>
              <w:left w:val="none" w:color="000000" w:sz="4"/>
              <w:bottom w:val="single" w:color="000000" w:sz="4"/>
              <w:right w:val="single" w:color="000000" w:sz="4"/>
            </w:tcBorders>
            <w:vAlign w:val="top"/>
          </w:tcPr>
          <w:p>
            <w:pPr>
              <w:jc w:val="center"/>
            </w:pPr>
            <w:r>
              <w:rPr>
                <w:sz w:val="21"/>
              </w:rPr>
              <w:t>灭鼠</w:t>
            </w:r>
          </w:p>
          <w:p>
            <w:pPr>
              <w:jc w:val="center"/>
            </w:pPr>
            <w:r>
              <w:rPr>
                <w:sz w:val="21"/>
              </w:rPr>
              <w:t>（</w:t>
            </w:r>
            <w:r>
              <w:rPr>
                <w:sz w:val="21"/>
              </w:rPr>
              <w:t>20</w:t>
            </w:r>
            <w:r>
              <w:rPr>
                <w:sz w:val="21"/>
              </w:rPr>
              <w:t>分）</w:t>
            </w:r>
          </w:p>
        </w:tc>
        <w:tc>
          <w:tcPr>
            <w:tcW w:type="dxa" w:w="597"/>
            <w:tcBorders>
              <w:top w:val="none" w:color="000000" w:sz="4"/>
              <w:left w:val="none" w:color="000000" w:sz="4"/>
              <w:bottom w:val="single" w:color="000000" w:sz="4"/>
              <w:right w:val="single" w:color="000000" w:sz="4"/>
            </w:tcBorders>
            <w:vAlign w:val="top"/>
          </w:tcPr>
          <w:p>
            <w:pPr>
              <w:jc w:val="center"/>
            </w:pPr>
            <w:r>
              <w:rPr>
                <w:sz w:val="21"/>
              </w:rPr>
              <w:t>5</w:t>
            </w:r>
          </w:p>
        </w:tc>
        <w:tc>
          <w:tcPr>
            <w:tcW w:type="dxa" w:w="5520"/>
            <w:tcBorders>
              <w:top w:val="none" w:color="000000" w:sz="4"/>
              <w:left w:val="none" w:color="000000" w:sz="4"/>
              <w:bottom w:val="single" w:color="000000" w:sz="4"/>
              <w:right w:val="single" w:color="000000" w:sz="4"/>
            </w:tcBorders>
            <w:vAlign w:val="top"/>
          </w:tcPr>
          <w:p>
            <w:pPr>
              <w:jc w:val="left"/>
            </w:pPr>
            <w:r>
              <w:rPr>
                <w:sz w:val="21"/>
              </w:rPr>
              <w:t>1.</w:t>
            </w:r>
            <w:r>
              <w:rPr>
                <w:sz w:val="21"/>
              </w:rPr>
              <w:t>合理选点投放灭鼠毒饵，未达要求的，每</w:t>
            </w:r>
            <w:r>
              <w:rPr>
                <w:sz w:val="21"/>
              </w:rPr>
              <w:t>5</w:t>
            </w:r>
            <w:r>
              <w:rPr>
                <w:sz w:val="21"/>
              </w:rPr>
              <w:t>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left"/>
            </w:pPr>
            <w:r>
              <w:rPr>
                <w:sz w:val="21"/>
              </w:rPr>
              <w:t>2</w:t>
            </w:r>
            <w:r>
              <w:rPr>
                <w:sz w:val="21"/>
              </w:rPr>
              <w:t>.每堆毒饵不少于</w:t>
            </w:r>
            <w:r>
              <w:rPr>
                <w:sz w:val="21"/>
              </w:rPr>
              <w:t>50</w:t>
            </w:r>
            <w:r>
              <w:rPr>
                <w:sz w:val="21"/>
              </w:rPr>
              <w:t>克，未达要求的，每</w:t>
            </w:r>
            <w:r>
              <w:rPr>
                <w:sz w:val="21"/>
              </w:rPr>
              <w:t>5</w:t>
            </w:r>
            <w:r>
              <w:rPr>
                <w:sz w:val="21"/>
              </w:rPr>
              <w:t>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4</w:t>
            </w:r>
          </w:p>
        </w:tc>
        <w:tc>
          <w:tcPr>
            <w:tcW w:type="dxa" w:w="5520"/>
            <w:tcBorders>
              <w:top w:val="none" w:color="000000" w:sz="4"/>
              <w:left w:val="none" w:color="000000" w:sz="4"/>
              <w:bottom w:val="single" w:color="000000" w:sz="4"/>
              <w:right w:val="single" w:color="000000" w:sz="4"/>
            </w:tcBorders>
            <w:vAlign w:val="top"/>
          </w:tcPr>
          <w:p>
            <w:pPr>
              <w:jc w:val="left"/>
            </w:pPr>
            <w:r>
              <w:rPr>
                <w:sz w:val="21"/>
              </w:rPr>
              <w:t>3.</w:t>
            </w:r>
            <w:r>
              <w:rPr>
                <w:sz w:val="21"/>
              </w:rPr>
              <w:t>及时补饵，每堆毒饵残留量不得少于</w:t>
            </w:r>
            <w:r>
              <w:rPr>
                <w:sz w:val="21"/>
              </w:rPr>
              <w:t>10</w:t>
            </w:r>
            <w:r>
              <w:rPr>
                <w:sz w:val="21"/>
              </w:rPr>
              <w:t>克，未达要求的，每</w:t>
            </w:r>
            <w:r>
              <w:rPr>
                <w:sz w:val="21"/>
              </w:rPr>
              <w:t>5</w:t>
            </w:r>
            <w:r>
              <w:rPr>
                <w:sz w:val="21"/>
              </w:rPr>
              <w:t>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c>
          <w:tcPr>
            <w:tcW w:type="dxa" w:w="5520"/>
            <w:tcBorders>
              <w:top w:val="none" w:color="000000" w:sz="4"/>
              <w:left w:val="none" w:color="000000" w:sz="4"/>
              <w:bottom w:val="single" w:color="000000" w:sz="4"/>
              <w:right w:val="single" w:color="000000" w:sz="4"/>
            </w:tcBorders>
            <w:vAlign w:val="top"/>
          </w:tcPr>
          <w:p>
            <w:pPr>
              <w:jc w:val="left"/>
            </w:pPr>
            <w:r>
              <w:rPr>
                <w:sz w:val="21"/>
              </w:rPr>
              <w:t>4.</w:t>
            </w:r>
            <w:r>
              <w:rPr>
                <w:sz w:val="21"/>
              </w:rPr>
              <w:t>每季度饱和投药前知会社区居委会，未达要求的，每漏通知一个居委会的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6</w:t>
            </w:r>
          </w:p>
        </w:tc>
        <w:tc>
          <w:tcPr>
            <w:tcW w:type="dxa" w:w="5520"/>
            <w:tcBorders>
              <w:top w:val="none" w:color="000000" w:sz="4"/>
              <w:left w:val="none" w:color="000000" w:sz="4"/>
              <w:bottom w:val="single" w:color="000000" w:sz="4"/>
              <w:right w:val="single" w:color="000000" w:sz="4"/>
            </w:tcBorders>
            <w:vAlign w:val="top"/>
          </w:tcPr>
          <w:p>
            <w:pPr>
              <w:jc w:val="left"/>
            </w:pPr>
            <w:r>
              <w:rPr>
                <w:sz w:val="21"/>
              </w:rPr>
              <w:t>5.</w:t>
            </w:r>
            <w:r>
              <w:rPr>
                <w:sz w:val="21"/>
              </w:rPr>
              <w:t>不同类型的外环境每</w:t>
            </w:r>
            <w:r>
              <w:rPr>
                <w:sz w:val="21"/>
              </w:rPr>
              <w:t>2000</w:t>
            </w:r>
            <w:r>
              <w:rPr>
                <w:sz w:val="21"/>
              </w:rPr>
              <w:t>米鼠迹累计不超过</w:t>
            </w:r>
            <w:r>
              <w:rPr>
                <w:sz w:val="21"/>
              </w:rPr>
              <w:t>5</w:t>
            </w:r>
            <w:r>
              <w:rPr>
                <w:sz w:val="21"/>
              </w:rPr>
              <w:t>处，未达要求的，每超过</w:t>
            </w:r>
            <w:r>
              <w:rPr>
                <w:sz w:val="21"/>
              </w:rPr>
              <w:t>1</w:t>
            </w:r>
            <w:r>
              <w:rPr>
                <w:sz w:val="21"/>
              </w:rPr>
              <w:t>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610"/>
            <w:vMerge/>
            <w:tcBorders>
              <w:top w:val="none" w:color="000000" w:sz="4"/>
              <w:left w:val="single" w:color="000000" w:sz="4"/>
              <w:bottom w:val="single" w:color="000000" w:sz="4"/>
              <w:right w:val="single" w:color="000000" w:sz="4"/>
            </w:tcBorders>
          </w:tcPr>
          <w:p/>
        </w:tc>
        <w:tc>
          <w:tcPr>
            <w:tcW w:type="dxa" w:w="953"/>
            <w:vMerge w:val="restart"/>
            <w:tcBorders>
              <w:top w:val="none" w:color="000000" w:sz="4"/>
              <w:left w:val="none" w:color="000000" w:sz="4"/>
              <w:bottom w:val="single" w:color="000000" w:sz="4"/>
              <w:right w:val="single" w:color="000000" w:sz="4"/>
            </w:tcBorders>
            <w:vAlign w:val="top"/>
          </w:tcPr>
          <w:p>
            <w:pPr>
              <w:jc w:val="center"/>
            </w:pPr>
            <w:r>
              <w:rPr>
                <w:sz w:val="21"/>
              </w:rPr>
              <w:t>灭蚊</w:t>
            </w:r>
          </w:p>
          <w:p>
            <w:pPr>
              <w:jc w:val="center"/>
            </w:pPr>
            <w:r>
              <w:rPr>
                <w:sz w:val="21"/>
              </w:rPr>
              <w:t>（</w:t>
            </w:r>
            <w:r>
              <w:rPr>
                <w:sz w:val="21"/>
              </w:rPr>
              <w:t>26</w:t>
            </w:r>
            <w:r>
              <w:rPr>
                <w:sz w:val="21"/>
              </w:rPr>
              <w:t>分）</w:t>
            </w: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c>
          <w:tcPr>
            <w:tcW w:type="dxa" w:w="5520"/>
            <w:tcBorders>
              <w:top w:val="none" w:color="000000" w:sz="4"/>
              <w:left w:val="none" w:color="000000" w:sz="4"/>
              <w:bottom w:val="single" w:color="000000" w:sz="4"/>
              <w:right w:val="single" w:color="000000" w:sz="4"/>
            </w:tcBorders>
            <w:vAlign w:val="top"/>
          </w:tcPr>
          <w:p>
            <w:pPr>
              <w:jc w:val="left"/>
            </w:pPr>
            <w:r>
              <w:rPr>
                <w:sz w:val="21"/>
              </w:rPr>
              <w:t>1.</w:t>
            </w:r>
            <w:r>
              <w:rPr>
                <w:sz w:val="21"/>
              </w:rPr>
              <w:t>按要求设置诱蚊产卵器，未达要求的，每处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left"/>
            </w:pPr>
            <w:r>
              <w:rPr>
                <w:sz w:val="21"/>
              </w:rPr>
              <w:t>2.</w:t>
            </w:r>
            <w:r>
              <w:rPr>
                <w:sz w:val="21"/>
              </w:rPr>
              <w:t>积水沉沙井按要求放置木塞并两月更换一次，更换不全面的，每</w:t>
            </w:r>
            <w:r>
              <w:rPr>
                <w:sz w:val="21"/>
              </w:rPr>
              <w:t>5</w:t>
            </w:r>
            <w:r>
              <w:rPr>
                <w:sz w:val="21"/>
              </w:rPr>
              <w:t>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left"/>
            </w:pPr>
            <w:r>
              <w:rPr>
                <w:sz w:val="21"/>
              </w:rPr>
              <w:t>3.</w:t>
            </w:r>
            <w:r>
              <w:rPr>
                <w:sz w:val="21"/>
              </w:rPr>
              <w:t>全面进行蚊滋生地调查，未达要求的，每处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4</w:t>
            </w:r>
          </w:p>
        </w:tc>
        <w:tc>
          <w:tcPr>
            <w:tcW w:type="dxa" w:w="5520"/>
            <w:tcBorders>
              <w:top w:val="none" w:color="000000" w:sz="4"/>
              <w:left w:val="none" w:color="000000" w:sz="4"/>
              <w:bottom w:val="single" w:color="000000" w:sz="4"/>
              <w:right w:val="single" w:color="000000" w:sz="4"/>
            </w:tcBorders>
            <w:vAlign w:val="top"/>
          </w:tcPr>
          <w:p>
            <w:pPr>
              <w:jc w:val="left"/>
            </w:pPr>
            <w:r>
              <w:rPr>
                <w:sz w:val="21"/>
              </w:rPr>
              <w:t>4.</w:t>
            </w:r>
            <w:r>
              <w:rPr>
                <w:sz w:val="21"/>
              </w:rPr>
              <w:t>按要求合理处理外环境滋生地，未达要求的，每处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4</w:t>
            </w:r>
          </w:p>
        </w:tc>
        <w:tc>
          <w:tcPr>
            <w:tcW w:type="dxa" w:w="5520"/>
            <w:tcBorders>
              <w:top w:val="none" w:color="000000" w:sz="4"/>
              <w:left w:val="none" w:color="000000" w:sz="4"/>
              <w:bottom w:val="single" w:color="000000" w:sz="4"/>
              <w:right w:val="single" w:color="000000" w:sz="4"/>
            </w:tcBorders>
            <w:vAlign w:val="top"/>
          </w:tcPr>
          <w:p>
            <w:pPr>
              <w:jc w:val="left"/>
            </w:pPr>
            <w:r>
              <w:rPr>
                <w:sz w:val="21"/>
              </w:rPr>
              <w:t>5.</w:t>
            </w:r>
            <w:r>
              <w:rPr>
                <w:sz w:val="21"/>
              </w:rPr>
              <w:t>按要求全面落实公共区域外环境灭杀成蚊，未达要求的，每处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10</w:t>
            </w:r>
          </w:p>
        </w:tc>
        <w:tc>
          <w:tcPr>
            <w:tcW w:type="dxa" w:w="5520"/>
            <w:tcBorders>
              <w:top w:val="none" w:color="000000" w:sz="4"/>
              <w:left w:val="none" w:color="000000" w:sz="4"/>
              <w:bottom w:val="single" w:color="000000" w:sz="4"/>
              <w:right w:val="single" w:color="000000" w:sz="4"/>
            </w:tcBorders>
            <w:vAlign w:val="top"/>
          </w:tcPr>
          <w:p>
            <w:pPr>
              <w:jc w:val="left"/>
            </w:pPr>
            <w:r>
              <w:rPr>
                <w:sz w:val="21"/>
              </w:rPr>
              <w:t>6.</w:t>
            </w:r>
            <w:r>
              <w:rPr>
                <w:sz w:val="21"/>
              </w:rPr>
              <w:t>公共区域蚊及蚊蚴指标达标，未达要求的，每处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610"/>
            <w:vMerge/>
            <w:tcBorders>
              <w:top w:val="none" w:color="000000" w:sz="4"/>
              <w:left w:val="single" w:color="000000" w:sz="4"/>
              <w:bottom w:val="single" w:color="000000" w:sz="4"/>
              <w:right w:val="single" w:color="000000" w:sz="4"/>
            </w:tcBorders>
          </w:tcPr>
          <w:p/>
        </w:tc>
        <w:tc>
          <w:tcPr>
            <w:tcW w:type="dxa" w:w="953"/>
            <w:vMerge w:val="restart"/>
            <w:tcBorders>
              <w:top w:val="none" w:color="000000" w:sz="4"/>
              <w:left w:val="none" w:color="000000" w:sz="4"/>
              <w:bottom w:val="single" w:color="000000" w:sz="4"/>
              <w:right w:val="single" w:color="000000" w:sz="4"/>
            </w:tcBorders>
            <w:vAlign w:val="top"/>
          </w:tcPr>
          <w:p>
            <w:pPr>
              <w:jc w:val="center"/>
            </w:pPr>
            <w:r>
              <w:rPr>
                <w:sz w:val="21"/>
              </w:rPr>
              <w:t>灭蝇</w:t>
            </w:r>
          </w:p>
          <w:p>
            <w:pPr>
              <w:jc w:val="center"/>
            </w:pPr>
            <w:r>
              <w:rPr>
                <w:sz w:val="21"/>
              </w:rPr>
              <w:t>（</w:t>
            </w:r>
            <w:r>
              <w:rPr>
                <w:sz w:val="21"/>
              </w:rPr>
              <w:t>7</w:t>
            </w:r>
            <w:r>
              <w:rPr>
                <w:sz w:val="21"/>
              </w:rPr>
              <w:t>分）</w:t>
            </w:r>
          </w:p>
        </w:tc>
        <w:tc>
          <w:tcPr>
            <w:tcW w:type="dxa" w:w="597"/>
            <w:tcBorders>
              <w:top w:val="none" w:color="000000" w:sz="4"/>
              <w:left w:val="none" w:color="000000" w:sz="4"/>
              <w:bottom w:val="single" w:color="000000" w:sz="4"/>
              <w:right w:val="single" w:color="000000" w:sz="4"/>
            </w:tcBorders>
            <w:vAlign w:val="top"/>
          </w:tcPr>
          <w:p>
            <w:pPr>
              <w:jc w:val="center"/>
            </w:pPr>
            <w:r>
              <w:rPr>
                <w:sz w:val="21"/>
              </w:rPr>
              <w:t>1</w:t>
            </w:r>
          </w:p>
        </w:tc>
        <w:tc>
          <w:tcPr>
            <w:tcW w:type="dxa" w:w="5520"/>
            <w:tcBorders>
              <w:top w:val="none" w:color="000000" w:sz="4"/>
              <w:left w:val="none" w:color="000000" w:sz="4"/>
              <w:bottom w:val="single" w:color="000000" w:sz="4"/>
              <w:right w:val="single" w:color="000000" w:sz="4"/>
            </w:tcBorders>
            <w:vAlign w:val="top"/>
          </w:tcPr>
          <w:p>
            <w:pPr>
              <w:jc w:val="left"/>
            </w:pPr>
            <w:r>
              <w:rPr>
                <w:sz w:val="21"/>
              </w:rPr>
              <w:t>1.</w:t>
            </w:r>
            <w:r>
              <w:rPr>
                <w:sz w:val="21"/>
              </w:rPr>
              <w:t>对公共区域蝇类孳生地普查登记，未达要求的，每漏</w:t>
            </w:r>
            <w:r>
              <w:rPr>
                <w:sz w:val="21"/>
              </w:rPr>
              <w:t>1</w:t>
            </w:r>
            <w:r>
              <w:rPr>
                <w:sz w:val="21"/>
              </w:rPr>
              <w:t>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1</w:t>
            </w:r>
          </w:p>
        </w:tc>
        <w:tc>
          <w:tcPr>
            <w:tcW w:type="dxa" w:w="5520"/>
            <w:tcBorders>
              <w:top w:val="none" w:color="000000" w:sz="4"/>
              <w:left w:val="none" w:color="000000" w:sz="4"/>
              <w:bottom w:val="single" w:color="000000" w:sz="4"/>
              <w:right w:val="single" w:color="000000" w:sz="4"/>
            </w:tcBorders>
            <w:vAlign w:val="top"/>
          </w:tcPr>
          <w:p>
            <w:pPr>
              <w:jc w:val="left"/>
            </w:pPr>
            <w:r>
              <w:rPr>
                <w:sz w:val="21"/>
              </w:rPr>
              <w:t>2.</w:t>
            </w:r>
            <w:r>
              <w:rPr>
                <w:sz w:val="21"/>
              </w:rPr>
              <w:t>每季度按要求定期监测成蝇密度（监测点</w:t>
            </w:r>
            <w:r>
              <w:rPr>
                <w:sz w:val="21"/>
              </w:rPr>
              <w:t>10</w:t>
            </w:r>
            <w:r>
              <w:rPr>
                <w:sz w:val="21"/>
              </w:rPr>
              <w:t>个以上），未达要求的，每少</w:t>
            </w:r>
            <w:r>
              <w:rPr>
                <w:sz w:val="21"/>
              </w:rPr>
              <w:t>1</w:t>
            </w:r>
            <w:r>
              <w:rPr>
                <w:sz w:val="21"/>
              </w:rPr>
              <w:t>个点</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c>
          <w:tcPr>
            <w:tcW w:type="dxa" w:w="5520"/>
            <w:tcBorders>
              <w:top w:val="none" w:color="000000" w:sz="4"/>
              <w:left w:val="none" w:color="000000" w:sz="4"/>
              <w:bottom w:val="single" w:color="000000" w:sz="4"/>
              <w:right w:val="single" w:color="000000" w:sz="4"/>
            </w:tcBorders>
            <w:vAlign w:val="top"/>
          </w:tcPr>
          <w:p>
            <w:pPr>
              <w:jc w:val="left"/>
            </w:pPr>
            <w:r>
              <w:rPr>
                <w:sz w:val="21"/>
              </w:rPr>
              <w:t>3.</w:t>
            </w:r>
            <w:r>
              <w:rPr>
                <w:sz w:val="21"/>
              </w:rPr>
              <w:t>按要求处理蝇类滋生地，未达要求的，每处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left"/>
            </w:pPr>
            <w:r>
              <w:rPr>
                <w:sz w:val="21"/>
              </w:rPr>
              <w:t>4.</w:t>
            </w:r>
            <w:r>
              <w:rPr>
                <w:sz w:val="21"/>
              </w:rPr>
              <w:t>灭蝇效果达标，未达要求的，检出率每超</w:t>
            </w:r>
            <w:r>
              <w:rPr>
                <w:sz w:val="21"/>
              </w:rPr>
              <w:t>1%</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610"/>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vAlign w:val="top"/>
          </w:tcPr>
          <w:p>
            <w:pPr>
              <w:jc w:val="center"/>
            </w:pPr>
            <w:r>
              <w:rPr>
                <w:sz w:val="21"/>
              </w:rPr>
              <w:t>灭蟑</w:t>
            </w:r>
          </w:p>
          <w:p>
            <w:pPr>
              <w:jc w:val="center"/>
            </w:pPr>
            <w:r>
              <w:rPr>
                <w:sz w:val="21"/>
              </w:rPr>
              <w:t>（</w:t>
            </w:r>
            <w:r>
              <w:rPr>
                <w:sz w:val="21"/>
              </w:rPr>
              <w:t>7</w:t>
            </w:r>
            <w:r>
              <w:rPr>
                <w:sz w:val="21"/>
              </w:rPr>
              <w:t>分）</w:t>
            </w:r>
          </w:p>
        </w:tc>
        <w:tc>
          <w:tcPr>
            <w:tcW w:type="dxa" w:w="597"/>
            <w:tcBorders>
              <w:top w:val="none" w:color="000000" w:sz="4"/>
              <w:left w:val="none" w:color="000000" w:sz="4"/>
              <w:bottom w:val="single" w:color="000000" w:sz="4"/>
              <w:right w:val="single" w:color="000000" w:sz="4"/>
            </w:tcBorders>
            <w:vAlign w:val="top"/>
          </w:tcPr>
          <w:p>
            <w:pPr>
              <w:jc w:val="center"/>
            </w:pPr>
            <w:r>
              <w:rPr>
                <w:sz w:val="21"/>
              </w:rPr>
              <w:t>7</w:t>
            </w:r>
          </w:p>
        </w:tc>
        <w:tc>
          <w:tcPr>
            <w:tcW w:type="dxa" w:w="5520"/>
            <w:tcBorders>
              <w:top w:val="none" w:color="000000" w:sz="4"/>
              <w:left w:val="none" w:color="000000" w:sz="4"/>
              <w:bottom w:val="single" w:color="000000" w:sz="4"/>
              <w:right w:val="single" w:color="000000" w:sz="4"/>
            </w:tcBorders>
            <w:vAlign w:val="top"/>
          </w:tcPr>
          <w:p>
            <w:pPr>
              <w:jc w:val="left"/>
            </w:pPr>
            <w:r>
              <w:rPr>
                <w:sz w:val="21"/>
              </w:rPr>
              <w:t>1.</w:t>
            </w:r>
            <w:r>
              <w:rPr>
                <w:sz w:val="21"/>
              </w:rPr>
              <w:t>下水道、化粪池、户外堆积物平均每</w:t>
            </w:r>
            <w:r>
              <w:rPr>
                <w:sz w:val="21"/>
              </w:rPr>
              <w:t>100</w:t>
            </w:r>
            <w:r>
              <w:rPr>
                <w:sz w:val="21"/>
              </w:rPr>
              <w:t>个井口（处），有蟑螂不超过</w:t>
            </w:r>
            <w:r>
              <w:rPr>
                <w:sz w:val="21"/>
              </w:rPr>
              <w:t>60</w:t>
            </w:r>
            <w:r>
              <w:rPr>
                <w:sz w:val="21"/>
              </w:rPr>
              <w:t>只，每超出</w:t>
            </w:r>
            <w:r>
              <w:rPr>
                <w:sz w:val="21"/>
              </w:rPr>
              <w:t>10</w:t>
            </w:r>
            <w:r>
              <w:rPr>
                <w:sz w:val="21"/>
              </w:rPr>
              <w:t>只</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bl>
    <w:p/>
    <w:p>
      <w:pPr>
        <w:ind w:firstLine="480"/>
      </w:pPr>
    </w:p>
    <w:p/>
    <w:p>
      <w:r>
        <w:rPr/>
        <w:t>采购包1（2024-2027年钟村街辖区内除四害消杀服务项目）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自签订合同之日起3年止</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1期：支付比例100%,详见用户需求书</w:t>
            </w:r>
          </w:p>
        </w:tc>
      </w:tr>
      <w:tr>
        <w:tc>
          <w:tcPr>
            <w:tcW w:type="dxa" w:w="4153"/>
          </w:tcPr>
          <w:p>
            <w:r>
              <w:rPr/>
              <w:t>验收要求</w:t>
            </w:r>
          </w:p>
        </w:tc>
        <w:tc>
          <w:tcPr>
            <w:tcW w:type="dxa" w:w="4153"/>
          </w:tcPr>
          <w:p/>
          <w:p/>
          <w:p/>
          <w:p>
            <w:r>
              <w:rPr/>
              <w:t>1期：详见用户需求书</w:t>
            </w:r>
          </w:p>
        </w:tc>
      </w:tr>
      <w:tr>
        <w:tc>
          <w:tcPr>
            <w:tcW w:type="dxa" w:w="4153"/>
          </w:tcPr>
          <w:p>
            <w:r>
              <w:rPr/>
              <w:t>履约保证金</w:t>
            </w:r>
          </w:p>
        </w:tc>
        <w:tc>
          <w:tcPr>
            <w:tcW w:type="dxa" w:w="4153"/>
          </w:tcPr>
          <w:p/>
          <w:p/>
          <w:p/>
          <w:p/>
          <w:p>
            <w:r>
              <w:rPr/>
              <w:t>收取比例：5.00%,说明：为确保合同履行过程中合同双方遵守诚信原则，采购人预留5%作为履约保证金或提供采购人认可的合同总价5%且期限到合同期满不可撤销的履约保函。若提供履约保证金，中标人完成本合同全部服务内容且经采购人审核通过后三个月内，采购人暂无发现中标人存在虚假结算、行贿、受贿等情形的，采购人于5个工作日内无息退还履约保证金金额。</w:t>
            </w:r>
          </w:p>
          <w:p>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其他城镇公共卫生服务</w:t>
            </w:r>
          </w:p>
        </w:tc>
        <w:tc>
          <w:tcPr>
            <w:tcW w:type="dxa" w:w="933"/>
          </w:tcPr>
          <w:p>
            <w:pPr>
              <w:jc w:val="left"/>
            </w:pPr>
            <w:r>
              <w:rPr/>
              <w:t>2024-2027年钟村街辖区内除四害消杀服务项目</w:t>
            </w:r>
          </w:p>
        </w:tc>
        <w:tc>
          <w:tcPr>
            <w:tcW w:type="dxa" w:w="933"/>
          </w:tcPr>
          <w:p>
            <w:pPr>
              <w:jc w:val="left"/>
            </w:pPr>
            <w:r>
              <w:rPr/>
              <w:t>项</w:t>
            </w:r>
          </w:p>
        </w:tc>
        <w:tc>
          <w:tcPr>
            <w:tcW w:type="dxa" w:w="933"/>
          </w:tcPr>
          <w:p>
            <w:pPr>
              <w:jc w:val="right"/>
            </w:pPr>
            <w:r>
              <w:rPr/>
              <w:t>1.00</w:t>
            </w:r>
          </w:p>
        </w:tc>
        <w:tc>
          <w:tcPr>
            <w:tcW w:type="dxa" w:w="933"/>
          </w:tcPr>
          <w:p>
            <w:pPr>
              <w:jc w:val="right"/>
            </w:pPr>
            <w:r>
              <w:rPr/>
              <w:t>8,400,000.00</w:t>
            </w:r>
          </w:p>
        </w:tc>
        <w:tc>
          <w:tcPr>
            <w:tcW w:type="dxa" w:w="933"/>
          </w:tcPr>
          <w:p>
            <w:pPr>
              <w:jc w:val="right"/>
            </w:pPr>
            <w:r>
              <w:rPr/>
              <w:t>8,400,000.00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2024-2027年钟村街辖区内除四害消杀服务项目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详见用户需求书</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1.采购代理机构：本项目是指广州宝诚招标代理咨询有限公司，负责整个采购活动的组织，依法负责编制和发布招标文件，对招标文件拥有最终的解释权，不以任何身份出任评标委员会成员。</w:t>
      </w:r>
    </w:p>
    <w:p>
      <w:pPr>
        <w:ind w:firstLine="480"/>
      </w:pPr>
      <w:r>
        <w:rPr/>
        <w:t>2.采购人：本项目是指</w:t>
      </w:r>
      <w:r>
        <w:rPr/>
        <w:t>广州市番禺区人民政府钟村街道办事处</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b/>
              </w:rPr>
              <w:t>一、电子投标文件（必须提供）：</w:t>
            </w:r>
          </w:p>
          <w:p>
            <w:pPr>
              <w:ind w:firstLine="480"/>
            </w:pPr>
            <w:r>
              <w:rPr/>
              <w:t>（1）加密的电子投标文件 1 份（需在递交投标文件截止时间前成功上传至云平台项目采购系统）。</w:t>
            </w:r>
          </w:p>
          <w:p>
            <w:pPr>
              <w:ind w:firstLine="480"/>
            </w:pPr>
            <w:r>
              <w:rPr/>
              <w:t>（2）非加密电子版文件 U 盘(或光盘)</w:t>
            </w:r>
            <w:r>
              <w:rPr/>
              <w:t>0</w:t>
            </w:r>
            <w:r>
              <w:rPr/>
              <w:t>份，加密的电子投标文件与非加密的电子投标文件必须完全一致。</w:t>
            </w:r>
          </w:p>
          <w:p>
            <w:pPr>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项目兼投兼中规则</w:t>
            </w:r>
          </w:p>
        </w:tc>
        <w:tc>
          <w:tcPr>
            <w:tcW w:type="dxa" w:w="5004"/>
          </w:tcPr>
          <w:p>
            <w:r>
              <w:rPr/>
              <w:t>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r>
              <w:rPr/>
              <w:t>采购机构代理服务收费标准：参照《招标代理服务收费管理暂行办法》计价格[2002]1980号文和发改价格[2011]534号</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tc>
      </w:tr>
      <w:tr>
        <w:tc>
          <w:tcPr>
            <w:tcW w:type="dxa" w:w="1051"/>
          </w:tcPr>
          <w:p>
            <w:r>
              <w:rPr/>
              <w:t>19</w:t>
            </w:r>
          </w:p>
        </w:tc>
        <w:tc>
          <w:tcPr>
            <w:tcW w:type="dxa" w:w="2252"/>
          </w:tcPr>
          <w:p>
            <w:r>
              <w:rPr/>
              <w:t>开标解密时长</w:t>
            </w:r>
          </w:p>
        </w:tc>
        <w:tc>
          <w:tcPr>
            <w:tcW w:type="dxa" w:w="5004"/>
          </w:tcPr>
          <w:p>
            <w:r>
              <w:rPr/>
              <w:t>30分钟，具体根据现场实际情况而定。</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4"/>
        </w:rPr>
        <w:t>11.关于分支机构投标</w:t>
      </w:r>
    </w:p>
    <w:p>
      <w:pPr>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本项目不收取投标保证金</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
        <w:rPr/>
        <w:t>3.3项目废标处理：</w:t>
      </w:r>
    </w:p>
    <w:p>
      <w:pPr>
        <w:ind w:firstLine="480"/>
      </w:pPr>
      <w:r>
        <w:rPr/>
        <w:t>根据《中华人民共和国政府采购法》第三十六条及招标文件的约定，本项目或分包下列情况出现将作废标处理：</w:t>
      </w:r>
    </w:p>
    <w:p>
      <w:pPr>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ind w:firstLine="480"/>
      </w:pPr>
      <w:r>
        <w:rPr/>
        <w:t>（2）出现影响采购公正的违法、违规行为的。</w:t>
      </w:r>
    </w:p>
    <w:p>
      <w:pPr>
        <w:ind w:firstLine="480"/>
      </w:pPr>
      <w:r>
        <w:rPr/>
        <w:t>（3）投标人的报价均超过了采购预算，采购人不能支付的。</w:t>
      </w:r>
    </w:p>
    <w:p>
      <w:pPr>
        <w:ind w:firstLine="480"/>
      </w:pPr>
      <w:r>
        <w:rPr/>
        <w:t>（4）因重大变故，采购任务取消的。</w:t>
      </w:r>
    </w:p>
    <w:p>
      <w:pPr>
        <w:ind w:firstLine="480"/>
      </w:pPr>
      <w:r>
        <w:rPr/>
        <w:t>对废标的采购项目，评标委员会应出具采购文件是否存在不合理条款的论证意见。</w:t>
      </w:r>
    </w:p>
    <w:p/>
    <w:p>
      <w:pPr>
        <w:ind w:firstLine="480"/>
      </w:pPr>
      <w:r>
        <w:rPr/>
        <w:t>3.4终止公告：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高先生</w:t>
      </w:r>
    </w:p>
    <w:p>
      <w:pPr>
        <w:ind w:firstLine="480"/>
      </w:pPr>
      <w:r>
        <w:rPr/>
        <w:t>电话：</w:t>
      </w:r>
      <w:r>
        <w:rPr/>
        <w:t>020-37887429</w:t>
      </w:r>
    </w:p>
    <w:p>
      <w:pPr>
        <w:ind w:firstLine="480"/>
      </w:pPr>
      <w:r>
        <w:rPr/>
        <w:t>传真：</w:t>
      </w:r>
      <w:r>
        <w:rPr/>
        <w:t>gzbczb@163.com</w:t>
      </w:r>
    </w:p>
    <w:p>
      <w:pPr>
        <w:ind w:firstLine="480"/>
      </w:pPr>
      <w:r>
        <w:rPr/>
        <w:t>邮箱：</w:t>
      </w:r>
      <w:r>
        <w:rPr/>
        <w:t>gzbczb@163.com</w:t>
      </w:r>
    </w:p>
    <w:p>
      <w:pPr>
        <w:ind w:firstLine="480"/>
      </w:pPr>
      <w:r>
        <w:rPr/>
        <w:t>地址：</w:t>
      </w:r>
      <w:r>
        <w:rPr/>
        <w:t>广州市番禺区南村镇敏捷上城国际1期2栋1806</w:t>
      </w:r>
    </w:p>
    <w:p>
      <w:pPr>
        <w:ind w:firstLine="480"/>
      </w:pPr>
      <w:r>
        <w:rPr/>
        <w:t>邮编：</w:t>
      </w:r>
      <w:r>
        <w:rPr/>
        <w:t>511450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政府采购监督管理机构名称：广州市番禺区财政局（政府采购管理办公室）</w:t>
      </w:r>
    </w:p>
    <w:p>
      <w:r>
        <w:rPr/>
        <w:t>地  址：广州市番禺区广场西路83号601室</w:t>
      </w:r>
    </w:p>
    <w:p>
      <w:r>
        <w:rPr/>
        <w:t>电  话：020-39300309</w:t>
      </w:r>
    </w:p>
    <w:p>
      <w:r>
        <w:rPr/>
        <w:t>邮  编：511400</w:t>
      </w:r>
    </w:p>
    <w:p>
      <w:r>
        <w:rPr/>
        <w:t>传  真：020-39300303</w:t>
      </w:r>
    </w:p>
    <w:p/>
    <w:p>
      <w:r>
        <w:rPr>
          <w:b/>
          <w:sz w:val="28"/>
        </w:rPr>
        <w:t>八、合同签订和履行</w:t>
      </w:r>
    </w:p>
    <w:p>
      <w:r>
        <w:rPr>
          <w:b/>
          <w:sz w:val="24"/>
        </w:rPr>
        <w:t>1.合同签订</w:t>
      </w:r>
    </w:p>
    <w:p>
      <w:pPr>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1.3合同条款中应规定，乙方完全遵守《中华人民共和国劳动合同法》有关规定和《中华人民共和国妇女权益保障法》中关于“劳动和社会保障权益”的有关要求。</w:t>
      </w:r>
    </w:p>
    <w:p>
      <w:pPr>
        <w:ind w:firstLine="480"/>
      </w:pPr>
      <w:r>
        <w:rPr/>
        <w:t>1.4采购人应当自政府采购合同签订之日起2个工作日内，将政府采购合同在省级以上人民政府财政部门指定的媒体上公告，但政府采购合同中涉及国家秘密、商业秘密的内容除外。</w:t>
      </w:r>
    </w:p>
    <w:p>
      <w:pPr>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r>
        <w:rPr/>
        <w:t>2.3有融资要求的中标供应商可根据自身情况，在广东省政府采购网上自行选择金融机构及其融资产品，凭政府采购中标通知书或政府采购合同向金融机构提出融资申请。</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(2024-2027年钟村街辖区内除四害消杀服务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广州宝诚招标代理咨询有限公司</w:t>
      </w:r>
      <w:r>
        <w:rPr/>
        <w:t>统一对外发布。</w:t>
      </w:r>
    </w:p>
    <w:p>
      <w:pPr>
        <w:ind w:firstLine="480"/>
      </w:pPr>
      <w:r>
        <w:rPr/>
        <w:t>（2）对</w:t>
      </w:r>
      <w:r>
        <w:rPr/>
        <w:t>广州宝诚招标代理咨询有限公司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采购包1（2024-2027年钟村街辖区内除四害消杀服务项目）：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采购包1（2024-2027年钟村街辖区内除四害消杀服务项目）：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提供声明函，格式自定。</w:t>
            </w:r>
          </w:p>
        </w:tc>
      </w:tr>
      <w:tr>
        <w:tc>
          <w:tcPr>
            <w:tcW w:type="dxa" w:w="890"/>
          </w:tcPr>
          <w:p>
            <w:r>
              <w:rPr/>
              <w:t>3</w:t>
            </w:r>
          </w:p>
        </w:tc>
        <w:tc>
          <w:tcPr>
            <w:tcW w:type="dxa" w:w="3178"/>
          </w:tcPr>
          <w:p>
            <w:r>
              <w:rPr/>
              <w:t>具有良好的商业信誉和健全的财务会计制度</w:t>
            </w:r>
          </w:p>
        </w:tc>
        <w:tc>
          <w:tcPr>
            <w:tcW w:type="dxa" w:w="4238"/>
          </w:tcPr>
          <w:p>
            <w:r>
              <w:rPr/>
              <w:t>提供声明函，格式自定。</w:t>
            </w:r>
          </w:p>
        </w:tc>
      </w:tr>
      <w:tr>
        <w:tc>
          <w:tcPr>
            <w:tcW w:type="dxa" w:w="890"/>
          </w:tcPr>
          <w:p>
            <w:r>
              <w:rPr/>
              <w:t>4</w:t>
            </w:r>
          </w:p>
        </w:tc>
        <w:tc>
          <w:tcPr>
            <w:tcW w:type="dxa" w:w="3178"/>
          </w:tcPr>
          <w:p>
            <w:r>
              <w:rPr/>
              <w:t>履行合同所必需的设备和专业技术能力</w:t>
            </w:r>
          </w:p>
        </w:tc>
        <w:tc>
          <w:tcPr>
            <w:tcW w:type="dxa" w:w="4238"/>
          </w:tcPr>
          <w:p>
            <w:r>
              <w:rPr/>
              <w:t>提供声明函，格式自定。</w:t>
            </w:r>
          </w:p>
        </w:tc>
      </w:tr>
      <w:tr>
        <w:tc>
          <w:tcPr>
            <w:tcW w:type="dxa" w:w="890"/>
          </w:tcPr>
          <w:p>
            <w:r>
              <w:rPr/>
              <w:t>5</w:t>
            </w:r>
          </w:p>
        </w:tc>
        <w:tc>
          <w:tcPr>
            <w:tcW w:type="dxa" w:w="3178"/>
          </w:tcPr>
          <w:p>
            <w:r>
              <w:rPr/>
              <w:t>参加采购活动前3年内，在经营活动中没有重大违法记录</w:t>
            </w:r>
          </w:p>
        </w:tc>
        <w:tc>
          <w:tcPr>
            <w:tcW w:type="dxa" w:w="4238"/>
          </w:tcPr>
          <w:p>
            <w:r>
              <w:rPr/>
              <w:t>提供声明函，格式自定。参照投标（报价）函相关承诺格式内容。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本采购包专门面向中小企业采购</w:t>
            </w:r>
          </w:p>
        </w:tc>
        <w:tc>
          <w:tcPr>
            <w:tcW w:type="dxa" w:w="4238"/>
          </w:tcPr>
          <w:p>
            <w:r>
              <w:rPr/>
              <w:t>参与的供应商（联合体）服务全部由符合政策要求的中小企业承接</w:t>
            </w:r>
          </w:p>
        </w:tc>
      </w:tr>
    </w:tbl>
    <w:p/>
    <w:p>
      <w:pPr>
        <w:ind w:firstLine="480"/>
      </w:pPr>
      <w:r>
        <w:rPr/>
        <w:t>表二符合性审查表：</w:t>
      </w:r>
    </w:p>
    <w:p>
      <w:pPr>
        <w:ind w:firstLine="480"/>
      </w:pPr>
    </w:p>
    <w:p/>
    <w:p>
      <w:r>
        <w:rPr/>
        <w:t>采购包1（2024-2027年钟村街辖区内除四害消杀服务项目）：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投标有效期</w:t>
            </w:r>
          </w:p>
        </w:tc>
        <w:tc>
          <w:tcPr>
            <w:tcW w:type="dxa" w:w="4238"/>
          </w:tcPr>
          <w:p>
            <w:r>
              <w:rPr/>
              <w:t>投标有效期是否为90天</w:t>
            </w:r>
          </w:p>
        </w:tc>
      </w:tr>
      <w:tr>
        <w:tc>
          <w:tcPr>
            <w:tcW w:type="dxa" w:w="890"/>
          </w:tcPr>
          <w:p>
            <w:r>
              <w:rPr/>
              <w:t>2</w:t>
            </w:r>
          </w:p>
        </w:tc>
        <w:tc>
          <w:tcPr>
            <w:tcW w:type="dxa" w:w="3178"/>
          </w:tcPr>
          <w:p>
            <w:r>
              <w:rPr/>
              <w:t>投标文件的签署、盖章</w:t>
            </w:r>
          </w:p>
        </w:tc>
        <w:tc>
          <w:tcPr>
            <w:tcW w:type="dxa" w:w="4238"/>
          </w:tcPr>
          <w:p>
            <w:r>
              <w:rPr/>
              <w:t>投标文件符合招标文件的签署、盖章要求</w:t>
            </w:r>
          </w:p>
        </w:tc>
      </w:tr>
      <w:tr>
        <w:tc>
          <w:tcPr>
            <w:tcW w:type="dxa" w:w="890"/>
          </w:tcPr>
          <w:p>
            <w:r>
              <w:rPr/>
              <w:t>3</w:t>
            </w:r>
          </w:p>
        </w:tc>
        <w:tc>
          <w:tcPr>
            <w:tcW w:type="dxa" w:w="3178"/>
          </w:tcPr>
          <w:p>
            <w:r>
              <w:rPr/>
              <w:t>技术商务要求</w:t>
            </w:r>
          </w:p>
        </w:tc>
        <w:tc>
          <w:tcPr>
            <w:tcW w:type="dxa" w:w="4238"/>
          </w:tcPr>
          <w:p>
            <w:r>
              <w:rPr/>
              <w:t>商务和货物（服务）内容无明显偏离“采购需求”的要求</w:t>
            </w:r>
          </w:p>
        </w:tc>
      </w:tr>
      <w:tr>
        <w:tc>
          <w:tcPr>
            <w:tcW w:type="dxa" w:w="890"/>
          </w:tcPr>
          <w:p>
            <w:r>
              <w:rPr/>
              <w:t>4</w:t>
            </w:r>
          </w:p>
        </w:tc>
        <w:tc>
          <w:tcPr>
            <w:tcW w:type="dxa" w:w="3178"/>
          </w:tcPr>
          <w:p>
            <w:r>
              <w:rPr/>
              <w:t>报价要求</w:t>
            </w:r>
          </w:p>
        </w:tc>
        <w:tc>
          <w:tcPr>
            <w:tcW w:type="dxa" w:w="4238"/>
          </w:tcPr>
          <w:p>
            <w:r>
              <w:rPr/>
              <w:t>投标报价是否固定唯一，符合本项目有效报价要求</w:t>
            </w:r>
          </w:p>
        </w:tc>
      </w:tr>
      <w:tr>
        <w:tc>
          <w:tcPr>
            <w:tcW w:type="dxa" w:w="890"/>
          </w:tcPr>
          <w:p>
            <w:r>
              <w:rPr/>
              <w:t>5</w:t>
            </w:r>
          </w:p>
        </w:tc>
        <w:tc>
          <w:tcPr>
            <w:tcW w:type="dxa" w:w="3178"/>
          </w:tcPr>
          <w:p>
            <w:r>
              <w:rPr/>
              <w:t>★条款</w:t>
            </w:r>
          </w:p>
        </w:tc>
        <w:tc>
          <w:tcPr>
            <w:tcW w:type="dxa" w:w="4238"/>
          </w:tcPr>
          <w:p>
            <w:r>
              <w:rPr/>
              <w:t>满足招标文件中的★条款（如有）</w:t>
            </w:r>
          </w:p>
        </w:tc>
      </w:tr>
      <w:tr>
        <w:tc>
          <w:tcPr>
            <w:tcW w:type="dxa" w:w="890"/>
          </w:tcPr>
          <w:p>
            <w:r>
              <w:rPr/>
              <w:t>6</w:t>
            </w:r>
          </w:p>
        </w:tc>
        <w:tc>
          <w:tcPr>
            <w:tcW w:type="dxa" w:w="3178"/>
          </w:tcPr>
          <w:p>
            <w:r>
              <w:rPr/>
              <w:t>其他要求</w:t>
            </w:r>
          </w:p>
        </w:tc>
        <w:tc>
          <w:tcPr>
            <w:tcW w:type="dxa" w:w="4238"/>
          </w:tcPr>
          <w:p>
            <w:r>
              <w:rPr/>
              <w:t>投标文件实质性响应招标文件要求，且无经评委认定为无效标的</w:t>
            </w:r>
          </w:p>
        </w:tc>
      </w:tr>
    </w:tbl>
    <w:p/>
    <w:p>
      <w:r>
        <w:rPr>
          <w:b/>
          <w:sz w:val="24"/>
        </w:rPr>
        <w:t>2.投标文件澄清</w:t>
      </w:r>
    </w:p>
    <w:p>
      <w:pPr>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采购包1(2024-2027年钟村街辖区内除四害消杀服务项目):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商务部分24.0分</w:t>
            </w:r>
          </w:p>
          <w:p>
            <w:r>
              <w:rPr/>
              <w:t>技术部分66.0分</w:t>
            </w:r>
          </w:p>
          <w:p>
            <w:r>
              <w:rPr/>
              <w:t>报价得分10.0分</w:t>
            </w:r>
          </w:p>
        </w:tc>
      </w:tr>
      <w:tr>
        <w:tc>
          <w:tcPr>
            <w:tcW w:type="dxa" w:w="922"/>
            <w:gridSpan w:val="2"/>
            <w:vMerge w:val="restart"/>
          </w:tcPr>
          <w:p>
            <w:pPr>
              <w:jc w:val="center"/>
            </w:pPr>
            <w:r>
              <w:rPr/>
              <w:t>技术部分</w:t>
            </w:r>
          </w:p>
        </w:tc>
        <w:tc>
          <w:tcPr>
            <w:tcW w:type="dxa" w:w="2307"/>
          </w:tcPr>
          <w:p>
            <w:pPr>
              <w:jc w:val="left"/>
            </w:pPr>
            <w:r>
              <w:rPr/>
              <w:t>用户需求书响应情况 (4.0分)</w:t>
            </w:r>
          </w:p>
        </w:tc>
        <w:tc>
          <w:tcPr>
            <w:tcW w:type="dxa" w:w="5076"/>
          </w:tcPr>
          <w:p>
            <w:pPr>
              <w:jc w:val="left"/>
            </w:pPr>
            <w:r>
              <w:rPr/>
              <w:t>对照用户需求书中各项条款填写用户需求书响应表， 对用户需求书中各项条款完全响应，且有正偏离的得4分； 对用户需求书中各项商务条款完全响应，全部无偏离的得2分； 对用户需求书中部分商务条款不响应或有负偏离的得1分</w:t>
            </w:r>
          </w:p>
        </w:tc>
      </w:tr>
      <w:tr>
        <w:tc>
          <w:tcPr>
            <w:tcW w:type="dxa" w:w="922"/>
            <w:gridSpan w:val="2"/>
            <w:vMerge/>
          </w:tcPr>
          <w:p/>
        </w:tc>
        <w:tc>
          <w:tcPr>
            <w:tcW w:type="dxa" w:w="2307"/>
          </w:tcPr>
          <w:p>
            <w:pPr>
              <w:jc w:val="left"/>
            </w:pPr>
            <w:r>
              <w:rPr/>
              <w:t>对项目的理解、重点难点分析 (12.0分)</w:t>
            </w:r>
          </w:p>
        </w:tc>
        <w:tc>
          <w:tcPr>
            <w:tcW w:type="dxa" w:w="5076"/>
          </w:tcPr>
          <w:p>
            <w:pPr>
              <w:jc w:val="left"/>
            </w:pPr>
            <w:r>
              <w:rPr/>
              <w:t>投标人清楚了解本次采购项目实施区域环境现状，对本项目服务内容熟悉，非常了解本项目服务重点，能详细说明辖区内的工作难点，得12分； 投标人对本次采购项目实施区域环境现状较为清楚，对本项目服务内容熟悉，了解本项目服务重点，能概述辖区内的工作难点，得7分； 投标人对本次采购项目实施区域环境现状了解欠缺，对本项目服务内容不够熟悉，对本项目服务重点不够了解，不能说明辖区内的工作难点，得3分； 不提供不得分</w:t>
            </w:r>
          </w:p>
        </w:tc>
      </w:tr>
      <w:tr>
        <w:tc>
          <w:tcPr>
            <w:tcW w:type="dxa" w:w="922"/>
            <w:gridSpan w:val="2"/>
            <w:vMerge/>
          </w:tcPr>
          <w:p/>
        </w:tc>
        <w:tc>
          <w:tcPr>
            <w:tcW w:type="dxa" w:w="2307"/>
          </w:tcPr>
          <w:p>
            <w:pPr>
              <w:jc w:val="left"/>
            </w:pPr>
            <w:r>
              <w:rPr/>
              <w:t>项目实施方案 (12.0分)</w:t>
            </w:r>
          </w:p>
        </w:tc>
        <w:tc>
          <w:tcPr>
            <w:tcW w:type="dxa" w:w="5076"/>
          </w:tcPr>
          <w:p>
            <w:pPr>
              <w:jc w:val="left"/>
            </w:pPr>
            <w:r>
              <w:rPr/>
              <w:t>根据投标人针对本项目制定的项目实施方案，包括但不限于生物防控和病媒消杀技术措施、日常管理组织、安全生产情况、员工技术培训计划、提高生物防控和病媒消杀水平的设想、各种规章制度等进行评审： 项目实施方案全面具体、可行性强，得12分； 项目实施方案较全面具体、可行性较强，得7分； 项目实施方案不够全面具体、可行性差，得3分； 不提供不得分</w:t>
            </w:r>
          </w:p>
        </w:tc>
      </w:tr>
      <w:tr>
        <w:tc>
          <w:tcPr>
            <w:tcW w:type="dxa" w:w="922"/>
            <w:gridSpan w:val="2"/>
            <w:vMerge/>
          </w:tcPr>
          <w:p/>
        </w:tc>
        <w:tc>
          <w:tcPr>
            <w:tcW w:type="dxa" w:w="2307"/>
          </w:tcPr>
          <w:p>
            <w:pPr>
              <w:jc w:val="left"/>
            </w:pPr>
            <w:r>
              <w:rPr/>
              <w:t>应急处理方案 (10.0分)</w:t>
            </w:r>
          </w:p>
        </w:tc>
        <w:tc>
          <w:tcPr>
            <w:tcW w:type="dxa" w:w="5076"/>
          </w:tcPr>
          <w:p>
            <w:pPr>
              <w:jc w:val="left"/>
            </w:pPr>
            <w:r>
              <w:rPr/>
              <w:t>根据投标人针对本项目制定的应急处理方案进行评审： 应急处理方案全面具体、方法合理，措施明确，得10分； 应急处理方案较全面具体、方法较合理，措施较明确，得5分； 应急处理方案不够全面具体、方法合理性差，措施不明确，得2分； 不提供不得分</w:t>
            </w:r>
          </w:p>
        </w:tc>
      </w:tr>
      <w:tr>
        <w:tc>
          <w:tcPr>
            <w:tcW w:type="dxa" w:w="922"/>
            <w:gridSpan w:val="2"/>
            <w:vMerge/>
          </w:tcPr>
          <w:p/>
        </w:tc>
        <w:tc>
          <w:tcPr>
            <w:tcW w:type="dxa" w:w="2307"/>
          </w:tcPr>
          <w:p>
            <w:pPr>
              <w:jc w:val="left"/>
            </w:pPr>
            <w:r>
              <w:rPr/>
              <w:t>拟投入本项目的设备情况 (10.0分)</w:t>
            </w:r>
          </w:p>
        </w:tc>
        <w:tc>
          <w:tcPr>
            <w:tcW w:type="dxa" w:w="5076"/>
          </w:tcPr>
          <w:p>
            <w:pPr>
              <w:jc w:val="left"/>
            </w:pPr>
            <w:r>
              <w:rPr/>
              <w:t>投标人拟投入本项目的设备情况： 背负式电动喷雾器不少于6台；超低容量喷雾器不少于10台；热烟雾机不少于5台；大型超低容量设备(分散雾滴＜100μm，静风射程≥40m)不少于2台（需提供设备的购买发票复印件或租赁合同/协议(租赁期涵盖本项目服务期)复印件）、服务车辆不少于1辆（需提供车辆的购买发票复印件或行驶证复印件或租赁合同/协议(租赁期涵盖本项目服务期)复印件）。 全部满足要求，得7分；部分满足要求得3分； 每种设备每增加一台/辆加0.5分，最高加3分； 本项最高10分</w:t>
            </w:r>
          </w:p>
        </w:tc>
      </w:tr>
      <w:tr>
        <w:tc>
          <w:tcPr>
            <w:tcW w:type="dxa" w:w="922"/>
            <w:gridSpan w:val="2"/>
            <w:vMerge/>
          </w:tcPr>
          <w:p/>
        </w:tc>
        <w:tc>
          <w:tcPr>
            <w:tcW w:type="dxa" w:w="2307"/>
          </w:tcPr>
          <w:p>
            <w:pPr>
              <w:jc w:val="left"/>
            </w:pPr>
            <w:r>
              <w:rPr/>
              <w:t>拟投入药物情况 (18.0分)</w:t>
            </w:r>
          </w:p>
        </w:tc>
        <w:tc>
          <w:tcPr>
            <w:tcW w:type="dxa" w:w="5076"/>
          </w:tcPr>
          <w:p>
            <w:pPr>
              <w:jc w:val="left"/>
            </w:pPr>
            <w:r>
              <w:rPr/>
              <w:t>根据投标人针对本项目拟投入药物有效成份的情况进行评审： 1.溴鼠灵≥0.005%，剂型：饵剂； 2.倍硫磷≥5%，剂型：颗粒剂； 3.Es-生物烯丙菊酯与氯菊酯混配总含量≥10.5%，剂型：乳油 4.高效氯氰菊酯与甲基嘧啶磷混配总含量≥7%，剂型：水乳剂； 5.残杀威和右旋反式氯丙炔菊酯混配总含量 ≥5% 剂型：乳油 6.高效氯氰菊酯和残杀威混配总含量≥10%，剂型：悬浮剂； 7.氯氰菊酯和敌敌畏混配总含量≥20%，剂型：乳油 8.高效氯氰菊酯和胺菊酯混配总含量≥2.5%，剂型：热雾剂， 9.高效氯氰菊酯≥5%，剂型：悬浮剂； 每达标一项得2分，本项最高得18分。 需提供农药生产许可证复印件和农药登记证复印件和企业标准封面复印件、检测报告复印件并加盖生产厂家公章和所投药品生产厂家为投标人出具的提供本项目药品的供货承诺书和质量保证书并加盖生产厂家公章。</w:t>
            </w:r>
          </w:p>
        </w:tc>
      </w:tr>
      <w:tr>
        <w:tc>
          <w:tcPr>
            <w:tcW w:type="dxa" w:w="922"/>
            <w:gridSpan w:val="2"/>
            <w:vMerge w:val="restart"/>
          </w:tcPr>
          <w:p>
            <w:pPr>
              <w:jc w:val="center"/>
            </w:pPr>
            <w:r>
              <w:rPr/>
              <w:t>商务部分</w:t>
            </w:r>
          </w:p>
        </w:tc>
        <w:tc>
          <w:tcPr>
            <w:tcW w:type="dxa" w:w="2307"/>
          </w:tcPr>
          <w:p>
            <w:pPr>
              <w:jc w:val="left"/>
            </w:pPr>
            <w:r>
              <w:rPr/>
              <w:t>管理体系认证 (4.0分)</w:t>
            </w:r>
          </w:p>
        </w:tc>
        <w:tc>
          <w:tcPr>
            <w:tcW w:type="dxa" w:w="5076"/>
          </w:tcPr>
          <w:p>
            <w:pPr>
              <w:jc w:val="left"/>
            </w:pPr>
            <w:r>
              <w:rPr/>
              <w:t>投标人具有有效的质量管理体系认证、环境管理体系认证和职业健康安全管理体系认证、社会责任管理体系认证证书的，每提供一个得1分，最高4分。需提供证书复印件以及在全国认证认可信息公共服务平台上http://cx.cnca.cn查询结果的截图，证书状态必须为“有效”，不符合要求或提供不全或不提供不得分</w:t>
            </w:r>
          </w:p>
        </w:tc>
      </w:tr>
      <w:tr>
        <w:tc>
          <w:tcPr>
            <w:tcW w:type="dxa" w:w="922"/>
            <w:gridSpan w:val="2"/>
            <w:vMerge/>
          </w:tcPr>
          <w:p/>
        </w:tc>
        <w:tc>
          <w:tcPr>
            <w:tcW w:type="dxa" w:w="2307"/>
          </w:tcPr>
          <w:p>
            <w:pPr>
              <w:jc w:val="left"/>
            </w:pPr>
            <w:r>
              <w:rPr/>
              <w:t>企业实力 (6.0分)</w:t>
            </w:r>
          </w:p>
        </w:tc>
        <w:tc>
          <w:tcPr>
            <w:tcW w:type="dxa" w:w="5076"/>
          </w:tcPr>
          <w:p>
            <w:pPr>
              <w:jc w:val="left"/>
            </w:pPr>
            <w:r>
              <w:rPr/>
              <w:t>投标人具有有害生物防制服务资质证书、消毒服务企业资质证书、公共场所清洁消毒资质证书每提供一个得1分，最高3分。需提供证书复印件，不提供不得分。 投标人获得行政部门或行业协会颁发的荣誉证书或奖项，每提供一个得1分，最高得3分。 注：提供相关证明材料，无提供不得分。</w:t>
            </w:r>
          </w:p>
        </w:tc>
      </w:tr>
      <w:tr>
        <w:tc>
          <w:tcPr>
            <w:tcW w:type="dxa" w:w="922"/>
            <w:gridSpan w:val="2"/>
            <w:vMerge/>
          </w:tcPr>
          <w:p/>
        </w:tc>
        <w:tc>
          <w:tcPr>
            <w:tcW w:type="dxa" w:w="2307"/>
          </w:tcPr>
          <w:p>
            <w:pPr>
              <w:jc w:val="left"/>
            </w:pPr>
            <w:r>
              <w:rPr/>
              <w:t>拟派人员情况 (5.0分)</w:t>
            </w:r>
          </w:p>
        </w:tc>
        <w:tc>
          <w:tcPr>
            <w:tcW w:type="dxa" w:w="5076"/>
          </w:tcPr>
          <w:p>
            <w:pPr>
              <w:jc w:val="left"/>
            </w:pPr>
            <w:r>
              <w:rPr/>
              <w:t>投标人拟投入本项目人员具有有害生物防制员证书中级（含上岗证）的，每提供一个得1分，最高5分，需提供证书复印件，不符合要求或不提供不得分。</w:t>
            </w:r>
          </w:p>
        </w:tc>
      </w:tr>
      <w:tr>
        <w:tc>
          <w:tcPr>
            <w:tcW w:type="dxa" w:w="922"/>
            <w:gridSpan w:val="2"/>
            <w:vMerge/>
          </w:tcPr>
          <w:p/>
        </w:tc>
        <w:tc>
          <w:tcPr>
            <w:tcW w:type="dxa" w:w="2307"/>
          </w:tcPr>
          <w:p>
            <w:pPr>
              <w:jc w:val="left"/>
            </w:pPr>
            <w:r>
              <w:rPr/>
              <w:t>服务便利性 (4.0分)</w:t>
            </w:r>
          </w:p>
        </w:tc>
        <w:tc>
          <w:tcPr>
            <w:tcW w:type="dxa" w:w="5076"/>
          </w:tcPr>
          <w:p>
            <w:pPr>
              <w:jc w:val="left"/>
            </w:pPr>
            <w:r>
              <w:rPr/>
              <w:t>根据投标人为本项目设置的服务机构至采购人的便利程度进行评审：投标人承诺在采购人提出服务要求后5分钟内（含5分钟）响应（给予 解答、指导，排除有关问题），45分钟内（含）派服务人员赶到现场提供 服务的，得4分；  2. 投标人承诺在采购人提出服务要求后6-10分钟内（ 含）响应（给予解答、指导，排除有关问题），46-90分钟内（含）派服务人员赶到现场提供服务的，得2分；  3. 投标人承诺在采购人提出服务要 求后11-15分钟内（含）响应（给予解答、指导，排除有关问题），90分钟以上派服务人员赶到现场提供服务的，得1分； 4. 无或其它不得分。  注：同时提供：  （1）相关承诺函（格式自拟）加盖投标人公章； （2） 响应时间与到达现场时间处于不同评审项的，以到达现场时间为准。需提供投标人服务机构与采购人地址的导航地图测算的距离截图和服务机构的营业执照（或产权证明或房屋租赁登记备案证明）复印件，不提供或不符合不得分</w:t>
            </w:r>
          </w:p>
        </w:tc>
      </w:tr>
      <w:tr>
        <w:tc>
          <w:tcPr>
            <w:tcW w:type="dxa" w:w="922"/>
            <w:gridSpan w:val="2"/>
            <w:vMerge/>
          </w:tcPr>
          <w:p/>
        </w:tc>
        <w:tc>
          <w:tcPr>
            <w:tcW w:type="dxa" w:w="2307"/>
          </w:tcPr>
          <w:p>
            <w:pPr>
              <w:jc w:val="left"/>
            </w:pPr>
            <w:r>
              <w:rPr/>
              <w:t>同类项目业绩 (5.0分)</w:t>
            </w:r>
          </w:p>
        </w:tc>
        <w:tc>
          <w:tcPr>
            <w:tcW w:type="dxa" w:w="5076"/>
          </w:tcPr>
          <w:p>
            <w:pPr>
              <w:jc w:val="left"/>
            </w:pPr>
            <w:r>
              <w:rPr/>
              <w:t>投标人2020年1月1日至今具有同类项目业绩（以合同签订时间为准），每提供一个得1分，最高5分。需提供合同关键页复印件或中标（成交）通知书复印件，不提供不得分。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Pr>
        <w:jc w:val="both"/>
      </w:pPr>
      <w:r>
        <w:rPr>
          <w:b/>
          <w:color w:val="222222"/>
          <w:sz w:val="19"/>
        </w:rPr>
        <w:t>注：本合同仅为合同的参考文本，合同签订双方可根据项目的具体要求进行修订。</w:t>
      </w:r>
    </w:p>
    <w:p>
      <w:pPr>
        <w:jc w:val="both"/>
      </w:pPr>
      <w:r>
        <w:rPr>
          <w:sz w:val="21"/>
        </w:rPr>
        <w:t>甲方（采购人）：</w:t>
      </w:r>
      <w:r>
        <w:rPr>
          <w:sz w:val="21"/>
        </w:rPr>
        <w:t xml:space="preserve">                                            </w:t>
      </w:r>
      <w:r>
        <w:rPr>
          <w:sz w:val="21"/>
        </w:rPr>
        <w:t>合同编号：</w:t>
      </w:r>
    </w:p>
    <w:p>
      <w:pPr>
        <w:jc w:val="both"/>
      </w:pPr>
      <w:r>
        <w:rPr>
          <w:sz w:val="21"/>
        </w:rPr>
        <w:t>统一社会信用代码：</w:t>
      </w:r>
    </w:p>
    <w:p>
      <w:pPr>
        <w:jc w:val="both"/>
      </w:pPr>
      <w:r>
        <w:rPr>
          <w:sz w:val="21"/>
        </w:rPr>
        <w:t>乙方（中标供应商）：</w:t>
      </w:r>
      <w:r>
        <w:rPr>
          <w:sz w:val="21"/>
        </w:rPr>
        <w:t xml:space="preserve">                                        </w:t>
      </w:r>
      <w:r>
        <w:rPr>
          <w:sz w:val="21"/>
        </w:rPr>
        <w:t>签约地点：</w:t>
      </w:r>
    </w:p>
    <w:p>
      <w:pPr>
        <w:jc w:val="both"/>
      </w:pPr>
      <w:r>
        <w:rPr>
          <w:sz w:val="21"/>
        </w:rPr>
        <w:t>统一社会信用代码：</w:t>
      </w:r>
    </w:p>
    <w:p>
      <w:pPr>
        <w:jc w:val="both"/>
      </w:pPr>
      <w:r>
        <w:rPr>
          <w:sz w:val="21"/>
        </w:rPr>
        <w:t xml:space="preserve">   </w:t>
      </w:r>
      <w:r>
        <w:rPr>
          <w:sz w:val="21"/>
        </w:rPr>
        <w:t>根据</w:t>
      </w:r>
      <w:r>
        <w:rPr>
          <w:sz w:val="21"/>
          <w:u w:val="single"/>
        </w:rPr>
        <w:t xml:space="preserve">                    </w:t>
      </w:r>
      <w:r>
        <w:rPr>
          <w:sz w:val="21"/>
        </w:rPr>
        <w:t>项目的采购结果，按照《中华人民共和国政府采购法》、《中华人民共和国民法典》的规定，本着平等互利和诚实信用的原则，经甲、乙双方协商一致，订立本合同。</w:t>
      </w:r>
    </w:p>
    <w:p>
      <w:pPr>
        <w:numPr>
          <w:ilvl w:val="0"/>
          <w:numId w:val="1"/>
        </w:numPr>
      </w:pPr>
      <w:r>
        <w:rPr>
          <w:b/>
          <w:sz w:val="21"/>
        </w:rPr>
        <w:t>项目内容</w:t>
      </w:r>
    </w:p>
    <w:tbl>
      <w:tblPr>
        <w:tblW w:w="0" w:type="auto"/>
        <w:tblBorders>
          <w:top w:val="none" w:color="000000" w:sz="4"/>
          <w:left w:val="none" w:color="000000" w:sz="4"/>
          <w:bottom w:val="none" w:color="000000" w:sz="4"/>
          <w:right w:val="none" w:color="000000" w:sz="4"/>
          <w:insideH w:val="none"/>
          <w:insideV w:val="none"/>
        </w:tblBorders>
      </w:tblPr>
      <w:tblGrid>
        <w:gridCol w:w="1063"/>
        <w:gridCol w:w="3030"/>
        <w:gridCol w:w="1209"/>
        <w:gridCol w:w="996"/>
        <w:gridCol w:w="996"/>
        <w:gridCol w:w="996"/>
      </w:tblGrid>
      <w:tr>
        <w:tc>
          <w:tcPr>
            <w:tcW w:type="dxa" w:w="1063"/>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3030"/>
            <w:tcBorders>
              <w:top w:val="single" w:color="000000" w:sz="4"/>
              <w:left w:val="none" w:color="000000" w:sz="4"/>
              <w:bottom w:val="single" w:color="000000" w:sz="4"/>
              <w:right w:val="single" w:color="000000" w:sz="4"/>
            </w:tcBorders>
            <w:vAlign w:val="top"/>
          </w:tcPr>
          <w:p>
            <w:pPr>
              <w:jc w:val="center"/>
            </w:pPr>
            <w:r>
              <w:rPr>
                <w:sz w:val="21"/>
              </w:rPr>
              <w:t>服务内容</w:t>
            </w:r>
          </w:p>
        </w:tc>
        <w:tc>
          <w:tcPr>
            <w:tcW w:type="dxa" w:w="1209"/>
            <w:tcBorders>
              <w:top w:val="single" w:color="000000" w:sz="4"/>
              <w:left w:val="none" w:color="000000" w:sz="4"/>
              <w:bottom w:val="single" w:color="000000" w:sz="4"/>
              <w:right w:val="single" w:color="000000" w:sz="4"/>
            </w:tcBorders>
            <w:vAlign w:val="top"/>
          </w:tcPr>
          <w:p>
            <w:pPr>
              <w:jc w:val="center"/>
            </w:pPr>
            <w:r>
              <w:rPr>
                <w:sz w:val="21"/>
              </w:rPr>
              <w:t>数量</w:t>
            </w:r>
          </w:p>
        </w:tc>
        <w:tc>
          <w:tcPr>
            <w:tcW w:type="dxa" w:w="996"/>
            <w:tcBorders>
              <w:top w:val="single" w:color="000000" w:sz="4"/>
              <w:left w:val="none" w:color="000000" w:sz="4"/>
              <w:bottom w:val="single" w:color="000000" w:sz="4"/>
              <w:right w:val="single" w:color="000000" w:sz="4"/>
            </w:tcBorders>
            <w:vAlign w:val="top"/>
          </w:tcPr>
          <w:p>
            <w:pPr>
              <w:jc w:val="center"/>
            </w:pPr>
            <w:r>
              <w:rPr>
                <w:sz w:val="21"/>
              </w:rPr>
              <w:t>单位</w:t>
            </w:r>
          </w:p>
        </w:tc>
        <w:tc>
          <w:tcPr>
            <w:tcW w:type="dxa" w:w="996"/>
            <w:tcBorders>
              <w:top w:val="single" w:color="000000" w:sz="4"/>
              <w:left w:val="none" w:color="000000" w:sz="4"/>
              <w:bottom w:val="single" w:color="000000" w:sz="4"/>
              <w:right w:val="single" w:color="000000" w:sz="4"/>
            </w:tcBorders>
            <w:vAlign w:val="top"/>
          </w:tcPr>
          <w:p>
            <w:pPr>
              <w:jc w:val="center"/>
            </w:pPr>
            <w:r>
              <w:rPr>
                <w:sz w:val="21"/>
              </w:rPr>
              <w:t>单价（元）</w:t>
            </w:r>
          </w:p>
        </w:tc>
        <w:tc>
          <w:tcPr>
            <w:tcW w:type="dxa" w:w="996"/>
            <w:tcBorders>
              <w:top w:val="single" w:color="000000" w:sz="4"/>
              <w:left w:val="none" w:color="000000" w:sz="4"/>
              <w:bottom w:val="single" w:color="000000" w:sz="4"/>
              <w:right w:val="single" w:color="000000" w:sz="4"/>
            </w:tcBorders>
            <w:vAlign w:val="top"/>
          </w:tcPr>
          <w:p>
            <w:pPr>
              <w:jc w:val="center"/>
            </w:pPr>
            <w:r>
              <w:rPr>
                <w:sz w:val="21"/>
              </w:rPr>
              <w:t>总价（元）</w:t>
            </w:r>
          </w:p>
        </w:tc>
      </w:tr>
      <w:tr>
        <w:tc>
          <w:tcPr>
            <w:tcW w:type="dxa" w:w="1063"/>
            <w:tcBorders>
              <w:top w:val="none" w:color="000000" w:sz="4"/>
              <w:left w:val="single" w:color="000000" w:sz="4"/>
              <w:bottom w:val="single" w:color="000000" w:sz="4"/>
              <w:right w:val="single" w:color="000000" w:sz="4"/>
            </w:tcBorders>
            <w:vAlign w:val="top"/>
          </w:tcPr>
          <w:p>
            <w:pPr>
              <w:jc w:val="center"/>
            </w:pPr>
            <w:r>
              <w:rPr>
                <w:sz w:val="21"/>
              </w:rPr>
              <w:t>1</w:t>
            </w:r>
          </w:p>
        </w:tc>
        <w:tc>
          <w:tcPr>
            <w:tcW w:type="dxa" w:w="3030"/>
            <w:tcBorders>
              <w:top w:val="none" w:color="000000" w:sz="4"/>
              <w:left w:val="none" w:color="000000" w:sz="4"/>
              <w:bottom w:val="single" w:color="000000" w:sz="4"/>
              <w:right w:val="single" w:color="000000" w:sz="4"/>
            </w:tcBorders>
            <w:vAlign w:val="top"/>
          </w:tcPr>
          <w:p>
            <w:pPr>
              <w:jc w:val="both"/>
            </w:pPr>
          </w:p>
        </w:tc>
        <w:tc>
          <w:tcPr>
            <w:tcW w:type="dxa" w:w="1209"/>
            <w:tcBorders>
              <w:top w:val="none" w:color="000000" w:sz="4"/>
              <w:left w:val="none" w:color="000000" w:sz="4"/>
              <w:bottom w:val="single" w:color="000000" w:sz="4"/>
              <w:right w:val="single" w:color="000000" w:sz="4"/>
            </w:tcBorders>
            <w:vAlign w:val="top"/>
          </w:tcPr>
          <w:p>
            <w:pPr>
              <w:jc w:val="both"/>
            </w:pPr>
          </w:p>
        </w:tc>
        <w:tc>
          <w:tcPr>
            <w:tcW w:type="dxa" w:w="996"/>
            <w:tcBorders>
              <w:top w:val="none" w:color="000000" w:sz="4"/>
              <w:left w:val="none" w:color="000000" w:sz="4"/>
              <w:bottom w:val="single" w:color="000000" w:sz="4"/>
              <w:right w:val="single" w:color="000000" w:sz="4"/>
            </w:tcBorders>
            <w:vAlign w:val="top"/>
          </w:tcPr>
          <w:p>
            <w:pPr>
              <w:jc w:val="both"/>
            </w:pPr>
          </w:p>
        </w:tc>
        <w:tc>
          <w:tcPr>
            <w:tcW w:type="dxa" w:w="996"/>
            <w:tcBorders>
              <w:top w:val="none" w:color="000000" w:sz="4"/>
              <w:left w:val="none" w:color="000000" w:sz="4"/>
              <w:bottom w:val="single" w:color="000000" w:sz="4"/>
              <w:right w:val="single" w:color="000000" w:sz="4"/>
            </w:tcBorders>
            <w:vAlign w:val="top"/>
          </w:tcPr>
          <w:p>
            <w:pPr>
              <w:jc w:val="both"/>
            </w:pPr>
          </w:p>
        </w:tc>
        <w:tc>
          <w:tcPr>
            <w:tcW w:type="dxa" w:w="996"/>
            <w:tcBorders>
              <w:top w:val="none" w:color="000000" w:sz="4"/>
              <w:left w:val="none" w:color="000000" w:sz="4"/>
              <w:bottom w:val="single" w:color="000000" w:sz="4"/>
              <w:right w:val="single" w:color="000000" w:sz="4"/>
            </w:tcBorders>
            <w:vAlign w:val="top"/>
          </w:tcPr>
          <w:p>
            <w:pPr>
              <w:jc w:val="both"/>
            </w:pPr>
          </w:p>
        </w:tc>
      </w:tr>
      <w:tr>
        <w:tc>
          <w:tcPr>
            <w:tcW w:type="dxa" w:w="1063"/>
            <w:tcBorders>
              <w:top w:val="none" w:color="000000" w:sz="4"/>
              <w:left w:val="single" w:color="000000" w:sz="4"/>
              <w:bottom w:val="single" w:color="000000" w:sz="4"/>
              <w:right w:val="single" w:color="000000" w:sz="4"/>
            </w:tcBorders>
            <w:vAlign w:val="top"/>
          </w:tcPr>
          <w:p>
            <w:pPr>
              <w:jc w:val="center"/>
            </w:pPr>
            <w:r>
              <w:rPr>
                <w:sz w:val="21"/>
              </w:rPr>
              <w:t>2</w:t>
            </w:r>
          </w:p>
        </w:tc>
        <w:tc>
          <w:tcPr>
            <w:tcW w:type="dxa" w:w="3030"/>
            <w:tcBorders>
              <w:top w:val="none" w:color="000000" w:sz="4"/>
              <w:left w:val="none" w:color="000000" w:sz="4"/>
              <w:bottom w:val="single" w:color="000000" w:sz="4"/>
              <w:right w:val="single" w:color="000000" w:sz="4"/>
            </w:tcBorders>
            <w:vAlign w:val="top"/>
          </w:tcPr>
          <w:p>
            <w:pPr>
              <w:jc w:val="both"/>
            </w:pPr>
          </w:p>
        </w:tc>
        <w:tc>
          <w:tcPr>
            <w:tcW w:type="dxa" w:w="1209"/>
            <w:tcBorders>
              <w:top w:val="none" w:color="000000" w:sz="4"/>
              <w:left w:val="none" w:color="000000" w:sz="4"/>
              <w:bottom w:val="single" w:color="000000" w:sz="4"/>
              <w:right w:val="single" w:color="000000" w:sz="4"/>
            </w:tcBorders>
            <w:vAlign w:val="top"/>
          </w:tcPr>
          <w:p>
            <w:pPr>
              <w:jc w:val="both"/>
            </w:pPr>
          </w:p>
        </w:tc>
        <w:tc>
          <w:tcPr>
            <w:tcW w:type="dxa" w:w="996"/>
            <w:tcBorders>
              <w:top w:val="none" w:color="000000" w:sz="4"/>
              <w:left w:val="none" w:color="000000" w:sz="4"/>
              <w:bottom w:val="single" w:color="000000" w:sz="4"/>
              <w:right w:val="single" w:color="000000" w:sz="4"/>
            </w:tcBorders>
            <w:vAlign w:val="top"/>
          </w:tcPr>
          <w:p>
            <w:pPr>
              <w:jc w:val="both"/>
            </w:pPr>
          </w:p>
        </w:tc>
        <w:tc>
          <w:tcPr>
            <w:tcW w:type="dxa" w:w="996"/>
            <w:tcBorders>
              <w:top w:val="none" w:color="000000" w:sz="4"/>
              <w:left w:val="none" w:color="000000" w:sz="4"/>
              <w:bottom w:val="single" w:color="000000" w:sz="4"/>
              <w:right w:val="single" w:color="000000" w:sz="4"/>
            </w:tcBorders>
            <w:vAlign w:val="top"/>
          </w:tcPr>
          <w:p>
            <w:pPr>
              <w:jc w:val="both"/>
            </w:pPr>
          </w:p>
        </w:tc>
        <w:tc>
          <w:tcPr>
            <w:tcW w:type="dxa" w:w="996"/>
            <w:tcBorders>
              <w:top w:val="none" w:color="000000" w:sz="4"/>
              <w:left w:val="none" w:color="000000" w:sz="4"/>
              <w:bottom w:val="single" w:color="000000" w:sz="4"/>
              <w:right w:val="single" w:color="000000" w:sz="4"/>
            </w:tcBorders>
            <w:vAlign w:val="top"/>
          </w:tcPr>
          <w:p>
            <w:pPr>
              <w:jc w:val="both"/>
            </w:pPr>
          </w:p>
        </w:tc>
      </w:tr>
      <w:tr>
        <w:tc>
          <w:tcPr>
            <w:tcW w:type="dxa" w:w="1063"/>
            <w:tcBorders>
              <w:top w:val="none" w:color="000000" w:sz="4"/>
              <w:left w:val="single" w:color="000000" w:sz="4"/>
              <w:bottom w:val="single" w:color="000000" w:sz="4"/>
              <w:right w:val="single" w:color="000000" w:sz="4"/>
            </w:tcBorders>
            <w:vAlign w:val="top"/>
          </w:tcPr>
          <w:p>
            <w:pPr>
              <w:jc w:val="center"/>
            </w:pPr>
            <w:r>
              <w:rPr>
                <w:sz w:val="21"/>
              </w:rPr>
              <w:t>…</w:t>
            </w:r>
          </w:p>
        </w:tc>
        <w:tc>
          <w:tcPr>
            <w:tcW w:type="dxa" w:w="3030"/>
            <w:tcBorders>
              <w:top w:val="none" w:color="000000" w:sz="4"/>
              <w:left w:val="none" w:color="000000" w:sz="4"/>
              <w:bottom w:val="single" w:color="000000" w:sz="4"/>
              <w:right w:val="single" w:color="000000" w:sz="4"/>
            </w:tcBorders>
            <w:vAlign w:val="top"/>
          </w:tcPr>
          <w:p>
            <w:pPr>
              <w:jc w:val="both"/>
            </w:pPr>
          </w:p>
        </w:tc>
        <w:tc>
          <w:tcPr>
            <w:tcW w:type="dxa" w:w="1209"/>
            <w:tcBorders>
              <w:top w:val="none" w:color="000000" w:sz="4"/>
              <w:left w:val="none" w:color="000000" w:sz="4"/>
              <w:bottom w:val="single" w:color="000000" w:sz="4"/>
              <w:right w:val="single" w:color="000000" w:sz="4"/>
            </w:tcBorders>
            <w:vAlign w:val="top"/>
          </w:tcPr>
          <w:p>
            <w:pPr>
              <w:jc w:val="both"/>
            </w:pPr>
          </w:p>
        </w:tc>
        <w:tc>
          <w:tcPr>
            <w:tcW w:type="dxa" w:w="996"/>
            <w:tcBorders>
              <w:top w:val="none" w:color="000000" w:sz="4"/>
              <w:left w:val="none" w:color="000000" w:sz="4"/>
              <w:bottom w:val="single" w:color="000000" w:sz="4"/>
              <w:right w:val="single" w:color="000000" w:sz="4"/>
            </w:tcBorders>
            <w:vAlign w:val="top"/>
          </w:tcPr>
          <w:p>
            <w:pPr>
              <w:jc w:val="both"/>
            </w:pPr>
          </w:p>
        </w:tc>
        <w:tc>
          <w:tcPr>
            <w:tcW w:type="dxa" w:w="996"/>
            <w:tcBorders>
              <w:top w:val="none" w:color="000000" w:sz="4"/>
              <w:left w:val="none" w:color="000000" w:sz="4"/>
              <w:bottom w:val="single" w:color="000000" w:sz="4"/>
              <w:right w:val="single" w:color="000000" w:sz="4"/>
            </w:tcBorders>
            <w:vAlign w:val="top"/>
          </w:tcPr>
          <w:p>
            <w:pPr>
              <w:jc w:val="both"/>
            </w:pPr>
          </w:p>
        </w:tc>
        <w:tc>
          <w:tcPr>
            <w:tcW w:type="dxa" w:w="996"/>
            <w:tcBorders>
              <w:top w:val="none" w:color="000000" w:sz="4"/>
              <w:left w:val="none" w:color="000000" w:sz="4"/>
              <w:bottom w:val="single" w:color="000000" w:sz="4"/>
              <w:right w:val="single" w:color="000000" w:sz="4"/>
            </w:tcBorders>
            <w:vAlign w:val="top"/>
          </w:tcPr>
          <w:p>
            <w:pPr>
              <w:jc w:val="both"/>
            </w:pPr>
          </w:p>
        </w:tc>
      </w:tr>
      <w:tr>
        <w:tc>
          <w:tcPr>
            <w:tcW w:type="dxa" w:w="8290"/>
            <w:gridSpan w:val="6"/>
            <w:tcBorders>
              <w:top w:val="none" w:color="000000" w:sz="4"/>
              <w:left w:val="single" w:color="000000" w:sz="4"/>
              <w:bottom w:val="single" w:color="000000" w:sz="4"/>
              <w:right w:val="single" w:color="000000" w:sz="4"/>
            </w:tcBorders>
            <w:vAlign w:val="top"/>
          </w:tcPr>
          <w:p>
            <w:pPr>
              <w:ind w:firstLine="1050"/>
              <w:jc w:val="both"/>
            </w:pPr>
            <w:r>
              <w:rPr>
                <w:sz w:val="21"/>
              </w:rPr>
              <w:t>合同总额：（大写）：</w:t>
            </w:r>
            <w:r>
              <w:rPr>
                <w:sz w:val="21"/>
              </w:rPr>
              <w:t xml:space="preserve">                              </w:t>
            </w:r>
            <w:r>
              <w:rPr>
                <w:sz w:val="21"/>
              </w:rPr>
              <w:t>小写：￥</w:t>
            </w:r>
            <w:r>
              <w:rPr>
                <w:sz w:val="21"/>
              </w:rPr>
              <w:t xml:space="preserve">      </w:t>
            </w:r>
            <w:r>
              <w:rPr>
                <w:sz w:val="21"/>
              </w:rPr>
              <w:t>元</w:t>
            </w:r>
          </w:p>
        </w:tc>
      </w:tr>
    </w:tbl>
    <w:p>
      <w:pPr>
        <w:ind w:firstLine="420"/>
        <w:jc w:val="both"/>
      </w:pPr>
      <w:r>
        <w:rPr>
          <w:sz w:val="21"/>
        </w:rPr>
        <w:t>本项目为大包干项目，乙方承包及负责招标文件对乙方要求的一切事宜及责任。</w:t>
      </w:r>
      <w:r>
        <w:rPr>
          <w:sz w:val="21"/>
        </w:rPr>
        <w:t>合同总额</w:t>
      </w:r>
      <w:r>
        <w:rPr>
          <w:sz w:val="21"/>
        </w:rPr>
        <w:t>包含项目策划、人员工资、福利、保险、加班费、突发性作业费、劳保费等所有费用、药物费、工具机械费、包装、仓储、运输、安装、调试、检测、验收、技术服务、保质期保障、所有税费和其他服务以及合同实施过程中应预见和不可预见的一切费用。如发生缺漏项视同以包含在报价之中。乙方中标后不得再向甲方收取任何费用。</w:t>
      </w:r>
    </w:p>
    <w:p>
      <w:pPr>
        <w:jc w:val="both"/>
      </w:pPr>
      <w:r>
        <w:rPr>
          <w:b/>
          <w:sz w:val="21"/>
        </w:rPr>
        <w:t xml:space="preserve">    </w:t>
      </w:r>
      <w:r>
        <w:rPr>
          <w:b/>
          <w:sz w:val="21"/>
        </w:rPr>
        <w:t>二、项目服务内容及要求</w:t>
      </w:r>
    </w:p>
    <w:p>
      <w:pPr>
        <w:ind w:firstLine="420"/>
        <w:jc w:val="both"/>
      </w:pPr>
      <w:r>
        <w:rPr>
          <w:sz w:val="21"/>
        </w:rPr>
        <w:t>1</w:t>
      </w:r>
      <w:r>
        <w:rPr>
          <w:color w:val="000000"/>
          <w:sz w:val="21"/>
        </w:rPr>
        <w:t>消杀范围：广州市番禺区钟村街辖区内所有</w:t>
      </w:r>
      <w:r>
        <w:rPr>
          <w:color w:val="000000"/>
          <w:sz w:val="21"/>
        </w:rPr>
        <w:t>四害孳生地的灭鼠、灭蚊、灭苍蝇、灭蟑螂工作（如有传染病时义务配合消杀工作）。具体</w:t>
      </w:r>
      <w:r>
        <w:rPr>
          <w:color w:val="000000"/>
          <w:sz w:val="21"/>
        </w:rPr>
        <w:t>消杀范围</w:t>
      </w:r>
      <w:r>
        <w:rPr>
          <w:color w:val="000000"/>
          <w:sz w:val="21"/>
        </w:rPr>
        <w:t>包括但不限于：钟村街道钟韦路、解放路、云市路、宏达街、宏达四街、宏达五街、宏达六街、社学西路、社学东路、钟灵路、毓秀路、嘉胜路、趣园后街、骏兴路、骏业路、钟新路、人民路、太平路、礼贤路、文化广场前水泥路、钟胜西街、钟胜东街、钟创路、钟盛路、钟顺路（</w:t>
      </w:r>
      <w:r>
        <w:rPr>
          <w:color w:val="000000"/>
          <w:sz w:val="21"/>
        </w:rPr>
        <w:t>G105国道）、福翠路（新市广路）、金山大道、钟韵路、钟韵路辅道、钟村文化广场大街、钟兴路、钟兴路辅道、兴业大道（一、二、三标）、谢石公路、汉溪大道、汉兴西路、汉兴东路、汉兴五街、汉兴四街、汉兴三街、汉兴直街、钟汉路、旧市广辅道（钟三段、钟二段）、旧市广路、创源路、富山路、钟韵路、环村路、钟韵路①天桥、钟韵路②天桥、汉溪大道人行天桥</w:t>
      </w:r>
      <w:r>
        <w:rPr>
          <w:color w:val="000000"/>
          <w:sz w:val="21"/>
        </w:rPr>
        <w:t>、福翠路与钟顺路交界、</w:t>
      </w:r>
      <w:r>
        <w:rPr>
          <w:color w:val="000000"/>
          <w:sz w:val="21"/>
        </w:rPr>
        <w:t>钟村街辖区所有公园、公厕、广场及街道各个职能部门等四害孳生地的灭鼠、灭蚊、灭苍蝇、灭蟑螂工作。负责鼠、蚊、蝇、蟑螂等</w:t>
      </w:r>
      <w:r>
        <w:rPr>
          <w:color w:val="000000"/>
          <w:sz w:val="21"/>
        </w:rPr>
        <w:t>“四害”的监控、防治、消杀工作；收集动物尸体工作（含老鼠、蟑螂尸体收集清理工作），并将尸体做无害化处理。确保不低于国家卫生镇标准和要求，鼠、蚊、蝇、蟑螂密度须控制在全国爱卫会规定的标准内。其次是完成突发性的各类疫情消毒消杀并按次数确定服务费用。</w:t>
      </w:r>
    </w:p>
    <w:p>
      <w:pPr>
        <w:ind w:firstLine="420"/>
        <w:jc w:val="both"/>
      </w:pPr>
      <w:r>
        <w:rPr>
          <w:sz w:val="21"/>
        </w:rPr>
        <w:t>2.乙方负责提供除四害消杀工作所需的药物，组建除四害工作专业消杀队伍，按要求开展相关工作。</w:t>
      </w:r>
    </w:p>
    <w:p>
      <w:pPr>
        <w:jc w:val="both"/>
      </w:pPr>
      <w:r>
        <w:rPr>
          <w:sz w:val="21"/>
        </w:rPr>
        <w:t xml:space="preserve">    </w:t>
      </w:r>
      <w:r>
        <w:rPr>
          <w:sz w:val="21"/>
        </w:rPr>
        <w:t>3.乙方配备</w:t>
      </w:r>
      <w:r>
        <w:rPr>
          <w:sz w:val="21"/>
          <w:u w:val="single"/>
        </w:rPr>
        <w:t xml:space="preserve">       </w:t>
      </w:r>
      <w:r>
        <w:rPr>
          <w:sz w:val="21"/>
        </w:rPr>
        <w:t>人灭蚊专业防控队伍（具有有害生物防制资质证、上岗证和公共卫生消毒员证书），必须在项目所在地辖区内设有固定办公场所，长期驻点开展日常防控工作，并配合计生办（卫生）部门开展日常巡查工作。</w:t>
      </w:r>
    </w:p>
    <w:p>
      <w:pPr>
        <w:jc w:val="both"/>
      </w:pPr>
      <w:r>
        <w:rPr>
          <w:sz w:val="21"/>
        </w:rPr>
        <w:t xml:space="preserve">    </w:t>
      </w:r>
      <w:r>
        <w:rPr>
          <w:sz w:val="21"/>
        </w:rPr>
        <w:t>4.消杀装备:本项目要求乙方至少提供（1）背负式电动喷雾器不少于6台；（2）超低容量喷雾器不少于10台；（3）热烟雾机不少于5台；（4）大型超低容量设备(分散雾滴＜100μm，静风射程≥40m)不少于2台；（5）服务车辆不少于1辆。</w:t>
      </w:r>
    </w:p>
    <w:p>
      <w:pPr>
        <w:jc w:val="both"/>
      </w:pPr>
      <w:r>
        <w:rPr>
          <w:sz w:val="21"/>
        </w:rPr>
        <w:t xml:space="preserve">    </w:t>
      </w:r>
      <w:r>
        <w:rPr>
          <w:sz w:val="21"/>
        </w:rPr>
        <w:t>5.用药标准及要求</w:t>
      </w:r>
    </w:p>
    <w:p>
      <w:pPr>
        <w:jc w:val="both"/>
      </w:pPr>
      <w:r>
        <w:rPr>
          <w:sz w:val="21"/>
        </w:rPr>
        <w:t xml:space="preserve">    </w:t>
      </w:r>
      <w:r>
        <w:rPr>
          <w:sz w:val="21"/>
        </w:rPr>
        <w:t>乙方必须注重科学合理用药，不得使用假药、国家禁用的药物，并须确保药物来源和质量正当可靠。达到</w:t>
      </w:r>
      <w:r>
        <w:rPr>
          <w:sz w:val="21"/>
        </w:rPr>
        <w:t>“安全、高效、环保”并交替使用药物防止产生耐药性的要求。为保证用药质量，确保创卫工作顺利进行，使用药物必须按照以下标准和要求执行。</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0"/>
        <w:gridCol w:w="2625"/>
        <w:gridCol w:w="1530"/>
        <w:gridCol w:w="1305"/>
        <w:gridCol w:w="1890"/>
      </w:tblGrid>
      <w:tr>
        <w:tc>
          <w:tcPr>
            <w:tcW w:type="dxa" w:w="660"/>
            <w:tcBorders>
              <w:top w:val="single" w:color="000000" w:sz="4"/>
              <w:left w:val="single" w:color="000000" w:sz="4"/>
              <w:bottom w:val="single" w:color="000000" w:sz="4"/>
              <w:right w:val="single" w:color="000000" w:sz="4"/>
            </w:tcBorders>
            <w:vAlign w:val="top"/>
          </w:tcPr>
          <w:p>
            <w:pPr>
              <w:jc w:val="center"/>
            </w:pPr>
            <w:r>
              <w:rPr>
                <w:color w:val="000000"/>
                <w:sz w:val="21"/>
              </w:rPr>
              <w:t>序号</w:t>
            </w:r>
          </w:p>
        </w:tc>
        <w:tc>
          <w:tcPr>
            <w:tcW w:type="dxa" w:w="2625"/>
            <w:tcBorders>
              <w:top w:val="single" w:color="000000" w:sz="4"/>
              <w:left w:val="single" w:color="000000" w:sz="4"/>
              <w:bottom w:val="single" w:color="000000" w:sz="4"/>
              <w:right w:val="single" w:color="000000" w:sz="4"/>
            </w:tcBorders>
            <w:vAlign w:val="top"/>
          </w:tcPr>
          <w:p>
            <w:pPr>
              <w:jc w:val="center"/>
            </w:pPr>
            <w:r>
              <w:rPr>
                <w:color w:val="000000"/>
                <w:sz w:val="21"/>
              </w:rPr>
              <w:t>有效成份</w:t>
            </w:r>
          </w:p>
        </w:tc>
        <w:tc>
          <w:tcPr>
            <w:tcW w:type="dxa" w:w="1530"/>
            <w:tcBorders>
              <w:top w:val="single" w:color="000000" w:sz="4"/>
              <w:left w:val="single" w:color="000000" w:sz="4"/>
              <w:bottom w:val="single" w:color="000000" w:sz="4"/>
              <w:right w:val="single" w:color="000000" w:sz="4"/>
            </w:tcBorders>
            <w:vAlign w:val="top"/>
          </w:tcPr>
          <w:p>
            <w:pPr>
              <w:jc w:val="center"/>
            </w:pPr>
            <w:r>
              <w:rPr>
                <w:color w:val="000000"/>
                <w:sz w:val="21"/>
              </w:rPr>
              <w:t>规格</w:t>
            </w:r>
          </w:p>
        </w:tc>
        <w:tc>
          <w:tcPr>
            <w:tcW w:type="dxa" w:w="1305"/>
            <w:tcBorders>
              <w:top w:val="single" w:color="000000" w:sz="4"/>
              <w:left w:val="single" w:color="000000" w:sz="4"/>
              <w:bottom w:val="single" w:color="000000" w:sz="4"/>
              <w:right w:val="single" w:color="000000" w:sz="4"/>
            </w:tcBorders>
            <w:vAlign w:val="top"/>
          </w:tcPr>
          <w:p>
            <w:pPr>
              <w:jc w:val="center"/>
            </w:pPr>
            <w:r>
              <w:rPr>
                <w:color w:val="000000"/>
                <w:sz w:val="21"/>
              </w:rPr>
              <w:t>剂型</w:t>
            </w:r>
          </w:p>
        </w:tc>
        <w:tc>
          <w:tcPr>
            <w:tcW w:type="dxa" w:w="1890"/>
            <w:tcBorders>
              <w:top w:val="single" w:color="000000" w:sz="4"/>
              <w:left w:val="single" w:color="000000" w:sz="4"/>
              <w:bottom w:val="single" w:color="000000" w:sz="4"/>
              <w:right w:val="single" w:color="000000" w:sz="4"/>
            </w:tcBorders>
            <w:vAlign w:val="top"/>
          </w:tcPr>
          <w:p>
            <w:pPr>
              <w:jc w:val="center"/>
            </w:pPr>
            <w:r>
              <w:rPr>
                <w:color w:val="000000"/>
                <w:sz w:val="21"/>
              </w:rPr>
              <w:t>要求</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1</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溴鼠灵</w:t>
            </w:r>
            <w:r>
              <w:rPr>
                <w:color w:val="000000"/>
                <w:sz w:val="21"/>
              </w:rPr>
              <w:t>≥0.005%</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100g/包</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饵剂</w:t>
            </w:r>
          </w:p>
        </w:tc>
        <w:tc>
          <w:tcPr>
            <w:tcW w:type="dxa" w:w="1890"/>
            <w:vMerge w:val="restart"/>
            <w:tcBorders>
              <w:top w:val="none" w:color="000000" w:sz="4"/>
              <w:left w:val="single" w:color="000000" w:sz="4"/>
              <w:bottom w:val="single" w:color="000000" w:sz="4"/>
              <w:right w:val="single" w:color="000000" w:sz="4"/>
            </w:tcBorders>
            <w:vAlign w:val="top"/>
          </w:tcPr>
          <w:p>
            <w:pPr>
              <w:jc w:val="both"/>
            </w:pPr>
            <w:r>
              <w:rPr>
                <w:color w:val="000000"/>
                <w:sz w:val="21"/>
              </w:rPr>
              <w:t>药品的三证（农药生产许可证、农药登记证、企业标准封面）、检测报告并加盖厂家公章、厂家为供应商提供本项目药品的优先供货承诺书和质量保证书并加盖厂家公章。</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2</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倍硫磷</w:t>
            </w:r>
            <w:r>
              <w:rPr>
                <w:color w:val="000000"/>
                <w:sz w:val="21"/>
              </w:rPr>
              <w:t>≥5%</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10kg/包</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颗粒剂</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3</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Es-生物烯丙菊酯与氯菊酯混配总含量≥10.5%</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500ml*20瓶/箱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乳油</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4</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高效氯氰菊酯与甲基嘧啶磷混配总含量</w:t>
            </w:r>
            <w:r>
              <w:rPr>
                <w:color w:val="000000"/>
                <w:sz w:val="21"/>
              </w:rPr>
              <w:t>≥7%</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1kg*10瓶/箱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水乳剂</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5</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 xml:space="preserve"> </w:t>
            </w:r>
            <w:r>
              <w:rPr>
                <w:color w:val="000000"/>
                <w:sz w:val="21"/>
              </w:rPr>
              <w:t>残杀威和右旋反式氯丙炔菊酯混配总含量</w:t>
            </w:r>
            <w:r>
              <w:rPr>
                <w:color w:val="000000"/>
                <w:sz w:val="21"/>
              </w:rPr>
              <w:t>≥5%</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1升*10瓶/箱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乳油</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6</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高效氯氰菊酯和残杀威混配总含量</w:t>
            </w:r>
            <w:r>
              <w:rPr>
                <w:color w:val="000000"/>
                <w:sz w:val="21"/>
              </w:rPr>
              <w:t>≥10%</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500g*20瓶/箱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悬浮剂</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7</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氯氰菊酯和敌敌畏混配总含量</w:t>
            </w:r>
            <w:r>
              <w:rPr>
                <w:color w:val="000000"/>
                <w:sz w:val="21"/>
              </w:rPr>
              <w:t>≥20%</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500g*20瓶/箱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乳油</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8</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高效氯氰菊酯和胺菊酯混配总含量</w:t>
            </w:r>
            <w:r>
              <w:rPr>
                <w:color w:val="000000"/>
                <w:sz w:val="21"/>
              </w:rPr>
              <w:t xml:space="preserve">≥2.5%  </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5升*4桶/箱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热雾剂</w:t>
            </w:r>
          </w:p>
        </w:tc>
      </w:tr>
      <w:tr>
        <w:tc>
          <w:tcPr>
            <w:tcW w:type="dxa" w:w="660"/>
            <w:tcBorders>
              <w:top w:val="none" w:color="000000" w:sz="4"/>
              <w:left w:val="single" w:color="000000" w:sz="4"/>
              <w:bottom w:val="single" w:color="000000" w:sz="4"/>
              <w:right w:val="single" w:color="000000" w:sz="4"/>
            </w:tcBorders>
            <w:vAlign w:val="top"/>
          </w:tcPr>
          <w:p>
            <w:pPr>
              <w:jc w:val="center"/>
            </w:pPr>
            <w:r>
              <w:rPr>
                <w:color w:val="000000"/>
                <w:sz w:val="21"/>
              </w:rPr>
              <w:t>9</w:t>
            </w:r>
          </w:p>
        </w:tc>
        <w:tc>
          <w:tcPr>
            <w:tcW w:type="dxa" w:w="2625"/>
            <w:tcBorders>
              <w:top w:val="none" w:color="000000" w:sz="4"/>
              <w:left w:val="single" w:color="000000" w:sz="4"/>
              <w:bottom w:val="single" w:color="000000" w:sz="4"/>
              <w:right w:val="single" w:color="000000" w:sz="4"/>
            </w:tcBorders>
            <w:vAlign w:val="top"/>
          </w:tcPr>
          <w:p>
            <w:pPr>
              <w:jc w:val="center"/>
            </w:pPr>
            <w:r>
              <w:rPr>
                <w:color w:val="000000"/>
                <w:sz w:val="21"/>
              </w:rPr>
              <w:t>高效氯氰菊酯</w:t>
            </w:r>
            <w:r>
              <w:rPr>
                <w:color w:val="000000"/>
                <w:sz w:val="21"/>
              </w:rPr>
              <w:t>≥5%</w:t>
            </w:r>
          </w:p>
        </w:tc>
        <w:tc>
          <w:tcPr>
            <w:tcW w:type="dxa" w:w="1530"/>
            <w:tcBorders>
              <w:top w:val="none" w:color="000000" w:sz="4"/>
              <w:left w:val="single" w:color="000000" w:sz="4"/>
              <w:bottom w:val="single" w:color="000000" w:sz="4"/>
              <w:right w:val="single" w:color="000000" w:sz="4"/>
            </w:tcBorders>
            <w:vAlign w:val="top"/>
          </w:tcPr>
          <w:p>
            <w:pPr>
              <w:jc w:val="center"/>
            </w:pPr>
            <w:r>
              <w:rPr>
                <w:color w:val="000000"/>
                <w:sz w:val="21"/>
              </w:rPr>
              <w:t>500g*20瓶/箱</w:t>
            </w:r>
          </w:p>
        </w:tc>
        <w:tc>
          <w:tcPr>
            <w:tcW w:type="dxa" w:w="1305"/>
            <w:tcBorders>
              <w:top w:val="none" w:color="000000" w:sz="4"/>
              <w:left w:val="single" w:color="000000" w:sz="4"/>
              <w:bottom w:val="single" w:color="000000" w:sz="4"/>
              <w:right w:val="single" w:color="000000" w:sz="4"/>
            </w:tcBorders>
            <w:vAlign w:val="top"/>
          </w:tcPr>
          <w:p>
            <w:pPr>
              <w:jc w:val="center"/>
            </w:pPr>
            <w:r>
              <w:rPr>
                <w:color w:val="000000"/>
                <w:sz w:val="21"/>
              </w:rPr>
              <w:t>悬浮剂</w:t>
            </w:r>
          </w:p>
        </w:tc>
      </w:tr>
    </w:tbl>
    <w:p>
      <w:pPr>
        <w:jc w:val="both"/>
      </w:pPr>
    </w:p>
    <w:p>
      <w:pPr>
        <w:ind w:firstLine="420"/>
        <w:jc w:val="both"/>
      </w:pPr>
      <w:r>
        <w:rPr>
          <w:sz w:val="21"/>
        </w:rPr>
        <w:t xml:space="preserve"> </w:t>
      </w:r>
      <w:r>
        <w:rPr>
          <w:sz w:val="21"/>
        </w:rPr>
        <w:t>6.认真做好各社区除四害</w:t>
      </w:r>
      <w:r>
        <w:rPr>
          <w:sz w:val="21"/>
        </w:rPr>
        <w:t>消杀</w:t>
      </w:r>
      <w:r>
        <w:rPr>
          <w:sz w:val="21"/>
        </w:rPr>
        <w:t>周记、建立除四害消杀工作台账，及时准确记录统一施药时间、投放药物名称数量、防控工作人员数量、消杀场景图片、面积、并由防控人员和监督检查人员签字确认，并做好防控工作资料的整理归档工作。</w:t>
      </w:r>
    </w:p>
    <w:p>
      <w:pPr>
        <w:jc w:val="both"/>
      </w:pPr>
      <w:r>
        <w:rPr>
          <w:sz w:val="21"/>
        </w:rPr>
        <w:t xml:space="preserve">    </w:t>
      </w:r>
      <w:r>
        <w:rPr>
          <w:sz w:val="21"/>
        </w:rPr>
        <w:t>7.负责每月定期对钟村街范围内防蚊闸板进行检查及清疏工作。</w:t>
      </w:r>
    </w:p>
    <w:p>
      <w:pPr>
        <w:jc w:val="both"/>
      </w:pPr>
      <w:r>
        <w:rPr>
          <w:sz w:val="21"/>
        </w:rPr>
        <w:t xml:space="preserve">    </w:t>
      </w: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jc w:val="both"/>
      </w:pPr>
    </w:p>
    <w:p>
      <w:pPr>
        <w:ind w:firstLine="420"/>
        <w:jc w:val="both"/>
      </w:pPr>
    </w:p>
    <w:p>
      <w:pPr>
        <w:ind w:firstLine="420"/>
        <w:jc w:val="both"/>
      </w:pPr>
      <w:r>
        <w:rPr>
          <w:sz w:val="21"/>
        </w:rPr>
        <w:t>8.每次区爱卫办第三方监测机构对社区开展蚊媒密度监测工作时必须安排不少于5名工作人员协助入户开展监测工作。</w:t>
      </w:r>
    </w:p>
    <w:p>
      <w:pPr>
        <w:jc w:val="both"/>
      </w:pPr>
      <w:r>
        <w:rPr>
          <w:sz w:val="21"/>
        </w:rPr>
        <w:t xml:space="preserve">    </w:t>
      </w:r>
      <w:r>
        <w:rPr>
          <w:sz w:val="21"/>
        </w:rPr>
        <w:t>9.登革热防控时期协助计生办（卫生）部门开展灭蚊消杀药品、灭蚊工作宣传品的运输及派发工作。</w:t>
      </w:r>
    </w:p>
    <w:p>
      <w:pPr>
        <w:jc w:val="both"/>
      </w:pPr>
      <w:r>
        <w:rPr>
          <w:sz w:val="21"/>
        </w:rPr>
        <w:t xml:space="preserve">    </w:t>
      </w:r>
      <w:r>
        <w:rPr>
          <w:sz w:val="21"/>
        </w:rPr>
        <w:t>10.在登革热防控时期按照计生办（卫生）部门的工作安排每周安排人员、清洁工具、运输车辆对承包范围内社区、侨队开展清理蚊虫孳生地、卫生死角等爱国卫生运动并对清理后杂物垃圾进行搬运处理。</w:t>
      </w:r>
    </w:p>
    <w:p>
      <w:pPr>
        <w:jc w:val="both"/>
      </w:pPr>
      <w:r>
        <w:rPr>
          <w:sz w:val="21"/>
        </w:rPr>
        <w:t xml:space="preserve">    </w:t>
      </w:r>
      <w:r>
        <w:rPr>
          <w:sz w:val="21"/>
        </w:rPr>
        <w:t>11.登革热疫情出现疫点时，甲方通知乙方后须当天立即安排人员进行疫点应急消杀，疫点处理所需的消杀人员、药品及器械由乙方负责，直至达到上级疾控部门解除疫点处置要求为止。</w:t>
      </w:r>
    </w:p>
    <w:p>
      <w:pPr>
        <w:jc w:val="both"/>
      </w:pPr>
      <w:r>
        <w:rPr>
          <w:sz w:val="21"/>
        </w:rPr>
        <w:t xml:space="preserve">    </w:t>
      </w:r>
      <w:r>
        <w:rPr>
          <w:sz w:val="21"/>
        </w:rPr>
        <w:t>12.配合做好登革热时期上级部门各项考核迎检工作和临时性任务（含检查、蚊虫孳生地清理、重大活动等）。</w:t>
      </w:r>
    </w:p>
    <w:p>
      <w:pPr>
        <w:jc w:val="both"/>
      </w:pPr>
      <w:r>
        <w:rPr>
          <w:sz w:val="21"/>
        </w:rPr>
        <w:t xml:space="preserve">    </w:t>
      </w:r>
      <w:r>
        <w:rPr>
          <w:sz w:val="21"/>
        </w:rPr>
        <w:t>13.乙方在地址：</w:t>
      </w:r>
      <w:r>
        <w:rPr>
          <w:sz w:val="21"/>
          <w:u w:val="single"/>
        </w:rPr>
        <w:t xml:space="preserve">                        </w:t>
      </w:r>
      <w:r>
        <w:rPr>
          <w:sz w:val="21"/>
        </w:rPr>
        <w:t>设立固定的办公场所。</w:t>
      </w:r>
    </w:p>
    <w:p>
      <w:pPr>
        <w:jc w:val="both"/>
      </w:pPr>
      <w:r>
        <w:rPr>
          <w:sz w:val="21"/>
        </w:rPr>
        <w:t xml:space="preserve">    </w:t>
      </w:r>
      <w:r>
        <w:rPr>
          <w:sz w:val="21"/>
        </w:rPr>
        <w:t>14.负责消杀工作人员的聘用、业务技能培训及工资福利，必须按国家、省、市有关规定支付工人工资，并按《劳动法》的规定与员工签订劳动合同，为员工购买社会保险等。</w:t>
      </w:r>
    </w:p>
    <w:p>
      <w:pPr>
        <w:jc w:val="both"/>
      </w:pPr>
      <w:r>
        <w:rPr>
          <w:sz w:val="21"/>
        </w:rPr>
        <w:t xml:space="preserve">    </w:t>
      </w:r>
      <w:r>
        <w:rPr>
          <w:sz w:val="21"/>
        </w:rPr>
        <w:t>15.本服务项目不得转包，合同一方因不可抗力原因不能履行合同要提前30天书面通知发包单位，经双方协商后再作决定。</w:t>
      </w:r>
    </w:p>
    <w:p>
      <w:pPr>
        <w:jc w:val="both"/>
      </w:pPr>
      <w:r>
        <w:rPr>
          <w:sz w:val="21"/>
        </w:rPr>
        <w:t xml:space="preserve">    </w:t>
      </w:r>
      <w:r>
        <w:rPr>
          <w:b/>
          <w:sz w:val="21"/>
        </w:rPr>
        <w:t>三、服务质量标准</w:t>
      </w:r>
    </w:p>
    <w:p>
      <w:pPr>
        <w:ind w:firstLine="422"/>
        <w:jc w:val="left"/>
      </w:pPr>
      <w:r>
        <w:rPr>
          <w:b/>
          <w:sz w:val="21"/>
        </w:rPr>
        <w:t>1.鼠密度控制水平</w:t>
      </w:r>
    </w:p>
    <w:p>
      <w:pPr>
        <w:ind w:firstLine="420"/>
        <w:jc w:val="left"/>
      </w:pPr>
      <w:r>
        <w:rPr>
          <w:sz w:val="21"/>
        </w:rPr>
        <w:t>1.1防鼠设施：防鼠设施合格率大于或等于93%，必须达C级以上。</w:t>
      </w:r>
    </w:p>
    <w:p>
      <w:pPr>
        <w:ind w:firstLine="420"/>
        <w:jc w:val="left"/>
      </w:pPr>
      <w:r>
        <w:rPr>
          <w:sz w:val="21"/>
        </w:rPr>
        <w:t>1.2室内鼠密度：鼠迹阳性率小于或等于5%，必须达C级以上。</w:t>
      </w:r>
    </w:p>
    <w:p>
      <w:pPr>
        <w:ind w:firstLine="420"/>
        <w:jc w:val="left"/>
      </w:pPr>
      <w:r>
        <w:rPr>
          <w:sz w:val="21"/>
        </w:rPr>
        <w:t>1.3外环境：路径指数小于或等于5，必须达C级以上。</w:t>
      </w:r>
    </w:p>
    <w:p>
      <w:pPr>
        <w:ind w:firstLine="422"/>
        <w:jc w:val="left"/>
      </w:pPr>
      <w:r>
        <w:rPr>
          <w:b/>
          <w:sz w:val="21"/>
        </w:rPr>
        <w:t>2.蜚蠊密度控制水平</w:t>
      </w:r>
    </w:p>
    <w:p>
      <w:pPr>
        <w:ind w:firstLine="420"/>
        <w:jc w:val="left"/>
      </w:pPr>
      <w:r>
        <w:rPr>
          <w:sz w:val="21"/>
        </w:rPr>
        <w:t>2.1成若虫侵害率：蜚蠊成若虫侵害率小于或等于5%，平均每阳性（处）成若虫数小蠊小于或等于10只，大蠊小于或等于5只。达C级以上。</w:t>
      </w:r>
    </w:p>
    <w:p>
      <w:pPr>
        <w:ind w:firstLine="420"/>
        <w:jc w:val="left"/>
      </w:pPr>
      <w:r>
        <w:rPr>
          <w:sz w:val="21"/>
        </w:rPr>
        <w:t>2.2卵鞘查获率：蜚蠊卵鞘查获率小于或等于3%，平均每阳性房间（处）卵鞘数小于或等于8只。达C级以上。</w:t>
      </w:r>
    </w:p>
    <w:p>
      <w:pPr>
        <w:ind w:firstLine="420"/>
        <w:jc w:val="left"/>
      </w:pPr>
      <w:r>
        <w:rPr>
          <w:sz w:val="21"/>
        </w:rPr>
        <w:t>2.3蟑迹查获率：蟑迹查获率小于或等于7%。达C级以上。</w:t>
      </w:r>
    </w:p>
    <w:p>
      <w:pPr>
        <w:ind w:firstLine="422"/>
        <w:jc w:val="left"/>
      </w:pPr>
      <w:r>
        <w:rPr>
          <w:b/>
          <w:sz w:val="21"/>
        </w:rPr>
        <w:t>3.蝇类控制水平</w:t>
      </w:r>
    </w:p>
    <w:p>
      <w:pPr>
        <w:ind w:firstLine="420"/>
        <w:jc w:val="left"/>
      </w:pPr>
      <w:r>
        <w:rPr>
          <w:sz w:val="21"/>
        </w:rPr>
        <w:t>3.1生产销售直接入口食品的场所不得有蝇。室内不得存在蝇类孳生地，必须达C级以上。</w:t>
      </w:r>
    </w:p>
    <w:p>
      <w:pPr>
        <w:ind w:firstLine="420"/>
        <w:jc w:val="left"/>
      </w:pPr>
      <w:r>
        <w:rPr>
          <w:sz w:val="21"/>
        </w:rPr>
        <w:t>3.2室内成蝇密度：有蝇房间阳性率小于或等于9%，阳性间蝇密度小于或等于3只/间，必须达C级以上。</w:t>
      </w:r>
    </w:p>
    <w:p>
      <w:pPr>
        <w:ind w:firstLine="420"/>
        <w:jc w:val="left"/>
      </w:pPr>
      <w:r>
        <w:rPr>
          <w:sz w:val="21"/>
        </w:rPr>
        <w:t>3.3室外蝇类孳生地密度：蝇类孳生地阳性率小于或等于5%，必须达C级以上。</w:t>
      </w:r>
    </w:p>
    <w:p>
      <w:pPr>
        <w:ind w:firstLine="420"/>
        <w:jc w:val="left"/>
      </w:pPr>
      <w:r>
        <w:rPr>
          <w:sz w:val="21"/>
        </w:rPr>
        <w:t>3.4防蝇设施：防蝇设施合格率大于或等于90%，必须达C级以上。</w:t>
      </w:r>
    </w:p>
    <w:p>
      <w:pPr>
        <w:ind w:firstLine="422"/>
        <w:jc w:val="left"/>
      </w:pPr>
      <w:r>
        <w:rPr>
          <w:b/>
          <w:sz w:val="21"/>
        </w:rPr>
        <w:t>4.蚊密度控制水平</w:t>
      </w:r>
    </w:p>
    <w:p>
      <w:pPr>
        <w:ind w:firstLine="420"/>
        <w:jc w:val="left"/>
      </w:pPr>
      <w:r>
        <w:rPr>
          <w:sz w:val="21"/>
        </w:rPr>
        <w:t>4.1小型积水蚊虫密度：路径指数小于或等于0.8，达C级以上。</w:t>
      </w:r>
    </w:p>
    <w:p>
      <w:pPr>
        <w:ind w:firstLine="420"/>
        <w:jc w:val="left"/>
      </w:pPr>
      <w:r>
        <w:rPr>
          <w:sz w:val="21"/>
        </w:rPr>
        <w:t>4.2大中型水体蚊虫密度：采样勺指数小于或等于5%，平均每阳性勺少于8只蚊虫幼虫和蛹，达C级以上。</w:t>
      </w:r>
    </w:p>
    <w:p>
      <w:pPr>
        <w:jc w:val="both"/>
      </w:pPr>
      <w:r>
        <w:rPr>
          <w:sz w:val="21"/>
        </w:rPr>
        <w:t xml:space="preserve">    </w:t>
      </w:r>
      <w:r>
        <w:rPr>
          <w:sz w:val="21"/>
        </w:rPr>
        <w:t>4.3外环境蚊虫密度：停落指数小于或等于1.5，达C级以上。</w:t>
      </w:r>
    </w:p>
    <w:p>
      <w:pPr>
        <w:ind w:firstLine="422"/>
        <w:jc w:val="both"/>
      </w:pPr>
      <w:r>
        <w:rPr>
          <w:b/>
          <w:sz w:val="21"/>
        </w:rPr>
        <w:t>四、付款方式</w:t>
      </w:r>
    </w:p>
    <w:p>
      <w:pPr>
        <w:ind w:firstLine="420"/>
        <w:jc w:val="left"/>
      </w:pPr>
      <w:r>
        <w:rPr>
          <w:sz w:val="21"/>
        </w:rPr>
        <w:t>1.每年的服务费按照合同中的年度服务费金额，分12次（月）进行支付，以此类推三年。</w:t>
      </w:r>
    </w:p>
    <w:p>
      <w:pPr>
        <w:ind w:firstLine="420"/>
        <w:jc w:val="left"/>
      </w:pPr>
      <w:r>
        <w:rPr>
          <w:sz w:val="21"/>
        </w:rPr>
        <w:t>2.每次（月）支付时，由甲方出具月度考核报告，按“考评与奖惩”中的规定，计算出当月考核评分，甲方根据考核评分计算当</w:t>
      </w:r>
      <w:r>
        <w:rPr>
          <w:sz w:val="21"/>
        </w:rPr>
        <w:t>月</w:t>
      </w:r>
      <w:r>
        <w:rPr>
          <w:sz w:val="21"/>
        </w:rPr>
        <w:t>服务</w:t>
      </w:r>
      <w:r>
        <w:rPr>
          <w:sz w:val="21"/>
        </w:rPr>
        <w:t>费总额</w:t>
      </w:r>
      <w:r>
        <w:rPr>
          <w:sz w:val="21"/>
        </w:rPr>
        <w:t>，并支付当</w:t>
      </w:r>
      <w:r>
        <w:rPr>
          <w:sz w:val="21"/>
        </w:rPr>
        <w:t>月</w:t>
      </w:r>
      <w:r>
        <w:rPr>
          <w:sz w:val="21"/>
        </w:rPr>
        <w:t>服务</w:t>
      </w:r>
      <w:r>
        <w:rPr>
          <w:sz w:val="21"/>
        </w:rPr>
        <w:t>费</w:t>
      </w:r>
      <w:r>
        <w:rPr>
          <w:sz w:val="21"/>
        </w:rPr>
        <w:t>总额的</w:t>
      </w:r>
      <w:r>
        <w:rPr>
          <w:sz w:val="21"/>
        </w:rPr>
        <w:t>100%支付给乙方。</w:t>
      </w:r>
    </w:p>
    <w:p>
      <w:pPr>
        <w:ind w:firstLine="420"/>
        <w:jc w:val="left"/>
      </w:pPr>
      <w:r>
        <w:rPr>
          <w:sz w:val="21"/>
        </w:rPr>
        <w:t>3.乙方申请支付服务费时向甲方开具等额国家完税服务类发票。</w:t>
      </w:r>
    </w:p>
    <w:p>
      <w:pPr>
        <w:ind w:firstLine="420"/>
        <w:jc w:val="both"/>
      </w:pPr>
      <w:r>
        <w:rPr>
          <w:sz w:val="21"/>
        </w:rPr>
        <w:t>4.</w:t>
      </w:r>
      <w:r>
        <w:rPr>
          <w:sz w:val="21"/>
        </w:rPr>
        <w:t>由于服务费的计量拨付需经财政部门审批，实际支付时间可能滞后于合同约定的时限，甲方不做补偿，乙方不得因费用拨付滞后而影响正常工作开展和消杀质量。</w:t>
      </w:r>
    </w:p>
    <w:p>
      <w:pPr>
        <w:ind w:firstLine="420"/>
        <w:jc w:val="both"/>
      </w:pPr>
      <w:r>
        <w:rPr>
          <w:sz w:val="21"/>
        </w:rPr>
        <w:t>5.</w:t>
      </w:r>
      <w:r>
        <w:rPr>
          <w:sz w:val="21"/>
        </w:rPr>
        <w:t xml:space="preserve"> </w:t>
      </w:r>
      <w:r>
        <w:rPr>
          <w:sz w:val="21"/>
        </w:rPr>
        <w:t>为确保合同履行过程中合同双方遵守诚信原则，</w:t>
      </w:r>
      <w:r>
        <w:rPr>
          <w:sz w:val="21"/>
        </w:rPr>
        <w:t>甲方预留</w:t>
      </w:r>
      <w:r>
        <w:rPr>
          <w:sz w:val="21"/>
        </w:rPr>
        <w:t>5%</w:t>
      </w:r>
      <w:r>
        <w:rPr>
          <w:sz w:val="21"/>
        </w:rPr>
        <w:t>作为履约保证金或由乙方提供甲方认可的银行出具的合同总价</w:t>
      </w:r>
      <w:r>
        <w:rPr>
          <w:sz w:val="21"/>
        </w:rPr>
        <w:t>5</w:t>
      </w:r>
      <w:r>
        <w:rPr>
          <w:sz w:val="21"/>
        </w:rPr>
        <w:t>%</w:t>
      </w:r>
      <w:r>
        <w:rPr>
          <w:sz w:val="21"/>
        </w:rPr>
        <w:t>且期限到合同期满不可撤销的履约保函。提供履约保证金的，</w:t>
      </w:r>
      <w:r>
        <w:rPr>
          <w:sz w:val="21"/>
        </w:rPr>
        <w:t>乙方完成本合同全部服务内容且经采购人审核通过后三个月内</w:t>
      </w:r>
      <w:r>
        <w:rPr>
          <w:sz w:val="21"/>
        </w:rPr>
        <w:t>，甲方</w:t>
      </w:r>
      <w:r>
        <w:rPr>
          <w:sz w:val="21"/>
        </w:rPr>
        <w:t>暂无发现乙方存在虚假结算、行贿、受贿等情形的，甲方于</w:t>
      </w:r>
      <w:r>
        <w:rPr>
          <w:sz w:val="21"/>
        </w:rPr>
        <w:t>5</w:t>
      </w:r>
      <w:r>
        <w:rPr>
          <w:sz w:val="21"/>
        </w:rPr>
        <w:t>个工作日内无息退还</w:t>
      </w:r>
      <w:r>
        <w:rPr>
          <w:sz w:val="21"/>
        </w:rPr>
        <w:t>履约</w:t>
      </w:r>
      <w:r>
        <w:rPr>
          <w:sz w:val="21"/>
        </w:rPr>
        <w:t>保证金金额。甲方约定的退款时间为向政府采购支付部门提出办理财政支付申请手续的时间（不含政府财政支付部门审核的时间），在上述约定的时间内提出支付申请手续后即视为甲方已经按期退款。</w:t>
      </w:r>
    </w:p>
    <w:p>
      <w:pPr>
        <w:ind w:firstLine="420"/>
        <w:jc w:val="both"/>
      </w:pPr>
    </w:p>
    <w:p>
      <w:pPr>
        <w:ind w:firstLine="422"/>
        <w:jc w:val="both"/>
      </w:pPr>
      <w:r>
        <w:rPr>
          <w:b/>
          <w:sz w:val="21"/>
        </w:rPr>
        <w:t>五、考评与奖惩</w:t>
      </w:r>
    </w:p>
    <w:p>
      <w:pPr>
        <w:ind w:firstLine="420"/>
        <w:jc w:val="both"/>
      </w:pPr>
      <w:r>
        <w:rPr>
          <w:sz w:val="21"/>
        </w:rPr>
        <w:t>1.考评主体</w:t>
      </w:r>
    </w:p>
    <w:p>
      <w:pPr>
        <w:ind w:firstLine="420"/>
        <w:jc w:val="left"/>
      </w:pPr>
      <w:r>
        <w:rPr>
          <w:sz w:val="21"/>
        </w:rPr>
        <w:t>为保证服务质量，甲方负责对乙方的服务质量进行监督管理和检查考评。</w:t>
      </w:r>
    </w:p>
    <w:p>
      <w:pPr>
        <w:ind w:firstLine="420"/>
        <w:jc w:val="left"/>
      </w:pPr>
      <w:r>
        <w:rPr>
          <w:sz w:val="21"/>
        </w:rPr>
        <w:t>2.考评方式</w:t>
      </w:r>
    </w:p>
    <w:p>
      <w:pPr>
        <w:ind w:firstLine="420"/>
        <w:jc w:val="left"/>
      </w:pPr>
      <w:r>
        <w:rPr>
          <w:sz w:val="21"/>
        </w:rPr>
        <w:t>2.1日常巡查</w:t>
      </w:r>
    </w:p>
    <w:p>
      <w:pPr>
        <w:ind w:firstLine="420"/>
        <w:jc w:val="left"/>
      </w:pPr>
      <w:r>
        <w:rPr>
          <w:sz w:val="21"/>
        </w:rPr>
        <w:t>1）乙方需配备专门巡查人员，自行安排日常巡查，发现问题及时处理。</w:t>
      </w:r>
    </w:p>
    <w:p>
      <w:pPr>
        <w:ind w:firstLine="420"/>
        <w:jc w:val="left"/>
      </w:pPr>
      <w:r>
        <w:rPr>
          <w:sz w:val="21"/>
        </w:rPr>
        <w:t>2）甲方安排人员负责日常巡查并建立记录档案，发现问题通知乙方限期解决。</w:t>
      </w:r>
    </w:p>
    <w:p>
      <w:pPr>
        <w:ind w:firstLine="420"/>
        <w:jc w:val="left"/>
      </w:pPr>
      <w:r>
        <w:rPr>
          <w:sz w:val="21"/>
        </w:rPr>
        <w:t>2.2考评与奖惩</w:t>
      </w:r>
    </w:p>
    <w:p>
      <w:pPr>
        <w:ind w:firstLine="420"/>
        <w:jc w:val="left"/>
      </w:pPr>
      <w:r>
        <w:rPr>
          <w:sz w:val="21"/>
        </w:rPr>
        <w:t>1）甲方在服务期满一年后对乙方的服务进行考核，考核通过的才能继续下一年度的服务，如未能通过考核的，甲方有权单方面终止合同，将该项目另行招标。</w:t>
      </w:r>
    </w:p>
    <w:p>
      <w:pPr>
        <w:ind w:firstLine="420"/>
        <w:jc w:val="left"/>
      </w:pPr>
      <w:r>
        <w:rPr>
          <w:sz w:val="21"/>
        </w:rPr>
        <w:t>2）甲方每月对乙方消杀质量进行不少于1次的抽检考核，考核评分项目内容及扣分标准由甲方制定，甲方确认后实施，乙方需无条件遵照执行。</w:t>
      </w:r>
    </w:p>
    <w:p>
      <w:pPr>
        <w:ind w:firstLine="420"/>
        <w:jc w:val="left"/>
      </w:pPr>
      <w:r>
        <w:rPr>
          <w:sz w:val="21"/>
        </w:rPr>
        <w:t>月考核要求：满分</w:t>
      </w:r>
      <w:r>
        <w:rPr>
          <w:sz w:val="21"/>
        </w:rPr>
        <w:t>100分，按下列原则评定：</w:t>
      </w:r>
    </w:p>
    <w:p>
      <w:pPr>
        <w:ind w:firstLine="420"/>
        <w:jc w:val="left"/>
      </w:pPr>
      <w:r>
        <w:rPr>
          <w:sz w:val="21"/>
        </w:rPr>
        <w:t>a.90分以上的（含90分）视为合格；甲方按付款方式的约定支付当期服务费；</w:t>
      </w:r>
    </w:p>
    <w:p>
      <w:pPr>
        <w:ind w:firstLine="420"/>
        <w:jc w:val="left"/>
      </w:pPr>
      <w:r>
        <w:rPr>
          <w:sz w:val="21"/>
        </w:rPr>
        <w:t>b.低于90分的视为不合格；月考核成绩每低于90分1分（不足1分按1分计，下同）则扣减乙方当月服务费的1%；扣分超过20分的（得分低于70分）扣减乙方当月全部服务费；</w:t>
      </w:r>
    </w:p>
    <w:p>
      <w:pPr>
        <w:ind w:firstLine="420"/>
        <w:jc w:val="left"/>
      </w:pPr>
      <w:r>
        <w:rPr>
          <w:sz w:val="21"/>
        </w:rPr>
        <w:t>c.连续3个月考核不合格或一年内不合格次数累计达到5次的，甲方有权取消其中标资格，无条件解除合同另选其他单位承接消杀任务。</w:t>
      </w:r>
    </w:p>
    <w:p>
      <w:pPr>
        <w:ind w:firstLine="420"/>
        <w:jc w:val="left"/>
      </w:pPr>
      <w:r>
        <w:rPr>
          <w:sz w:val="21"/>
        </w:rPr>
        <w:t>3）乙方在全国、省的重要检查或重大突击性任务中，发现属乙方质量责任问题，经查属实，且不及时或不配合整改，受到上级或市和区本级职能部门通报批评两次以上，每一次扣减当月的全部服务经费。</w:t>
      </w:r>
    </w:p>
    <w:p>
      <w:pPr>
        <w:ind w:firstLine="420"/>
        <w:jc w:val="left"/>
      </w:pPr>
      <w:r>
        <w:rPr>
          <w:sz w:val="21"/>
        </w:rPr>
        <w:t>4）对于上级或甲方及监督管理部门提出的书面整改意见或群众投诉、传媒曝光等问题，乙方不进行整改或整改后，经监督管理部门检查仍不符合质量标准要求的同类问题，承包期内每年累计三次的，每一次除扣减当月全部服务经费。</w:t>
      </w:r>
    </w:p>
    <w:p>
      <w:pPr>
        <w:ind w:firstLine="420"/>
        <w:jc w:val="left"/>
      </w:pPr>
      <w:r>
        <w:rPr>
          <w:sz w:val="21"/>
        </w:rPr>
        <w:t>5）甲方在服务期内有权结合实际需求及相关法规规范的变更，更新、调整考核项目内容及扣分标准。</w:t>
      </w:r>
    </w:p>
    <w:p>
      <w:pPr>
        <w:jc w:val="both"/>
      </w:pPr>
      <w:r>
        <w:rPr>
          <w:b/>
          <w:sz w:val="21"/>
        </w:rPr>
        <w:t xml:space="preserve">    </w:t>
      </w:r>
      <w:r>
        <w:rPr>
          <w:b/>
          <w:sz w:val="21"/>
        </w:rPr>
        <w:t>六、违约责任与赔偿损失</w:t>
      </w:r>
    </w:p>
    <w:p>
      <w:pPr>
        <w:ind w:firstLine="420"/>
        <w:jc w:val="both"/>
      </w:pPr>
      <w:r>
        <w:rPr>
          <w:sz w:val="21"/>
        </w:rPr>
        <w:t>1、乙方提供的服务不符合采购文件、报价文件或本合同规定的，甲方有权拒收，并且有权要求乙方修正，必要时甲方有权单方无条件解除合同。</w:t>
      </w:r>
    </w:p>
    <w:p>
      <w:pPr>
        <w:ind w:firstLine="420"/>
        <w:jc w:val="both"/>
      </w:pPr>
      <w:r>
        <w:rPr>
          <w:sz w:val="21"/>
        </w:rPr>
        <w:t>2、乙方未能按本合同规定的交货时间提供服务，从逾期之日起每日按本合同总价</w:t>
      </w:r>
      <w:r>
        <w:rPr>
          <w:sz w:val="21"/>
        </w:rPr>
        <w:t>5</w:t>
      </w:r>
      <w:r>
        <w:rPr>
          <w:sz w:val="21"/>
        </w:rPr>
        <w:t>‰的数额向甲方支付违约金；逾期半个月以上的，甲方有权单方解除合同，由此造成的甲方直接、间接经济损失（如甲方另行聘请第三方代乙方完成义务造成的费用、诉讼费、律师费等）由乙方承担。</w:t>
      </w:r>
    </w:p>
    <w:p>
      <w:pPr>
        <w:ind w:firstLine="420"/>
        <w:jc w:val="both"/>
      </w:pPr>
      <w:r>
        <w:rPr>
          <w:sz w:val="21"/>
        </w:rPr>
        <w:t>3、甲方无正当理由拒绝接受服务，甲方向乙方偿付本合同总价款的5%的违约金。</w:t>
      </w:r>
    </w:p>
    <w:p>
      <w:pPr>
        <w:ind w:firstLine="420"/>
        <w:jc w:val="both"/>
      </w:pPr>
      <w:r>
        <w:rPr>
          <w:sz w:val="21"/>
        </w:rPr>
        <w:t>4</w:t>
      </w:r>
      <w:r>
        <w:rPr>
          <w:sz w:val="21"/>
        </w:rPr>
        <w:t>、</w:t>
      </w:r>
      <w:r>
        <w:rPr>
          <w:sz w:val="21"/>
        </w:rPr>
        <w:t>违约责任按《中华人民共和国民法典》处理。</w:t>
      </w:r>
    </w:p>
    <w:p>
      <w:pPr>
        <w:ind w:firstLine="422"/>
        <w:jc w:val="both"/>
      </w:pPr>
      <w:r>
        <w:rPr>
          <w:b/>
          <w:sz w:val="21"/>
        </w:rPr>
        <w:t>七</w:t>
      </w:r>
      <w:r>
        <w:rPr>
          <w:b/>
          <w:sz w:val="21"/>
        </w:rPr>
        <w:t>、不可抗力：</w:t>
      </w: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ind w:firstLine="422"/>
        <w:jc w:val="left"/>
      </w:pPr>
      <w:r>
        <w:rPr>
          <w:b/>
          <w:sz w:val="21"/>
        </w:rPr>
        <w:t>八</w:t>
      </w:r>
      <w:r>
        <w:rPr>
          <w:b/>
          <w:sz w:val="21"/>
        </w:rPr>
        <w:t>、争议的解决</w:t>
      </w:r>
    </w:p>
    <w:p>
      <w:pPr>
        <w:ind w:firstLine="420"/>
        <w:jc w:val="left"/>
      </w:pPr>
      <w:r>
        <w:rPr>
          <w:sz w:val="21"/>
        </w:rPr>
        <w:t>合同执行过程中双方如有争议，应友好协商解决，协商不成，双方同意选择以下第（</w:t>
      </w:r>
      <w:r>
        <w:rPr>
          <w:sz w:val="21"/>
          <w:u w:val="single"/>
        </w:rPr>
        <w:t xml:space="preserve">  </w:t>
      </w:r>
      <w:r>
        <w:rPr>
          <w:sz w:val="21"/>
        </w:rPr>
        <w:t>）项方式解决：</w:t>
      </w:r>
    </w:p>
    <w:p>
      <w:pPr>
        <w:ind w:firstLine="420"/>
        <w:jc w:val="left"/>
      </w:pPr>
      <w:r>
        <w:rPr>
          <w:sz w:val="21"/>
        </w:rPr>
        <w:t>（</w:t>
      </w:r>
      <w:r>
        <w:rPr>
          <w:sz w:val="21"/>
        </w:rPr>
        <w:t>1）提交中国广州仲裁委员会仲裁；</w:t>
      </w:r>
    </w:p>
    <w:p>
      <w:pPr>
        <w:ind w:firstLine="420"/>
        <w:jc w:val="left"/>
      </w:pPr>
      <w:r>
        <w:rPr>
          <w:sz w:val="21"/>
        </w:rPr>
        <w:t>（</w:t>
      </w:r>
      <w:r>
        <w:rPr>
          <w:sz w:val="21"/>
        </w:rPr>
        <w:t>2）向甲方所在地人民法院提出诉讼。</w:t>
      </w:r>
    </w:p>
    <w:p>
      <w:pPr>
        <w:ind w:firstLine="413"/>
        <w:jc w:val="both"/>
      </w:pPr>
      <w:r>
        <w:rPr>
          <w:b/>
          <w:sz w:val="21"/>
        </w:rPr>
        <w:t>九、税费：</w:t>
      </w:r>
      <w:r>
        <w:rPr>
          <w:sz w:val="21"/>
        </w:rPr>
        <w:t>在中国境内、外发生的与本合同执行有关的一切税费均由乙方负担。</w:t>
      </w:r>
    </w:p>
    <w:p>
      <w:pPr>
        <w:ind w:firstLine="413"/>
        <w:jc w:val="both"/>
      </w:pPr>
      <w:r>
        <w:rPr>
          <w:b/>
          <w:sz w:val="21"/>
        </w:rPr>
        <w:t>十、其它</w:t>
      </w:r>
    </w:p>
    <w:p>
      <w:pPr>
        <w:ind w:firstLine="420"/>
        <w:jc w:val="both"/>
      </w:pPr>
      <w:r>
        <w:rPr>
          <w:sz w:val="21"/>
        </w:rPr>
        <w:t>1、本合同所有附件、采购文件、投标文件、中标通知书均为合同的有效组成部分，与本合同具有同等法律效力。</w:t>
      </w:r>
    </w:p>
    <w:p>
      <w:pPr>
        <w:ind w:firstLine="420"/>
        <w:jc w:val="both"/>
      </w:pPr>
      <w:r>
        <w:rPr>
          <w:sz w:val="21"/>
        </w:rPr>
        <w:t>2</w:t>
      </w:r>
      <w:r>
        <w:rPr>
          <w:sz w:val="21"/>
        </w:rPr>
        <w:t>、在执行本合同的过程中，所有经双方签署确认的文件（包括会议纪要、补充协议、往来信函）即成为本合同的有效组成部分。</w:t>
      </w:r>
    </w:p>
    <w:p>
      <w:pPr>
        <w:ind w:firstLine="420"/>
        <w:jc w:val="both"/>
      </w:pPr>
      <w:r>
        <w:rPr>
          <w:sz w:val="21"/>
        </w:rPr>
        <w:t>3、如一方地址、电话、传真号码有变更，应在变更当日内书面通知对方，否则，应承担相应责任。</w:t>
      </w:r>
    </w:p>
    <w:p>
      <w:pPr>
        <w:ind w:firstLine="420"/>
        <w:jc w:val="both"/>
      </w:pPr>
      <w:r>
        <w:rPr>
          <w:sz w:val="21"/>
        </w:rPr>
        <w:t>4、除甲方事先书面同意外，乙方不得部分或全部转让其应履行的合同项下的义务。</w:t>
      </w:r>
    </w:p>
    <w:p>
      <w:pPr>
        <w:ind w:firstLine="422"/>
        <w:jc w:val="both"/>
      </w:pPr>
      <w:r>
        <w:rPr>
          <w:b/>
          <w:sz w:val="21"/>
        </w:rPr>
        <w:t>十一、合同生效</w:t>
      </w:r>
    </w:p>
    <w:p>
      <w:pPr>
        <w:ind w:firstLine="420"/>
        <w:jc w:val="both"/>
      </w:pPr>
      <w:r>
        <w:rPr>
          <w:sz w:val="21"/>
        </w:rPr>
        <w:t>1、本合同在甲乙双方法人代表或其授权代表签字盖章后生效。</w:t>
      </w:r>
    </w:p>
    <w:p>
      <w:pPr>
        <w:ind w:firstLine="420"/>
        <w:jc w:val="both"/>
      </w:pPr>
      <w:r>
        <w:rPr>
          <w:sz w:val="21"/>
        </w:rPr>
        <w:t>2、本合同共</w:t>
      </w:r>
      <w:r>
        <w:rPr>
          <w:sz w:val="21"/>
          <w:u w:val="single"/>
        </w:rPr>
        <w:t xml:space="preserve">    </w:t>
      </w:r>
      <w:r>
        <w:rPr>
          <w:sz w:val="21"/>
        </w:rPr>
        <w:t>份，具有同等法律效力，甲方执</w:t>
      </w:r>
      <w:r>
        <w:rPr>
          <w:sz w:val="21"/>
          <w:u w:val="single"/>
        </w:rPr>
        <w:t xml:space="preserve">   </w:t>
      </w:r>
      <w:r>
        <w:rPr>
          <w:sz w:val="21"/>
        </w:rPr>
        <w:t>份，乙方执</w:t>
      </w:r>
      <w:r>
        <w:rPr>
          <w:sz w:val="21"/>
          <w:u w:val="single"/>
        </w:rPr>
        <w:t xml:space="preserve">   </w:t>
      </w:r>
      <w:r>
        <w:rPr>
          <w:sz w:val="21"/>
        </w:rPr>
        <w:t>份，招标代理公司执</w:t>
      </w:r>
      <w:r>
        <w:rPr>
          <w:sz w:val="21"/>
        </w:rPr>
        <w:t>1份，合同自签字之日起即时生效。</w:t>
      </w:r>
    </w:p>
    <w:p>
      <w:pPr>
        <w:ind w:firstLine="422"/>
        <w:jc w:val="both"/>
      </w:pPr>
      <w:r>
        <w:rPr>
          <w:b/>
          <w:sz w:val="21"/>
        </w:rPr>
        <w:t>（以下无正文，供签署）</w:t>
      </w:r>
    </w:p>
    <w:p>
      <w:pPr>
        <w:ind w:firstLine="422"/>
        <w:jc w:val="both"/>
      </w:pPr>
      <w:r>
        <w:rPr>
          <w:b/>
          <w:sz w:val="21"/>
        </w:rPr>
        <w:t>附件：考核表</w:t>
      </w:r>
    </w:p>
    <w:p>
      <w:pPr>
        <w:ind w:firstLine="422"/>
        <w:jc w:val="both"/>
      </w:pPr>
    </w:p>
    <w:p>
      <w:pPr>
        <w:jc w:val="both"/>
      </w:pPr>
      <w:r>
        <w:rPr>
          <w:b/>
          <w:sz w:val="21"/>
        </w:rPr>
        <w:t>甲方（盖章）：</w:t>
      </w:r>
      <w:r>
        <w:rPr>
          <w:b/>
          <w:sz w:val="21"/>
        </w:rPr>
        <w:t xml:space="preserve">                                </w:t>
      </w:r>
      <w:r>
        <w:rPr>
          <w:b/>
          <w:sz w:val="21"/>
        </w:rPr>
        <w:t>乙方（盖章）：</w:t>
      </w:r>
    </w:p>
    <w:p>
      <w:pPr>
        <w:jc w:val="both"/>
      </w:pPr>
      <w:r>
        <w:rPr>
          <w:sz w:val="21"/>
        </w:rPr>
        <w:t>代表：</w:t>
      </w:r>
      <w:r>
        <w:rPr>
          <w:sz w:val="21"/>
        </w:rPr>
        <w:t xml:space="preserve">                                       </w:t>
      </w:r>
      <w:r>
        <w:rPr>
          <w:sz w:val="21"/>
        </w:rPr>
        <w:t>代表：</w:t>
      </w:r>
    </w:p>
    <w:p>
      <w:pPr>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p>
    <w:p>
      <w:pPr>
        <w:jc w:val="both"/>
      </w:pPr>
      <w:r>
        <w:rPr>
          <w:sz w:val="21"/>
        </w:rPr>
        <w:t>签定地点：</w:t>
      </w:r>
      <w:r>
        <w:rPr>
          <w:sz w:val="21"/>
        </w:rPr>
        <w:t xml:space="preserve">                                   </w:t>
      </w:r>
      <w:r>
        <w:rPr>
          <w:sz w:val="21"/>
        </w:rPr>
        <w:t>开户名称：</w:t>
      </w:r>
    </w:p>
    <w:p>
      <w:pPr>
        <w:ind w:firstLine="4830"/>
        <w:jc w:val="both"/>
      </w:pPr>
      <w:r>
        <w:rPr>
          <w:sz w:val="21"/>
        </w:rPr>
        <w:t>银行账号：</w:t>
      </w:r>
    </w:p>
    <w:p>
      <w:pPr>
        <w:ind w:firstLine="4830"/>
        <w:jc w:val="both"/>
      </w:pPr>
      <w:r>
        <w:rPr>
          <w:sz w:val="21"/>
        </w:rPr>
        <w:t>开</w:t>
      </w:r>
      <w:r>
        <w:rPr>
          <w:sz w:val="21"/>
        </w:rPr>
        <w:t>户</w:t>
      </w:r>
      <w:r>
        <w:rPr>
          <w:sz w:val="21"/>
        </w:rPr>
        <w:t>行：</w:t>
      </w:r>
    </w:p>
    <w:p>
      <w:pPr>
        <w:ind w:firstLine="4831"/>
        <w:jc w:val="both"/>
      </w:pPr>
      <w:r>
        <w:rPr>
          <w:b/>
          <w:sz w:val="21"/>
        </w:rPr>
        <w:t>考核表</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610"/>
        <w:gridCol w:w="953"/>
        <w:gridCol w:w="597"/>
        <w:gridCol w:w="5520"/>
        <w:gridCol w:w="597"/>
      </w:tblGrid>
      <w:tr>
        <w:tc>
          <w:tcPr>
            <w:tcW w:type="dxa" w:w="1563"/>
            <w:gridSpan w:val="2"/>
            <w:tcBorders>
              <w:top w:val="single" w:color="000000" w:sz="4"/>
              <w:left w:val="single" w:color="000000" w:sz="4"/>
              <w:bottom w:val="single" w:color="000000" w:sz="4"/>
              <w:right w:val="single" w:color="000000" w:sz="4"/>
            </w:tcBorders>
            <w:vAlign w:val="top"/>
          </w:tcPr>
          <w:p>
            <w:pPr>
              <w:jc w:val="center"/>
            </w:pPr>
            <w:r>
              <w:rPr>
                <w:b/>
                <w:sz w:val="21"/>
              </w:rPr>
              <w:t>项目</w:t>
            </w:r>
          </w:p>
        </w:tc>
        <w:tc>
          <w:tcPr>
            <w:tcW w:type="dxa" w:w="597"/>
            <w:tcBorders>
              <w:top w:val="single" w:color="000000" w:sz="4"/>
              <w:left w:val="none" w:color="000000" w:sz="4"/>
              <w:bottom w:val="single" w:color="000000" w:sz="4"/>
              <w:right w:val="single" w:color="000000" w:sz="4"/>
            </w:tcBorders>
            <w:vAlign w:val="top"/>
          </w:tcPr>
          <w:p>
            <w:pPr>
              <w:jc w:val="center"/>
            </w:pPr>
            <w:r>
              <w:rPr>
                <w:b/>
                <w:sz w:val="21"/>
              </w:rPr>
              <w:t>分值</w:t>
            </w:r>
          </w:p>
        </w:tc>
        <w:tc>
          <w:tcPr>
            <w:tcW w:type="dxa" w:w="5520"/>
            <w:tcBorders>
              <w:top w:val="single" w:color="000000" w:sz="4"/>
              <w:left w:val="none" w:color="000000" w:sz="4"/>
              <w:bottom w:val="single" w:color="000000" w:sz="4"/>
              <w:right w:val="single" w:color="000000" w:sz="4"/>
            </w:tcBorders>
            <w:vAlign w:val="top"/>
          </w:tcPr>
          <w:p>
            <w:pPr>
              <w:jc w:val="center"/>
            </w:pPr>
            <w:r>
              <w:rPr>
                <w:b/>
                <w:sz w:val="21"/>
              </w:rPr>
              <w:t>考核项目</w:t>
            </w:r>
          </w:p>
        </w:tc>
        <w:tc>
          <w:tcPr>
            <w:tcW w:type="dxa" w:w="597"/>
            <w:tcBorders>
              <w:top w:val="single" w:color="000000" w:sz="4"/>
              <w:left w:val="none" w:color="000000" w:sz="4"/>
              <w:bottom w:val="single" w:color="000000" w:sz="4"/>
              <w:right w:val="single" w:color="000000" w:sz="4"/>
            </w:tcBorders>
            <w:vAlign w:val="top"/>
          </w:tcPr>
          <w:p>
            <w:pPr>
              <w:jc w:val="center"/>
            </w:pPr>
            <w:r>
              <w:rPr>
                <w:b/>
                <w:sz w:val="21"/>
              </w:rPr>
              <w:t>扣分</w:t>
            </w:r>
          </w:p>
        </w:tc>
      </w:tr>
      <w:tr>
        <w:tc>
          <w:tcPr>
            <w:tcW w:type="dxa" w:w="610"/>
            <w:vMerge w:val="restart"/>
            <w:tcBorders>
              <w:top w:val="none" w:color="000000" w:sz="4"/>
              <w:left w:val="single" w:color="000000" w:sz="4"/>
              <w:bottom w:val="single" w:color="000000" w:sz="4"/>
              <w:right w:val="single" w:color="000000" w:sz="4"/>
            </w:tcBorders>
            <w:vAlign w:val="top"/>
          </w:tcPr>
          <w:p>
            <w:pPr>
              <w:jc w:val="center"/>
            </w:pPr>
            <w:r>
              <w:rPr>
                <w:sz w:val="21"/>
              </w:rPr>
              <w:t>一、基本要求</w:t>
            </w:r>
          </w:p>
        </w:tc>
        <w:tc>
          <w:tcPr>
            <w:tcW w:type="dxa" w:w="953"/>
            <w:vMerge w:val="restart"/>
            <w:tcBorders>
              <w:top w:val="none" w:color="000000" w:sz="4"/>
              <w:left w:val="none" w:color="000000" w:sz="4"/>
              <w:bottom w:val="single" w:color="000000" w:sz="4"/>
              <w:right w:val="single" w:color="000000" w:sz="4"/>
            </w:tcBorders>
            <w:vAlign w:val="top"/>
          </w:tcPr>
          <w:p>
            <w:pPr>
              <w:jc w:val="center"/>
            </w:pPr>
            <w:r>
              <w:rPr>
                <w:sz w:val="21"/>
              </w:rPr>
              <w:t>40</w:t>
            </w:r>
            <w:r>
              <w:rPr>
                <w:sz w:val="21"/>
              </w:rPr>
              <w:t>分</w:t>
            </w:r>
          </w:p>
        </w:tc>
        <w:tc>
          <w:tcPr>
            <w:tcW w:type="dxa" w:w="597"/>
            <w:tcBorders>
              <w:top w:val="none" w:color="000000" w:sz="4"/>
              <w:left w:val="none" w:color="000000" w:sz="4"/>
              <w:bottom w:val="single" w:color="000000" w:sz="4"/>
              <w:right w:val="single" w:color="000000" w:sz="4"/>
            </w:tcBorders>
            <w:vAlign w:val="top"/>
          </w:tcPr>
          <w:p>
            <w:pPr>
              <w:jc w:val="center"/>
            </w:pPr>
            <w:r>
              <w:rPr>
                <w:sz w:val="21"/>
              </w:rPr>
              <w:t>4</w:t>
            </w:r>
          </w:p>
        </w:tc>
        <w:tc>
          <w:tcPr>
            <w:tcW w:type="dxa" w:w="5520"/>
            <w:tcBorders>
              <w:top w:val="none" w:color="000000" w:sz="4"/>
              <w:left w:val="none" w:color="000000" w:sz="4"/>
              <w:bottom w:val="single" w:color="000000" w:sz="4"/>
              <w:right w:val="single" w:color="000000" w:sz="4"/>
            </w:tcBorders>
            <w:vAlign w:val="top"/>
          </w:tcPr>
          <w:p>
            <w:pPr>
              <w:jc w:val="both"/>
            </w:pPr>
            <w:r>
              <w:rPr>
                <w:sz w:val="21"/>
              </w:rPr>
              <w:t>1.</w:t>
            </w:r>
            <w:r>
              <w:rPr>
                <w:sz w:val="21"/>
              </w:rPr>
              <w:t>按要求进行人员配置，未达要求的，每缺</w:t>
            </w:r>
            <w:r>
              <w:rPr>
                <w:sz w:val="21"/>
              </w:rPr>
              <w:t>1</w:t>
            </w:r>
            <w:r>
              <w:rPr>
                <w:sz w:val="21"/>
              </w:rPr>
              <w:t>人</w:t>
            </w:r>
          </w:p>
        </w:tc>
        <w:tc>
          <w:tcPr>
            <w:tcW w:type="dxa" w:w="59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c>
          <w:tcPr>
            <w:tcW w:type="dxa" w:w="5520"/>
            <w:tcBorders>
              <w:top w:val="none" w:color="000000" w:sz="4"/>
              <w:left w:val="none" w:color="000000" w:sz="4"/>
              <w:bottom w:val="single" w:color="000000" w:sz="4"/>
              <w:right w:val="single" w:color="000000" w:sz="4"/>
            </w:tcBorders>
            <w:vAlign w:val="top"/>
          </w:tcPr>
          <w:p>
            <w:pPr>
              <w:jc w:val="left"/>
            </w:pPr>
            <w:r>
              <w:rPr>
                <w:sz w:val="21"/>
              </w:rPr>
              <w:t>2.</w:t>
            </w:r>
            <w:r>
              <w:rPr>
                <w:sz w:val="21"/>
              </w:rPr>
              <w:t>按要求配置设备，未达要求的，每缺一台设备</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12</w:t>
            </w:r>
          </w:p>
        </w:tc>
        <w:tc>
          <w:tcPr>
            <w:tcW w:type="dxa" w:w="5520"/>
            <w:tcBorders>
              <w:top w:val="none" w:color="000000" w:sz="4"/>
              <w:left w:val="none" w:color="000000" w:sz="4"/>
              <w:bottom w:val="single" w:color="000000" w:sz="4"/>
              <w:right w:val="single" w:color="000000" w:sz="4"/>
            </w:tcBorders>
            <w:vAlign w:val="top"/>
          </w:tcPr>
          <w:p>
            <w:pPr>
              <w:jc w:val="both"/>
            </w:pPr>
            <w:r>
              <w:rPr>
                <w:sz w:val="21"/>
              </w:rPr>
              <w:t>3.</w:t>
            </w:r>
            <w:r>
              <w:rPr>
                <w:sz w:val="21"/>
              </w:rPr>
              <w:t>按要求定期进行各项消杀，未落实的，每项</w:t>
            </w: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left"/>
            </w:pPr>
            <w:r>
              <w:rPr>
                <w:sz w:val="21"/>
              </w:rPr>
              <w:t>4.</w:t>
            </w:r>
            <w:r>
              <w:rPr>
                <w:sz w:val="21"/>
              </w:rPr>
              <w:t>按要求落实密度监测，未落实的，每项</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both"/>
            </w:pPr>
            <w:r>
              <w:rPr>
                <w:sz w:val="21"/>
              </w:rPr>
              <w:t>5.</w:t>
            </w:r>
            <w:r>
              <w:rPr>
                <w:sz w:val="21"/>
              </w:rPr>
              <w:t>按要求落实滋生地调查，未落实的，每项</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left"/>
            </w:pPr>
            <w:r>
              <w:rPr>
                <w:sz w:val="21"/>
              </w:rPr>
              <w:t>6.</w:t>
            </w:r>
            <w:r>
              <w:rPr>
                <w:sz w:val="21"/>
              </w:rPr>
              <w:t>按甲方要求报送工作计划、工作记录、质检记录、药品台帐等资料，每缺一项</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0.3</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c>
          <w:tcPr>
            <w:tcW w:type="dxa" w:w="5520"/>
            <w:tcBorders>
              <w:top w:val="none" w:color="000000" w:sz="4"/>
              <w:left w:val="none" w:color="000000" w:sz="4"/>
              <w:bottom w:val="single" w:color="000000" w:sz="4"/>
              <w:right w:val="single" w:color="000000" w:sz="4"/>
            </w:tcBorders>
            <w:vAlign w:val="top"/>
          </w:tcPr>
          <w:p>
            <w:pPr>
              <w:jc w:val="both"/>
            </w:pPr>
            <w:r>
              <w:rPr>
                <w:sz w:val="21"/>
              </w:rPr>
              <w:t>7.</w:t>
            </w:r>
            <w:r>
              <w:rPr>
                <w:sz w:val="21"/>
              </w:rPr>
              <w:t>消杀过程不得使用违禁药品或无效药物，未达要求的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0.5</w:t>
            </w:r>
          </w:p>
        </w:tc>
        <w:tc>
          <w:tcPr>
            <w:tcW w:type="dxa" w:w="5520"/>
            <w:tcBorders>
              <w:top w:val="none" w:color="000000" w:sz="4"/>
              <w:left w:val="none" w:color="000000" w:sz="4"/>
              <w:bottom w:val="single" w:color="000000" w:sz="4"/>
              <w:right w:val="single" w:color="000000" w:sz="4"/>
            </w:tcBorders>
            <w:vAlign w:val="top"/>
          </w:tcPr>
          <w:p>
            <w:pPr>
              <w:jc w:val="left"/>
            </w:pPr>
            <w:r>
              <w:rPr>
                <w:sz w:val="21"/>
              </w:rPr>
              <w:t>8.</w:t>
            </w:r>
            <w:r>
              <w:rPr>
                <w:sz w:val="21"/>
              </w:rPr>
              <w:t>消杀人员配备防护装备，未达要求的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0.5</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0.5</w:t>
            </w:r>
          </w:p>
        </w:tc>
        <w:tc>
          <w:tcPr>
            <w:tcW w:type="dxa" w:w="5520"/>
            <w:tcBorders>
              <w:top w:val="none" w:color="000000" w:sz="4"/>
              <w:left w:val="none" w:color="000000" w:sz="4"/>
              <w:bottom w:val="single" w:color="000000" w:sz="4"/>
              <w:right w:val="single" w:color="000000" w:sz="4"/>
            </w:tcBorders>
            <w:vAlign w:val="top"/>
          </w:tcPr>
          <w:p>
            <w:pPr>
              <w:jc w:val="both"/>
            </w:pPr>
            <w:r>
              <w:rPr>
                <w:sz w:val="21"/>
              </w:rPr>
              <w:t>9.</w:t>
            </w:r>
            <w:r>
              <w:rPr>
                <w:sz w:val="21"/>
              </w:rPr>
              <w:t>消杀人员工作时穿着工作服装并戴带工作证件，未达要求的，每人</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both"/>
            </w:pPr>
            <w:r>
              <w:rPr>
                <w:sz w:val="21"/>
              </w:rPr>
              <w:t>10.</w:t>
            </w:r>
            <w:r>
              <w:rPr>
                <w:sz w:val="21"/>
              </w:rPr>
              <w:t>积极配合甲方进行应急消杀，未达要求的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both"/>
            </w:pPr>
            <w:r>
              <w:rPr>
                <w:sz w:val="21"/>
              </w:rPr>
              <w:t>11.</w:t>
            </w:r>
            <w:r>
              <w:rPr>
                <w:sz w:val="21"/>
              </w:rPr>
              <w:t>积极配合甲方开展各项迎检工作，未达要求的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4</w:t>
            </w:r>
          </w:p>
        </w:tc>
        <w:tc>
          <w:tcPr>
            <w:tcW w:type="dxa" w:w="5520"/>
            <w:tcBorders>
              <w:top w:val="none" w:color="000000" w:sz="4"/>
              <w:left w:val="none" w:color="000000" w:sz="4"/>
              <w:bottom w:val="single" w:color="000000" w:sz="4"/>
              <w:right w:val="single" w:color="000000" w:sz="4"/>
            </w:tcBorders>
            <w:vAlign w:val="top"/>
          </w:tcPr>
          <w:p>
            <w:pPr>
              <w:jc w:val="both"/>
            </w:pPr>
            <w:r>
              <w:rPr>
                <w:sz w:val="21"/>
              </w:rPr>
              <w:t>12.</w:t>
            </w:r>
            <w:r>
              <w:rPr>
                <w:sz w:val="21"/>
              </w:rPr>
              <w:t>每季度各类有效投诉或媒体负面曝光不得超过</w:t>
            </w:r>
            <w:r>
              <w:rPr>
                <w:sz w:val="21"/>
              </w:rPr>
              <w:t>10</w:t>
            </w:r>
            <w:r>
              <w:rPr>
                <w:sz w:val="21"/>
              </w:rPr>
              <w:t>宗，每超出</w:t>
            </w:r>
            <w:r>
              <w:rPr>
                <w:sz w:val="21"/>
              </w:rPr>
              <w:t>1</w:t>
            </w:r>
            <w:r>
              <w:rPr>
                <w:sz w:val="21"/>
              </w:rPr>
              <w:t>宗</w:t>
            </w:r>
          </w:p>
        </w:tc>
        <w:tc>
          <w:tcPr>
            <w:tcW w:type="dxa" w:w="597"/>
            <w:tcBorders>
              <w:top w:val="none" w:color="000000" w:sz="4"/>
              <w:left w:val="none" w:color="000000" w:sz="4"/>
              <w:bottom w:val="single" w:color="000000" w:sz="4"/>
              <w:right w:val="single" w:color="000000" w:sz="4"/>
            </w:tcBorders>
            <w:vAlign w:val="top"/>
          </w:tcPr>
          <w:p>
            <w:pPr>
              <w:jc w:val="center"/>
            </w:pPr>
            <w:r>
              <w:rPr>
                <w:sz w:val="21"/>
              </w:rPr>
              <w:t>1</w:t>
            </w:r>
          </w:p>
        </w:tc>
      </w:tr>
      <w:tr>
        <w:tc>
          <w:tcPr>
            <w:tcW w:type="dxa" w:w="610"/>
            <w:vMerge w:val="restart"/>
            <w:tcBorders>
              <w:top w:val="none" w:color="000000" w:sz="4"/>
              <w:left w:val="single" w:color="000000" w:sz="4"/>
              <w:bottom w:val="single" w:color="000000" w:sz="4"/>
              <w:right w:val="single" w:color="000000" w:sz="4"/>
            </w:tcBorders>
            <w:vAlign w:val="top"/>
          </w:tcPr>
          <w:p>
            <w:pPr>
              <w:jc w:val="center"/>
            </w:pPr>
            <w:r>
              <w:rPr>
                <w:sz w:val="21"/>
              </w:rPr>
              <w:t>二、作业效果</w:t>
            </w:r>
          </w:p>
        </w:tc>
        <w:tc>
          <w:tcPr>
            <w:tcW w:type="dxa" w:w="953"/>
            <w:vMerge w:val="restart"/>
            <w:tcBorders>
              <w:top w:val="none" w:color="000000" w:sz="4"/>
              <w:left w:val="none" w:color="000000" w:sz="4"/>
              <w:bottom w:val="single" w:color="000000" w:sz="4"/>
              <w:right w:val="single" w:color="000000" w:sz="4"/>
            </w:tcBorders>
            <w:vAlign w:val="top"/>
          </w:tcPr>
          <w:p>
            <w:pPr>
              <w:jc w:val="center"/>
            </w:pPr>
            <w:r>
              <w:rPr>
                <w:sz w:val="21"/>
              </w:rPr>
              <w:t>灭鼠</w:t>
            </w:r>
          </w:p>
          <w:p>
            <w:pPr>
              <w:jc w:val="center"/>
            </w:pPr>
            <w:r>
              <w:rPr>
                <w:sz w:val="21"/>
              </w:rPr>
              <w:t>（</w:t>
            </w:r>
            <w:r>
              <w:rPr>
                <w:sz w:val="21"/>
              </w:rPr>
              <w:t>20</w:t>
            </w:r>
            <w:r>
              <w:rPr>
                <w:sz w:val="21"/>
              </w:rPr>
              <w:t>分）</w:t>
            </w:r>
          </w:p>
        </w:tc>
        <w:tc>
          <w:tcPr>
            <w:tcW w:type="dxa" w:w="597"/>
            <w:tcBorders>
              <w:top w:val="none" w:color="000000" w:sz="4"/>
              <w:left w:val="none" w:color="000000" w:sz="4"/>
              <w:bottom w:val="single" w:color="000000" w:sz="4"/>
              <w:right w:val="single" w:color="000000" w:sz="4"/>
            </w:tcBorders>
            <w:vAlign w:val="top"/>
          </w:tcPr>
          <w:p>
            <w:pPr>
              <w:jc w:val="center"/>
            </w:pPr>
            <w:r>
              <w:rPr>
                <w:sz w:val="21"/>
              </w:rPr>
              <w:t>5</w:t>
            </w:r>
          </w:p>
        </w:tc>
        <w:tc>
          <w:tcPr>
            <w:tcW w:type="dxa" w:w="5520"/>
            <w:tcBorders>
              <w:top w:val="none" w:color="000000" w:sz="4"/>
              <w:left w:val="none" w:color="000000" w:sz="4"/>
              <w:bottom w:val="single" w:color="000000" w:sz="4"/>
              <w:right w:val="single" w:color="000000" w:sz="4"/>
            </w:tcBorders>
            <w:vAlign w:val="top"/>
          </w:tcPr>
          <w:p>
            <w:pPr>
              <w:jc w:val="left"/>
            </w:pPr>
            <w:r>
              <w:rPr>
                <w:sz w:val="21"/>
              </w:rPr>
              <w:t>1.</w:t>
            </w:r>
            <w:r>
              <w:rPr>
                <w:sz w:val="21"/>
              </w:rPr>
              <w:t>合理选点投放灭鼠毒饵，未达要求的，每</w:t>
            </w:r>
            <w:r>
              <w:rPr>
                <w:sz w:val="21"/>
              </w:rPr>
              <w:t>5</w:t>
            </w:r>
            <w:r>
              <w:rPr>
                <w:sz w:val="21"/>
              </w:rPr>
              <w:t>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left"/>
            </w:pPr>
            <w:r>
              <w:rPr>
                <w:sz w:val="21"/>
              </w:rPr>
              <w:t>2</w:t>
            </w:r>
            <w:r>
              <w:rPr>
                <w:sz w:val="21"/>
              </w:rPr>
              <w:t>.每堆毒饵不少于</w:t>
            </w:r>
            <w:r>
              <w:rPr>
                <w:sz w:val="21"/>
              </w:rPr>
              <w:t>50</w:t>
            </w:r>
            <w:r>
              <w:rPr>
                <w:sz w:val="21"/>
              </w:rPr>
              <w:t>克，未达要求的，每</w:t>
            </w:r>
            <w:r>
              <w:rPr>
                <w:sz w:val="21"/>
              </w:rPr>
              <w:t>5</w:t>
            </w:r>
            <w:r>
              <w:rPr>
                <w:sz w:val="21"/>
              </w:rPr>
              <w:t>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4</w:t>
            </w:r>
          </w:p>
        </w:tc>
        <w:tc>
          <w:tcPr>
            <w:tcW w:type="dxa" w:w="5520"/>
            <w:tcBorders>
              <w:top w:val="none" w:color="000000" w:sz="4"/>
              <w:left w:val="none" w:color="000000" w:sz="4"/>
              <w:bottom w:val="single" w:color="000000" w:sz="4"/>
              <w:right w:val="single" w:color="000000" w:sz="4"/>
            </w:tcBorders>
            <w:vAlign w:val="top"/>
          </w:tcPr>
          <w:p>
            <w:pPr>
              <w:jc w:val="left"/>
            </w:pPr>
            <w:r>
              <w:rPr>
                <w:sz w:val="21"/>
              </w:rPr>
              <w:t>3.</w:t>
            </w:r>
            <w:r>
              <w:rPr>
                <w:sz w:val="21"/>
              </w:rPr>
              <w:t>及时补饵，每堆毒饵残留量不得少于</w:t>
            </w:r>
            <w:r>
              <w:rPr>
                <w:sz w:val="21"/>
              </w:rPr>
              <w:t>10</w:t>
            </w:r>
            <w:r>
              <w:rPr>
                <w:sz w:val="21"/>
              </w:rPr>
              <w:t>克，未达要求的，每</w:t>
            </w:r>
            <w:r>
              <w:rPr>
                <w:sz w:val="21"/>
              </w:rPr>
              <w:t>5</w:t>
            </w:r>
            <w:r>
              <w:rPr>
                <w:sz w:val="21"/>
              </w:rPr>
              <w:t>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c>
          <w:tcPr>
            <w:tcW w:type="dxa" w:w="5520"/>
            <w:tcBorders>
              <w:top w:val="none" w:color="000000" w:sz="4"/>
              <w:left w:val="none" w:color="000000" w:sz="4"/>
              <w:bottom w:val="single" w:color="000000" w:sz="4"/>
              <w:right w:val="single" w:color="000000" w:sz="4"/>
            </w:tcBorders>
            <w:vAlign w:val="top"/>
          </w:tcPr>
          <w:p>
            <w:pPr>
              <w:jc w:val="left"/>
            </w:pPr>
            <w:r>
              <w:rPr>
                <w:sz w:val="21"/>
              </w:rPr>
              <w:t>4.</w:t>
            </w:r>
            <w:r>
              <w:rPr>
                <w:sz w:val="21"/>
              </w:rPr>
              <w:t>每季度饱和投药前知会社区居委会，未达要求的，每漏通知一个居委会的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6</w:t>
            </w:r>
          </w:p>
        </w:tc>
        <w:tc>
          <w:tcPr>
            <w:tcW w:type="dxa" w:w="5520"/>
            <w:tcBorders>
              <w:top w:val="none" w:color="000000" w:sz="4"/>
              <w:left w:val="none" w:color="000000" w:sz="4"/>
              <w:bottom w:val="single" w:color="000000" w:sz="4"/>
              <w:right w:val="single" w:color="000000" w:sz="4"/>
            </w:tcBorders>
            <w:vAlign w:val="top"/>
          </w:tcPr>
          <w:p>
            <w:pPr>
              <w:jc w:val="left"/>
            </w:pPr>
            <w:r>
              <w:rPr>
                <w:sz w:val="21"/>
              </w:rPr>
              <w:t>5.</w:t>
            </w:r>
            <w:r>
              <w:rPr>
                <w:sz w:val="21"/>
              </w:rPr>
              <w:t>不同类型的外环境每</w:t>
            </w:r>
            <w:r>
              <w:rPr>
                <w:sz w:val="21"/>
              </w:rPr>
              <w:t>2000</w:t>
            </w:r>
            <w:r>
              <w:rPr>
                <w:sz w:val="21"/>
              </w:rPr>
              <w:t>米鼠迹累计不超过</w:t>
            </w:r>
            <w:r>
              <w:rPr>
                <w:sz w:val="21"/>
              </w:rPr>
              <w:t>5</w:t>
            </w:r>
            <w:r>
              <w:rPr>
                <w:sz w:val="21"/>
              </w:rPr>
              <w:t>处，未达要求的，每超过</w:t>
            </w:r>
            <w:r>
              <w:rPr>
                <w:sz w:val="21"/>
              </w:rPr>
              <w:t>1</w:t>
            </w:r>
            <w:r>
              <w:rPr>
                <w:sz w:val="21"/>
              </w:rPr>
              <w:t>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610"/>
            <w:vMerge/>
            <w:tcBorders>
              <w:top w:val="none" w:color="000000" w:sz="4"/>
              <w:left w:val="single" w:color="000000" w:sz="4"/>
              <w:bottom w:val="single" w:color="000000" w:sz="4"/>
              <w:right w:val="single" w:color="000000" w:sz="4"/>
            </w:tcBorders>
          </w:tcPr>
          <w:p/>
        </w:tc>
        <w:tc>
          <w:tcPr>
            <w:tcW w:type="dxa" w:w="953"/>
            <w:vMerge w:val="restart"/>
            <w:tcBorders>
              <w:top w:val="none" w:color="000000" w:sz="4"/>
              <w:left w:val="none" w:color="000000" w:sz="4"/>
              <w:bottom w:val="single" w:color="000000" w:sz="4"/>
              <w:right w:val="single" w:color="000000" w:sz="4"/>
            </w:tcBorders>
            <w:vAlign w:val="top"/>
          </w:tcPr>
          <w:p>
            <w:pPr>
              <w:jc w:val="center"/>
            </w:pPr>
            <w:r>
              <w:rPr>
                <w:sz w:val="21"/>
              </w:rPr>
              <w:t>灭蚊</w:t>
            </w:r>
          </w:p>
          <w:p>
            <w:pPr>
              <w:jc w:val="center"/>
            </w:pPr>
            <w:r>
              <w:rPr>
                <w:sz w:val="21"/>
              </w:rPr>
              <w:t>（</w:t>
            </w:r>
            <w:r>
              <w:rPr>
                <w:sz w:val="21"/>
              </w:rPr>
              <w:t>26</w:t>
            </w:r>
            <w:r>
              <w:rPr>
                <w:sz w:val="21"/>
              </w:rPr>
              <w:t>分）</w:t>
            </w: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c>
          <w:tcPr>
            <w:tcW w:type="dxa" w:w="5520"/>
            <w:tcBorders>
              <w:top w:val="none" w:color="000000" w:sz="4"/>
              <w:left w:val="none" w:color="000000" w:sz="4"/>
              <w:bottom w:val="single" w:color="000000" w:sz="4"/>
              <w:right w:val="single" w:color="000000" w:sz="4"/>
            </w:tcBorders>
            <w:vAlign w:val="top"/>
          </w:tcPr>
          <w:p>
            <w:pPr>
              <w:jc w:val="left"/>
            </w:pPr>
            <w:r>
              <w:rPr>
                <w:sz w:val="21"/>
              </w:rPr>
              <w:t>1.</w:t>
            </w:r>
            <w:r>
              <w:rPr>
                <w:sz w:val="21"/>
              </w:rPr>
              <w:t>按要求设置诱蚊产卵器，未达要求的，每处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left"/>
            </w:pPr>
            <w:r>
              <w:rPr>
                <w:sz w:val="21"/>
              </w:rPr>
              <w:t>2.</w:t>
            </w:r>
            <w:r>
              <w:rPr>
                <w:sz w:val="21"/>
              </w:rPr>
              <w:t>积水沉沙井按要求放置木塞并两月更换一次，更换不全面的，每</w:t>
            </w:r>
            <w:r>
              <w:rPr>
                <w:sz w:val="21"/>
              </w:rPr>
              <w:t>5</w:t>
            </w:r>
            <w:r>
              <w:rPr>
                <w:sz w:val="21"/>
              </w:rPr>
              <w:t>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left"/>
            </w:pPr>
            <w:r>
              <w:rPr>
                <w:sz w:val="21"/>
              </w:rPr>
              <w:t>3.</w:t>
            </w:r>
            <w:r>
              <w:rPr>
                <w:sz w:val="21"/>
              </w:rPr>
              <w:t>全面进行蚊滋生地调查，未达要求的，每处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4</w:t>
            </w:r>
          </w:p>
        </w:tc>
        <w:tc>
          <w:tcPr>
            <w:tcW w:type="dxa" w:w="5520"/>
            <w:tcBorders>
              <w:top w:val="none" w:color="000000" w:sz="4"/>
              <w:left w:val="none" w:color="000000" w:sz="4"/>
              <w:bottom w:val="single" w:color="000000" w:sz="4"/>
              <w:right w:val="single" w:color="000000" w:sz="4"/>
            </w:tcBorders>
            <w:vAlign w:val="top"/>
          </w:tcPr>
          <w:p>
            <w:pPr>
              <w:jc w:val="left"/>
            </w:pPr>
            <w:r>
              <w:rPr>
                <w:sz w:val="21"/>
              </w:rPr>
              <w:t>4.</w:t>
            </w:r>
            <w:r>
              <w:rPr>
                <w:sz w:val="21"/>
              </w:rPr>
              <w:t>按要求合理处理外环境滋生地，未达要求的，每处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4</w:t>
            </w:r>
          </w:p>
        </w:tc>
        <w:tc>
          <w:tcPr>
            <w:tcW w:type="dxa" w:w="5520"/>
            <w:tcBorders>
              <w:top w:val="none" w:color="000000" w:sz="4"/>
              <w:left w:val="none" w:color="000000" w:sz="4"/>
              <w:bottom w:val="single" w:color="000000" w:sz="4"/>
              <w:right w:val="single" w:color="000000" w:sz="4"/>
            </w:tcBorders>
            <w:vAlign w:val="top"/>
          </w:tcPr>
          <w:p>
            <w:pPr>
              <w:jc w:val="left"/>
            </w:pPr>
            <w:r>
              <w:rPr>
                <w:sz w:val="21"/>
              </w:rPr>
              <w:t>5.</w:t>
            </w:r>
            <w:r>
              <w:rPr>
                <w:sz w:val="21"/>
              </w:rPr>
              <w:t>按要求全面落实公共区域外环境灭杀成蚊，未达要求的，每处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10</w:t>
            </w:r>
          </w:p>
        </w:tc>
        <w:tc>
          <w:tcPr>
            <w:tcW w:type="dxa" w:w="5520"/>
            <w:tcBorders>
              <w:top w:val="none" w:color="000000" w:sz="4"/>
              <w:left w:val="none" w:color="000000" w:sz="4"/>
              <w:bottom w:val="single" w:color="000000" w:sz="4"/>
              <w:right w:val="single" w:color="000000" w:sz="4"/>
            </w:tcBorders>
            <w:vAlign w:val="top"/>
          </w:tcPr>
          <w:p>
            <w:pPr>
              <w:jc w:val="left"/>
            </w:pPr>
            <w:r>
              <w:rPr>
                <w:sz w:val="21"/>
              </w:rPr>
              <w:t>6.</w:t>
            </w:r>
            <w:r>
              <w:rPr>
                <w:sz w:val="21"/>
              </w:rPr>
              <w:t>公共区域蚊及蚊蚴指标达标，未达要求的，每处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610"/>
            <w:vMerge/>
            <w:tcBorders>
              <w:top w:val="none" w:color="000000" w:sz="4"/>
              <w:left w:val="single" w:color="000000" w:sz="4"/>
              <w:bottom w:val="single" w:color="000000" w:sz="4"/>
              <w:right w:val="single" w:color="000000" w:sz="4"/>
            </w:tcBorders>
          </w:tcPr>
          <w:p/>
        </w:tc>
        <w:tc>
          <w:tcPr>
            <w:tcW w:type="dxa" w:w="953"/>
            <w:vMerge w:val="restart"/>
            <w:tcBorders>
              <w:top w:val="none" w:color="000000" w:sz="4"/>
              <w:left w:val="none" w:color="000000" w:sz="4"/>
              <w:bottom w:val="single" w:color="000000" w:sz="4"/>
              <w:right w:val="single" w:color="000000" w:sz="4"/>
            </w:tcBorders>
            <w:vAlign w:val="top"/>
          </w:tcPr>
          <w:p>
            <w:pPr>
              <w:jc w:val="center"/>
            </w:pPr>
            <w:r>
              <w:rPr>
                <w:sz w:val="21"/>
              </w:rPr>
              <w:t>灭蝇</w:t>
            </w:r>
          </w:p>
          <w:p>
            <w:pPr>
              <w:jc w:val="center"/>
            </w:pPr>
            <w:r>
              <w:rPr>
                <w:sz w:val="21"/>
              </w:rPr>
              <w:t>（</w:t>
            </w:r>
            <w:r>
              <w:rPr>
                <w:sz w:val="21"/>
              </w:rPr>
              <w:t>7</w:t>
            </w:r>
            <w:r>
              <w:rPr>
                <w:sz w:val="21"/>
              </w:rPr>
              <w:t>分）</w:t>
            </w:r>
          </w:p>
        </w:tc>
        <w:tc>
          <w:tcPr>
            <w:tcW w:type="dxa" w:w="597"/>
            <w:tcBorders>
              <w:top w:val="none" w:color="000000" w:sz="4"/>
              <w:left w:val="none" w:color="000000" w:sz="4"/>
              <w:bottom w:val="single" w:color="000000" w:sz="4"/>
              <w:right w:val="single" w:color="000000" w:sz="4"/>
            </w:tcBorders>
            <w:vAlign w:val="top"/>
          </w:tcPr>
          <w:p>
            <w:pPr>
              <w:jc w:val="center"/>
            </w:pPr>
            <w:r>
              <w:rPr>
                <w:sz w:val="21"/>
              </w:rPr>
              <w:t>1</w:t>
            </w:r>
          </w:p>
        </w:tc>
        <w:tc>
          <w:tcPr>
            <w:tcW w:type="dxa" w:w="5520"/>
            <w:tcBorders>
              <w:top w:val="none" w:color="000000" w:sz="4"/>
              <w:left w:val="none" w:color="000000" w:sz="4"/>
              <w:bottom w:val="single" w:color="000000" w:sz="4"/>
              <w:right w:val="single" w:color="000000" w:sz="4"/>
            </w:tcBorders>
            <w:vAlign w:val="top"/>
          </w:tcPr>
          <w:p>
            <w:pPr>
              <w:jc w:val="left"/>
            </w:pPr>
            <w:r>
              <w:rPr>
                <w:sz w:val="21"/>
              </w:rPr>
              <w:t>1.</w:t>
            </w:r>
            <w:r>
              <w:rPr>
                <w:sz w:val="21"/>
              </w:rPr>
              <w:t>对公共区域蝇类孳生地普查登记，未达要求的，每漏</w:t>
            </w:r>
            <w:r>
              <w:rPr>
                <w:sz w:val="21"/>
              </w:rPr>
              <w:t>1</w:t>
            </w:r>
            <w:r>
              <w:rPr>
                <w:sz w:val="21"/>
              </w:rPr>
              <w:t>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1</w:t>
            </w:r>
          </w:p>
        </w:tc>
        <w:tc>
          <w:tcPr>
            <w:tcW w:type="dxa" w:w="5520"/>
            <w:tcBorders>
              <w:top w:val="none" w:color="000000" w:sz="4"/>
              <w:left w:val="none" w:color="000000" w:sz="4"/>
              <w:bottom w:val="single" w:color="000000" w:sz="4"/>
              <w:right w:val="single" w:color="000000" w:sz="4"/>
            </w:tcBorders>
            <w:vAlign w:val="top"/>
          </w:tcPr>
          <w:p>
            <w:pPr>
              <w:jc w:val="left"/>
            </w:pPr>
            <w:r>
              <w:rPr>
                <w:sz w:val="21"/>
              </w:rPr>
              <w:t>2.</w:t>
            </w:r>
            <w:r>
              <w:rPr>
                <w:sz w:val="21"/>
              </w:rPr>
              <w:t>每季度按要求定期监测成蝇密度（监测点</w:t>
            </w:r>
            <w:r>
              <w:rPr>
                <w:sz w:val="21"/>
              </w:rPr>
              <w:t>10</w:t>
            </w:r>
            <w:r>
              <w:rPr>
                <w:sz w:val="21"/>
              </w:rPr>
              <w:t>个以上），未达要求的，每少</w:t>
            </w:r>
            <w:r>
              <w:rPr>
                <w:sz w:val="21"/>
              </w:rPr>
              <w:t>1</w:t>
            </w:r>
            <w:r>
              <w:rPr>
                <w:sz w:val="21"/>
              </w:rPr>
              <w:t>个点</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2</w:t>
            </w:r>
          </w:p>
        </w:tc>
        <w:tc>
          <w:tcPr>
            <w:tcW w:type="dxa" w:w="5520"/>
            <w:tcBorders>
              <w:top w:val="none" w:color="000000" w:sz="4"/>
              <w:left w:val="none" w:color="000000" w:sz="4"/>
              <w:bottom w:val="single" w:color="000000" w:sz="4"/>
              <w:right w:val="single" w:color="000000" w:sz="4"/>
            </w:tcBorders>
            <w:vAlign w:val="top"/>
          </w:tcPr>
          <w:p>
            <w:pPr>
              <w:jc w:val="left"/>
            </w:pPr>
            <w:r>
              <w:rPr>
                <w:sz w:val="21"/>
              </w:rPr>
              <w:t>3.</w:t>
            </w:r>
            <w:r>
              <w:rPr>
                <w:sz w:val="21"/>
              </w:rPr>
              <w:t>按要求处理蝇类滋生地，未达要求的，每处</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61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597"/>
            <w:tcBorders>
              <w:top w:val="none" w:color="000000" w:sz="4"/>
              <w:left w:val="none" w:color="000000" w:sz="4"/>
              <w:bottom w:val="single" w:color="000000" w:sz="4"/>
              <w:right w:val="single" w:color="000000" w:sz="4"/>
            </w:tcBorders>
            <w:vAlign w:val="top"/>
          </w:tcPr>
          <w:p>
            <w:pPr>
              <w:jc w:val="center"/>
            </w:pPr>
            <w:r>
              <w:rPr>
                <w:sz w:val="21"/>
              </w:rPr>
              <w:t>3</w:t>
            </w:r>
          </w:p>
        </w:tc>
        <w:tc>
          <w:tcPr>
            <w:tcW w:type="dxa" w:w="5520"/>
            <w:tcBorders>
              <w:top w:val="none" w:color="000000" w:sz="4"/>
              <w:left w:val="none" w:color="000000" w:sz="4"/>
              <w:bottom w:val="single" w:color="000000" w:sz="4"/>
              <w:right w:val="single" w:color="000000" w:sz="4"/>
            </w:tcBorders>
            <w:vAlign w:val="top"/>
          </w:tcPr>
          <w:p>
            <w:pPr>
              <w:jc w:val="left"/>
            </w:pPr>
            <w:r>
              <w:rPr>
                <w:sz w:val="21"/>
              </w:rPr>
              <w:t>4.</w:t>
            </w:r>
            <w:r>
              <w:rPr>
                <w:sz w:val="21"/>
              </w:rPr>
              <w:t>灭蝇效果达标，未达要求的，检出率每超</w:t>
            </w:r>
            <w:r>
              <w:rPr>
                <w:sz w:val="21"/>
              </w:rPr>
              <w:t>1%</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0.2</w:t>
            </w:r>
          </w:p>
        </w:tc>
      </w:tr>
      <w:tr>
        <w:tc>
          <w:tcPr>
            <w:tcW w:type="dxa" w:w="610"/>
            <w:vMerge/>
            <w:tcBorders>
              <w:top w:val="none" w:color="000000" w:sz="4"/>
              <w:left w:val="single" w:color="000000" w:sz="4"/>
              <w:bottom w:val="single" w:color="000000" w:sz="4"/>
              <w:right w:val="single" w:color="000000" w:sz="4"/>
            </w:tcBorders>
          </w:tcPr>
          <w:p/>
        </w:tc>
        <w:tc>
          <w:tcPr>
            <w:tcW w:type="dxa" w:w="953"/>
            <w:tcBorders>
              <w:top w:val="none" w:color="000000" w:sz="4"/>
              <w:left w:val="none" w:color="000000" w:sz="4"/>
              <w:bottom w:val="single" w:color="000000" w:sz="4"/>
              <w:right w:val="single" w:color="000000" w:sz="4"/>
            </w:tcBorders>
            <w:vAlign w:val="top"/>
          </w:tcPr>
          <w:p>
            <w:pPr>
              <w:jc w:val="center"/>
            </w:pPr>
            <w:r>
              <w:rPr>
                <w:sz w:val="21"/>
              </w:rPr>
              <w:t>灭蟑</w:t>
            </w:r>
          </w:p>
          <w:p>
            <w:pPr>
              <w:jc w:val="center"/>
            </w:pPr>
            <w:r>
              <w:rPr>
                <w:sz w:val="21"/>
              </w:rPr>
              <w:t>（</w:t>
            </w:r>
            <w:r>
              <w:rPr>
                <w:sz w:val="21"/>
              </w:rPr>
              <w:t>7</w:t>
            </w:r>
            <w:r>
              <w:rPr>
                <w:sz w:val="21"/>
              </w:rPr>
              <w:t>分）</w:t>
            </w:r>
          </w:p>
        </w:tc>
        <w:tc>
          <w:tcPr>
            <w:tcW w:type="dxa" w:w="597"/>
            <w:tcBorders>
              <w:top w:val="none" w:color="000000" w:sz="4"/>
              <w:left w:val="none" w:color="000000" w:sz="4"/>
              <w:bottom w:val="single" w:color="000000" w:sz="4"/>
              <w:right w:val="single" w:color="000000" w:sz="4"/>
            </w:tcBorders>
            <w:vAlign w:val="top"/>
          </w:tcPr>
          <w:p>
            <w:pPr>
              <w:jc w:val="center"/>
            </w:pPr>
            <w:r>
              <w:rPr>
                <w:sz w:val="21"/>
              </w:rPr>
              <w:t>7</w:t>
            </w:r>
          </w:p>
        </w:tc>
        <w:tc>
          <w:tcPr>
            <w:tcW w:type="dxa" w:w="5520"/>
            <w:tcBorders>
              <w:top w:val="none" w:color="000000" w:sz="4"/>
              <w:left w:val="none" w:color="000000" w:sz="4"/>
              <w:bottom w:val="single" w:color="000000" w:sz="4"/>
              <w:right w:val="single" w:color="000000" w:sz="4"/>
            </w:tcBorders>
            <w:vAlign w:val="top"/>
          </w:tcPr>
          <w:p>
            <w:pPr>
              <w:jc w:val="left"/>
            </w:pPr>
            <w:r>
              <w:rPr>
                <w:sz w:val="21"/>
              </w:rPr>
              <w:t>1.</w:t>
            </w:r>
            <w:r>
              <w:rPr>
                <w:sz w:val="21"/>
              </w:rPr>
              <w:t>下水道、化粪池、户外堆积物平均每</w:t>
            </w:r>
            <w:r>
              <w:rPr>
                <w:sz w:val="21"/>
              </w:rPr>
              <w:t>100</w:t>
            </w:r>
            <w:r>
              <w:rPr>
                <w:sz w:val="21"/>
              </w:rPr>
              <w:t>个井口（处），有蟑螂不超过</w:t>
            </w:r>
            <w:r>
              <w:rPr>
                <w:sz w:val="21"/>
              </w:rPr>
              <w:t>60</w:t>
            </w:r>
            <w:r>
              <w:rPr>
                <w:sz w:val="21"/>
              </w:rPr>
              <w:t>只，每超出</w:t>
            </w:r>
            <w:r>
              <w:rPr>
                <w:sz w:val="21"/>
              </w:rPr>
              <w:t>10</w:t>
            </w:r>
            <w:r>
              <w:rPr>
                <w:sz w:val="21"/>
              </w:rPr>
              <w:t>只</w:t>
            </w:r>
          </w:p>
        </w:tc>
        <w:tc>
          <w:tcPr>
            <w:tcW w:type="dxa" w:w="597"/>
            <w:tcBorders>
              <w:top w:val="none" w:color="000000" w:sz="4"/>
              <w:left w:val="none" w:color="000000" w:sz="4"/>
              <w:bottom w:val="single" w:color="000000" w:sz="4"/>
              <w:right w:val="single" w:color="000000" w:sz="4"/>
            </w:tcBorders>
            <w:vAlign w:val="top"/>
          </w:tcPr>
          <w:p>
            <w:pPr>
              <w:jc w:val="center"/>
            </w:pPr>
            <w:r>
              <w:rPr>
                <w:sz w:val="21"/>
              </w:rPr>
              <w:t>0.1</w:t>
            </w: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440113-2023-08341</w:t>
      </w:r>
    </w:p>
    <w:p>
      <w:pPr>
        <w:jc w:val="center"/>
      </w:pPr>
      <w:r>
        <w:rPr>
          <w:b/>
          <w:sz w:val="24"/>
        </w:rPr>
        <w:t>采购项目编号：</w:t>
      </w:r>
      <w:r>
        <w:rPr>
          <w:b/>
          <w:sz w:val="24"/>
        </w:rPr>
        <w:t>GZBC23FG11006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五、实质性响应一览表</w:t>
      </w:r>
    </w:p>
    <w:p>
      <w:pPr>
        <w:ind w:firstLine="480"/>
      </w:pPr>
      <w:r>
        <w:rPr/>
        <w:t>六、法定代表人证明书</w:t>
      </w:r>
    </w:p>
    <w:p>
      <w:pPr>
        <w:ind w:firstLine="480"/>
      </w:pPr>
      <w:r>
        <w:rPr/>
        <w:t>七、法定代表人授权书</w:t>
      </w:r>
    </w:p>
    <w:p>
      <w:pPr>
        <w:ind w:firstLine="480"/>
      </w:pPr>
      <w:r>
        <w:rPr/>
        <w:t>八、提供具有独立承担民事责任的能力的证明材料</w:t>
      </w:r>
    </w:p>
    <w:p>
      <w:pPr>
        <w:ind w:firstLine="480"/>
      </w:pPr>
      <w:r>
        <w:rPr/>
        <w:t>九、承诺函</w:t>
      </w:r>
    </w:p>
    <w:p>
      <w:pPr>
        <w:ind w:firstLine="480"/>
      </w:pPr>
      <w:r>
        <w:rPr/>
        <w:t>十、中小企业声明函</w:t>
      </w:r>
    </w:p>
    <w:p>
      <w:pPr>
        <w:ind w:firstLine="480"/>
      </w:pPr>
      <w:r>
        <w:rPr/>
        <w:t>十一、监狱企业</w:t>
      </w:r>
    </w:p>
    <w:p>
      <w:pPr>
        <w:ind w:firstLine="480"/>
      </w:pPr>
      <w:r>
        <w:rPr/>
        <w:t>十二、残疾人福利性单位声明函</w:t>
      </w:r>
    </w:p>
    <w:p>
      <w:pPr>
        <w:ind w:firstLine="480"/>
      </w:pPr>
      <w:r>
        <w:rPr/>
        <w:t>十三、联合体共同投标协议书</w:t>
      </w:r>
    </w:p>
    <w:p>
      <w:pPr>
        <w:ind w:firstLine="480"/>
      </w:pPr>
      <w:r>
        <w:rPr/>
        <w:t>十四、投标人业绩情况表</w:t>
      </w:r>
    </w:p>
    <w:p>
      <w:pPr>
        <w:ind w:firstLine="480"/>
      </w:pPr>
      <w:r>
        <w:rPr/>
        <w:t>十五、技术和服务要求响应表</w:t>
      </w:r>
    </w:p>
    <w:p>
      <w:pPr>
        <w:ind w:firstLine="480"/>
      </w:pPr>
      <w:r>
        <w:rPr/>
        <w:t>十六、商务条件响应表</w:t>
      </w:r>
    </w:p>
    <w:p>
      <w:pPr>
        <w:ind w:firstLine="480"/>
      </w:pPr>
      <w:r>
        <w:rPr/>
        <w:t>十七、履约进度计划表</w:t>
      </w:r>
    </w:p>
    <w:p>
      <w:pPr>
        <w:ind w:firstLine="480"/>
      </w:pPr>
      <w:r>
        <w:rPr/>
        <w:t>十八、各类证明材料</w:t>
      </w:r>
    </w:p>
    <w:p>
      <w:pPr>
        <w:ind w:firstLine="480"/>
      </w:pPr>
      <w:r>
        <w:rPr/>
        <w:t>十九、采购代理服务费支付承诺书</w:t>
      </w:r>
    </w:p>
    <w:p>
      <w:pPr>
        <w:ind w:firstLine="480"/>
      </w:pPr>
      <w:r>
        <w:rPr/>
        <w:t>二十、需要采购人提供的附加条件</w:t>
      </w:r>
    </w:p>
    <w:p>
      <w:pPr>
        <w:ind w:firstLine="480"/>
      </w:pPr>
      <w:r>
        <w:rPr/>
        <w:t>二十一、项目实施方案、质量保证及售后服务承诺等</w:t>
      </w:r>
    </w:p>
    <w:p>
      <w:pPr>
        <w:ind w:firstLine="480"/>
      </w:pPr>
      <w:r>
        <w:rPr/>
        <w:t>二十二、附件</w:t>
      </w:r>
    </w:p>
    <w:p>
      <w:pPr>
        <w:ind w:firstLine="480"/>
      </w:pPr>
      <w:r>
        <w:rPr/>
        <w:t>二十三、政府采购履约担保函、采购合同履约保险凭证</w:t>
      </w:r>
    </w:p>
    <w:p>
      <w:pPr>
        <w:ind w:firstLine="480"/>
      </w:pPr>
    </w:p>
    <w:p>
      <w:r>
        <w:rPr/>
        <w:t xml:space="preserve"> </w:t>
      </w:r>
    </w:p>
    <w:p/>
    <w:p>
      <w:r>
        <w:rPr>
          <w:b/>
          <w:sz w:val="28"/>
        </w:rPr>
        <w:t>格式一：</w:t>
      </w:r>
    </w:p>
    <w:p>
      <w:r>
        <w:rPr>
          <w:b/>
          <w:sz w:val="24"/>
        </w:rPr>
        <w:t>投标函</w:t>
      </w:r>
    </w:p>
    <w:p>
      <w:pPr>
        <w:ind w:firstLine="480"/>
      </w:pPr>
      <w:r>
        <w:rPr/>
        <w:t>致：</w:t>
      </w:r>
      <w:r>
        <w:rPr>
          <w:u w:val="single"/>
        </w:rPr>
        <w:t>广州宝诚招标代理咨询有限公司</w:t>
      </w:r>
    </w:p>
    <w:p>
      <w:pPr>
        <w:ind w:firstLine="480"/>
      </w:pPr>
      <w:r>
        <w:rPr/>
        <w:t>你方组织的</w:t>
      </w:r>
      <w:r>
        <w:rPr>
          <w:u w:val="single"/>
        </w:rPr>
        <w:t>“</w:t>
      </w:r>
      <w:r>
        <w:rPr>
          <w:u w:val="single"/>
        </w:rPr>
        <w:t>2024-2027年钟村街辖区内除四害消杀服务项目</w:t>
      </w:r>
      <w:r>
        <w:rPr>
          <w:u w:val="single"/>
        </w:rPr>
        <w:t>”</w:t>
      </w:r>
      <w:r>
        <w:rPr/>
        <w:t>项目的招标[采购项目编号为：</w:t>
      </w:r>
      <w:r>
        <w:rPr>
          <w:u w:val="single"/>
        </w:rPr>
        <w:t>GZBC23FG11006</w:t>
      </w:r>
      <w:r>
        <w:rPr/>
        <w:t>]，我方愿参与投标。</w:t>
      </w:r>
    </w:p>
    <w:p>
      <w:pPr>
        <w:ind w:firstLine="480"/>
      </w:pPr>
      <w:r>
        <w:rPr/>
        <w:t>我方确认收到贵方提供的</w:t>
      </w:r>
      <w:r>
        <w:rPr>
          <w:u w:val="single"/>
        </w:rPr>
        <w:t>“</w:t>
      </w:r>
      <w:r>
        <w:rPr>
          <w:u w:val="single"/>
        </w:rPr>
        <w:t>2024-2027年钟村街辖区内除四害消杀服务项目</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（三）我方愿意向贵方提供任何与本项报价有关的数据、情况和技术资料。若贵方需要，我方愿意提供我方作出的一切承诺的证明材料。</w:t>
      </w:r>
    </w:p>
    <w:p>
      <w:pPr>
        <w:ind w:firstLine="480"/>
      </w:pPr>
      <w:r>
        <w:rPr/>
        <w:t>（四）我方理解贵方不一定接受最低投标价或任何贵方可能收到的投标。</w:t>
      </w:r>
    </w:p>
    <w:p>
      <w:pPr>
        <w:ind w:firstLine="480"/>
      </w:pPr>
      <w:r>
        <w:rPr/>
        <w:t>（五）我方如果中标，将保证履行招标文件及其澄清、修改文件（如果有）中的全部责任和义务，按质、按量、按期完成《采购需求》及《合同书》中的全部任务。</w:t>
      </w:r>
    </w:p>
    <w:p>
      <w:pPr>
        <w:ind w:firstLine="480"/>
      </w:pPr>
      <w:r>
        <w:rPr/>
        <w:t>（六）我方作为法律、财务和运作上独立于采购人、采购代理机构的投标人，在此保证所提交的所有文件和全部说明是真实的和正确的。</w:t>
      </w:r>
    </w:p>
    <w:p>
      <w:pPr>
        <w:ind w:firstLine="480"/>
      </w:pPr>
      <w:r>
        <w:rPr/>
        <w:t>（七）我方投标报价已包含应向知识产权所有权人支付的所有相关税费，并保证采购人在中国使用我方提供的货物或服务时，如有第三方提出侵犯其知识产权主张的，责任由我方承担。</w:t>
      </w:r>
    </w:p>
    <w:p>
      <w:pPr>
        <w:ind w:firstLine="480"/>
      </w:pPr>
      <w:r>
        <w:rPr/>
        <w:t>（八）我方接受采购人委托向贵方支付代理服务费，项目总报价已包含代理服务费，如果被确定为中标供应商，承诺向贵方足额支付。（若采购人支付代理服务费，则此条不适用）</w:t>
      </w:r>
    </w:p>
    <w:p>
      <w:pPr>
        <w:ind w:firstLine="480"/>
      </w:pPr>
      <w:r>
        <w:rPr/>
        <w:t>（九）我方与其他投标人不存在法定代表人或单位负责人为同一人或者存在直接控股、管理关系。</w:t>
      </w:r>
    </w:p>
    <w:p>
      <w:pPr>
        <w:ind w:firstLine="480"/>
      </w:pPr>
      <w:r>
        <w:rPr/>
        <w:t>（十）我方承诺未为本项目提供整体设计、规范编制或者项目管理、监理、检测等服务。</w:t>
      </w:r>
    </w:p>
    <w:p>
      <w:pPr>
        <w:ind w:firstLine="480"/>
      </w:pPr>
      <w:r>
        <w:rPr/>
        <w:t>（十一）我方未被列入法院失信被执行人名单中。</w:t>
      </w:r>
    </w:p>
    <w:p>
      <w:pPr>
        <w:ind w:firstLine="480"/>
      </w:pPr>
      <w:r>
        <w:rPr/>
        <w:t>（十二）我方承诺遵守《中华人民共和国劳动合同法》有关规定和《中华人民共和国妇女权益保障法》中关于“劳动和社会保障权益”的有关要求。</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jc w:val="center"/>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实质性响应条款</w:t>
            </w:r>
          </w:p>
        </w:tc>
        <w:tc>
          <w:tcPr>
            <w:tcW w:type="dxa" w:w="2076"/>
          </w:tcPr>
          <w:p>
            <w:r>
              <w:rPr/>
              <w:t>投标人响应情况</w:t>
            </w:r>
          </w:p>
        </w:tc>
        <w:tc>
          <w:tcPr>
            <w:tcW w:type="dxa" w:w="2076"/>
          </w:tcPr>
          <w:p>
            <w:r>
              <w:rPr/>
              <w:t>差异</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4</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r>
        <w:rPr/>
        <w:t>说明：</w:t>
      </w:r>
    </w:p>
    <w:p>
      <w:pPr>
        <w:ind w:firstLine="480"/>
      </w:pPr>
      <w:r>
        <w:rPr/>
        <w:t>1.实质性响应条款一览表后续内容请根据第二章采购需求★号条款详细列举</w:t>
      </w:r>
    </w:p>
    <w:p>
      <w:pPr>
        <w:ind w:firstLine="480"/>
      </w:pPr>
      <w:r>
        <w:rPr/>
        <w:t>2.本表所列条款必须一一予以响应，“投标人响应情况”一栏应填写具体的响应内容，有差异的要具体说明。</w:t>
      </w:r>
    </w:p>
    <w:p>
      <w:pPr>
        <w:ind w:firstLine="480"/>
      </w:pPr>
      <w:r>
        <w:rPr/>
        <w:t>3.请投标人认真填写本表内容，如填写错误将可能导致投标无效。</w:t>
      </w:r>
    </w:p>
    <w:p>
      <w:pPr>
        <w:ind w:firstLine="480"/>
      </w:pPr>
    </w:p>
    <w:p>
      <w:r>
        <w:rPr/>
        <w:t xml:space="preserve"> </w:t>
      </w:r>
    </w:p>
    <w:p/>
    <w:p>
      <w:r>
        <w:rPr>
          <w:b/>
          <w:sz w:val="28"/>
        </w:rPr>
        <w:t>格式六：</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广州宝诚招标代理咨询有限公司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2024-2027年钟村街辖区内除四害消杀服务项目</w:t>
      </w:r>
      <w:r>
        <w:rPr/>
        <w:t>”项目采购[采购项目编号为</w:t>
      </w:r>
      <w:r>
        <w:rPr/>
        <w:t>GZBC23FG11006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r>
        <w:rPr/>
        <w:t>提供以下相关证照的扫描件之一：1.企业法人提供企业法人营业执照；2.事业法人提供事业法人登记证；3.其他组织提供其他组织的营业执照或执业许可证；4.自然人提供居民身份证等；</w:t>
      </w:r>
    </w:p>
    <w:p>
      <w:pPr>
        <w:ind w:firstLine="480"/>
      </w:pPr>
    </w:p>
    <w:p>
      <w:r>
        <w:rPr/>
        <w:t xml:space="preserve"> </w:t>
      </w:r>
    </w:p>
    <w:p/>
    <w:p>
      <w:r>
        <w:rPr>
          <w:b/>
          <w:sz w:val="28"/>
        </w:rPr>
        <w:t>格式九：</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广州市番禺区人民政府钟村街道办事处</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ind w:firstLine="480"/>
      </w:pPr>
      <w:r>
        <w:rPr/>
        <w:t>（一）对于已纳入统计部门统计范围的企业，所属行业、从业人员、营业收入、资产总额、规模类型应与统计部门报表保持一致。</w:t>
      </w:r>
    </w:p>
    <w:p>
      <w:pPr>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ind w:firstLine="480"/>
      </w:pPr>
      <w:r>
        <w:rPr/>
        <w:t>（六）经调查发现供应商提供《中小企业声明函》内容与实际不符的，政府采购监管部门有权根据《中小企业声明函》与实际情况的差异视情形认定其是否属于虚假材料谋取中标。</w:t>
      </w:r>
    </w:p>
    <w:p>
      <w:pPr>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ind w:firstLine="480"/>
      </w:pPr>
    </w:p>
    <w:p>
      <w:r>
        <w:rPr/>
        <w:t xml:space="preserve"> </w:t>
      </w:r>
    </w:p>
    <w:p/>
    <w:p>
      <w:r>
        <w:rPr>
          <w:b/>
          <w:sz w:val="28"/>
        </w:rPr>
        <w:t>格式十一：</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格式十五：</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格式十六：</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格式十七：</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格式十九：</w:t>
      </w:r>
    </w:p>
    <w:p>
      <w:pPr>
        <w:jc w:val="center"/>
      </w:pPr>
      <w:r>
        <w:rPr>
          <w:b/>
          <w:sz w:val="24"/>
        </w:rPr>
        <w:t>采购代理服务费支付承诺书</w:t>
      </w:r>
    </w:p>
    <w:p>
      <w:pPr>
        <w:ind w:firstLine="480"/>
      </w:pPr>
      <w:r>
        <w:rPr/>
        <w:t>致：</w:t>
      </w:r>
      <w:r>
        <w:rPr/>
        <w:t>广州宝诚招标代理咨询有限公司</w:t>
      </w:r>
    </w:p>
    <w:p>
      <w:pPr>
        <w:ind w:firstLine="480"/>
      </w:pPr>
      <w:r>
        <w:rPr/>
        <w:t>如果我方在贵采购代理机构组织的</w:t>
      </w:r>
      <w:r>
        <w:rPr/>
        <w:t>2024-2027年钟村街辖区内除四害消杀服务项目</w:t>
      </w:r>
      <w:r>
        <w:rPr/>
        <w:t>招标中获中标（采购项目编号：</w:t>
      </w:r>
      <w:r>
        <w:rPr/>
        <w:t>GZBC23FG11006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广州宝诚招标代理咨询有限公司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格式二十一：</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格式二十二：</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ind w:firstLine="480"/>
      </w:pPr>
    </w:p>
    <w:p>
      <w:r>
        <w:rPr/>
        <w:t xml:space="preserve"> </w:t>
      </w:r>
    </w:p>
    <w:p/>
    <w:p>
      <w:r>
        <w:rPr>
          <w:b/>
          <w:sz w:val="28"/>
        </w:rPr>
        <w:t>格式二十三：</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