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6307" w:rsidRDefault="008519E5">
      <w:pPr>
        <w:widowControl/>
        <w:tabs>
          <w:tab w:val="left" w:pos="6030"/>
        </w:tabs>
        <w:autoSpaceDE w:val="0"/>
        <w:autoSpaceDN w:val="0"/>
        <w:snapToGrid w:val="0"/>
        <w:spacing w:afterLines="50" w:after="156" w:line="360" w:lineRule="auto"/>
        <w:jc w:val="left"/>
        <w:textAlignment w:val="bottom"/>
        <w:rPr>
          <w:rFonts w:ascii="宋体" w:hAnsi="宋体"/>
          <w:b/>
          <w:bCs/>
          <w:sz w:val="36"/>
        </w:rPr>
      </w:pPr>
      <w:r>
        <w:rPr>
          <w:rFonts w:ascii="宋体" w:hAnsi="宋体" w:hint="eastAsia"/>
          <w:b/>
          <w:bCs/>
          <w:sz w:val="28"/>
          <w:szCs w:val="28"/>
        </w:rPr>
        <w:t>项目名称：</w:t>
      </w:r>
      <w:r w:rsidR="00F20F3C" w:rsidRPr="00F20F3C">
        <w:rPr>
          <w:rFonts w:ascii="宋体" w:hAnsi="宋体" w:hint="eastAsia"/>
          <w:color w:val="000000"/>
          <w:sz w:val="28"/>
          <w:szCs w:val="28"/>
        </w:rPr>
        <w:t>2024口岸病媒生物监测项目</w:t>
      </w:r>
    </w:p>
    <w:p w:rsidR="00886307" w:rsidRDefault="008519E5">
      <w:pPr>
        <w:widowControl/>
        <w:tabs>
          <w:tab w:val="left" w:pos="6030"/>
        </w:tabs>
        <w:autoSpaceDE w:val="0"/>
        <w:autoSpaceDN w:val="0"/>
        <w:snapToGrid w:val="0"/>
        <w:spacing w:afterLines="50" w:after="156" w:line="360" w:lineRule="auto"/>
        <w:jc w:val="left"/>
        <w:textAlignment w:val="bottom"/>
        <w:rPr>
          <w:rFonts w:ascii="宋体" w:hAnsi="宋体" w:hint="eastAsia"/>
          <w:b/>
          <w:bCs/>
          <w:sz w:val="36"/>
        </w:rPr>
      </w:pPr>
      <w:r>
        <w:rPr>
          <w:rFonts w:ascii="宋体" w:hAnsi="宋体" w:hint="eastAsia"/>
          <w:b/>
          <w:bCs/>
          <w:sz w:val="28"/>
          <w:szCs w:val="28"/>
        </w:rPr>
        <w:t>招标编号：</w:t>
      </w:r>
      <w:r w:rsidR="00F20F3C" w:rsidRPr="00F20F3C">
        <w:rPr>
          <w:rFonts w:ascii="宋体" w:hAnsi="宋体"/>
          <w:sz w:val="28"/>
          <w:szCs w:val="28"/>
        </w:rPr>
        <w:t>JHPT042009</w:t>
      </w:r>
    </w:p>
    <w:p w:rsidR="00886307" w:rsidRDefault="008519E5">
      <w:pPr>
        <w:widowControl/>
        <w:autoSpaceDE w:val="0"/>
        <w:autoSpaceDN w:val="0"/>
        <w:snapToGrid w:val="0"/>
        <w:spacing w:afterLines="50" w:after="156" w:line="360" w:lineRule="auto"/>
        <w:jc w:val="center"/>
        <w:textAlignment w:val="bottom"/>
        <w:rPr>
          <w:rFonts w:ascii="宋体" w:hAnsi="宋体"/>
          <w:b/>
          <w:bCs/>
          <w:sz w:val="72"/>
        </w:rPr>
      </w:pPr>
      <w:r>
        <w:rPr>
          <w:rFonts w:ascii="宋体" w:hAnsi="宋体" w:hint="eastAsia"/>
          <w:b/>
          <w:bCs/>
          <w:sz w:val="72"/>
        </w:rPr>
        <w:t>评标方案</w:t>
      </w:r>
    </w:p>
    <w:p w:rsidR="00886307" w:rsidRDefault="00886307">
      <w:pPr>
        <w:jc w:val="center"/>
        <w:rPr>
          <w:rFonts w:ascii="宋体" w:hAnsi="宋体"/>
        </w:rPr>
      </w:pPr>
    </w:p>
    <w:p w:rsidR="00886307" w:rsidRDefault="00886307">
      <w:pPr>
        <w:jc w:val="center"/>
        <w:rPr>
          <w:rFonts w:ascii="宋体" w:hAnsi="宋体"/>
        </w:rPr>
      </w:pPr>
    </w:p>
    <w:p w:rsidR="00886307" w:rsidRDefault="00886307">
      <w:pPr>
        <w:jc w:val="center"/>
        <w:rPr>
          <w:rFonts w:ascii="宋体" w:hAnsi="宋体"/>
        </w:rPr>
      </w:pPr>
    </w:p>
    <w:p w:rsidR="00886307" w:rsidRDefault="00886307">
      <w:pPr>
        <w:jc w:val="center"/>
        <w:rPr>
          <w:rFonts w:ascii="宋体" w:hAnsi="宋体"/>
        </w:rPr>
      </w:pPr>
    </w:p>
    <w:p w:rsidR="00886307" w:rsidRDefault="00886307">
      <w:pPr>
        <w:jc w:val="center"/>
        <w:rPr>
          <w:rFonts w:ascii="宋体" w:hAnsi="宋体"/>
        </w:rPr>
      </w:pPr>
    </w:p>
    <w:p w:rsidR="00886307" w:rsidRDefault="00886307">
      <w:pPr>
        <w:jc w:val="center"/>
        <w:rPr>
          <w:rFonts w:ascii="宋体" w:hAnsi="宋体"/>
        </w:rPr>
      </w:pPr>
    </w:p>
    <w:p w:rsidR="00886307" w:rsidRDefault="00886307">
      <w:pPr>
        <w:jc w:val="center"/>
        <w:rPr>
          <w:rFonts w:ascii="宋体" w:hAnsi="宋体"/>
        </w:rPr>
      </w:pPr>
    </w:p>
    <w:p w:rsidR="00886307" w:rsidRDefault="00886307">
      <w:pPr>
        <w:jc w:val="center"/>
        <w:rPr>
          <w:rFonts w:ascii="宋体" w:hAnsi="宋体"/>
        </w:rPr>
      </w:pPr>
    </w:p>
    <w:p w:rsidR="00886307" w:rsidRDefault="00886307">
      <w:pPr>
        <w:jc w:val="center"/>
        <w:rPr>
          <w:rFonts w:ascii="宋体" w:hAnsi="宋体"/>
        </w:rPr>
      </w:pPr>
    </w:p>
    <w:p w:rsidR="00886307" w:rsidRDefault="00886307">
      <w:pPr>
        <w:jc w:val="center"/>
        <w:rPr>
          <w:rFonts w:ascii="宋体" w:hAnsi="宋体"/>
        </w:rPr>
      </w:pPr>
    </w:p>
    <w:p w:rsidR="00886307" w:rsidRDefault="00886307">
      <w:pPr>
        <w:jc w:val="center"/>
        <w:rPr>
          <w:rFonts w:ascii="宋体" w:hAnsi="宋体"/>
        </w:rPr>
      </w:pPr>
    </w:p>
    <w:p w:rsidR="00886307" w:rsidRDefault="00886307">
      <w:pPr>
        <w:jc w:val="center"/>
        <w:rPr>
          <w:rFonts w:ascii="宋体" w:hAnsi="宋体"/>
        </w:rPr>
      </w:pPr>
    </w:p>
    <w:p w:rsidR="00886307" w:rsidRDefault="00886307">
      <w:pPr>
        <w:jc w:val="center"/>
        <w:rPr>
          <w:rFonts w:ascii="宋体" w:hAnsi="宋体"/>
        </w:rPr>
      </w:pPr>
    </w:p>
    <w:p w:rsidR="00886307" w:rsidRDefault="00886307">
      <w:pPr>
        <w:jc w:val="center"/>
        <w:rPr>
          <w:rFonts w:ascii="宋体" w:hAnsi="宋体"/>
        </w:rPr>
      </w:pPr>
    </w:p>
    <w:p w:rsidR="00886307" w:rsidRDefault="00886307">
      <w:pPr>
        <w:jc w:val="center"/>
        <w:rPr>
          <w:rFonts w:ascii="宋体" w:hAnsi="宋体"/>
        </w:rPr>
      </w:pPr>
    </w:p>
    <w:p w:rsidR="00886307" w:rsidRDefault="008519E5">
      <w:pPr>
        <w:jc w:val="center"/>
        <w:rPr>
          <w:rFonts w:ascii="宋体" w:hAnsi="宋体"/>
          <w:b/>
          <w:bCs/>
          <w:sz w:val="28"/>
          <w:szCs w:val="28"/>
        </w:rPr>
      </w:pPr>
      <w:r>
        <w:rPr>
          <w:rFonts w:ascii="宋体" w:hAnsi="宋体" w:hint="eastAsia"/>
          <w:b/>
          <w:bCs/>
          <w:sz w:val="28"/>
          <w:szCs w:val="28"/>
        </w:rPr>
        <w:t>广东粤电靖海发电有限公司</w:t>
      </w:r>
    </w:p>
    <w:p w:rsidR="00886307" w:rsidRDefault="00886307">
      <w:pPr>
        <w:jc w:val="center"/>
        <w:rPr>
          <w:rFonts w:ascii="宋体" w:hAnsi="宋体"/>
          <w:b/>
          <w:bCs/>
          <w:sz w:val="28"/>
          <w:szCs w:val="28"/>
        </w:rPr>
      </w:pPr>
    </w:p>
    <w:p w:rsidR="00886307" w:rsidRDefault="008519E5">
      <w:pPr>
        <w:jc w:val="center"/>
        <w:rPr>
          <w:rFonts w:ascii="宋体" w:hAnsi="宋体"/>
          <w:b/>
          <w:bCs/>
          <w:sz w:val="28"/>
          <w:szCs w:val="28"/>
        </w:rPr>
      </w:pPr>
      <w:r>
        <w:rPr>
          <w:rFonts w:ascii="宋体" w:hAnsi="宋体" w:hint="eastAsia"/>
          <w:b/>
          <w:bCs/>
          <w:sz w:val="28"/>
          <w:szCs w:val="28"/>
        </w:rPr>
        <w:t>202</w:t>
      </w:r>
      <w:r w:rsidR="00F32E79">
        <w:rPr>
          <w:rFonts w:ascii="宋体" w:hAnsi="宋体" w:hint="eastAsia"/>
          <w:b/>
          <w:bCs/>
          <w:sz w:val="28"/>
          <w:szCs w:val="28"/>
        </w:rPr>
        <w:t>3</w:t>
      </w:r>
      <w:r>
        <w:rPr>
          <w:rFonts w:ascii="宋体" w:hAnsi="宋体" w:hint="eastAsia"/>
          <w:b/>
          <w:bCs/>
          <w:sz w:val="28"/>
          <w:szCs w:val="28"/>
        </w:rPr>
        <w:t>年</w:t>
      </w:r>
      <w:r w:rsidR="004807B2">
        <w:rPr>
          <w:rFonts w:ascii="宋体" w:hAnsi="宋体" w:hint="eastAsia"/>
          <w:b/>
          <w:bCs/>
          <w:sz w:val="28"/>
          <w:szCs w:val="28"/>
        </w:rPr>
        <w:t>1</w:t>
      </w:r>
      <w:r w:rsidR="00F20F3C">
        <w:rPr>
          <w:rFonts w:ascii="宋体" w:hAnsi="宋体" w:hint="eastAsia"/>
          <w:b/>
          <w:bCs/>
          <w:sz w:val="28"/>
          <w:szCs w:val="28"/>
        </w:rPr>
        <w:t>2</w:t>
      </w:r>
      <w:r>
        <w:rPr>
          <w:rFonts w:ascii="宋体" w:hAnsi="宋体" w:hint="eastAsia"/>
          <w:b/>
          <w:bCs/>
          <w:sz w:val="28"/>
          <w:szCs w:val="28"/>
        </w:rPr>
        <w:t>月</w:t>
      </w:r>
    </w:p>
    <w:p w:rsidR="00886307" w:rsidRDefault="00886307">
      <w:pPr>
        <w:jc w:val="center"/>
        <w:rPr>
          <w:rFonts w:ascii="宋体" w:hAnsi="宋体"/>
          <w:b/>
          <w:bCs/>
          <w:sz w:val="28"/>
          <w:szCs w:val="28"/>
        </w:rPr>
      </w:pPr>
    </w:p>
    <w:p w:rsidR="00886307" w:rsidRDefault="00886307">
      <w:pPr>
        <w:jc w:val="center"/>
        <w:rPr>
          <w:rFonts w:ascii="宋体" w:hAnsi="宋体"/>
          <w:b/>
          <w:bCs/>
          <w:sz w:val="28"/>
          <w:szCs w:val="28"/>
        </w:rPr>
      </w:pPr>
    </w:p>
    <w:p w:rsidR="00886307" w:rsidRDefault="00886307">
      <w:pPr>
        <w:jc w:val="center"/>
        <w:rPr>
          <w:rFonts w:ascii="宋体" w:hAnsi="宋体"/>
          <w:b/>
          <w:bCs/>
          <w:sz w:val="28"/>
          <w:szCs w:val="28"/>
        </w:rPr>
      </w:pPr>
    </w:p>
    <w:p w:rsidR="00886307" w:rsidRDefault="00886307">
      <w:pPr>
        <w:jc w:val="center"/>
        <w:rPr>
          <w:rFonts w:ascii="宋体" w:hAnsi="宋体"/>
          <w:b/>
          <w:bCs/>
          <w:sz w:val="28"/>
          <w:szCs w:val="28"/>
        </w:rPr>
      </w:pPr>
    </w:p>
    <w:p w:rsidR="00886307" w:rsidRDefault="00886307">
      <w:pPr>
        <w:jc w:val="center"/>
        <w:rPr>
          <w:rFonts w:ascii="宋体" w:hAnsi="宋体"/>
          <w:b/>
          <w:bCs/>
          <w:sz w:val="28"/>
          <w:szCs w:val="28"/>
        </w:rPr>
      </w:pPr>
    </w:p>
    <w:p w:rsidR="00886307" w:rsidRDefault="008519E5">
      <w:pPr>
        <w:pStyle w:val="1"/>
        <w:spacing w:afterLines="50" w:after="156" w:line="320" w:lineRule="exact"/>
        <w:rPr>
          <w:rFonts w:hAnsi="宋体"/>
          <w:bCs w:val="0"/>
          <w:kern w:val="2"/>
          <w:sz w:val="24"/>
        </w:rPr>
      </w:pPr>
      <w:bookmarkStart w:id="0" w:name="_Toc23759680"/>
      <w:bookmarkStart w:id="1" w:name="_Toc23490368"/>
      <w:bookmarkStart w:id="2" w:name="_Toc453052937"/>
      <w:bookmarkStart w:id="3" w:name="_Toc408830837"/>
      <w:bookmarkStart w:id="4" w:name="_Toc456692138"/>
      <w:r>
        <w:rPr>
          <w:rFonts w:hAnsi="宋体" w:hint="eastAsia"/>
          <w:bCs w:val="0"/>
          <w:sz w:val="24"/>
        </w:rPr>
        <w:lastRenderedPageBreak/>
        <w:t>1</w:t>
      </w:r>
      <w:r>
        <w:rPr>
          <w:rFonts w:hAnsi="宋体" w:hint="eastAsia"/>
          <w:bCs w:val="0"/>
          <w:sz w:val="24"/>
        </w:rPr>
        <w:t>．项目概述</w:t>
      </w:r>
      <w:bookmarkEnd w:id="0"/>
      <w:bookmarkEnd w:id="1"/>
      <w:bookmarkEnd w:id="2"/>
      <w:bookmarkEnd w:id="3"/>
      <w:bookmarkEnd w:id="4"/>
    </w:p>
    <w:p w:rsidR="00886307" w:rsidRDefault="008519E5">
      <w:pPr>
        <w:widowControl/>
        <w:autoSpaceDE w:val="0"/>
        <w:autoSpaceDN w:val="0"/>
        <w:snapToGrid w:val="0"/>
        <w:spacing w:afterLines="50" w:after="156" w:line="380" w:lineRule="exact"/>
        <w:ind w:firstLineChars="200" w:firstLine="480"/>
        <w:textAlignment w:val="bottom"/>
        <w:rPr>
          <w:rFonts w:ascii="宋体" w:hAnsi="宋体"/>
          <w:bCs/>
          <w:sz w:val="24"/>
        </w:rPr>
      </w:pPr>
      <w:r>
        <w:rPr>
          <w:rFonts w:ascii="宋体" w:hAnsi="宋体" w:hint="eastAsia"/>
          <w:bCs/>
          <w:sz w:val="24"/>
        </w:rPr>
        <w:t>广东粤电靖海发电有限公司</w:t>
      </w:r>
      <w:r w:rsidR="00F20F3C" w:rsidRPr="00F20F3C">
        <w:rPr>
          <w:rFonts w:ascii="宋体" w:hAnsi="宋体" w:hint="eastAsia"/>
          <w:color w:val="000000"/>
          <w:sz w:val="28"/>
          <w:szCs w:val="28"/>
          <w:u w:val="single"/>
        </w:rPr>
        <w:t>2024</w:t>
      </w:r>
      <w:r w:rsidR="00F20F3C">
        <w:rPr>
          <w:rFonts w:ascii="宋体" w:hAnsi="宋体" w:hint="eastAsia"/>
          <w:color w:val="000000"/>
          <w:sz w:val="28"/>
          <w:szCs w:val="28"/>
          <w:u w:val="single"/>
        </w:rPr>
        <w:t>口岸病媒生物监测</w:t>
      </w:r>
      <w:proofErr w:type="gramStart"/>
      <w:r>
        <w:rPr>
          <w:rFonts w:ascii="宋体" w:hAnsi="宋体" w:hint="eastAsia"/>
          <w:color w:val="000000"/>
          <w:sz w:val="28"/>
          <w:szCs w:val="28"/>
          <w:u w:val="single"/>
        </w:rPr>
        <w:t>项目</w:t>
      </w:r>
      <w:r>
        <w:rPr>
          <w:rFonts w:ascii="宋体" w:hAnsi="宋体" w:hint="eastAsia"/>
          <w:bCs/>
          <w:sz w:val="24"/>
        </w:rPr>
        <w:t>标</w:t>
      </w:r>
      <w:proofErr w:type="gramEnd"/>
      <w:r>
        <w:rPr>
          <w:rFonts w:ascii="宋体" w:hAnsi="宋体" w:hint="eastAsia"/>
          <w:bCs/>
          <w:sz w:val="24"/>
        </w:rPr>
        <w:t>采用广东能源商务</w:t>
      </w:r>
      <w:proofErr w:type="gramStart"/>
      <w:r>
        <w:rPr>
          <w:rFonts w:ascii="宋体" w:hAnsi="宋体" w:hint="eastAsia"/>
          <w:bCs/>
          <w:sz w:val="24"/>
        </w:rPr>
        <w:t>网公开</w:t>
      </w:r>
      <w:proofErr w:type="gramEnd"/>
      <w:r>
        <w:rPr>
          <w:rFonts w:ascii="宋体" w:hAnsi="宋体" w:hint="eastAsia"/>
          <w:bCs/>
          <w:sz w:val="24"/>
        </w:rPr>
        <w:t>招标方式。</w:t>
      </w:r>
    </w:p>
    <w:p w:rsidR="00886307" w:rsidRDefault="008519E5">
      <w:pPr>
        <w:pStyle w:val="Default"/>
        <w:rPr>
          <w:rFonts w:ascii="宋体" w:eastAsia="宋体" w:hAnsi="宋体" w:cs="Times New Roman"/>
          <w:bCs/>
          <w:color w:val="auto"/>
          <w:szCs w:val="22"/>
        </w:rPr>
      </w:pPr>
      <w:bookmarkStart w:id="5" w:name="_Toc408830838"/>
      <w:bookmarkStart w:id="6" w:name="_Toc70614834"/>
      <w:bookmarkStart w:id="7" w:name="_Toc453052938"/>
      <w:bookmarkStart w:id="8" w:name="_Toc456692139"/>
      <w:r>
        <w:rPr>
          <w:rFonts w:ascii="宋体" w:eastAsia="宋体" w:hAnsi="宋体" w:cs="Times New Roman" w:hint="eastAsia"/>
          <w:bCs/>
          <w:color w:val="auto"/>
          <w:szCs w:val="22"/>
        </w:rPr>
        <w:t>根据《中华人民共和国招标投标法》、《广东省实施&lt;中华人民共和国招标投标法&gt;办法》、《广东能源集团生产项目招标管理办法（Q/GEG-0001.11.2159.C-2020）》、《广东电力发展股份有限公司生产项目招标管理办法（Q/GEG-0100.21.2211.B-2020）》及《广东粤电靖海发电有限公司招评标管理标准（Q/GEG-0116.31.2014.E-2020）》的规定，并遵循公平、公正、公开、科学、择优的评标原则，为规范招标投标活动，切实维护业主单位的合法权益，保证项目质量，特制订本评标方案。</w:t>
      </w:r>
      <w:bookmarkStart w:id="9" w:name="_Toc23759681"/>
      <w:bookmarkStart w:id="10" w:name="_Toc23490369"/>
      <w:bookmarkEnd w:id="9"/>
      <w:bookmarkEnd w:id="10"/>
    </w:p>
    <w:p w:rsidR="00886307" w:rsidRDefault="008519E5">
      <w:pPr>
        <w:pStyle w:val="1"/>
        <w:spacing w:afterLines="50" w:after="156"/>
        <w:rPr>
          <w:rFonts w:hAnsi="宋体"/>
          <w:sz w:val="24"/>
        </w:rPr>
      </w:pPr>
      <w:r>
        <w:rPr>
          <w:rFonts w:hAnsi="宋体" w:hint="eastAsia"/>
          <w:sz w:val="24"/>
        </w:rPr>
        <w:t>2</w:t>
      </w:r>
      <w:r>
        <w:rPr>
          <w:rFonts w:hAnsi="宋体" w:hint="eastAsia"/>
          <w:sz w:val="24"/>
        </w:rPr>
        <w:t>．评标工作原则和依据</w:t>
      </w:r>
      <w:bookmarkEnd w:id="5"/>
      <w:bookmarkEnd w:id="6"/>
      <w:bookmarkEnd w:id="7"/>
      <w:bookmarkEnd w:id="8"/>
    </w:p>
    <w:p w:rsidR="00886307" w:rsidRDefault="008519E5">
      <w:pPr>
        <w:snapToGrid w:val="0"/>
        <w:spacing w:afterLines="50" w:after="156" w:line="360" w:lineRule="exact"/>
        <w:ind w:firstLineChars="200" w:firstLine="480"/>
        <w:rPr>
          <w:rFonts w:ascii="宋体" w:hAnsi="宋体"/>
          <w:bCs/>
          <w:sz w:val="24"/>
        </w:rPr>
      </w:pPr>
      <w:r>
        <w:rPr>
          <w:rFonts w:ascii="宋体" w:hAnsi="宋体" w:hint="eastAsia"/>
          <w:bCs/>
          <w:sz w:val="24"/>
        </w:rPr>
        <w:t>评标工作原则是：“公平、公正、公开、科学、择优”。</w:t>
      </w:r>
    </w:p>
    <w:p w:rsidR="00886307" w:rsidRDefault="008519E5">
      <w:pPr>
        <w:snapToGrid w:val="0"/>
        <w:spacing w:afterLines="50" w:after="156" w:line="360" w:lineRule="exact"/>
        <w:ind w:firstLineChars="200" w:firstLine="480"/>
        <w:rPr>
          <w:rFonts w:ascii="宋体" w:hAnsi="宋体"/>
          <w:bCs/>
        </w:rPr>
      </w:pPr>
      <w:r>
        <w:rPr>
          <w:rFonts w:ascii="宋体" w:hAnsi="宋体" w:hint="eastAsia"/>
          <w:bCs/>
          <w:sz w:val="24"/>
        </w:rPr>
        <w:t>评标工作的依据是：招标文件（含澄清）、投标文件（含澄清）及本评标方案。</w:t>
      </w:r>
    </w:p>
    <w:p w:rsidR="00886307" w:rsidRDefault="008519E5">
      <w:pPr>
        <w:pStyle w:val="1"/>
        <w:spacing w:afterLines="50" w:after="156"/>
        <w:rPr>
          <w:rFonts w:hAnsi="宋体"/>
          <w:sz w:val="24"/>
        </w:rPr>
      </w:pPr>
      <w:bookmarkStart w:id="11" w:name="_Toc23490370"/>
      <w:bookmarkStart w:id="12" w:name="_Toc70614835"/>
      <w:bookmarkStart w:id="13" w:name="_Toc23759682"/>
      <w:bookmarkStart w:id="14" w:name="_Toc408830839"/>
      <w:bookmarkStart w:id="15" w:name="_Toc453052939"/>
      <w:bookmarkStart w:id="16" w:name="_Toc456692140"/>
      <w:r>
        <w:rPr>
          <w:rFonts w:hAnsi="宋体"/>
          <w:sz w:val="24"/>
        </w:rPr>
        <w:t>3</w:t>
      </w:r>
      <w:r>
        <w:rPr>
          <w:rFonts w:hAnsi="宋体" w:hint="eastAsia"/>
          <w:sz w:val="24"/>
        </w:rPr>
        <w:t>．评标组织机构</w:t>
      </w:r>
      <w:bookmarkEnd w:id="11"/>
      <w:bookmarkEnd w:id="12"/>
      <w:bookmarkEnd w:id="13"/>
      <w:bookmarkEnd w:id="14"/>
      <w:bookmarkEnd w:id="15"/>
      <w:bookmarkEnd w:id="16"/>
    </w:p>
    <w:p w:rsidR="00886307" w:rsidRDefault="008519E5">
      <w:pPr>
        <w:snapToGrid w:val="0"/>
        <w:spacing w:afterLines="50" w:after="156" w:line="360" w:lineRule="exact"/>
        <w:ind w:firstLineChars="200" w:firstLine="480"/>
        <w:rPr>
          <w:rFonts w:ascii="宋体" w:hAnsi="宋体"/>
          <w:sz w:val="24"/>
        </w:rPr>
      </w:pPr>
      <w:r>
        <w:rPr>
          <w:rFonts w:ascii="宋体" w:hAnsi="宋体"/>
          <w:sz w:val="24"/>
        </w:rPr>
        <w:t>3.</w:t>
      </w:r>
      <w:r>
        <w:rPr>
          <w:rFonts w:ascii="宋体" w:hAnsi="宋体" w:hint="eastAsia"/>
          <w:sz w:val="24"/>
        </w:rPr>
        <w:t>1纪检监察</w:t>
      </w:r>
    </w:p>
    <w:p w:rsidR="00886307" w:rsidRDefault="008519E5">
      <w:pPr>
        <w:tabs>
          <w:tab w:val="left" w:pos="7020"/>
        </w:tabs>
        <w:snapToGrid w:val="0"/>
        <w:spacing w:afterLines="50" w:after="156" w:line="360" w:lineRule="exact"/>
        <w:ind w:firstLineChars="200" w:firstLine="480"/>
        <w:rPr>
          <w:rFonts w:ascii="宋体" w:hAnsi="宋体"/>
          <w:bCs/>
          <w:sz w:val="24"/>
        </w:rPr>
      </w:pPr>
      <w:proofErr w:type="gramStart"/>
      <w:r>
        <w:rPr>
          <w:rFonts w:ascii="宋体" w:hAnsi="宋体" w:hint="eastAsia"/>
          <w:bCs/>
          <w:sz w:val="24"/>
        </w:rPr>
        <w:t>由靖海</w:t>
      </w:r>
      <w:proofErr w:type="gramEnd"/>
      <w:r>
        <w:rPr>
          <w:rFonts w:ascii="宋体" w:hAnsi="宋体" w:hint="eastAsia"/>
          <w:bCs/>
          <w:sz w:val="24"/>
        </w:rPr>
        <w:t>发电公司的专责纪检监察人员对本次商务网上开评标工作进行全过程的监督。</w:t>
      </w:r>
    </w:p>
    <w:p w:rsidR="00886307" w:rsidRDefault="008519E5">
      <w:pPr>
        <w:snapToGrid w:val="0"/>
        <w:spacing w:beforeLines="50" w:before="156" w:afterLines="50" w:after="156" w:line="360" w:lineRule="exact"/>
        <w:ind w:firstLineChars="200" w:firstLine="480"/>
        <w:rPr>
          <w:rFonts w:ascii="宋体" w:hAnsi="宋体"/>
          <w:sz w:val="24"/>
        </w:rPr>
      </w:pPr>
      <w:r>
        <w:rPr>
          <w:rFonts w:ascii="宋体" w:hAnsi="宋体"/>
          <w:sz w:val="24"/>
        </w:rPr>
        <w:t>3.</w:t>
      </w:r>
      <w:r>
        <w:rPr>
          <w:rFonts w:ascii="宋体" w:hAnsi="宋体" w:hint="eastAsia"/>
          <w:sz w:val="24"/>
        </w:rPr>
        <w:t>2评标小组</w:t>
      </w:r>
    </w:p>
    <w:p w:rsidR="00886307" w:rsidRDefault="008519E5">
      <w:pPr>
        <w:snapToGrid w:val="0"/>
        <w:spacing w:afterLines="50" w:after="156" w:line="360" w:lineRule="exact"/>
        <w:ind w:firstLine="480"/>
        <w:rPr>
          <w:rFonts w:ascii="宋体" w:hAnsi="宋体"/>
          <w:sz w:val="24"/>
        </w:rPr>
      </w:pPr>
      <w:r>
        <w:rPr>
          <w:rFonts w:ascii="宋体" w:hAnsi="宋体" w:hint="eastAsia"/>
          <w:sz w:val="24"/>
        </w:rPr>
        <w:t>由纪检监察随机抽取评标专家，组成评标小组，评标小组负责评标工作。</w:t>
      </w:r>
    </w:p>
    <w:p w:rsidR="00886307" w:rsidRDefault="008519E5">
      <w:pPr>
        <w:pStyle w:val="1"/>
        <w:spacing w:before="0" w:afterLines="50" w:after="156"/>
        <w:rPr>
          <w:sz w:val="24"/>
        </w:rPr>
      </w:pPr>
      <w:bookmarkStart w:id="17" w:name="_Toc70614836"/>
      <w:bookmarkStart w:id="18" w:name="_Toc453052940"/>
      <w:bookmarkStart w:id="19" w:name="_Toc456692141"/>
      <w:bookmarkStart w:id="20" w:name="_Toc23490375"/>
      <w:bookmarkStart w:id="21" w:name="_Toc23759687"/>
      <w:r>
        <w:rPr>
          <w:rFonts w:hAnsi="宋体" w:hint="eastAsia"/>
          <w:sz w:val="24"/>
        </w:rPr>
        <w:t>4</w:t>
      </w:r>
      <w:r>
        <w:rPr>
          <w:rFonts w:hAnsi="宋体" w:hint="eastAsia"/>
          <w:sz w:val="24"/>
        </w:rPr>
        <w:t>．开标（本次招标采用网上投标的办法）</w:t>
      </w:r>
      <w:bookmarkEnd w:id="17"/>
      <w:bookmarkEnd w:id="18"/>
      <w:bookmarkEnd w:id="19"/>
    </w:p>
    <w:p w:rsidR="00886307" w:rsidRDefault="008519E5">
      <w:pPr>
        <w:snapToGrid w:val="0"/>
        <w:spacing w:afterLines="50" w:after="156" w:line="360" w:lineRule="exact"/>
        <w:ind w:firstLine="480"/>
        <w:rPr>
          <w:rFonts w:ascii="宋体" w:hAnsi="宋体"/>
          <w:sz w:val="24"/>
        </w:rPr>
      </w:pPr>
      <w:r>
        <w:rPr>
          <w:rFonts w:ascii="宋体" w:hAnsi="宋体" w:hint="eastAsia"/>
          <w:sz w:val="24"/>
        </w:rPr>
        <w:t>4.1本项目采用商务网上开标的方式（即投标截止时间后即进行开标，一次性开启全部投标文件）。评标小组根据本方案第5条进行评审和推荐中标候选人</w:t>
      </w:r>
    </w:p>
    <w:p w:rsidR="00886307" w:rsidRDefault="008519E5">
      <w:pPr>
        <w:snapToGrid w:val="0"/>
        <w:spacing w:afterLines="50" w:after="156" w:line="360" w:lineRule="exact"/>
        <w:ind w:firstLine="480"/>
        <w:rPr>
          <w:rFonts w:ascii="宋体" w:hAnsi="宋体"/>
          <w:sz w:val="24"/>
        </w:rPr>
      </w:pPr>
      <w:r>
        <w:rPr>
          <w:rFonts w:ascii="宋体" w:hAnsi="宋体" w:hint="eastAsia"/>
          <w:sz w:val="24"/>
        </w:rPr>
        <w:t xml:space="preserve">4.2 投标截止时间后，投标人少于 3 </w:t>
      </w:r>
      <w:proofErr w:type="gramStart"/>
      <w:r>
        <w:rPr>
          <w:rFonts w:ascii="宋体" w:hAnsi="宋体" w:hint="eastAsia"/>
          <w:sz w:val="24"/>
        </w:rPr>
        <w:t>个</w:t>
      </w:r>
      <w:proofErr w:type="gramEnd"/>
      <w:r>
        <w:rPr>
          <w:rFonts w:ascii="宋体" w:hAnsi="宋体" w:hint="eastAsia"/>
          <w:sz w:val="24"/>
        </w:rPr>
        <w:t>时，招标失败。</w:t>
      </w:r>
    </w:p>
    <w:p w:rsidR="00886307" w:rsidRDefault="008519E5">
      <w:pPr>
        <w:snapToGrid w:val="0"/>
        <w:spacing w:afterLines="50" w:after="156" w:line="360" w:lineRule="exact"/>
        <w:ind w:firstLine="480"/>
        <w:rPr>
          <w:rFonts w:ascii="宋体" w:hAnsi="宋体" w:cs="宋体"/>
          <w:kern w:val="0"/>
          <w:sz w:val="24"/>
        </w:rPr>
      </w:pPr>
      <w:r>
        <w:rPr>
          <w:rFonts w:ascii="宋体" w:hAnsi="宋体" w:hint="eastAsia"/>
          <w:sz w:val="24"/>
        </w:rPr>
        <w:t>4.3纪检监察人员全程监督开标和评标过程。</w:t>
      </w:r>
    </w:p>
    <w:p w:rsidR="00886307" w:rsidRDefault="008519E5">
      <w:pPr>
        <w:pStyle w:val="1"/>
        <w:spacing w:afterLines="50" w:after="156" w:line="360" w:lineRule="exact"/>
        <w:rPr>
          <w:rFonts w:hAnsi="宋体"/>
          <w:bCs w:val="0"/>
          <w:sz w:val="24"/>
        </w:rPr>
      </w:pPr>
      <w:bookmarkStart w:id="22" w:name="_Toc206912354"/>
      <w:bookmarkStart w:id="23" w:name="_Toc408830840"/>
      <w:bookmarkStart w:id="24" w:name="_Toc453052941"/>
      <w:bookmarkStart w:id="25" w:name="_Toc456692142"/>
      <w:r>
        <w:rPr>
          <w:rFonts w:hAnsi="宋体" w:hint="eastAsia"/>
          <w:bCs w:val="0"/>
          <w:sz w:val="24"/>
        </w:rPr>
        <w:t>5</w:t>
      </w:r>
      <w:r>
        <w:rPr>
          <w:rFonts w:hAnsi="宋体" w:hint="eastAsia"/>
          <w:bCs w:val="0"/>
          <w:sz w:val="24"/>
        </w:rPr>
        <w:t>．评标及推荐中标候选人方法</w:t>
      </w:r>
      <w:bookmarkEnd w:id="22"/>
      <w:bookmarkEnd w:id="23"/>
      <w:bookmarkEnd w:id="24"/>
      <w:bookmarkEnd w:id="25"/>
    </w:p>
    <w:bookmarkEnd w:id="20"/>
    <w:bookmarkEnd w:id="21"/>
    <w:p w:rsidR="00886307" w:rsidRDefault="008519E5">
      <w:pPr>
        <w:spacing w:line="360" w:lineRule="auto"/>
        <w:ind w:firstLineChars="149" w:firstLine="359"/>
        <w:rPr>
          <w:rFonts w:ascii="宋体" w:hAnsi="宋体"/>
          <w:b/>
          <w:bCs/>
          <w:kern w:val="0"/>
          <w:sz w:val="24"/>
          <w:szCs w:val="20"/>
        </w:rPr>
      </w:pPr>
      <w:r>
        <w:rPr>
          <w:rFonts w:ascii="宋体" w:hAnsi="宋体" w:hint="eastAsia"/>
          <w:b/>
          <w:bCs/>
          <w:kern w:val="0"/>
          <w:sz w:val="24"/>
          <w:szCs w:val="20"/>
        </w:rPr>
        <w:t>5.1评标采用综合评分制、评审因素及权重如下：</w:t>
      </w:r>
      <w:r>
        <w:rPr>
          <w:rFonts w:ascii="宋体" w:hAnsi="宋体"/>
          <w:b/>
          <w:bCs/>
          <w:kern w:val="0"/>
          <w:sz w:val="24"/>
          <w:szCs w:val="20"/>
        </w:rPr>
        <w:t xml:space="preserve"> </w:t>
      </w:r>
    </w:p>
    <w:tbl>
      <w:tblPr>
        <w:tblW w:w="74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974"/>
        <w:gridCol w:w="1974"/>
        <w:gridCol w:w="1974"/>
      </w:tblGrid>
      <w:tr w:rsidR="00886307">
        <w:trPr>
          <w:trHeight w:val="459"/>
          <w:jc w:val="center"/>
        </w:trPr>
        <w:tc>
          <w:tcPr>
            <w:tcW w:w="1526" w:type="dxa"/>
            <w:vMerge w:val="restart"/>
            <w:vAlign w:val="center"/>
          </w:tcPr>
          <w:p w:rsidR="00886307" w:rsidRDefault="008519E5">
            <w:pPr>
              <w:spacing w:line="360" w:lineRule="auto"/>
              <w:jc w:val="center"/>
              <w:rPr>
                <w:rFonts w:ascii="宋体" w:hAnsi="宋体"/>
                <w:b/>
                <w:bCs/>
                <w:sz w:val="24"/>
              </w:rPr>
            </w:pPr>
            <w:r>
              <w:rPr>
                <w:rFonts w:ascii="宋体" w:hAnsi="宋体" w:hint="eastAsia"/>
                <w:b/>
                <w:bCs/>
                <w:sz w:val="24"/>
              </w:rPr>
              <w:t>评标办法</w:t>
            </w:r>
          </w:p>
        </w:tc>
        <w:tc>
          <w:tcPr>
            <w:tcW w:w="5922" w:type="dxa"/>
            <w:gridSpan w:val="3"/>
          </w:tcPr>
          <w:p w:rsidR="00886307" w:rsidRDefault="008519E5">
            <w:pPr>
              <w:spacing w:line="360" w:lineRule="auto"/>
              <w:jc w:val="center"/>
              <w:rPr>
                <w:rFonts w:ascii="宋体" w:hAnsi="宋体"/>
                <w:b/>
                <w:bCs/>
                <w:sz w:val="24"/>
              </w:rPr>
            </w:pPr>
            <w:r>
              <w:rPr>
                <w:rFonts w:ascii="宋体" w:hAnsi="宋体" w:hint="eastAsia"/>
                <w:b/>
                <w:bCs/>
                <w:sz w:val="24"/>
              </w:rPr>
              <w:t>评审因素及权重</w:t>
            </w:r>
          </w:p>
        </w:tc>
      </w:tr>
      <w:tr w:rsidR="00886307">
        <w:trPr>
          <w:jc w:val="center"/>
        </w:trPr>
        <w:tc>
          <w:tcPr>
            <w:tcW w:w="1526" w:type="dxa"/>
            <w:vMerge/>
          </w:tcPr>
          <w:p w:rsidR="00886307" w:rsidRDefault="00886307">
            <w:pPr>
              <w:spacing w:line="360" w:lineRule="auto"/>
              <w:jc w:val="center"/>
              <w:rPr>
                <w:rFonts w:ascii="宋体" w:hAnsi="宋体"/>
                <w:bCs/>
                <w:szCs w:val="21"/>
              </w:rPr>
            </w:pPr>
          </w:p>
        </w:tc>
        <w:tc>
          <w:tcPr>
            <w:tcW w:w="1974" w:type="dxa"/>
            <w:vAlign w:val="center"/>
          </w:tcPr>
          <w:p w:rsidR="00886307" w:rsidRDefault="008519E5">
            <w:pPr>
              <w:spacing w:line="360" w:lineRule="auto"/>
              <w:jc w:val="center"/>
              <w:rPr>
                <w:sz w:val="24"/>
              </w:rPr>
            </w:pPr>
            <w:r>
              <w:rPr>
                <w:rFonts w:hint="eastAsia"/>
                <w:sz w:val="24"/>
              </w:rPr>
              <w:t>价格</w:t>
            </w:r>
          </w:p>
        </w:tc>
        <w:tc>
          <w:tcPr>
            <w:tcW w:w="1974" w:type="dxa"/>
            <w:vAlign w:val="center"/>
          </w:tcPr>
          <w:p w:rsidR="00886307" w:rsidRDefault="008519E5">
            <w:pPr>
              <w:spacing w:line="360" w:lineRule="auto"/>
              <w:jc w:val="center"/>
              <w:rPr>
                <w:sz w:val="24"/>
              </w:rPr>
            </w:pPr>
            <w:r>
              <w:rPr>
                <w:rFonts w:hint="eastAsia"/>
                <w:sz w:val="24"/>
              </w:rPr>
              <w:t>技术</w:t>
            </w:r>
          </w:p>
        </w:tc>
        <w:tc>
          <w:tcPr>
            <w:tcW w:w="1974" w:type="dxa"/>
            <w:vAlign w:val="center"/>
          </w:tcPr>
          <w:p w:rsidR="00886307" w:rsidRDefault="008519E5">
            <w:pPr>
              <w:spacing w:line="360" w:lineRule="auto"/>
              <w:jc w:val="center"/>
              <w:rPr>
                <w:sz w:val="24"/>
              </w:rPr>
            </w:pPr>
            <w:r>
              <w:rPr>
                <w:rFonts w:hint="eastAsia"/>
                <w:sz w:val="24"/>
              </w:rPr>
              <w:t>商务</w:t>
            </w:r>
          </w:p>
        </w:tc>
      </w:tr>
      <w:tr w:rsidR="00886307">
        <w:trPr>
          <w:jc w:val="center"/>
        </w:trPr>
        <w:tc>
          <w:tcPr>
            <w:tcW w:w="1526" w:type="dxa"/>
            <w:vAlign w:val="center"/>
          </w:tcPr>
          <w:p w:rsidR="00886307" w:rsidRDefault="008519E5">
            <w:pPr>
              <w:spacing w:line="360" w:lineRule="auto"/>
              <w:jc w:val="center"/>
              <w:rPr>
                <w:rFonts w:ascii="宋体" w:hAnsi="宋体"/>
                <w:bCs/>
                <w:sz w:val="24"/>
              </w:rPr>
            </w:pPr>
            <w:r>
              <w:rPr>
                <w:rFonts w:ascii="宋体" w:hAnsi="宋体" w:hint="eastAsia"/>
                <w:bCs/>
                <w:sz w:val="24"/>
              </w:rPr>
              <w:lastRenderedPageBreak/>
              <w:t>综合评估法</w:t>
            </w:r>
          </w:p>
        </w:tc>
        <w:tc>
          <w:tcPr>
            <w:tcW w:w="1974" w:type="dxa"/>
            <w:vAlign w:val="center"/>
          </w:tcPr>
          <w:p w:rsidR="00886307" w:rsidRDefault="008519E5">
            <w:pPr>
              <w:spacing w:line="360" w:lineRule="auto"/>
              <w:jc w:val="center"/>
              <w:rPr>
                <w:rFonts w:ascii="宋体" w:hAnsi="宋体"/>
                <w:sz w:val="24"/>
              </w:rPr>
            </w:pPr>
            <w:r>
              <w:rPr>
                <w:rFonts w:ascii="宋体" w:hAnsi="宋体"/>
                <w:sz w:val="24"/>
              </w:rPr>
              <w:t>40</w:t>
            </w:r>
          </w:p>
        </w:tc>
        <w:tc>
          <w:tcPr>
            <w:tcW w:w="1974" w:type="dxa"/>
            <w:vAlign w:val="center"/>
          </w:tcPr>
          <w:p w:rsidR="00886307" w:rsidRDefault="008519E5">
            <w:pPr>
              <w:spacing w:line="360" w:lineRule="auto"/>
              <w:jc w:val="center"/>
              <w:rPr>
                <w:rFonts w:ascii="宋体" w:hAnsi="宋体"/>
                <w:sz w:val="24"/>
              </w:rPr>
            </w:pPr>
            <w:r>
              <w:rPr>
                <w:rFonts w:ascii="宋体" w:hAnsi="宋体"/>
                <w:sz w:val="24"/>
              </w:rPr>
              <w:t>50</w:t>
            </w:r>
          </w:p>
        </w:tc>
        <w:tc>
          <w:tcPr>
            <w:tcW w:w="1974" w:type="dxa"/>
            <w:vAlign w:val="center"/>
          </w:tcPr>
          <w:p w:rsidR="00886307" w:rsidRDefault="008519E5">
            <w:pPr>
              <w:spacing w:line="360" w:lineRule="auto"/>
              <w:jc w:val="center"/>
              <w:rPr>
                <w:rFonts w:ascii="宋体" w:hAnsi="宋体"/>
                <w:sz w:val="24"/>
              </w:rPr>
            </w:pPr>
            <w:r>
              <w:rPr>
                <w:rFonts w:ascii="宋体" w:hAnsi="宋体"/>
                <w:sz w:val="24"/>
              </w:rPr>
              <w:t>10</w:t>
            </w:r>
          </w:p>
        </w:tc>
      </w:tr>
    </w:tbl>
    <w:p w:rsidR="00886307" w:rsidRDefault="00886307">
      <w:pPr>
        <w:spacing w:line="360" w:lineRule="auto"/>
        <w:ind w:firstLineChars="149" w:firstLine="359"/>
        <w:rPr>
          <w:rFonts w:ascii="宋体" w:hAnsi="宋体"/>
          <w:b/>
          <w:bCs/>
          <w:kern w:val="0"/>
          <w:sz w:val="24"/>
          <w:szCs w:val="20"/>
        </w:rPr>
      </w:pPr>
    </w:p>
    <w:p w:rsidR="00886307" w:rsidRDefault="008519E5">
      <w:pPr>
        <w:spacing w:line="360" w:lineRule="auto"/>
        <w:ind w:firstLineChars="149" w:firstLine="359"/>
        <w:rPr>
          <w:rFonts w:ascii="宋体" w:hAnsi="宋体"/>
          <w:b/>
          <w:bCs/>
          <w:kern w:val="0"/>
          <w:sz w:val="24"/>
          <w:szCs w:val="20"/>
        </w:rPr>
      </w:pPr>
      <w:r>
        <w:rPr>
          <w:rFonts w:ascii="宋体" w:hAnsi="宋体" w:hint="eastAsia"/>
          <w:b/>
          <w:bCs/>
          <w:kern w:val="0"/>
          <w:sz w:val="24"/>
          <w:szCs w:val="20"/>
        </w:rPr>
        <w:t>5.2 评标程序及办法：</w:t>
      </w:r>
    </w:p>
    <w:p w:rsidR="00886307" w:rsidRDefault="008519E5">
      <w:pPr>
        <w:spacing w:line="360" w:lineRule="auto"/>
        <w:ind w:firstLineChars="149" w:firstLine="359"/>
        <w:rPr>
          <w:rFonts w:ascii="宋体" w:hAnsi="宋体"/>
          <w:b/>
          <w:bCs/>
          <w:kern w:val="0"/>
          <w:sz w:val="24"/>
          <w:szCs w:val="20"/>
        </w:rPr>
      </w:pPr>
      <w:r>
        <w:rPr>
          <w:rFonts w:ascii="宋体" w:hAnsi="宋体" w:hint="eastAsia"/>
          <w:b/>
          <w:bCs/>
          <w:kern w:val="0"/>
          <w:sz w:val="24"/>
          <w:szCs w:val="20"/>
        </w:rPr>
        <w:t>5.2.1 符合性审查</w:t>
      </w:r>
    </w:p>
    <w:p w:rsidR="00886307" w:rsidRDefault="008519E5">
      <w:pPr>
        <w:spacing w:line="360" w:lineRule="auto"/>
        <w:ind w:firstLineChars="200" w:firstLine="480"/>
        <w:rPr>
          <w:rFonts w:ascii="宋体" w:hAnsi="宋体"/>
          <w:bCs/>
          <w:kern w:val="0"/>
          <w:sz w:val="24"/>
          <w:szCs w:val="20"/>
        </w:rPr>
      </w:pPr>
      <w:r>
        <w:rPr>
          <w:rFonts w:ascii="宋体" w:hAnsi="宋体" w:hint="eastAsia"/>
          <w:bCs/>
          <w:kern w:val="0"/>
          <w:sz w:val="24"/>
          <w:szCs w:val="20"/>
        </w:rPr>
        <w:t>（1）在评标前先进行符合性审查。评审标准如下：</w:t>
      </w:r>
    </w:p>
    <w:p w:rsidR="00886307" w:rsidRDefault="008519E5">
      <w:pPr>
        <w:spacing w:line="360" w:lineRule="auto"/>
        <w:ind w:leftChars="540" w:left="1134"/>
        <w:rPr>
          <w:rFonts w:ascii="宋体" w:hAnsi="宋体"/>
          <w:bCs/>
          <w:kern w:val="0"/>
          <w:sz w:val="24"/>
          <w:szCs w:val="20"/>
        </w:rPr>
      </w:pPr>
      <w:r>
        <w:rPr>
          <w:rFonts w:ascii="宋体" w:hAnsi="宋体" w:hint="eastAsia"/>
          <w:bCs/>
          <w:kern w:val="0"/>
          <w:sz w:val="24"/>
          <w:szCs w:val="20"/>
        </w:rPr>
        <w:t>（b）投标有效期不足的；</w:t>
      </w:r>
    </w:p>
    <w:p w:rsidR="00886307" w:rsidRDefault="008519E5">
      <w:pPr>
        <w:spacing w:line="360" w:lineRule="auto"/>
        <w:ind w:leftChars="540" w:left="1134"/>
        <w:rPr>
          <w:rFonts w:ascii="宋体" w:hAnsi="宋体"/>
          <w:bCs/>
          <w:kern w:val="0"/>
          <w:sz w:val="24"/>
          <w:szCs w:val="20"/>
        </w:rPr>
      </w:pPr>
      <w:r>
        <w:rPr>
          <w:rFonts w:ascii="宋体" w:hAnsi="宋体" w:hint="eastAsia"/>
          <w:bCs/>
          <w:kern w:val="0"/>
          <w:sz w:val="24"/>
          <w:szCs w:val="20"/>
        </w:rPr>
        <w:t>（</w:t>
      </w:r>
      <w:r>
        <w:rPr>
          <w:rFonts w:ascii="宋体" w:hAnsi="宋体"/>
          <w:bCs/>
          <w:kern w:val="0"/>
          <w:sz w:val="24"/>
          <w:szCs w:val="20"/>
        </w:rPr>
        <w:t>c）</w:t>
      </w:r>
      <w:r>
        <w:rPr>
          <w:rFonts w:ascii="宋体" w:hAnsi="宋体" w:hint="eastAsia"/>
          <w:bCs/>
          <w:kern w:val="0"/>
          <w:sz w:val="24"/>
          <w:szCs w:val="20"/>
        </w:rPr>
        <w:t>投标人未满足本次招标“投标人资格要求”的；</w:t>
      </w:r>
    </w:p>
    <w:p w:rsidR="00886307" w:rsidRDefault="008519E5">
      <w:pPr>
        <w:spacing w:line="360" w:lineRule="auto"/>
        <w:ind w:leftChars="540" w:left="1134"/>
        <w:rPr>
          <w:rFonts w:ascii="宋体" w:hAnsi="宋体"/>
          <w:bCs/>
          <w:kern w:val="0"/>
          <w:sz w:val="24"/>
          <w:szCs w:val="20"/>
        </w:rPr>
      </w:pPr>
      <w:r>
        <w:rPr>
          <w:rFonts w:ascii="宋体" w:hAnsi="宋体" w:hint="eastAsia"/>
          <w:bCs/>
          <w:kern w:val="0"/>
          <w:sz w:val="24"/>
          <w:szCs w:val="20"/>
        </w:rPr>
        <w:t>（d）未能实质上响应招标文件要求的。</w:t>
      </w:r>
    </w:p>
    <w:p w:rsidR="00886307" w:rsidRDefault="008519E5">
      <w:pPr>
        <w:spacing w:beforeLines="50" w:before="156" w:line="360" w:lineRule="auto"/>
        <w:ind w:firstLineChars="200" w:firstLine="480"/>
        <w:rPr>
          <w:rFonts w:ascii="宋体" w:hAnsi="宋体"/>
          <w:bCs/>
          <w:kern w:val="0"/>
          <w:sz w:val="24"/>
          <w:szCs w:val="20"/>
        </w:rPr>
      </w:pPr>
      <w:r>
        <w:rPr>
          <w:rFonts w:ascii="宋体" w:hAnsi="宋体" w:hint="eastAsia"/>
          <w:bCs/>
          <w:kern w:val="0"/>
          <w:sz w:val="24"/>
          <w:szCs w:val="20"/>
        </w:rPr>
        <w:t>（2）如果投标文件出现以上情况，招标人将有权予以拒绝，并且不允许投标人通过修正或撤消其不符合要求的那些差异或保留，使之成为具有响应性的投标文件。只有未出现以上情况的投标才能通过符合性审查，进入下一阶段评标，否则被淘汰。</w:t>
      </w:r>
    </w:p>
    <w:p w:rsidR="00886307" w:rsidRDefault="008519E5">
      <w:pPr>
        <w:spacing w:line="360" w:lineRule="auto"/>
        <w:ind w:firstLineChars="149" w:firstLine="359"/>
        <w:rPr>
          <w:rFonts w:ascii="宋体" w:hAnsi="宋体"/>
          <w:b/>
          <w:bCs/>
          <w:kern w:val="0"/>
          <w:sz w:val="24"/>
          <w:szCs w:val="20"/>
        </w:rPr>
      </w:pPr>
      <w:r>
        <w:rPr>
          <w:rFonts w:ascii="宋体" w:hAnsi="宋体"/>
          <w:b/>
          <w:bCs/>
          <w:kern w:val="0"/>
          <w:sz w:val="24"/>
          <w:szCs w:val="20"/>
        </w:rPr>
        <w:t>5.2.2</w:t>
      </w:r>
      <w:r>
        <w:rPr>
          <w:rFonts w:ascii="宋体" w:hAnsi="宋体" w:hint="eastAsia"/>
          <w:b/>
          <w:bCs/>
          <w:kern w:val="0"/>
          <w:sz w:val="24"/>
          <w:szCs w:val="20"/>
        </w:rPr>
        <w:t>投标评审价计算</w:t>
      </w:r>
    </w:p>
    <w:p w:rsidR="00886307" w:rsidRDefault="008519E5" w:rsidP="00944886">
      <w:pPr>
        <w:spacing w:line="360" w:lineRule="auto"/>
        <w:ind w:firstLineChars="149" w:firstLine="358"/>
        <w:rPr>
          <w:rFonts w:ascii="宋体" w:hAnsi="宋体"/>
          <w:bCs/>
          <w:kern w:val="0"/>
          <w:sz w:val="24"/>
          <w:szCs w:val="20"/>
        </w:rPr>
      </w:pPr>
      <w:r>
        <w:rPr>
          <w:rFonts w:ascii="宋体" w:hAnsi="宋体" w:hint="eastAsia"/>
          <w:bCs/>
          <w:kern w:val="0"/>
          <w:sz w:val="24"/>
          <w:szCs w:val="20"/>
        </w:rPr>
        <w:t>（</w:t>
      </w:r>
      <w:r>
        <w:rPr>
          <w:rFonts w:ascii="宋体" w:hAnsi="宋体"/>
          <w:bCs/>
          <w:kern w:val="0"/>
          <w:sz w:val="24"/>
          <w:szCs w:val="20"/>
        </w:rPr>
        <w:t>1</w:t>
      </w:r>
      <w:r>
        <w:rPr>
          <w:rFonts w:ascii="宋体" w:hAnsi="宋体" w:hint="eastAsia"/>
          <w:bCs/>
          <w:kern w:val="0"/>
          <w:sz w:val="24"/>
          <w:szCs w:val="20"/>
        </w:rPr>
        <w:t>）投标评审价计算</w:t>
      </w:r>
    </w:p>
    <w:p w:rsidR="00886307" w:rsidRDefault="008519E5" w:rsidP="00944886">
      <w:pPr>
        <w:spacing w:line="360" w:lineRule="auto"/>
        <w:ind w:firstLineChars="149" w:firstLine="358"/>
        <w:rPr>
          <w:rFonts w:ascii="宋体" w:hAnsi="宋体"/>
          <w:bCs/>
          <w:kern w:val="0"/>
          <w:sz w:val="24"/>
          <w:szCs w:val="20"/>
        </w:rPr>
      </w:pPr>
      <w:r>
        <w:rPr>
          <w:rFonts w:ascii="宋体" w:hAnsi="宋体"/>
          <w:bCs/>
          <w:kern w:val="0"/>
          <w:sz w:val="24"/>
          <w:szCs w:val="20"/>
        </w:rPr>
        <w:t>1.1</w:t>
      </w:r>
      <w:r>
        <w:rPr>
          <w:rFonts w:ascii="宋体" w:hAnsi="宋体" w:hint="eastAsia"/>
          <w:bCs/>
          <w:kern w:val="0"/>
          <w:sz w:val="24"/>
          <w:szCs w:val="20"/>
        </w:rPr>
        <w:t>根据招标文件中规定的投标报价的构成，按照统一的标准对所有通过符合性审查及资格审查的投标人的投标报价作必要的价格调整，以使得各投标报价范围在同一个基准上。</w:t>
      </w:r>
    </w:p>
    <w:p w:rsidR="00886307" w:rsidRDefault="008519E5" w:rsidP="00944886">
      <w:pPr>
        <w:spacing w:line="360" w:lineRule="auto"/>
        <w:ind w:firstLineChars="197" w:firstLine="473"/>
        <w:rPr>
          <w:rFonts w:ascii="宋体" w:hAnsi="宋体"/>
          <w:bCs/>
          <w:kern w:val="0"/>
          <w:sz w:val="24"/>
          <w:szCs w:val="20"/>
        </w:rPr>
      </w:pPr>
      <w:r>
        <w:rPr>
          <w:rFonts w:ascii="宋体" w:hAnsi="宋体"/>
          <w:bCs/>
          <w:kern w:val="0"/>
          <w:sz w:val="24"/>
          <w:szCs w:val="20"/>
        </w:rPr>
        <w:t>1</w:t>
      </w:r>
      <w:r>
        <w:rPr>
          <w:rFonts w:ascii="宋体" w:hAnsi="宋体" w:hint="eastAsia"/>
          <w:bCs/>
          <w:kern w:val="0"/>
          <w:sz w:val="24"/>
          <w:szCs w:val="20"/>
        </w:rPr>
        <w:t>）对投标报价进行校核（按招标文件的原则），以确认投标报价是否有算术计算错误或缺漏项。</w:t>
      </w:r>
    </w:p>
    <w:p w:rsidR="00886307" w:rsidRDefault="008519E5" w:rsidP="00944886">
      <w:pPr>
        <w:spacing w:line="360" w:lineRule="auto"/>
        <w:ind w:firstLineChars="197" w:firstLine="473"/>
        <w:rPr>
          <w:rFonts w:ascii="宋体" w:hAnsi="宋体"/>
          <w:bCs/>
          <w:kern w:val="0"/>
          <w:sz w:val="24"/>
          <w:szCs w:val="20"/>
        </w:rPr>
      </w:pPr>
      <w:r>
        <w:rPr>
          <w:rFonts w:ascii="宋体" w:hAnsi="宋体"/>
          <w:bCs/>
          <w:kern w:val="0"/>
          <w:sz w:val="24"/>
          <w:szCs w:val="20"/>
        </w:rPr>
        <w:t>2</w:t>
      </w:r>
      <w:r>
        <w:rPr>
          <w:rFonts w:ascii="宋体" w:hAnsi="宋体" w:hint="eastAsia"/>
          <w:bCs/>
          <w:kern w:val="0"/>
          <w:sz w:val="24"/>
          <w:szCs w:val="20"/>
        </w:rPr>
        <w:t>）对缺漏项的调整原则</w:t>
      </w:r>
      <w:r>
        <w:rPr>
          <w:rFonts w:ascii="宋体" w:hAnsi="宋体"/>
          <w:bCs/>
          <w:kern w:val="0"/>
          <w:sz w:val="24"/>
          <w:szCs w:val="20"/>
        </w:rPr>
        <w:t>:</w:t>
      </w:r>
      <w:r>
        <w:rPr>
          <w:rFonts w:ascii="宋体" w:hAnsi="宋体" w:hint="eastAsia"/>
          <w:bCs/>
          <w:kern w:val="0"/>
          <w:sz w:val="24"/>
          <w:szCs w:val="20"/>
        </w:rPr>
        <w:t>以所有有效报价中对应项的最高报价计入总价。</w:t>
      </w:r>
    </w:p>
    <w:p w:rsidR="00886307" w:rsidRDefault="008519E5" w:rsidP="00944886">
      <w:pPr>
        <w:spacing w:line="360" w:lineRule="auto"/>
        <w:ind w:firstLineChars="197" w:firstLine="473"/>
        <w:rPr>
          <w:rFonts w:ascii="宋体" w:hAnsi="宋体"/>
          <w:bCs/>
          <w:kern w:val="0"/>
          <w:sz w:val="24"/>
          <w:szCs w:val="20"/>
        </w:rPr>
      </w:pPr>
      <w:r>
        <w:rPr>
          <w:rFonts w:ascii="宋体" w:hAnsi="宋体"/>
          <w:bCs/>
          <w:kern w:val="0"/>
          <w:sz w:val="24"/>
          <w:szCs w:val="20"/>
        </w:rPr>
        <w:t>3</w:t>
      </w:r>
      <w:r>
        <w:rPr>
          <w:rFonts w:ascii="宋体" w:hAnsi="宋体" w:hint="eastAsia"/>
          <w:bCs/>
          <w:kern w:val="0"/>
          <w:sz w:val="24"/>
          <w:szCs w:val="20"/>
        </w:rPr>
        <w:t>）合同条款中规定了招标人提出的付款计划，如果投标文件对此付款条件有偏离但又属招标人可以接受的，评标时将按</w:t>
      </w:r>
      <w:r>
        <w:rPr>
          <w:rFonts w:ascii="宋体" w:hAnsi="宋体"/>
          <w:bCs/>
          <w:kern w:val="0"/>
          <w:sz w:val="24"/>
          <w:szCs w:val="20"/>
        </w:rPr>
        <w:t>8%</w:t>
      </w:r>
      <w:r>
        <w:rPr>
          <w:rFonts w:ascii="宋体" w:hAnsi="宋体" w:hint="eastAsia"/>
          <w:bCs/>
          <w:kern w:val="0"/>
          <w:sz w:val="24"/>
          <w:szCs w:val="20"/>
        </w:rPr>
        <w:t>的年利率计算提前支付所产生的利息，并将其计入其评审价格中。</w:t>
      </w:r>
    </w:p>
    <w:p w:rsidR="00886307" w:rsidRDefault="008519E5" w:rsidP="00944886">
      <w:pPr>
        <w:spacing w:line="360" w:lineRule="auto"/>
        <w:ind w:firstLineChars="197" w:firstLine="473"/>
        <w:rPr>
          <w:rFonts w:ascii="宋体" w:hAnsi="宋体"/>
          <w:bCs/>
          <w:kern w:val="0"/>
          <w:sz w:val="24"/>
          <w:szCs w:val="20"/>
        </w:rPr>
      </w:pPr>
      <w:r>
        <w:rPr>
          <w:rFonts w:ascii="宋体" w:hAnsi="宋体"/>
          <w:bCs/>
          <w:kern w:val="0"/>
          <w:sz w:val="24"/>
          <w:szCs w:val="20"/>
        </w:rPr>
        <w:t>4</w:t>
      </w:r>
      <w:r>
        <w:rPr>
          <w:rFonts w:ascii="宋体" w:hAnsi="宋体" w:hint="eastAsia"/>
          <w:bCs/>
          <w:kern w:val="0"/>
          <w:sz w:val="24"/>
          <w:szCs w:val="20"/>
        </w:rPr>
        <w:t>）除投标人在投标文件中的“商务偏差声明函”或“技术偏差声明函”明确提出偏差的内容外，评委会可以认为该投标人</w:t>
      </w:r>
      <w:proofErr w:type="gramStart"/>
      <w:r>
        <w:rPr>
          <w:rFonts w:ascii="宋体" w:hAnsi="宋体" w:hint="eastAsia"/>
          <w:bCs/>
          <w:kern w:val="0"/>
          <w:sz w:val="24"/>
          <w:szCs w:val="20"/>
        </w:rPr>
        <w:t>完全响应</w:t>
      </w:r>
      <w:proofErr w:type="gramEnd"/>
      <w:r>
        <w:rPr>
          <w:rFonts w:ascii="宋体" w:hAnsi="宋体" w:hint="eastAsia"/>
          <w:bCs/>
          <w:kern w:val="0"/>
          <w:sz w:val="24"/>
          <w:szCs w:val="20"/>
        </w:rPr>
        <w:t>招标文件的其他要求（包括工作范围、技术要求、商务要求等）且该投标报价为按招标文件要求</w:t>
      </w:r>
      <w:proofErr w:type="gramStart"/>
      <w:r>
        <w:rPr>
          <w:rFonts w:ascii="宋体" w:hAnsi="宋体" w:hint="eastAsia"/>
          <w:bCs/>
          <w:kern w:val="0"/>
          <w:sz w:val="24"/>
          <w:szCs w:val="20"/>
        </w:rPr>
        <w:t>作出</w:t>
      </w:r>
      <w:proofErr w:type="gramEnd"/>
      <w:r>
        <w:rPr>
          <w:rFonts w:ascii="宋体" w:hAnsi="宋体" w:hint="eastAsia"/>
          <w:bCs/>
          <w:kern w:val="0"/>
          <w:sz w:val="24"/>
          <w:szCs w:val="20"/>
        </w:rPr>
        <w:t>的最终报价，有权不予以澄清。</w:t>
      </w:r>
    </w:p>
    <w:p w:rsidR="00886307" w:rsidRDefault="008519E5" w:rsidP="00944886">
      <w:pPr>
        <w:spacing w:line="360" w:lineRule="auto"/>
        <w:ind w:firstLineChars="197" w:firstLine="473"/>
        <w:rPr>
          <w:rFonts w:ascii="宋体" w:hAnsi="宋体"/>
          <w:bCs/>
          <w:kern w:val="0"/>
          <w:sz w:val="24"/>
          <w:szCs w:val="20"/>
        </w:rPr>
      </w:pPr>
      <w:r>
        <w:rPr>
          <w:rFonts w:ascii="宋体" w:hAnsi="宋体"/>
          <w:bCs/>
          <w:kern w:val="0"/>
          <w:sz w:val="24"/>
          <w:szCs w:val="20"/>
        </w:rPr>
        <w:t>5</w:t>
      </w:r>
      <w:r>
        <w:rPr>
          <w:rFonts w:ascii="宋体" w:hAnsi="宋体" w:hint="eastAsia"/>
          <w:bCs/>
          <w:kern w:val="0"/>
          <w:sz w:val="24"/>
          <w:szCs w:val="20"/>
        </w:rPr>
        <w:t>）当评标委员会认为投标人</w:t>
      </w:r>
      <w:proofErr w:type="gramStart"/>
      <w:r>
        <w:rPr>
          <w:rFonts w:ascii="宋体" w:hAnsi="宋体" w:hint="eastAsia"/>
          <w:bCs/>
          <w:kern w:val="0"/>
          <w:sz w:val="24"/>
          <w:szCs w:val="20"/>
        </w:rPr>
        <w:t>作出</w:t>
      </w:r>
      <w:proofErr w:type="gramEnd"/>
      <w:r>
        <w:rPr>
          <w:rFonts w:ascii="宋体" w:hAnsi="宋体" w:hint="eastAsia"/>
          <w:bCs/>
          <w:kern w:val="0"/>
          <w:sz w:val="24"/>
          <w:szCs w:val="20"/>
        </w:rPr>
        <w:t>了某项不合理的价格调整，评标委员会可以根据同一个基准及公平的原则，对该项价格重新评估后计入投标评审价中。</w:t>
      </w:r>
    </w:p>
    <w:p w:rsidR="00886307" w:rsidRDefault="008519E5" w:rsidP="00944886">
      <w:pPr>
        <w:spacing w:line="360" w:lineRule="auto"/>
        <w:ind w:firstLineChars="197" w:firstLine="473"/>
        <w:rPr>
          <w:rFonts w:ascii="宋体" w:hAnsi="宋体"/>
          <w:b/>
          <w:kern w:val="0"/>
          <w:sz w:val="24"/>
          <w:szCs w:val="20"/>
        </w:rPr>
      </w:pPr>
      <w:r>
        <w:rPr>
          <w:rFonts w:ascii="宋体" w:hAnsi="宋体"/>
          <w:bCs/>
          <w:kern w:val="0"/>
          <w:sz w:val="24"/>
          <w:szCs w:val="20"/>
        </w:rPr>
        <w:t>1.2</w:t>
      </w:r>
      <w:r>
        <w:rPr>
          <w:rFonts w:ascii="宋体" w:hAnsi="宋体" w:hint="eastAsia"/>
          <w:b/>
          <w:kern w:val="0"/>
          <w:sz w:val="24"/>
          <w:szCs w:val="20"/>
        </w:rPr>
        <w:t>投标方应对不同项目，分别明确开具发票类型、金额以及税率，评审</w:t>
      </w:r>
      <w:proofErr w:type="gramStart"/>
      <w:r>
        <w:rPr>
          <w:rFonts w:ascii="宋体" w:hAnsi="宋体" w:hint="eastAsia"/>
          <w:b/>
          <w:kern w:val="0"/>
          <w:sz w:val="24"/>
          <w:szCs w:val="20"/>
        </w:rPr>
        <w:t>价根据</w:t>
      </w:r>
      <w:proofErr w:type="gramEnd"/>
      <w:r>
        <w:rPr>
          <w:rFonts w:ascii="宋体" w:hAnsi="宋体" w:hint="eastAsia"/>
          <w:b/>
          <w:kern w:val="0"/>
          <w:sz w:val="24"/>
          <w:szCs w:val="20"/>
        </w:rPr>
        <w:t>投标报价中的发票类型及税率，扣除可抵扣增值税后的不含税价格确定。</w:t>
      </w:r>
    </w:p>
    <w:p w:rsidR="00886307" w:rsidRDefault="008519E5" w:rsidP="00944886">
      <w:pPr>
        <w:spacing w:line="360" w:lineRule="auto"/>
        <w:ind w:firstLineChars="197" w:firstLine="473"/>
        <w:rPr>
          <w:rFonts w:ascii="宋体" w:hAnsi="宋体"/>
          <w:bCs/>
          <w:kern w:val="0"/>
          <w:sz w:val="24"/>
          <w:szCs w:val="20"/>
        </w:rPr>
      </w:pPr>
      <w:r>
        <w:rPr>
          <w:rFonts w:ascii="宋体" w:hAnsi="宋体" w:hint="eastAsia"/>
          <w:bCs/>
          <w:kern w:val="0"/>
          <w:sz w:val="24"/>
          <w:szCs w:val="20"/>
        </w:rPr>
        <w:t>（</w:t>
      </w:r>
      <w:r>
        <w:rPr>
          <w:rFonts w:ascii="宋体" w:hAnsi="宋体"/>
          <w:bCs/>
          <w:kern w:val="0"/>
          <w:sz w:val="24"/>
          <w:szCs w:val="20"/>
        </w:rPr>
        <w:t>2</w:t>
      </w:r>
      <w:r>
        <w:rPr>
          <w:rFonts w:ascii="宋体" w:hAnsi="宋体" w:hint="eastAsia"/>
          <w:bCs/>
          <w:kern w:val="0"/>
          <w:sz w:val="24"/>
          <w:szCs w:val="20"/>
        </w:rPr>
        <w:t>）投标评审价平均值</w:t>
      </w:r>
    </w:p>
    <w:p w:rsidR="00886307" w:rsidRDefault="008519E5" w:rsidP="00944886">
      <w:pPr>
        <w:spacing w:line="360" w:lineRule="auto"/>
        <w:ind w:firstLineChars="197" w:firstLine="473"/>
        <w:rPr>
          <w:rFonts w:ascii="宋体" w:hAnsi="宋体"/>
          <w:bCs/>
          <w:kern w:val="0"/>
          <w:sz w:val="24"/>
          <w:szCs w:val="20"/>
        </w:rPr>
      </w:pPr>
      <w:r>
        <w:rPr>
          <w:rFonts w:ascii="宋体" w:hAnsi="宋体" w:hint="eastAsia"/>
          <w:bCs/>
          <w:kern w:val="0"/>
          <w:sz w:val="24"/>
          <w:szCs w:val="20"/>
        </w:rPr>
        <w:lastRenderedPageBreak/>
        <w:t>当投标人为</w:t>
      </w:r>
      <w:r>
        <w:rPr>
          <w:rFonts w:ascii="宋体" w:hAnsi="宋体"/>
          <w:bCs/>
          <w:kern w:val="0"/>
          <w:sz w:val="24"/>
          <w:szCs w:val="20"/>
        </w:rPr>
        <w:t>5</w:t>
      </w:r>
      <w:r>
        <w:rPr>
          <w:rFonts w:ascii="宋体" w:hAnsi="宋体" w:hint="eastAsia"/>
          <w:bCs/>
          <w:kern w:val="0"/>
          <w:sz w:val="24"/>
          <w:szCs w:val="20"/>
        </w:rPr>
        <w:t>家以下时，取各投标评审价作算术平均；当投标人为</w:t>
      </w:r>
      <w:r>
        <w:rPr>
          <w:rFonts w:ascii="宋体" w:hAnsi="宋体"/>
          <w:bCs/>
          <w:kern w:val="0"/>
          <w:sz w:val="24"/>
          <w:szCs w:val="20"/>
        </w:rPr>
        <w:t>5</w:t>
      </w:r>
      <w:r>
        <w:rPr>
          <w:rFonts w:ascii="宋体" w:hAnsi="宋体" w:hint="eastAsia"/>
          <w:bCs/>
          <w:kern w:val="0"/>
          <w:sz w:val="24"/>
          <w:szCs w:val="20"/>
        </w:rPr>
        <w:t>家及以上时，去掉一个</w:t>
      </w:r>
      <w:proofErr w:type="gramStart"/>
      <w:r>
        <w:rPr>
          <w:rFonts w:ascii="宋体" w:hAnsi="宋体" w:hint="eastAsia"/>
          <w:bCs/>
          <w:kern w:val="0"/>
          <w:sz w:val="24"/>
          <w:szCs w:val="20"/>
        </w:rPr>
        <w:t>最</w:t>
      </w:r>
      <w:proofErr w:type="gramEnd"/>
      <w:r>
        <w:rPr>
          <w:rFonts w:ascii="宋体" w:hAnsi="宋体" w:hint="eastAsia"/>
          <w:bCs/>
          <w:kern w:val="0"/>
          <w:sz w:val="24"/>
          <w:szCs w:val="20"/>
        </w:rPr>
        <w:t>高价和一个最低价，余下投标人评审价作算术平均。</w:t>
      </w:r>
    </w:p>
    <w:p w:rsidR="00886307" w:rsidRDefault="008519E5" w:rsidP="00944886">
      <w:pPr>
        <w:spacing w:line="360" w:lineRule="auto"/>
        <w:ind w:firstLineChars="197" w:firstLine="473"/>
        <w:rPr>
          <w:rFonts w:ascii="宋体" w:hAnsi="宋体"/>
          <w:bCs/>
          <w:kern w:val="0"/>
          <w:sz w:val="24"/>
          <w:szCs w:val="20"/>
        </w:rPr>
      </w:pPr>
      <w:r>
        <w:rPr>
          <w:rFonts w:ascii="宋体" w:hAnsi="宋体" w:hint="eastAsia"/>
          <w:bCs/>
          <w:kern w:val="0"/>
          <w:sz w:val="24"/>
          <w:szCs w:val="20"/>
        </w:rPr>
        <w:t>（</w:t>
      </w:r>
      <w:r w:rsidR="00E54C81">
        <w:rPr>
          <w:rFonts w:ascii="宋体" w:hAnsi="宋体" w:hint="eastAsia"/>
          <w:bCs/>
          <w:kern w:val="0"/>
          <w:sz w:val="24"/>
          <w:szCs w:val="20"/>
        </w:rPr>
        <w:t>3</w:t>
      </w:r>
      <w:r>
        <w:rPr>
          <w:rFonts w:ascii="宋体" w:hAnsi="宋体" w:hint="eastAsia"/>
          <w:bCs/>
          <w:kern w:val="0"/>
          <w:sz w:val="24"/>
          <w:szCs w:val="20"/>
        </w:rPr>
        <w:t>）价格得分计算</w:t>
      </w:r>
    </w:p>
    <w:p w:rsidR="00886307" w:rsidRDefault="008519E5">
      <w:pPr>
        <w:spacing w:line="360" w:lineRule="auto"/>
        <w:ind w:firstLineChars="197" w:firstLine="475"/>
        <w:rPr>
          <w:rFonts w:ascii="宋体" w:hAnsi="宋体"/>
          <w:b/>
          <w:kern w:val="0"/>
          <w:sz w:val="24"/>
          <w:szCs w:val="20"/>
        </w:rPr>
      </w:pPr>
      <w:r>
        <w:rPr>
          <w:rFonts w:ascii="宋体" w:hAnsi="宋体" w:hint="eastAsia"/>
          <w:b/>
          <w:kern w:val="0"/>
          <w:sz w:val="24"/>
          <w:szCs w:val="20"/>
        </w:rPr>
        <w:t>方法：</w:t>
      </w:r>
      <w:proofErr w:type="gramStart"/>
      <w:r w:rsidR="00F20F3C" w:rsidRPr="00F20F3C">
        <w:rPr>
          <w:rFonts w:ascii="宋体" w:hAnsi="宋体" w:hint="eastAsia"/>
          <w:b/>
          <w:bCs/>
          <w:kern w:val="0"/>
          <w:sz w:val="24"/>
          <w:szCs w:val="20"/>
        </w:rPr>
        <w:t>高扣低扣</w:t>
      </w:r>
      <w:proofErr w:type="gramEnd"/>
      <w:r w:rsidR="00F20F3C" w:rsidRPr="00F20F3C">
        <w:rPr>
          <w:rFonts w:ascii="宋体" w:hAnsi="宋体" w:hint="eastAsia"/>
          <w:b/>
          <w:bCs/>
          <w:kern w:val="0"/>
          <w:sz w:val="24"/>
          <w:szCs w:val="20"/>
        </w:rPr>
        <w:t>法</w:t>
      </w:r>
    </w:p>
    <w:p w:rsidR="00F20F3C" w:rsidRPr="00F20F3C" w:rsidRDefault="00F20F3C" w:rsidP="00F20F3C">
      <w:pPr>
        <w:spacing w:line="360" w:lineRule="auto"/>
        <w:ind w:firstLineChars="149" w:firstLine="358"/>
        <w:rPr>
          <w:rFonts w:ascii="宋体" w:hAnsi="宋体"/>
          <w:bCs/>
          <w:kern w:val="0"/>
          <w:sz w:val="24"/>
          <w:szCs w:val="20"/>
        </w:rPr>
      </w:pPr>
      <w:r w:rsidRPr="00F20F3C">
        <w:rPr>
          <w:rFonts w:ascii="宋体" w:hAnsi="宋体" w:hint="eastAsia"/>
          <w:bCs/>
          <w:kern w:val="0"/>
          <w:sz w:val="24"/>
          <w:szCs w:val="20"/>
        </w:rPr>
        <w:t>以评标价为标准，投标评审价等于评标价的，价格得分为权重分满分。如果投标评审价高出评标价的，每高出1%，价格得分等于价格权重分扣去2分；如果投标评审价低于评标价的，每低过1%，价格得分等于价格权重分扣去1分。</w:t>
      </w:r>
    </w:p>
    <w:p w:rsidR="00886307" w:rsidRDefault="008519E5">
      <w:pPr>
        <w:spacing w:line="360" w:lineRule="auto"/>
        <w:ind w:firstLineChars="149" w:firstLine="359"/>
        <w:rPr>
          <w:rFonts w:ascii="宋体" w:hAnsi="宋体"/>
          <w:b/>
          <w:bCs/>
          <w:kern w:val="0"/>
          <w:sz w:val="24"/>
          <w:szCs w:val="20"/>
        </w:rPr>
      </w:pPr>
      <w:r>
        <w:rPr>
          <w:rFonts w:ascii="宋体" w:hAnsi="宋体"/>
          <w:b/>
          <w:bCs/>
          <w:kern w:val="0"/>
          <w:sz w:val="24"/>
          <w:szCs w:val="20"/>
        </w:rPr>
        <w:t>5.2.3</w:t>
      </w:r>
      <w:r>
        <w:rPr>
          <w:rFonts w:ascii="宋体" w:hAnsi="宋体" w:hint="eastAsia"/>
          <w:b/>
          <w:bCs/>
          <w:kern w:val="0"/>
          <w:sz w:val="24"/>
          <w:szCs w:val="20"/>
        </w:rPr>
        <w:t>其他评审项（技术、商务（实施能力、信誉和业绩等评审项））评分规则：</w:t>
      </w:r>
    </w:p>
    <w:p w:rsidR="00886307" w:rsidRDefault="008519E5">
      <w:pPr>
        <w:adjustRightInd w:val="0"/>
        <w:spacing w:line="360" w:lineRule="auto"/>
        <w:ind w:left="-40" w:firstLineChars="166" w:firstLine="398"/>
        <w:textAlignment w:val="baseline"/>
        <w:rPr>
          <w:rFonts w:ascii="宋体" w:hAnsi="宋体"/>
          <w:bCs/>
          <w:kern w:val="0"/>
          <w:sz w:val="24"/>
          <w:szCs w:val="20"/>
        </w:rPr>
      </w:pPr>
      <w:r>
        <w:rPr>
          <w:rFonts w:ascii="宋体" w:hAnsi="宋体" w:hint="eastAsia"/>
          <w:bCs/>
          <w:kern w:val="0"/>
          <w:sz w:val="24"/>
          <w:szCs w:val="20"/>
        </w:rPr>
        <w:t>评标委员会成员根据对各投标的评审和比较情况，直接对技术、商务（实施能力、信誉和业绩等）评审项分别进行百分制打分。去掉一个最高分和一个最低分，余下评委打分作算术平均，然后按照权重对应折算计分。</w:t>
      </w:r>
    </w:p>
    <w:p w:rsidR="00886307" w:rsidRDefault="008519E5">
      <w:pPr>
        <w:adjustRightInd w:val="0"/>
        <w:spacing w:line="360" w:lineRule="auto"/>
        <w:textAlignment w:val="baseline"/>
        <w:rPr>
          <w:rFonts w:ascii="宋体" w:hAnsi="宋体"/>
          <w:bCs/>
          <w:kern w:val="0"/>
          <w:szCs w:val="21"/>
        </w:rPr>
      </w:pPr>
      <w:r>
        <w:rPr>
          <w:rFonts w:ascii="宋体" w:hAnsi="宋体" w:hint="eastAsia"/>
          <w:bCs/>
          <w:kern w:val="0"/>
          <w:szCs w:val="21"/>
        </w:rPr>
        <w:t>（</w:t>
      </w:r>
      <w:r>
        <w:rPr>
          <w:rFonts w:ascii="宋体" w:hAnsi="宋体"/>
          <w:bCs/>
          <w:kern w:val="0"/>
          <w:szCs w:val="21"/>
        </w:rPr>
        <w:t>1</w:t>
      </w:r>
      <w:r>
        <w:rPr>
          <w:rFonts w:ascii="宋体" w:hAnsi="宋体" w:hint="eastAsia"/>
          <w:bCs/>
          <w:kern w:val="0"/>
          <w:szCs w:val="21"/>
        </w:rPr>
        <w:t>）商务评分表</w:t>
      </w:r>
    </w:p>
    <w:p w:rsidR="00886307" w:rsidRDefault="008519E5">
      <w:pPr>
        <w:adjustRightInd w:val="0"/>
        <w:spacing w:line="360" w:lineRule="auto"/>
        <w:textAlignment w:val="baseline"/>
        <w:rPr>
          <w:rFonts w:ascii="宋体" w:hAnsi="宋体"/>
          <w:b/>
          <w:kern w:val="0"/>
          <w:sz w:val="24"/>
          <w:szCs w:val="24"/>
        </w:rPr>
      </w:pPr>
      <w:r>
        <w:rPr>
          <w:rFonts w:ascii="宋体" w:hAnsi="宋体" w:hint="eastAsia"/>
          <w:b/>
          <w:kern w:val="0"/>
          <w:sz w:val="24"/>
          <w:szCs w:val="24"/>
        </w:rPr>
        <w:t>详见“附件1：商务因素评分表”</w:t>
      </w:r>
    </w:p>
    <w:p w:rsidR="00886307" w:rsidRDefault="008519E5">
      <w:pPr>
        <w:adjustRightInd w:val="0"/>
        <w:spacing w:line="360" w:lineRule="auto"/>
        <w:textAlignment w:val="baseline"/>
        <w:rPr>
          <w:rFonts w:ascii="宋体" w:hAnsi="宋体"/>
          <w:b/>
          <w:kern w:val="0"/>
          <w:sz w:val="24"/>
          <w:szCs w:val="24"/>
        </w:rPr>
      </w:pPr>
      <w:r>
        <w:rPr>
          <w:rFonts w:ascii="宋体" w:hAnsi="宋体" w:hint="eastAsia"/>
          <w:b/>
          <w:kern w:val="0"/>
          <w:sz w:val="24"/>
          <w:szCs w:val="24"/>
        </w:rPr>
        <w:t>注：投标人应当针对（商务</w:t>
      </w:r>
      <w:r>
        <w:rPr>
          <w:rFonts w:ascii="宋体" w:hAnsi="宋体"/>
          <w:b/>
          <w:kern w:val="0"/>
          <w:sz w:val="24"/>
          <w:szCs w:val="24"/>
        </w:rPr>
        <w:t>/</w:t>
      </w:r>
      <w:r>
        <w:rPr>
          <w:rFonts w:ascii="宋体" w:hAnsi="宋体" w:hint="eastAsia"/>
          <w:b/>
          <w:kern w:val="0"/>
          <w:sz w:val="24"/>
          <w:szCs w:val="24"/>
        </w:rPr>
        <w:t>技术）评审因素的内容，对投标文件进行补充或修订，以便评审工作的进行。</w:t>
      </w:r>
    </w:p>
    <w:p w:rsidR="00886307" w:rsidRDefault="008519E5">
      <w:pPr>
        <w:adjustRightInd w:val="0"/>
        <w:spacing w:line="360" w:lineRule="auto"/>
        <w:ind w:left="-40" w:firstLineChars="166" w:firstLine="398"/>
        <w:textAlignment w:val="baseline"/>
        <w:rPr>
          <w:rFonts w:ascii="宋体" w:hAnsi="宋体"/>
          <w:bCs/>
          <w:kern w:val="0"/>
          <w:sz w:val="24"/>
          <w:szCs w:val="24"/>
        </w:rPr>
      </w:pPr>
      <w:r>
        <w:rPr>
          <w:rFonts w:ascii="宋体" w:hAnsi="宋体" w:hint="eastAsia"/>
          <w:bCs/>
          <w:kern w:val="0"/>
          <w:sz w:val="24"/>
          <w:szCs w:val="24"/>
        </w:rPr>
        <w:t>（</w:t>
      </w:r>
      <w:r>
        <w:rPr>
          <w:rFonts w:ascii="宋体" w:hAnsi="宋体"/>
          <w:bCs/>
          <w:kern w:val="0"/>
          <w:sz w:val="24"/>
          <w:szCs w:val="24"/>
        </w:rPr>
        <w:t>2</w:t>
      </w:r>
      <w:r>
        <w:rPr>
          <w:rFonts w:ascii="宋体" w:hAnsi="宋体" w:hint="eastAsia"/>
          <w:bCs/>
          <w:kern w:val="0"/>
          <w:sz w:val="24"/>
          <w:szCs w:val="24"/>
        </w:rPr>
        <w:t>）技术评分表</w:t>
      </w:r>
    </w:p>
    <w:p w:rsidR="00886307" w:rsidRDefault="008519E5">
      <w:pPr>
        <w:adjustRightInd w:val="0"/>
        <w:spacing w:line="360" w:lineRule="auto"/>
        <w:textAlignment w:val="baseline"/>
        <w:rPr>
          <w:rFonts w:ascii="宋体" w:hAnsi="宋体"/>
          <w:b/>
          <w:kern w:val="0"/>
          <w:sz w:val="24"/>
          <w:szCs w:val="24"/>
        </w:rPr>
      </w:pPr>
      <w:r>
        <w:rPr>
          <w:rFonts w:ascii="宋体" w:hAnsi="宋体" w:hint="eastAsia"/>
          <w:b/>
          <w:kern w:val="0"/>
          <w:sz w:val="24"/>
          <w:szCs w:val="24"/>
        </w:rPr>
        <w:t>详见“附件2</w:t>
      </w:r>
      <w:r>
        <w:rPr>
          <w:rFonts w:ascii="宋体" w:hAnsi="宋体"/>
          <w:b/>
          <w:kern w:val="0"/>
          <w:sz w:val="24"/>
          <w:szCs w:val="24"/>
        </w:rPr>
        <w:t xml:space="preserve"> </w:t>
      </w:r>
      <w:r>
        <w:rPr>
          <w:rFonts w:ascii="宋体" w:hAnsi="宋体" w:hint="eastAsia"/>
          <w:b/>
          <w:kern w:val="0"/>
          <w:sz w:val="24"/>
          <w:szCs w:val="24"/>
        </w:rPr>
        <w:t>技术因素评分表”</w:t>
      </w:r>
    </w:p>
    <w:p w:rsidR="00886307" w:rsidRDefault="008519E5">
      <w:pPr>
        <w:adjustRightInd w:val="0"/>
        <w:spacing w:line="360" w:lineRule="auto"/>
        <w:textAlignment w:val="baseline"/>
        <w:rPr>
          <w:rFonts w:ascii="宋体" w:hAnsi="宋体"/>
          <w:b/>
          <w:kern w:val="0"/>
          <w:sz w:val="24"/>
          <w:szCs w:val="24"/>
        </w:rPr>
      </w:pPr>
      <w:r>
        <w:rPr>
          <w:rFonts w:ascii="宋体" w:hAnsi="宋体" w:hint="eastAsia"/>
          <w:b/>
          <w:kern w:val="0"/>
          <w:sz w:val="24"/>
          <w:szCs w:val="24"/>
        </w:rPr>
        <w:t>注：投标人应当针对（商务</w:t>
      </w:r>
      <w:r>
        <w:rPr>
          <w:rFonts w:ascii="宋体" w:hAnsi="宋体"/>
          <w:b/>
          <w:kern w:val="0"/>
          <w:sz w:val="24"/>
          <w:szCs w:val="24"/>
        </w:rPr>
        <w:t>/</w:t>
      </w:r>
      <w:r>
        <w:rPr>
          <w:rFonts w:ascii="宋体" w:hAnsi="宋体" w:hint="eastAsia"/>
          <w:b/>
          <w:kern w:val="0"/>
          <w:sz w:val="24"/>
          <w:szCs w:val="24"/>
        </w:rPr>
        <w:t>技术）评审因素的内容，对投标文件进行补充或修订，以便评审工作的进行。</w:t>
      </w:r>
    </w:p>
    <w:p w:rsidR="00886307" w:rsidRDefault="008519E5">
      <w:pPr>
        <w:spacing w:line="360" w:lineRule="auto"/>
        <w:ind w:firstLineChars="149" w:firstLine="359"/>
        <w:rPr>
          <w:rFonts w:ascii="宋体" w:hAnsi="宋体"/>
          <w:bCs/>
          <w:kern w:val="0"/>
          <w:sz w:val="24"/>
          <w:szCs w:val="24"/>
        </w:rPr>
      </w:pPr>
      <w:r>
        <w:rPr>
          <w:rFonts w:ascii="宋体" w:hAnsi="宋体"/>
          <w:b/>
          <w:bCs/>
          <w:kern w:val="0"/>
          <w:sz w:val="24"/>
          <w:szCs w:val="24"/>
        </w:rPr>
        <w:t>5.2.4</w:t>
      </w:r>
      <w:r>
        <w:rPr>
          <w:rFonts w:ascii="宋体" w:hAnsi="宋体" w:hint="eastAsia"/>
          <w:b/>
          <w:bCs/>
          <w:kern w:val="0"/>
          <w:sz w:val="24"/>
          <w:szCs w:val="24"/>
        </w:rPr>
        <w:t>排列名次：</w:t>
      </w:r>
    </w:p>
    <w:p w:rsidR="00886307" w:rsidRDefault="008519E5">
      <w:pPr>
        <w:numPr>
          <w:ilvl w:val="0"/>
          <w:numId w:val="1"/>
        </w:numPr>
        <w:spacing w:line="360" w:lineRule="auto"/>
        <w:ind w:left="284" w:firstLine="0"/>
        <w:rPr>
          <w:rFonts w:ascii="宋体" w:hAnsi="宋体"/>
          <w:bCs/>
          <w:kern w:val="0"/>
          <w:sz w:val="24"/>
          <w:szCs w:val="24"/>
        </w:rPr>
      </w:pPr>
      <w:r>
        <w:rPr>
          <w:rFonts w:ascii="宋体" w:hAnsi="宋体" w:hint="eastAsia"/>
          <w:bCs/>
          <w:kern w:val="0"/>
          <w:sz w:val="24"/>
          <w:szCs w:val="24"/>
        </w:rPr>
        <w:t>技术、商务（实施能力、信誉和业绩等）和价格得分之和</w:t>
      </w:r>
      <w:proofErr w:type="gramStart"/>
      <w:r>
        <w:rPr>
          <w:rFonts w:ascii="宋体" w:hAnsi="宋体" w:hint="eastAsia"/>
          <w:bCs/>
          <w:kern w:val="0"/>
          <w:sz w:val="24"/>
          <w:szCs w:val="24"/>
        </w:rPr>
        <w:t>即</w:t>
      </w:r>
      <w:proofErr w:type="gramEnd"/>
      <w:r>
        <w:rPr>
          <w:rFonts w:ascii="宋体" w:hAnsi="宋体" w:hint="eastAsia"/>
          <w:bCs/>
          <w:kern w:val="0"/>
          <w:sz w:val="24"/>
          <w:szCs w:val="24"/>
        </w:rPr>
        <w:t>为该投标的综合得分，各投标人按照综合得分由高到低排列名次。当综合得分相同时，按各评审项权重分值由大到小顺序排列。</w:t>
      </w:r>
    </w:p>
    <w:p w:rsidR="00886307" w:rsidRDefault="008519E5">
      <w:pPr>
        <w:numPr>
          <w:ilvl w:val="0"/>
          <w:numId w:val="1"/>
        </w:numPr>
        <w:spacing w:line="360" w:lineRule="auto"/>
        <w:rPr>
          <w:rFonts w:ascii="宋体" w:hAnsi="宋体"/>
          <w:bCs/>
          <w:kern w:val="0"/>
          <w:sz w:val="24"/>
          <w:szCs w:val="24"/>
        </w:rPr>
      </w:pPr>
      <w:r>
        <w:rPr>
          <w:rFonts w:ascii="宋体" w:hAnsi="宋体" w:hint="eastAsia"/>
          <w:bCs/>
          <w:kern w:val="0"/>
          <w:sz w:val="24"/>
          <w:szCs w:val="24"/>
        </w:rPr>
        <w:t>技术和商务得分之和最高，投标评审价最低的投标应优先考虑中标。</w:t>
      </w:r>
    </w:p>
    <w:p w:rsidR="00886307" w:rsidRDefault="008519E5">
      <w:pPr>
        <w:spacing w:line="360" w:lineRule="auto"/>
        <w:ind w:firstLineChars="149" w:firstLine="359"/>
        <w:rPr>
          <w:rFonts w:ascii="宋体" w:hAnsi="宋体"/>
          <w:b/>
          <w:bCs/>
          <w:kern w:val="0"/>
          <w:sz w:val="24"/>
          <w:szCs w:val="20"/>
        </w:rPr>
      </w:pPr>
      <w:r>
        <w:rPr>
          <w:rFonts w:ascii="宋体" w:hAnsi="宋体"/>
          <w:b/>
          <w:bCs/>
          <w:kern w:val="0"/>
          <w:sz w:val="24"/>
          <w:szCs w:val="20"/>
        </w:rPr>
        <w:t>5.2.</w:t>
      </w:r>
      <w:r>
        <w:rPr>
          <w:rFonts w:ascii="宋体" w:hAnsi="宋体" w:hint="eastAsia"/>
          <w:b/>
          <w:bCs/>
          <w:kern w:val="0"/>
          <w:sz w:val="24"/>
          <w:szCs w:val="20"/>
        </w:rPr>
        <w:t>3推荐中标候选人方法：</w:t>
      </w:r>
    </w:p>
    <w:p w:rsidR="00886307" w:rsidRDefault="008519E5">
      <w:pPr>
        <w:spacing w:line="360" w:lineRule="auto"/>
        <w:ind w:firstLineChars="100" w:firstLine="240"/>
        <w:rPr>
          <w:rFonts w:ascii="宋体" w:hAnsi="宋体"/>
          <w:bCs/>
          <w:kern w:val="0"/>
          <w:sz w:val="24"/>
          <w:szCs w:val="24"/>
        </w:rPr>
      </w:pPr>
      <w:r>
        <w:rPr>
          <w:rFonts w:ascii="宋体" w:hAnsi="宋体" w:hint="eastAsia"/>
          <w:bCs/>
          <w:kern w:val="0"/>
          <w:sz w:val="24"/>
          <w:szCs w:val="24"/>
        </w:rPr>
        <w:t>（</w:t>
      </w:r>
      <w:r>
        <w:rPr>
          <w:rFonts w:ascii="宋体" w:hAnsi="宋体"/>
          <w:bCs/>
          <w:kern w:val="0"/>
          <w:sz w:val="24"/>
          <w:szCs w:val="24"/>
        </w:rPr>
        <w:t>1</w:t>
      </w:r>
      <w:r>
        <w:rPr>
          <w:rFonts w:ascii="宋体" w:hAnsi="宋体" w:hint="eastAsia"/>
          <w:bCs/>
          <w:kern w:val="0"/>
          <w:sz w:val="24"/>
          <w:szCs w:val="24"/>
        </w:rPr>
        <w:t>）排名第一的投标人推荐为第一中标候选人，排名第二的投标人推荐为第二中标候选人，推荐两名中标候选人。</w:t>
      </w:r>
    </w:p>
    <w:p w:rsidR="00886307" w:rsidRDefault="008519E5">
      <w:pPr>
        <w:spacing w:line="360" w:lineRule="auto"/>
        <w:ind w:firstLineChars="100" w:firstLine="240"/>
        <w:rPr>
          <w:rFonts w:ascii="宋体" w:hAnsi="宋体"/>
          <w:bCs/>
          <w:kern w:val="0"/>
          <w:sz w:val="24"/>
          <w:szCs w:val="24"/>
        </w:rPr>
      </w:pPr>
      <w:r>
        <w:rPr>
          <w:rFonts w:ascii="宋体" w:hAnsi="宋体" w:hint="eastAsia"/>
          <w:bCs/>
          <w:kern w:val="0"/>
          <w:sz w:val="24"/>
          <w:szCs w:val="24"/>
        </w:rPr>
        <w:t>（</w:t>
      </w:r>
      <w:r>
        <w:rPr>
          <w:rFonts w:ascii="宋体" w:hAnsi="宋体"/>
          <w:bCs/>
          <w:kern w:val="0"/>
          <w:sz w:val="24"/>
          <w:szCs w:val="24"/>
        </w:rPr>
        <w:t>2</w:t>
      </w:r>
      <w:r>
        <w:rPr>
          <w:rFonts w:ascii="宋体" w:hAnsi="宋体" w:hint="eastAsia"/>
          <w:bCs/>
          <w:kern w:val="0"/>
          <w:sz w:val="24"/>
          <w:szCs w:val="24"/>
        </w:rPr>
        <w:t>）技术和商务得分之和最高，投标评审价最低的投标应优先考虑中标。</w:t>
      </w:r>
    </w:p>
    <w:p w:rsidR="00886307" w:rsidRDefault="008519E5">
      <w:pPr>
        <w:pStyle w:val="1"/>
        <w:spacing w:afterLines="50" w:after="156"/>
        <w:rPr>
          <w:rFonts w:hAnsi="宋体"/>
          <w:bCs w:val="0"/>
          <w:sz w:val="24"/>
        </w:rPr>
      </w:pPr>
      <w:r>
        <w:rPr>
          <w:rFonts w:hAnsi="宋体" w:hint="eastAsia"/>
          <w:bCs w:val="0"/>
          <w:sz w:val="24"/>
        </w:rPr>
        <w:lastRenderedPageBreak/>
        <w:t>6.</w:t>
      </w:r>
      <w:r>
        <w:rPr>
          <w:rFonts w:hAnsi="宋体" w:hint="eastAsia"/>
          <w:bCs w:val="0"/>
          <w:sz w:val="24"/>
        </w:rPr>
        <w:t>议标</w:t>
      </w:r>
    </w:p>
    <w:p w:rsidR="00886307" w:rsidRDefault="008519E5">
      <w:pPr>
        <w:spacing w:afterLines="50" w:after="156" w:line="360" w:lineRule="auto"/>
        <w:ind w:firstLineChars="200" w:firstLine="480"/>
        <w:rPr>
          <w:rFonts w:ascii="宋体" w:hAnsi="宋体"/>
          <w:bCs/>
          <w:kern w:val="0"/>
          <w:sz w:val="24"/>
          <w:szCs w:val="20"/>
        </w:rPr>
      </w:pPr>
      <w:r>
        <w:rPr>
          <w:rFonts w:ascii="宋体" w:hAnsi="宋体" w:hint="eastAsia"/>
          <w:bCs/>
          <w:kern w:val="0"/>
          <w:sz w:val="24"/>
          <w:szCs w:val="20"/>
        </w:rPr>
        <w:t>经两次招标失败后，1）若仅一家投标单位投标的</w:t>
      </w:r>
      <w:proofErr w:type="gramStart"/>
      <w:r>
        <w:rPr>
          <w:rFonts w:ascii="宋体" w:hAnsi="宋体" w:hint="eastAsia"/>
          <w:bCs/>
          <w:kern w:val="0"/>
          <w:sz w:val="24"/>
          <w:szCs w:val="20"/>
        </w:rPr>
        <w:t>与唯一</w:t>
      </w:r>
      <w:proofErr w:type="gramEnd"/>
      <w:r>
        <w:rPr>
          <w:rFonts w:ascii="宋体" w:hAnsi="宋体" w:hint="eastAsia"/>
          <w:bCs/>
          <w:kern w:val="0"/>
          <w:sz w:val="24"/>
          <w:szCs w:val="20"/>
        </w:rPr>
        <w:t>投标单位直接议标采购，2）若只有两家投标单位投标的与评审价格较低者的投标单位直接议标采购。</w:t>
      </w:r>
    </w:p>
    <w:p w:rsidR="00886307" w:rsidRDefault="00886307"/>
    <w:p w:rsidR="00886307" w:rsidRDefault="00886307"/>
    <w:p w:rsidR="00886307" w:rsidRDefault="00886307"/>
    <w:p w:rsidR="00886307" w:rsidRDefault="00886307"/>
    <w:p w:rsidR="00886307" w:rsidRDefault="00886307"/>
    <w:p w:rsidR="00886307" w:rsidRDefault="00886307"/>
    <w:p w:rsidR="00886307" w:rsidRDefault="00886307"/>
    <w:p w:rsidR="00886307" w:rsidRDefault="00886307"/>
    <w:p w:rsidR="00886307" w:rsidRDefault="00886307"/>
    <w:p w:rsidR="00886307" w:rsidRDefault="00886307"/>
    <w:p w:rsidR="00886307" w:rsidRDefault="00886307"/>
    <w:p w:rsidR="00886307" w:rsidRDefault="00886307"/>
    <w:p w:rsidR="00886307" w:rsidRDefault="00886307"/>
    <w:p w:rsidR="00886307" w:rsidRDefault="00886307"/>
    <w:p w:rsidR="00886307" w:rsidRDefault="00886307"/>
    <w:p w:rsidR="00886307" w:rsidRDefault="00886307"/>
    <w:p w:rsidR="00886307" w:rsidRDefault="00886307"/>
    <w:p w:rsidR="00886307" w:rsidRDefault="00886307"/>
    <w:p w:rsidR="00886307" w:rsidRDefault="00886307"/>
    <w:p w:rsidR="00886307" w:rsidRDefault="00886307"/>
    <w:p w:rsidR="00886307" w:rsidRDefault="00886307"/>
    <w:p w:rsidR="00886307" w:rsidRDefault="00886307"/>
    <w:p w:rsidR="00886307" w:rsidRDefault="00886307"/>
    <w:p w:rsidR="00886307" w:rsidRDefault="00886307"/>
    <w:p w:rsidR="00886307" w:rsidRDefault="00886307"/>
    <w:p w:rsidR="00886307" w:rsidRDefault="00886307"/>
    <w:p w:rsidR="00886307" w:rsidRDefault="00886307"/>
    <w:p w:rsidR="00886307" w:rsidRDefault="00886307"/>
    <w:p w:rsidR="00886307" w:rsidRDefault="00886307"/>
    <w:p w:rsidR="00886307" w:rsidRDefault="00886307"/>
    <w:p w:rsidR="00886307" w:rsidRDefault="00886307"/>
    <w:p w:rsidR="00886307" w:rsidRDefault="00886307"/>
    <w:p w:rsidR="00886307" w:rsidRDefault="00886307"/>
    <w:p w:rsidR="00886307" w:rsidRDefault="00886307"/>
    <w:p w:rsidR="00A75462" w:rsidRDefault="00A75462"/>
    <w:p w:rsidR="00A75462" w:rsidRDefault="00A75462"/>
    <w:p w:rsidR="00A75462" w:rsidRDefault="00A75462"/>
    <w:p w:rsidR="00A75462" w:rsidRDefault="00A75462"/>
    <w:p w:rsidR="00886307" w:rsidRDefault="008519E5">
      <w:pPr>
        <w:rPr>
          <w:rFonts w:ascii="宋体" w:hAnsi="宋体"/>
          <w:b/>
          <w:kern w:val="0"/>
          <w:sz w:val="24"/>
          <w:szCs w:val="24"/>
        </w:rPr>
      </w:pPr>
      <w:r>
        <w:rPr>
          <w:rFonts w:ascii="宋体" w:hAnsi="宋体" w:hint="eastAsia"/>
          <w:b/>
          <w:kern w:val="0"/>
          <w:sz w:val="24"/>
          <w:szCs w:val="24"/>
        </w:rPr>
        <w:lastRenderedPageBreak/>
        <w:t>附件1：商务因素评分表</w:t>
      </w:r>
    </w:p>
    <w:tbl>
      <w:tblPr>
        <w:tblW w:w="9247" w:type="dxa"/>
        <w:tblInd w:w="113" w:type="dxa"/>
        <w:tblLayout w:type="fixed"/>
        <w:tblLook w:val="04A0" w:firstRow="1" w:lastRow="0" w:firstColumn="1" w:lastColumn="0" w:noHBand="0" w:noVBand="1"/>
      </w:tblPr>
      <w:tblGrid>
        <w:gridCol w:w="749"/>
        <w:gridCol w:w="1291"/>
        <w:gridCol w:w="6106"/>
        <w:gridCol w:w="1101"/>
      </w:tblGrid>
      <w:tr w:rsidR="00F20F3C" w:rsidRPr="00F20F3C" w:rsidTr="00F20F3C">
        <w:trPr>
          <w:trHeight w:val="392"/>
          <w:tblHeader/>
        </w:trPr>
        <w:tc>
          <w:tcPr>
            <w:tcW w:w="749" w:type="dxa"/>
            <w:tcBorders>
              <w:top w:val="single" w:sz="4" w:space="0" w:color="auto"/>
              <w:left w:val="single" w:sz="4" w:space="0" w:color="auto"/>
              <w:bottom w:val="single" w:sz="4" w:space="0" w:color="auto"/>
              <w:right w:val="single" w:sz="4" w:space="0" w:color="auto"/>
            </w:tcBorders>
            <w:vAlign w:val="center"/>
          </w:tcPr>
          <w:p w:rsidR="00F20F3C" w:rsidRPr="00F20F3C" w:rsidRDefault="00F20F3C" w:rsidP="00F20F3C">
            <w:pPr>
              <w:widowControl/>
              <w:jc w:val="center"/>
              <w:rPr>
                <w:rFonts w:ascii="宋体" w:hAnsi="宋体" w:cs="宋体"/>
                <w:b/>
                <w:kern w:val="0"/>
                <w:szCs w:val="21"/>
              </w:rPr>
            </w:pPr>
            <w:r w:rsidRPr="00F20F3C">
              <w:rPr>
                <w:rFonts w:ascii="宋体" w:hAnsi="宋体" w:cs="宋体" w:hint="eastAsia"/>
                <w:b/>
                <w:kern w:val="0"/>
                <w:szCs w:val="21"/>
              </w:rPr>
              <w:t>序号</w:t>
            </w:r>
          </w:p>
        </w:tc>
        <w:tc>
          <w:tcPr>
            <w:tcW w:w="1291" w:type="dxa"/>
            <w:tcBorders>
              <w:top w:val="single" w:sz="4" w:space="0" w:color="auto"/>
              <w:left w:val="nil"/>
              <w:bottom w:val="single" w:sz="4" w:space="0" w:color="auto"/>
              <w:right w:val="single" w:sz="4" w:space="0" w:color="auto"/>
            </w:tcBorders>
            <w:vAlign w:val="center"/>
          </w:tcPr>
          <w:p w:rsidR="00F20F3C" w:rsidRPr="00F20F3C" w:rsidRDefault="00F20F3C" w:rsidP="00F20F3C">
            <w:pPr>
              <w:widowControl/>
              <w:jc w:val="center"/>
              <w:rPr>
                <w:rFonts w:ascii="宋体" w:hAnsi="宋体" w:cs="宋体"/>
                <w:b/>
                <w:kern w:val="0"/>
                <w:szCs w:val="21"/>
              </w:rPr>
            </w:pPr>
            <w:r w:rsidRPr="00F20F3C">
              <w:rPr>
                <w:rFonts w:ascii="宋体" w:hAnsi="宋体" w:cs="宋体" w:hint="eastAsia"/>
                <w:b/>
                <w:bCs/>
                <w:kern w:val="0"/>
                <w:szCs w:val="21"/>
              </w:rPr>
              <w:t>评标因素</w:t>
            </w:r>
          </w:p>
        </w:tc>
        <w:tc>
          <w:tcPr>
            <w:tcW w:w="6106" w:type="dxa"/>
            <w:tcBorders>
              <w:top w:val="single" w:sz="4" w:space="0" w:color="auto"/>
              <w:left w:val="nil"/>
              <w:bottom w:val="single" w:sz="4" w:space="0" w:color="auto"/>
              <w:right w:val="single" w:sz="4" w:space="0" w:color="auto"/>
            </w:tcBorders>
            <w:vAlign w:val="center"/>
          </w:tcPr>
          <w:p w:rsidR="00F20F3C" w:rsidRPr="00F20F3C" w:rsidRDefault="00F20F3C" w:rsidP="00F20F3C">
            <w:pPr>
              <w:jc w:val="center"/>
              <w:rPr>
                <w:rFonts w:ascii="宋体" w:hAnsi="宋体" w:cs="宋体"/>
                <w:b/>
                <w:kern w:val="0"/>
                <w:szCs w:val="21"/>
              </w:rPr>
            </w:pPr>
            <w:r w:rsidRPr="00F20F3C">
              <w:rPr>
                <w:rFonts w:ascii="宋体" w:hAnsi="宋体" w:cs="宋体" w:hint="eastAsia"/>
                <w:b/>
                <w:kern w:val="0"/>
                <w:szCs w:val="21"/>
              </w:rPr>
              <w:t>评分标准</w:t>
            </w:r>
          </w:p>
        </w:tc>
        <w:tc>
          <w:tcPr>
            <w:tcW w:w="1101" w:type="dxa"/>
            <w:tcBorders>
              <w:top w:val="single" w:sz="4" w:space="0" w:color="auto"/>
              <w:left w:val="nil"/>
              <w:bottom w:val="single" w:sz="4" w:space="0" w:color="auto"/>
              <w:right w:val="single" w:sz="4" w:space="0" w:color="auto"/>
            </w:tcBorders>
            <w:vAlign w:val="center"/>
          </w:tcPr>
          <w:p w:rsidR="00F20F3C" w:rsidRPr="00F20F3C" w:rsidRDefault="00F20F3C" w:rsidP="00F20F3C">
            <w:pPr>
              <w:widowControl/>
              <w:jc w:val="center"/>
              <w:rPr>
                <w:rFonts w:ascii="宋体" w:hAnsi="宋体" w:cs="宋体"/>
                <w:b/>
                <w:kern w:val="0"/>
                <w:szCs w:val="21"/>
              </w:rPr>
            </w:pPr>
            <w:r w:rsidRPr="00F20F3C">
              <w:rPr>
                <w:rFonts w:ascii="宋体" w:hAnsi="宋体" w:cs="宋体" w:hint="eastAsia"/>
                <w:b/>
                <w:kern w:val="0"/>
                <w:szCs w:val="21"/>
              </w:rPr>
              <w:t>满分</w:t>
            </w:r>
          </w:p>
        </w:tc>
      </w:tr>
      <w:tr w:rsidR="00F20F3C" w:rsidRPr="00F20F3C" w:rsidTr="00F20F3C">
        <w:trPr>
          <w:trHeight w:val="659"/>
        </w:trPr>
        <w:tc>
          <w:tcPr>
            <w:tcW w:w="749" w:type="dxa"/>
            <w:tcBorders>
              <w:top w:val="single" w:sz="4" w:space="0" w:color="auto"/>
              <w:left w:val="single" w:sz="4" w:space="0" w:color="auto"/>
              <w:bottom w:val="single" w:sz="4" w:space="0" w:color="auto"/>
              <w:right w:val="single" w:sz="4" w:space="0" w:color="auto"/>
            </w:tcBorders>
            <w:vAlign w:val="center"/>
          </w:tcPr>
          <w:p w:rsidR="00F20F3C" w:rsidRPr="00F20F3C" w:rsidRDefault="00F20F3C" w:rsidP="00F20F3C">
            <w:pPr>
              <w:widowControl/>
              <w:jc w:val="center"/>
              <w:rPr>
                <w:rFonts w:ascii="宋体" w:hAnsi="宋体" w:cs="宋体"/>
                <w:kern w:val="0"/>
                <w:sz w:val="24"/>
                <w:szCs w:val="24"/>
              </w:rPr>
            </w:pPr>
            <w:r w:rsidRPr="00F20F3C">
              <w:rPr>
                <w:rFonts w:ascii="宋体" w:hAnsi="宋体" w:cs="宋体" w:hint="eastAsia"/>
                <w:kern w:val="0"/>
                <w:sz w:val="24"/>
                <w:szCs w:val="24"/>
              </w:rPr>
              <w:t>1</w:t>
            </w:r>
          </w:p>
        </w:tc>
        <w:tc>
          <w:tcPr>
            <w:tcW w:w="1291" w:type="dxa"/>
            <w:tcBorders>
              <w:top w:val="nil"/>
              <w:left w:val="nil"/>
              <w:bottom w:val="single" w:sz="4" w:space="0" w:color="auto"/>
              <w:right w:val="single" w:sz="4" w:space="0" w:color="auto"/>
            </w:tcBorders>
            <w:vAlign w:val="center"/>
          </w:tcPr>
          <w:p w:rsidR="00F20F3C" w:rsidRPr="00F20F3C" w:rsidRDefault="00F20F3C" w:rsidP="00F20F3C">
            <w:pPr>
              <w:widowControl/>
              <w:jc w:val="center"/>
              <w:rPr>
                <w:rFonts w:ascii="宋体" w:hAnsi="宋体" w:cs="宋体"/>
                <w:kern w:val="0"/>
                <w:sz w:val="24"/>
                <w:szCs w:val="24"/>
              </w:rPr>
            </w:pPr>
            <w:r w:rsidRPr="00F20F3C">
              <w:rPr>
                <w:rFonts w:ascii="宋体" w:hAnsi="宋体" w:cs="宋体" w:hint="eastAsia"/>
                <w:kern w:val="0"/>
                <w:sz w:val="24"/>
                <w:szCs w:val="24"/>
              </w:rPr>
              <w:t>资质能力</w:t>
            </w:r>
          </w:p>
        </w:tc>
        <w:tc>
          <w:tcPr>
            <w:tcW w:w="6106" w:type="dxa"/>
            <w:tcBorders>
              <w:top w:val="nil"/>
              <w:left w:val="nil"/>
              <w:bottom w:val="single" w:sz="4" w:space="0" w:color="auto"/>
              <w:right w:val="single" w:sz="4" w:space="0" w:color="auto"/>
            </w:tcBorders>
            <w:vAlign w:val="center"/>
          </w:tcPr>
          <w:p w:rsidR="00F20F3C" w:rsidRPr="00F20F3C" w:rsidRDefault="00F20F3C" w:rsidP="00F20F3C">
            <w:pPr>
              <w:widowControl/>
              <w:jc w:val="left"/>
              <w:rPr>
                <w:rFonts w:ascii="宋体" w:hAnsi="宋体" w:cs="宋体"/>
                <w:kern w:val="0"/>
                <w:sz w:val="24"/>
                <w:szCs w:val="24"/>
              </w:rPr>
            </w:pPr>
            <w:r w:rsidRPr="00F20F3C">
              <w:rPr>
                <w:rFonts w:ascii="宋体" w:hAnsi="宋体" w:cs="宋体" w:hint="eastAsia"/>
                <w:kern w:val="0"/>
                <w:sz w:val="24"/>
                <w:szCs w:val="24"/>
              </w:rPr>
              <w:t>投标人有ISO质量</w:t>
            </w:r>
            <w:r w:rsidRPr="00F20F3C">
              <w:rPr>
                <w:rFonts w:ascii="宋体" w:hAnsi="宋体" w:cs="宋体"/>
                <w:kern w:val="0"/>
                <w:sz w:val="24"/>
                <w:szCs w:val="24"/>
              </w:rPr>
              <w:t>管理体系</w:t>
            </w:r>
            <w:r w:rsidRPr="00F20F3C">
              <w:rPr>
                <w:rFonts w:ascii="宋体" w:hAnsi="宋体" w:cs="宋体" w:hint="eastAsia"/>
                <w:kern w:val="0"/>
                <w:sz w:val="24"/>
                <w:szCs w:val="24"/>
              </w:rPr>
              <w:t>的，每提供一个认证证书得10分，30分封顶；</w:t>
            </w:r>
          </w:p>
        </w:tc>
        <w:tc>
          <w:tcPr>
            <w:tcW w:w="1101" w:type="dxa"/>
            <w:tcBorders>
              <w:top w:val="nil"/>
              <w:left w:val="nil"/>
              <w:bottom w:val="single" w:sz="4" w:space="0" w:color="auto"/>
              <w:right w:val="single" w:sz="4" w:space="0" w:color="auto"/>
            </w:tcBorders>
            <w:vAlign w:val="center"/>
          </w:tcPr>
          <w:p w:rsidR="00F20F3C" w:rsidRPr="00F20F3C" w:rsidRDefault="00F20F3C" w:rsidP="00F20F3C">
            <w:pPr>
              <w:widowControl/>
              <w:jc w:val="center"/>
              <w:rPr>
                <w:rFonts w:ascii="宋体" w:hAnsi="宋体" w:cs="宋体"/>
                <w:kern w:val="0"/>
                <w:szCs w:val="21"/>
              </w:rPr>
            </w:pPr>
            <w:r w:rsidRPr="00F20F3C">
              <w:rPr>
                <w:rFonts w:ascii="宋体" w:hAnsi="宋体" w:cs="宋体" w:hint="eastAsia"/>
                <w:kern w:val="0"/>
                <w:sz w:val="24"/>
                <w:szCs w:val="24"/>
              </w:rPr>
              <w:t>30</w:t>
            </w:r>
          </w:p>
        </w:tc>
      </w:tr>
      <w:tr w:rsidR="00F20F3C" w:rsidRPr="00F20F3C" w:rsidTr="00F20F3C">
        <w:trPr>
          <w:trHeight w:val="659"/>
        </w:trPr>
        <w:tc>
          <w:tcPr>
            <w:tcW w:w="749" w:type="dxa"/>
            <w:tcBorders>
              <w:top w:val="single" w:sz="4" w:space="0" w:color="auto"/>
              <w:left w:val="single" w:sz="4" w:space="0" w:color="auto"/>
              <w:bottom w:val="single" w:sz="4" w:space="0" w:color="auto"/>
              <w:right w:val="single" w:sz="4" w:space="0" w:color="auto"/>
            </w:tcBorders>
            <w:vAlign w:val="center"/>
          </w:tcPr>
          <w:p w:rsidR="00F20F3C" w:rsidRPr="00F20F3C" w:rsidRDefault="00F20F3C" w:rsidP="00F20F3C">
            <w:pPr>
              <w:widowControl/>
              <w:jc w:val="center"/>
              <w:rPr>
                <w:rFonts w:ascii="宋体" w:hAnsi="宋体" w:cs="宋体"/>
                <w:kern w:val="0"/>
                <w:sz w:val="24"/>
                <w:szCs w:val="24"/>
              </w:rPr>
            </w:pPr>
            <w:r w:rsidRPr="00F20F3C">
              <w:rPr>
                <w:rFonts w:ascii="宋体" w:hAnsi="宋体" w:cs="宋体" w:hint="eastAsia"/>
                <w:kern w:val="0"/>
                <w:sz w:val="24"/>
                <w:szCs w:val="24"/>
              </w:rPr>
              <w:t>2</w:t>
            </w:r>
          </w:p>
        </w:tc>
        <w:tc>
          <w:tcPr>
            <w:tcW w:w="1291" w:type="dxa"/>
            <w:tcBorders>
              <w:top w:val="nil"/>
              <w:left w:val="nil"/>
              <w:bottom w:val="single" w:sz="4" w:space="0" w:color="auto"/>
              <w:right w:val="single" w:sz="4" w:space="0" w:color="auto"/>
            </w:tcBorders>
            <w:vAlign w:val="center"/>
          </w:tcPr>
          <w:p w:rsidR="00F20F3C" w:rsidRPr="00F20F3C" w:rsidRDefault="00F20F3C" w:rsidP="00F20F3C">
            <w:pPr>
              <w:widowControl/>
              <w:jc w:val="center"/>
              <w:rPr>
                <w:rFonts w:ascii="宋体" w:hAnsi="宋体" w:cs="宋体"/>
                <w:kern w:val="0"/>
                <w:sz w:val="24"/>
                <w:szCs w:val="24"/>
              </w:rPr>
            </w:pPr>
            <w:r w:rsidRPr="00F20F3C">
              <w:rPr>
                <w:rFonts w:ascii="宋体" w:hAnsi="宋体" w:cs="宋体" w:hint="eastAsia"/>
                <w:kern w:val="0"/>
                <w:sz w:val="24"/>
                <w:szCs w:val="24"/>
              </w:rPr>
              <w:t>近三年财务状况</w:t>
            </w:r>
          </w:p>
        </w:tc>
        <w:tc>
          <w:tcPr>
            <w:tcW w:w="6106" w:type="dxa"/>
            <w:tcBorders>
              <w:top w:val="nil"/>
              <w:left w:val="nil"/>
              <w:bottom w:val="single" w:sz="4" w:space="0" w:color="auto"/>
              <w:right w:val="single" w:sz="4" w:space="0" w:color="auto"/>
            </w:tcBorders>
            <w:vAlign w:val="center"/>
          </w:tcPr>
          <w:p w:rsidR="00F20F3C" w:rsidRPr="00F20F3C" w:rsidRDefault="00F20F3C" w:rsidP="00F20F3C">
            <w:pPr>
              <w:widowControl/>
              <w:jc w:val="left"/>
              <w:rPr>
                <w:rFonts w:ascii="宋体" w:hAnsi="宋体" w:cs="宋体"/>
                <w:kern w:val="0"/>
                <w:sz w:val="24"/>
                <w:szCs w:val="24"/>
              </w:rPr>
            </w:pPr>
            <w:r w:rsidRPr="00F20F3C">
              <w:rPr>
                <w:rFonts w:ascii="宋体" w:hAnsi="宋体" w:cs="宋体" w:hint="eastAsia"/>
                <w:kern w:val="0"/>
                <w:sz w:val="24"/>
                <w:szCs w:val="24"/>
              </w:rPr>
              <w:t>1、近3年连续盈利，得分20分；</w:t>
            </w:r>
          </w:p>
          <w:p w:rsidR="00F20F3C" w:rsidRPr="00F20F3C" w:rsidRDefault="00F20F3C" w:rsidP="00F20F3C">
            <w:pPr>
              <w:widowControl/>
              <w:jc w:val="left"/>
              <w:rPr>
                <w:rFonts w:ascii="宋体" w:hAnsi="宋体" w:cs="宋体"/>
                <w:kern w:val="0"/>
                <w:sz w:val="24"/>
                <w:szCs w:val="24"/>
              </w:rPr>
            </w:pPr>
            <w:r w:rsidRPr="00F20F3C">
              <w:rPr>
                <w:rFonts w:ascii="宋体" w:hAnsi="宋体" w:cs="宋体" w:hint="eastAsia"/>
                <w:kern w:val="0"/>
                <w:sz w:val="24"/>
                <w:szCs w:val="24"/>
              </w:rPr>
              <w:t>2、近2年连续盈利，得分10分；</w:t>
            </w:r>
          </w:p>
          <w:p w:rsidR="00F20F3C" w:rsidRPr="00F20F3C" w:rsidRDefault="00F20F3C" w:rsidP="00F20F3C">
            <w:pPr>
              <w:widowControl/>
              <w:jc w:val="left"/>
              <w:rPr>
                <w:rFonts w:ascii="宋体" w:hAnsi="宋体" w:cs="宋体"/>
                <w:kern w:val="0"/>
                <w:sz w:val="24"/>
                <w:szCs w:val="24"/>
              </w:rPr>
            </w:pPr>
            <w:r w:rsidRPr="00F20F3C">
              <w:rPr>
                <w:rFonts w:ascii="宋体" w:hAnsi="宋体" w:cs="宋体" w:hint="eastAsia"/>
                <w:kern w:val="0"/>
                <w:sz w:val="24"/>
                <w:szCs w:val="24"/>
              </w:rPr>
              <w:t>3、其他情况不得分。</w:t>
            </w:r>
          </w:p>
        </w:tc>
        <w:tc>
          <w:tcPr>
            <w:tcW w:w="1101" w:type="dxa"/>
            <w:tcBorders>
              <w:top w:val="nil"/>
              <w:left w:val="nil"/>
              <w:bottom w:val="single" w:sz="4" w:space="0" w:color="auto"/>
              <w:right w:val="single" w:sz="4" w:space="0" w:color="auto"/>
            </w:tcBorders>
            <w:vAlign w:val="center"/>
          </w:tcPr>
          <w:p w:rsidR="00F20F3C" w:rsidRPr="00F20F3C" w:rsidRDefault="00F20F3C" w:rsidP="00F20F3C">
            <w:pPr>
              <w:widowControl/>
              <w:jc w:val="center"/>
              <w:rPr>
                <w:rFonts w:ascii="宋体" w:hAnsi="宋体" w:cs="宋体"/>
                <w:kern w:val="0"/>
                <w:szCs w:val="21"/>
              </w:rPr>
            </w:pPr>
            <w:r w:rsidRPr="00F20F3C">
              <w:rPr>
                <w:rFonts w:ascii="宋体" w:hAnsi="宋体" w:cs="宋体" w:hint="eastAsia"/>
                <w:kern w:val="0"/>
                <w:szCs w:val="21"/>
              </w:rPr>
              <w:t>20</w:t>
            </w:r>
          </w:p>
        </w:tc>
      </w:tr>
      <w:tr w:rsidR="00F20F3C" w:rsidRPr="00F20F3C" w:rsidTr="00F20F3C">
        <w:trPr>
          <w:trHeight w:val="659"/>
        </w:trPr>
        <w:tc>
          <w:tcPr>
            <w:tcW w:w="749" w:type="dxa"/>
            <w:tcBorders>
              <w:top w:val="single" w:sz="4" w:space="0" w:color="auto"/>
              <w:left w:val="single" w:sz="4" w:space="0" w:color="auto"/>
              <w:bottom w:val="single" w:sz="4" w:space="0" w:color="auto"/>
              <w:right w:val="single" w:sz="4" w:space="0" w:color="auto"/>
            </w:tcBorders>
            <w:vAlign w:val="center"/>
          </w:tcPr>
          <w:p w:rsidR="00F20F3C" w:rsidRPr="00F20F3C" w:rsidRDefault="00F20F3C" w:rsidP="00F20F3C">
            <w:pPr>
              <w:jc w:val="center"/>
              <w:rPr>
                <w:rFonts w:ascii="宋体" w:hAnsi="宋体" w:cs="宋体"/>
                <w:kern w:val="0"/>
                <w:sz w:val="24"/>
                <w:szCs w:val="24"/>
              </w:rPr>
            </w:pPr>
            <w:r w:rsidRPr="00F20F3C">
              <w:rPr>
                <w:rFonts w:ascii="宋体" w:hAnsi="宋体" w:cs="宋体" w:hint="eastAsia"/>
                <w:kern w:val="0"/>
                <w:sz w:val="24"/>
                <w:szCs w:val="24"/>
              </w:rPr>
              <w:t>3</w:t>
            </w:r>
          </w:p>
        </w:tc>
        <w:tc>
          <w:tcPr>
            <w:tcW w:w="1291" w:type="dxa"/>
            <w:tcBorders>
              <w:top w:val="nil"/>
              <w:left w:val="nil"/>
              <w:bottom w:val="single" w:sz="4" w:space="0" w:color="auto"/>
              <w:right w:val="single" w:sz="4" w:space="0" w:color="auto"/>
            </w:tcBorders>
            <w:vAlign w:val="center"/>
          </w:tcPr>
          <w:p w:rsidR="00F20F3C" w:rsidRPr="00F20F3C" w:rsidRDefault="00F20F3C" w:rsidP="00F20F3C">
            <w:pPr>
              <w:widowControl/>
              <w:jc w:val="center"/>
              <w:rPr>
                <w:rFonts w:ascii="宋体" w:hAnsi="宋体" w:cs="宋体"/>
                <w:kern w:val="0"/>
                <w:sz w:val="24"/>
                <w:szCs w:val="24"/>
              </w:rPr>
            </w:pPr>
            <w:r w:rsidRPr="00F20F3C">
              <w:rPr>
                <w:rFonts w:ascii="宋体" w:hAnsi="宋体" w:cs="宋体" w:hint="eastAsia"/>
                <w:kern w:val="0"/>
                <w:sz w:val="24"/>
                <w:szCs w:val="24"/>
              </w:rPr>
              <w:t>工期及商务偏差情况</w:t>
            </w:r>
          </w:p>
        </w:tc>
        <w:tc>
          <w:tcPr>
            <w:tcW w:w="6106" w:type="dxa"/>
            <w:tcBorders>
              <w:top w:val="nil"/>
              <w:left w:val="nil"/>
              <w:bottom w:val="single" w:sz="4" w:space="0" w:color="auto"/>
              <w:right w:val="single" w:sz="4" w:space="0" w:color="auto"/>
            </w:tcBorders>
            <w:vAlign w:val="center"/>
          </w:tcPr>
          <w:p w:rsidR="00F20F3C" w:rsidRPr="00F20F3C" w:rsidRDefault="00F20F3C" w:rsidP="00F20F3C">
            <w:pPr>
              <w:widowControl/>
              <w:jc w:val="left"/>
              <w:rPr>
                <w:rFonts w:ascii="宋体" w:hAnsi="宋体" w:cs="宋体"/>
                <w:kern w:val="0"/>
                <w:sz w:val="24"/>
                <w:szCs w:val="24"/>
              </w:rPr>
            </w:pPr>
            <w:r w:rsidRPr="00F20F3C">
              <w:rPr>
                <w:rFonts w:ascii="宋体" w:hAnsi="宋体" w:cs="宋体" w:hint="eastAsia"/>
                <w:kern w:val="0"/>
                <w:sz w:val="24"/>
                <w:szCs w:val="24"/>
              </w:rPr>
              <w:t>投标人是否满足招标文件的进度要求；是否对合同条款提出偏差或提出其他商务偏差。</w:t>
            </w:r>
          </w:p>
          <w:p w:rsidR="00F20F3C" w:rsidRPr="00F20F3C" w:rsidRDefault="00F20F3C" w:rsidP="00F20F3C">
            <w:pPr>
              <w:widowControl/>
              <w:jc w:val="left"/>
              <w:rPr>
                <w:rFonts w:ascii="宋体" w:hAnsi="宋体" w:cs="宋体"/>
                <w:kern w:val="0"/>
                <w:sz w:val="24"/>
                <w:szCs w:val="24"/>
              </w:rPr>
            </w:pPr>
            <w:r w:rsidRPr="00F20F3C">
              <w:rPr>
                <w:rFonts w:ascii="宋体" w:hAnsi="宋体" w:cs="宋体" w:hint="eastAsia"/>
                <w:kern w:val="0"/>
                <w:sz w:val="24"/>
                <w:szCs w:val="24"/>
              </w:rPr>
              <w:t>无负偏差得10分，负偏差一项扣3分，本打分项扣完为止。</w:t>
            </w:r>
          </w:p>
        </w:tc>
        <w:tc>
          <w:tcPr>
            <w:tcW w:w="1101" w:type="dxa"/>
            <w:tcBorders>
              <w:top w:val="nil"/>
              <w:left w:val="nil"/>
              <w:bottom w:val="single" w:sz="4" w:space="0" w:color="auto"/>
              <w:right w:val="single" w:sz="4" w:space="0" w:color="auto"/>
            </w:tcBorders>
            <w:vAlign w:val="center"/>
          </w:tcPr>
          <w:p w:rsidR="00F20F3C" w:rsidRPr="00F20F3C" w:rsidRDefault="00F20F3C" w:rsidP="00F20F3C">
            <w:pPr>
              <w:widowControl/>
              <w:jc w:val="center"/>
              <w:rPr>
                <w:rFonts w:ascii="宋体" w:hAnsi="宋体" w:cs="宋体"/>
                <w:kern w:val="0"/>
                <w:szCs w:val="21"/>
              </w:rPr>
            </w:pPr>
            <w:r w:rsidRPr="00F20F3C">
              <w:rPr>
                <w:rFonts w:ascii="宋体" w:hAnsi="宋体" w:cs="宋体" w:hint="eastAsia"/>
                <w:kern w:val="0"/>
                <w:szCs w:val="21"/>
              </w:rPr>
              <w:t>10</w:t>
            </w:r>
          </w:p>
        </w:tc>
      </w:tr>
      <w:tr w:rsidR="00F20F3C" w:rsidRPr="00F20F3C" w:rsidTr="00F20F3C">
        <w:trPr>
          <w:trHeight w:val="659"/>
        </w:trPr>
        <w:tc>
          <w:tcPr>
            <w:tcW w:w="749" w:type="dxa"/>
            <w:tcBorders>
              <w:top w:val="nil"/>
              <w:left w:val="single" w:sz="4" w:space="0" w:color="auto"/>
              <w:bottom w:val="single" w:sz="4" w:space="0" w:color="auto"/>
              <w:right w:val="single" w:sz="4" w:space="0" w:color="auto"/>
            </w:tcBorders>
            <w:vAlign w:val="center"/>
          </w:tcPr>
          <w:p w:rsidR="00F20F3C" w:rsidRPr="00F20F3C" w:rsidRDefault="00F20F3C" w:rsidP="00F20F3C">
            <w:pPr>
              <w:widowControl/>
              <w:jc w:val="center"/>
              <w:rPr>
                <w:rFonts w:ascii="宋体" w:hAnsi="宋体" w:cs="宋体"/>
                <w:kern w:val="0"/>
                <w:sz w:val="24"/>
                <w:szCs w:val="24"/>
              </w:rPr>
            </w:pPr>
            <w:r w:rsidRPr="00F20F3C">
              <w:rPr>
                <w:rFonts w:ascii="宋体" w:hAnsi="宋体" w:cs="宋体" w:hint="eastAsia"/>
                <w:kern w:val="0"/>
                <w:sz w:val="24"/>
                <w:szCs w:val="24"/>
              </w:rPr>
              <w:t>4</w:t>
            </w:r>
          </w:p>
        </w:tc>
        <w:tc>
          <w:tcPr>
            <w:tcW w:w="1291" w:type="dxa"/>
            <w:tcBorders>
              <w:top w:val="nil"/>
              <w:left w:val="nil"/>
              <w:bottom w:val="single" w:sz="4" w:space="0" w:color="auto"/>
              <w:right w:val="single" w:sz="4" w:space="0" w:color="auto"/>
            </w:tcBorders>
            <w:vAlign w:val="center"/>
          </w:tcPr>
          <w:p w:rsidR="00F20F3C" w:rsidRPr="00F20F3C" w:rsidRDefault="00F20F3C" w:rsidP="00F20F3C">
            <w:pPr>
              <w:widowControl/>
              <w:jc w:val="center"/>
              <w:rPr>
                <w:rFonts w:ascii="宋体" w:hAnsi="宋体" w:cs="宋体"/>
                <w:kern w:val="0"/>
                <w:sz w:val="24"/>
                <w:szCs w:val="24"/>
              </w:rPr>
            </w:pPr>
            <w:r w:rsidRPr="00F20F3C">
              <w:rPr>
                <w:rFonts w:ascii="宋体" w:hAnsi="宋体" w:cs="宋体" w:hint="eastAsia"/>
                <w:kern w:val="0"/>
                <w:sz w:val="24"/>
                <w:szCs w:val="24"/>
              </w:rPr>
              <w:t>业绩</w:t>
            </w:r>
          </w:p>
        </w:tc>
        <w:tc>
          <w:tcPr>
            <w:tcW w:w="6106" w:type="dxa"/>
            <w:tcBorders>
              <w:top w:val="nil"/>
              <w:left w:val="nil"/>
              <w:bottom w:val="single" w:sz="4" w:space="0" w:color="auto"/>
              <w:right w:val="single" w:sz="4" w:space="0" w:color="auto"/>
            </w:tcBorders>
            <w:vAlign w:val="center"/>
          </w:tcPr>
          <w:p w:rsidR="00F20F3C" w:rsidRPr="00F20F3C" w:rsidRDefault="00F20F3C" w:rsidP="00F20F3C">
            <w:pPr>
              <w:widowControl/>
              <w:jc w:val="left"/>
              <w:rPr>
                <w:rFonts w:ascii="宋体" w:hAnsi="宋体"/>
                <w:bCs/>
                <w:kern w:val="0"/>
                <w:sz w:val="24"/>
                <w:szCs w:val="24"/>
              </w:rPr>
            </w:pPr>
            <w:r w:rsidRPr="00F20F3C">
              <w:rPr>
                <w:rFonts w:ascii="宋体" w:hAnsi="宋体" w:cs="宋体" w:hint="eastAsia"/>
                <w:kern w:val="0"/>
                <w:sz w:val="24"/>
                <w:szCs w:val="24"/>
              </w:rPr>
              <w:t>投标人有海关或电厂病媒生物监测项目业绩，每个得10分，有其它病媒生物业绩，每个得5分，最高得分40分。</w:t>
            </w:r>
          </w:p>
        </w:tc>
        <w:tc>
          <w:tcPr>
            <w:tcW w:w="1101" w:type="dxa"/>
            <w:tcBorders>
              <w:top w:val="nil"/>
              <w:left w:val="nil"/>
              <w:bottom w:val="single" w:sz="4" w:space="0" w:color="auto"/>
              <w:right w:val="single" w:sz="4" w:space="0" w:color="auto"/>
            </w:tcBorders>
            <w:vAlign w:val="center"/>
          </w:tcPr>
          <w:p w:rsidR="00F20F3C" w:rsidRPr="00F20F3C" w:rsidRDefault="00F20F3C" w:rsidP="00F20F3C">
            <w:pPr>
              <w:widowControl/>
              <w:jc w:val="center"/>
              <w:rPr>
                <w:rFonts w:ascii="宋体" w:hAnsi="宋体" w:cs="宋体"/>
                <w:kern w:val="0"/>
                <w:szCs w:val="21"/>
              </w:rPr>
            </w:pPr>
            <w:r w:rsidRPr="00F20F3C">
              <w:rPr>
                <w:rFonts w:ascii="宋体" w:hAnsi="宋体" w:cs="宋体" w:hint="eastAsia"/>
                <w:kern w:val="0"/>
                <w:szCs w:val="21"/>
              </w:rPr>
              <w:t>40</w:t>
            </w:r>
          </w:p>
        </w:tc>
      </w:tr>
      <w:tr w:rsidR="00F20F3C" w:rsidRPr="00F20F3C" w:rsidTr="00F20F3C">
        <w:trPr>
          <w:trHeight w:val="595"/>
        </w:trPr>
        <w:tc>
          <w:tcPr>
            <w:tcW w:w="749" w:type="dxa"/>
            <w:tcBorders>
              <w:top w:val="nil"/>
              <w:left w:val="single" w:sz="4" w:space="0" w:color="auto"/>
              <w:bottom w:val="single" w:sz="4" w:space="0" w:color="auto"/>
              <w:right w:val="single" w:sz="4" w:space="0" w:color="auto"/>
            </w:tcBorders>
            <w:vAlign w:val="center"/>
          </w:tcPr>
          <w:p w:rsidR="00F20F3C" w:rsidRPr="00F20F3C" w:rsidRDefault="00F20F3C" w:rsidP="00F20F3C">
            <w:pPr>
              <w:widowControl/>
              <w:jc w:val="center"/>
              <w:rPr>
                <w:rFonts w:ascii="宋体" w:hAnsi="宋体" w:cs="宋体"/>
                <w:kern w:val="0"/>
                <w:sz w:val="24"/>
                <w:szCs w:val="24"/>
              </w:rPr>
            </w:pPr>
            <w:r w:rsidRPr="00F20F3C">
              <w:rPr>
                <w:rFonts w:ascii="宋体" w:hAnsi="宋体" w:cs="宋体" w:hint="eastAsia"/>
                <w:kern w:val="0"/>
                <w:sz w:val="24"/>
                <w:szCs w:val="24"/>
              </w:rPr>
              <w:t>5</w:t>
            </w:r>
          </w:p>
        </w:tc>
        <w:tc>
          <w:tcPr>
            <w:tcW w:w="7397" w:type="dxa"/>
            <w:gridSpan w:val="2"/>
            <w:tcBorders>
              <w:top w:val="nil"/>
              <w:left w:val="nil"/>
              <w:bottom w:val="single" w:sz="4" w:space="0" w:color="auto"/>
              <w:right w:val="single" w:sz="4" w:space="0" w:color="auto"/>
            </w:tcBorders>
            <w:vAlign w:val="center"/>
          </w:tcPr>
          <w:p w:rsidR="00F20F3C" w:rsidRPr="00F20F3C" w:rsidRDefault="00F20F3C" w:rsidP="00F20F3C">
            <w:pPr>
              <w:widowControl/>
              <w:jc w:val="center"/>
              <w:rPr>
                <w:rFonts w:ascii="宋体" w:hAnsi="宋体" w:cs="宋体"/>
                <w:kern w:val="0"/>
                <w:szCs w:val="21"/>
              </w:rPr>
            </w:pPr>
            <w:r w:rsidRPr="00F20F3C">
              <w:rPr>
                <w:rFonts w:ascii="宋体" w:hAnsi="宋体" w:cs="宋体" w:hint="eastAsia"/>
                <w:b/>
                <w:kern w:val="0"/>
                <w:szCs w:val="21"/>
              </w:rPr>
              <w:t>合计（合计得分乘以10%后计入综合得分）</w:t>
            </w:r>
          </w:p>
        </w:tc>
        <w:tc>
          <w:tcPr>
            <w:tcW w:w="1101" w:type="dxa"/>
            <w:tcBorders>
              <w:top w:val="nil"/>
              <w:left w:val="nil"/>
              <w:bottom w:val="single" w:sz="4" w:space="0" w:color="auto"/>
              <w:right w:val="single" w:sz="4" w:space="0" w:color="auto"/>
            </w:tcBorders>
            <w:vAlign w:val="center"/>
          </w:tcPr>
          <w:p w:rsidR="00F20F3C" w:rsidRPr="00F20F3C" w:rsidRDefault="00F20F3C" w:rsidP="00F20F3C">
            <w:pPr>
              <w:widowControl/>
              <w:jc w:val="center"/>
              <w:rPr>
                <w:rFonts w:ascii="宋体" w:hAnsi="宋体" w:cs="宋体"/>
                <w:kern w:val="0"/>
                <w:szCs w:val="21"/>
              </w:rPr>
            </w:pPr>
            <w:r w:rsidRPr="00F20F3C">
              <w:rPr>
                <w:rFonts w:ascii="宋体" w:hAnsi="宋体" w:cs="宋体" w:hint="eastAsia"/>
                <w:kern w:val="0"/>
                <w:szCs w:val="21"/>
              </w:rPr>
              <w:t>100</w:t>
            </w:r>
          </w:p>
        </w:tc>
      </w:tr>
    </w:tbl>
    <w:p w:rsidR="00886307" w:rsidRDefault="00886307"/>
    <w:p w:rsidR="00886307" w:rsidRDefault="00886307"/>
    <w:p w:rsidR="00886307" w:rsidRDefault="00886307"/>
    <w:p w:rsidR="00886307" w:rsidRDefault="00886307"/>
    <w:p w:rsidR="00886307" w:rsidRDefault="00886307"/>
    <w:p w:rsidR="00886307" w:rsidRDefault="00886307"/>
    <w:p w:rsidR="00886307" w:rsidRDefault="00886307"/>
    <w:p w:rsidR="00886307" w:rsidRDefault="00886307"/>
    <w:p w:rsidR="00886307" w:rsidRDefault="00886307"/>
    <w:p w:rsidR="00886307" w:rsidRDefault="00886307"/>
    <w:p w:rsidR="00886307" w:rsidRDefault="00886307"/>
    <w:p w:rsidR="00886307" w:rsidRDefault="00886307"/>
    <w:p w:rsidR="00886307" w:rsidRDefault="00886307"/>
    <w:p w:rsidR="00886307" w:rsidRDefault="00886307"/>
    <w:p w:rsidR="00886307" w:rsidRDefault="00886307"/>
    <w:p w:rsidR="00886307" w:rsidRDefault="00886307"/>
    <w:p w:rsidR="00886307" w:rsidRDefault="00886307"/>
    <w:p w:rsidR="00886307" w:rsidRDefault="00886307"/>
    <w:p w:rsidR="00886307" w:rsidRDefault="00886307"/>
    <w:p w:rsidR="00886307" w:rsidRDefault="00886307"/>
    <w:p w:rsidR="00886307" w:rsidRDefault="00886307"/>
    <w:p w:rsidR="00886307" w:rsidRDefault="00886307"/>
    <w:p w:rsidR="00886307" w:rsidRDefault="00886307"/>
    <w:p w:rsidR="00886307" w:rsidRDefault="00886307"/>
    <w:p w:rsidR="00886307" w:rsidRDefault="00886307"/>
    <w:p w:rsidR="00886307" w:rsidRDefault="00886307">
      <w:pPr>
        <w:rPr>
          <w:rFonts w:hint="eastAsia"/>
        </w:rPr>
      </w:pPr>
    </w:p>
    <w:p w:rsidR="00F20F3C" w:rsidRDefault="00F20F3C">
      <w:bookmarkStart w:id="26" w:name="_GoBack"/>
      <w:bookmarkEnd w:id="26"/>
    </w:p>
    <w:p w:rsidR="00886307" w:rsidRDefault="00886307"/>
    <w:p w:rsidR="00886307" w:rsidRDefault="00886307"/>
    <w:p w:rsidR="00886307" w:rsidRDefault="008519E5">
      <w:pPr>
        <w:rPr>
          <w:rFonts w:ascii="宋体" w:hAnsi="宋体"/>
          <w:b/>
          <w:kern w:val="0"/>
          <w:sz w:val="24"/>
          <w:szCs w:val="24"/>
        </w:rPr>
      </w:pPr>
      <w:r>
        <w:rPr>
          <w:rFonts w:ascii="宋体" w:hAnsi="宋体" w:hint="eastAsia"/>
          <w:b/>
          <w:kern w:val="0"/>
          <w:sz w:val="24"/>
          <w:szCs w:val="24"/>
        </w:rPr>
        <w:lastRenderedPageBreak/>
        <w:t>附件2</w:t>
      </w:r>
      <w:r>
        <w:rPr>
          <w:rFonts w:ascii="宋体" w:hAnsi="宋体"/>
          <w:b/>
          <w:kern w:val="0"/>
          <w:sz w:val="24"/>
          <w:szCs w:val="24"/>
        </w:rPr>
        <w:t xml:space="preserve"> </w:t>
      </w:r>
      <w:r>
        <w:rPr>
          <w:rFonts w:ascii="宋体" w:hAnsi="宋体" w:hint="eastAsia"/>
          <w:b/>
          <w:kern w:val="0"/>
          <w:sz w:val="24"/>
          <w:szCs w:val="24"/>
        </w:rPr>
        <w:t>技术因素评分表</w:t>
      </w:r>
    </w:p>
    <w:tbl>
      <w:tblPr>
        <w:tblW w:w="92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8"/>
        <w:gridCol w:w="1260"/>
        <w:gridCol w:w="6106"/>
        <w:gridCol w:w="1139"/>
      </w:tblGrid>
      <w:tr w:rsidR="00F20F3C" w:rsidRPr="00F20F3C" w:rsidTr="00F20F3C">
        <w:trPr>
          <w:trHeight w:val="287"/>
        </w:trPr>
        <w:tc>
          <w:tcPr>
            <w:tcW w:w="788" w:type="dxa"/>
            <w:shd w:val="clear" w:color="auto" w:fill="auto"/>
            <w:vAlign w:val="center"/>
          </w:tcPr>
          <w:p w:rsidR="00F20F3C" w:rsidRPr="00F20F3C" w:rsidRDefault="00F20F3C" w:rsidP="00F20F3C">
            <w:pPr>
              <w:widowControl/>
              <w:jc w:val="left"/>
              <w:rPr>
                <w:rFonts w:ascii="宋体" w:hAnsi="宋体" w:cs="宋体"/>
                <w:b/>
                <w:color w:val="000000"/>
                <w:kern w:val="0"/>
                <w:szCs w:val="21"/>
              </w:rPr>
            </w:pPr>
            <w:r w:rsidRPr="00F20F3C">
              <w:rPr>
                <w:rFonts w:ascii="宋体" w:hAnsi="宋体" w:cs="宋体" w:hint="eastAsia"/>
                <w:b/>
                <w:color w:val="000000"/>
                <w:kern w:val="0"/>
                <w:szCs w:val="21"/>
              </w:rPr>
              <w:t>序号</w:t>
            </w:r>
          </w:p>
        </w:tc>
        <w:tc>
          <w:tcPr>
            <w:tcW w:w="1260" w:type="dxa"/>
            <w:shd w:val="clear" w:color="auto" w:fill="auto"/>
            <w:vAlign w:val="center"/>
          </w:tcPr>
          <w:p w:rsidR="00F20F3C" w:rsidRPr="00F20F3C" w:rsidRDefault="00F20F3C" w:rsidP="00F20F3C">
            <w:pPr>
              <w:widowControl/>
              <w:jc w:val="left"/>
              <w:rPr>
                <w:rFonts w:ascii="宋体" w:hAnsi="宋体" w:cs="宋体"/>
                <w:b/>
                <w:color w:val="000000"/>
                <w:kern w:val="0"/>
                <w:szCs w:val="21"/>
              </w:rPr>
            </w:pPr>
            <w:r w:rsidRPr="00F20F3C">
              <w:rPr>
                <w:rFonts w:ascii="宋体" w:hAnsi="宋体" w:cs="宋体" w:hint="eastAsia"/>
                <w:b/>
                <w:color w:val="000000"/>
                <w:kern w:val="0"/>
                <w:szCs w:val="21"/>
              </w:rPr>
              <w:t>评审因素</w:t>
            </w:r>
          </w:p>
        </w:tc>
        <w:tc>
          <w:tcPr>
            <w:tcW w:w="6106" w:type="dxa"/>
            <w:shd w:val="clear" w:color="auto" w:fill="auto"/>
            <w:vAlign w:val="center"/>
          </w:tcPr>
          <w:p w:rsidR="00F20F3C" w:rsidRPr="00F20F3C" w:rsidRDefault="00F20F3C" w:rsidP="00F20F3C">
            <w:pPr>
              <w:widowControl/>
              <w:jc w:val="center"/>
              <w:rPr>
                <w:rFonts w:ascii="宋体" w:hAnsi="宋体" w:cs="宋体"/>
                <w:b/>
                <w:color w:val="000000"/>
                <w:kern w:val="0"/>
                <w:szCs w:val="21"/>
              </w:rPr>
            </w:pPr>
            <w:r w:rsidRPr="00F20F3C">
              <w:rPr>
                <w:rFonts w:ascii="宋体" w:hAnsi="宋体" w:cs="宋体" w:hint="eastAsia"/>
                <w:b/>
                <w:color w:val="000000"/>
                <w:kern w:val="0"/>
                <w:szCs w:val="21"/>
              </w:rPr>
              <w:t>评分标准</w:t>
            </w:r>
          </w:p>
        </w:tc>
        <w:tc>
          <w:tcPr>
            <w:tcW w:w="1139" w:type="dxa"/>
            <w:vAlign w:val="center"/>
          </w:tcPr>
          <w:p w:rsidR="00F20F3C" w:rsidRPr="00F20F3C" w:rsidRDefault="00F20F3C" w:rsidP="00F20F3C">
            <w:pPr>
              <w:widowControl/>
              <w:jc w:val="center"/>
              <w:rPr>
                <w:rFonts w:ascii="宋体" w:hAnsi="宋体" w:cs="宋体"/>
                <w:b/>
                <w:color w:val="000000"/>
                <w:kern w:val="0"/>
                <w:szCs w:val="21"/>
              </w:rPr>
            </w:pPr>
            <w:r w:rsidRPr="00F20F3C">
              <w:rPr>
                <w:rFonts w:ascii="宋体" w:hAnsi="宋体" w:cs="宋体" w:hint="eastAsia"/>
                <w:b/>
                <w:color w:val="000000"/>
                <w:kern w:val="0"/>
                <w:szCs w:val="21"/>
              </w:rPr>
              <w:t>分值</w:t>
            </w:r>
          </w:p>
        </w:tc>
      </w:tr>
      <w:tr w:rsidR="00F20F3C" w:rsidRPr="00F20F3C" w:rsidTr="00F20F3C">
        <w:trPr>
          <w:trHeight w:val="574"/>
        </w:trPr>
        <w:tc>
          <w:tcPr>
            <w:tcW w:w="788" w:type="dxa"/>
            <w:shd w:val="clear" w:color="auto" w:fill="auto"/>
            <w:vAlign w:val="center"/>
          </w:tcPr>
          <w:p w:rsidR="00F20F3C" w:rsidRPr="00F20F3C" w:rsidRDefault="00F20F3C" w:rsidP="00F20F3C">
            <w:pPr>
              <w:widowControl/>
              <w:jc w:val="center"/>
              <w:rPr>
                <w:rFonts w:ascii="宋体" w:hAnsi="宋体" w:cs="宋体"/>
                <w:color w:val="000000"/>
                <w:kern w:val="0"/>
                <w:sz w:val="24"/>
                <w:szCs w:val="24"/>
              </w:rPr>
            </w:pPr>
            <w:r w:rsidRPr="00F20F3C">
              <w:rPr>
                <w:rFonts w:ascii="宋体" w:hAnsi="宋体" w:cs="宋体" w:hint="eastAsia"/>
                <w:color w:val="000000"/>
                <w:kern w:val="0"/>
                <w:sz w:val="24"/>
                <w:szCs w:val="24"/>
              </w:rPr>
              <w:t>1</w:t>
            </w:r>
          </w:p>
        </w:tc>
        <w:tc>
          <w:tcPr>
            <w:tcW w:w="1260" w:type="dxa"/>
            <w:shd w:val="clear" w:color="auto" w:fill="auto"/>
            <w:vAlign w:val="center"/>
          </w:tcPr>
          <w:p w:rsidR="00F20F3C" w:rsidRPr="00F20F3C" w:rsidRDefault="00F20F3C" w:rsidP="00F20F3C">
            <w:pPr>
              <w:widowControl/>
              <w:jc w:val="center"/>
              <w:rPr>
                <w:rFonts w:ascii="宋体" w:hAnsi="宋体" w:cs="宋体"/>
                <w:kern w:val="0"/>
                <w:sz w:val="24"/>
                <w:szCs w:val="24"/>
              </w:rPr>
            </w:pPr>
            <w:r w:rsidRPr="00F20F3C">
              <w:rPr>
                <w:rFonts w:ascii="宋体" w:hAnsi="宋体" w:cs="宋体" w:hint="eastAsia"/>
                <w:kern w:val="0"/>
                <w:sz w:val="24"/>
                <w:szCs w:val="24"/>
              </w:rPr>
              <w:t>技术差异及标书整体评价</w:t>
            </w:r>
          </w:p>
        </w:tc>
        <w:tc>
          <w:tcPr>
            <w:tcW w:w="6106" w:type="dxa"/>
            <w:shd w:val="clear" w:color="auto" w:fill="auto"/>
            <w:vAlign w:val="center"/>
          </w:tcPr>
          <w:p w:rsidR="00F20F3C" w:rsidRPr="00F20F3C" w:rsidRDefault="00F20F3C" w:rsidP="00F20F3C">
            <w:pPr>
              <w:widowControl/>
              <w:jc w:val="left"/>
              <w:rPr>
                <w:rFonts w:ascii="宋体" w:hAnsi="宋体" w:cs="宋体"/>
                <w:kern w:val="0"/>
                <w:sz w:val="24"/>
                <w:szCs w:val="24"/>
              </w:rPr>
            </w:pPr>
            <w:r w:rsidRPr="00F20F3C">
              <w:rPr>
                <w:rFonts w:ascii="宋体" w:hAnsi="宋体" w:cs="宋体" w:hint="eastAsia"/>
                <w:kern w:val="0"/>
                <w:sz w:val="24"/>
                <w:szCs w:val="24"/>
              </w:rPr>
              <w:t>1、投标</w:t>
            </w:r>
            <w:proofErr w:type="gramStart"/>
            <w:r w:rsidRPr="00F20F3C">
              <w:rPr>
                <w:rFonts w:ascii="宋体" w:hAnsi="宋体" w:cs="宋体" w:hint="eastAsia"/>
                <w:kern w:val="0"/>
                <w:sz w:val="24"/>
                <w:szCs w:val="24"/>
              </w:rPr>
              <w:t>完全响应</w:t>
            </w:r>
            <w:proofErr w:type="gramEnd"/>
            <w:r w:rsidRPr="00F20F3C">
              <w:rPr>
                <w:rFonts w:ascii="宋体" w:hAnsi="宋体" w:cs="宋体" w:hint="eastAsia"/>
                <w:kern w:val="0"/>
                <w:sz w:val="24"/>
                <w:szCs w:val="24"/>
              </w:rPr>
              <w:t>招标要求、无差异。得10分；</w:t>
            </w:r>
            <w:r w:rsidRPr="00F20F3C">
              <w:rPr>
                <w:rFonts w:ascii="宋体" w:hAnsi="宋体" w:cs="宋体" w:hint="eastAsia"/>
                <w:kern w:val="0"/>
                <w:sz w:val="24"/>
                <w:szCs w:val="24"/>
              </w:rPr>
              <w:br/>
              <w:t>2、一般差异或不响应每项扣1至2分，重大差异或不响应每项扣3-6分。</w:t>
            </w:r>
          </w:p>
        </w:tc>
        <w:tc>
          <w:tcPr>
            <w:tcW w:w="1139" w:type="dxa"/>
            <w:vAlign w:val="center"/>
          </w:tcPr>
          <w:p w:rsidR="00F20F3C" w:rsidRPr="00F20F3C" w:rsidRDefault="00F20F3C" w:rsidP="00F20F3C">
            <w:pPr>
              <w:widowControl/>
              <w:jc w:val="center"/>
              <w:rPr>
                <w:rFonts w:ascii="宋体" w:hAnsi="宋体" w:cs="宋体"/>
                <w:kern w:val="0"/>
                <w:sz w:val="24"/>
                <w:szCs w:val="24"/>
              </w:rPr>
            </w:pPr>
            <w:r w:rsidRPr="00F20F3C">
              <w:rPr>
                <w:rFonts w:ascii="宋体" w:hAnsi="宋体" w:cs="宋体" w:hint="eastAsia"/>
                <w:kern w:val="0"/>
                <w:sz w:val="24"/>
                <w:szCs w:val="24"/>
              </w:rPr>
              <w:t>10</w:t>
            </w:r>
          </w:p>
        </w:tc>
      </w:tr>
      <w:tr w:rsidR="00F20F3C" w:rsidRPr="00F20F3C" w:rsidTr="00F20F3C">
        <w:trPr>
          <w:trHeight w:val="1241"/>
        </w:trPr>
        <w:tc>
          <w:tcPr>
            <w:tcW w:w="788" w:type="dxa"/>
            <w:shd w:val="clear" w:color="auto" w:fill="auto"/>
            <w:vAlign w:val="center"/>
          </w:tcPr>
          <w:p w:rsidR="00F20F3C" w:rsidRPr="00F20F3C" w:rsidRDefault="00F20F3C" w:rsidP="00F20F3C">
            <w:pPr>
              <w:widowControl/>
              <w:jc w:val="center"/>
              <w:rPr>
                <w:rFonts w:ascii="宋体" w:hAnsi="宋体" w:cs="宋体"/>
                <w:color w:val="000000"/>
                <w:kern w:val="0"/>
                <w:sz w:val="24"/>
                <w:szCs w:val="24"/>
              </w:rPr>
            </w:pPr>
            <w:r w:rsidRPr="00F20F3C">
              <w:rPr>
                <w:rFonts w:ascii="宋体" w:hAnsi="宋体" w:cs="宋体" w:hint="eastAsia"/>
                <w:color w:val="000000"/>
                <w:kern w:val="0"/>
                <w:sz w:val="24"/>
                <w:szCs w:val="24"/>
              </w:rPr>
              <w:t>2</w:t>
            </w:r>
          </w:p>
        </w:tc>
        <w:tc>
          <w:tcPr>
            <w:tcW w:w="1260" w:type="dxa"/>
            <w:shd w:val="clear" w:color="auto" w:fill="auto"/>
            <w:vAlign w:val="center"/>
          </w:tcPr>
          <w:p w:rsidR="00F20F3C" w:rsidRPr="00F20F3C" w:rsidRDefault="00F20F3C" w:rsidP="00F20F3C">
            <w:pPr>
              <w:widowControl/>
              <w:jc w:val="center"/>
              <w:rPr>
                <w:rFonts w:ascii="宋体" w:hAnsi="宋体" w:cs="宋体"/>
                <w:kern w:val="0"/>
                <w:sz w:val="24"/>
                <w:szCs w:val="24"/>
              </w:rPr>
            </w:pPr>
            <w:r w:rsidRPr="00F20F3C">
              <w:rPr>
                <w:rFonts w:ascii="宋体" w:hAnsi="宋体" w:cs="宋体" w:hint="eastAsia"/>
                <w:kern w:val="0"/>
                <w:sz w:val="24"/>
                <w:szCs w:val="24"/>
              </w:rPr>
              <w:t>风险防控能力</w:t>
            </w:r>
          </w:p>
        </w:tc>
        <w:tc>
          <w:tcPr>
            <w:tcW w:w="6106" w:type="dxa"/>
            <w:shd w:val="clear" w:color="auto" w:fill="auto"/>
            <w:vAlign w:val="center"/>
          </w:tcPr>
          <w:p w:rsidR="00F20F3C" w:rsidRPr="00F20F3C" w:rsidRDefault="00F20F3C" w:rsidP="00F20F3C">
            <w:pPr>
              <w:widowControl/>
              <w:jc w:val="left"/>
              <w:rPr>
                <w:rFonts w:ascii="宋体" w:hAnsi="宋体" w:cs="宋体"/>
                <w:kern w:val="0"/>
                <w:sz w:val="24"/>
                <w:szCs w:val="24"/>
              </w:rPr>
            </w:pPr>
            <w:r w:rsidRPr="00F20F3C">
              <w:rPr>
                <w:rFonts w:ascii="宋体" w:hAnsi="宋体" w:cs="宋体" w:hint="eastAsia"/>
                <w:kern w:val="0"/>
                <w:sz w:val="24"/>
                <w:szCs w:val="24"/>
              </w:rPr>
              <w:t xml:space="preserve">1、有详细风险防控能力及措施，得分区间8-15分；   </w:t>
            </w:r>
            <w:r w:rsidRPr="00F20F3C">
              <w:rPr>
                <w:rFonts w:ascii="宋体" w:hAnsi="宋体" w:cs="宋体" w:hint="eastAsia"/>
                <w:kern w:val="0"/>
                <w:sz w:val="24"/>
                <w:szCs w:val="24"/>
              </w:rPr>
              <w:br/>
              <w:t>2、有风险防控能力但措施不全面，得分区间1-7分。</w:t>
            </w:r>
          </w:p>
        </w:tc>
        <w:tc>
          <w:tcPr>
            <w:tcW w:w="1139" w:type="dxa"/>
            <w:vAlign w:val="center"/>
          </w:tcPr>
          <w:p w:rsidR="00F20F3C" w:rsidRPr="00F20F3C" w:rsidRDefault="00F20F3C" w:rsidP="00F20F3C">
            <w:pPr>
              <w:widowControl/>
              <w:jc w:val="center"/>
              <w:rPr>
                <w:rFonts w:ascii="宋体" w:hAnsi="宋体" w:cs="宋体"/>
                <w:kern w:val="0"/>
                <w:sz w:val="24"/>
                <w:szCs w:val="24"/>
              </w:rPr>
            </w:pPr>
            <w:r w:rsidRPr="00F20F3C">
              <w:rPr>
                <w:rFonts w:ascii="宋体" w:hAnsi="宋体" w:cs="宋体" w:hint="eastAsia"/>
                <w:kern w:val="0"/>
                <w:sz w:val="24"/>
                <w:szCs w:val="24"/>
              </w:rPr>
              <w:t>15</w:t>
            </w:r>
          </w:p>
        </w:tc>
      </w:tr>
      <w:tr w:rsidR="00F20F3C" w:rsidRPr="00F20F3C" w:rsidTr="00F20F3C">
        <w:trPr>
          <w:trHeight w:val="697"/>
        </w:trPr>
        <w:tc>
          <w:tcPr>
            <w:tcW w:w="788" w:type="dxa"/>
            <w:shd w:val="clear" w:color="auto" w:fill="auto"/>
            <w:vAlign w:val="center"/>
          </w:tcPr>
          <w:p w:rsidR="00F20F3C" w:rsidRPr="00F20F3C" w:rsidRDefault="00F20F3C" w:rsidP="00F20F3C">
            <w:pPr>
              <w:widowControl/>
              <w:jc w:val="center"/>
              <w:rPr>
                <w:rFonts w:ascii="宋体" w:hAnsi="宋体" w:cs="宋体"/>
                <w:color w:val="000000"/>
                <w:kern w:val="0"/>
                <w:sz w:val="24"/>
                <w:szCs w:val="24"/>
              </w:rPr>
            </w:pPr>
            <w:r w:rsidRPr="00F20F3C">
              <w:rPr>
                <w:rFonts w:ascii="宋体" w:hAnsi="宋体" w:cs="宋体" w:hint="eastAsia"/>
                <w:color w:val="000000"/>
                <w:kern w:val="0"/>
                <w:sz w:val="24"/>
                <w:szCs w:val="24"/>
              </w:rPr>
              <w:t>3</w:t>
            </w:r>
          </w:p>
        </w:tc>
        <w:tc>
          <w:tcPr>
            <w:tcW w:w="1260" w:type="dxa"/>
            <w:shd w:val="clear" w:color="auto" w:fill="auto"/>
            <w:vAlign w:val="center"/>
          </w:tcPr>
          <w:p w:rsidR="00F20F3C" w:rsidRPr="00F20F3C" w:rsidRDefault="00F20F3C" w:rsidP="00F20F3C">
            <w:pPr>
              <w:widowControl/>
              <w:jc w:val="center"/>
              <w:rPr>
                <w:rFonts w:ascii="宋体" w:hAnsi="宋体" w:cs="宋体"/>
                <w:kern w:val="0"/>
                <w:sz w:val="24"/>
                <w:szCs w:val="24"/>
              </w:rPr>
            </w:pPr>
            <w:r w:rsidRPr="00F20F3C">
              <w:rPr>
                <w:rFonts w:ascii="宋体" w:hAnsi="宋体" w:cs="宋体" w:hint="eastAsia"/>
                <w:kern w:val="0"/>
                <w:sz w:val="24"/>
                <w:szCs w:val="24"/>
              </w:rPr>
              <w:t>应急处置能力</w:t>
            </w:r>
          </w:p>
        </w:tc>
        <w:tc>
          <w:tcPr>
            <w:tcW w:w="6106" w:type="dxa"/>
            <w:shd w:val="clear" w:color="auto" w:fill="auto"/>
            <w:vAlign w:val="center"/>
          </w:tcPr>
          <w:p w:rsidR="00F20F3C" w:rsidRPr="00F20F3C" w:rsidRDefault="00F20F3C" w:rsidP="00F20F3C">
            <w:pPr>
              <w:widowControl/>
              <w:jc w:val="left"/>
              <w:rPr>
                <w:rFonts w:ascii="宋体" w:hAnsi="宋体" w:cs="宋体"/>
                <w:kern w:val="0"/>
                <w:sz w:val="24"/>
                <w:szCs w:val="24"/>
              </w:rPr>
            </w:pPr>
            <w:r w:rsidRPr="00F20F3C">
              <w:rPr>
                <w:rFonts w:ascii="宋体" w:hAnsi="宋体" w:cs="宋体" w:hint="eastAsia"/>
                <w:kern w:val="0"/>
                <w:sz w:val="24"/>
                <w:szCs w:val="24"/>
              </w:rPr>
              <w:t xml:space="preserve">1、应急处置能力能满足我厂所处码头口岸特点。能根据我厂码头现场情况制定应急响应方案，且应急响应方案可行性有保证。 得分区间:21-30分； </w:t>
            </w:r>
            <w:r w:rsidRPr="00F20F3C">
              <w:rPr>
                <w:rFonts w:ascii="宋体" w:hAnsi="宋体" w:cs="宋体" w:hint="eastAsia"/>
                <w:kern w:val="0"/>
                <w:sz w:val="24"/>
                <w:szCs w:val="24"/>
              </w:rPr>
              <w:br/>
              <w:t>2、有应急组织、预案及响应，内容基本完整、可操作性不强且没有实施经验。得分区间(11-20)分；</w:t>
            </w:r>
            <w:r w:rsidRPr="00F20F3C">
              <w:rPr>
                <w:rFonts w:ascii="宋体" w:hAnsi="宋体" w:cs="宋体" w:hint="eastAsia"/>
                <w:kern w:val="0"/>
                <w:sz w:val="24"/>
                <w:szCs w:val="24"/>
              </w:rPr>
              <w:br/>
              <w:t>3、无详细且有针对我厂码头的应急组织、预案及响应，得分区间0-10分。</w:t>
            </w:r>
          </w:p>
        </w:tc>
        <w:tc>
          <w:tcPr>
            <w:tcW w:w="1139" w:type="dxa"/>
            <w:vAlign w:val="center"/>
          </w:tcPr>
          <w:p w:rsidR="00F20F3C" w:rsidRPr="00F20F3C" w:rsidRDefault="00F20F3C" w:rsidP="00F20F3C">
            <w:pPr>
              <w:widowControl/>
              <w:jc w:val="center"/>
              <w:rPr>
                <w:rFonts w:ascii="宋体" w:hAnsi="宋体" w:cs="宋体"/>
                <w:kern w:val="0"/>
                <w:sz w:val="24"/>
                <w:szCs w:val="24"/>
              </w:rPr>
            </w:pPr>
            <w:r w:rsidRPr="00F20F3C">
              <w:rPr>
                <w:rFonts w:ascii="宋体" w:hAnsi="宋体" w:cs="宋体" w:hint="eastAsia"/>
                <w:kern w:val="0"/>
                <w:sz w:val="24"/>
                <w:szCs w:val="24"/>
              </w:rPr>
              <w:t>30</w:t>
            </w:r>
          </w:p>
        </w:tc>
      </w:tr>
      <w:tr w:rsidR="00F20F3C" w:rsidRPr="00F20F3C" w:rsidTr="00F20F3C">
        <w:trPr>
          <w:trHeight w:val="1148"/>
        </w:trPr>
        <w:tc>
          <w:tcPr>
            <w:tcW w:w="788" w:type="dxa"/>
            <w:shd w:val="clear" w:color="auto" w:fill="auto"/>
            <w:vAlign w:val="center"/>
          </w:tcPr>
          <w:p w:rsidR="00F20F3C" w:rsidRPr="00F20F3C" w:rsidRDefault="00F20F3C" w:rsidP="00F20F3C">
            <w:pPr>
              <w:widowControl/>
              <w:jc w:val="center"/>
              <w:rPr>
                <w:rFonts w:ascii="宋体" w:hAnsi="宋体" w:cs="宋体"/>
                <w:color w:val="000000"/>
                <w:kern w:val="0"/>
                <w:sz w:val="24"/>
                <w:szCs w:val="24"/>
              </w:rPr>
            </w:pPr>
            <w:r w:rsidRPr="00F20F3C">
              <w:rPr>
                <w:rFonts w:ascii="宋体" w:hAnsi="宋体" w:cs="宋体" w:hint="eastAsia"/>
                <w:color w:val="000000"/>
                <w:kern w:val="0"/>
                <w:sz w:val="24"/>
                <w:szCs w:val="24"/>
              </w:rPr>
              <w:t>4</w:t>
            </w:r>
          </w:p>
        </w:tc>
        <w:tc>
          <w:tcPr>
            <w:tcW w:w="1260" w:type="dxa"/>
            <w:shd w:val="clear" w:color="auto" w:fill="auto"/>
            <w:vAlign w:val="center"/>
          </w:tcPr>
          <w:p w:rsidR="00F20F3C" w:rsidRPr="00F20F3C" w:rsidRDefault="00F20F3C" w:rsidP="00F20F3C">
            <w:pPr>
              <w:widowControl/>
              <w:jc w:val="center"/>
              <w:rPr>
                <w:rFonts w:ascii="宋体" w:hAnsi="宋体" w:cs="宋体"/>
                <w:kern w:val="0"/>
                <w:sz w:val="24"/>
                <w:szCs w:val="24"/>
              </w:rPr>
            </w:pPr>
            <w:r w:rsidRPr="00F20F3C">
              <w:rPr>
                <w:rFonts w:ascii="宋体" w:hAnsi="宋体" w:cs="宋体" w:hint="eastAsia"/>
                <w:kern w:val="0"/>
                <w:sz w:val="24"/>
                <w:szCs w:val="24"/>
              </w:rPr>
              <w:t>技术支撑能力</w:t>
            </w:r>
          </w:p>
        </w:tc>
        <w:tc>
          <w:tcPr>
            <w:tcW w:w="6106" w:type="dxa"/>
            <w:shd w:val="clear" w:color="auto" w:fill="auto"/>
            <w:vAlign w:val="center"/>
          </w:tcPr>
          <w:p w:rsidR="00F20F3C" w:rsidRPr="00F20F3C" w:rsidRDefault="00F20F3C" w:rsidP="00F20F3C">
            <w:pPr>
              <w:widowControl/>
              <w:jc w:val="left"/>
              <w:rPr>
                <w:rFonts w:ascii="宋体" w:hAnsi="宋体" w:cs="宋体"/>
                <w:kern w:val="0"/>
                <w:sz w:val="24"/>
                <w:szCs w:val="24"/>
              </w:rPr>
            </w:pPr>
            <w:r w:rsidRPr="00F20F3C">
              <w:rPr>
                <w:rFonts w:ascii="宋体" w:hAnsi="宋体" w:cs="宋体" w:hint="eastAsia"/>
                <w:kern w:val="0"/>
                <w:sz w:val="24"/>
                <w:szCs w:val="24"/>
              </w:rPr>
              <w:t xml:space="preserve">1、技术配套设施设备充足，且适应我厂所处码头口岸特点。得分区间11-15分； </w:t>
            </w:r>
            <w:r w:rsidRPr="00F20F3C">
              <w:rPr>
                <w:rFonts w:ascii="宋体" w:hAnsi="宋体" w:cs="宋体" w:hint="eastAsia"/>
                <w:kern w:val="0"/>
                <w:sz w:val="24"/>
                <w:szCs w:val="24"/>
              </w:rPr>
              <w:br/>
              <w:t>2、有技术配套设施设备条件但实用性不是很强。得分区间6-10分；</w:t>
            </w:r>
            <w:r w:rsidRPr="00F20F3C">
              <w:rPr>
                <w:rFonts w:ascii="宋体" w:hAnsi="宋体" w:cs="宋体" w:hint="eastAsia"/>
                <w:kern w:val="0"/>
                <w:sz w:val="24"/>
                <w:szCs w:val="24"/>
              </w:rPr>
              <w:br/>
              <w:t>3、无具体技术配套设施设备条件。得分区间1-5分。</w:t>
            </w:r>
          </w:p>
        </w:tc>
        <w:tc>
          <w:tcPr>
            <w:tcW w:w="1139" w:type="dxa"/>
            <w:vAlign w:val="center"/>
          </w:tcPr>
          <w:p w:rsidR="00F20F3C" w:rsidRPr="00F20F3C" w:rsidRDefault="00F20F3C" w:rsidP="00F20F3C">
            <w:pPr>
              <w:widowControl/>
              <w:jc w:val="center"/>
              <w:rPr>
                <w:rFonts w:ascii="宋体" w:hAnsi="宋体" w:cs="宋体"/>
                <w:kern w:val="0"/>
                <w:sz w:val="24"/>
                <w:szCs w:val="24"/>
              </w:rPr>
            </w:pPr>
            <w:r w:rsidRPr="00F20F3C">
              <w:rPr>
                <w:rFonts w:ascii="宋体" w:hAnsi="宋体" w:cs="宋体" w:hint="eastAsia"/>
                <w:kern w:val="0"/>
                <w:sz w:val="24"/>
                <w:szCs w:val="24"/>
              </w:rPr>
              <w:t>15</w:t>
            </w:r>
          </w:p>
        </w:tc>
      </w:tr>
      <w:tr w:rsidR="00F20F3C" w:rsidRPr="00F20F3C" w:rsidTr="00F20F3C">
        <w:trPr>
          <w:trHeight w:val="2204"/>
        </w:trPr>
        <w:tc>
          <w:tcPr>
            <w:tcW w:w="788" w:type="dxa"/>
            <w:shd w:val="clear" w:color="auto" w:fill="auto"/>
            <w:vAlign w:val="center"/>
          </w:tcPr>
          <w:p w:rsidR="00F20F3C" w:rsidRPr="00F20F3C" w:rsidRDefault="00F20F3C" w:rsidP="00F20F3C">
            <w:pPr>
              <w:widowControl/>
              <w:jc w:val="center"/>
              <w:rPr>
                <w:rFonts w:ascii="宋体" w:hAnsi="宋体" w:cs="宋体"/>
                <w:color w:val="000000"/>
                <w:kern w:val="0"/>
                <w:sz w:val="24"/>
                <w:szCs w:val="24"/>
              </w:rPr>
            </w:pPr>
            <w:r w:rsidRPr="00F20F3C">
              <w:rPr>
                <w:rFonts w:ascii="宋体" w:hAnsi="宋体" w:cs="宋体" w:hint="eastAsia"/>
                <w:color w:val="000000"/>
                <w:kern w:val="0"/>
                <w:sz w:val="24"/>
                <w:szCs w:val="24"/>
              </w:rPr>
              <w:t>5</w:t>
            </w:r>
          </w:p>
        </w:tc>
        <w:tc>
          <w:tcPr>
            <w:tcW w:w="1260" w:type="dxa"/>
            <w:shd w:val="clear" w:color="auto" w:fill="auto"/>
            <w:vAlign w:val="center"/>
          </w:tcPr>
          <w:p w:rsidR="00F20F3C" w:rsidRPr="00F20F3C" w:rsidRDefault="00F20F3C" w:rsidP="00F20F3C">
            <w:pPr>
              <w:widowControl/>
              <w:jc w:val="center"/>
              <w:rPr>
                <w:rFonts w:ascii="宋体" w:hAnsi="宋体" w:cs="宋体"/>
                <w:kern w:val="0"/>
                <w:sz w:val="24"/>
                <w:szCs w:val="24"/>
              </w:rPr>
            </w:pPr>
            <w:r w:rsidRPr="00F20F3C">
              <w:rPr>
                <w:rFonts w:ascii="宋体" w:hAnsi="宋体" w:cs="宋体" w:hint="eastAsia"/>
                <w:kern w:val="0"/>
                <w:sz w:val="24"/>
                <w:szCs w:val="24"/>
              </w:rPr>
              <w:t>安健环管理</w:t>
            </w:r>
          </w:p>
        </w:tc>
        <w:tc>
          <w:tcPr>
            <w:tcW w:w="6106" w:type="dxa"/>
            <w:shd w:val="clear" w:color="auto" w:fill="auto"/>
            <w:vAlign w:val="center"/>
          </w:tcPr>
          <w:p w:rsidR="00F20F3C" w:rsidRPr="00F20F3C" w:rsidRDefault="00F20F3C" w:rsidP="00F20F3C">
            <w:pPr>
              <w:widowControl/>
              <w:jc w:val="left"/>
              <w:rPr>
                <w:rFonts w:ascii="宋体" w:hAnsi="宋体" w:cs="宋体"/>
                <w:kern w:val="0"/>
                <w:sz w:val="24"/>
                <w:szCs w:val="24"/>
              </w:rPr>
            </w:pPr>
            <w:r w:rsidRPr="00F20F3C">
              <w:rPr>
                <w:rFonts w:ascii="宋体" w:hAnsi="宋体" w:cs="宋体" w:hint="eastAsia"/>
                <w:kern w:val="0"/>
                <w:sz w:val="24"/>
                <w:szCs w:val="24"/>
              </w:rPr>
              <w:t>1、具有明确的安健环目标，有环境保障措施、有风险评估分析、有风险控制措施，能根据项目实际情况，提出切实可行的保证安健环目标实现的措施等。得分区间11-15分；</w:t>
            </w:r>
            <w:r w:rsidRPr="00F20F3C">
              <w:rPr>
                <w:rFonts w:ascii="宋体" w:hAnsi="宋体" w:cs="宋体" w:hint="eastAsia"/>
                <w:kern w:val="0"/>
                <w:sz w:val="24"/>
                <w:szCs w:val="24"/>
              </w:rPr>
              <w:br/>
              <w:t>2、安健环目标清楚，有一定环境保障措施，保证安健环目标的措施一般。得分区间6-10分；</w:t>
            </w:r>
            <w:r w:rsidRPr="00F20F3C">
              <w:rPr>
                <w:rFonts w:ascii="宋体" w:hAnsi="宋体" w:cs="宋体" w:hint="eastAsia"/>
                <w:kern w:val="0"/>
                <w:sz w:val="24"/>
                <w:szCs w:val="24"/>
              </w:rPr>
              <w:br/>
              <w:t>3、安健环目标不清楚，或环境保障措施不足，无切实可行的措施。得分区间1-5分。</w:t>
            </w:r>
          </w:p>
        </w:tc>
        <w:tc>
          <w:tcPr>
            <w:tcW w:w="1139" w:type="dxa"/>
            <w:vAlign w:val="center"/>
          </w:tcPr>
          <w:p w:rsidR="00F20F3C" w:rsidRPr="00F20F3C" w:rsidRDefault="00F20F3C" w:rsidP="00F20F3C">
            <w:pPr>
              <w:widowControl/>
              <w:jc w:val="center"/>
              <w:rPr>
                <w:rFonts w:ascii="宋体" w:hAnsi="宋体" w:cs="宋体"/>
                <w:kern w:val="0"/>
                <w:sz w:val="24"/>
                <w:szCs w:val="24"/>
              </w:rPr>
            </w:pPr>
            <w:r w:rsidRPr="00F20F3C">
              <w:rPr>
                <w:rFonts w:ascii="宋体" w:hAnsi="宋体" w:cs="宋体" w:hint="eastAsia"/>
                <w:kern w:val="0"/>
                <w:sz w:val="24"/>
                <w:szCs w:val="24"/>
              </w:rPr>
              <w:t>15</w:t>
            </w:r>
          </w:p>
        </w:tc>
      </w:tr>
      <w:tr w:rsidR="00F20F3C" w:rsidRPr="00F20F3C" w:rsidTr="00F20F3C">
        <w:trPr>
          <w:trHeight w:val="1585"/>
        </w:trPr>
        <w:tc>
          <w:tcPr>
            <w:tcW w:w="788" w:type="dxa"/>
            <w:shd w:val="clear" w:color="auto" w:fill="auto"/>
            <w:vAlign w:val="center"/>
          </w:tcPr>
          <w:p w:rsidR="00F20F3C" w:rsidRPr="00F20F3C" w:rsidRDefault="00F20F3C" w:rsidP="00F20F3C">
            <w:pPr>
              <w:widowControl/>
              <w:jc w:val="center"/>
              <w:rPr>
                <w:rFonts w:ascii="宋体" w:hAnsi="宋体" w:cs="宋体"/>
                <w:color w:val="000000"/>
                <w:kern w:val="0"/>
                <w:sz w:val="24"/>
                <w:szCs w:val="24"/>
              </w:rPr>
            </w:pPr>
            <w:r w:rsidRPr="00F20F3C">
              <w:rPr>
                <w:rFonts w:ascii="宋体" w:hAnsi="宋体" w:cs="宋体" w:hint="eastAsia"/>
                <w:color w:val="000000"/>
                <w:kern w:val="0"/>
                <w:sz w:val="24"/>
                <w:szCs w:val="24"/>
              </w:rPr>
              <w:t>6</w:t>
            </w:r>
          </w:p>
        </w:tc>
        <w:tc>
          <w:tcPr>
            <w:tcW w:w="1260" w:type="dxa"/>
            <w:shd w:val="clear" w:color="auto" w:fill="auto"/>
            <w:vAlign w:val="center"/>
          </w:tcPr>
          <w:p w:rsidR="00F20F3C" w:rsidRPr="00F20F3C" w:rsidRDefault="00F20F3C" w:rsidP="00F20F3C">
            <w:pPr>
              <w:widowControl/>
              <w:jc w:val="center"/>
              <w:rPr>
                <w:rFonts w:ascii="宋体" w:hAnsi="宋体" w:cs="宋体"/>
                <w:kern w:val="0"/>
                <w:sz w:val="24"/>
                <w:szCs w:val="24"/>
              </w:rPr>
            </w:pPr>
            <w:r w:rsidRPr="00F20F3C">
              <w:rPr>
                <w:rFonts w:ascii="宋体" w:hAnsi="宋体" w:cs="宋体" w:hint="eastAsia"/>
                <w:kern w:val="0"/>
                <w:sz w:val="24"/>
                <w:szCs w:val="24"/>
              </w:rPr>
              <w:t>资源配置情况</w:t>
            </w:r>
          </w:p>
        </w:tc>
        <w:tc>
          <w:tcPr>
            <w:tcW w:w="6106" w:type="dxa"/>
            <w:shd w:val="clear" w:color="auto" w:fill="auto"/>
            <w:vAlign w:val="center"/>
          </w:tcPr>
          <w:p w:rsidR="00F20F3C" w:rsidRPr="00F20F3C" w:rsidRDefault="00F20F3C" w:rsidP="00F20F3C">
            <w:pPr>
              <w:widowControl/>
              <w:jc w:val="left"/>
              <w:rPr>
                <w:rFonts w:ascii="宋体" w:hAnsi="宋体" w:cs="宋体"/>
                <w:kern w:val="0"/>
                <w:sz w:val="24"/>
                <w:szCs w:val="24"/>
              </w:rPr>
            </w:pPr>
            <w:r w:rsidRPr="00F20F3C">
              <w:rPr>
                <w:rFonts w:ascii="宋体" w:hAnsi="宋体" w:cs="宋体" w:hint="eastAsia"/>
                <w:kern w:val="0"/>
                <w:sz w:val="24"/>
                <w:szCs w:val="24"/>
              </w:rPr>
              <w:t>1、组织机构完善、合理、分工明确，职权清晰，人员素质高，人数满足施工需要，且有未经业主批准不更换现场主要管理人员的承诺。得分区间11-15分；</w:t>
            </w:r>
            <w:r w:rsidRPr="00F20F3C">
              <w:rPr>
                <w:rFonts w:ascii="宋体" w:hAnsi="宋体" w:cs="宋体" w:hint="eastAsia"/>
                <w:kern w:val="0"/>
                <w:sz w:val="24"/>
                <w:szCs w:val="24"/>
              </w:rPr>
              <w:br/>
              <w:t>2、组织机构一般，人员及办公配备满足施工要求。得分区间6-10分；</w:t>
            </w:r>
            <w:r w:rsidRPr="00F20F3C">
              <w:rPr>
                <w:rFonts w:ascii="宋体" w:hAnsi="宋体" w:cs="宋体" w:hint="eastAsia"/>
                <w:kern w:val="0"/>
                <w:sz w:val="24"/>
                <w:szCs w:val="24"/>
              </w:rPr>
              <w:br/>
              <w:t>3、组织机构及人员及设备配备较差。得分区间1-5分。</w:t>
            </w:r>
          </w:p>
        </w:tc>
        <w:tc>
          <w:tcPr>
            <w:tcW w:w="1139" w:type="dxa"/>
            <w:vAlign w:val="center"/>
          </w:tcPr>
          <w:p w:rsidR="00F20F3C" w:rsidRPr="00F20F3C" w:rsidRDefault="00F20F3C" w:rsidP="00F20F3C">
            <w:pPr>
              <w:widowControl/>
              <w:jc w:val="center"/>
              <w:rPr>
                <w:rFonts w:ascii="宋体" w:hAnsi="宋体" w:cs="宋体"/>
                <w:kern w:val="0"/>
                <w:sz w:val="24"/>
                <w:szCs w:val="24"/>
              </w:rPr>
            </w:pPr>
            <w:r w:rsidRPr="00F20F3C">
              <w:rPr>
                <w:rFonts w:ascii="宋体" w:hAnsi="宋体" w:cs="宋体" w:hint="eastAsia"/>
                <w:kern w:val="0"/>
                <w:sz w:val="24"/>
                <w:szCs w:val="24"/>
              </w:rPr>
              <w:t>15</w:t>
            </w:r>
          </w:p>
        </w:tc>
      </w:tr>
      <w:tr w:rsidR="00F20F3C" w:rsidRPr="00F20F3C" w:rsidTr="00F20F3C">
        <w:trPr>
          <w:trHeight w:val="1585"/>
        </w:trPr>
        <w:tc>
          <w:tcPr>
            <w:tcW w:w="788" w:type="dxa"/>
            <w:shd w:val="clear" w:color="auto" w:fill="auto"/>
            <w:vAlign w:val="center"/>
          </w:tcPr>
          <w:p w:rsidR="00F20F3C" w:rsidRPr="00F20F3C" w:rsidRDefault="00F20F3C" w:rsidP="00F20F3C">
            <w:pPr>
              <w:widowControl/>
              <w:jc w:val="center"/>
              <w:rPr>
                <w:rFonts w:ascii="宋体" w:hAnsi="宋体" w:cs="宋体"/>
                <w:kern w:val="0"/>
                <w:sz w:val="24"/>
                <w:szCs w:val="24"/>
              </w:rPr>
            </w:pPr>
            <w:r w:rsidRPr="00F20F3C">
              <w:rPr>
                <w:rFonts w:ascii="宋体" w:hAnsi="宋体" w:cs="宋体" w:hint="eastAsia"/>
                <w:kern w:val="0"/>
                <w:sz w:val="24"/>
                <w:szCs w:val="24"/>
              </w:rPr>
              <w:t>7</w:t>
            </w:r>
          </w:p>
        </w:tc>
        <w:tc>
          <w:tcPr>
            <w:tcW w:w="7365" w:type="dxa"/>
            <w:gridSpan w:val="2"/>
            <w:shd w:val="clear" w:color="auto" w:fill="auto"/>
            <w:vAlign w:val="center"/>
          </w:tcPr>
          <w:p w:rsidR="00F20F3C" w:rsidRPr="00F20F3C" w:rsidRDefault="00F20F3C" w:rsidP="00F20F3C">
            <w:pPr>
              <w:widowControl/>
              <w:jc w:val="center"/>
              <w:rPr>
                <w:rFonts w:ascii="宋体" w:hAnsi="宋体" w:cs="宋体"/>
                <w:kern w:val="0"/>
                <w:szCs w:val="21"/>
              </w:rPr>
            </w:pPr>
            <w:r w:rsidRPr="00F20F3C">
              <w:rPr>
                <w:rFonts w:ascii="宋体" w:hAnsi="宋体" w:cs="宋体" w:hint="eastAsia"/>
                <w:b/>
                <w:kern w:val="0"/>
                <w:szCs w:val="21"/>
              </w:rPr>
              <w:t>合计（合计得分乘以50%后计入综合得分）</w:t>
            </w:r>
          </w:p>
        </w:tc>
        <w:tc>
          <w:tcPr>
            <w:tcW w:w="1139" w:type="dxa"/>
            <w:vAlign w:val="center"/>
          </w:tcPr>
          <w:p w:rsidR="00F20F3C" w:rsidRPr="00F20F3C" w:rsidRDefault="00F20F3C" w:rsidP="00F20F3C">
            <w:pPr>
              <w:widowControl/>
              <w:jc w:val="center"/>
              <w:rPr>
                <w:rFonts w:ascii="宋体" w:hAnsi="宋体" w:cs="宋体"/>
                <w:kern w:val="0"/>
                <w:sz w:val="24"/>
                <w:szCs w:val="24"/>
              </w:rPr>
            </w:pPr>
            <w:r w:rsidRPr="00F20F3C">
              <w:rPr>
                <w:rFonts w:ascii="宋体" w:hAnsi="宋体" w:cs="宋体" w:hint="eastAsia"/>
                <w:kern w:val="0"/>
                <w:sz w:val="24"/>
                <w:szCs w:val="24"/>
              </w:rPr>
              <w:t>100</w:t>
            </w:r>
          </w:p>
        </w:tc>
      </w:tr>
    </w:tbl>
    <w:p w:rsidR="00886307" w:rsidRDefault="00886307" w:rsidP="004D0721">
      <w:pPr>
        <w:widowControl/>
        <w:jc w:val="left"/>
      </w:pPr>
    </w:p>
    <w:sectPr w:rsidR="00886307">
      <w:pgSz w:w="11906" w:h="16838"/>
      <w:pgMar w:top="1440" w:right="1134" w:bottom="1440"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202A" w:rsidRDefault="00C7202A" w:rsidP="00944886">
      <w:r>
        <w:separator/>
      </w:r>
    </w:p>
  </w:endnote>
  <w:endnote w:type="continuationSeparator" w:id="0">
    <w:p w:rsidR="00C7202A" w:rsidRDefault="00C7202A" w:rsidP="009448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202A" w:rsidRDefault="00C7202A" w:rsidP="00944886">
      <w:r>
        <w:separator/>
      </w:r>
    </w:p>
  </w:footnote>
  <w:footnote w:type="continuationSeparator" w:id="0">
    <w:p w:rsidR="00C7202A" w:rsidRDefault="00C7202A" w:rsidP="009448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6C9BDCA"/>
    <w:multiLevelType w:val="singleLevel"/>
    <w:tmpl w:val="E6C9BDCA"/>
    <w:lvl w:ilvl="0">
      <w:start w:val="1"/>
      <w:numFmt w:val="decimal"/>
      <w:suff w:val="nothing"/>
      <w:lvlText w:val="%1、"/>
      <w:lvlJc w:val="left"/>
    </w:lvl>
  </w:abstractNum>
  <w:abstractNum w:abstractNumId="1">
    <w:nsid w:val="03417F7C"/>
    <w:multiLevelType w:val="hybridMultilevel"/>
    <w:tmpl w:val="4EAEB9FA"/>
    <w:lvl w:ilvl="0" w:tplc="5E0E9C9A">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9A00100"/>
    <w:multiLevelType w:val="hybridMultilevel"/>
    <w:tmpl w:val="69600070"/>
    <w:lvl w:ilvl="0" w:tplc="0EDA0EA6">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65F591F"/>
    <w:multiLevelType w:val="singleLevel"/>
    <w:tmpl w:val="265F591F"/>
    <w:lvl w:ilvl="0">
      <w:start w:val="1"/>
      <w:numFmt w:val="decimal"/>
      <w:suff w:val="nothing"/>
      <w:lvlText w:val="%1、"/>
      <w:lvlJc w:val="left"/>
    </w:lvl>
  </w:abstractNum>
  <w:abstractNum w:abstractNumId="4">
    <w:nsid w:val="39D26651"/>
    <w:multiLevelType w:val="multilevel"/>
    <w:tmpl w:val="39D26651"/>
    <w:lvl w:ilvl="0">
      <w:start w:val="1"/>
      <w:numFmt w:val="decimal"/>
      <w:lvlText w:val="（%1）"/>
      <w:lvlJc w:val="left"/>
      <w:pPr>
        <w:ind w:left="1004" w:hanging="720"/>
      </w:p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5">
    <w:nsid w:val="4996DE16"/>
    <w:multiLevelType w:val="singleLevel"/>
    <w:tmpl w:val="4996DE16"/>
    <w:lvl w:ilvl="0">
      <w:start w:val="1"/>
      <w:numFmt w:val="decimal"/>
      <w:lvlText w:val="%1."/>
      <w:lvlJc w:val="left"/>
      <w:pPr>
        <w:tabs>
          <w:tab w:val="left" w:pos="312"/>
        </w:tabs>
      </w:pPr>
    </w:lvl>
  </w:abstractNum>
  <w:num w:numId="1">
    <w:abstractNumId w:val="4"/>
  </w:num>
  <w:num w:numId="2">
    <w:abstractNumId w:val="0"/>
  </w:num>
  <w:num w:numId="3">
    <w:abstractNumId w:val="5"/>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06F4"/>
    <w:rsid w:val="00000180"/>
    <w:rsid w:val="000018DC"/>
    <w:rsid w:val="00005F52"/>
    <w:rsid w:val="00016787"/>
    <w:rsid w:val="000356DD"/>
    <w:rsid w:val="00040E02"/>
    <w:rsid w:val="000436E0"/>
    <w:rsid w:val="000462D6"/>
    <w:rsid w:val="00046A7A"/>
    <w:rsid w:val="00052644"/>
    <w:rsid w:val="00054696"/>
    <w:rsid w:val="000547CC"/>
    <w:rsid w:val="000600CB"/>
    <w:rsid w:val="00066B28"/>
    <w:rsid w:val="000712E3"/>
    <w:rsid w:val="000755CE"/>
    <w:rsid w:val="00097253"/>
    <w:rsid w:val="000A4EF3"/>
    <w:rsid w:val="000B187D"/>
    <w:rsid w:val="000B3CD8"/>
    <w:rsid w:val="000B4761"/>
    <w:rsid w:val="000D7E20"/>
    <w:rsid w:val="000E2F9D"/>
    <w:rsid w:val="000E4FD4"/>
    <w:rsid w:val="000F0A66"/>
    <w:rsid w:val="001031EB"/>
    <w:rsid w:val="00106C6E"/>
    <w:rsid w:val="0012130E"/>
    <w:rsid w:val="00141997"/>
    <w:rsid w:val="00146C90"/>
    <w:rsid w:val="001479D1"/>
    <w:rsid w:val="00172D6B"/>
    <w:rsid w:val="00173639"/>
    <w:rsid w:val="001A0B9C"/>
    <w:rsid w:val="001C027F"/>
    <w:rsid w:val="001C21E6"/>
    <w:rsid w:val="001C22A4"/>
    <w:rsid w:val="001D1C21"/>
    <w:rsid w:val="001D58E2"/>
    <w:rsid w:val="001D6825"/>
    <w:rsid w:val="001E209F"/>
    <w:rsid w:val="001E65DB"/>
    <w:rsid w:val="001F0557"/>
    <w:rsid w:val="002130EE"/>
    <w:rsid w:val="00222CC4"/>
    <w:rsid w:val="002257A4"/>
    <w:rsid w:val="002264D4"/>
    <w:rsid w:val="0023284A"/>
    <w:rsid w:val="002345A7"/>
    <w:rsid w:val="00237829"/>
    <w:rsid w:val="002414C4"/>
    <w:rsid w:val="00244DEF"/>
    <w:rsid w:val="00260A32"/>
    <w:rsid w:val="002673B0"/>
    <w:rsid w:val="0027047E"/>
    <w:rsid w:val="002A448B"/>
    <w:rsid w:val="002A513F"/>
    <w:rsid w:val="002A777E"/>
    <w:rsid w:val="002B39C1"/>
    <w:rsid w:val="002B473B"/>
    <w:rsid w:val="002C58BF"/>
    <w:rsid w:val="002D0FF9"/>
    <w:rsid w:val="003079B6"/>
    <w:rsid w:val="00312335"/>
    <w:rsid w:val="00320885"/>
    <w:rsid w:val="00324F18"/>
    <w:rsid w:val="0032734A"/>
    <w:rsid w:val="0033418F"/>
    <w:rsid w:val="003375CB"/>
    <w:rsid w:val="003471B8"/>
    <w:rsid w:val="00350D24"/>
    <w:rsid w:val="00352AE0"/>
    <w:rsid w:val="0036615F"/>
    <w:rsid w:val="00366B33"/>
    <w:rsid w:val="00381B1E"/>
    <w:rsid w:val="00391D9D"/>
    <w:rsid w:val="00397083"/>
    <w:rsid w:val="003A1491"/>
    <w:rsid w:val="003A1DE3"/>
    <w:rsid w:val="003B1E75"/>
    <w:rsid w:val="003C1BA5"/>
    <w:rsid w:val="003C681C"/>
    <w:rsid w:val="003D22D0"/>
    <w:rsid w:val="003D294F"/>
    <w:rsid w:val="003D2E4A"/>
    <w:rsid w:val="003D4D78"/>
    <w:rsid w:val="003E5095"/>
    <w:rsid w:val="003E79DD"/>
    <w:rsid w:val="003F5170"/>
    <w:rsid w:val="00400D35"/>
    <w:rsid w:val="00404DB9"/>
    <w:rsid w:val="00455A12"/>
    <w:rsid w:val="00457AEA"/>
    <w:rsid w:val="00461303"/>
    <w:rsid w:val="00465C0C"/>
    <w:rsid w:val="00466984"/>
    <w:rsid w:val="004734C0"/>
    <w:rsid w:val="00473E41"/>
    <w:rsid w:val="004773C4"/>
    <w:rsid w:val="004807B2"/>
    <w:rsid w:val="0048428F"/>
    <w:rsid w:val="004847A0"/>
    <w:rsid w:val="00484BB5"/>
    <w:rsid w:val="00484E7F"/>
    <w:rsid w:val="00490586"/>
    <w:rsid w:val="004A74E8"/>
    <w:rsid w:val="004B05A1"/>
    <w:rsid w:val="004C53BB"/>
    <w:rsid w:val="004C7591"/>
    <w:rsid w:val="004D0721"/>
    <w:rsid w:val="004D428E"/>
    <w:rsid w:val="004D4AB8"/>
    <w:rsid w:val="004D5D59"/>
    <w:rsid w:val="004E1130"/>
    <w:rsid w:val="004F52F2"/>
    <w:rsid w:val="005006B1"/>
    <w:rsid w:val="00507602"/>
    <w:rsid w:val="0052397E"/>
    <w:rsid w:val="00523F61"/>
    <w:rsid w:val="00533903"/>
    <w:rsid w:val="00561BEB"/>
    <w:rsid w:val="00573457"/>
    <w:rsid w:val="00584E47"/>
    <w:rsid w:val="00585FCC"/>
    <w:rsid w:val="00594B20"/>
    <w:rsid w:val="00596AC8"/>
    <w:rsid w:val="005A1806"/>
    <w:rsid w:val="005B1DB4"/>
    <w:rsid w:val="005B461C"/>
    <w:rsid w:val="005C1D85"/>
    <w:rsid w:val="005C3015"/>
    <w:rsid w:val="005C6B70"/>
    <w:rsid w:val="005E4D5A"/>
    <w:rsid w:val="005F1CC4"/>
    <w:rsid w:val="00613A84"/>
    <w:rsid w:val="00613D03"/>
    <w:rsid w:val="00614DB7"/>
    <w:rsid w:val="006150CB"/>
    <w:rsid w:val="006226EE"/>
    <w:rsid w:val="0062642E"/>
    <w:rsid w:val="006325DB"/>
    <w:rsid w:val="006354D3"/>
    <w:rsid w:val="00643741"/>
    <w:rsid w:val="00645856"/>
    <w:rsid w:val="00645CDC"/>
    <w:rsid w:val="00645F85"/>
    <w:rsid w:val="00657197"/>
    <w:rsid w:val="00657731"/>
    <w:rsid w:val="00664E8C"/>
    <w:rsid w:val="00672A85"/>
    <w:rsid w:val="00684A56"/>
    <w:rsid w:val="00684C36"/>
    <w:rsid w:val="00686543"/>
    <w:rsid w:val="00697972"/>
    <w:rsid w:val="006A4840"/>
    <w:rsid w:val="006D1A00"/>
    <w:rsid w:val="006D1BB5"/>
    <w:rsid w:val="006D7D4D"/>
    <w:rsid w:val="00701C43"/>
    <w:rsid w:val="00712A2D"/>
    <w:rsid w:val="00732FB7"/>
    <w:rsid w:val="0073306D"/>
    <w:rsid w:val="00734CC7"/>
    <w:rsid w:val="00752EB7"/>
    <w:rsid w:val="00764ECD"/>
    <w:rsid w:val="00774A30"/>
    <w:rsid w:val="00775963"/>
    <w:rsid w:val="00784FB1"/>
    <w:rsid w:val="00790E3C"/>
    <w:rsid w:val="00794C9F"/>
    <w:rsid w:val="007B38CD"/>
    <w:rsid w:val="007C35FA"/>
    <w:rsid w:val="007C4E67"/>
    <w:rsid w:val="007C61BA"/>
    <w:rsid w:val="007D1CDF"/>
    <w:rsid w:val="007D5576"/>
    <w:rsid w:val="007D653E"/>
    <w:rsid w:val="007E020F"/>
    <w:rsid w:val="007E3A1B"/>
    <w:rsid w:val="007F07E7"/>
    <w:rsid w:val="007F441B"/>
    <w:rsid w:val="007F58AD"/>
    <w:rsid w:val="0080223F"/>
    <w:rsid w:val="00813620"/>
    <w:rsid w:val="00817338"/>
    <w:rsid w:val="008202FD"/>
    <w:rsid w:val="00832DEA"/>
    <w:rsid w:val="00833639"/>
    <w:rsid w:val="008357BE"/>
    <w:rsid w:val="0085150D"/>
    <w:rsid w:val="008519E5"/>
    <w:rsid w:val="008573A9"/>
    <w:rsid w:val="00863A1D"/>
    <w:rsid w:val="00886307"/>
    <w:rsid w:val="00894E36"/>
    <w:rsid w:val="008A1106"/>
    <w:rsid w:val="008A3076"/>
    <w:rsid w:val="008A6C08"/>
    <w:rsid w:val="008A7309"/>
    <w:rsid w:val="008B27B9"/>
    <w:rsid w:val="008B58D6"/>
    <w:rsid w:val="008C2433"/>
    <w:rsid w:val="008C440C"/>
    <w:rsid w:val="008C7E34"/>
    <w:rsid w:val="008D1E14"/>
    <w:rsid w:val="008E7A6A"/>
    <w:rsid w:val="008F1AD1"/>
    <w:rsid w:val="00900A1F"/>
    <w:rsid w:val="00912D68"/>
    <w:rsid w:val="0091382D"/>
    <w:rsid w:val="009148D6"/>
    <w:rsid w:val="00915984"/>
    <w:rsid w:val="00915ECF"/>
    <w:rsid w:val="00921EC3"/>
    <w:rsid w:val="00922040"/>
    <w:rsid w:val="00922D7C"/>
    <w:rsid w:val="009240F5"/>
    <w:rsid w:val="009268DF"/>
    <w:rsid w:val="00934BB7"/>
    <w:rsid w:val="009400D0"/>
    <w:rsid w:val="00944886"/>
    <w:rsid w:val="009462C7"/>
    <w:rsid w:val="00947998"/>
    <w:rsid w:val="009619EB"/>
    <w:rsid w:val="00963BEF"/>
    <w:rsid w:val="00990926"/>
    <w:rsid w:val="009A7565"/>
    <w:rsid w:val="009B04C0"/>
    <w:rsid w:val="009C537E"/>
    <w:rsid w:val="009C70B0"/>
    <w:rsid w:val="009D38CE"/>
    <w:rsid w:val="009D38DD"/>
    <w:rsid w:val="009D48E5"/>
    <w:rsid w:val="009E26D3"/>
    <w:rsid w:val="009E7C5A"/>
    <w:rsid w:val="009F21FD"/>
    <w:rsid w:val="009F49A5"/>
    <w:rsid w:val="00A01763"/>
    <w:rsid w:val="00A019B1"/>
    <w:rsid w:val="00A01DB8"/>
    <w:rsid w:val="00A042FF"/>
    <w:rsid w:val="00A32D0F"/>
    <w:rsid w:val="00A36119"/>
    <w:rsid w:val="00A41277"/>
    <w:rsid w:val="00A456A3"/>
    <w:rsid w:val="00A45D39"/>
    <w:rsid w:val="00A5377B"/>
    <w:rsid w:val="00A6536E"/>
    <w:rsid w:val="00A71FB4"/>
    <w:rsid w:val="00A72BE2"/>
    <w:rsid w:val="00A72F5E"/>
    <w:rsid w:val="00A75462"/>
    <w:rsid w:val="00A80FC2"/>
    <w:rsid w:val="00A90BC8"/>
    <w:rsid w:val="00AB2231"/>
    <w:rsid w:val="00AB5E60"/>
    <w:rsid w:val="00AB74AD"/>
    <w:rsid w:val="00AB7CF4"/>
    <w:rsid w:val="00AC13CC"/>
    <w:rsid w:val="00AC1E2B"/>
    <w:rsid w:val="00AC1EBA"/>
    <w:rsid w:val="00AD1200"/>
    <w:rsid w:val="00AD39B6"/>
    <w:rsid w:val="00AD56C6"/>
    <w:rsid w:val="00AE3C73"/>
    <w:rsid w:val="00AF40AE"/>
    <w:rsid w:val="00B02001"/>
    <w:rsid w:val="00B3079E"/>
    <w:rsid w:val="00B35497"/>
    <w:rsid w:val="00B57703"/>
    <w:rsid w:val="00B635E6"/>
    <w:rsid w:val="00B7127F"/>
    <w:rsid w:val="00B92B28"/>
    <w:rsid w:val="00B92CD5"/>
    <w:rsid w:val="00BB3CB1"/>
    <w:rsid w:val="00BD10C1"/>
    <w:rsid w:val="00BE16A1"/>
    <w:rsid w:val="00BE4405"/>
    <w:rsid w:val="00C0720E"/>
    <w:rsid w:val="00C15B3F"/>
    <w:rsid w:val="00C206F4"/>
    <w:rsid w:val="00C220BF"/>
    <w:rsid w:val="00C30787"/>
    <w:rsid w:val="00C31E89"/>
    <w:rsid w:val="00C32843"/>
    <w:rsid w:val="00C368E4"/>
    <w:rsid w:val="00C426F9"/>
    <w:rsid w:val="00C44158"/>
    <w:rsid w:val="00C507AE"/>
    <w:rsid w:val="00C637C8"/>
    <w:rsid w:val="00C7202A"/>
    <w:rsid w:val="00C857BC"/>
    <w:rsid w:val="00C86664"/>
    <w:rsid w:val="00C94985"/>
    <w:rsid w:val="00CA3BB2"/>
    <w:rsid w:val="00CA4D50"/>
    <w:rsid w:val="00CB207C"/>
    <w:rsid w:val="00CB6B60"/>
    <w:rsid w:val="00CD63CB"/>
    <w:rsid w:val="00CD6577"/>
    <w:rsid w:val="00CD7184"/>
    <w:rsid w:val="00CE2AA3"/>
    <w:rsid w:val="00CE465E"/>
    <w:rsid w:val="00CF18FE"/>
    <w:rsid w:val="00CF44FB"/>
    <w:rsid w:val="00D06C46"/>
    <w:rsid w:val="00D11AA4"/>
    <w:rsid w:val="00D2178D"/>
    <w:rsid w:val="00D24C91"/>
    <w:rsid w:val="00D3139E"/>
    <w:rsid w:val="00D37897"/>
    <w:rsid w:val="00D423B4"/>
    <w:rsid w:val="00D51177"/>
    <w:rsid w:val="00D53B4D"/>
    <w:rsid w:val="00D63DAE"/>
    <w:rsid w:val="00D90112"/>
    <w:rsid w:val="00D97BD9"/>
    <w:rsid w:val="00DA3DF2"/>
    <w:rsid w:val="00DA62EC"/>
    <w:rsid w:val="00DB77BE"/>
    <w:rsid w:val="00DD1B09"/>
    <w:rsid w:val="00DE5820"/>
    <w:rsid w:val="00DF396A"/>
    <w:rsid w:val="00E013D6"/>
    <w:rsid w:val="00E160BA"/>
    <w:rsid w:val="00E23711"/>
    <w:rsid w:val="00E43F1D"/>
    <w:rsid w:val="00E47664"/>
    <w:rsid w:val="00E5324A"/>
    <w:rsid w:val="00E54C81"/>
    <w:rsid w:val="00E673EA"/>
    <w:rsid w:val="00E73B29"/>
    <w:rsid w:val="00E8273F"/>
    <w:rsid w:val="00E86A7A"/>
    <w:rsid w:val="00EB7B5C"/>
    <w:rsid w:val="00ED6066"/>
    <w:rsid w:val="00ED794A"/>
    <w:rsid w:val="00EE2D78"/>
    <w:rsid w:val="00EE7001"/>
    <w:rsid w:val="00EF0D80"/>
    <w:rsid w:val="00EF1767"/>
    <w:rsid w:val="00EF30EB"/>
    <w:rsid w:val="00EF650B"/>
    <w:rsid w:val="00F0348F"/>
    <w:rsid w:val="00F179D3"/>
    <w:rsid w:val="00F20F3C"/>
    <w:rsid w:val="00F32E79"/>
    <w:rsid w:val="00F34DE8"/>
    <w:rsid w:val="00F35627"/>
    <w:rsid w:val="00F52396"/>
    <w:rsid w:val="00F62798"/>
    <w:rsid w:val="00F723E7"/>
    <w:rsid w:val="00F7370F"/>
    <w:rsid w:val="00F747B5"/>
    <w:rsid w:val="00F770B0"/>
    <w:rsid w:val="00F95050"/>
    <w:rsid w:val="00F96E35"/>
    <w:rsid w:val="00FB7DDA"/>
    <w:rsid w:val="00FD3623"/>
    <w:rsid w:val="00FD4C7F"/>
    <w:rsid w:val="00FF1AD5"/>
    <w:rsid w:val="00FF7932"/>
    <w:rsid w:val="0EB75C2D"/>
    <w:rsid w:val="13F37728"/>
    <w:rsid w:val="149000E3"/>
    <w:rsid w:val="29684855"/>
    <w:rsid w:val="2A08003C"/>
    <w:rsid w:val="2DFE45D6"/>
    <w:rsid w:val="3E5103B0"/>
    <w:rsid w:val="47C342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等线" w:eastAsia="等线" w:hAnsi="等线"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kern w:val="2"/>
      <w:sz w:val="21"/>
      <w:szCs w:val="22"/>
    </w:rPr>
  </w:style>
  <w:style w:type="paragraph" w:styleId="1">
    <w:name w:val="heading 1"/>
    <w:basedOn w:val="a"/>
    <w:next w:val="a"/>
    <w:link w:val="1Char1"/>
    <w:qFormat/>
    <w:pPr>
      <w:keepNext/>
      <w:keepLines/>
      <w:spacing w:before="340" w:after="330" w:line="578" w:lineRule="auto"/>
      <w:outlineLvl w:val="0"/>
    </w:pPr>
    <w:rPr>
      <w:rFonts w:ascii="Times New Roman" w:hAnsi="Times New Roman"/>
      <w:b/>
      <w:bCs/>
      <w:kern w:val="44"/>
      <w:sz w:val="44"/>
      <w:szCs w:val="44"/>
      <w:lang w:val="zh-CN"/>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pPr>
      <w:ind w:leftChars="2500" w:left="100"/>
    </w:pPr>
  </w:style>
  <w:style w:type="paragraph" w:styleId="a4">
    <w:name w:val="footer"/>
    <w:basedOn w:val="a"/>
    <w:link w:val="Char0"/>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1Char">
    <w:name w:val="标题 1 Char"/>
    <w:basedOn w:val="a0"/>
    <w:uiPriority w:val="9"/>
    <w:qFormat/>
    <w:rPr>
      <w:rFonts w:ascii="Calibri" w:eastAsia="宋体" w:hAnsi="Calibri" w:cs="Times New Roman"/>
      <w:b/>
      <w:bCs/>
      <w:kern w:val="44"/>
      <w:sz w:val="44"/>
      <w:szCs w:val="44"/>
    </w:rPr>
  </w:style>
  <w:style w:type="character" w:customStyle="1" w:styleId="1Char1">
    <w:name w:val="标题 1 Char1"/>
    <w:link w:val="1"/>
    <w:qFormat/>
    <w:rPr>
      <w:rFonts w:ascii="Times New Roman" w:eastAsia="宋体" w:hAnsi="Times New Roman" w:cs="Times New Roman"/>
      <w:b/>
      <w:bCs/>
      <w:kern w:val="44"/>
      <w:sz w:val="44"/>
      <w:szCs w:val="44"/>
      <w:lang w:val="zh-CN" w:eastAsia="zh-CN"/>
    </w:rPr>
  </w:style>
  <w:style w:type="paragraph" w:customStyle="1" w:styleId="CharChar1Char">
    <w:name w:val="Char Char1 Char"/>
    <w:basedOn w:val="a"/>
    <w:qFormat/>
    <w:pPr>
      <w:spacing w:line="360" w:lineRule="auto"/>
      <w:ind w:firstLineChars="200" w:firstLine="200"/>
    </w:pPr>
    <w:rPr>
      <w:rFonts w:ascii="宋体" w:hAnsi="宋体" w:cs="宋体"/>
      <w:sz w:val="24"/>
      <w:szCs w:val="24"/>
    </w:rPr>
  </w:style>
  <w:style w:type="paragraph" w:customStyle="1" w:styleId="CharChar1Char1">
    <w:name w:val="Char Char1 Char1"/>
    <w:basedOn w:val="a"/>
    <w:qFormat/>
    <w:pPr>
      <w:spacing w:line="360" w:lineRule="auto"/>
      <w:ind w:firstLineChars="200" w:firstLine="200"/>
    </w:pPr>
    <w:rPr>
      <w:rFonts w:ascii="宋体" w:hAnsi="宋体" w:cs="宋体"/>
      <w:sz w:val="24"/>
      <w:szCs w:val="24"/>
    </w:rPr>
  </w:style>
  <w:style w:type="paragraph" w:customStyle="1" w:styleId="CharChar1Char2">
    <w:name w:val="Char Char1 Char2"/>
    <w:basedOn w:val="a"/>
    <w:qFormat/>
    <w:pPr>
      <w:spacing w:line="360" w:lineRule="auto"/>
      <w:ind w:firstLineChars="200" w:firstLine="200"/>
    </w:pPr>
    <w:rPr>
      <w:rFonts w:ascii="宋体" w:hAnsi="宋体" w:cs="宋体"/>
      <w:sz w:val="24"/>
      <w:szCs w:val="24"/>
    </w:rPr>
  </w:style>
  <w:style w:type="paragraph" w:customStyle="1" w:styleId="CharChar1Char3">
    <w:name w:val="Char Char1 Char3"/>
    <w:basedOn w:val="a"/>
    <w:qFormat/>
    <w:pPr>
      <w:spacing w:line="360" w:lineRule="auto"/>
      <w:ind w:firstLineChars="200" w:firstLine="200"/>
    </w:pPr>
    <w:rPr>
      <w:rFonts w:ascii="宋体" w:hAnsi="宋体" w:cs="宋体"/>
      <w:sz w:val="24"/>
      <w:szCs w:val="24"/>
    </w:rPr>
  </w:style>
  <w:style w:type="paragraph" w:customStyle="1" w:styleId="CharChar1Char4">
    <w:name w:val="Char Char1 Char4"/>
    <w:basedOn w:val="a"/>
    <w:qFormat/>
    <w:pPr>
      <w:spacing w:line="360" w:lineRule="auto"/>
      <w:ind w:firstLineChars="200" w:firstLine="200"/>
    </w:pPr>
    <w:rPr>
      <w:rFonts w:ascii="宋体" w:hAnsi="宋体" w:cs="宋体"/>
      <w:sz w:val="24"/>
      <w:szCs w:val="24"/>
    </w:rPr>
  </w:style>
  <w:style w:type="paragraph" w:customStyle="1" w:styleId="CharChar1Char5">
    <w:name w:val="Char Char1 Char5"/>
    <w:basedOn w:val="a"/>
    <w:qFormat/>
    <w:pPr>
      <w:spacing w:line="360" w:lineRule="auto"/>
      <w:ind w:firstLineChars="200" w:firstLine="200"/>
    </w:pPr>
    <w:rPr>
      <w:rFonts w:ascii="宋体" w:hAnsi="宋体" w:cs="宋体"/>
      <w:sz w:val="24"/>
      <w:szCs w:val="24"/>
    </w:rPr>
  </w:style>
  <w:style w:type="paragraph" w:customStyle="1" w:styleId="CharChar1Char6">
    <w:name w:val="Char Char1 Char6"/>
    <w:basedOn w:val="a"/>
    <w:qFormat/>
    <w:pPr>
      <w:spacing w:line="360" w:lineRule="auto"/>
      <w:ind w:firstLineChars="200" w:firstLine="200"/>
    </w:pPr>
    <w:rPr>
      <w:rFonts w:ascii="宋体" w:hAnsi="宋体" w:cs="宋体"/>
      <w:sz w:val="24"/>
      <w:szCs w:val="24"/>
    </w:rPr>
  </w:style>
  <w:style w:type="character" w:customStyle="1" w:styleId="Char">
    <w:name w:val="日期 Char"/>
    <w:basedOn w:val="a0"/>
    <w:link w:val="a3"/>
    <w:uiPriority w:val="99"/>
    <w:semiHidden/>
    <w:rPr>
      <w:rFonts w:ascii="Calibri" w:eastAsia="宋体" w:hAnsi="Calibri" w:cs="Times New Roman"/>
    </w:rPr>
  </w:style>
  <w:style w:type="character" w:customStyle="1" w:styleId="2Char">
    <w:name w:val="标题 2 Char"/>
    <w:basedOn w:val="a0"/>
    <w:link w:val="2"/>
    <w:uiPriority w:val="9"/>
    <w:qFormat/>
    <w:rPr>
      <w:rFonts w:asciiTheme="majorHAnsi" w:eastAsiaTheme="majorEastAsia" w:hAnsiTheme="majorHAnsi" w:cstheme="majorBidi"/>
      <w:b/>
      <w:bCs/>
      <w:sz w:val="32"/>
      <w:szCs w:val="32"/>
    </w:rPr>
  </w:style>
  <w:style w:type="paragraph" w:customStyle="1" w:styleId="Default">
    <w:name w:val="Default"/>
    <w:qFormat/>
    <w:pPr>
      <w:widowControl w:val="0"/>
      <w:autoSpaceDE w:val="0"/>
      <w:autoSpaceDN w:val="0"/>
      <w:adjustRightInd w:val="0"/>
    </w:pPr>
    <w:rPr>
      <w:rFonts w:ascii="黑体" w:eastAsia="黑体" w:hAnsiTheme="minorHAnsi" w:cs="黑体"/>
      <w:color w:val="000000"/>
      <w:sz w:val="24"/>
      <w:szCs w:val="24"/>
    </w:rPr>
  </w:style>
  <w:style w:type="paragraph" w:customStyle="1" w:styleId="a6">
    <w:name w:val="小标题"/>
    <w:basedOn w:val="a"/>
    <w:qFormat/>
    <w:pPr>
      <w:widowControl/>
      <w:autoSpaceDE w:val="0"/>
      <w:autoSpaceDN w:val="0"/>
      <w:snapToGrid w:val="0"/>
      <w:spacing w:afterLines="50" w:after="156" w:line="560" w:lineRule="exact"/>
      <w:jc w:val="center"/>
      <w:textAlignment w:val="bottom"/>
    </w:pPr>
    <w:rPr>
      <w:rFonts w:ascii="黑体" w:eastAsia="黑体" w:hAnsi="Arial"/>
      <w:b/>
      <w:sz w:val="48"/>
      <w:szCs w:val="48"/>
    </w:rPr>
  </w:style>
  <w:style w:type="paragraph" w:styleId="a7">
    <w:name w:val="List Paragraph"/>
    <w:basedOn w:val="a"/>
    <w:uiPriority w:val="99"/>
    <w:unhideWhenUsed/>
    <w:rsid w:val="001C22A4"/>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等线" w:eastAsia="等线" w:hAnsi="等线"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kern w:val="2"/>
      <w:sz w:val="21"/>
      <w:szCs w:val="22"/>
    </w:rPr>
  </w:style>
  <w:style w:type="paragraph" w:styleId="1">
    <w:name w:val="heading 1"/>
    <w:basedOn w:val="a"/>
    <w:next w:val="a"/>
    <w:link w:val="1Char1"/>
    <w:qFormat/>
    <w:pPr>
      <w:keepNext/>
      <w:keepLines/>
      <w:spacing w:before="340" w:after="330" w:line="578" w:lineRule="auto"/>
      <w:outlineLvl w:val="0"/>
    </w:pPr>
    <w:rPr>
      <w:rFonts w:ascii="Times New Roman" w:hAnsi="Times New Roman"/>
      <w:b/>
      <w:bCs/>
      <w:kern w:val="44"/>
      <w:sz w:val="44"/>
      <w:szCs w:val="44"/>
      <w:lang w:val="zh-CN"/>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pPr>
      <w:ind w:leftChars="2500" w:left="100"/>
    </w:pPr>
  </w:style>
  <w:style w:type="paragraph" w:styleId="a4">
    <w:name w:val="footer"/>
    <w:basedOn w:val="a"/>
    <w:link w:val="Char0"/>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1Char">
    <w:name w:val="标题 1 Char"/>
    <w:basedOn w:val="a0"/>
    <w:uiPriority w:val="9"/>
    <w:qFormat/>
    <w:rPr>
      <w:rFonts w:ascii="Calibri" w:eastAsia="宋体" w:hAnsi="Calibri" w:cs="Times New Roman"/>
      <w:b/>
      <w:bCs/>
      <w:kern w:val="44"/>
      <w:sz w:val="44"/>
      <w:szCs w:val="44"/>
    </w:rPr>
  </w:style>
  <w:style w:type="character" w:customStyle="1" w:styleId="1Char1">
    <w:name w:val="标题 1 Char1"/>
    <w:link w:val="1"/>
    <w:qFormat/>
    <w:rPr>
      <w:rFonts w:ascii="Times New Roman" w:eastAsia="宋体" w:hAnsi="Times New Roman" w:cs="Times New Roman"/>
      <w:b/>
      <w:bCs/>
      <w:kern w:val="44"/>
      <w:sz w:val="44"/>
      <w:szCs w:val="44"/>
      <w:lang w:val="zh-CN" w:eastAsia="zh-CN"/>
    </w:rPr>
  </w:style>
  <w:style w:type="paragraph" w:customStyle="1" w:styleId="CharChar1Char">
    <w:name w:val="Char Char1 Char"/>
    <w:basedOn w:val="a"/>
    <w:qFormat/>
    <w:pPr>
      <w:spacing w:line="360" w:lineRule="auto"/>
      <w:ind w:firstLineChars="200" w:firstLine="200"/>
    </w:pPr>
    <w:rPr>
      <w:rFonts w:ascii="宋体" w:hAnsi="宋体" w:cs="宋体"/>
      <w:sz w:val="24"/>
      <w:szCs w:val="24"/>
    </w:rPr>
  </w:style>
  <w:style w:type="paragraph" w:customStyle="1" w:styleId="CharChar1Char1">
    <w:name w:val="Char Char1 Char1"/>
    <w:basedOn w:val="a"/>
    <w:qFormat/>
    <w:pPr>
      <w:spacing w:line="360" w:lineRule="auto"/>
      <w:ind w:firstLineChars="200" w:firstLine="200"/>
    </w:pPr>
    <w:rPr>
      <w:rFonts w:ascii="宋体" w:hAnsi="宋体" w:cs="宋体"/>
      <w:sz w:val="24"/>
      <w:szCs w:val="24"/>
    </w:rPr>
  </w:style>
  <w:style w:type="paragraph" w:customStyle="1" w:styleId="CharChar1Char2">
    <w:name w:val="Char Char1 Char2"/>
    <w:basedOn w:val="a"/>
    <w:qFormat/>
    <w:pPr>
      <w:spacing w:line="360" w:lineRule="auto"/>
      <w:ind w:firstLineChars="200" w:firstLine="200"/>
    </w:pPr>
    <w:rPr>
      <w:rFonts w:ascii="宋体" w:hAnsi="宋体" w:cs="宋体"/>
      <w:sz w:val="24"/>
      <w:szCs w:val="24"/>
    </w:rPr>
  </w:style>
  <w:style w:type="paragraph" w:customStyle="1" w:styleId="CharChar1Char3">
    <w:name w:val="Char Char1 Char3"/>
    <w:basedOn w:val="a"/>
    <w:qFormat/>
    <w:pPr>
      <w:spacing w:line="360" w:lineRule="auto"/>
      <w:ind w:firstLineChars="200" w:firstLine="200"/>
    </w:pPr>
    <w:rPr>
      <w:rFonts w:ascii="宋体" w:hAnsi="宋体" w:cs="宋体"/>
      <w:sz w:val="24"/>
      <w:szCs w:val="24"/>
    </w:rPr>
  </w:style>
  <w:style w:type="paragraph" w:customStyle="1" w:styleId="CharChar1Char4">
    <w:name w:val="Char Char1 Char4"/>
    <w:basedOn w:val="a"/>
    <w:qFormat/>
    <w:pPr>
      <w:spacing w:line="360" w:lineRule="auto"/>
      <w:ind w:firstLineChars="200" w:firstLine="200"/>
    </w:pPr>
    <w:rPr>
      <w:rFonts w:ascii="宋体" w:hAnsi="宋体" w:cs="宋体"/>
      <w:sz w:val="24"/>
      <w:szCs w:val="24"/>
    </w:rPr>
  </w:style>
  <w:style w:type="paragraph" w:customStyle="1" w:styleId="CharChar1Char5">
    <w:name w:val="Char Char1 Char5"/>
    <w:basedOn w:val="a"/>
    <w:qFormat/>
    <w:pPr>
      <w:spacing w:line="360" w:lineRule="auto"/>
      <w:ind w:firstLineChars="200" w:firstLine="200"/>
    </w:pPr>
    <w:rPr>
      <w:rFonts w:ascii="宋体" w:hAnsi="宋体" w:cs="宋体"/>
      <w:sz w:val="24"/>
      <w:szCs w:val="24"/>
    </w:rPr>
  </w:style>
  <w:style w:type="paragraph" w:customStyle="1" w:styleId="CharChar1Char6">
    <w:name w:val="Char Char1 Char6"/>
    <w:basedOn w:val="a"/>
    <w:qFormat/>
    <w:pPr>
      <w:spacing w:line="360" w:lineRule="auto"/>
      <w:ind w:firstLineChars="200" w:firstLine="200"/>
    </w:pPr>
    <w:rPr>
      <w:rFonts w:ascii="宋体" w:hAnsi="宋体" w:cs="宋体"/>
      <w:sz w:val="24"/>
      <w:szCs w:val="24"/>
    </w:rPr>
  </w:style>
  <w:style w:type="character" w:customStyle="1" w:styleId="Char">
    <w:name w:val="日期 Char"/>
    <w:basedOn w:val="a0"/>
    <w:link w:val="a3"/>
    <w:uiPriority w:val="99"/>
    <w:semiHidden/>
    <w:rPr>
      <w:rFonts w:ascii="Calibri" w:eastAsia="宋体" w:hAnsi="Calibri" w:cs="Times New Roman"/>
    </w:rPr>
  </w:style>
  <w:style w:type="character" w:customStyle="1" w:styleId="2Char">
    <w:name w:val="标题 2 Char"/>
    <w:basedOn w:val="a0"/>
    <w:link w:val="2"/>
    <w:uiPriority w:val="9"/>
    <w:qFormat/>
    <w:rPr>
      <w:rFonts w:asciiTheme="majorHAnsi" w:eastAsiaTheme="majorEastAsia" w:hAnsiTheme="majorHAnsi" w:cstheme="majorBidi"/>
      <w:b/>
      <w:bCs/>
      <w:sz w:val="32"/>
      <w:szCs w:val="32"/>
    </w:rPr>
  </w:style>
  <w:style w:type="paragraph" w:customStyle="1" w:styleId="Default">
    <w:name w:val="Default"/>
    <w:qFormat/>
    <w:pPr>
      <w:widowControl w:val="0"/>
      <w:autoSpaceDE w:val="0"/>
      <w:autoSpaceDN w:val="0"/>
      <w:adjustRightInd w:val="0"/>
    </w:pPr>
    <w:rPr>
      <w:rFonts w:ascii="黑体" w:eastAsia="黑体" w:hAnsiTheme="minorHAnsi" w:cs="黑体"/>
      <w:color w:val="000000"/>
      <w:sz w:val="24"/>
      <w:szCs w:val="24"/>
    </w:rPr>
  </w:style>
  <w:style w:type="paragraph" w:customStyle="1" w:styleId="a6">
    <w:name w:val="小标题"/>
    <w:basedOn w:val="a"/>
    <w:qFormat/>
    <w:pPr>
      <w:widowControl/>
      <w:autoSpaceDE w:val="0"/>
      <w:autoSpaceDN w:val="0"/>
      <w:snapToGrid w:val="0"/>
      <w:spacing w:afterLines="50" w:after="156" w:line="560" w:lineRule="exact"/>
      <w:jc w:val="center"/>
      <w:textAlignment w:val="bottom"/>
    </w:pPr>
    <w:rPr>
      <w:rFonts w:ascii="黑体" w:eastAsia="黑体" w:hAnsi="Arial"/>
      <w:b/>
      <w:sz w:val="48"/>
      <w:szCs w:val="48"/>
    </w:rPr>
  </w:style>
  <w:style w:type="paragraph" w:styleId="a7">
    <w:name w:val="List Paragraph"/>
    <w:basedOn w:val="a"/>
    <w:uiPriority w:val="99"/>
    <w:unhideWhenUsed/>
    <w:rsid w:val="001C22A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7</Pages>
  <Words>519</Words>
  <Characters>2964</Characters>
  <Application>Microsoft Office Word</Application>
  <DocSecurity>0</DocSecurity>
  <Lines>24</Lines>
  <Paragraphs>6</Paragraphs>
  <ScaleCrop>false</ScaleCrop>
  <Company>JHP</Company>
  <LinksUpToDate>false</LinksUpToDate>
  <CharactersWithSpaces>3477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姚志明/靖海发电公司</dc:creator>
  <cp:lastModifiedBy>林勇</cp:lastModifiedBy>
  <cp:revision>24</cp:revision>
  <dcterms:created xsi:type="dcterms:W3CDTF">2022-03-22T07:23:00Z</dcterms:created>
  <dcterms:modified xsi:type="dcterms:W3CDTF">2023-12-19T06:53:00Z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