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napToGrid/>
        <w:spacing w:before="0" w:beforeAutospacing="0" w:after="60" w:afterAutospacing="0" w:line="240" w:lineRule="auto"/>
        <w:ind w:left="0" w:leftChars="0" w:right="0" w:rightChars="0" w:firstLine="0" w:firstLineChars="0"/>
        <w:jc w:val="center"/>
        <w:rPr>
          <w:rFonts w:ascii="黑体" w:hAnsi="Segoe UI" w:eastAsia="黑体" w:cs="Segoe UI"/>
          <w:b w:val="0"/>
          <w:i w:val="0"/>
          <w:iCs w:val="0"/>
          <w:caps w:val="0"/>
          <w:spacing w:val="0"/>
          <w:sz w:val="40"/>
          <w:szCs w:val="31"/>
        </w:rPr>
      </w:pPr>
      <w:r>
        <w:rPr>
          <w:rStyle w:val="13"/>
          <w:rFonts w:hint="eastAsia" w:ascii="黑体" w:hAnsi="Segoe UI" w:eastAsia="黑体" w:cs="Segoe UI"/>
          <w:b w:val="0"/>
          <w:bCs/>
          <w:i w:val="0"/>
          <w:iCs w:val="0"/>
          <w:caps w:val="0"/>
          <w:spacing w:val="0"/>
          <w:sz w:val="40"/>
          <w:szCs w:val="31"/>
          <w:u w:val="single"/>
          <w:shd w:val="clear" w:fill="FFFFFF"/>
          <w:lang w:val="en-US" w:eastAsia="zh-CN"/>
        </w:rPr>
        <w:t>上海项目消杀服务</w:t>
      </w:r>
      <w:r>
        <w:rPr>
          <w:rStyle w:val="11"/>
          <w:rFonts w:hint="default" w:ascii="黑体" w:hAnsi="Segoe UI" w:eastAsia="黑体" w:cs="Segoe UI"/>
          <w:b w:val="0"/>
          <w:bCs/>
          <w:i w:val="0"/>
          <w:iCs w:val="0"/>
          <w:caps w:val="0"/>
          <w:spacing w:val="0"/>
          <w:sz w:val="40"/>
          <w:szCs w:val="31"/>
          <w:shd w:val="clear" w:fill="FFFFFF"/>
        </w:rPr>
        <w:t>询比价采购需求</w:t>
      </w:r>
    </w:p>
    <w:p>
      <w:pPr>
        <w:pStyle w:val="6"/>
        <w:keepNext w:val="0"/>
        <w:keepLines w:val="0"/>
        <w:widowControl/>
        <w:suppressLineNumbers w:val="0"/>
        <w:shd w:val="clear" w:fill="FFFFFF"/>
        <w:snapToGrid/>
        <w:spacing w:before="0" w:beforeAutospacing="0" w:after="0" w:afterAutospacing="0" w:line="560" w:lineRule="exact"/>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根据工作需求经公司批准，我司现对旗下上海中电科信息科技大厦项目、中电科418创享园项目消杀服务事宜进行采购，按照中国电子科技集团公司采购管理办法，以上采购采取</w:t>
      </w:r>
      <w:r>
        <w:rPr>
          <w:rFonts w:hint="eastAsia" w:ascii="仿宋" w:hAnsi="仿宋" w:eastAsia="仿宋" w:cs="仿宋"/>
          <w:color w:val="0000FF"/>
          <w:kern w:val="0"/>
          <w:sz w:val="24"/>
          <w:szCs w:val="24"/>
          <w:lang w:val="en-US" w:eastAsia="zh-CN" w:bidi="ar-SA"/>
        </w:rPr>
        <w:t>公开询比价方式</w:t>
      </w:r>
      <w:r>
        <w:rPr>
          <w:rFonts w:hint="eastAsia" w:ascii="仿宋" w:hAnsi="仿宋" w:eastAsia="仿宋" w:cs="仿宋"/>
          <w:color w:val="000000" w:themeColor="text1"/>
          <w:kern w:val="0"/>
          <w:sz w:val="24"/>
          <w:szCs w:val="24"/>
          <w:lang w:val="en-US" w:eastAsia="zh-CN" w:bidi="ar-SA"/>
          <w14:textFill>
            <w14:solidFill>
              <w14:schemeClr w14:val="tx1"/>
            </w14:solidFill>
          </w14:textFill>
        </w:rPr>
        <w:t>进行，</w:t>
      </w:r>
      <w:r>
        <w:rPr>
          <w:rFonts w:hint="eastAsia" w:ascii="仿宋" w:hAnsi="仿宋" w:eastAsia="仿宋" w:cs="仿宋"/>
          <w:color w:val="0000FF"/>
          <w:kern w:val="0"/>
          <w:sz w:val="24"/>
          <w:szCs w:val="24"/>
          <w:lang w:val="en-US" w:eastAsia="zh-CN" w:bidi="ar-SA"/>
        </w:rPr>
        <w:t>采购预算7万元</w:t>
      </w:r>
      <w:r>
        <w:rPr>
          <w:rFonts w:hint="eastAsia" w:ascii="仿宋" w:hAnsi="仿宋" w:eastAsia="仿宋" w:cs="仿宋"/>
          <w:color w:val="000000" w:themeColor="text1"/>
          <w:kern w:val="0"/>
          <w:sz w:val="24"/>
          <w:szCs w:val="24"/>
          <w:lang w:val="en-US" w:eastAsia="zh-CN" w:bidi="ar-SA"/>
          <w14:textFill>
            <w14:solidFill>
              <w14:schemeClr w14:val="tx1"/>
            </w14:solidFill>
          </w14:textFill>
        </w:rPr>
        <w:t>。本次采购在中国电子采购平台进行，参与本项目所需采购的供应商均应在该平台完成供应商资质注册，并在线上提交采购文件,网址www.cetceg.com欢迎符合资格条件的、有能力提供本项目所需采购标的供应商参加。</w:t>
      </w:r>
    </w:p>
    <w:p>
      <w:pPr>
        <w:pStyle w:val="6"/>
        <w:keepNext w:val="0"/>
        <w:keepLines w:val="0"/>
        <w:widowControl/>
        <w:numPr>
          <w:ilvl w:val="0"/>
          <w:numId w:val="1"/>
        </w:numPr>
        <w:suppressLineNumbers w:val="0"/>
        <w:shd w:val="clear" w:fill="FFFFFF"/>
        <w:snapToGrid/>
        <w:spacing w:before="200" w:beforeAutospacing="0" w:after="100" w:afterAutospacing="0" w:line="240" w:lineRule="auto"/>
        <w:ind w:left="0" w:leftChars="0" w:right="0" w:rightChars="0" w:firstLine="0" w:firstLineChars="0"/>
        <w:jc w:val="left"/>
        <w:outlineLvl w:val="0"/>
        <w:rPr>
          <w:rStyle w:val="11"/>
          <w:rFonts w:hint="default" w:ascii="黑体" w:hAnsi="Segoe UI" w:eastAsia="黑体" w:cs="Segoe UI"/>
          <w:b w:val="0"/>
          <w:bCs/>
          <w:i w:val="0"/>
          <w:iCs w:val="0"/>
          <w:caps w:val="0"/>
          <w:spacing w:val="0"/>
          <w:sz w:val="24"/>
          <w:szCs w:val="24"/>
          <w:shd w:val="clear" w:fill="FFFFFF"/>
        </w:rPr>
      </w:pPr>
      <w:r>
        <w:rPr>
          <w:rStyle w:val="11"/>
          <w:rFonts w:hint="eastAsia" w:ascii="黑体" w:hAnsi="Segoe UI" w:eastAsia="黑体" w:cs="Segoe UI"/>
          <w:b w:val="0"/>
          <w:bCs/>
          <w:i w:val="0"/>
          <w:iCs w:val="0"/>
          <w:caps w:val="0"/>
          <w:spacing w:val="0"/>
          <w:sz w:val="24"/>
          <w:szCs w:val="24"/>
          <w:shd w:val="clear" w:fill="FFFFFF"/>
          <w:lang w:val="en-US" w:eastAsia="zh-CN"/>
        </w:rPr>
        <w:t>采购编号</w:t>
      </w:r>
      <w:r>
        <w:rPr>
          <w:rStyle w:val="11"/>
          <w:rFonts w:hint="default" w:ascii="黑体" w:hAnsi="Segoe UI" w:eastAsia="黑体" w:cs="Segoe UI"/>
          <w:b w:val="0"/>
          <w:bCs/>
          <w:i w:val="0"/>
          <w:iCs w:val="0"/>
          <w:caps w:val="0"/>
          <w:spacing w:val="0"/>
          <w:sz w:val="24"/>
          <w:szCs w:val="24"/>
          <w:shd w:val="clear" w:fill="FFFFFF"/>
        </w:rPr>
        <w:t>：</w:t>
      </w:r>
      <w:r>
        <w:rPr>
          <w:rStyle w:val="11"/>
          <w:rFonts w:hint="eastAsia" w:ascii="黑体" w:hAnsi="Segoe UI" w:eastAsia="黑体" w:cs="Segoe UI"/>
          <w:b w:val="0"/>
          <w:bCs/>
          <w:i w:val="0"/>
          <w:iCs w:val="0"/>
          <w:caps w:val="0"/>
          <w:spacing w:val="0"/>
          <w:sz w:val="24"/>
          <w:szCs w:val="24"/>
          <w:shd w:val="clear" w:fill="FFFFFF"/>
          <w:lang w:val="en-US" w:eastAsia="zh-CN"/>
        </w:rPr>
        <w:t>202312200004</w:t>
      </w:r>
      <w:bookmarkStart w:id="45" w:name="_GoBack"/>
      <w:bookmarkEnd w:id="45"/>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二、</w:t>
      </w:r>
      <w:r>
        <w:rPr>
          <w:rStyle w:val="11"/>
          <w:rFonts w:hint="eastAsia" w:ascii="黑体" w:hAnsi="Segoe UI" w:eastAsia="黑体" w:cs="Segoe UI"/>
          <w:b w:val="0"/>
          <w:bCs/>
          <w:i w:val="0"/>
          <w:iCs w:val="0"/>
          <w:caps w:val="0"/>
          <w:spacing w:val="0"/>
          <w:sz w:val="24"/>
          <w:szCs w:val="24"/>
          <w:shd w:val="clear" w:fill="FFFFFF"/>
          <w:lang w:val="en-US" w:eastAsia="zh-CN"/>
        </w:rPr>
        <w:t>项目情况</w:t>
      </w:r>
      <w:r>
        <w:rPr>
          <w:rStyle w:val="11"/>
          <w:rFonts w:hint="default" w:ascii="黑体" w:hAnsi="Segoe UI" w:eastAsia="黑体" w:cs="Segoe UI"/>
          <w:b w:val="0"/>
          <w:bCs/>
          <w:i w:val="0"/>
          <w:iCs w:val="0"/>
          <w:caps w:val="0"/>
          <w:spacing w:val="0"/>
          <w:sz w:val="24"/>
          <w:szCs w:val="24"/>
          <w:shd w:val="clear" w:fill="FFFFFF"/>
        </w:rPr>
        <w:t>：</w:t>
      </w:r>
    </w:p>
    <w:tbl>
      <w:tblPr>
        <w:tblStyle w:val="8"/>
        <w:tblW w:w="7471"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70"/>
        <w:gridCol w:w="3717"/>
        <w:gridCol w:w="298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653" w:hRule="atLeast"/>
          <w:jc w:val="center"/>
        </w:trPr>
        <w:tc>
          <w:tcPr>
            <w:tcW w:w="770" w:type="dxa"/>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3717" w:type="dxa"/>
            <w:vAlign w:val="center"/>
          </w:tcPr>
          <w:p>
            <w:pPr>
              <w:spacing w:line="360" w:lineRule="auto"/>
              <w:ind w:firstLine="240" w:firstLineChars="100"/>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2984" w:type="dxa"/>
            <w:vAlign w:val="center"/>
          </w:tcPr>
          <w:p>
            <w:pPr>
              <w:tabs>
                <w:tab w:val="left" w:pos="611"/>
              </w:tabs>
              <w:spacing w:line="400" w:lineRule="exact"/>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服务区域</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07" w:hRule="atLeast"/>
          <w:jc w:val="center"/>
        </w:trPr>
        <w:tc>
          <w:tcPr>
            <w:tcW w:w="770" w:type="dxa"/>
            <w:vAlign w:val="center"/>
          </w:tcPr>
          <w:p>
            <w:pPr>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717" w:type="dxa"/>
            <w:vAlign w:val="center"/>
          </w:tcPr>
          <w:p>
            <w:pPr>
              <w:spacing w:line="360" w:lineRule="auto"/>
              <w:jc w:val="left"/>
              <w:rPr>
                <w:rFonts w:hint="default" w:ascii="仿宋" w:hAnsi="仿宋" w:eastAsia="仿宋" w:cs="仿宋"/>
                <w:color w:val="000000" w:themeColor="text1"/>
                <w:kern w:val="0"/>
                <w:sz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上海中电科信息科技大厦项目</w:t>
            </w:r>
            <w:r>
              <w:rPr>
                <w:rFonts w:hint="eastAsia" w:ascii="仿宋" w:hAnsi="仿宋" w:eastAsia="仿宋" w:cs="仿宋"/>
                <w:color w:val="0000FF"/>
                <w:kern w:val="0"/>
                <w:sz w:val="24"/>
                <w:szCs w:val="24"/>
                <w:lang w:val="en-US" w:eastAsia="zh-CN" w:bidi="ar-SA"/>
              </w:rPr>
              <w:t>消杀面积115002.61</w:t>
            </w:r>
            <w:r>
              <w:rPr>
                <w:rFonts w:hint="eastAsia" w:ascii="仿宋" w:hAnsi="仿宋" w:eastAsia="仿宋" w:cs="仿宋"/>
                <w:color w:val="000000" w:themeColor="text1"/>
                <w:kern w:val="0"/>
                <w:sz w:val="24"/>
                <w:szCs w:val="24"/>
                <w:lang w:val="en-US" w:eastAsia="zh-CN" w:bidi="ar-SA"/>
                <w14:textFill>
                  <w14:solidFill>
                    <w14:schemeClr w14:val="tx1"/>
                  </w14:solidFill>
                </w14:textFill>
              </w:rPr>
              <w:t>㎡，地址：上海市浦东新区白莲泾路127号</w:t>
            </w:r>
          </w:p>
        </w:tc>
        <w:tc>
          <w:tcPr>
            <w:tcW w:w="2984" w:type="dxa"/>
            <w:vAlign w:val="center"/>
          </w:tcPr>
          <w:p>
            <w:pPr>
              <w:tabs>
                <w:tab w:val="left" w:pos="611"/>
              </w:tabs>
              <w:spacing w:line="400" w:lineRule="exact"/>
              <w:jc w:val="left"/>
              <w:rPr>
                <w:rFonts w:ascii="仿宋" w:hAnsi="仿宋" w:eastAsia="仿宋" w:cs="仿宋"/>
                <w:color w:val="0000FF"/>
                <w:kern w:val="0"/>
                <w:sz w:val="24"/>
              </w:rPr>
            </w:pPr>
            <w:r>
              <w:rPr>
                <w:rFonts w:hint="eastAsia" w:ascii="仿宋" w:hAnsi="仿宋" w:eastAsia="仿宋" w:cs="仿宋"/>
                <w:color w:val="0000FF"/>
                <w:kern w:val="0"/>
                <w:sz w:val="24"/>
                <w:szCs w:val="24"/>
                <w:lang w:val="zh-CN" w:eastAsia="zh-CN" w:bidi="ar-SA"/>
              </w:rPr>
              <w:t>地下车库，地面楼层，机房，</w:t>
            </w:r>
            <w:r>
              <w:rPr>
                <w:rFonts w:hint="eastAsia" w:ascii="仿宋" w:hAnsi="仿宋" w:eastAsia="仿宋" w:cs="仿宋"/>
                <w:color w:val="0000FF"/>
                <w:kern w:val="0"/>
                <w:sz w:val="24"/>
                <w:szCs w:val="24"/>
                <w:lang w:val="en-US" w:eastAsia="zh-CN" w:bidi="ar-SA"/>
              </w:rPr>
              <w:t>配电室，</w:t>
            </w:r>
            <w:r>
              <w:rPr>
                <w:rFonts w:hint="eastAsia" w:ascii="仿宋" w:hAnsi="仿宋" w:eastAsia="仿宋" w:cs="仿宋"/>
                <w:color w:val="0000FF"/>
                <w:kern w:val="0"/>
                <w:sz w:val="24"/>
                <w:szCs w:val="24"/>
                <w:lang w:val="zh-CN" w:eastAsia="zh-CN" w:bidi="ar-SA"/>
              </w:rPr>
              <w:t>办公室、会议室，外围绿化带、草地等</w:t>
            </w:r>
            <w:r>
              <w:rPr>
                <w:rFonts w:hint="eastAsia" w:ascii="仿宋" w:hAnsi="仿宋" w:eastAsia="仿宋" w:cs="仿宋"/>
                <w:color w:val="0000FF"/>
                <w:kern w:val="0"/>
                <w:sz w:val="24"/>
                <w:szCs w:val="24"/>
                <w:lang w:val="en-US" w:eastAsia="zh-CN" w:bidi="ar-SA"/>
              </w:rPr>
              <w:t xml:space="preserve">区域的四害消杀服务，频次4次/月 </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07" w:hRule="atLeast"/>
          <w:jc w:val="center"/>
        </w:trPr>
        <w:tc>
          <w:tcPr>
            <w:tcW w:w="770" w:type="dxa"/>
            <w:vAlign w:val="center"/>
          </w:tcPr>
          <w:p>
            <w:pPr>
              <w:spacing w:line="360" w:lineRule="auto"/>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717" w:type="dxa"/>
            <w:vAlign w:val="center"/>
          </w:tcPr>
          <w:p>
            <w:pPr>
              <w:spacing w:line="360" w:lineRule="auto"/>
              <w:jc w:val="left"/>
              <w:rPr>
                <w:rFonts w:hint="default" w:ascii="仿宋" w:hAnsi="仿宋" w:eastAsia="仿宋" w:cs="仿宋"/>
                <w:color w:val="000000" w:themeColor="text1"/>
                <w:kern w:val="0"/>
                <w:sz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中电科418创享园项目</w:t>
            </w:r>
            <w:r>
              <w:rPr>
                <w:rFonts w:hint="eastAsia" w:ascii="仿宋" w:hAnsi="仿宋" w:eastAsia="仿宋" w:cs="仿宋"/>
                <w:color w:val="0000FF"/>
                <w:kern w:val="0"/>
                <w:sz w:val="24"/>
                <w:szCs w:val="24"/>
                <w:lang w:val="en-US" w:eastAsia="zh-CN" w:bidi="ar-SA"/>
              </w:rPr>
              <w:t>消杀面积26050㎡</w:t>
            </w:r>
            <w:r>
              <w:rPr>
                <w:rFonts w:hint="eastAsia" w:ascii="仿宋" w:hAnsi="仿宋" w:eastAsia="仿宋" w:cs="仿宋"/>
                <w:color w:val="000000" w:themeColor="text1"/>
                <w:kern w:val="0"/>
                <w:sz w:val="24"/>
                <w:szCs w:val="24"/>
                <w:lang w:val="en-US" w:eastAsia="zh-CN" w:bidi="ar-SA"/>
                <w14:textFill>
                  <w14:solidFill>
                    <w14:schemeClr w14:val="tx1"/>
                  </w14:solidFill>
                </w14:textFill>
              </w:rPr>
              <w:t>，地址：上海市徐汇区桂林路418号</w:t>
            </w:r>
          </w:p>
        </w:tc>
        <w:tc>
          <w:tcPr>
            <w:tcW w:w="2984" w:type="dxa"/>
            <w:vAlign w:val="center"/>
          </w:tcPr>
          <w:p>
            <w:pPr>
              <w:tabs>
                <w:tab w:val="left" w:pos="611"/>
              </w:tabs>
              <w:spacing w:line="400" w:lineRule="exact"/>
              <w:jc w:val="left"/>
              <w:rPr>
                <w:rFonts w:hint="default" w:ascii="仿宋" w:hAnsi="仿宋" w:cs="仿宋" w:eastAsiaTheme="minorEastAsia"/>
                <w:color w:val="0000FF"/>
                <w:sz w:val="24"/>
                <w:lang w:val="en-US" w:eastAsia="zh-CN"/>
              </w:rPr>
            </w:pPr>
            <w:r>
              <w:rPr>
                <w:rFonts w:hint="eastAsia" w:ascii="仿宋" w:hAnsi="仿宋" w:eastAsia="仿宋" w:cs="仿宋"/>
                <w:color w:val="0000FF"/>
                <w:kern w:val="0"/>
                <w:sz w:val="24"/>
                <w:szCs w:val="24"/>
                <w:lang w:val="zh-CN" w:eastAsia="zh-CN" w:bidi="ar-SA"/>
              </w:rPr>
              <w:t>1号楼，5号楼，7号楼，</w:t>
            </w:r>
            <w:r>
              <w:rPr>
                <w:rFonts w:hint="eastAsia" w:ascii="仿宋" w:hAnsi="仿宋" w:eastAsia="仿宋" w:cs="仿宋"/>
                <w:color w:val="0000FF"/>
                <w:kern w:val="0"/>
                <w:sz w:val="24"/>
                <w:szCs w:val="24"/>
                <w:lang w:val="en-US" w:eastAsia="zh-CN" w:bidi="ar-SA"/>
              </w:rPr>
              <w:t>配电室等区域四害消杀服务，频次2次/月</w:t>
            </w:r>
          </w:p>
        </w:tc>
      </w:tr>
    </w:tbl>
    <w:p>
      <w:pPr>
        <w:spacing w:line="500" w:lineRule="exact"/>
        <w:ind w:firstLine="480" w:firstLineChars="200"/>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zh-CN" w:eastAsia="zh-CN" w:bidi="ar-SA"/>
          <w14:textFill>
            <w14:solidFill>
              <w14:schemeClr w14:val="tx1"/>
            </w14:solidFill>
          </w14:textFill>
        </w:rPr>
        <w:t>由承包方提供消杀防治工具器械、药品、服务人员等，对承包范围区域的蚊、蝇、蟑、鼠、四害及白蚁进行消杀防治服务。具体消杀时间、消杀方式以项目需求为准。</w:t>
      </w:r>
    </w:p>
    <w:p>
      <w:pPr>
        <w:spacing w:line="500" w:lineRule="exac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技术要求：</w:t>
      </w:r>
    </w:p>
    <w:p>
      <w:pPr>
        <w:spacing w:line="500" w:lineRule="exact"/>
        <w:ind w:firstLine="480" w:firstLineChars="200"/>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zh-CN" w:eastAsia="zh-CN" w:bidi="ar-SA"/>
          <w14:textFill>
            <w14:solidFill>
              <w14:schemeClr w14:val="tx1"/>
            </w14:solidFill>
          </w14:textFill>
        </w:rPr>
        <w:t>1、验收的依据和标准：。</w:t>
      </w:r>
    </w:p>
    <w:p>
      <w:pPr>
        <w:spacing w:line="500" w:lineRule="exact"/>
        <w:ind w:firstLine="480" w:firstLineChars="200"/>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zh-CN" w:eastAsia="zh-CN" w:bidi="ar-SA"/>
          <w14:textFill>
            <w14:solidFill>
              <w14:schemeClr w14:val="tx1"/>
            </w14:solidFill>
          </w14:textFill>
        </w:rPr>
        <w:t>2、投标单位采购的药品要求必须环保，室内、室外用药要分开，有国家相关“三证”（农药登记证、生产许可证、质量合格证），主要用药必须符合本次招标的要求并经招标单位现场验收合格后方可使用。投标单位须科学用药、安全施药，不能破坏防治区域内的生态平衡。如药物对业主的人身安全造成影响，或在消杀范围内造成公害，所产生的责任后果概由投标单位承担。</w:t>
      </w:r>
    </w:p>
    <w:p>
      <w:pPr>
        <w:spacing w:line="500" w:lineRule="exact"/>
        <w:ind w:firstLine="480" w:firstLineChars="200"/>
        <w:rPr>
          <w:rFonts w:hint="eastAsia" w:ascii="仿宋" w:hAnsi="仿宋" w:eastAsia="仿宋" w:cs="仿宋"/>
          <w:color w:val="000000" w:themeColor="text1"/>
          <w:kern w:val="0"/>
          <w:sz w:val="24"/>
          <w:szCs w:val="24"/>
          <w:lang w:val="zh-CN" w:eastAsia="zh-CN" w:bidi="ar-SA"/>
          <w14:textFill>
            <w14:solidFill>
              <w14:schemeClr w14:val="tx1"/>
            </w14:solidFill>
          </w14:textFill>
        </w:rPr>
      </w:pPr>
      <w:r>
        <w:rPr>
          <w:rFonts w:hint="eastAsia" w:ascii="仿宋" w:hAnsi="仿宋" w:eastAsia="仿宋" w:cs="仿宋"/>
          <w:color w:val="000000" w:themeColor="text1"/>
          <w:kern w:val="0"/>
          <w:sz w:val="24"/>
          <w:szCs w:val="24"/>
          <w:lang w:val="zh-CN" w:eastAsia="zh-CN" w:bidi="ar-SA"/>
          <w14:textFill>
            <w14:solidFill>
              <w14:schemeClr w14:val="tx1"/>
            </w14:solidFill>
          </w14:textFill>
        </w:rPr>
        <w:t>3、用药未经招标单位验收或消杀未达到验收标准，造成返工及另行购料所引起的一切费用，由投标单位承担，对招标单位造成损失的，投标单位应予以赔偿。</w:t>
      </w:r>
    </w:p>
    <w:p>
      <w:pPr>
        <w:spacing w:line="500" w:lineRule="exact"/>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采购对接人：邢勇</w:t>
      </w:r>
    </w:p>
    <w:p>
      <w:pPr>
        <w:spacing w:line="500" w:lineRule="exact"/>
        <w:rPr>
          <w:rFonts w:hint="default"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联系地址及电话：上海市浦东新区白莲泾路127号，电话13917072624</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三、</w:t>
      </w:r>
      <w:r>
        <w:rPr>
          <w:rStyle w:val="11"/>
          <w:rFonts w:hint="eastAsia" w:ascii="黑体" w:hAnsi="Segoe UI" w:eastAsia="黑体" w:cs="Segoe UI"/>
          <w:b w:val="0"/>
          <w:bCs/>
          <w:i w:val="0"/>
          <w:iCs w:val="0"/>
          <w:caps w:val="0"/>
          <w:spacing w:val="0"/>
          <w:sz w:val="24"/>
          <w:szCs w:val="24"/>
          <w:shd w:val="clear" w:fill="FFFFFF"/>
          <w:lang w:val="en-US" w:eastAsia="zh-CN"/>
        </w:rPr>
        <w:t>供应商资格条件</w:t>
      </w:r>
      <w:r>
        <w:rPr>
          <w:rStyle w:val="11"/>
          <w:rFonts w:hint="default" w:ascii="黑体" w:hAnsi="Segoe UI" w:eastAsia="黑体" w:cs="Segoe UI"/>
          <w:b w:val="0"/>
          <w:bCs/>
          <w:i w:val="0"/>
          <w:iCs w:val="0"/>
          <w:caps w:val="0"/>
          <w:spacing w:val="0"/>
          <w:sz w:val="24"/>
          <w:szCs w:val="24"/>
          <w:shd w:val="clear" w:fill="FFFFFF"/>
        </w:rPr>
        <w:t>：</w:t>
      </w:r>
    </w:p>
    <w:p>
      <w:pPr>
        <w:numPr>
          <w:ilvl w:val="0"/>
          <w:numId w:val="2"/>
        </w:numPr>
        <w:spacing w:line="360" w:lineRule="auto"/>
        <w:ind w:left="426" w:hanging="142"/>
        <w:rPr>
          <w:rFonts w:ascii="仿宋" w:hAnsi="仿宋" w:eastAsia="仿宋" w:cs="Arial"/>
          <w:color w:val="auto"/>
          <w:sz w:val="24"/>
        </w:rPr>
      </w:pPr>
      <w:r>
        <w:rPr>
          <w:rFonts w:hint="eastAsia" w:ascii="仿宋" w:hAnsi="仿宋" w:eastAsia="仿宋" w:cs="Arial"/>
          <w:color w:val="auto"/>
          <w:sz w:val="24"/>
        </w:rPr>
        <w:t>具有独立承担</w:t>
      </w:r>
      <w:r>
        <w:rPr>
          <w:rFonts w:ascii="仿宋" w:hAnsi="仿宋" w:eastAsia="仿宋" w:cs="Arial"/>
          <w:color w:val="auto"/>
          <w:sz w:val="24"/>
        </w:rPr>
        <w:t>民事责任的能力</w:t>
      </w:r>
      <w:r>
        <w:rPr>
          <w:rFonts w:hint="eastAsia" w:ascii="仿宋" w:hAnsi="仿宋" w:eastAsia="仿宋" w:cs="Arial"/>
          <w:color w:val="auto"/>
          <w:sz w:val="24"/>
        </w:rPr>
        <w:t>，供应商必须在中华人民共和国境内合法注册，且具备有效营业执照，并处于正常营业状态，经营范围应体现供应商具有从事本次购项目所需服务的相关能力，投标人的所有出资者均须为中国投资者，“中国投资者”不包括外商投资企业，“外商投资企业”含港、澳、台地区；</w:t>
      </w:r>
    </w:p>
    <w:p>
      <w:pPr>
        <w:numPr>
          <w:ilvl w:val="0"/>
          <w:numId w:val="2"/>
        </w:numPr>
        <w:spacing w:line="360" w:lineRule="auto"/>
        <w:ind w:left="426" w:hanging="142"/>
        <w:rPr>
          <w:rFonts w:ascii="仿宋" w:hAnsi="仿宋" w:eastAsia="仿宋" w:cs="Arial"/>
          <w:b w:val="0"/>
          <w:bCs w:val="0"/>
          <w:color w:val="auto"/>
          <w:sz w:val="24"/>
        </w:rPr>
      </w:pPr>
      <w:r>
        <w:rPr>
          <w:rFonts w:hint="eastAsia" w:ascii="仿宋" w:hAnsi="仿宋" w:eastAsia="仿宋" w:cs="Arial"/>
          <w:b w:val="0"/>
          <w:bCs w:val="0"/>
          <w:color w:val="auto"/>
          <w:sz w:val="24"/>
        </w:rPr>
        <w:t>具有良好</w:t>
      </w:r>
      <w:r>
        <w:rPr>
          <w:rFonts w:ascii="仿宋" w:hAnsi="仿宋" w:eastAsia="仿宋" w:cs="Arial"/>
          <w:b w:val="0"/>
          <w:bCs w:val="0"/>
          <w:color w:val="auto"/>
          <w:sz w:val="24"/>
        </w:rPr>
        <w:t>的商业信誉和健全的财务会计制度；</w:t>
      </w:r>
    </w:p>
    <w:p>
      <w:pPr>
        <w:numPr>
          <w:ilvl w:val="0"/>
          <w:numId w:val="2"/>
        </w:numPr>
        <w:spacing w:line="360" w:lineRule="auto"/>
        <w:ind w:left="426" w:hanging="142"/>
        <w:rPr>
          <w:rFonts w:ascii="仿宋" w:hAnsi="仿宋" w:eastAsia="仿宋" w:cs="Arial"/>
          <w:color w:val="auto"/>
          <w:sz w:val="24"/>
        </w:rPr>
      </w:pPr>
      <w:r>
        <w:rPr>
          <w:rFonts w:hint="eastAsia" w:ascii="仿宋" w:hAnsi="仿宋" w:eastAsia="仿宋" w:cs="Arial"/>
          <w:color w:val="auto"/>
          <w:sz w:val="24"/>
        </w:rPr>
        <w:t>具有</w:t>
      </w:r>
      <w:r>
        <w:rPr>
          <w:rFonts w:ascii="仿宋" w:hAnsi="仿宋" w:eastAsia="仿宋" w:cs="Arial"/>
          <w:color w:val="auto"/>
          <w:sz w:val="24"/>
        </w:rPr>
        <w:t>履行合同所必</w:t>
      </w:r>
      <w:r>
        <w:rPr>
          <w:rFonts w:hint="eastAsia" w:ascii="仿宋" w:hAnsi="仿宋" w:eastAsia="仿宋" w:cs="Arial"/>
          <w:color w:val="auto"/>
          <w:sz w:val="24"/>
        </w:rPr>
        <w:t>需</w:t>
      </w:r>
      <w:r>
        <w:rPr>
          <w:rFonts w:ascii="仿宋" w:hAnsi="仿宋" w:eastAsia="仿宋" w:cs="Arial"/>
          <w:color w:val="auto"/>
          <w:sz w:val="24"/>
        </w:rPr>
        <w:t>的设备和专业技术能力</w:t>
      </w:r>
      <w:r>
        <w:rPr>
          <w:rFonts w:hint="eastAsia" w:ascii="仿宋" w:hAnsi="仿宋" w:eastAsia="仿宋" w:cs="Arial"/>
          <w:color w:val="auto"/>
          <w:sz w:val="24"/>
        </w:rPr>
        <w:t>；</w:t>
      </w:r>
    </w:p>
    <w:p>
      <w:pPr>
        <w:numPr>
          <w:ilvl w:val="0"/>
          <w:numId w:val="2"/>
        </w:numPr>
        <w:spacing w:line="360" w:lineRule="auto"/>
        <w:ind w:left="426" w:hanging="142"/>
        <w:rPr>
          <w:rFonts w:ascii="仿宋" w:hAnsi="仿宋" w:eastAsia="仿宋" w:cs="Arial"/>
          <w:b w:val="0"/>
          <w:bCs w:val="0"/>
          <w:color w:val="auto"/>
          <w:sz w:val="24"/>
        </w:rPr>
      </w:pPr>
      <w:r>
        <w:rPr>
          <w:rFonts w:hint="eastAsia" w:ascii="仿宋" w:hAnsi="仿宋" w:eastAsia="仿宋" w:cs="Arial"/>
          <w:b w:val="0"/>
          <w:bCs w:val="0"/>
          <w:color w:val="auto"/>
          <w:sz w:val="24"/>
        </w:rPr>
        <w:t>有依法</w:t>
      </w:r>
      <w:r>
        <w:rPr>
          <w:rFonts w:ascii="仿宋" w:hAnsi="仿宋" w:eastAsia="仿宋" w:cs="Arial"/>
          <w:b w:val="0"/>
          <w:bCs w:val="0"/>
          <w:color w:val="auto"/>
          <w:sz w:val="24"/>
        </w:rPr>
        <w:t>缴纳税收和社会保障资金的良好记录；</w:t>
      </w:r>
    </w:p>
    <w:p>
      <w:pPr>
        <w:numPr>
          <w:ilvl w:val="0"/>
          <w:numId w:val="2"/>
        </w:numPr>
        <w:spacing w:line="360" w:lineRule="auto"/>
        <w:ind w:left="426" w:hanging="142"/>
        <w:rPr>
          <w:rFonts w:ascii="仿宋" w:hAnsi="仿宋" w:eastAsia="仿宋" w:cs="Arial"/>
          <w:b w:val="0"/>
          <w:bCs w:val="0"/>
          <w:color w:val="auto"/>
          <w:sz w:val="24"/>
        </w:rPr>
      </w:pPr>
      <w:r>
        <w:rPr>
          <w:rFonts w:hint="eastAsia" w:ascii="仿宋" w:hAnsi="仿宋" w:eastAsia="仿宋" w:cs="Arial"/>
          <w:b w:val="0"/>
          <w:bCs w:val="0"/>
          <w:color w:val="auto"/>
          <w:sz w:val="24"/>
        </w:rPr>
        <w:t>参加本次</w:t>
      </w:r>
      <w:r>
        <w:rPr>
          <w:rFonts w:ascii="仿宋" w:hAnsi="仿宋" w:eastAsia="仿宋" w:cs="Arial"/>
          <w:b w:val="0"/>
          <w:bCs w:val="0"/>
          <w:color w:val="auto"/>
          <w:sz w:val="24"/>
        </w:rPr>
        <w:t>采购活动前三年内，在经营活动中没有重大违法记录；</w:t>
      </w:r>
    </w:p>
    <w:p>
      <w:pPr>
        <w:numPr>
          <w:ilvl w:val="0"/>
          <w:numId w:val="2"/>
        </w:numPr>
        <w:spacing w:line="360" w:lineRule="auto"/>
        <w:ind w:left="426" w:hanging="142"/>
        <w:rPr>
          <w:rFonts w:ascii="仿宋" w:hAnsi="仿宋" w:eastAsia="仿宋" w:cs="Arial"/>
          <w:color w:val="auto"/>
          <w:sz w:val="24"/>
        </w:rPr>
      </w:pPr>
      <w:r>
        <w:rPr>
          <w:rFonts w:hint="eastAsia" w:ascii="仿宋" w:hAnsi="仿宋" w:eastAsia="仿宋" w:cs="Arial"/>
          <w:color w:val="auto"/>
          <w:sz w:val="24"/>
        </w:rPr>
        <w:t>供应商不能是被列入“信用中国”网站(www.creditchina.gov.cn)、“中国政府采购网”(www.ccgp.gov.cn)失信被执行人、重大税收违法案件当事人名单、政府采购严重违法失信行为记录名单。信用信息查询截止时点：同提交响应文件截止期日，即查询供应商的信用信息记录；</w:t>
      </w:r>
    </w:p>
    <w:p>
      <w:pPr>
        <w:numPr>
          <w:ilvl w:val="0"/>
          <w:numId w:val="2"/>
        </w:numPr>
        <w:spacing w:line="360" w:lineRule="auto"/>
        <w:ind w:left="426" w:hanging="142"/>
        <w:rPr>
          <w:rFonts w:ascii="仿宋" w:hAnsi="仿宋" w:eastAsia="仿宋" w:cs="Arial"/>
          <w:b/>
          <w:bCs/>
          <w:color w:val="auto"/>
          <w:sz w:val="24"/>
        </w:rPr>
      </w:pPr>
      <w:r>
        <w:rPr>
          <w:rFonts w:hint="eastAsia" w:ascii="仿宋" w:hAnsi="仿宋" w:eastAsia="仿宋" w:cs="Arial"/>
          <w:b/>
          <w:bCs/>
          <w:color w:val="auto"/>
          <w:sz w:val="24"/>
          <w:lang w:val="en-US" w:eastAsia="zh-CN"/>
        </w:rPr>
        <w:t>具有地市级以上爱卫部门或有害生物防治相关协会核发的灭鼠杀虫资质证书。</w:t>
      </w:r>
    </w:p>
    <w:p>
      <w:pPr>
        <w:numPr>
          <w:ilvl w:val="0"/>
          <w:numId w:val="2"/>
        </w:numPr>
        <w:spacing w:line="360" w:lineRule="auto"/>
        <w:ind w:left="426" w:hanging="142"/>
        <w:rPr>
          <w:rFonts w:ascii="仿宋" w:hAnsi="仿宋" w:eastAsia="仿宋" w:cs="Arial"/>
          <w:color w:val="auto"/>
          <w:sz w:val="24"/>
        </w:rPr>
      </w:pPr>
      <w:r>
        <w:rPr>
          <w:rFonts w:hint="eastAsia" w:ascii="仿宋" w:hAnsi="仿宋" w:eastAsia="仿宋" w:cs="Arial"/>
          <w:color w:val="auto"/>
          <w:sz w:val="24"/>
        </w:rPr>
        <w:t>本项目不接受联合体。</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四、</w:t>
      </w:r>
      <w:r>
        <w:rPr>
          <w:rStyle w:val="11"/>
          <w:rFonts w:hint="eastAsia" w:ascii="黑体" w:hAnsi="Segoe UI" w:eastAsia="黑体" w:cs="Segoe UI"/>
          <w:b w:val="0"/>
          <w:bCs/>
          <w:i w:val="0"/>
          <w:iCs w:val="0"/>
          <w:caps w:val="0"/>
          <w:spacing w:val="0"/>
          <w:sz w:val="24"/>
          <w:szCs w:val="24"/>
          <w:shd w:val="clear" w:fill="FFFFFF"/>
          <w:lang w:val="en-US" w:eastAsia="zh-CN"/>
        </w:rPr>
        <w:t>供应商入库须知</w:t>
      </w:r>
      <w:r>
        <w:rPr>
          <w:rStyle w:val="11"/>
          <w:rFonts w:hint="default" w:ascii="黑体" w:hAnsi="Segoe UI" w:eastAsia="黑体" w:cs="Segoe UI"/>
          <w:b w:val="0"/>
          <w:bCs/>
          <w:i w:val="0"/>
          <w:iCs w:val="0"/>
          <w:caps w:val="0"/>
          <w:spacing w:val="0"/>
          <w:sz w:val="24"/>
          <w:szCs w:val="24"/>
          <w:shd w:val="clear" w:fill="FFFFFF"/>
        </w:rPr>
        <w:t>：</w:t>
      </w:r>
    </w:p>
    <w:p>
      <w:pPr>
        <w:keepNext w:val="0"/>
        <w:keepLines w:val="0"/>
        <w:widowControl w:val="0"/>
        <w:suppressLineNumbers w:val="0"/>
        <w:spacing w:before="0" w:beforeAutospacing="0" w:after="0" w:afterAutospacing="0" w:line="360" w:lineRule="auto"/>
        <w:ind w:left="424" w:leftChars="202" w:right="0" w:firstLine="480" w:firstLineChars="200"/>
        <w:jc w:val="both"/>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kern w:val="2"/>
          <w:sz w:val="24"/>
          <w:szCs w:val="24"/>
          <w:lang w:val="en-US" w:eastAsia="zh-CN" w:bidi="ar"/>
        </w:rPr>
        <w:t>参加采购活动的响应供应商未进入采购供应商库的，请详阅电科电子采购平台（http://www.cetceg.com）“操作帮助”，及时办理入库登记手续。</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五、</w:t>
      </w:r>
      <w:r>
        <w:rPr>
          <w:rStyle w:val="11"/>
          <w:rFonts w:hint="eastAsia" w:ascii="黑体" w:hAnsi="Segoe UI" w:eastAsia="黑体" w:cs="Segoe UI"/>
          <w:b w:val="0"/>
          <w:bCs/>
          <w:i w:val="0"/>
          <w:iCs w:val="0"/>
          <w:caps w:val="0"/>
          <w:spacing w:val="0"/>
          <w:sz w:val="24"/>
          <w:szCs w:val="24"/>
          <w:shd w:val="clear" w:fill="FFFFFF"/>
          <w:lang w:val="en-US" w:eastAsia="zh-CN"/>
        </w:rPr>
        <w:t>领取采购文件的时间、方式</w:t>
      </w:r>
      <w:r>
        <w:rPr>
          <w:rStyle w:val="11"/>
          <w:rFonts w:hint="default" w:ascii="黑体" w:hAnsi="Segoe UI" w:eastAsia="黑体" w:cs="Segoe UI"/>
          <w:b w:val="0"/>
          <w:bCs/>
          <w:i w:val="0"/>
          <w:iCs w:val="0"/>
          <w:caps w:val="0"/>
          <w:spacing w:val="0"/>
          <w:sz w:val="24"/>
          <w:szCs w:val="24"/>
          <w:shd w:val="clear" w:fill="FFFFFF"/>
        </w:rPr>
        <w:t>：</w:t>
      </w:r>
    </w:p>
    <w:p>
      <w:pPr>
        <w:spacing w:line="360" w:lineRule="auto"/>
        <w:ind w:left="424" w:leftChars="202" w:firstLine="480" w:firstLineChars="200"/>
        <w:rPr>
          <w:rFonts w:ascii="仿宋" w:hAnsi="仿宋" w:eastAsia="仿宋" w:cs="Arial"/>
          <w:bCs/>
          <w:color w:val="000000" w:themeColor="text1"/>
          <w:sz w:val="24"/>
          <w14:textFill>
            <w14:solidFill>
              <w14:schemeClr w14:val="tx1"/>
            </w14:solidFill>
          </w14:textFill>
        </w:rPr>
      </w:pPr>
      <w:r>
        <w:rPr>
          <w:rFonts w:hint="eastAsia" w:ascii="仿宋" w:hAnsi="仿宋" w:eastAsia="仿宋" w:cs="仿宋"/>
          <w:color w:val="0000FF"/>
          <w:kern w:val="0"/>
          <w:sz w:val="24"/>
          <w:szCs w:val="24"/>
          <w:lang w:val="en-US" w:eastAsia="zh-CN" w:bidi="ar-SA"/>
        </w:rPr>
        <w:t>2023年12月21日12时起至2023年12月25日12时</w:t>
      </w:r>
      <w:r>
        <w:rPr>
          <w:rFonts w:hint="eastAsia" w:ascii="仿宋" w:hAnsi="仿宋" w:eastAsia="仿宋" w:cs="Arial"/>
          <w:bCs/>
          <w:color w:val="000000" w:themeColor="text1"/>
          <w:sz w:val="24"/>
          <w14:textFill>
            <w14:solidFill>
              <w14:schemeClr w14:val="tx1"/>
            </w14:solidFill>
          </w14:textFill>
        </w:rPr>
        <w:t>（节假日除外，每日</w:t>
      </w:r>
      <w:r>
        <w:rPr>
          <w:rFonts w:hint="eastAsia" w:ascii="仿宋" w:hAnsi="仿宋" w:eastAsia="仿宋" w:cs="Arial"/>
          <w:bCs/>
          <w:color w:val="000000" w:themeColor="text1"/>
          <w:sz w:val="24"/>
          <w:lang w:val="en-US" w:eastAsia="zh-CN"/>
          <w14:textFill>
            <w14:solidFill>
              <w14:schemeClr w14:val="tx1"/>
            </w14:solidFill>
          </w14:textFill>
        </w:rPr>
        <w:t>8</w:t>
      </w:r>
      <w:r>
        <w:rPr>
          <w:rFonts w:hint="eastAsia" w:ascii="仿宋" w:hAnsi="仿宋" w:eastAsia="仿宋" w:cs="Arial"/>
          <w:bCs/>
          <w:color w:val="000000" w:themeColor="text1"/>
          <w:sz w:val="24"/>
          <w14:textFill>
            <w14:solidFill>
              <w14:schemeClr w14:val="tx1"/>
            </w14:solidFill>
          </w14:textFill>
        </w:rPr>
        <w:t>:</w:t>
      </w:r>
      <w:r>
        <w:rPr>
          <w:rFonts w:hint="eastAsia" w:ascii="仿宋" w:hAnsi="仿宋" w:eastAsia="仿宋" w:cs="Arial"/>
          <w:bCs/>
          <w:color w:val="000000" w:themeColor="text1"/>
          <w:sz w:val="24"/>
          <w:lang w:val="en-US" w:eastAsia="zh-CN"/>
          <w14:textFill>
            <w14:solidFill>
              <w14:schemeClr w14:val="tx1"/>
            </w14:solidFill>
          </w14:textFill>
        </w:rPr>
        <w:t>30</w:t>
      </w:r>
      <w:r>
        <w:rPr>
          <w:rFonts w:hint="eastAsia" w:ascii="仿宋" w:hAnsi="仿宋" w:eastAsia="仿宋" w:cs="Arial"/>
          <w:bCs/>
          <w:color w:val="000000" w:themeColor="text1"/>
          <w:sz w:val="24"/>
          <w14:textFill>
            <w14:solidFill>
              <w14:schemeClr w14:val="tx1"/>
            </w14:solidFill>
          </w14:textFill>
        </w:rPr>
        <w:t>--17:</w:t>
      </w:r>
      <w:r>
        <w:rPr>
          <w:rFonts w:hint="eastAsia" w:ascii="仿宋" w:hAnsi="仿宋" w:eastAsia="仿宋" w:cs="Arial"/>
          <w:bCs/>
          <w:color w:val="000000" w:themeColor="text1"/>
          <w:sz w:val="24"/>
          <w:lang w:val="en-US" w:eastAsia="zh-CN"/>
          <w14:textFill>
            <w14:solidFill>
              <w14:schemeClr w14:val="tx1"/>
            </w14:solidFill>
          </w14:textFill>
        </w:rPr>
        <w:t>3</w:t>
      </w:r>
      <w:r>
        <w:rPr>
          <w:rFonts w:hint="eastAsia" w:ascii="仿宋" w:hAnsi="仿宋" w:eastAsia="仿宋" w:cs="Arial"/>
          <w:bCs/>
          <w:color w:val="000000" w:themeColor="text1"/>
          <w:sz w:val="24"/>
          <w14:textFill>
            <w14:solidFill>
              <w14:schemeClr w14:val="tx1"/>
            </w14:solidFill>
          </w14:textFill>
        </w:rPr>
        <w:t>0北京时间），供应商可到电科电子采购平台领取或网上下载。</w:t>
      </w:r>
    </w:p>
    <w:p>
      <w:pPr>
        <w:spacing w:line="360" w:lineRule="auto"/>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Cs/>
          <w:color w:val="000000" w:themeColor="text1"/>
          <w:sz w:val="24"/>
          <w14:textFill>
            <w14:solidFill>
              <w14:schemeClr w14:val="tx1"/>
            </w14:solidFill>
          </w14:textFill>
        </w:rPr>
        <w:t>采购文件发售价格：免费</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六、</w:t>
      </w:r>
      <w:r>
        <w:rPr>
          <w:rFonts w:hint="eastAsia" w:ascii="仿宋" w:hAnsi="仿宋" w:eastAsia="仿宋" w:cs="Arial"/>
          <w:b/>
          <w:color w:val="000000" w:themeColor="text1"/>
          <w:sz w:val="24"/>
          <w14:textFill>
            <w14:solidFill>
              <w14:schemeClr w14:val="tx1"/>
            </w14:solidFill>
          </w14:textFill>
        </w:rPr>
        <w:t>递交响应文件截止时间，递交响应文件及地点</w:t>
      </w:r>
      <w:r>
        <w:rPr>
          <w:rStyle w:val="11"/>
          <w:rFonts w:hint="default" w:ascii="黑体" w:hAnsi="Segoe UI" w:eastAsia="黑体" w:cs="Segoe UI"/>
          <w:b w:val="0"/>
          <w:bCs/>
          <w:i w:val="0"/>
          <w:iCs w:val="0"/>
          <w:caps w:val="0"/>
          <w:spacing w:val="0"/>
          <w:sz w:val="24"/>
          <w:szCs w:val="24"/>
          <w:shd w:val="clear" w:fill="FFFFFF"/>
        </w:rPr>
        <w:t>：</w:t>
      </w:r>
    </w:p>
    <w:p>
      <w:pPr>
        <w:pStyle w:val="6"/>
        <w:widowControl/>
        <w:shd w:val="clear" w:color="auto" w:fill="FFFFFF"/>
        <w:spacing w:line="360" w:lineRule="exact"/>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2"/>
          <w:sz w:val="24"/>
          <w:szCs w:val="24"/>
          <w:lang w:val="en-US" w:eastAsia="zh-CN" w:bidi="ar-SA"/>
          <w14:textFill>
            <w14:solidFill>
              <w14:schemeClr w14:val="tx1"/>
            </w14:solidFill>
          </w14:textFill>
        </w:rPr>
        <w:t>1.响应文件递交的截止时间（响应截止时间，下同）为</w:t>
      </w:r>
      <w:r>
        <w:rPr>
          <w:rFonts w:hint="eastAsia" w:ascii="仿宋" w:hAnsi="仿宋" w:eastAsia="仿宋" w:cs="仿宋"/>
          <w:color w:val="0000FF"/>
          <w:kern w:val="0"/>
          <w:sz w:val="24"/>
          <w:szCs w:val="24"/>
          <w:lang w:val="en-US" w:eastAsia="zh-CN" w:bidi="ar-SA"/>
        </w:rPr>
        <w:t>2023年12月25日12时</w:t>
      </w:r>
      <w:r>
        <w:rPr>
          <w:rFonts w:hint="eastAsia" w:ascii="仿宋" w:hAnsi="仿宋" w:eastAsia="仿宋" w:cs="Arial"/>
          <w:color w:val="000000" w:themeColor="text1"/>
          <w:kern w:val="2"/>
          <w:sz w:val="24"/>
          <w:szCs w:val="24"/>
          <w:lang w:val="en-US" w:eastAsia="zh-CN" w:bidi="ar-SA"/>
          <w14:textFill>
            <w14:solidFill>
              <w14:schemeClr w14:val="tx1"/>
            </w14:solidFill>
          </w14:textFill>
        </w:rPr>
        <w:t>。</w:t>
      </w:r>
    </w:p>
    <w:p>
      <w:pPr>
        <w:pStyle w:val="6"/>
        <w:widowControl/>
        <w:shd w:val="clear" w:color="auto" w:fill="FFFFFF"/>
        <w:spacing w:line="360" w:lineRule="auto"/>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2"/>
          <w:sz w:val="24"/>
          <w:szCs w:val="24"/>
          <w:lang w:val="en-US" w:eastAsia="zh-CN" w:bidi="ar-SA"/>
          <w14:textFill>
            <w14:solidFill>
              <w14:schemeClr w14:val="tx1"/>
            </w14:solidFill>
          </w14:textFill>
        </w:rPr>
        <w:t>2.响应文件递交方式：</w:t>
      </w:r>
    </w:p>
    <w:p>
      <w:pPr>
        <w:pStyle w:val="6"/>
        <w:widowControl/>
        <w:shd w:val="clear" w:color="auto" w:fill="FFFFFF"/>
        <w:spacing w:line="360" w:lineRule="auto"/>
        <w:rPr>
          <w:rFonts w:hint="eastAsia" w:ascii="仿宋" w:hAnsi="仿宋" w:eastAsia="仿宋" w:cs="Arial"/>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2"/>
          <w:sz w:val="24"/>
          <w:szCs w:val="24"/>
          <w:lang w:val="en-US" w:eastAsia="zh-CN" w:bidi="ar-SA"/>
          <w14:textFill>
            <w14:solidFill>
              <w14:schemeClr w14:val="tx1"/>
            </w14:solidFill>
          </w14:textFill>
        </w:rPr>
        <w:t>2.1电子响应文件：按电科电子采购平台操作指南及本采购文件要求制作并递交。供应商应于</w:t>
      </w:r>
      <w:r>
        <w:rPr>
          <w:rFonts w:hint="eastAsia" w:ascii="仿宋" w:hAnsi="仿宋" w:eastAsia="仿宋" w:cs="仿宋"/>
          <w:color w:val="0000FF"/>
          <w:kern w:val="0"/>
          <w:sz w:val="24"/>
          <w:szCs w:val="24"/>
          <w:lang w:val="en-US" w:eastAsia="zh-CN" w:bidi="ar-SA"/>
        </w:rPr>
        <w:t>2023年12月25日12：00</w:t>
      </w:r>
      <w:r>
        <w:rPr>
          <w:rFonts w:hint="eastAsia" w:ascii="仿宋" w:hAnsi="仿宋" w:eastAsia="仿宋" w:cs="Arial"/>
          <w:color w:val="000000" w:themeColor="text1"/>
          <w:kern w:val="2"/>
          <w:sz w:val="24"/>
          <w:szCs w:val="24"/>
          <w:lang w:val="en-US" w:eastAsia="zh-CN" w:bidi="ar-SA"/>
          <w14:textFill>
            <w14:solidFill>
              <w14:schemeClr w14:val="tx1"/>
            </w14:solidFill>
          </w14:textFill>
        </w:rPr>
        <w:t>（北京时间）前将制作的电子版响应文件上传到电科电子采购平台系统中（未准时上传的视为放弃投标资格，作无效标处理）。</w:t>
      </w:r>
    </w:p>
    <w:p>
      <w:pPr>
        <w:widowControl/>
        <w:spacing w:line="460" w:lineRule="atLeast"/>
        <w:ind w:right="6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Arial"/>
          <w:color w:val="000000" w:themeColor="text1"/>
          <w:kern w:val="2"/>
          <w:sz w:val="24"/>
          <w:szCs w:val="24"/>
          <w:lang w:val="en-US" w:eastAsia="zh-CN" w:bidi="ar-SA"/>
          <w14:textFill>
            <w14:solidFill>
              <w14:schemeClr w14:val="tx1"/>
            </w14:solidFill>
          </w14:textFill>
        </w:rPr>
        <w:t>2.2备份响应文件（纸质版）：</w:t>
      </w:r>
    </w:p>
    <w:p>
      <w:pPr>
        <w:widowControl/>
        <w:spacing w:line="460" w:lineRule="atLeast"/>
        <w:ind w:left="44" w:leftChars="21" w:right="60"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(1)根据规定，本次响应应递交备份响应文件，仅提交备份响应文件的，响应无效。</w:t>
      </w:r>
    </w:p>
    <w:p>
      <w:pPr>
        <w:widowControl/>
        <w:spacing w:line="460" w:lineRule="atLeast"/>
        <w:ind w:left="44" w:leftChars="21" w:right="60"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(2)备份响应文件：</w:t>
      </w:r>
      <w:r>
        <w:rPr>
          <w:rFonts w:hint="eastAsia" w:ascii="仿宋" w:hAnsi="仿宋" w:eastAsia="仿宋" w:cs="仿宋"/>
          <w:color w:val="000000" w:themeColor="text1"/>
          <w:sz w:val="24"/>
          <w14:textFill>
            <w14:solidFill>
              <w14:schemeClr w14:val="tx1"/>
            </w14:solidFill>
          </w14:textFill>
        </w:rPr>
        <w:t>指与“电子响应文件”</w:t>
      </w:r>
      <w:r>
        <w:rPr>
          <w:rFonts w:hint="eastAsia" w:ascii="仿宋" w:hAnsi="仿宋" w:eastAsia="仿宋" w:cs="仿宋"/>
          <w:color w:val="000000" w:themeColor="text1"/>
          <w:sz w:val="24"/>
          <w:lang w:val="en-US" w:eastAsia="zh-CN"/>
          <w14:textFill>
            <w14:solidFill>
              <w14:schemeClr w14:val="tx1"/>
            </w14:solidFill>
          </w14:textFill>
        </w:rPr>
        <w:t>相对应</w:t>
      </w:r>
      <w:r>
        <w:rPr>
          <w:rFonts w:hint="eastAsia" w:ascii="仿宋" w:hAnsi="仿宋" w:eastAsia="仿宋" w:cs="仿宋"/>
          <w:color w:val="000000" w:themeColor="text1"/>
          <w:sz w:val="24"/>
          <w14:textFill>
            <w14:solidFill>
              <w14:schemeClr w14:val="tx1"/>
            </w14:solidFill>
          </w14:textFill>
        </w:rPr>
        <w:t>纸质盖章版响应文件。纸质盖章版响应文件需以文件册方式提供</w:t>
      </w:r>
      <w:r>
        <w:rPr>
          <w:rFonts w:hint="eastAsia" w:ascii="仿宋" w:hAnsi="仿宋" w:eastAsia="仿宋" w:cs="仿宋"/>
          <w:color w:val="000000" w:themeColor="text1"/>
          <w:kern w:val="0"/>
          <w:sz w:val="24"/>
          <w14:textFill>
            <w14:solidFill>
              <w14:schemeClr w14:val="tx1"/>
            </w14:solidFill>
          </w14:textFill>
        </w:rPr>
        <w:t>。数量为1份。</w:t>
      </w:r>
      <w:r>
        <w:rPr>
          <w:rFonts w:hint="eastAsia" w:ascii="仿宋" w:hAnsi="仿宋" w:eastAsia="仿宋" w:cs="仿宋"/>
          <w:color w:val="000000" w:themeColor="text1"/>
          <w:sz w:val="24"/>
          <w14:textFill>
            <w14:solidFill>
              <w14:schemeClr w14:val="tx1"/>
            </w14:solidFill>
          </w14:textFill>
        </w:rPr>
        <w:t>递交方式：可以通过邮寄方式或当面递交方式送达。“备份响应文件”应当密封包装并在包装上标注项目名称、响应单位名称、联系电话并加盖公章。</w:t>
      </w:r>
    </w:p>
    <w:p>
      <w:pPr>
        <w:widowControl/>
        <w:spacing w:line="460" w:lineRule="atLeast"/>
        <w:ind w:left="44" w:leftChars="21" w:right="6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邮寄、递交地址为：</w:t>
      </w:r>
      <w:r>
        <w:rPr>
          <w:rFonts w:hint="eastAsia" w:ascii="仿宋" w:hAnsi="仿宋" w:eastAsia="仿宋" w:cs="仿宋"/>
          <w:color w:val="0000FF"/>
          <w:kern w:val="0"/>
          <w:sz w:val="24"/>
          <w:szCs w:val="24"/>
          <w:lang w:val="en-US" w:eastAsia="zh-CN" w:bidi="ar-SA"/>
        </w:rPr>
        <w:t>中电科（北京）物业管理有限公司，地址：上海市浦东新区白莲泾路127号，联系人：邢勇，联系电话：13917072624。</w:t>
      </w:r>
      <w:r>
        <w:rPr>
          <w:rFonts w:hint="eastAsia" w:ascii="仿宋" w:hAnsi="仿宋" w:eastAsia="仿宋" w:cs="仿宋"/>
          <w:color w:val="000000" w:themeColor="text1"/>
          <w:sz w:val="24"/>
          <w14:textFill>
            <w14:solidFill>
              <w14:schemeClr w14:val="tx1"/>
            </w14:solidFill>
          </w14:textFill>
        </w:rPr>
        <w:t>供应商应于响应截至时间前准时送达，</w:t>
      </w:r>
      <w:r>
        <w:rPr>
          <w:rFonts w:hint="eastAsia" w:ascii="仿宋" w:hAnsi="仿宋" w:eastAsia="仿宋" w:cs="仿宋"/>
          <w:color w:val="000000" w:themeColor="text1"/>
          <w:kern w:val="0"/>
          <w:sz w:val="24"/>
          <w:lang w:val="zh-CN"/>
          <w14:textFill>
            <w14:solidFill>
              <w14:schemeClr w14:val="tx1"/>
            </w14:solidFill>
          </w14:textFill>
        </w:rPr>
        <w:t>到付件拒收</w:t>
      </w:r>
      <w:r>
        <w:rPr>
          <w:rFonts w:hint="eastAsia" w:ascii="仿宋" w:hAnsi="仿宋" w:eastAsia="仿宋" w:cs="仿宋"/>
          <w:color w:val="000000" w:themeColor="text1"/>
          <w:sz w:val="24"/>
          <w14:textFill>
            <w14:solidFill>
              <w14:schemeClr w14:val="tx1"/>
            </w14:solidFill>
          </w14:textFill>
        </w:rPr>
        <w:t>。以收件人实际签收时间为准，收件人签收后将予以确认，逾期送达或未密封的将拒绝接收。</w:t>
      </w:r>
    </w:p>
    <w:p>
      <w:pPr>
        <w:widowControl/>
        <w:spacing w:line="460" w:lineRule="atLeas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注：</w:t>
      </w:r>
      <w:r>
        <w:rPr>
          <w:rFonts w:hint="eastAsia" w:ascii="仿宋" w:hAnsi="仿宋" w:eastAsia="仿宋" w:cs="仿宋"/>
          <w:b/>
          <w:bCs/>
          <w:color w:val="000000" w:themeColor="text1"/>
          <w:kern w:val="0"/>
          <w:sz w:val="24"/>
          <w14:textFill>
            <w14:solidFill>
              <w14:schemeClr w14:val="tx1"/>
            </w14:solidFill>
          </w14:textFill>
        </w:rPr>
        <w:t>自公告之日起至投标截止时间，供应商需留足备份响应文件邮寄或当面递交时间,确保备份响应文件于规定时间前送达规定地点，因自身贻误行为导致投标失败的，责任自负。备份文件逾期送达指定地点的，备份文件将被拒绝。</w:t>
      </w:r>
    </w:p>
    <w:p>
      <w:pPr>
        <w:spacing w:line="360" w:lineRule="auto"/>
        <w:jc w:val="left"/>
        <w:rPr>
          <w:rFonts w:hint="default" w:ascii="Segoe UI" w:hAnsi="Segoe UI" w:eastAsia="Segoe UI" w:cs="Segoe UI"/>
          <w:i w:val="0"/>
          <w:iCs w:val="0"/>
          <w:caps w:val="0"/>
          <w:spacing w:val="0"/>
          <w:sz w:val="24"/>
          <w:szCs w:val="24"/>
          <w:shd w:val="clear" w:fill="FFFFFF"/>
        </w:rPr>
      </w:pPr>
      <w:r>
        <w:rPr>
          <w:rFonts w:hint="eastAsia" w:ascii="仿宋" w:hAnsi="仿宋" w:eastAsia="仿宋" w:cs="仿宋"/>
          <w:color w:val="000000" w:themeColor="text1"/>
          <w:sz w:val="24"/>
          <w:szCs w:val="24"/>
          <w14:textFill>
            <w14:solidFill>
              <w14:schemeClr w14:val="tx1"/>
            </w14:solidFill>
          </w14:textFill>
        </w:rPr>
        <w:t>3、按照“不见面、少接触”的原则，本项目采取“不见面”形式进行开评标活动,法定代表人或其授权代表无须到场，在线响应即可（通过电科电子采购平台等）。</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七、</w:t>
      </w:r>
      <w:r>
        <w:rPr>
          <w:rStyle w:val="11"/>
          <w:rFonts w:hint="eastAsia" w:ascii="黑体" w:hAnsi="Segoe UI" w:eastAsia="黑体" w:cs="Segoe UI"/>
          <w:b w:val="0"/>
          <w:bCs/>
          <w:i w:val="0"/>
          <w:iCs w:val="0"/>
          <w:caps w:val="0"/>
          <w:spacing w:val="0"/>
          <w:sz w:val="24"/>
          <w:szCs w:val="24"/>
          <w:shd w:val="clear" w:fill="FFFFFF"/>
          <w:lang w:val="en-US" w:eastAsia="zh-CN"/>
        </w:rPr>
        <w:t>评审地址</w:t>
      </w:r>
      <w:r>
        <w:rPr>
          <w:rStyle w:val="11"/>
          <w:rFonts w:hint="default" w:ascii="黑体" w:hAnsi="Segoe UI" w:eastAsia="黑体" w:cs="Segoe UI"/>
          <w:b w:val="0"/>
          <w:bCs/>
          <w:i w:val="0"/>
          <w:iCs w:val="0"/>
          <w:caps w:val="0"/>
          <w:spacing w:val="0"/>
          <w:sz w:val="24"/>
          <w:szCs w:val="24"/>
          <w:shd w:val="clear" w:fill="FFFFFF"/>
        </w:rPr>
        <w:t>：</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FF"/>
          <w:kern w:val="0"/>
          <w:sz w:val="24"/>
          <w:szCs w:val="24"/>
          <w:lang w:val="en-US" w:eastAsia="zh-CN" w:bidi="ar-SA"/>
        </w:rPr>
        <w:t>中电科（北京）物业管理有限公司，上海市浦东新区白莲泾路127号</w:t>
      </w:r>
    </w:p>
    <w:p>
      <w:pPr>
        <w:pStyle w:val="6"/>
        <w:keepNext w:val="0"/>
        <w:keepLines w:val="0"/>
        <w:widowControl/>
        <w:numPr>
          <w:ilvl w:val="0"/>
          <w:numId w:val="3"/>
        </w:numPr>
        <w:suppressLineNumbers w:val="0"/>
        <w:shd w:val="clear" w:fill="FFFFFF"/>
        <w:snapToGrid/>
        <w:spacing w:before="200" w:beforeAutospacing="0" w:after="100" w:afterAutospacing="0" w:line="240" w:lineRule="auto"/>
        <w:ind w:left="0" w:leftChars="0" w:right="0" w:rightChars="0" w:firstLine="0" w:firstLineChars="0"/>
        <w:jc w:val="left"/>
        <w:outlineLvl w:val="0"/>
        <w:rPr>
          <w:rStyle w:val="11"/>
          <w:rFonts w:hint="default" w:ascii="黑体" w:hAnsi="Segoe UI" w:eastAsia="黑体" w:cs="Segoe UI"/>
          <w:b w:val="0"/>
          <w:bCs/>
          <w:i w:val="0"/>
          <w:iCs w:val="0"/>
          <w:caps w:val="0"/>
          <w:spacing w:val="0"/>
          <w:sz w:val="24"/>
          <w:szCs w:val="24"/>
          <w:shd w:val="clear" w:fill="FFFFFF"/>
        </w:rPr>
      </w:pPr>
      <w:r>
        <w:rPr>
          <w:rStyle w:val="11"/>
          <w:rFonts w:hint="eastAsia" w:ascii="黑体" w:hAnsi="Segoe UI" w:eastAsia="黑体" w:cs="Segoe UI"/>
          <w:b w:val="0"/>
          <w:bCs/>
          <w:i w:val="0"/>
          <w:iCs w:val="0"/>
          <w:caps w:val="0"/>
          <w:spacing w:val="0"/>
          <w:sz w:val="24"/>
          <w:szCs w:val="24"/>
          <w:shd w:val="clear" w:fill="FFFFFF"/>
          <w:lang w:val="en-US" w:eastAsia="zh-CN"/>
        </w:rPr>
        <w:t>评审截止时间及评审标准</w:t>
      </w:r>
      <w:r>
        <w:rPr>
          <w:rStyle w:val="11"/>
          <w:rFonts w:hint="default" w:ascii="黑体" w:hAnsi="Segoe UI" w:eastAsia="黑体" w:cs="Segoe UI"/>
          <w:b w:val="0"/>
          <w:bCs/>
          <w:i w:val="0"/>
          <w:iCs w:val="0"/>
          <w:caps w:val="0"/>
          <w:spacing w:val="0"/>
          <w:sz w:val="24"/>
          <w:szCs w:val="24"/>
          <w:shd w:val="clear" w:fill="FFFFFF"/>
        </w:rPr>
        <w:t>：</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2023年12月25日13时</w:t>
      </w:r>
    </w:p>
    <w:p>
      <w:pPr>
        <w:pStyle w:val="6"/>
        <w:keepNext w:val="0"/>
        <w:keepLines w:val="0"/>
        <w:widowControl/>
        <w:numPr>
          <w:ilvl w:val="0"/>
          <w:numId w:val="0"/>
        </w:numPr>
        <w:suppressLineNumbers w:val="0"/>
        <w:shd w:val="clear" w:fill="FFFFFF"/>
        <w:snapToGrid/>
        <w:spacing w:before="200" w:beforeAutospacing="0" w:after="100" w:afterAutospacing="0" w:line="240" w:lineRule="auto"/>
        <w:ind w:leftChars="0" w:right="0" w:rightChars="0"/>
        <w:jc w:val="left"/>
        <w:outlineLvl w:val="0"/>
        <w:rPr>
          <w:rStyle w:val="11"/>
          <w:rFonts w:hint="default" w:ascii="黑体" w:hAnsi="Segoe UI" w:eastAsia="仿宋" w:cs="Segoe UI"/>
          <w:b w:val="0"/>
          <w:bCs/>
          <w:i w:val="0"/>
          <w:iCs w:val="0"/>
          <w:caps w:val="0"/>
          <w:spacing w:val="0"/>
          <w:sz w:val="24"/>
          <w:szCs w:val="24"/>
          <w:shd w:val="clear" w:fill="FFFFFF"/>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评审方法：按照报价高低进行排序，低价者优先。</w:t>
      </w:r>
    </w:p>
    <w:p>
      <w:pPr>
        <w:pStyle w:val="6"/>
        <w:keepNext w:val="0"/>
        <w:keepLines w:val="0"/>
        <w:widowControl/>
        <w:suppressLineNumbers w:val="0"/>
        <w:shd w:val="clear" w:fill="FFFFFF"/>
        <w:snapToGrid/>
        <w:spacing w:before="200" w:beforeAutospacing="0" w:after="100" w:afterAutospacing="0" w:line="240" w:lineRule="auto"/>
        <w:ind w:left="0" w:leftChars="0" w:right="0" w:rightChars="0" w:firstLine="0" w:firstLineChars="0"/>
        <w:jc w:val="left"/>
        <w:outlineLvl w:val="0"/>
        <w:rPr>
          <w:rFonts w:hint="default" w:ascii="黑体" w:hAnsi="Segoe UI" w:eastAsia="黑体" w:cs="Segoe UI"/>
          <w:b w:val="0"/>
          <w:i w:val="0"/>
          <w:iCs w:val="0"/>
          <w:caps w:val="0"/>
          <w:spacing w:val="0"/>
          <w:sz w:val="24"/>
          <w:szCs w:val="24"/>
        </w:rPr>
      </w:pPr>
      <w:r>
        <w:rPr>
          <w:rStyle w:val="11"/>
          <w:rFonts w:hint="default" w:ascii="黑体" w:hAnsi="Segoe UI" w:eastAsia="黑体" w:cs="Segoe UI"/>
          <w:b w:val="0"/>
          <w:bCs/>
          <w:i w:val="0"/>
          <w:iCs w:val="0"/>
          <w:caps w:val="0"/>
          <w:spacing w:val="0"/>
          <w:sz w:val="24"/>
          <w:szCs w:val="24"/>
          <w:shd w:val="clear" w:fill="FFFFFF"/>
        </w:rPr>
        <w:t>九、</w:t>
      </w:r>
      <w:r>
        <w:rPr>
          <w:rStyle w:val="11"/>
          <w:rFonts w:hint="eastAsia" w:ascii="黑体" w:hAnsi="Segoe UI" w:eastAsia="黑体" w:cs="Segoe UI"/>
          <w:b w:val="0"/>
          <w:bCs/>
          <w:i w:val="0"/>
          <w:iCs w:val="0"/>
          <w:caps w:val="0"/>
          <w:spacing w:val="0"/>
          <w:sz w:val="24"/>
          <w:szCs w:val="24"/>
          <w:shd w:val="clear" w:fill="FFFFFF"/>
          <w:lang w:val="en-US" w:eastAsia="zh-CN"/>
        </w:rPr>
        <w:t>响应地点</w:t>
      </w:r>
      <w:r>
        <w:rPr>
          <w:rStyle w:val="11"/>
          <w:rFonts w:hint="default" w:ascii="黑体" w:hAnsi="Segoe UI" w:eastAsia="黑体" w:cs="Segoe UI"/>
          <w:b w:val="0"/>
          <w:bCs/>
          <w:i w:val="0"/>
          <w:iCs w:val="0"/>
          <w:caps w:val="0"/>
          <w:spacing w:val="0"/>
          <w:sz w:val="24"/>
          <w:szCs w:val="24"/>
          <w:shd w:val="clear" w:fill="FFFFFF"/>
        </w:rPr>
        <w:t>：</w:t>
      </w:r>
    </w:p>
    <w:p>
      <w:pPr>
        <w:widowControl/>
        <w:spacing w:line="360" w:lineRule="auto"/>
        <w:ind w:firstLine="420" w:firstLineChars="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本项目通过中国电子采购平台（http://www.cetceg.com）实行在线响应（电子评审）。供应商应当在响应截止时间前，将“电子响应文件”上传递交至中国电子采购平台实行在线响应。响应截止时间以后上传递交的响应文件将被“电科平台”拒收，作无效标处理。</w:t>
      </w: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lang w:val="en-US" w:eastAsia="zh-CN"/>
          <w14:textFill>
            <w14:solidFill>
              <w14:schemeClr w14:val="tx1"/>
            </w14:solidFill>
          </w14:textFill>
        </w:rPr>
        <w:t>十、</w:t>
      </w:r>
      <w:r>
        <w:rPr>
          <w:rFonts w:hint="eastAsia" w:ascii="仿宋" w:hAnsi="仿宋" w:eastAsia="仿宋" w:cs="仿宋"/>
          <w:b/>
          <w:bCs/>
          <w:color w:val="000000" w:themeColor="text1"/>
          <w:kern w:val="0"/>
          <w:sz w:val="24"/>
          <w14:textFill>
            <w14:solidFill>
              <w14:schemeClr w14:val="tx1"/>
            </w14:solidFill>
          </w14:textFill>
        </w:rPr>
        <w:t>公告期限：3个工作日</w:t>
      </w:r>
    </w:p>
    <w:p>
      <w:pPr>
        <w:widowControl/>
        <w:spacing w:line="360" w:lineRule="auto"/>
        <w:jc w:val="left"/>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十一、其他事项：</w:t>
      </w:r>
    </w:p>
    <w:p>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项目为电子招投标项目，实行网上响应，应按照本采购文件及电子电科平台的要求编制并要求供应商通过电子电科平台系统在线响应，评审截止时间前须完成电子响应文件的上传，供应商在使用系统进行投标的过程中遇到涉及平台使用的任何问题，可致平台技术支持热线咨询。</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十二、联系方式</w:t>
      </w:r>
    </w:p>
    <w:p>
      <w:pPr>
        <w:spacing w:line="360" w:lineRule="auto"/>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采购人：中电科（北京）物业管理有限公司</w:t>
      </w:r>
    </w:p>
    <w:p>
      <w:pPr>
        <w:spacing w:line="360" w:lineRule="auto"/>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联系人：邢勇</w:t>
      </w:r>
    </w:p>
    <w:p>
      <w:pPr>
        <w:spacing w:line="360" w:lineRule="auto"/>
        <w:rPr>
          <w:rFonts w:hint="eastAsia" w:ascii="仿宋" w:hAnsi="仿宋" w:eastAsia="仿宋" w:cs="仿宋"/>
          <w:color w:val="0000FF"/>
          <w:kern w:val="0"/>
          <w:sz w:val="24"/>
          <w:szCs w:val="24"/>
          <w:lang w:val="en-US" w:eastAsia="zh-CN" w:bidi="ar-SA"/>
        </w:rPr>
      </w:pPr>
      <w:r>
        <w:rPr>
          <w:rFonts w:hint="eastAsia" w:ascii="仿宋" w:hAnsi="仿宋" w:eastAsia="仿宋" w:cs="仿宋"/>
          <w:color w:val="0000FF"/>
          <w:kern w:val="0"/>
          <w:sz w:val="24"/>
          <w:szCs w:val="24"/>
          <w:lang w:val="en-US" w:eastAsia="zh-CN" w:bidi="ar-SA"/>
        </w:rPr>
        <w:t>联系方式：13917072624</w:t>
      </w: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15"/>
        <w:jc w:val="left"/>
        <w:outlineLvl w:val="1"/>
        <w:rPr>
          <w:rFonts w:cs="Arial"/>
          <w:sz w:val="28"/>
        </w:rPr>
      </w:pPr>
      <w:r>
        <w:rPr>
          <w:rFonts w:cs="Arial"/>
          <w:sz w:val="28"/>
        </w:rPr>
        <w:t>附件1. 应答函</w:t>
      </w:r>
    </w:p>
    <w:p>
      <w:pPr>
        <w:pStyle w:val="16"/>
        <w:spacing w:line="500" w:lineRule="exact"/>
        <w:rPr>
          <w:rFonts w:cs="Aria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sz w:val="24"/>
          <w:highlight w:val="none"/>
          <w:lang w:val="en-US" w:eastAsia="zh-CN"/>
          <w14:textFill>
            <w14:solidFill>
              <w14:schemeClr w14:val="tx1"/>
            </w14:solidFill>
          </w14:textFill>
        </w:rPr>
        <w:t>中电科（北京）物业管理有限公司</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根据贵方所发</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项目的询比价通知， 签字代表</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en-US" w:eastAsia="zh-CN"/>
          <w14:textFill>
            <w14:solidFill>
              <w14:schemeClr w14:val="tx1"/>
            </w14:solidFill>
          </w14:textFill>
        </w:rPr>
        <w:t>法人</w:t>
      </w:r>
      <w:r>
        <w:rPr>
          <w:rFonts w:hint="eastAsia" w:ascii="仿宋" w:hAnsi="仿宋" w:eastAsia="仿宋" w:cs="仿宋"/>
          <w:color w:val="000000" w:themeColor="text1"/>
          <w:kern w:val="0"/>
          <w:sz w:val="24"/>
          <w14:textFill>
            <w14:solidFill>
              <w14:schemeClr w14:val="tx1"/>
            </w14:solidFill>
          </w14:textFill>
        </w:rPr>
        <w:t>）经正式授权并代表供应商</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（供应商名称、地址）提交下述文件正本一份和副本</w:t>
      </w:r>
      <w:r>
        <w:rPr>
          <w:rFonts w:hint="eastAsia" w:ascii="仿宋" w:hAnsi="仿宋" w:eastAsia="仿宋" w:cs="仿宋"/>
          <w:color w:val="000000" w:themeColor="text1"/>
          <w:kern w:val="0"/>
          <w:sz w:val="24"/>
          <w:lang w:val="en-US" w:eastAsia="zh-CN"/>
          <w14:textFill>
            <w14:solidFill>
              <w14:schemeClr w14:val="tx1"/>
            </w14:solidFill>
          </w14:textFill>
        </w:rPr>
        <w:t>两</w:t>
      </w:r>
      <w:r>
        <w:rPr>
          <w:rFonts w:hint="eastAsia" w:ascii="仿宋" w:hAnsi="仿宋" w:eastAsia="仿宋" w:cs="仿宋"/>
          <w:color w:val="000000" w:themeColor="text1"/>
          <w:kern w:val="0"/>
          <w:sz w:val="24"/>
          <w14:textFill>
            <w14:solidFill>
              <w14:schemeClr w14:val="tx1"/>
            </w14:solidFill>
          </w14:textFill>
        </w:rPr>
        <w:t>份。</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应答函</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报价一览表</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资格证明文件</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根据询比价文件的相关规定，供应商认为其它需要提供的文件</w:t>
      </w:r>
    </w:p>
    <w:p>
      <w:pPr>
        <w:widowControl/>
        <w:tabs>
          <w:tab w:val="left" w:pos="312"/>
        </w:tabs>
        <w:spacing w:line="42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据此函，签字代表宣布同意如下：</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供应商将按《询比价文件》的规定履行合同责任和义务。</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供应商已详细审查全部《询比价文件》，包括修改文件（如有）。我们完全理解并同意放弃对这方面有不明及误解的权利。</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本报价有效期自递交《响应文件》截止日起120天。</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供应商同意提供，按照贵方要求与询比价应答有关的一切数据或资料，理解贵方不一定接受最低的报价或收到的任何报价。</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与本询比价有关的一切正式往来通讯请寄：</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地址：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邮编：             </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电话：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en-US" w:eastAsia="zh-CN"/>
          <w14:textFill>
            <w14:solidFill>
              <w14:schemeClr w14:val="tx1"/>
            </w14:solidFill>
          </w14:textFill>
        </w:rPr>
        <w:t>邮箱</w:t>
      </w:r>
      <w:r>
        <w:rPr>
          <w:rFonts w:hint="eastAsia" w:ascii="仿宋" w:hAnsi="仿宋" w:eastAsia="仿宋" w:cs="仿宋"/>
          <w:color w:val="000000" w:themeColor="text1"/>
          <w:kern w:val="0"/>
          <w:sz w:val="24"/>
          <w14:textFill>
            <w14:solidFill>
              <w14:schemeClr w14:val="tx1"/>
            </w14:solidFill>
          </w14:textFill>
        </w:rPr>
        <w:t xml:space="preserve">：                   </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供应商名称（加盖公章）：________</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_______</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供应商被授权人签字：________</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_______</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sectPr>
          <w:footerReference r:id="rId4" w:type="first"/>
          <w:footerReference r:id="rId3" w:type="default"/>
          <w:pgSz w:w="11906" w:h="16838"/>
          <w:pgMar w:top="1440" w:right="1797" w:bottom="1440" w:left="1797" w:header="851" w:footer="992" w:gutter="0"/>
          <w:cols w:space="720" w:num="1"/>
          <w:titlePg/>
          <w:docGrid w:type="linesAndChars" w:linePitch="312" w:charSpace="0"/>
        </w:sectPr>
      </w:pPr>
      <w:bookmarkStart w:id="0" w:name="_Toc16268"/>
      <w:r>
        <w:rPr>
          <w:rFonts w:hint="eastAsia" w:ascii="仿宋" w:hAnsi="仿宋" w:eastAsia="仿宋" w:cs="仿宋"/>
          <w:color w:val="000000" w:themeColor="text1"/>
          <w:kern w:val="0"/>
          <w:sz w:val="24"/>
          <w14:textFill>
            <w14:solidFill>
              <w14:schemeClr w14:val="tx1"/>
            </w14:solidFill>
          </w14:textFill>
        </w:rPr>
        <w:t xml:space="preserve">日期：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月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日</w:t>
      </w:r>
      <w:bookmarkEnd w:id="0"/>
    </w:p>
    <w:p>
      <w:pPr>
        <w:pStyle w:val="15"/>
        <w:jc w:val="left"/>
        <w:outlineLvl w:val="1"/>
        <w:rPr>
          <w:rFonts w:cs="Arial"/>
          <w:sz w:val="28"/>
        </w:rPr>
      </w:pPr>
      <w:bookmarkStart w:id="1" w:name="_Toc65588583"/>
      <w:bookmarkStart w:id="2" w:name="_Toc7825"/>
      <w:bookmarkStart w:id="3" w:name="_Toc7686"/>
      <w:bookmarkStart w:id="4" w:name="_Toc28426"/>
      <w:bookmarkStart w:id="5" w:name="_Toc10990"/>
      <w:bookmarkStart w:id="6" w:name="_Toc83547695"/>
      <w:bookmarkStart w:id="7" w:name="_Toc22676"/>
      <w:bookmarkStart w:id="8" w:name="_Toc8345"/>
      <w:bookmarkStart w:id="9" w:name="_Toc27988"/>
      <w:bookmarkStart w:id="10" w:name="_Toc27517"/>
      <w:bookmarkStart w:id="11" w:name="_Toc492027988"/>
      <w:bookmarkStart w:id="12" w:name="_Toc1727"/>
      <w:bookmarkStart w:id="13" w:name="_Toc194833822"/>
      <w:bookmarkStart w:id="14" w:name="_Toc18325"/>
      <w:bookmarkStart w:id="15" w:name="_Toc85430473"/>
      <w:bookmarkStart w:id="16" w:name="_Toc24489"/>
      <w:bookmarkStart w:id="17" w:name="_Toc255482536"/>
      <w:r>
        <w:rPr>
          <w:rFonts w:cs="Arial"/>
          <w:sz w:val="28"/>
        </w:rPr>
        <w:t>附件</w:t>
      </w:r>
      <w:r>
        <w:rPr>
          <w:rFonts w:hint="eastAsia" w:cs="Arial"/>
          <w:sz w:val="28"/>
          <w:lang w:val="en-US" w:eastAsia="zh-CN"/>
        </w:rPr>
        <w:t>2</w:t>
      </w:r>
      <w:r>
        <w:rPr>
          <w:rFonts w:cs="Arial"/>
          <w:sz w:val="28"/>
        </w:rPr>
        <w:t>．资格证明文件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15"/>
        <w:jc w:val="both"/>
        <w:outlineLvl w:val="9"/>
        <w:rPr>
          <w:rFonts w:hint="eastAsia" w:cs="Arial" w:eastAsiaTheme="minorEastAsia"/>
          <w:lang w:eastAsia="zh-CN"/>
        </w:rPr>
      </w:pPr>
      <w:bookmarkStart w:id="18" w:name="_Toc308163347"/>
      <w:bookmarkStart w:id="19" w:name="_Toc194833824"/>
      <w:bookmarkStart w:id="20" w:name="_Toc255482538"/>
      <w:bookmarkStart w:id="21" w:name="_Toc354841754"/>
      <w:bookmarkStart w:id="22" w:name="_Toc182123975"/>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bookmarkStart w:id="23" w:name="_Toc19729"/>
      <w:bookmarkStart w:id="24" w:name="_Toc8020"/>
      <w:bookmarkStart w:id="25" w:name="_Toc19003"/>
      <w:bookmarkStart w:id="26" w:name="_Toc33"/>
      <w:bookmarkStart w:id="27" w:name="_Toc10024"/>
      <w:bookmarkStart w:id="28" w:name="_Toc22206"/>
      <w:bookmarkStart w:id="29" w:name="_Toc6711"/>
      <w:bookmarkStart w:id="30" w:name="_Toc24872"/>
      <w:bookmarkStart w:id="31" w:name="_Toc10435"/>
      <w:bookmarkStart w:id="32" w:name="_Toc972"/>
      <w:bookmarkStart w:id="33" w:name="_Toc13421"/>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bCs/>
          <w:color w:val="000000" w:themeColor="text1"/>
          <w:kern w:val="0"/>
          <w:sz w:val="24"/>
          <w:szCs w:val="24"/>
          <w:lang w:val="en-US" w:eastAsia="zh-CN" w:bidi="ar-SA"/>
          <w14:textFill>
            <w14:solidFill>
              <w14:schemeClr w14:val="tx1"/>
            </w14:solidFill>
          </w14:textFill>
        </w:rPr>
      </w:pP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注：</w:t>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包括但不限于营业执照、开户证明、行业资质、三体系证书等，同时依据电科资产风险防控要求，采购人将对第一成交候选人进行核查，供应商须提交：</w:t>
      </w: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1、</w:t>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ab/>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供应商实缴资金证明（实缴资金须大于0）</w:t>
      </w: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2、</w:t>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ab/>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供应商社保缴纳人员数量证明（参保人数须大于1人）</w:t>
      </w: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3、</w:t>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ab/>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供应商高管人员身份证信息（含法人）</w:t>
      </w: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4、</w:t>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ab/>
      </w: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采购人认为其他必要的，合适的资料（如有）</w:t>
      </w:r>
    </w:p>
    <w:p>
      <w:pPr>
        <w:pStyle w:val="15"/>
        <w:jc w:val="left"/>
        <w:outlineLvl w:val="9"/>
        <w:rPr>
          <w:rFonts w:hint="eastAsia" w:ascii="仿宋" w:hAnsi="仿宋" w:eastAsia="仿宋" w:cs="仿宋"/>
          <w:b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0"/>
          <w:sz w:val="24"/>
          <w:szCs w:val="24"/>
          <w:lang w:val="en-US" w:eastAsia="zh-CN" w:bidi="ar-SA"/>
          <w14:textFill>
            <w14:solidFill>
              <w14:schemeClr w14:val="tx1"/>
            </w14:solidFill>
          </w14:textFill>
        </w:rPr>
        <w:t>如核查通过，将向第一成交候选人发出成交通知书；如核查未通过，采购人将对后一位成交候选人进行上述核查，如三位成交候选人均未通过核查，采购人将组织重新采购。</w:t>
      </w:r>
    </w:p>
    <w:p>
      <w:pPr>
        <w:pStyle w:val="15"/>
        <w:jc w:val="left"/>
        <w:outlineLvl w:val="9"/>
        <w:rPr>
          <w:rFonts w:cs="Arial"/>
        </w:rPr>
      </w:pPr>
      <w:r>
        <w:rPr>
          <w:rFonts w:cs="Arial"/>
          <w:sz w:val="28"/>
        </w:rPr>
        <w:t>附件</w:t>
      </w:r>
      <w:r>
        <w:rPr>
          <w:rFonts w:hint="eastAsia" w:cs="Arial"/>
          <w:sz w:val="28"/>
          <w:lang w:val="en-US" w:eastAsia="zh-CN"/>
        </w:rPr>
        <w:t>2</w:t>
      </w:r>
      <w:r>
        <w:rPr>
          <w:rFonts w:cs="Arial"/>
          <w:sz w:val="28"/>
        </w:rPr>
        <w:t>-1 法定代表人授权书（格式）</w:t>
      </w:r>
      <w:bookmarkEnd w:id="23"/>
      <w:bookmarkEnd w:id="24"/>
      <w:bookmarkEnd w:id="25"/>
      <w:bookmarkEnd w:id="26"/>
      <w:bookmarkEnd w:id="27"/>
      <w:bookmarkEnd w:id="28"/>
      <w:bookmarkEnd w:id="29"/>
      <w:bookmarkEnd w:id="30"/>
      <w:bookmarkEnd w:id="31"/>
      <w:bookmarkEnd w:id="32"/>
      <w:bookmarkEnd w:id="33"/>
    </w:p>
    <w:p>
      <w:pPr>
        <w:pStyle w:val="15"/>
        <w:outlineLvl w:val="9"/>
        <w:rPr>
          <w:rFonts w:cs="Arial"/>
        </w:rPr>
      </w:pPr>
    </w:p>
    <w:p>
      <w:pPr>
        <w:pStyle w:val="15"/>
        <w:outlineLvl w:val="9"/>
        <w:rPr>
          <w:rFonts w:cs="Arial"/>
        </w:rPr>
      </w:pPr>
      <w:bookmarkStart w:id="34" w:name="_Toc26683"/>
      <w:bookmarkStart w:id="35" w:name="_Toc13049"/>
      <w:bookmarkStart w:id="36" w:name="_Toc7980"/>
      <w:bookmarkStart w:id="37" w:name="_Toc14719"/>
      <w:bookmarkStart w:id="38" w:name="_Toc1224"/>
      <w:bookmarkStart w:id="39" w:name="_Toc17948"/>
      <w:bookmarkStart w:id="40" w:name="_Toc8918"/>
      <w:bookmarkStart w:id="41" w:name="_Toc25697"/>
      <w:bookmarkStart w:id="42" w:name="_Toc18315"/>
      <w:bookmarkStart w:id="43" w:name="_Toc30363"/>
      <w:bookmarkStart w:id="44" w:name="_Toc25878"/>
      <w:r>
        <w:rPr>
          <w:rFonts w:cs="Arial"/>
        </w:rPr>
        <w:t>法定代表人授权书</w:t>
      </w:r>
      <w:bookmarkEnd w:id="34"/>
      <w:bookmarkEnd w:id="35"/>
      <w:bookmarkEnd w:id="36"/>
      <w:bookmarkEnd w:id="37"/>
      <w:bookmarkEnd w:id="38"/>
      <w:bookmarkEnd w:id="39"/>
      <w:bookmarkEnd w:id="40"/>
      <w:bookmarkEnd w:id="41"/>
      <w:bookmarkEnd w:id="42"/>
      <w:bookmarkEnd w:id="43"/>
      <w:bookmarkEnd w:id="44"/>
    </w:p>
    <w:p>
      <w:pPr>
        <w:pStyle w:val="15"/>
        <w:outlineLvl w:val="9"/>
        <w:rPr>
          <w:rFonts w:cs="Arial"/>
        </w:rPr>
      </w:pPr>
    </w:p>
    <w:p>
      <w:pPr>
        <w:pStyle w:val="15"/>
        <w:outlineLvl w:val="9"/>
        <w:rPr>
          <w:rFonts w:cs="Aria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      （国家或地区的名称）的    （公司名称）的在下面签字（或盖章）的     （法定代表人姓名、职务）代表本公司授权（单位名称）的在下面签字的       （被授权人的姓名、职务）为本公司的合法代理人，就（项目名称）的询比价采购，以本公司名义处理一切与之有关的事务。</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本授权书于_____年___月___日签字生效，特此声明。</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法定代表人签字或加盖手签章或方章（人名章）：                  </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被授权人签字：                                               </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供应商名称（加盖公章）：                                      </w:t>
      </w:r>
    </w:p>
    <w:p>
      <w:pPr>
        <w:widowControl/>
        <w:tabs>
          <w:tab w:val="left" w:pos="312"/>
        </w:tabs>
        <w:spacing w:line="420" w:lineRule="exac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日期：_______________</w:t>
      </w:r>
    </w:p>
    <w:p>
      <w:pPr>
        <w:pStyle w:val="15"/>
        <w:jc w:val="both"/>
        <w:outlineLvl w:val="9"/>
        <w:rPr>
          <w:rFonts w:cs="Arial"/>
        </w:rPr>
      </w:pPr>
    </w:p>
    <w:bookmarkEnd w:id="18"/>
    <w:bookmarkEnd w:id="19"/>
    <w:bookmarkEnd w:id="20"/>
    <w:bookmarkEnd w:id="21"/>
    <w:bookmarkEnd w:id="22"/>
    <w:p>
      <w:pPr>
        <w:pStyle w:val="15"/>
        <w:jc w:val="both"/>
        <w:outlineLvl w:val="9"/>
        <w:rPr>
          <w:rFonts w:cs="Arial"/>
        </w:rPr>
      </w:pPr>
    </w:p>
    <w:p>
      <w:pPr>
        <w:rPr>
          <w:rFonts w:hint="default" w:eastAsia="宋体" w:cs="Arial"/>
          <w:sz w:val="24"/>
          <w:szCs w:val="22"/>
          <w:lang w:val="en-US" w:eastAsia="zh-CN"/>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15"/>
        <w:outlineLvl w:val="1"/>
        <w:rPr>
          <w:rFonts w:cs="Arial"/>
          <w:sz w:val="28"/>
        </w:rPr>
      </w:pPr>
    </w:p>
    <w:p>
      <w:pPr>
        <w:pStyle w:val="15"/>
        <w:outlineLvl w:val="1"/>
        <w:rPr>
          <w:rFonts w:cs="Arial"/>
          <w:sz w:val="28"/>
        </w:rPr>
      </w:pPr>
    </w:p>
    <w:p>
      <w:pPr>
        <w:pStyle w:val="15"/>
        <w:jc w:val="left"/>
        <w:outlineLvl w:val="1"/>
        <w:rPr>
          <w:rFonts w:cs="Arial"/>
          <w:sz w:val="28"/>
        </w:rPr>
      </w:pPr>
    </w:p>
    <w:p>
      <w:pPr>
        <w:pStyle w:val="15"/>
        <w:jc w:val="left"/>
        <w:outlineLvl w:val="1"/>
        <w:rPr>
          <w:rFonts w:hint="eastAsia" w:ascii="仿宋" w:hAnsi="仿宋" w:eastAsia="仿宋" w:cs="仿宋"/>
          <w:kern w:val="2"/>
          <w:sz w:val="28"/>
          <w:szCs w:val="28"/>
          <w:lang w:val="en-US" w:eastAsia="zh-CN" w:bidi="ar-SA"/>
        </w:rPr>
      </w:pPr>
      <w:r>
        <w:rPr>
          <w:rFonts w:cs="Arial"/>
          <w:sz w:val="28"/>
        </w:rPr>
        <w:t>附件</w:t>
      </w:r>
      <w:r>
        <w:rPr>
          <w:rFonts w:hint="eastAsia" w:cs="Arial"/>
          <w:sz w:val="28"/>
          <w:lang w:val="en-US" w:eastAsia="zh-CN"/>
        </w:rPr>
        <w:t>3</w:t>
      </w:r>
      <w:r>
        <w:rPr>
          <w:rFonts w:cs="Arial"/>
          <w:sz w:val="28"/>
        </w:rPr>
        <w:t>．</w:t>
      </w:r>
      <w:r>
        <w:rPr>
          <w:rFonts w:hint="eastAsia" w:ascii="仿宋" w:hAnsi="仿宋" w:eastAsia="仿宋" w:cs="仿宋"/>
          <w:kern w:val="2"/>
          <w:sz w:val="28"/>
          <w:szCs w:val="28"/>
          <w:lang w:val="en-US" w:eastAsia="zh-CN" w:bidi="ar-SA"/>
        </w:rPr>
        <w:t>报价模版</w:t>
      </w:r>
    </w:p>
    <w:p>
      <w:pPr>
        <w:spacing w:line="500" w:lineRule="exact"/>
        <w:rPr>
          <w:rFonts w:ascii="宋体" w:hAnsi="宋体" w:cs="宋体"/>
          <w:bCs/>
          <w:sz w:val="24"/>
        </w:rPr>
      </w:pPr>
      <w:r>
        <w:rPr>
          <w:rFonts w:hint="eastAsia" w:ascii="宋体" w:hAnsi="宋体" w:cs="宋体"/>
          <w:bCs/>
          <w:sz w:val="24"/>
        </w:rPr>
        <w:t>(一) 投标报价形式</w:t>
      </w:r>
    </w:p>
    <w:p>
      <w:pPr>
        <w:spacing w:line="500" w:lineRule="exact"/>
        <w:rPr>
          <w:rFonts w:ascii="宋体" w:hAnsi="宋体" w:cs="宋体"/>
          <w:bCs/>
          <w:sz w:val="24"/>
        </w:rPr>
      </w:pPr>
      <w:r>
        <w:rPr>
          <w:rFonts w:hint="eastAsia" w:ascii="宋体" w:hAnsi="宋体" w:cs="宋体"/>
          <w:bCs/>
          <w:sz w:val="24"/>
        </w:rPr>
        <w:t xml:space="preserve">    （1） 投标单位依照招标单位提供的招标文件、消杀面积、消杀频次等，结合消杀现场情况、按照企业定额及市场价格自主报价；投标单位应充分考虑综合包干所包含费用内容，漏报错报少报的，均视为其价格已包含在总价中，结算时不予调整。</w:t>
      </w:r>
    </w:p>
    <w:p>
      <w:pPr>
        <w:spacing w:line="500" w:lineRule="exact"/>
        <w:rPr>
          <w:rFonts w:ascii="宋体" w:hAnsi="宋体" w:cs="宋体"/>
          <w:bCs/>
          <w:sz w:val="24"/>
        </w:rPr>
      </w:pPr>
      <w:r>
        <w:rPr>
          <w:rFonts w:hint="eastAsia" w:ascii="宋体" w:hAnsi="宋体" w:cs="宋体"/>
          <w:bCs/>
          <w:sz w:val="24"/>
        </w:rPr>
        <w:t xml:space="preserve">    （2） 招标单位提供的报价表未包含的清单项，投标单位可根据实际情况单列补充清单（原标准清单已包含的内容不得拆分单列）。</w:t>
      </w:r>
    </w:p>
    <w:p>
      <w:pPr>
        <w:spacing w:line="500" w:lineRule="exact"/>
        <w:rPr>
          <w:rFonts w:ascii="宋体" w:hAnsi="宋体" w:cs="宋体"/>
          <w:bCs/>
          <w:sz w:val="24"/>
        </w:rPr>
      </w:pPr>
      <w:r>
        <w:rPr>
          <w:rFonts w:hint="eastAsia" w:ascii="宋体" w:hAnsi="宋体" w:cs="宋体"/>
          <w:bCs/>
          <w:sz w:val="24"/>
        </w:rPr>
        <w:t xml:space="preserve">    （3） 投标报价采用综合包干报价。</w:t>
      </w:r>
    </w:p>
    <w:p>
      <w:pPr>
        <w:spacing w:line="500" w:lineRule="exact"/>
        <w:ind w:firstLine="480"/>
        <w:rPr>
          <w:rFonts w:hint="eastAsia" w:ascii="宋体" w:hAnsi="宋体" w:cs="宋体"/>
          <w:bCs/>
          <w:sz w:val="24"/>
        </w:rPr>
      </w:pPr>
      <w:r>
        <w:rPr>
          <w:rFonts w:hint="eastAsia" w:ascii="宋体" w:hAnsi="宋体" w:cs="宋体"/>
          <w:bCs/>
          <w:sz w:val="24"/>
        </w:rPr>
        <w:t>（4） 投标单位对报出的报价表完整性负责。</w:t>
      </w:r>
    </w:p>
    <w:p>
      <w:pPr>
        <w:spacing w:line="500" w:lineRule="exact"/>
        <w:rPr>
          <w:rFonts w:ascii="宋体" w:hAnsi="宋体" w:cs="宋体"/>
          <w:bCs/>
          <w:sz w:val="24"/>
        </w:rPr>
      </w:pPr>
      <w:r>
        <w:rPr>
          <w:rFonts w:hint="eastAsia" w:ascii="宋体" w:hAnsi="宋体" w:cs="宋体"/>
          <w:bCs/>
          <w:sz w:val="24"/>
        </w:rPr>
        <w:t>(二) 报价费用组成说明</w:t>
      </w:r>
    </w:p>
    <w:p>
      <w:pPr>
        <w:spacing w:line="500" w:lineRule="exact"/>
        <w:rPr>
          <w:rFonts w:ascii="宋体" w:hAnsi="宋体" w:cs="宋体"/>
          <w:bCs/>
          <w:sz w:val="24"/>
        </w:rPr>
      </w:pPr>
      <w:r>
        <w:rPr>
          <w:rFonts w:hint="eastAsia" w:ascii="宋体" w:hAnsi="宋体" w:cs="宋体"/>
          <w:bCs/>
          <w:sz w:val="24"/>
        </w:rPr>
        <w:t xml:space="preserve">    （1） 投标报价采用综合包干总价，包含四害防治服务的药剂费、人工费、机具费、低值易耗费及差旅费、风险、利润、税金（增值税专用票）等完成工作内容的全部费用在内。如有未列出费用，均包含在内。</w:t>
      </w:r>
    </w:p>
    <w:p>
      <w:pPr>
        <w:spacing w:line="500" w:lineRule="exact"/>
        <w:rPr>
          <w:rFonts w:ascii="宋体" w:hAnsi="宋体" w:cs="宋体"/>
          <w:bCs/>
          <w:sz w:val="24"/>
        </w:rPr>
      </w:pPr>
      <w:r>
        <w:rPr>
          <w:rFonts w:hint="eastAsia" w:ascii="宋体" w:hAnsi="宋体" w:cs="宋体"/>
          <w:bCs/>
          <w:sz w:val="24"/>
        </w:rPr>
        <w:t xml:space="preserve">    （2）投标人漏报错报少报的，均视为其价格已包含在总价中，结算时不予调整；</w:t>
      </w:r>
    </w:p>
    <w:p>
      <w:pPr>
        <w:spacing w:line="500" w:lineRule="exact"/>
        <w:rPr>
          <w:rFonts w:ascii="宋体" w:hAnsi="宋体" w:cs="宋体"/>
          <w:bCs/>
          <w:sz w:val="24"/>
        </w:rPr>
      </w:pPr>
      <w:r>
        <w:rPr>
          <w:rFonts w:hint="eastAsia" w:ascii="宋体" w:hAnsi="宋体" w:cs="宋体"/>
          <w:bCs/>
          <w:sz w:val="24"/>
        </w:rPr>
        <w:t xml:space="preserve">    （3）投标报价包含完成承包范围的全部费用和风险。</w:t>
      </w:r>
    </w:p>
    <w:p>
      <w:pPr>
        <w:spacing w:line="500" w:lineRule="exact"/>
        <w:rPr>
          <w:rFonts w:ascii="宋体" w:hAnsi="宋体" w:cs="宋体"/>
          <w:bCs/>
          <w:sz w:val="24"/>
        </w:rPr>
      </w:pPr>
      <w:r>
        <w:rPr>
          <w:rFonts w:hint="eastAsia" w:ascii="宋体" w:hAnsi="宋体" w:cs="宋体"/>
          <w:bCs/>
          <w:sz w:val="24"/>
        </w:rPr>
        <w:t xml:space="preserve">(三)、承包方式 </w:t>
      </w:r>
    </w:p>
    <w:p>
      <w:pPr>
        <w:spacing w:line="500" w:lineRule="exact"/>
        <w:rPr>
          <w:rFonts w:ascii="宋体" w:hAnsi="宋体" w:cs="宋体"/>
          <w:bCs/>
          <w:sz w:val="24"/>
        </w:rPr>
      </w:pPr>
      <w:r>
        <w:rPr>
          <w:rFonts w:hint="eastAsia" w:ascii="宋体" w:hAnsi="宋体" w:cs="宋体"/>
          <w:bCs/>
          <w:sz w:val="24"/>
        </w:rPr>
        <w:t>包工包料包机械、包质量、包安全、包文明施工、包工期、包验收合格、包税金等含税综合包干总价承包方式。</w:t>
      </w:r>
    </w:p>
    <w:p>
      <w:pPr>
        <w:spacing w:line="500" w:lineRule="exact"/>
        <w:ind w:firstLine="480" w:firstLineChars="200"/>
        <w:rPr>
          <w:rFonts w:ascii="宋体" w:hAnsi="宋体" w:cs="宋体"/>
          <w:sz w:val="24"/>
        </w:rPr>
      </w:pPr>
      <w:r>
        <w:rPr>
          <w:rFonts w:hint="eastAsia" w:ascii="宋体" w:hAnsi="宋体" w:cs="宋体"/>
          <w:sz w:val="24"/>
        </w:rPr>
        <w:t>1、投标报价表如下：</w:t>
      </w:r>
    </w:p>
    <w:p>
      <w:pPr>
        <w:pStyle w:val="15"/>
        <w:jc w:val="left"/>
        <w:outlineLvl w:val="1"/>
        <w:rPr>
          <w:rFonts w:hint="eastAsia" w:ascii="仿宋" w:hAnsi="仿宋" w:eastAsia="仿宋" w:cs="仿宋"/>
          <w:kern w:val="2"/>
          <w:sz w:val="28"/>
          <w:szCs w:val="28"/>
          <w:lang w:val="en-US" w:eastAsia="zh-CN" w:bidi="ar-SA"/>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40" w:firstLineChars="100"/>
        <w:jc w:val="center"/>
        <w:rPr>
          <w:rFonts w:hint="eastAsia" w:ascii="宋体" w:hAnsi="宋体" w:cs="宋体"/>
          <w:b w:val="0"/>
          <w:sz w:val="24"/>
          <w:lang w:val="en-US" w:eastAsia="zh-CN"/>
        </w:rPr>
      </w:pPr>
    </w:p>
    <w:p>
      <w:pPr>
        <w:spacing w:line="400" w:lineRule="exact"/>
        <w:ind w:firstLine="281" w:firstLineChars="100"/>
        <w:jc w:val="center"/>
        <w:rPr>
          <w:rFonts w:hint="eastAsia" w:cs="Arial" w:asciiTheme="minorHAnsi" w:hAnsiTheme="minorHAnsi" w:eastAsiaTheme="minorEastAsia"/>
          <w:b/>
          <w:kern w:val="2"/>
          <w:sz w:val="28"/>
          <w:szCs w:val="24"/>
          <w:lang w:val="en-US" w:eastAsia="zh-CN" w:bidi="ar-SA"/>
        </w:rPr>
      </w:pPr>
      <w:r>
        <w:rPr>
          <w:rFonts w:hint="eastAsia" w:cs="Arial" w:asciiTheme="minorHAnsi" w:hAnsiTheme="minorHAnsi" w:eastAsiaTheme="minorEastAsia"/>
          <w:b/>
          <w:kern w:val="2"/>
          <w:sz w:val="28"/>
          <w:szCs w:val="24"/>
          <w:lang w:val="en-US" w:eastAsia="zh-CN" w:bidi="ar-SA"/>
        </w:rPr>
        <w:t>2024年度四害消杀服务投标报价表</w:t>
      </w:r>
    </w:p>
    <w:p>
      <w:pPr>
        <w:spacing w:line="400" w:lineRule="exact"/>
        <w:ind w:firstLine="240" w:firstLineChars="100"/>
        <w:jc w:val="center"/>
        <w:rPr>
          <w:rFonts w:ascii="宋体" w:hAnsi="宋体" w:cs="宋体"/>
          <w:b w:val="0"/>
          <w:sz w:val="24"/>
        </w:rPr>
      </w:pP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469"/>
        <w:gridCol w:w="1704"/>
        <w:gridCol w:w="1056"/>
        <w:gridCol w:w="106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21" w:type="dxa"/>
            <w:vAlign w:val="center"/>
          </w:tcPr>
          <w:p>
            <w:pPr>
              <w:spacing w:line="500" w:lineRule="exact"/>
              <w:jc w:val="center"/>
              <w:rPr>
                <w:rFonts w:ascii="宋体" w:hAnsi="宋体" w:cs="宋体"/>
                <w:color w:val="000000"/>
                <w:sz w:val="24"/>
                <w:lang w:val="zh-CN"/>
              </w:rPr>
            </w:pPr>
            <w:r>
              <w:rPr>
                <w:rFonts w:hint="eastAsia" w:ascii="宋体" w:hAnsi="宋体" w:cs="宋体"/>
                <w:color w:val="000000"/>
                <w:sz w:val="24"/>
                <w:lang w:val="zh-CN"/>
              </w:rPr>
              <w:t>项目名称</w:t>
            </w:r>
          </w:p>
        </w:tc>
        <w:tc>
          <w:tcPr>
            <w:tcW w:w="1469" w:type="dxa"/>
            <w:vAlign w:val="center"/>
          </w:tcPr>
          <w:p>
            <w:pPr>
              <w:spacing w:line="500" w:lineRule="exact"/>
              <w:jc w:val="center"/>
              <w:rPr>
                <w:rFonts w:ascii="宋体" w:hAnsi="宋体" w:cs="宋体"/>
                <w:color w:val="000000"/>
                <w:sz w:val="24"/>
                <w:lang w:val="zh-CN"/>
              </w:rPr>
            </w:pPr>
            <w:r>
              <w:rPr>
                <w:rFonts w:hint="eastAsia" w:ascii="宋体" w:hAnsi="宋体" w:cs="宋体"/>
                <w:color w:val="000000"/>
                <w:sz w:val="24"/>
                <w:lang w:val="zh-CN"/>
              </w:rPr>
              <w:t>消杀类别</w:t>
            </w:r>
          </w:p>
        </w:tc>
        <w:tc>
          <w:tcPr>
            <w:tcW w:w="1704"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消杀面积（㎡）</w:t>
            </w:r>
          </w:p>
        </w:tc>
        <w:tc>
          <w:tcPr>
            <w:tcW w:w="1056" w:type="dxa"/>
            <w:vAlign w:val="center"/>
          </w:tcPr>
          <w:p>
            <w:pPr>
              <w:spacing w:line="500" w:lineRule="exact"/>
              <w:jc w:val="center"/>
              <w:rPr>
                <w:rFonts w:ascii="宋体" w:hAnsi="宋体" w:cs="宋体"/>
                <w:color w:val="000000"/>
                <w:sz w:val="24"/>
                <w:lang w:val="zh-CN"/>
              </w:rPr>
            </w:pPr>
            <w:r>
              <w:rPr>
                <w:rFonts w:hint="eastAsia" w:ascii="宋体" w:hAnsi="宋体" w:cs="宋体"/>
                <w:color w:val="000000"/>
                <w:sz w:val="24"/>
                <w:lang w:val="zh-CN"/>
              </w:rPr>
              <w:t>年消杀频次（次）</w:t>
            </w:r>
          </w:p>
        </w:tc>
        <w:tc>
          <w:tcPr>
            <w:tcW w:w="1065" w:type="dxa"/>
            <w:vAlign w:val="center"/>
          </w:tcPr>
          <w:p>
            <w:pPr>
              <w:spacing w:line="500" w:lineRule="exact"/>
              <w:jc w:val="center"/>
              <w:rPr>
                <w:rFonts w:ascii="宋体" w:hAnsi="宋体" w:cs="宋体"/>
                <w:color w:val="000000"/>
                <w:sz w:val="24"/>
                <w:lang w:val="zh-CN"/>
              </w:rPr>
            </w:pPr>
            <w:r>
              <w:rPr>
                <w:rFonts w:hint="eastAsia" w:ascii="宋体" w:hAnsi="宋体" w:cs="宋体"/>
                <w:sz w:val="24"/>
              </w:rPr>
              <w:t>单价(元/次）</w:t>
            </w:r>
          </w:p>
        </w:tc>
        <w:tc>
          <w:tcPr>
            <w:tcW w:w="2098" w:type="dxa"/>
            <w:vAlign w:val="center"/>
          </w:tcPr>
          <w:p>
            <w:pPr>
              <w:spacing w:line="500" w:lineRule="exact"/>
              <w:jc w:val="center"/>
              <w:rPr>
                <w:rFonts w:ascii="宋体" w:hAnsi="宋体" w:cs="宋体"/>
                <w:color w:val="000000"/>
                <w:sz w:val="24"/>
                <w:lang w:val="zh-CN"/>
              </w:rPr>
            </w:pPr>
            <w:r>
              <w:rPr>
                <w:rFonts w:hint="eastAsia" w:ascii="宋体" w:hAnsi="宋体" w:cs="宋体"/>
                <w:sz w:val="24"/>
                <w:lang w:val="en-US" w:eastAsia="zh-CN"/>
              </w:rPr>
              <w:t>小</w:t>
            </w:r>
            <w:r>
              <w:rPr>
                <w:rFonts w:hint="eastAsia" w:ascii="宋体" w:hAnsi="宋体" w:cs="宋体"/>
                <w:sz w:val="24"/>
              </w:rPr>
              <w:t>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21" w:type="dxa"/>
            <w:vAlign w:val="center"/>
          </w:tcPr>
          <w:p>
            <w:pPr>
              <w:spacing w:line="500" w:lineRule="exact"/>
              <w:jc w:val="left"/>
              <w:rPr>
                <w:rFonts w:ascii="宋体" w:hAnsi="宋体" w:cs="宋体"/>
                <w:color w:val="FF0000"/>
                <w:sz w:val="24"/>
                <w:lang w:val="zh-CN"/>
              </w:rPr>
            </w:pPr>
            <w:r>
              <w:rPr>
                <w:rFonts w:hint="eastAsia" w:ascii="宋体" w:hAnsi="宋体" w:cs="宋体"/>
                <w:sz w:val="24"/>
              </w:rPr>
              <w:t>上海中电科信息科技大厦</w:t>
            </w:r>
          </w:p>
        </w:tc>
        <w:tc>
          <w:tcPr>
            <w:tcW w:w="1469" w:type="dxa"/>
            <w:vAlign w:val="center"/>
          </w:tcPr>
          <w:p>
            <w:pPr>
              <w:spacing w:line="500" w:lineRule="exact"/>
              <w:jc w:val="left"/>
              <w:rPr>
                <w:rFonts w:ascii="宋体" w:hAnsi="宋体" w:cs="宋体"/>
                <w:color w:val="000000"/>
                <w:sz w:val="24"/>
                <w:lang w:val="zh-CN"/>
              </w:rPr>
            </w:pPr>
            <w:r>
              <w:rPr>
                <w:rFonts w:hint="eastAsia" w:ascii="宋体" w:hAnsi="宋体" w:cs="宋体"/>
                <w:sz w:val="24"/>
                <w:lang w:val="zh-CN"/>
              </w:rPr>
              <w:t>蚊、蝇、蟑、鼠</w:t>
            </w:r>
          </w:p>
        </w:tc>
        <w:tc>
          <w:tcPr>
            <w:tcW w:w="1704" w:type="dxa"/>
            <w:vAlign w:val="center"/>
          </w:tcPr>
          <w:p>
            <w:pPr>
              <w:spacing w:line="500" w:lineRule="exact"/>
              <w:jc w:val="left"/>
              <w:rPr>
                <w:rFonts w:ascii="宋体" w:hAnsi="宋体" w:cs="宋体"/>
                <w:color w:val="000000"/>
                <w:sz w:val="24"/>
                <w:lang w:val="zh-CN"/>
              </w:rPr>
            </w:pPr>
            <w:r>
              <w:rPr>
                <w:rFonts w:hint="eastAsia" w:ascii="仿宋" w:hAnsi="仿宋" w:eastAsia="仿宋" w:cs="仿宋"/>
                <w:color w:val="0000FF"/>
                <w:kern w:val="0"/>
                <w:sz w:val="24"/>
                <w:szCs w:val="24"/>
                <w:lang w:val="en-US" w:eastAsia="zh-CN" w:bidi="ar-SA"/>
              </w:rPr>
              <w:t>115002.61㎡</w:t>
            </w:r>
          </w:p>
        </w:tc>
        <w:tc>
          <w:tcPr>
            <w:tcW w:w="1056" w:type="dxa"/>
            <w:vAlign w:val="center"/>
          </w:tcPr>
          <w:p>
            <w:pPr>
              <w:spacing w:line="500" w:lineRule="exact"/>
              <w:jc w:val="center"/>
              <w:rPr>
                <w:rFonts w:ascii="宋体" w:hAnsi="宋体" w:cs="宋体"/>
                <w:color w:val="000000"/>
                <w:sz w:val="24"/>
                <w:lang w:val="zh-CN"/>
              </w:rPr>
            </w:pPr>
          </w:p>
        </w:tc>
        <w:tc>
          <w:tcPr>
            <w:tcW w:w="1065" w:type="dxa"/>
            <w:vAlign w:val="center"/>
          </w:tcPr>
          <w:p>
            <w:pPr>
              <w:spacing w:line="500" w:lineRule="exact"/>
              <w:jc w:val="center"/>
              <w:rPr>
                <w:rFonts w:ascii="宋体" w:hAnsi="宋体" w:cs="宋体"/>
                <w:color w:val="000000"/>
                <w:sz w:val="24"/>
                <w:lang w:val="zh-CN"/>
              </w:rPr>
            </w:pPr>
          </w:p>
        </w:tc>
        <w:tc>
          <w:tcPr>
            <w:tcW w:w="2098" w:type="dxa"/>
            <w:vAlign w:val="center"/>
          </w:tcPr>
          <w:p>
            <w:pPr>
              <w:spacing w:line="500" w:lineRule="exact"/>
              <w:jc w:val="center"/>
              <w:rPr>
                <w:rFonts w:ascii="宋体" w:hAnsi="宋体" w:cs="宋体"/>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221" w:type="dxa"/>
            <w:vAlign w:val="center"/>
          </w:tcPr>
          <w:p>
            <w:pPr>
              <w:spacing w:line="500" w:lineRule="exact"/>
              <w:jc w:val="left"/>
              <w:rPr>
                <w:rFonts w:hint="default" w:ascii="宋体" w:hAnsi="宋体" w:cs="宋体" w:eastAsiaTheme="minorEastAsia"/>
                <w:color w:val="FF0000"/>
                <w:sz w:val="24"/>
                <w:lang w:val="en-US" w:eastAsia="zh-CN"/>
              </w:rPr>
            </w:pPr>
            <w:r>
              <w:rPr>
                <w:rFonts w:hint="eastAsia" w:ascii="宋体" w:hAnsi="宋体" w:cs="宋体"/>
                <w:sz w:val="24"/>
              </w:rPr>
              <w:t>上海</w:t>
            </w:r>
            <w:r>
              <w:rPr>
                <w:rFonts w:hint="eastAsia" w:ascii="宋体" w:hAnsi="宋体" w:cs="宋体"/>
                <w:sz w:val="24"/>
                <w:lang w:val="en-US" w:eastAsia="zh-CN"/>
              </w:rPr>
              <w:t>418数字创享园</w:t>
            </w:r>
          </w:p>
        </w:tc>
        <w:tc>
          <w:tcPr>
            <w:tcW w:w="1469" w:type="dxa"/>
            <w:vAlign w:val="center"/>
          </w:tcPr>
          <w:p>
            <w:pPr>
              <w:spacing w:line="500" w:lineRule="exact"/>
              <w:jc w:val="left"/>
              <w:rPr>
                <w:rFonts w:ascii="宋体" w:hAnsi="宋体" w:cs="宋体"/>
                <w:color w:val="000000"/>
                <w:sz w:val="24"/>
                <w:lang w:val="zh-CN"/>
              </w:rPr>
            </w:pPr>
            <w:r>
              <w:rPr>
                <w:rFonts w:hint="eastAsia" w:ascii="宋体" w:hAnsi="宋体" w:cs="宋体"/>
                <w:sz w:val="24"/>
                <w:lang w:val="zh-CN"/>
              </w:rPr>
              <w:t>蚊、蝇、蟑、鼠</w:t>
            </w:r>
          </w:p>
        </w:tc>
        <w:tc>
          <w:tcPr>
            <w:tcW w:w="1704" w:type="dxa"/>
            <w:vAlign w:val="center"/>
          </w:tcPr>
          <w:p>
            <w:pPr>
              <w:spacing w:line="500" w:lineRule="exact"/>
              <w:jc w:val="left"/>
              <w:rPr>
                <w:rFonts w:ascii="宋体" w:hAnsi="宋体" w:cs="宋体"/>
                <w:color w:val="FF0000"/>
                <w:sz w:val="24"/>
                <w:lang w:val="zh-CN"/>
              </w:rPr>
            </w:pPr>
            <w:r>
              <w:rPr>
                <w:rFonts w:hint="eastAsia" w:ascii="仿宋" w:hAnsi="仿宋" w:eastAsia="仿宋" w:cs="仿宋"/>
                <w:color w:val="0000FF"/>
                <w:kern w:val="0"/>
                <w:sz w:val="24"/>
                <w:szCs w:val="24"/>
                <w:lang w:val="en-US" w:eastAsia="zh-CN" w:bidi="ar-SA"/>
              </w:rPr>
              <w:t>26050㎡</w:t>
            </w:r>
          </w:p>
        </w:tc>
        <w:tc>
          <w:tcPr>
            <w:tcW w:w="1056" w:type="dxa"/>
            <w:vAlign w:val="center"/>
          </w:tcPr>
          <w:p>
            <w:pPr>
              <w:spacing w:line="500" w:lineRule="exact"/>
              <w:jc w:val="center"/>
              <w:rPr>
                <w:rFonts w:ascii="宋体" w:hAnsi="宋体" w:cs="宋体"/>
                <w:color w:val="FF0000"/>
                <w:sz w:val="24"/>
                <w:lang w:val="zh-CN"/>
              </w:rPr>
            </w:pPr>
          </w:p>
        </w:tc>
        <w:tc>
          <w:tcPr>
            <w:tcW w:w="1065" w:type="dxa"/>
            <w:vAlign w:val="center"/>
          </w:tcPr>
          <w:p>
            <w:pPr>
              <w:spacing w:line="500" w:lineRule="exact"/>
              <w:jc w:val="center"/>
              <w:rPr>
                <w:rFonts w:ascii="宋体" w:hAnsi="宋体" w:cs="宋体"/>
                <w:color w:val="000000"/>
                <w:sz w:val="24"/>
                <w:lang w:val="zh-CN"/>
              </w:rPr>
            </w:pPr>
          </w:p>
        </w:tc>
        <w:tc>
          <w:tcPr>
            <w:tcW w:w="2098" w:type="dxa"/>
            <w:vAlign w:val="center"/>
          </w:tcPr>
          <w:p>
            <w:pPr>
              <w:spacing w:line="500" w:lineRule="exact"/>
              <w:jc w:val="center"/>
              <w:rPr>
                <w:rFonts w:ascii="宋体" w:hAnsi="宋体" w:cs="宋体"/>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221" w:type="dxa"/>
            <w:vAlign w:val="center"/>
          </w:tcPr>
          <w:p>
            <w:pPr>
              <w:spacing w:line="500" w:lineRule="exact"/>
              <w:jc w:val="left"/>
              <w:rPr>
                <w:rFonts w:hint="eastAsia" w:ascii="宋体" w:hAnsi="宋体" w:cs="宋体"/>
                <w:sz w:val="24"/>
                <w:lang w:val="en-US" w:eastAsia="zh-CN"/>
              </w:rPr>
            </w:pPr>
            <w:r>
              <w:rPr>
                <w:rFonts w:hint="eastAsia" w:ascii="宋体" w:hAnsi="宋体" w:cs="宋体"/>
                <w:sz w:val="24"/>
                <w:lang w:val="en-US" w:eastAsia="zh-CN"/>
              </w:rPr>
              <w:t>费用合计</w:t>
            </w:r>
          </w:p>
          <w:p>
            <w:pPr>
              <w:spacing w:line="500" w:lineRule="exact"/>
              <w:jc w:val="left"/>
              <w:rPr>
                <w:rFonts w:hint="default" w:ascii="宋体" w:hAnsi="宋体" w:cs="宋体"/>
                <w:sz w:val="24"/>
                <w:lang w:val="en-US" w:eastAsia="zh-CN"/>
              </w:rPr>
            </w:pPr>
            <w:r>
              <w:rPr>
                <w:rFonts w:hint="eastAsia" w:ascii="宋体" w:hAnsi="宋体" w:cs="宋体"/>
                <w:sz w:val="24"/>
                <w:lang w:val="en-US" w:eastAsia="zh-CN"/>
              </w:rPr>
              <w:t>（元/年）</w:t>
            </w:r>
          </w:p>
        </w:tc>
        <w:tc>
          <w:tcPr>
            <w:tcW w:w="7392" w:type="dxa"/>
            <w:gridSpan w:val="5"/>
            <w:vAlign w:val="center"/>
          </w:tcPr>
          <w:p>
            <w:pPr>
              <w:spacing w:line="500" w:lineRule="exact"/>
              <w:jc w:val="center"/>
              <w:rPr>
                <w:rFonts w:ascii="宋体" w:hAnsi="宋体" w:cs="宋体"/>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13" w:type="dxa"/>
            <w:gridSpan w:val="6"/>
            <w:vAlign w:val="center"/>
          </w:tcPr>
          <w:p>
            <w:pPr>
              <w:spacing w:line="500" w:lineRule="exact"/>
              <w:jc w:val="left"/>
              <w:rPr>
                <w:rFonts w:ascii="宋体" w:hAnsi="宋体" w:cs="宋体"/>
                <w:color w:val="000000"/>
                <w:sz w:val="24"/>
                <w:lang w:val="zh-CN"/>
              </w:rPr>
            </w:pPr>
            <w:r>
              <w:rPr>
                <w:rFonts w:hint="eastAsia" w:ascii="宋体" w:hAnsi="宋体" w:cs="宋体"/>
                <w:sz w:val="24"/>
              </w:rPr>
              <w:t>备注：</w:t>
            </w:r>
            <w:r>
              <w:rPr>
                <w:rFonts w:hint="eastAsia" w:ascii="宋体" w:hAnsi="宋体" w:cs="宋体"/>
                <w:bCs/>
                <w:sz w:val="24"/>
              </w:rPr>
              <w:t>包工包料、包机械、包质量、包安全、包文明施工、包工期、包验收合格、包税金等含税综合包干总价承包方式。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8613" w:type="dxa"/>
            <w:gridSpan w:val="6"/>
            <w:vAlign w:val="center"/>
          </w:tcPr>
          <w:p>
            <w:pPr>
              <w:spacing w:line="500" w:lineRule="exact"/>
              <w:jc w:val="right"/>
              <w:rPr>
                <w:rFonts w:ascii="宋体" w:hAnsi="宋体" w:cs="宋体"/>
                <w:color w:val="000000"/>
                <w:sz w:val="24"/>
                <w:lang w:val="zh-CN"/>
              </w:rPr>
            </w:pPr>
            <w:r>
              <w:rPr>
                <w:rFonts w:hint="eastAsia" w:ascii="宋体" w:hAnsi="宋体" w:cs="宋体"/>
                <w:color w:val="000000"/>
                <w:sz w:val="24"/>
                <w:lang w:val="zh-CN"/>
              </w:rPr>
              <w:t>投标单位：（加盖鲜章）</w:t>
            </w:r>
          </w:p>
          <w:p>
            <w:pPr>
              <w:spacing w:line="500" w:lineRule="exact"/>
              <w:jc w:val="right"/>
              <w:rPr>
                <w:rFonts w:hint="eastAsia" w:ascii="宋体" w:hAnsi="宋体" w:cs="宋体"/>
                <w:color w:val="000000"/>
                <w:sz w:val="24"/>
                <w:lang w:val="zh-CN"/>
              </w:rPr>
            </w:pPr>
          </w:p>
          <w:p>
            <w:pPr>
              <w:spacing w:line="500" w:lineRule="exact"/>
              <w:jc w:val="right"/>
              <w:rPr>
                <w:rFonts w:ascii="宋体" w:hAnsi="宋体" w:cs="宋体"/>
                <w:color w:val="000000"/>
                <w:sz w:val="24"/>
                <w:lang w:val="zh-CN"/>
              </w:rPr>
            </w:pPr>
            <w:r>
              <w:rPr>
                <w:rFonts w:hint="eastAsia" w:ascii="宋体" w:hAnsi="宋体" w:cs="宋体"/>
                <w:color w:val="000000"/>
                <w:sz w:val="24"/>
                <w:lang w:val="zh-CN"/>
              </w:rPr>
              <w:t>投标时间：  年  月  日</w:t>
            </w:r>
          </w:p>
        </w:tc>
      </w:tr>
    </w:tbl>
    <w:p>
      <w:pPr>
        <w:pStyle w:val="15"/>
        <w:jc w:val="left"/>
        <w:outlineLvl w:val="1"/>
        <w:rPr>
          <w:rFonts w:hint="default" w:ascii="仿宋" w:hAnsi="仿宋" w:eastAsia="仿宋" w:cs="仿宋"/>
          <w:kern w:val="2"/>
          <w:sz w:val="28"/>
          <w:szCs w:val="28"/>
          <w:lang w:val="en-US" w:eastAsia="zh-CN" w:bidi="ar-SA"/>
        </w:rPr>
      </w:pPr>
    </w:p>
    <w:p>
      <w:pPr>
        <w:pStyle w:val="17"/>
        <w:spacing w:line="360" w:lineRule="auto"/>
        <w:ind w:left="855" w:firstLine="0" w:firstLineChars="0"/>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pStyle w:val="17"/>
        <w:spacing w:line="360" w:lineRule="auto"/>
        <w:ind w:left="855" w:firstLine="0" w:firstLineChars="0"/>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spacing w:line="360" w:lineRule="auto"/>
        <w:ind w:firstLine="480" w:firstLineChars="200"/>
        <w:jc w:val="right"/>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pStyle w:val="7"/>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rPr>
          <w:rFonts w:hint="eastAsia" w:ascii="仿宋" w:hAnsi="仿宋" w:eastAsia="仿宋" w:cs="仿宋"/>
          <w:color w:val="000000" w:themeColor="text1"/>
          <w:kern w:val="0"/>
          <w:sz w:val="24"/>
          <w:szCs w:val="24"/>
          <w:lang w:val="en-US" w:eastAsia="zh-CN" w:bidi="ar-SA"/>
          <w14:textFill>
            <w14:solidFill>
              <w14:schemeClr w14:val="tx1"/>
            </w14:solidFill>
          </w14:textFill>
        </w:rPr>
      </w:pPr>
    </w:p>
    <w:p>
      <w:pPr>
        <w:pStyle w:val="15"/>
        <w:jc w:val="left"/>
        <w:outlineLvl w:val="1"/>
        <w:rPr>
          <w:rFonts w:hint="default" w:cs="Arial"/>
          <w:sz w:val="28"/>
          <w:lang w:val="en-US" w:eastAsia="zh-CN"/>
        </w:rPr>
      </w:pPr>
      <w:r>
        <w:rPr>
          <w:rFonts w:cs="Arial"/>
          <w:sz w:val="28"/>
        </w:rPr>
        <w:t>附件</w:t>
      </w:r>
      <w:r>
        <w:rPr>
          <w:rFonts w:hint="eastAsia" w:cs="Arial"/>
          <w:sz w:val="28"/>
          <w:lang w:val="en-US" w:eastAsia="zh-CN"/>
        </w:rPr>
        <w:t>4</w:t>
      </w:r>
      <w:r>
        <w:rPr>
          <w:rFonts w:cs="Arial"/>
          <w:sz w:val="28"/>
        </w:rPr>
        <w:t>．</w:t>
      </w:r>
      <w:r>
        <w:rPr>
          <w:rFonts w:hint="eastAsia" w:cs="Arial"/>
          <w:sz w:val="28"/>
          <w:lang w:val="en-US" w:eastAsia="zh-CN"/>
        </w:rPr>
        <w:t>服务计划及服务内容、标准</w:t>
      </w: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p>
      <w:pPr>
        <w:spacing w:line="360" w:lineRule="auto"/>
        <w:jc w:val="left"/>
        <w:outlineLvl w:val="0"/>
        <w:rPr>
          <w:rFonts w:hint="eastAsia" w:cs="Arial"/>
          <w:b/>
          <w:kern w:val="2"/>
          <w:sz w:val="28"/>
          <w:szCs w:val="24"/>
          <w:lang w:val="en-US" w:eastAsia="zh-CN" w:bidi="ar-SA"/>
        </w:rPr>
      </w:pPr>
    </w:p>
    <w:p>
      <w:pPr>
        <w:spacing w:line="360" w:lineRule="auto"/>
        <w:jc w:val="left"/>
        <w:outlineLvl w:val="0"/>
        <w:rPr>
          <w:rFonts w:ascii="宋体" w:hAnsi="宋体" w:cs="宋体"/>
          <w:b/>
          <w:color w:val="000000"/>
          <w:sz w:val="24"/>
          <w:szCs w:val="24"/>
          <w:highlight w:val="none"/>
        </w:rPr>
      </w:pPr>
      <w:r>
        <w:rPr>
          <w:rFonts w:hint="eastAsia" w:cs="Arial"/>
          <w:b/>
          <w:kern w:val="2"/>
          <w:sz w:val="28"/>
          <w:szCs w:val="24"/>
          <w:lang w:val="en-US" w:eastAsia="zh-CN" w:bidi="ar-SA"/>
        </w:rPr>
        <w:t xml:space="preserve">附件5. </w:t>
      </w:r>
      <w:r>
        <w:rPr>
          <w:rFonts w:hint="eastAsia" w:cs="Arial" w:asciiTheme="minorHAnsi" w:hAnsiTheme="minorHAnsi" w:eastAsiaTheme="minorEastAsia"/>
          <w:b/>
          <w:kern w:val="2"/>
          <w:sz w:val="28"/>
          <w:szCs w:val="24"/>
          <w:lang w:val="en-US" w:eastAsia="zh-CN" w:bidi="ar-SA"/>
        </w:rPr>
        <w:t>非外资企业声明书</w:t>
      </w:r>
    </w:p>
    <w:p>
      <w:pPr>
        <w:spacing w:line="360" w:lineRule="auto"/>
        <w:jc w:val="center"/>
        <w:outlineLvl w:val="0"/>
        <w:rPr>
          <w:rFonts w:ascii="宋体" w:hAnsi="宋体" w:cs="宋体"/>
          <w:b/>
          <w:color w:val="000000"/>
          <w:sz w:val="24"/>
          <w:szCs w:val="24"/>
          <w:highlight w:val="none"/>
        </w:rPr>
      </w:pPr>
    </w:p>
    <w:p>
      <w:pPr>
        <w:spacing w:line="360" w:lineRule="auto"/>
        <w:jc w:val="left"/>
        <w:rPr>
          <w:rFonts w:ascii="宋体" w:hAnsi="宋体" w:cs="宋体"/>
          <w:sz w:val="24"/>
          <w:szCs w:val="24"/>
          <w:highlight w:val="none"/>
        </w:rPr>
      </w:pPr>
      <w:r>
        <w:rPr>
          <w:rFonts w:hint="eastAsia" w:ascii="宋体" w:hAnsi="宋体" w:cs="宋体"/>
          <w:sz w:val="24"/>
          <w:szCs w:val="24"/>
          <w:highlight w:val="none"/>
        </w:rPr>
        <w:t>致：</w:t>
      </w:r>
      <w:r>
        <w:rPr>
          <w:rFonts w:hint="eastAsia" w:hAnsi="宋体" w:cs="宋体"/>
          <w:sz w:val="24"/>
          <w:highlight w:val="none"/>
        </w:rPr>
        <w:t>中电科（北京）物业管理有限公司</w:t>
      </w:r>
    </w:p>
    <w:p>
      <w:pPr>
        <w:spacing w:line="360" w:lineRule="auto"/>
        <w:ind w:firstLine="480" w:firstLineChars="200"/>
        <w:jc w:val="left"/>
        <w:rPr>
          <w:rFonts w:hint="eastAsia" w:hAnsi="宋体" w:cs="宋体"/>
          <w:sz w:val="24"/>
          <w:highlight w:val="none"/>
        </w:rPr>
      </w:pPr>
      <w:r>
        <w:rPr>
          <w:rFonts w:hint="eastAsia"/>
          <w:sz w:val="24"/>
          <w:highlight w:val="none"/>
        </w:rPr>
        <w:t>我司</w:t>
      </w:r>
      <w:r>
        <w:rPr>
          <w:rFonts w:hint="eastAsia"/>
          <w:sz w:val="24"/>
          <w:highlight w:val="none"/>
          <w:lang w:eastAsia="zh-CN"/>
        </w:rPr>
        <w:t>：</w:t>
      </w:r>
      <w:r>
        <w:rPr>
          <w:rFonts w:hint="eastAsia"/>
          <w:sz w:val="24"/>
          <w:highlight w:val="none"/>
          <w:u w:val="single"/>
          <w:lang w:val="en-US" w:eastAsia="zh-CN"/>
        </w:rPr>
        <w:t xml:space="preserve">  </w:t>
      </w:r>
      <w:r>
        <w:rPr>
          <w:rFonts w:hint="eastAsia" w:hAnsi="宋体" w:cs="宋体"/>
          <w:sz w:val="24"/>
          <w:szCs w:val="20"/>
          <w:highlight w:val="none"/>
          <w:u w:val="single"/>
          <w:lang w:val="en-US" w:eastAsia="zh-CN"/>
        </w:rPr>
        <w:t xml:space="preserve">                       </w:t>
      </w:r>
      <w:r>
        <w:rPr>
          <w:rFonts w:hint="eastAsia" w:hAnsi="宋体" w:cs="宋体"/>
          <w:sz w:val="24"/>
          <w:highlight w:val="none"/>
          <w:u w:val="single"/>
        </w:rPr>
        <w:t xml:space="preserve">  </w:t>
      </w:r>
      <w:r>
        <w:rPr>
          <w:rFonts w:hint="eastAsia" w:hAnsi="宋体" w:cs="宋体"/>
          <w:sz w:val="24"/>
          <w:highlight w:val="none"/>
        </w:rPr>
        <w:t>的注册地址：</w:t>
      </w:r>
      <w:r>
        <w:rPr>
          <w:rFonts w:hint="eastAsia" w:hAnsi="宋体" w:cs="宋体"/>
          <w:sz w:val="24"/>
          <w:highlight w:val="none"/>
          <w:u w:val="none"/>
        </w:rPr>
        <w:t xml:space="preserve"> </w:t>
      </w:r>
      <w:r>
        <w:rPr>
          <w:rFonts w:hint="eastAsia" w:hAnsi="宋体" w:cs="宋体"/>
          <w:sz w:val="24"/>
          <w:highlight w:val="none"/>
          <w:u w:val="none"/>
          <w:lang w:val="en-US" w:eastAsia="zh-CN"/>
        </w:rPr>
        <w:t xml:space="preserve"> </w:t>
      </w:r>
      <w:r>
        <w:rPr>
          <w:rFonts w:hint="eastAsia" w:hAnsi="宋体" w:cs="宋体"/>
          <w:sz w:val="24"/>
          <w:szCs w:val="20"/>
          <w:highlight w:val="none"/>
          <w:u w:val="single"/>
          <w:lang w:val="en-US" w:eastAsia="zh-CN"/>
        </w:rPr>
        <w:t xml:space="preserve">                 </w:t>
      </w:r>
      <w:r>
        <w:rPr>
          <w:rFonts w:hint="eastAsia" w:hAnsi="宋体" w:cs="宋体"/>
          <w:sz w:val="24"/>
          <w:highlight w:val="none"/>
          <w:u w:val="none"/>
        </w:rPr>
        <w:t xml:space="preserve"> </w:t>
      </w:r>
      <w:r>
        <w:rPr>
          <w:rFonts w:hint="eastAsia" w:hAnsi="宋体" w:cs="宋体"/>
          <w:sz w:val="24"/>
          <w:highlight w:val="none"/>
        </w:rPr>
        <w:t>；企业类型为</w:t>
      </w:r>
      <w:r>
        <w:rPr>
          <w:rFonts w:hint="eastAsia" w:hAnsi="宋体" w:cs="宋体"/>
          <w:sz w:val="24"/>
          <w:highlight w:val="none"/>
          <w:u w:val="single"/>
          <w:lang w:val="en-US" w:eastAsia="zh-CN"/>
        </w:rPr>
        <w:t xml:space="preserve">              </w:t>
      </w:r>
      <w:r>
        <w:rPr>
          <w:rFonts w:hint="eastAsia" w:hAnsi="宋体" w:cs="宋体"/>
          <w:sz w:val="24"/>
          <w:highlight w:val="none"/>
        </w:rPr>
        <w:t>，营业执照注册号为：</w:t>
      </w:r>
      <w:r>
        <w:rPr>
          <w:rFonts w:hint="eastAsia" w:hAnsi="宋体" w:cs="宋体"/>
          <w:sz w:val="24"/>
          <w:highlight w:val="none"/>
          <w:u w:val="single"/>
        </w:rPr>
        <w:t xml:space="preserve"> </w:t>
      </w:r>
      <w:r>
        <w:rPr>
          <w:rFonts w:hint="eastAsia" w:hAnsi="宋体" w:cs="宋体"/>
          <w:sz w:val="24"/>
          <w:szCs w:val="20"/>
          <w:highlight w:val="none"/>
          <w:u w:val="single"/>
          <w:lang w:val="en-US" w:eastAsia="zh-CN"/>
        </w:rPr>
        <w:t xml:space="preserve">                </w:t>
      </w:r>
      <w:r>
        <w:rPr>
          <w:rFonts w:hint="eastAsia" w:hAnsi="宋体" w:cs="宋体"/>
          <w:sz w:val="24"/>
          <w:highlight w:val="none"/>
          <w:u w:val="none"/>
        </w:rPr>
        <w:t xml:space="preserve"> </w:t>
      </w:r>
      <w:r>
        <w:rPr>
          <w:rFonts w:hint="eastAsia" w:hAnsi="宋体" w:cs="宋体"/>
          <w:sz w:val="24"/>
          <w:highlight w:val="none"/>
        </w:rPr>
        <w:t>；</w:t>
      </w:r>
    </w:p>
    <w:p>
      <w:pPr>
        <w:spacing w:line="360" w:lineRule="auto"/>
        <w:ind w:firstLine="480" w:firstLineChars="200"/>
        <w:jc w:val="left"/>
        <w:rPr>
          <w:sz w:val="24"/>
          <w:highlight w:val="none"/>
        </w:rPr>
      </w:pPr>
      <w:r>
        <w:rPr>
          <w:rFonts w:hint="eastAsia"/>
          <w:sz w:val="24"/>
          <w:highlight w:val="none"/>
        </w:rPr>
        <w:t>我司对有关事项作声明如下：</w:t>
      </w:r>
    </w:p>
    <w:p>
      <w:pPr>
        <w:spacing w:line="360" w:lineRule="auto"/>
        <w:ind w:firstLine="480" w:firstLineChars="200"/>
        <w:jc w:val="left"/>
        <w:rPr>
          <w:sz w:val="24"/>
          <w:highlight w:val="none"/>
        </w:rPr>
      </w:pPr>
      <w:r>
        <w:rPr>
          <w:rFonts w:hint="eastAsia"/>
          <w:sz w:val="24"/>
          <w:highlight w:val="none"/>
        </w:rPr>
        <w:t>企业股东均为国内股东，我司为非外资企业。</w:t>
      </w:r>
    </w:p>
    <w:p>
      <w:pPr>
        <w:spacing w:line="360" w:lineRule="auto"/>
        <w:jc w:val="left"/>
        <w:rPr>
          <w:sz w:val="24"/>
          <w:highlight w:val="none"/>
        </w:rPr>
      </w:pPr>
      <w:r>
        <w:rPr>
          <w:rFonts w:hint="eastAsia"/>
          <w:sz w:val="24"/>
          <w:highlight w:val="none"/>
        </w:rPr>
        <w:t>特此声明。</w:t>
      </w:r>
    </w:p>
    <w:p>
      <w:pPr>
        <w:spacing w:line="360" w:lineRule="auto"/>
        <w:jc w:val="left"/>
        <w:rPr>
          <w:sz w:val="24"/>
          <w:highlight w:val="none"/>
        </w:rPr>
      </w:pPr>
    </w:p>
    <w:p>
      <w:pPr>
        <w:spacing w:line="360" w:lineRule="auto"/>
        <w:jc w:val="left"/>
        <w:rPr>
          <w:sz w:val="24"/>
          <w:highlight w:val="none"/>
        </w:rPr>
      </w:pPr>
    </w:p>
    <w:p>
      <w:pPr>
        <w:spacing w:line="360" w:lineRule="auto"/>
        <w:jc w:val="left"/>
        <w:rPr>
          <w:sz w:val="24"/>
          <w:highlight w:val="none"/>
        </w:rPr>
      </w:pPr>
      <w:r>
        <w:rPr>
          <w:rFonts w:hint="eastAsia"/>
          <w:sz w:val="24"/>
          <w:highlight w:val="none"/>
        </w:rPr>
        <w:t>单位（盖章）：</w:t>
      </w:r>
    </w:p>
    <w:p>
      <w:pPr>
        <w:spacing w:line="360" w:lineRule="auto"/>
        <w:jc w:val="left"/>
        <w:rPr>
          <w:sz w:val="24"/>
          <w:highlight w:val="none"/>
        </w:rPr>
      </w:pPr>
      <w:r>
        <w:rPr>
          <w:rFonts w:hint="eastAsia"/>
          <w:sz w:val="24"/>
          <w:highlight w:val="none"/>
        </w:rPr>
        <w:t>法人代表或经办人（签章）：</w:t>
      </w:r>
    </w:p>
    <w:p>
      <w:pPr>
        <w:rPr>
          <w:highlight w:val="none"/>
        </w:rPr>
      </w:pPr>
      <w:r>
        <w:rPr>
          <w:rFonts w:hint="eastAsia"/>
          <w:sz w:val="24"/>
          <w:highlight w:val="none"/>
        </w:rPr>
        <w:t>日期：</w:t>
      </w:r>
    </w:p>
    <w:p>
      <w:pPr>
        <w:rPr>
          <w:sz w:val="28"/>
          <w:szCs w:val="28"/>
          <w:highlight w:val="none"/>
        </w:rPr>
      </w:pPr>
    </w:p>
    <w:p>
      <w:pPr>
        <w:pStyle w:val="6"/>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仿宋" w:hAnsi="仿宋" w:eastAsia="仿宋" w:cs="仿宋"/>
          <w:b/>
          <w:bCs/>
          <w:color w:val="000000" w:themeColor="text1"/>
          <w:kern w:val="0"/>
          <w:sz w:val="24"/>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82BB9"/>
    <w:multiLevelType w:val="multilevel"/>
    <w:tmpl w:val="17F82BB9"/>
    <w:lvl w:ilvl="0" w:tentative="0">
      <w:start w:val="1"/>
      <w:numFmt w:val="decimal"/>
      <w:lvlText w:val="%1."/>
      <w:lvlJc w:val="righ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EE7F15"/>
    <w:multiLevelType w:val="singleLevel"/>
    <w:tmpl w:val="2EEE7F15"/>
    <w:lvl w:ilvl="0" w:tentative="0">
      <w:start w:val="1"/>
      <w:numFmt w:val="chineseCounting"/>
      <w:suff w:val="nothing"/>
      <w:lvlText w:val="%1、"/>
      <w:lvlJc w:val="left"/>
      <w:rPr>
        <w:rFonts w:hint="eastAsia"/>
      </w:rPr>
    </w:lvl>
  </w:abstractNum>
  <w:abstractNum w:abstractNumId="2">
    <w:nsid w:val="563A52A9"/>
    <w:multiLevelType w:val="singleLevel"/>
    <w:tmpl w:val="563A52A9"/>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zU4ZjAwM2U3N2I4Mjk0MDcwNzBhZTI3OTMzOTAifQ=="/>
  </w:docVars>
  <w:rsids>
    <w:rsidRoot w:val="00172A27"/>
    <w:rsid w:val="0521307C"/>
    <w:rsid w:val="072916E2"/>
    <w:rsid w:val="09B65D24"/>
    <w:rsid w:val="0D924934"/>
    <w:rsid w:val="118010AA"/>
    <w:rsid w:val="1EDD5C81"/>
    <w:rsid w:val="257F4A89"/>
    <w:rsid w:val="27842FF8"/>
    <w:rsid w:val="30BB0478"/>
    <w:rsid w:val="3C49639F"/>
    <w:rsid w:val="3EF83214"/>
    <w:rsid w:val="41C76A62"/>
    <w:rsid w:val="46692E9A"/>
    <w:rsid w:val="47255F99"/>
    <w:rsid w:val="48384183"/>
    <w:rsid w:val="564E1B99"/>
    <w:rsid w:val="56AC131F"/>
    <w:rsid w:val="69D92EE6"/>
    <w:rsid w:val="6D0E4CB5"/>
    <w:rsid w:val="70FF3D63"/>
    <w:rsid w:val="7BB812E0"/>
    <w:rsid w:val="7E8A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tabs>
        <w:tab w:val="left" w:pos="5580"/>
      </w:tabs>
      <w:ind w:firstLine="420" w:firstLineChars="200"/>
    </w:p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 w:type="paragraph" w:customStyle="1" w:styleId="14">
    <w:name w:val="样式 首行缩进:  2 字符"/>
    <w:basedOn w:val="1"/>
    <w:qFormat/>
    <w:uiPriority w:val="99"/>
    <w:pPr>
      <w:spacing w:line="360" w:lineRule="auto"/>
      <w:ind w:firstLine="560" w:firstLineChars="200"/>
    </w:pPr>
    <w:rPr>
      <w:rFonts w:eastAsia="仿宋_GB2312"/>
    </w:rPr>
  </w:style>
  <w:style w:type="paragraph" w:customStyle="1" w:styleId="15">
    <w:name w:val="样式2"/>
    <w:basedOn w:val="1"/>
    <w:qFormat/>
    <w:uiPriority w:val="0"/>
    <w:pPr>
      <w:spacing w:line="300" w:lineRule="auto"/>
      <w:jc w:val="center"/>
      <w:outlineLvl w:val="0"/>
    </w:pPr>
    <w:rPr>
      <w:b/>
      <w:sz w:val="24"/>
    </w:rPr>
  </w:style>
  <w:style w:type="paragraph" w:customStyle="1" w:styleId="16">
    <w:name w:val="普通 (Web)"/>
    <w:basedOn w:val="1"/>
    <w:qFormat/>
    <w:uiPriority w:val="0"/>
    <w:rPr>
      <w:sz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2957</Words>
  <Characters>3216</Characters>
  <Lines>1</Lines>
  <Paragraphs>1</Paragraphs>
  <TotalTime>36</TotalTime>
  <ScaleCrop>false</ScaleCrop>
  <LinksUpToDate>false</LinksUpToDate>
  <CharactersWithSpaces>3519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2023-07-26T01:00:00Z</dcterms:created>
  <dc:creator>～hhy～</dc:creator>
  <cp:lastModifiedBy>～hhy～</cp:lastModifiedBy>
  <dcterms:modified xsi:type="dcterms:W3CDTF">2023-12-21T01:21:18Z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D0271074AD8E4F579AEF5445CB131BB6_13</vt:lpwstr>
  </property>
</Properties>
</file>