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询价函</w:t>
      </w:r>
    </w:p>
    <w:p>
      <w:pPr>
        <w:spacing w:line="560" w:lineRule="exact"/>
        <w:jc w:val="center"/>
        <w:rPr>
          <w:rFonts w:asciiTheme="majorEastAsia" w:hAnsiTheme="majorEastAsia" w:eastAsiaTheme="majorEastAsia" w:cstheme="majorEastAsia"/>
          <w:sz w:val="44"/>
          <w:szCs w:val="52"/>
        </w:rPr>
      </w:pPr>
    </w:p>
    <w:p>
      <w:pPr>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各供应商：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我司拟就“深圳市罗湖区翠竹大厦2024年度保洁消杀服务”进行公开询价，欢迎贵公司就以下采购内容进行报价。现将有关事项说明如下：</w:t>
      </w:r>
    </w:p>
    <w:p>
      <w:pPr>
        <w:numPr>
          <w:ilvl w:val="0"/>
          <w:numId w:val="1"/>
        </w:num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项目名称：</w:t>
      </w:r>
    </w:p>
    <w:p>
      <w:pPr>
        <w:pStyle w:val="7"/>
        <w:ind w:firstLine="600"/>
      </w:pPr>
      <w:r>
        <w:rPr>
          <w:rFonts w:hint="eastAsia" w:ascii="仿宋_GB2312" w:hAnsi="仿宋_GB2312" w:eastAsia="仿宋_GB2312" w:cs="仿宋_GB2312"/>
          <w:sz w:val="30"/>
          <w:szCs w:val="30"/>
        </w:rPr>
        <w:t>深圳市罗湖区翠竹大厦2024年度保洁消杀服务</w:t>
      </w:r>
    </w:p>
    <w:p>
      <w:pPr>
        <w:pStyle w:val="2"/>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二、项目概况：</w:t>
      </w:r>
    </w:p>
    <w:p>
      <w:pPr>
        <w:pStyle w:val="2"/>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深圳市罗湖区翠竹路2028号翠竹大厦，总建筑面积约18304平米，地下一层，地上19层，地下停车场车位27个，地上停车场车位46个，1-6层、19层翠竹街道办事处办公场所，7-18层商住楼。</w:t>
      </w:r>
    </w:p>
    <w:p>
      <w:pPr>
        <w:pStyle w:val="2"/>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color w:val="000000" w:themeColor="text1"/>
          <w:sz w:val="30"/>
          <w:szCs w:val="30"/>
        </w:rPr>
        <w:t>三、保洁消杀的范围和内容：</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一楼大堂：负责拖扫一楼大堂、擦抹大堂玻璃门、大理石墙面、前台、大堂摆放设施、三台电梯清洁护理、总值班室及管理处卫生。</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外围：清洁外围地面卫生、倾倒垃圾桶、冲洗外围地面、冲洗小区地面水沟、冲洗垃圾池、清理花圃落叶杂物。</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地下停车场：拖扫和冲洗地下停车场、拖扫机电房过道。</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2楼至6楼：收集楼层办公垃圾、拖扫大小电梯厅、楼梯，擦抹楼梯扶手、消防设施、通风口百叶窗、壁画、挂件等。</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7楼：收集楼层办公垃圾、拖扫大小电梯厅、楼梯，擦抹楼梯扶手、消防设施、通风口百叶窗，清扫7楼公共卫生间。</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8楼至19楼：收集楼层办公垃圾、拖扫大小电梯厅、楼梯，擦抹楼梯扶手、消防设施、通风口百叶窗，清洁1711、1716办公室卫生。</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顶楼：每周打扫一次20楼天面，疏通楼顶水沟。</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水田二街宿舍：扫拖抹楼梯、扶手，二楼楼梯平台和天面。</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搞好“四害”（老鼠、苍蝇、蚊子、蟑螂）的消杀和密度控制，服务标准达到省、市规定的工作标准。</w:t>
      </w:r>
    </w:p>
    <w:p>
      <w:pPr>
        <w:pStyle w:val="2"/>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指导并协助甲方搞好卫生基础设施和“四害”防治基础设施，执行《深圳市“四害”基础设施工作方案》的规定。</w:t>
      </w:r>
    </w:p>
    <w:p>
      <w:pPr>
        <w:spacing w:line="560" w:lineRule="exact"/>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四、项目预算限额：</w:t>
      </w:r>
      <w:r>
        <w:rPr>
          <w:rFonts w:hint="eastAsia" w:ascii="仿宋_GB2312" w:hAnsi="仿宋_GB2312" w:eastAsia="仿宋_GB2312" w:cs="仿宋_GB2312"/>
          <w:sz w:val="30"/>
          <w:szCs w:val="30"/>
          <w:highlight w:val="yellow"/>
        </w:rPr>
        <w:t>人民币150000元</w:t>
      </w:r>
      <w:r>
        <w:rPr>
          <w:rFonts w:hint="eastAsia" w:ascii="仿宋_GB2312" w:hAnsi="仿宋_GB2312" w:eastAsia="仿宋_GB2312" w:cs="仿宋_GB2312"/>
          <w:sz w:val="30"/>
          <w:szCs w:val="30"/>
        </w:rPr>
        <w:t>（上限价）</w:t>
      </w:r>
    </w:p>
    <w:p>
      <w:pPr>
        <w:spacing w:line="300" w:lineRule="auto"/>
        <w:ind w:left="64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五、采购内容：</w:t>
      </w:r>
      <w:r>
        <w:rPr>
          <w:rFonts w:hint="eastAsia" w:ascii="仿宋_GB2312" w:hAnsi="仿宋_GB2312" w:eastAsia="仿宋_GB2312" w:cs="仿宋_GB2312"/>
          <w:sz w:val="30"/>
          <w:szCs w:val="30"/>
        </w:rPr>
        <w:t>包括但不限于以下内容（甲方为采购方、乙方为服务方）：</w:t>
      </w:r>
    </w:p>
    <w:p>
      <w:pPr>
        <w:spacing w:line="560" w:lineRule="exact"/>
        <w:ind w:firstLine="64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乙方应派出具有两年以上物业保洁工作经验的人员担任现场管理负责人，并持有相关职业资格证件。现场管理负责人作为乙方代表，负责与甲方进行全面接洽和组织开展管理范围内的保洁服务工作。若乙方通讯地址或联络工作人员变更时，应提前7天书面通知甲方，其后任必须全面继续承担前任应负的责任。</w:t>
      </w:r>
    </w:p>
    <w:p>
      <w:pPr>
        <w:spacing w:line="560" w:lineRule="exact"/>
        <w:ind w:firstLine="64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2、乙方派驻现场的保洁服务人员不得少于3人（含现场管理负责人），派驻人员年龄控制在男性20-65周岁、女性20-60周岁，身体健康，能使用文明用语。</w:t>
      </w:r>
    </w:p>
    <w:p>
      <w:pPr>
        <w:spacing w:line="560" w:lineRule="exact"/>
        <w:ind w:firstLine="64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3、清洁工作要求全面、彻底，做到办公区、卫生间、公共走道、停车场、花坛、绿地、垃圾箱等清洁无杂物、污物。</w:t>
      </w:r>
    </w:p>
    <w:p>
      <w:pPr>
        <w:pStyle w:val="7"/>
        <w:ind w:firstLine="600"/>
      </w:pPr>
      <w:r>
        <w:rPr>
          <w:rFonts w:hint="eastAsia" w:ascii="仿宋_GB2312" w:hAnsi="仿宋_GB2312" w:eastAsia="仿宋_GB2312" w:cs="仿宋_GB2312"/>
          <w:sz w:val="30"/>
          <w:szCs w:val="30"/>
        </w:rPr>
        <w:t>4、乙方需按照政府相关职能部门和甲方的要求做好垃圾收集、垃圾分类等相关工作。</w:t>
      </w:r>
    </w:p>
    <w:p>
      <w:pPr>
        <w:spacing w:line="560" w:lineRule="exact"/>
        <w:ind w:firstLine="64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5、乙方需具备从事“除四害”消杀服务的相关资质，全面做好四害消杀、灭鼠、灭蟑螂、灭蚊、灭蝇工作。</w:t>
      </w:r>
    </w:p>
    <w:p>
      <w:pPr>
        <w:spacing w:line="560" w:lineRule="exact"/>
        <w:ind w:firstLine="64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6、乙方需协助甲方对接政府相关职能部门，确保垃圾清运等相关工作顺利开展。</w:t>
      </w:r>
    </w:p>
    <w:p>
      <w:pPr>
        <w:pStyle w:val="5"/>
        <w:numPr>
          <w:ilvl w:val="3"/>
          <w:numId w:val="0"/>
        </w:numPr>
        <w:spacing w:before="156" w:after="156"/>
        <w:ind w:firstLine="600" w:firstLineChars="200"/>
        <w:jc w:val="both"/>
        <w:rPr>
          <w:rFonts w:ascii="仿宋_GB2312" w:hAnsi="仿宋_GB2312" w:eastAsia="仿宋_GB2312" w:cs="仿宋_GB2312"/>
          <w:b w:val="0"/>
          <w:bCs w:val="0"/>
          <w:kern w:val="2"/>
          <w:sz w:val="30"/>
          <w:szCs w:val="30"/>
        </w:rPr>
      </w:pPr>
      <w:r>
        <w:rPr>
          <w:rFonts w:hint="eastAsia" w:ascii="仿宋_GB2312" w:hAnsi="仿宋_GB2312" w:eastAsia="仿宋_GB2312" w:cs="仿宋_GB2312"/>
          <w:b w:val="0"/>
          <w:bCs w:val="0"/>
          <w:kern w:val="2"/>
          <w:sz w:val="30"/>
          <w:szCs w:val="30"/>
        </w:rPr>
        <w:t>7、乙方应自行给服务人员购买人身保险，并对员工安全负责，在服务过程中发生安全事故由乙方自行承担相关责任。</w:t>
      </w:r>
    </w:p>
    <w:p>
      <w:pPr>
        <w:ind w:firstLine="600" w:firstLineChars="200"/>
      </w:pPr>
      <w:r>
        <w:rPr>
          <w:rFonts w:hint="eastAsia" w:ascii="仿宋_GB2312" w:hAnsi="仿宋_GB2312" w:eastAsia="仿宋_GB2312" w:cs="仿宋_GB2312"/>
          <w:sz w:val="30"/>
          <w:szCs w:val="30"/>
        </w:rPr>
        <w:t>8、因政策变化或客观环境因素导致合同无法继续履行的，甲方有权即时终止服务合同并不承担任何违约责任。</w:t>
      </w:r>
    </w:p>
    <w:p>
      <w:pPr>
        <w:pStyle w:val="2"/>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六、供应商应具备的条件</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（1）具备独立法人资格或者独立核算（可开具增值税专用发票），有合法、有效、符合本项目要求的经营资质。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（2）投标人近三年内没有骗取中标和严重违约、提供的产品没有重大质量问题及安全事故。</w:t>
      </w:r>
    </w:p>
    <w:p>
      <w:pPr>
        <w:spacing w:line="24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（3）具有保洁卫生资质和“除四害”消杀</w:t>
      </w:r>
      <w:r>
        <w:rPr>
          <w:rFonts w:hint="eastAsia" w:ascii="仿宋_GB2312" w:hAnsi="仿宋_GB2312" w:eastAsia="仿宋_GB2312" w:cs="仿宋_GB2312"/>
          <w:sz w:val="30"/>
          <w:szCs w:val="30"/>
          <w:lang w:val="en-US" w:eastAsia="zh-CN"/>
        </w:rPr>
        <w:t>相关</w:t>
      </w:r>
      <w:r>
        <w:rPr>
          <w:rFonts w:hint="eastAsia" w:ascii="仿宋_GB2312" w:hAnsi="仿宋_GB2312" w:eastAsia="仿宋_GB2312" w:cs="仿宋_GB2312"/>
          <w:sz w:val="30"/>
          <w:szCs w:val="30"/>
        </w:rPr>
        <w:t>资质（均需在有效期范围内）。</w:t>
      </w:r>
      <w:bookmarkStart w:id="0" w:name="_GoBack"/>
      <w:bookmarkEnd w:id="0"/>
    </w:p>
    <w:p>
      <w:pPr>
        <w:pStyle w:val="8"/>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（4）提供近三年内（自公告开始日倒推）楼宇建筑的保洁和消杀业绩一份（可以是同一份合同，但分别有保洁和消杀），提供合同关键页，要求文字清晰，加盖公章。</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（5）本项目不接受联合体投标，不允许转包、分包。</w:t>
      </w:r>
    </w:p>
    <w:p>
      <w:pPr>
        <w:spacing w:line="560" w:lineRule="exact"/>
        <w:ind w:firstLine="602" w:firstLineChars="2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七、服务期限：</w:t>
      </w:r>
      <w:r>
        <w:rPr>
          <w:rFonts w:hint="eastAsia" w:ascii="仿宋_GB2312" w:hAnsi="仿宋_GB2312" w:eastAsia="仿宋_GB2312" w:cs="仿宋_GB2312"/>
          <w:sz w:val="30"/>
          <w:szCs w:val="30"/>
        </w:rPr>
        <w:t>1年，采购人根据服务商履约情况可以续签一年。</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八、特别提醒</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（一）报价要求</w:t>
      </w:r>
    </w:p>
    <w:p>
      <w:pPr>
        <w:spacing w:line="560" w:lineRule="exact"/>
        <w:ind w:firstLine="600" w:firstLineChars="200"/>
        <w:jc w:val="left"/>
        <w:rPr>
          <w:rFonts w:ascii="仿宋_GB2312" w:hAnsi="仿宋_GB2312" w:eastAsia="仿宋_GB2312" w:cs="仿宋_GB2312"/>
          <w:color w:val="000000" w:themeColor="text1"/>
          <w:sz w:val="30"/>
          <w:szCs w:val="30"/>
        </w:rPr>
      </w:pPr>
      <w:r>
        <w:rPr>
          <w:rFonts w:hint="eastAsia" w:ascii="仿宋_GB2312" w:hAnsi="仿宋_GB2312" w:eastAsia="仿宋_GB2312" w:cs="仿宋_GB2312"/>
          <w:sz w:val="30"/>
          <w:szCs w:val="30"/>
        </w:rPr>
        <w:t>报价一经认可，即为签订合同的最终依据。请各供应商按附件报价函格式进行填写，并加盖公章和企业简介、营业执照、法人身份证复印件、授权委托书、授权人身份证复印件、相关资质证书等</w:t>
      </w:r>
      <w:r>
        <w:rPr>
          <w:rFonts w:hint="eastAsia" w:ascii="仿宋_GB2312" w:hAnsi="仿宋_GB2312" w:eastAsia="仿宋_GB2312" w:cs="仿宋_GB2312"/>
          <w:color w:val="000000" w:themeColor="text1"/>
          <w:sz w:val="30"/>
          <w:szCs w:val="30"/>
        </w:rPr>
        <w:t>，于2023年 1</w:t>
      </w: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月</w:t>
      </w:r>
      <w:r>
        <w:rPr>
          <w:rFonts w:hint="eastAsia" w:ascii="仿宋_GB2312" w:hAnsi="仿宋_GB2312" w:eastAsia="仿宋_GB2312" w:cs="仿宋_GB2312"/>
          <w:color w:val="000000" w:themeColor="text1"/>
          <w:sz w:val="30"/>
          <w:szCs w:val="30"/>
          <w:lang w:val="en-US" w:eastAsia="zh-CN"/>
        </w:rPr>
        <w:t>25</w:t>
      </w:r>
      <w:r>
        <w:rPr>
          <w:rFonts w:hint="eastAsia" w:ascii="仿宋_GB2312" w:hAnsi="仿宋_GB2312" w:eastAsia="仿宋_GB2312" w:cs="仿宋_GB2312"/>
          <w:color w:val="000000" w:themeColor="text1"/>
          <w:sz w:val="30"/>
          <w:szCs w:val="30"/>
        </w:rPr>
        <w:t>日18:00前联系</w:t>
      </w:r>
      <w:r>
        <w:rPr>
          <w:rFonts w:hint="eastAsia" w:ascii="仿宋_GB2312" w:hAnsi="仿宋_GB2312" w:eastAsia="仿宋_GB2312" w:cs="仿宋_GB2312"/>
          <w:color w:val="000000" w:themeColor="text1"/>
          <w:sz w:val="30"/>
          <w:szCs w:val="30"/>
          <w:lang w:val="en-US" w:eastAsia="zh-CN"/>
        </w:rPr>
        <w:t>田小姐</w:t>
      </w:r>
      <w:r>
        <w:rPr>
          <w:rFonts w:hint="eastAsia" w:ascii="仿宋_GB2312" w:hAnsi="仿宋_GB2312" w:eastAsia="仿宋_GB2312" w:cs="仿宋_GB2312"/>
          <w:color w:val="000000" w:themeColor="text1"/>
          <w:sz w:val="30"/>
          <w:szCs w:val="30"/>
        </w:rPr>
        <w:t>:</w:t>
      </w:r>
      <w:r>
        <w:rPr>
          <w:rFonts w:hint="eastAsia" w:ascii="仿宋_GB2312" w:hAnsi="仿宋_GB2312" w:eastAsia="仿宋_GB2312" w:cs="仿宋_GB2312"/>
          <w:color w:val="000000" w:themeColor="text1"/>
          <w:sz w:val="30"/>
          <w:szCs w:val="30"/>
          <w:lang w:val="en-US" w:eastAsia="zh-CN"/>
        </w:rPr>
        <w:t>0755-25690140，</w:t>
      </w:r>
      <w:r>
        <w:rPr>
          <w:rFonts w:hint="eastAsia" w:ascii="仿宋_GB2312" w:hAnsi="仿宋_GB2312" w:eastAsia="仿宋_GB2312" w:cs="仿宋_GB2312"/>
          <w:color w:val="000000" w:themeColor="text1"/>
          <w:sz w:val="30"/>
          <w:szCs w:val="30"/>
        </w:rPr>
        <w:t>并将相关文件寄送至深圳市罗湖区</w:t>
      </w:r>
      <w:r>
        <w:rPr>
          <w:rFonts w:hint="eastAsia" w:ascii="仿宋_GB2312" w:hAnsi="仿宋_GB2312" w:eastAsia="仿宋_GB2312" w:cs="仿宋_GB2312"/>
          <w:color w:val="000000" w:themeColor="text1"/>
          <w:sz w:val="30"/>
          <w:szCs w:val="30"/>
          <w:lang w:val="en-US" w:eastAsia="zh-CN"/>
        </w:rPr>
        <w:t>翠竹路2028号翠竹大厦一楼管理处</w:t>
      </w:r>
      <w:r>
        <w:rPr>
          <w:rFonts w:hint="eastAsia" w:ascii="仿宋_GB2312" w:hAnsi="仿宋_GB2312" w:eastAsia="仿宋_GB2312" w:cs="仿宋_GB2312"/>
          <w:color w:val="000000" w:themeColor="text1"/>
          <w:sz w:val="30"/>
          <w:szCs w:val="30"/>
        </w:rPr>
        <w:t>，逾期视为放弃参与本项目报价。</w:t>
      </w:r>
    </w:p>
    <w:p>
      <w:pPr>
        <w:numPr>
          <w:ilvl w:val="0"/>
          <w:numId w:val="3"/>
        </w:num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报价须知</w:t>
      </w:r>
    </w:p>
    <w:p>
      <w:pPr>
        <w:pStyle w:val="14"/>
        <w:widowControl/>
        <w:shd w:val="clear" w:color="auto" w:fill="FFFFFF"/>
        <w:spacing w:beforeAutospacing="0" w:afterAutospacing="0" w:line="360" w:lineRule="auto"/>
        <w:ind w:firstLine="600" w:firstLineChars="200"/>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kern w:val="2"/>
          <w:sz w:val="30"/>
          <w:szCs w:val="30"/>
        </w:rPr>
        <w:t>本次报价为一次性报价，报价人如对本询价函报价，即表示认可我方提出的要求，且不可撤回。否则，该报价人将被记入不诚信报价人名单，在今后规定的时间内不得参与我方组织的任何招标活动。</w:t>
      </w:r>
    </w:p>
    <w:p>
      <w:pPr>
        <w:pStyle w:val="14"/>
        <w:widowControl/>
        <w:shd w:val="clear" w:color="auto" w:fill="FFFFFF"/>
        <w:spacing w:beforeAutospacing="0" w:afterAutospacing="0" w:line="360" w:lineRule="auto"/>
        <w:ind w:firstLine="600" w:firstLineChars="200"/>
        <w:textAlignment w:val="baseline"/>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（2）询价函、报价函均为采购合同的组成部分。</w:t>
      </w:r>
    </w:p>
    <w:p>
      <w:pPr>
        <w:pStyle w:val="14"/>
        <w:widowControl/>
        <w:shd w:val="clear" w:color="auto" w:fill="FFFFFF"/>
        <w:spacing w:beforeAutospacing="0" w:afterAutospacing="0" w:line="360" w:lineRule="auto"/>
        <w:ind w:firstLine="600" w:firstLineChars="200"/>
        <w:textAlignment w:val="baseline"/>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报价人在采购过程中应遵守诚实信用的原则，在采购及合同履行过程中，如发现报价人有欺诈等不诚实行为及违反合同约定等行为，将会受到列入黑名单、网上通报等处理。希望各竞投报价人在认真阅读询价函内容后再进行报价。</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九、联系方式</w:t>
      </w:r>
    </w:p>
    <w:p>
      <w:pPr>
        <w:pStyle w:val="14"/>
        <w:widowControl/>
        <w:shd w:val="clear" w:color="auto" w:fill="FFFFFF"/>
        <w:spacing w:beforeAutospacing="0" w:afterAutospacing="0" w:line="360" w:lineRule="auto"/>
        <w:ind w:firstLine="600" w:firstLineChars="200"/>
        <w:textAlignment w:val="baseline"/>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t>联系人：</w:t>
      </w:r>
      <w:r>
        <w:rPr>
          <w:rFonts w:hint="eastAsia" w:ascii="仿宋_GB2312" w:hAnsi="仿宋_GB2312" w:eastAsia="仿宋_GB2312" w:cs="仿宋_GB2312"/>
          <w:kern w:val="2"/>
          <w:sz w:val="30"/>
          <w:szCs w:val="30"/>
          <w:lang w:val="en-US" w:eastAsia="zh-CN"/>
        </w:rPr>
        <w:t>田小姐</w:t>
      </w:r>
    </w:p>
    <w:p>
      <w:pPr>
        <w:pStyle w:val="14"/>
        <w:widowControl/>
        <w:shd w:val="clear" w:color="auto" w:fill="FFFFFF"/>
        <w:spacing w:beforeAutospacing="0" w:afterAutospacing="0" w:line="360" w:lineRule="auto"/>
        <w:ind w:firstLine="600" w:firstLineChars="200"/>
        <w:textAlignment w:val="baseline"/>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t>联系电话：</w:t>
      </w:r>
      <w:r>
        <w:rPr>
          <w:rFonts w:hint="eastAsia" w:ascii="仿宋_GB2312" w:hAnsi="仿宋_GB2312" w:eastAsia="仿宋_GB2312" w:cs="仿宋_GB2312"/>
          <w:kern w:val="2"/>
          <w:sz w:val="30"/>
          <w:szCs w:val="30"/>
          <w:lang w:val="en-US" w:eastAsia="zh-CN"/>
        </w:rPr>
        <w:t>0755-25690140</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邮箱：413137146@qq.com</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附件：1.评审办法；</w:t>
      </w:r>
    </w:p>
    <w:p>
      <w:pPr>
        <w:pStyle w:val="7"/>
        <w:spacing w:line="560" w:lineRule="exact"/>
        <w:ind w:firstLine="600"/>
      </w:pPr>
      <w:r>
        <w:rPr>
          <w:rFonts w:hint="eastAsia" w:ascii="仿宋_GB2312" w:hAnsi="仿宋_GB2312" w:eastAsia="仿宋_GB2312" w:cs="仿宋_GB2312"/>
          <w:sz w:val="30"/>
          <w:szCs w:val="30"/>
        </w:rPr>
        <w:t xml:space="preserve">      2.征信承诺书；</w:t>
      </w:r>
    </w:p>
    <w:p>
      <w:pPr>
        <w:spacing w:line="560" w:lineRule="exact"/>
        <w:ind w:firstLine="1500" w:firstLineChars="5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3.报价函；</w:t>
      </w:r>
    </w:p>
    <w:p>
      <w:pPr>
        <w:pStyle w:val="9"/>
        <w:spacing w:line="560" w:lineRule="exact"/>
        <w:ind w:firstLine="1500" w:firstLineChars="500"/>
      </w:pPr>
      <w:r>
        <w:rPr>
          <w:rFonts w:hint="eastAsia" w:ascii="仿宋_GB2312" w:hAnsi="仿宋_GB2312" w:eastAsia="仿宋_GB2312" w:cs="仿宋_GB2312"/>
          <w:sz w:val="30"/>
          <w:szCs w:val="30"/>
        </w:rPr>
        <w:t>4.其他资料。</w:t>
      </w:r>
    </w:p>
    <w:p>
      <w:pPr>
        <w:spacing w:line="560" w:lineRule="exact"/>
        <w:ind w:firstLine="600" w:firstLineChars="200"/>
        <w:jc w:val="left"/>
        <w:rPr>
          <w:rFonts w:ascii="仿宋_GB2312" w:hAnsi="仿宋_GB2312" w:eastAsia="仿宋_GB2312" w:cs="仿宋_GB2312"/>
          <w:sz w:val="30"/>
          <w:szCs w:val="30"/>
        </w:rPr>
      </w:pPr>
    </w:p>
    <w:p>
      <w:pPr>
        <w:spacing w:line="560" w:lineRule="exact"/>
        <w:ind w:firstLine="2550" w:firstLineChars="85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采购单位：深圳市盛天源物业管理有限公司</w:t>
      </w:r>
    </w:p>
    <w:p>
      <w:pPr>
        <w:spacing w:line="560" w:lineRule="exact"/>
        <w:ind w:firstLine="2400" w:firstLineChars="8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2023年1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日</w:t>
      </w: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pStyle w:val="7"/>
        <w:ind w:firstLine="0" w:firstLineChars="0"/>
        <w:rPr>
          <w:rFonts w:ascii="仿宋_GB2312" w:hAnsi="仿宋_GB2312" w:eastAsia="仿宋_GB2312" w:cs="仿宋_GB2312"/>
          <w:sz w:val="30"/>
          <w:szCs w:val="30"/>
        </w:rPr>
      </w:pPr>
    </w:p>
    <w:p>
      <w:pPr>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pStyle w:val="9"/>
      </w:pPr>
    </w:p>
    <w:p>
      <w:pPr>
        <w:pStyle w:val="4"/>
        <w:numPr>
          <w:ilvl w:val="1"/>
          <w:numId w:val="0"/>
        </w:numPr>
        <w:spacing w:before="156" w:after="156" w:line="300" w:lineRule="auto"/>
        <w:rPr>
          <w:rFonts w:ascii="宋体" w:hAnsi="宋体"/>
          <w:sz w:val="32"/>
          <w:szCs w:val="32"/>
        </w:rPr>
      </w:pPr>
      <w:r>
        <w:rPr>
          <w:rFonts w:hint="eastAsia" w:ascii="宋体" w:hAnsi="宋体"/>
          <w:sz w:val="32"/>
          <w:szCs w:val="32"/>
        </w:rPr>
        <w:t>评审办法</w:t>
      </w:r>
    </w:p>
    <w:p>
      <w:pPr>
        <w:spacing w:line="300" w:lineRule="auto"/>
        <w:rPr>
          <w:rFonts w:hAnsi="宋体"/>
          <w:b/>
          <w:bCs/>
          <w:sz w:val="22"/>
          <w:szCs w:val="22"/>
        </w:rPr>
      </w:pPr>
      <w:r>
        <w:rPr>
          <w:rFonts w:hint="eastAsia" w:hAnsi="宋体"/>
          <w:b/>
          <w:bCs/>
          <w:sz w:val="22"/>
          <w:szCs w:val="22"/>
        </w:rPr>
        <w:t>一、评标委员会的组成</w:t>
      </w:r>
    </w:p>
    <w:p>
      <w:pPr>
        <w:spacing w:line="300" w:lineRule="auto"/>
        <w:ind w:firstLine="440" w:firstLineChars="200"/>
        <w:rPr>
          <w:rFonts w:hAnsi="宋体"/>
          <w:bCs/>
          <w:sz w:val="22"/>
          <w:szCs w:val="22"/>
        </w:rPr>
      </w:pPr>
      <w:r>
        <w:rPr>
          <w:rFonts w:hint="eastAsia" w:hAnsi="宋体"/>
          <w:bCs/>
          <w:sz w:val="22"/>
          <w:szCs w:val="22"/>
        </w:rPr>
        <w:t>招标人按照有关规定成立评标委员会，成员包括招标人代表以及其他部门有关技术、经济等方面的专家组成。</w:t>
      </w:r>
    </w:p>
    <w:p>
      <w:pPr>
        <w:spacing w:line="300" w:lineRule="auto"/>
        <w:rPr>
          <w:rFonts w:ascii="宋体" w:hAnsi="宋体"/>
          <w:szCs w:val="21"/>
        </w:rPr>
      </w:pPr>
      <w:r>
        <w:rPr>
          <w:rFonts w:hint="eastAsia" w:ascii="宋体" w:hAnsi="宋体"/>
          <w:b/>
          <w:szCs w:val="28"/>
        </w:rPr>
        <w:t>二、评标方法</w:t>
      </w:r>
    </w:p>
    <w:p>
      <w:pPr>
        <w:spacing w:line="300" w:lineRule="auto"/>
        <w:rPr>
          <w:rFonts w:ascii="宋体" w:hAnsi="宋体"/>
          <w:b/>
          <w:sz w:val="22"/>
          <w:szCs w:val="22"/>
        </w:rPr>
      </w:pPr>
      <w:r>
        <w:rPr>
          <w:rFonts w:hint="eastAsia" w:ascii="宋体" w:hAnsi="宋体"/>
          <w:sz w:val="22"/>
          <w:szCs w:val="22"/>
        </w:rPr>
        <w:t>1、本项目的评标办法采用：</w:t>
      </w:r>
      <w:r>
        <w:rPr>
          <w:rFonts w:hint="eastAsia" w:ascii="宋体" w:hAnsi="宋体"/>
          <w:b/>
          <w:bCs/>
          <w:sz w:val="22"/>
          <w:szCs w:val="22"/>
        </w:rPr>
        <w:t>综合评分法</w:t>
      </w:r>
      <w:r>
        <w:rPr>
          <w:rFonts w:hint="eastAsia" w:ascii="宋体" w:hAnsi="宋体"/>
          <w:b/>
          <w:sz w:val="22"/>
          <w:szCs w:val="22"/>
        </w:rPr>
        <w:t>。</w:t>
      </w:r>
    </w:p>
    <w:p>
      <w:pPr>
        <w:spacing w:line="300" w:lineRule="auto"/>
        <w:rPr>
          <w:sz w:val="22"/>
          <w:szCs w:val="22"/>
        </w:rPr>
      </w:pPr>
      <w:r>
        <w:rPr>
          <w:rFonts w:hint="eastAsia"/>
          <w:sz w:val="22"/>
          <w:szCs w:val="22"/>
        </w:rPr>
        <w:t>2、</w:t>
      </w:r>
      <w:r>
        <w:rPr>
          <w:sz w:val="22"/>
          <w:szCs w:val="22"/>
        </w:rPr>
        <w:t>中标人数量</w:t>
      </w:r>
      <w:r>
        <w:rPr>
          <w:rFonts w:hint="eastAsia"/>
          <w:sz w:val="22"/>
          <w:szCs w:val="22"/>
        </w:rPr>
        <w:t>：1家；候选</w:t>
      </w:r>
      <w:r>
        <w:rPr>
          <w:sz w:val="22"/>
          <w:szCs w:val="22"/>
        </w:rPr>
        <w:t>中标人数量：</w:t>
      </w:r>
      <w:r>
        <w:rPr>
          <w:rFonts w:hint="eastAsia"/>
          <w:sz w:val="22"/>
          <w:szCs w:val="22"/>
        </w:rPr>
        <w:t>3</w:t>
      </w:r>
      <w:r>
        <w:rPr>
          <w:sz w:val="22"/>
          <w:szCs w:val="22"/>
        </w:rPr>
        <w:t>家</w:t>
      </w:r>
      <w:r>
        <w:rPr>
          <w:rFonts w:hint="eastAsia"/>
          <w:sz w:val="22"/>
          <w:szCs w:val="22"/>
        </w:rPr>
        <w:t>或3家以上</w:t>
      </w:r>
      <w:r>
        <w:rPr>
          <w:sz w:val="22"/>
          <w:szCs w:val="22"/>
        </w:rPr>
        <w:t>。</w:t>
      </w:r>
    </w:p>
    <w:p>
      <w:pPr>
        <w:spacing w:line="300" w:lineRule="auto"/>
        <w:rPr>
          <w:sz w:val="22"/>
          <w:szCs w:val="22"/>
        </w:rPr>
      </w:pPr>
      <w:r>
        <w:rPr>
          <w:rFonts w:hint="eastAsia"/>
          <w:sz w:val="22"/>
          <w:szCs w:val="22"/>
        </w:rPr>
        <w:t>3、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p>
    <w:p>
      <w:pPr>
        <w:spacing w:line="300" w:lineRule="auto"/>
        <w:rPr>
          <w:sz w:val="22"/>
          <w:szCs w:val="22"/>
        </w:rPr>
      </w:pPr>
      <w:r>
        <w:rPr>
          <w:sz w:val="22"/>
          <w:szCs w:val="22"/>
        </w:rPr>
        <w:t>4</w:t>
      </w:r>
      <w:r>
        <w:rPr>
          <w:rFonts w:hint="eastAsia"/>
          <w:sz w:val="22"/>
          <w:szCs w:val="22"/>
        </w:rPr>
        <w:t>、评审统一按照下列公式计算：</w:t>
      </w:r>
    </w:p>
    <w:p>
      <w:pPr>
        <w:spacing w:line="300" w:lineRule="auto"/>
        <w:ind w:firstLine="440" w:firstLineChars="200"/>
        <w:rPr>
          <w:sz w:val="22"/>
          <w:szCs w:val="22"/>
          <w:highlight w:val="yellow"/>
        </w:rPr>
      </w:pPr>
      <w:r>
        <w:rPr>
          <w:rFonts w:hint="eastAsia"/>
          <w:sz w:val="22"/>
          <w:szCs w:val="22"/>
          <w:highlight w:val="yellow"/>
        </w:rPr>
        <w:t>基准价:</w:t>
      </w:r>
    </w:p>
    <w:p>
      <w:pPr>
        <w:spacing w:line="300" w:lineRule="auto"/>
        <w:ind w:firstLine="442" w:firstLineChars="200"/>
        <w:rPr>
          <w:b/>
          <w:bCs/>
          <w:sz w:val="22"/>
          <w:szCs w:val="22"/>
          <w:highlight w:val="yellow"/>
        </w:rPr>
      </w:pPr>
      <w:r>
        <w:rPr>
          <w:rFonts w:hint="eastAsia"/>
          <w:b/>
          <w:bCs/>
          <w:sz w:val="22"/>
          <w:szCs w:val="22"/>
          <w:highlight w:val="yellow"/>
        </w:rPr>
        <w:t>基准价为所有投标报价 (或评标价) 最小值。</w:t>
      </w:r>
    </w:p>
    <w:p>
      <w:pPr>
        <w:spacing w:line="300" w:lineRule="auto"/>
        <w:ind w:firstLine="440" w:firstLineChars="200"/>
        <w:rPr>
          <w:rFonts w:eastAsia="宋体"/>
          <w:sz w:val="22"/>
          <w:szCs w:val="22"/>
          <w:highlight w:val="yellow"/>
        </w:rPr>
      </w:pPr>
      <w:r>
        <w:rPr>
          <w:rFonts w:hint="eastAsia"/>
          <w:sz w:val="22"/>
          <w:szCs w:val="22"/>
          <w:highlight w:val="yellow"/>
        </w:rPr>
        <w:t>投标报价得分=(评标基准价／投标报价)×100×50%</w:t>
      </w:r>
    </w:p>
    <w:p>
      <w:pPr>
        <w:spacing w:line="300" w:lineRule="auto"/>
        <w:ind w:firstLine="440" w:firstLineChars="200"/>
        <w:rPr>
          <w:sz w:val="22"/>
          <w:szCs w:val="22"/>
          <w:highlight w:val="yellow"/>
        </w:rPr>
      </w:pPr>
      <w:r>
        <w:rPr>
          <w:rFonts w:hint="eastAsia"/>
          <w:sz w:val="22"/>
          <w:szCs w:val="22"/>
          <w:highlight w:val="yellow"/>
        </w:rPr>
        <w:t>评标总得分＝F1×A1＋F2×A2＋……＋Fn×An</w:t>
      </w:r>
    </w:p>
    <w:p>
      <w:pPr>
        <w:spacing w:line="300" w:lineRule="auto"/>
        <w:ind w:firstLine="440" w:firstLineChars="200"/>
        <w:rPr>
          <w:sz w:val="22"/>
          <w:szCs w:val="22"/>
          <w:highlight w:val="yellow"/>
        </w:rPr>
      </w:pPr>
      <w:r>
        <w:rPr>
          <w:rFonts w:hint="eastAsia"/>
          <w:sz w:val="22"/>
          <w:szCs w:val="22"/>
          <w:highlight w:val="yellow"/>
        </w:rPr>
        <w:t>F1、F2……Fn分别为各项评审因素的得分；</w:t>
      </w:r>
    </w:p>
    <w:p>
      <w:pPr>
        <w:spacing w:line="300" w:lineRule="auto"/>
        <w:ind w:firstLine="440" w:firstLineChars="200"/>
        <w:rPr>
          <w:sz w:val="22"/>
          <w:szCs w:val="22"/>
          <w:highlight w:val="yellow"/>
        </w:rPr>
      </w:pPr>
      <w:r>
        <w:rPr>
          <w:rFonts w:hint="eastAsia"/>
          <w:sz w:val="22"/>
          <w:szCs w:val="22"/>
          <w:highlight w:val="yellow"/>
        </w:rPr>
        <w:t>A1、A2、……An 分别为各项评审因素所占的权重(A1＋A2＋……＋An＝1)。</w:t>
      </w:r>
    </w:p>
    <w:p>
      <w:pPr>
        <w:pStyle w:val="9"/>
        <w:tabs>
          <w:tab w:val="left" w:pos="2138"/>
        </w:tabs>
        <w:rPr>
          <w:sz w:val="22"/>
          <w:szCs w:val="22"/>
        </w:rPr>
      </w:pPr>
      <w:r>
        <w:rPr>
          <w:rFonts w:hint="eastAsia" w:ascii="Times New Roman"/>
          <w:sz w:val="22"/>
          <w:szCs w:val="22"/>
        </w:rPr>
        <w:t>评标过程中，不得去掉报价中的最高报价和最低报价。</w:t>
      </w:r>
    </w:p>
    <w:p>
      <w:pPr>
        <w:spacing w:line="300" w:lineRule="auto"/>
        <w:rPr>
          <w:b/>
          <w:bCs/>
          <w:sz w:val="22"/>
          <w:szCs w:val="22"/>
        </w:rPr>
      </w:pPr>
      <w:r>
        <w:rPr>
          <w:rFonts w:hint="eastAsia"/>
          <w:sz w:val="22"/>
          <w:szCs w:val="22"/>
        </w:rPr>
        <w:t>5、候选中标人按评审后得分由高到低顺序排列；得分相同的，按投标报价由低到高顺序排列；得分且投标报价相同的，按技术指标或服务方案优劣顺序排列；得分且投标报价相同的且技术指标或服务方案优劣相同的，</w:t>
      </w:r>
      <w:r>
        <w:rPr>
          <w:bCs/>
          <w:sz w:val="22"/>
          <w:szCs w:val="22"/>
        </w:rPr>
        <w:t>采取随机抽取方式确定</w:t>
      </w:r>
      <w:r>
        <w:rPr>
          <w:rFonts w:hint="eastAsia"/>
          <w:bCs/>
          <w:sz w:val="22"/>
          <w:szCs w:val="22"/>
        </w:rPr>
        <w:t>候选</w:t>
      </w:r>
      <w:r>
        <w:rPr>
          <w:bCs/>
          <w:sz w:val="22"/>
          <w:szCs w:val="22"/>
        </w:rPr>
        <w:t>中标人推荐资格</w:t>
      </w:r>
      <w:r>
        <w:rPr>
          <w:rFonts w:hint="eastAsia"/>
          <w:bCs/>
          <w:sz w:val="22"/>
          <w:szCs w:val="22"/>
        </w:rPr>
        <w:t>。</w:t>
      </w:r>
    </w:p>
    <w:p>
      <w:pPr>
        <w:spacing w:line="300" w:lineRule="auto"/>
        <w:rPr>
          <w:sz w:val="22"/>
          <w:szCs w:val="22"/>
        </w:rPr>
      </w:pPr>
      <w:r>
        <w:rPr>
          <w:rFonts w:hint="eastAsia"/>
          <w:sz w:val="22"/>
          <w:szCs w:val="2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rPr>
          <w:sz w:val="22"/>
          <w:szCs w:val="22"/>
        </w:rPr>
      </w:pPr>
      <w:r>
        <w:rPr>
          <w:sz w:val="22"/>
          <w:szCs w:val="22"/>
        </w:rPr>
        <w:t>7</w:t>
      </w:r>
      <w:r>
        <w:rPr>
          <w:rFonts w:hint="eastAsia"/>
          <w:sz w:val="22"/>
          <w:szCs w:val="22"/>
        </w:rPr>
        <w:t>、评标专家应对通过投标文件初审进入评标程序的投标文件先评技术标、再评商务标；</w:t>
      </w:r>
    </w:p>
    <w:p>
      <w:pPr>
        <w:spacing w:line="300" w:lineRule="auto"/>
        <w:rPr>
          <w:sz w:val="22"/>
          <w:szCs w:val="22"/>
        </w:rPr>
      </w:pPr>
      <w:r>
        <w:rPr>
          <w:sz w:val="22"/>
          <w:szCs w:val="22"/>
        </w:rPr>
        <w:t>8</w:t>
      </w:r>
      <w:r>
        <w:rPr>
          <w:rFonts w:hint="eastAsia"/>
          <w:sz w:val="22"/>
          <w:szCs w:val="22"/>
        </w:rPr>
        <w:t>、评标专家需按招标文件规定的评审标准对投标人提交的投标文件进行评审，投标文件中与评审标准无关的内容不作为评审内容。</w:t>
      </w:r>
    </w:p>
    <w:p>
      <w:pPr>
        <w:pStyle w:val="2"/>
      </w:pPr>
    </w:p>
    <w:p>
      <w:pPr>
        <w:spacing w:line="560" w:lineRule="exact"/>
        <w:jc w:val="left"/>
        <w:rPr>
          <w:rFonts w:ascii="仿宋_GB2312" w:hAnsi="仿宋_GB2312" w:eastAsia="仿宋_GB2312" w:cs="仿宋_GB2312"/>
          <w:sz w:val="30"/>
          <w:szCs w:val="30"/>
        </w:rPr>
      </w:pPr>
    </w:p>
    <w:p>
      <w:pPr>
        <w:pStyle w:val="9"/>
        <w:tabs>
          <w:tab w:val="left" w:pos="2138"/>
        </w:tabs>
        <w:snapToGrid w:val="0"/>
        <w:spacing w:beforeLines="100" w:after="0"/>
        <w:jc w:val="center"/>
        <w:outlineLvl w:val="2"/>
        <w:rPr>
          <w:rFonts w:ascii="宋体" w:hAnsi="宋体" w:eastAsia="宋体" w:cs="宋体"/>
          <w:b/>
          <w:bCs/>
          <w:kern w:val="0"/>
          <w:sz w:val="28"/>
          <w:szCs w:val="28"/>
        </w:rPr>
      </w:pPr>
      <w:r>
        <w:rPr>
          <w:rFonts w:hint="eastAsia" w:ascii="宋体" w:hAnsi="宋体" w:eastAsia="宋体" w:cs="宋体"/>
          <w:b/>
          <w:bCs/>
          <w:kern w:val="0"/>
          <w:sz w:val="28"/>
          <w:szCs w:val="28"/>
        </w:rPr>
        <w:t>评分细则表</w:t>
      </w:r>
    </w:p>
    <w:tbl>
      <w:tblPr>
        <w:tblStyle w:val="16"/>
        <w:tblpPr w:leftFromText="180" w:rightFromText="180" w:vertAnchor="text" w:horzAnchor="margin" w:tblpXSpec="center" w:tblpY="346"/>
        <w:tblW w:w="93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4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ordWrap w:val="0"/>
              <w:jc w:val="center"/>
              <w:rPr>
                <w:rFonts w:ascii="Calibri" w:hAnsi="Calibri" w:cs="Times New Roman"/>
                <w:b/>
                <w:bCs/>
                <w:szCs w:val="22"/>
              </w:rPr>
            </w:pPr>
            <w:r>
              <w:rPr>
                <w:rFonts w:ascii="Calibri" w:hAnsi="Calibri" w:cs="Times New Roman"/>
                <w:b/>
                <w:bCs/>
                <w:szCs w:val="22"/>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ordWrap w:val="0"/>
              <w:jc w:val="center"/>
              <w:rPr>
                <w:rFonts w:ascii="Calibri" w:hAnsi="Calibri" w:cs="Times New Roman"/>
                <w:b/>
                <w:bCs/>
                <w:szCs w:val="22"/>
              </w:rPr>
            </w:pPr>
            <w:r>
              <w:rPr>
                <w:rFonts w:ascii="Calibri" w:hAnsi="Calibri" w:cs="Times New Roman"/>
                <w:b/>
                <w:bCs/>
                <w:szCs w:val="22"/>
              </w:rPr>
              <w:t>评分项</w:t>
            </w:r>
          </w:p>
        </w:tc>
        <w:tc>
          <w:tcPr>
            <w:tcW w:w="44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ordWrap w:val="0"/>
              <w:jc w:val="center"/>
              <w:rPr>
                <w:rFonts w:ascii="Calibri" w:hAnsi="Calibri" w:cs="Times New Roman"/>
                <w:b/>
                <w:bCs/>
                <w:szCs w:val="22"/>
              </w:rPr>
            </w:pPr>
            <w:r>
              <w:rPr>
                <w:rFonts w:ascii="Calibri" w:hAnsi="Calibri" w:cs="Times New Roman"/>
                <w:b/>
                <w:bCs/>
                <w:szCs w:val="22"/>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auto"/>
            <w:noWrap/>
          </w:tcPr>
          <w:p>
            <w:pPr>
              <w:wordWrap w:val="0"/>
              <w:jc w:val="center"/>
              <w:rPr>
                <w:rFonts w:ascii="Calibri" w:hAnsi="Calibri" w:cs="Times New Roman"/>
                <w:b/>
                <w:bCs/>
                <w:szCs w:val="22"/>
              </w:rPr>
            </w:pPr>
            <w:r>
              <w:rPr>
                <w:rFonts w:ascii="Calibri" w:hAnsi="Calibri" w:cs="Times New Roman"/>
                <w:b/>
                <w:bCs/>
                <w:szCs w:val="22"/>
              </w:rPr>
              <w:t>1</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auto"/>
            <w:noWrap/>
          </w:tcPr>
          <w:p>
            <w:pPr>
              <w:wordWrap w:val="0"/>
              <w:jc w:val="center"/>
              <w:rPr>
                <w:rFonts w:ascii="Calibri" w:hAnsi="Calibri" w:cs="Times New Roman"/>
                <w:b/>
                <w:bCs/>
                <w:szCs w:val="22"/>
              </w:rPr>
            </w:pPr>
            <w:r>
              <w:rPr>
                <w:rFonts w:ascii="Calibri" w:hAnsi="Calibri" w:cs="Times New Roman"/>
                <w:b/>
                <w:bCs/>
                <w:szCs w:val="22"/>
              </w:rPr>
              <w:t>价格</w:t>
            </w:r>
          </w:p>
        </w:tc>
        <w:tc>
          <w:tcPr>
            <w:tcW w:w="4480" w:type="dxa"/>
            <w:tcBorders>
              <w:top w:val="single" w:color="000000" w:sz="8" w:space="0"/>
              <w:left w:val="single" w:color="000000" w:sz="8" w:space="0"/>
              <w:bottom w:val="single" w:color="000000" w:sz="8" w:space="0"/>
              <w:right w:val="single" w:color="000000" w:sz="8" w:space="0"/>
            </w:tcBorders>
            <w:shd w:val="clear" w:color="auto" w:fill="auto"/>
            <w:noWrap/>
          </w:tcPr>
          <w:p>
            <w:pPr>
              <w:wordWrap w:val="0"/>
              <w:jc w:val="center"/>
              <w:rPr>
                <w:rFonts w:ascii="Calibri" w:hAnsi="Calibri" w:eastAsia="宋体" w:cs="Times New Roman"/>
                <w:b/>
                <w:bCs/>
                <w:szCs w:val="22"/>
              </w:rPr>
            </w:pPr>
            <w:r>
              <w:rPr>
                <w:rFonts w:hint="eastAsia" w:ascii="Calibri" w:hAnsi="Calibri" w:cs="Times New Roman"/>
                <w:b/>
                <w:bCs/>
                <w:szCs w:val="22"/>
              </w:rPr>
              <w:t>30（评标时，评委将根据投标人税前报价或扣除增值税后的报价进行评审）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shd w:val="clear" w:color="auto" w:fill="auto"/>
            <w:noWrap/>
            <w:vAlign w:val="center"/>
          </w:tcPr>
          <w:p>
            <w:pPr>
              <w:wordWrap w:val="0"/>
              <w:jc w:val="center"/>
              <w:rPr>
                <w:rFonts w:ascii="Calibri" w:hAnsi="Calibri" w:cs="Times New Roman"/>
                <w:b/>
                <w:bCs/>
                <w:szCs w:val="22"/>
              </w:rPr>
            </w:pPr>
            <w:r>
              <w:rPr>
                <w:rFonts w:ascii="Calibri" w:hAnsi="Calibri" w:cs="Times New Roman"/>
                <w:b/>
                <w:bCs/>
                <w:szCs w:val="22"/>
              </w:rPr>
              <w:t>2</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auto"/>
            <w:noWrap/>
          </w:tcPr>
          <w:p>
            <w:pPr>
              <w:wordWrap w:val="0"/>
              <w:jc w:val="center"/>
              <w:rPr>
                <w:rFonts w:ascii="Calibri" w:hAnsi="Calibri" w:cs="Times New Roman"/>
                <w:b/>
                <w:bCs/>
                <w:szCs w:val="22"/>
              </w:rPr>
            </w:pPr>
            <w:r>
              <w:rPr>
                <w:rFonts w:ascii="Calibri" w:hAnsi="Calibri" w:cs="Times New Roman"/>
                <w:b/>
                <w:bCs/>
                <w:szCs w:val="22"/>
              </w:rPr>
              <w:t>技术部分</w:t>
            </w:r>
          </w:p>
        </w:tc>
        <w:tc>
          <w:tcPr>
            <w:tcW w:w="4480" w:type="dxa"/>
            <w:tcBorders>
              <w:top w:val="single" w:color="000000" w:sz="8" w:space="0"/>
              <w:left w:val="single" w:color="000000" w:sz="8" w:space="0"/>
              <w:bottom w:val="single" w:color="000000" w:sz="8" w:space="0"/>
              <w:right w:val="single" w:color="000000" w:sz="8" w:space="0"/>
            </w:tcBorders>
            <w:shd w:val="clear" w:color="auto" w:fill="auto"/>
            <w:noWrap/>
          </w:tcPr>
          <w:p>
            <w:pPr>
              <w:wordWrap w:val="0"/>
              <w:jc w:val="center"/>
              <w:rPr>
                <w:rFonts w:ascii="Calibri" w:hAnsi="Calibri" w:eastAsia="宋体" w:cs="Times New Roman"/>
                <w:b/>
                <w:bCs/>
                <w:szCs w:val="22"/>
              </w:rPr>
            </w:pPr>
            <w:r>
              <w:rPr>
                <w:rFonts w:hint="eastAsia" w:ascii="Calibri" w:hAnsi="Calibri" w:eastAsia="宋体" w:cs="Times New Roman"/>
                <w:b/>
                <w:bCs/>
                <w:szCs w:val="22"/>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auto"/>
            <w:noWrap/>
            <w:vAlign w:val="center"/>
          </w:tcPr>
          <w:p>
            <w:pPr>
              <w:rPr>
                <w:rFonts w:ascii="Calibri" w:hAnsi="Calibri" w:cs="Times New Roman"/>
                <w:b/>
                <w:bCs/>
                <w:szCs w:val="22"/>
              </w:rPr>
            </w:pPr>
          </w:p>
        </w:tc>
        <w:tc>
          <w:tcPr>
            <w:tcW w:w="68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权重</w:t>
            </w:r>
          </w:p>
        </w:tc>
        <w:tc>
          <w:tcPr>
            <w:tcW w:w="448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auto"/>
            <w:noWrap/>
            <w:vAlign w:val="center"/>
          </w:tcPr>
          <w:p>
            <w:pPr>
              <w:rPr>
                <w:rFonts w:ascii="Calibri" w:hAnsi="Calibri" w:cs="Times New Roman"/>
                <w:b/>
                <w:bCs/>
                <w:szCs w:val="22"/>
              </w:rPr>
            </w:pPr>
          </w:p>
        </w:tc>
        <w:tc>
          <w:tcPr>
            <w:tcW w:w="68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eastAsia="宋体" w:cs="Times New Roman"/>
                <w:szCs w:val="21"/>
              </w:rPr>
            </w:pPr>
            <w:r>
              <w:rPr>
                <w:rFonts w:hint="eastAsia" w:ascii="Calibri" w:hAnsi="Calibri" w:eastAsia="宋体" w:cs="Times New Roman"/>
                <w:szCs w:val="21"/>
              </w:rPr>
              <w:t>1</w:t>
            </w:r>
          </w:p>
        </w:tc>
        <w:tc>
          <w:tcPr>
            <w:tcW w:w="28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项目</w:t>
            </w:r>
            <w:r>
              <w:rPr>
                <w:rFonts w:hint="eastAsia" w:ascii="Calibri" w:hAnsi="Calibri" w:cs="Times New Roman"/>
                <w:szCs w:val="21"/>
              </w:rPr>
              <w:t>服务</w:t>
            </w:r>
            <w:r>
              <w:rPr>
                <w:rFonts w:ascii="Calibri" w:hAnsi="Calibri" w:cs="Times New Roman"/>
                <w:szCs w:val="21"/>
              </w:rPr>
              <w:t>方案</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eastAsia="宋体" w:cs="Times New Roman"/>
                <w:szCs w:val="21"/>
              </w:rPr>
            </w:pPr>
            <w:r>
              <w:rPr>
                <w:rFonts w:hint="eastAsia" w:ascii="Calibri" w:hAnsi="Calibri" w:cs="Times New Roman"/>
                <w:szCs w:val="21"/>
              </w:rPr>
              <w:t>15</w:t>
            </w:r>
          </w:p>
        </w:tc>
        <w:tc>
          <w:tcPr>
            <w:tcW w:w="4480" w:type="dxa"/>
            <w:tcBorders>
              <w:top w:val="outset" w:color="000000" w:sz="6" w:space="0"/>
              <w:left w:val="outset" w:color="000000" w:sz="6" w:space="0"/>
              <w:bottom w:val="outset" w:color="000000" w:sz="6" w:space="0"/>
              <w:right w:val="outset" w:color="000000" w:sz="6" w:space="0"/>
            </w:tcBorders>
            <w:shd w:val="clear" w:color="auto" w:fill="auto"/>
            <w:noWrap/>
          </w:tcPr>
          <w:p>
            <w:pPr>
              <w:widowControl/>
              <w:jc w:val="left"/>
            </w:pPr>
            <w:r>
              <w:rPr>
                <w:rFonts w:hint="eastAsia"/>
              </w:rPr>
              <w:t>（一）评审内容：</w:t>
            </w:r>
          </w:p>
          <w:p>
            <w:pPr>
              <w:wordWrap w:val="0"/>
            </w:pPr>
            <w:r>
              <w:rPr>
                <w:rFonts w:hint="eastAsia"/>
              </w:rPr>
              <w:t>（1）确保项目服务期内工作完成质量达标的保障措施及方案进行评审；</w:t>
            </w:r>
          </w:p>
          <w:p>
            <w:pPr>
              <w:wordWrap w:val="0"/>
            </w:pPr>
            <w:r>
              <w:rPr>
                <w:rFonts w:hint="eastAsia"/>
              </w:rPr>
              <w:t>（2）给出</w:t>
            </w:r>
            <w:r>
              <w:t>项目的重难点的分析</w:t>
            </w:r>
            <w:r>
              <w:rPr>
                <w:rFonts w:hint="eastAsia"/>
              </w:rPr>
              <w:t>及应对措施及相关的合理化建议；</w:t>
            </w:r>
          </w:p>
          <w:p>
            <w:pPr>
              <w:wordWrap w:val="0"/>
            </w:pPr>
            <w:r>
              <w:rPr>
                <w:rFonts w:hint="eastAsia"/>
              </w:rPr>
              <w:t>（3）给出项目突发情况（如遇突发情况：暴雨水浸、台风、断电或有重大活动等应急任务等突发情况）的应对措施方案及快速应对的相关合理化建议。承诺出现突发情况时，额外配备作业人员参与作业。</w:t>
            </w:r>
          </w:p>
          <w:p>
            <w:pPr>
              <w:widowControl/>
              <w:jc w:val="left"/>
            </w:pPr>
            <w:r>
              <w:rPr>
                <w:rFonts w:hint="eastAsia"/>
              </w:rPr>
              <w:t>（二）评审标准：</w:t>
            </w:r>
          </w:p>
          <w:p>
            <w:pPr>
              <w:wordWrap w:val="0"/>
            </w:pPr>
            <w:r>
              <w:rPr>
                <w:rFonts w:hint="eastAsia"/>
              </w:rPr>
              <w:t>同时提供以上方案的得 15分。未提供响应方案不得分。</w:t>
            </w:r>
          </w:p>
          <w:p>
            <w:pPr>
              <w:wordWrap w:val="0"/>
              <w:rPr>
                <w:color w:val="000000"/>
              </w:rPr>
            </w:pPr>
            <w:r>
              <w:rPr>
                <w:rFonts w:hint="eastAsia"/>
                <w:color w:val="000000"/>
              </w:rPr>
              <w:t>评价为优得11-15分</w:t>
            </w:r>
          </w:p>
          <w:p>
            <w:pPr>
              <w:wordWrap w:val="0"/>
              <w:rPr>
                <w:color w:val="000000"/>
              </w:rPr>
            </w:pPr>
            <w:r>
              <w:rPr>
                <w:rFonts w:hint="eastAsia"/>
                <w:color w:val="000000"/>
              </w:rPr>
              <w:t>评价为良得6-10分</w:t>
            </w:r>
          </w:p>
          <w:p>
            <w:pPr>
              <w:wordWrap w:val="0"/>
              <w:rPr>
                <w:color w:val="000000"/>
              </w:rPr>
            </w:pPr>
            <w:r>
              <w:rPr>
                <w:rFonts w:hint="eastAsia"/>
                <w:color w:val="000000"/>
              </w:rPr>
              <w:t>评价为中得1-5分</w:t>
            </w:r>
          </w:p>
          <w:p>
            <w:pPr>
              <w:wordWrap w:val="0"/>
              <w:jc w:val="left"/>
              <w:rPr>
                <w:rFonts w:ascii="Calibri" w:hAnsi="Calibri" w:cs="Times New Roman"/>
                <w:szCs w:val="21"/>
              </w:rPr>
            </w:pPr>
            <w:r>
              <w:rPr>
                <w:rFonts w:hint="eastAsia"/>
                <w:color w:val="000000"/>
              </w:rPr>
              <w:t>评价为差不得分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auto"/>
            <w:noWrap/>
            <w:vAlign w:val="center"/>
          </w:tcPr>
          <w:p>
            <w:pPr>
              <w:rPr>
                <w:rFonts w:ascii="Calibri" w:hAnsi="Calibri" w:cs="Times New Roman"/>
                <w:b/>
                <w:bCs/>
                <w:szCs w:val="22"/>
              </w:rPr>
            </w:pPr>
          </w:p>
        </w:tc>
        <w:tc>
          <w:tcPr>
            <w:tcW w:w="68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eastAsia="宋体" w:cs="Times New Roman"/>
                <w:szCs w:val="21"/>
              </w:rPr>
            </w:pPr>
            <w:r>
              <w:rPr>
                <w:rFonts w:hint="eastAsia" w:ascii="Calibri" w:hAnsi="Calibri" w:eastAsia="宋体" w:cs="Times New Roman"/>
                <w:szCs w:val="21"/>
              </w:rPr>
              <w:t>2</w:t>
            </w:r>
          </w:p>
        </w:tc>
        <w:tc>
          <w:tcPr>
            <w:tcW w:w="28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hint="eastAsia" w:ascii="Calibri" w:hAnsi="Calibri" w:cs="Times New Roman"/>
                <w:szCs w:val="21"/>
              </w:rPr>
              <w:t>违约承诺</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eastAsia="宋体" w:cs="Times New Roman"/>
                <w:szCs w:val="21"/>
              </w:rPr>
            </w:pPr>
            <w:r>
              <w:rPr>
                <w:rFonts w:hint="eastAsia" w:ascii="Calibri" w:hAnsi="Calibri" w:cs="Times New Roman"/>
                <w:szCs w:val="21"/>
              </w:rPr>
              <w:t>5</w:t>
            </w:r>
          </w:p>
        </w:tc>
        <w:tc>
          <w:tcPr>
            <w:tcW w:w="4480" w:type="dxa"/>
            <w:tcBorders>
              <w:top w:val="outset" w:color="000000" w:sz="6" w:space="0"/>
              <w:left w:val="outset" w:color="000000" w:sz="6" w:space="0"/>
              <w:bottom w:val="outset" w:color="000000" w:sz="6" w:space="0"/>
              <w:right w:val="outset" w:color="000000" w:sz="6" w:space="0"/>
            </w:tcBorders>
            <w:shd w:val="clear" w:color="auto" w:fill="auto"/>
            <w:noWrap/>
          </w:tcPr>
          <w:p>
            <w:pPr>
              <w:rPr>
                <w:rFonts w:ascii="宋体" w:hAnsi="宋体"/>
                <w:b/>
                <w:bCs/>
              </w:rPr>
            </w:pPr>
            <w:r>
              <w:rPr>
                <w:rFonts w:hint="eastAsia" w:ascii="宋体" w:hAnsi="宋体"/>
                <w:b/>
                <w:bCs/>
              </w:rPr>
              <w:t xml:space="preserve">（一）评审内容： </w:t>
            </w:r>
          </w:p>
          <w:p>
            <w:pPr>
              <w:rPr>
                <w:rFonts w:ascii="宋体" w:hAnsi="宋体"/>
              </w:rPr>
            </w:pPr>
            <w:r>
              <w:rPr>
                <w:rFonts w:hint="eastAsia" w:ascii="宋体" w:hAnsi="宋体"/>
              </w:rPr>
              <w:t>1、</w:t>
            </w:r>
            <w:r>
              <w:rPr>
                <w:rFonts w:ascii="宋体" w:hAnsi="宋体"/>
              </w:rPr>
              <w:t>投标人承诺针对本项目在中标后如实际服务工作中出现不符合招标文件要求、违反合同约定等情形承担相应违约责任</w:t>
            </w:r>
            <w:r>
              <w:rPr>
                <w:rFonts w:hint="eastAsia" w:ascii="宋体" w:hAnsi="宋体"/>
              </w:rPr>
              <w:t>，得3分，未承诺不得分。</w:t>
            </w:r>
          </w:p>
          <w:p>
            <w:pPr>
              <w:pStyle w:val="15"/>
              <w:ind w:left="0" w:leftChars="0" w:firstLine="0" w:firstLineChars="0"/>
              <w:rPr>
                <w:rFonts w:ascii="宋体" w:hAnsi="宋体"/>
              </w:rPr>
            </w:pPr>
            <w:r>
              <w:rPr>
                <w:rFonts w:hint="eastAsia" w:ascii="宋体" w:hAnsi="宋体"/>
              </w:rPr>
              <w:t>2、投标人承诺不拖欠投入人员薪资，并及时发放投入人员薪资福利，最迟在下个月1号前发放上个月投入人员薪资，得2分，未承诺不得分。</w:t>
            </w:r>
          </w:p>
          <w:p>
            <w:pPr>
              <w:pStyle w:val="15"/>
              <w:ind w:left="0" w:leftChars="0" w:firstLine="0" w:firstLineChars="0"/>
              <w:rPr>
                <w:rFonts w:ascii="宋体" w:hAnsi="宋体"/>
                <w:b/>
                <w:bCs/>
              </w:rPr>
            </w:pPr>
            <w:r>
              <w:rPr>
                <w:rFonts w:hint="eastAsia" w:ascii="宋体" w:hAnsi="宋体"/>
                <w:b/>
                <w:bCs/>
              </w:rPr>
              <w:t>（二）评审标准：</w:t>
            </w:r>
          </w:p>
          <w:p>
            <w:pPr>
              <w:wordWrap w:val="0"/>
              <w:jc w:val="left"/>
              <w:rPr>
                <w:rFonts w:ascii="Calibri" w:hAnsi="Calibri" w:eastAsia="宋体" w:cs="Times New Roman"/>
                <w:szCs w:val="21"/>
              </w:rPr>
            </w:pPr>
            <w:r>
              <w:rPr>
                <w:szCs w:val="21"/>
              </w:rPr>
              <w:t>要求提供承诺函(格式自拟)作为得分依据，不提供不得分。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629" w:hRule="atLeast"/>
          <w:jc w:val="center"/>
        </w:trPr>
        <w:tc>
          <w:tcPr>
            <w:tcW w:w="680" w:type="dxa"/>
            <w:vMerge w:val="continue"/>
            <w:tcBorders>
              <w:left w:val="single" w:color="000000" w:sz="8" w:space="0"/>
              <w:right w:val="single" w:color="000000" w:sz="8" w:space="0"/>
            </w:tcBorders>
            <w:shd w:val="clear" w:color="auto" w:fill="auto"/>
            <w:noWrap/>
            <w:vAlign w:val="center"/>
          </w:tcPr>
          <w:p>
            <w:pPr>
              <w:rPr>
                <w:rFonts w:ascii="Calibri" w:hAnsi="Calibri" w:cs="Times New Roman"/>
                <w:b/>
                <w:bCs/>
                <w:szCs w:val="22"/>
              </w:rPr>
            </w:pPr>
          </w:p>
        </w:tc>
        <w:tc>
          <w:tcPr>
            <w:tcW w:w="68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hint="eastAsia" w:ascii="Calibri" w:hAnsi="Calibri" w:cs="Times New Roman"/>
                <w:szCs w:val="21"/>
              </w:rPr>
              <w:t>3</w:t>
            </w:r>
          </w:p>
        </w:tc>
        <w:tc>
          <w:tcPr>
            <w:tcW w:w="28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hint="eastAsia" w:ascii="Calibri" w:hAnsi="Calibri" w:cs="Times New Roman"/>
                <w:szCs w:val="21"/>
              </w:rPr>
              <w:t>投入项目人员的配备、</w:t>
            </w:r>
          </w:p>
          <w:p>
            <w:pPr>
              <w:wordWrap w:val="0"/>
              <w:jc w:val="center"/>
              <w:rPr>
                <w:rFonts w:ascii="Calibri" w:hAnsi="Calibri" w:cs="Times New Roman"/>
                <w:szCs w:val="21"/>
              </w:rPr>
            </w:pPr>
            <w:r>
              <w:rPr>
                <w:rFonts w:hint="eastAsia" w:ascii="Calibri" w:hAnsi="Calibri" w:cs="Times New Roman"/>
                <w:szCs w:val="21"/>
              </w:rPr>
              <w:t>管理、培训方案</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hint="eastAsia" w:ascii="Calibri" w:hAnsi="Calibri" w:cs="Times New Roman"/>
                <w:szCs w:val="21"/>
              </w:rPr>
              <w:t>15</w:t>
            </w:r>
          </w:p>
        </w:tc>
        <w:tc>
          <w:tcPr>
            <w:tcW w:w="4480" w:type="dxa"/>
            <w:tcBorders>
              <w:top w:val="outset" w:color="000000" w:sz="6" w:space="0"/>
              <w:left w:val="outset" w:color="000000" w:sz="6" w:space="0"/>
              <w:bottom w:val="outset" w:color="000000" w:sz="6" w:space="0"/>
              <w:right w:val="outset" w:color="000000" w:sz="6" w:space="0"/>
            </w:tcBorders>
            <w:shd w:val="clear" w:color="auto" w:fill="auto"/>
            <w:noWrap/>
          </w:tcPr>
          <w:p>
            <w:pPr>
              <w:widowControl/>
              <w:jc w:val="left"/>
            </w:pPr>
            <w:r>
              <w:rPr>
                <w:rFonts w:hint="eastAsia"/>
              </w:rPr>
              <w:t xml:space="preserve">（一）评审内容： </w:t>
            </w:r>
          </w:p>
          <w:p>
            <w:pPr>
              <w:pStyle w:val="2"/>
            </w:pPr>
            <w:r>
              <w:rPr>
                <w:rFonts w:hint="eastAsia"/>
              </w:rPr>
              <w:t>（1）</w:t>
            </w:r>
            <w:r>
              <w:t>投标人提供的项目作业人员配置方案须包括以下内容：</w:t>
            </w:r>
            <w:r>
              <w:rPr>
                <w:rFonts w:hint="eastAsia"/>
              </w:rPr>
              <w:t>1.</w:t>
            </w:r>
            <w:r>
              <w:t>明确工作人员管理制度；</w:t>
            </w:r>
            <w:r>
              <w:rPr>
                <w:rFonts w:hint="eastAsia"/>
              </w:rPr>
              <w:t>2.</w:t>
            </w:r>
            <w:r>
              <w:t>明确作业人员的配备情况；</w:t>
            </w:r>
            <w:r>
              <w:rPr>
                <w:rFonts w:hint="eastAsia"/>
              </w:rPr>
              <w:t>3.</w:t>
            </w:r>
            <w:r>
              <w:t>明确作业人员岗位职责，包括不同职位不同的工作内容</w:t>
            </w:r>
            <w:r>
              <w:rPr>
                <w:rFonts w:hint="eastAsia"/>
              </w:rPr>
              <w:t>。</w:t>
            </w:r>
          </w:p>
          <w:p>
            <w:pPr>
              <w:pStyle w:val="2"/>
            </w:pPr>
            <w:r>
              <w:rPr>
                <w:rFonts w:hint="eastAsia"/>
              </w:rPr>
              <w:t>（2）投标人提供人员管理及培训的落实方案。（如人员安全规范作业、应急预案演练等人员管理及培训落实方案）</w:t>
            </w:r>
          </w:p>
          <w:p>
            <w:pPr>
              <w:wordWrap w:val="0"/>
            </w:pPr>
            <w:r>
              <w:rPr>
                <w:rFonts w:hint="eastAsia"/>
              </w:rPr>
              <w:t xml:space="preserve">（二）评审标准： </w:t>
            </w:r>
          </w:p>
          <w:p>
            <w:pPr>
              <w:wordWrap w:val="0"/>
            </w:pPr>
            <w:r>
              <w:rPr>
                <w:rFonts w:hint="eastAsia"/>
              </w:rPr>
              <w:t>同时提供以上方案的得15 分。未提供响应方案不得分。</w:t>
            </w:r>
          </w:p>
          <w:p>
            <w:pPr>
              <w:wordWrap w:val="0"/>
              <w:rPr>
                <w:color w:val="000000"/>
              </w:rPr>
            </w:pPr>
            <w:r>
              <w:rPr>
                <w:rFonts w:hint="eastAsia"/>
                <w:color w:val="000000"/>
              </w:rPr>
              <w:t>评价为优得11-15分</w:t>
            </w:r>
          </w:p>
          <w:p>
            <w:pPr>
              <w:wordWrap w:val="0"/>
              <w:rPr>
                <w:color w:val="000000"/>
              </w:rPr>
            </w:pPr>
            <w:r>
              <w:rPr>
                <w:rFonts w:hint="eastAsia"/>
                <w:color w:val="000000"/>
              </w:rPr>
              <w:t>评价为良得6-10分</w:t>
            </w:r>
          </w:p>
          <w:p>
            <w:pPr>
              <w:wordWrap w:val="0"/>
            </w:pPr>
            <w:r>
              <w:rPr>
                <w:rFonts w:hint="eastAsia"/>
                <w:color w:val="000000"/>
              </w:rPr>
              <w:t>评价为中得1-5分</w:t>
            </w:r>
          </w:p>
          <w:p>
            <w:pPr>
              <w:wordWrap w:val="0"/>
              <w:rPr>
                <w:rFonts w:ascii="Calibri" w:hAnsi="Calibri" w:cs="Times New Roman"/>
                <w:szCs w:val="21"/>
              </w:rPr>
            </w:pPr>
            <w:r>
              <w:rPr>
                <w:rFonts w:hint="eastAsia"/>
                <w:color w:val="000000"/>
              </w:rPr>
              <w:t>评价为差不得分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74" w:hRule="atLeast"/>
          <w:jc w:val="center"/>
        </w:trPr>
        <w:tc>
          <w:tcPr>
            <w:tcW w:w="680" w:type="dxa"/>
            <w:tcBorders>
              <w:left w:val="single" w:color="000000" w:sz="8" w:space="0"/>
              <w:right w:val="single" w:color="000000" w:sz="8" w:space="0"/>
            </w:tcBorders>
            <w:shd w:val="clear" w:color="auto" w:fill="auto"/>
            <w:noWrap/>
            <w:vAlign w:val="center"/>
          </w:tcPr>
          <w:p>
            <w:pPr>
              <w:rPr>
                <w:rFonts w:ascii="Calibri" w:hAnsi="Calibri" w:cs="Times New Roman"/>
                <w:b/>
                <w:bCs/>
                <w:szCs w:val="22"/>
              </w:rPr>
            </w:pPr>
          </w:p>
        </w:tc>
        <w:tc>
          <w:tcPr>
            <w:tcW w:w="680" w:type="dxa"/>
            <w:tcBorders>
              <w:top w:val="outset" w:color="000000" w:sz="6" w:space="0"/>
              <w:left w:val="outset" w:color="000000" w:sz="6" w:space="0"/>
              <w:bottom w:val="outset" w:color="000000" w:sz="6" w:space="0"/>
              <w:right w:val="outset" w:color="000000" w:sz="6" w:space="0"/>
            </w:tcBorders>
            <w:shd w:val="clear" w:color="auto" w:fill="auto"/>
            <w:noWrap/>
          </w:tcPr>
          <w:p>
            <w:pPr>
              <w:wordWrap w:val="0"/>
              <w:jc w:val="center"/>
              <w:rPr>
                <w:rFonts w:ascii="宋体" w:hAnsi="宋体" w:cs="宋体"/>
                <w:szCs w:val="21"/>
              </w:rPr>
            </w:pPr>
            <w:r>
              <w:rPr>
                <w:rFonts w:hint="eastAsia"/>
                <w:szCs w:val="21"/>
              </w:rPr>
              <w:t>4</w:t>
            </w:r>
          </w:p>
        </w:tc>
        <w:tc>
          <w:tcPr>
            <w:tcW w:w="2835" w:type="dxa"/>
            <w:tcBorders>
              <w:top w:val="outset" w:color="000000" w:sz="6" w:space="0"/>
              <w:left w:val="outset" w:color="000000" w:sz="6" w:space="0"/>
              <w:bottom w:val="outset" w:color="000000" w:sz="6" w:space="0"/>
              <w:right w:val="outset" w:color="000000" w:sz="6" w:space="0"/>
            </w:tcBorders>
            <w:shd w:val="clear" w:color="auto" w:fill="auto"/>
            <w:noWrap/>
          </w:tcPr>
          <w:p>
            <w:pPr>
              <w:widowControl/>
              <w:jc w:val="left"/>
              <w:rPr>
                <w:rFonts w:ascii="Calibri" w:hAnsi="Calibri" w:cs="宋体"/>
                <w:szCs w:val="22"/>
              </w:rPr>
            </w:pPr>
            <w:r>
              <w:rPr>
                <w:rFonts w:hint="eastAsia" w:ascii="宋体" w:hAnsi="宋体"/>
              </w:rPr>
              <w:t>投入人员薪资、福利、安全保障制度措施方案</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tcPr>
          <w:p>
            <w:pPr>
              <w:widowControl/>
              <w:jc w:val="left"/>
              <w:rPr>
                <w:rFonts w:ascii="Calibri" w:hAnsi="Calibri" w:cs="宋体"/>
                <w:szCs w:val="22"/>
              </w:rPr>
            </w:pPr>
            <w:r>
              <w:rPr>
                <w:rFonts w:hint="eastAsia" w:ascii="Calibri" w:hAnsi="Calibri" w:cs="宋体"/>
                <w:szCs w:val="22"/>
              </w:rPr>
              <w:t>5</w:t>
            </w:r>
          </w:p>
        </w:tc>
        <w:tc>
          <w:tcPr>
            <w:tcW w:w="4480" w:type="dxa"/>
            <w:tcBorders>
              <w:top w:val="outset" w:color="000000" w:sz="6" w:space="0"/>
              <w:left w:val="outset" w:color="000000" w:sz="6" w:space="0"/>
              <w:bottom w:val="outset" w:color="000000" w:sz="6" w:space="0"/>
              <w:right w:val="outset" w:color="000000" w:sz="6" w:space="0"/>
            </w:tcBorders>
            <w:shd w:val="clear" w:color="auto" w:fill="auto"/>
            <w:noWrap/>
          </w:tcPr>
          <w:p>
            <w:pPr>
              <w:rPr>
                <w:rFonts w:ascii="宋体" w:hAnsi="宋体"/>
              </w:rPr>
            </w:pPr>
            <w:r>
              <w:rPr>
                <w:rFonts w:hint="eastAsia" w:ascii="宋体" w:hAnsi="宋体"/>
                <w:b/>
                <w:bCs/>
              </w:rPr>
              <w:t>（一）评审内容：</w:t>
            </w:r>
          </w:p>
          <w:p>
            <w:pPr>
              <w:wordWrap w:val="0"/>
              <w:rPr>
                <w:rFonts w:ascii="宋体" w:hAnsi="宋体" w:eastAsia="宋体"/>
              </w:rPr>
            </w:pPr>
            <w:r>
              <w:rPr>
                <w:rFonts w:hint="eastAsia" w:ascii="宋体" w:hAnsi="宋体"/>
              </w:rPr>
              <w:t>投标人编制拟投入人员薪资、福利、安全保障制度措施方案。</w:t>
            </w:r>
          </w:p>
          <w:p>
            <w:pPr>
              <w:pStyle w:val="15"/>
              <w:ind w:left="0" w:leftChars="0" w:firstLine="0" w:firstLineChars="0"/>
              <w:rPr>
                <w:rFonts w:ascii="宋体" w:hAnsi="宋体"/>
                <w:b/>
                <w:bCs/>
              </w:rPr>
            </w:pPr>
            <w:r>
              <w:rPr>
                <w:rFonts w:hint="eastAsia" w:ascii="宋体" w:hAnsi="宋体"/>
                <w:b/>
                <w:bCs/>
              </w:rPr>
              <w:t>（二）评审标准：</w:t>
            </w:r>
          </w:p>
          <w:p>
            <w:pPr>
              <w:pStyle w:val="15"/>
              <w:ind w:left="0" w:leftChars="0" w:firstLine="0" w:firstLineChars="0"/>
            </w:pPr>
            <w:r>
              <w:rPr>
                <w:rFonts w:hint="eastAsia" w:ascii="宋体" w:hAnsi="宋体"/>
                <w:szCs w:val="22"/>
              </w:rPr>
              <w:t>横向比较以上方案，得0-</w:t>
            </w:r>
            <w:r>
              <w:rPr>
                <w:rFonts w:hint="eastAsia" w:ascii="宋体" w:hAnsi="宋体"/>
              </w:rPr>
              <w:t>5分。未提供响应方案不得分。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74" w:hRule="atLeast"/>
          <w:jc w:val="center"/>
        </w:trPr>
        <w:tc>
          <w:tcPr>
            <w:tcW w:w="680" w:type="dxa"/>
            <w:tcBorders>
              <w:left w:val="single" w:color="000000" w:sz="8" w:space="0"/>
              <w:right w:val="single" w:color="000000" w:sz="8" w:space="0"/>
            </w:tcBorders>
            <w:shd w:val="clear" w:color="auto" w:fill="auto"/>
            <w:noWrap/>
            <w:vAlign w:val="center"/>
          </w:tcPr>
          <w:p>
            <w:pPr>
              <w:rPr>
                <w:rFonts w:ascii="Calibri" w:hAnsi="Calibri" w:cs="Times New Roman"/>
                <w:b/>
                <w:bCs/>
                <w:szCs w:val="22"/>
              </w:rPr>
            </w:pPr>
          </w:p>
        </w:tc>
        <w:tc>
          <w:tcPr>
            <w:tcW w:w="680" w:type="dxa"/>
            <w:tcBorders>
              <w:top w:val="outset" w:color="000000" w:sz="6" w:space="0"/>
              <w:left w:val="outset" w:color="000000" w:sz="6" w:space="0"/>
              <w:bottom w:val="outset" w:color="000000" w:sz="6" w:space="0"/>
              <w:right w:val="outset" w:color="000000" w:sz="6" w:space="0"/>
            </w:tcBorders>
            <w:shd w:val="clear" w:color="auto" w:fill="auto"/>
            <w:noWrap/>
          </w:tcPr>
          <w:p>
            <w:pPr>
              <w:wordWrap w:val="0"/>
              <w:jc w:val="center"/>
              <w:rPr>
                <w:szCs w:val="21"/>
              </w:rPr>
            </w:pPr>
            <w:r>
              <w:rPr>
                <w:rFonts w:hint="eastAsia"/>
                <w:szCs w:val="21"/>
              </w:rPr>
              <w:t>5</w:t>
            </w:r>
          </w:p>
        </w:tc>
        <w:tc>
          <w:tcPr>
            <w:tcW w:w="2835" w:type="dxa"/>
            <w:tcBorders>
              <w:top w:val="outset" w:color="000000" w:sz="6" w:space="0"/>
              <w:left w:val="outset" w:color="000000" w:sz="6" w:space="0"/>
              <w:bottom w:val="outset" w:color="000000" w:sz="6" w:space="0"/>
              <w:right w:val="outset" w:color="000000" w:sz="6" w:space="0"/>
            </w:tcBorders>
            <w:shd w:val="clear" w:color="auto" w:fill="auto"/>
            <w:noWrap/>
          </w:tcPr>
          <w:p>
            <w:pPr>
              <w:widowControl/>
              <w:jc w:val="left"/>
              <w:rPr>
                <w:szCs w:val="21"/>
              </w:rPr>
            </w:pPr>
            <w:r>
              <w:rPr>
                <w:rFonts w:hint="eastAsia" w:ascii="宋体" w:hAnsi="宋体"/>
              </w:rPr>
              <w:t>投入设备及安全管理方案</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tcPr>
          <w:p>
            <w:pPr>
              <w:widowControl/>
              <w:jc w:val="left"/>
              <w:rPr>
                <w:rFonts w:ascii="Calibri" w:hAnsi="Calibri" w:cs="宋体"/>
                <w:szCs w:val="22"/>
              </w:rPr>
            </w:pPr>
            <w:r>
              <w:rPr>
                <w:rFonts w:hint="eastAsia" w:ascii="Calibri" w:hAnsi="Calibri" w:cs="宋体"/>
                <w:szCs w:val="22"/>
              </w:rPr>
              <w:t>10</w:t>
            </w:r>
          </w:p>
        </w:tc>
        <w:tc>
          <w:tcPr>
            <w:tcW w:w="4480" w:type="dxa"/>
            <w:tcBorders>
              <w:top w:val="outset" w:color="000000" w:sz="6" w:space="0"/>
              <w:left w:val="outset" w:color="000000" w:sz="6" w:space="0"/>
              <w:bottom w:val="outset" w:color="000000" w:sz="6" w:space="0"/>
              <w:right w:val="outset" w:color="000000" w:sz="6" w:space="0"/>
            </w:tcBorders>
            <w:shd w:val="clear" w:color="auto" w:fill="auto"/>
            <w:noWrap/>
          </w:tcPr>
          <w:p>
            <w:pPr>
              <w:rPr>
                <w:rFonts w:ascii="宋体" w:hAnsi="宋体"/>
                <w:b/>
                <w:bCs/>
              </w:rPr>
            </w:pPr>
            <w:r>
              <w:rPr>
                <w:rFonts w:hint="eastAsia" w:ascii="宋体" w:hAnsi="宋体"/>
                <w:b/>
                <w:bCs/>
              </w:rPr>
              <w:t xml:space="preserve">（一）评审内容： </w:t>
            </w:r>
          </w:p>
          <w:p>
            <w:pPr>
              <w:rPr>
                <w:rFonts w:ascii="宋体" w:hAnsi="宋体"/>
              </w:rPr>
            </w:pPr>
            <w:r>
              <w:rPr>
                <w:rFonts w:hint="eastAsia" w:ascii="宋体" w:hAnsi="宋体"/>
              </w:rPr>
              <w:t>（1）投标人就本项目拟投入的设备情况介绍和说明；</w:t>
            </w:r>
          </w:p>
          <w:p>
            <w:pPr>
              <w:rPr>
                <w:rFonts w:ascii="宋体" w:hAnsi="宋体"/>
              </w:rPr>
            </w:pPr>
            <w:r>
              <w:rPr>
                <w:rFonts w:hint="eastAsia" w:ascii="宋体" w:hAnsi="宋体"/>
              </w:rPr>
              <w:t>（2）安全管理方案：明确投入人员的安全操作及安全设施配备设置及相应的安全检查、考核制度等，并承诺签订安全生产责任书（格式自拟）。</w:t>
            </w:r>
          </w:p>
          <w:p>
            <w:pPr>
              <w:rPr>
                <w:rFonts w:ascii="宋体" w:hAnsi="宋体"/>
                <w:b/>
                <w:bCs/>
              </w:rPr>
            </w:pPr>
            <w:r>
              <w:rPr>
                <w:rFonts w:hint="eastAsia" w:ascii="宋体" w:hAnsi="宋体"/>
                <w:b/>
                <w:bCs/>
              </w:rPr>
              <w:t xml:space="preserve">（二）评审标准： </w:t>
            </w:r>
          </w:p>
          <w:p>
            <w:pPr>
              <w:wordWrap w:val="0"/>
            </w:pPr>
            <w:r>
              <w:rPr>
                <w:rFonts w:hint="eastAsia" w:ascii="宋体" w:hAnsi="宋体"/>
                <w:szCs w:val="22"/>
              </w:rPr>
              <w:t>横向比较以上方案，得0-</w:t>
            </w:r>
            <w:r>
              <w:rPr>
                <w:rFonts w:hint="eastAsia" w:ascii="宋体" w:hAnsi="宋体"/>
              </w:rPr>
              <w:t>10 分。未提供响应方案不得分。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ordWrap w:val="0"/>
              <w:jc w:val="center"/>
              <w:rPr>
                <w:rFonts w:ascii="Calibri" w:hAnsi="Calibri" w:cs="Times New Roman"/>
                <w:b/>
                <w:bCs/>
                <w:szCs w:val="22"/>
              </w:rPr>
            </w:pPr>
            <w:r>
              <w:rPr>
                <w:rFonts w:ascii="Calibri" w:hAnsi="Calibri" w:cs="Times New Roman"/>
                <w:b/>
                <w:bCs/>
                <w:szCs w:val="22"/>
              </w:rPr>
              <w:t>3</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auto"/>
            <w:noWrap/>
          </w:tcPr>
          <w:p>
            <w:pPr>
              <w:wordWrap w:val="0"/>
              <w:jc w:val="center"/>
              <w:rPr>
                <w:rFonts w:ascii="Calibri" w:hAnsi="Calibri" w:cs="Times New Roman"/>
                <w:b/>
                <w:bCs/>
                <w:szCs w:val="22"/>
              </w:rPr>
            </w:pPr>
            <w:r>
              <w:rPr>
                <w:rFonts w:hint="eastAsia" w:ascii="Calibri" w:hAnsi="Calibri" w:cs="Times New Roman"/>
                <w:b/>
                <w:bCs/>
                <w:szCs w:val="22"/>
              </w:rPr>
              <w:t>资信</w:t>
            </w:r>
            <w:r>
              <w:rPr>
                <w:rFonts w:ascii="Calibri" w:hAnsi="Calibri" w:cs="Times New Roman"/>
                <w:b/>
                <w:bCs/>
                <w:szCs w:val="22"/>
              </w:rPr>
              <w:t>部分</w:t>
            </w:r>
          </w:p>
        </w:tc>
        <w:tc>
          <w:tcPr>
            <w:tcW w:w="4480" w:type="dxa"/>
            <w:tcBorders>
              <w:top w:val="single" w:color="000000" w:sz="8" w:space="0"/>
              <w:left w:val="single" w:color="000000" w:sz="8" w:space="0"/>
              <w:bottom w:val="single" w:color="000000" w:sz="8" w:space="0"/>
              <w:right w:val="single" w:color="000000" w:sz="8" w:space="0"/>
            </w:tcBorders>
            <w:shd w:val="clear" w:color="auto" w:fill="auto"/>
            <w:noWrap/>
          </w:tcPr>
          <w:p>
            <w:pPr>
              <w:wordWrap w:val="0"/>
              <w:jc w:val="center"/>
              <w:rPr>
                <w:rFonts w:ascii="Calibri" w:hAnsi="Calibri" w:eastAsia="宋体" w:cs="Times New Roman"/>
                <w:b/>
                <w:bCs/>
                <w:szCs w:val="22"/>
              </w:rPr>
            </w:pPr>
            <w:r>
              <w:rPr>
                <w:rFonts w:hint="eastAsia" w:ascii="Calibri" w:hAnsi="Calibri" w:cs="Times New Roman"/>
                <w:b/>
                <w:bCs/>
                <w:szCs w:val="22"/>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Calibri" w:hAnsi="Calibri" w:cs="Times New Roman"/>
                <w:b/>
                <w:bCs/>
                <w:szCs w:val="22"/>
              </w:rPr>
            </w:pPr>
          </w:p>
        </w:tc>
        <w:tc>
          <w:tcPr>
            <w:tcW w:w="68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权重</w:t>
            </w:r>
          </w:p>
        </w:tc>
        <w:tc>
          <w:tcPr>
            <w:tcW w:w="4480"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wordWrap w:val="0"/>
              <w:jc w:val="center"/>
              <w:rPr>
                <w:rFonts w:ascii="Calibri" w:hAnsi="Calibri" w:cs="Times New Roman"/>
                <w:szCs w:val="21"/>
              </w:rPr>
            </w:pPr>
            <w:r>
              <w:rPr>
                <w:rFonts w:ascii="Calibri" w:hAnsi="Calibri" w:cs="Times New Roman"/>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33" w:hRule="atLeast"/>
          <w:jc w:val="center"/>
        </w:trPr>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b/>
                <w:bCs/>
                <w:szCs w:val="22"/>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p>
          <w:p>
            <w:pPr>
              <w:wordWrap w:val="0"/>
              <w:jc w:val="center"/>
              <w:rPr>
                <w:szCs w:val="21"/>
              </w:rPr>
            </w:pPr>
          </w:p>
          <w:p>
            <w:pPr>
              <w:wordWrap w:val="0"/>
              <w:jc w:val="center"/>
              <w:rPr>
                <w:rFonts w:eastAsia="宋体"/>
                <w:szCs w:val="21"/>
              </w:rPr>
            </w:pPr>
            <w:r>
              <w:rPr>
                <w:rFonts w:hint="eastAsia"/>
                <w:szCs w:val="21"/>
              </w:rPr>
              <w:t>1</w:t>
            </w:r>
          </w:p>
        </w:tc>
        <w:tc>
          <w:tcPr>
            <w:tcW w:w="2835"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840" w:firstLineChars="400"/>
              <w:jc w:val="left"/>
              <w:rPr>
                <w:rFonts w:ascii="Calibri" w:hAnsi="Calibri" w:cs="宋体"/>
                <w:szCs w:val="22"/>
              </w:rPr>
            </w:pPr>
          </w:p>
          <w:p>
            <w:pPr>
              <w:widowControl/>
              <w:ind w:firstLine="840" w:firstLineChars="400"/>
              <w:jc w:val="left"/>
              <w:rPr>
                <w:rFonts w:ascii="Calibri" w:hAnsi="Calibri" w:cs="宋体"/>
                <w:szCs w:val="22"/>
              </w:rPr>
            </w:pPr>
          </w:p>
          <w:p>
            <w:pPr>
              <w:widowControl/>
              <w:ind w:firstLine="840" w:firstLineChars="400"/>
              <w:jc w:val="left"/>
              <w:rPr>
                <w:rFonts w:ascii="Calibri" w:hAnsi="Calibri" w:eastAsia="宋体" w:cs="宋体"/>
                <w:szCs w:val="22"/>
              </w:rPr>
            </w:pPr>
            <w:r>
              <w:rPr>
                <w:rFonts w:hint="eastAsia" w:ascii="Calibri" w:hAnsi="Calibri" w:cs="宋体"/>
                <w:szCs w:val="22"/>
              </w:rPr>
              <w:t>资质等级</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210" w:firstLineChars="100"/>
              <w:jc w:val="left"/>
              <w:rPr>
                <w:rFonts w:ascii="Calibri" w:hAnsi="Calibri" w:cs="宋体"/>
                <w:szCs w:val="22"/>
              </w:rPr>
            </w:pPr>
          </w:p>
          <w:p>
            <w:pPr>
              <w:widowControl/>
              <w:ind w:firstLine="210" w:firstLineChars="100"/>
              <w:jc w:val="left"/>
              <w:rPr>
                <w:rFonts w:ascii="Calibri" w:hAnsi="Calibri" w:cs="宋体"/>
                <w:szCs w:val="22"/>
              </w:rPr>
            </w:pPr>
          </w:p>
          <w:p>
            <w:pPr>
              <w:widowControl/>
              <w:ind w:firstLine="210" w:firstLineChars="100"/>
              <w:jc w:val="left"/>
              <w:rPr>
                <w:rFonts w:ascii="Calibri" w:hAnsi="Calibri" w:eastAsia="宋体" w:cs="宋体"/>
                <w:szCs w:val="22"/>
              </w:rPr>
            </w:pPr>
            <w:r>
              <w:rPr>
                <w:rFonts w:hint="eastAsia" w:ascii="Calibri" w:hAnsi="Calibri" w:cs="宋体"/>
                <w:szCs w:val="22"/>
              </w:rPr>
              <w:t>5</w:t>
            </w:r>
          </w:p>
        </w:tc>
        <w:tc>
          <w:tcPr>
            <w:tcW w:w="4480"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pPr>
            <w:r>
              <w:rPr>
                <w:rFonts w:hint="eastAsia"/>
              </w:rPr>
              <w:t>具有深圳市环卫清洁服务甲级资质的得5分，乙级的得3分，丙级的不得分。（需在有效年限内）</w:t>
            </w:r>
          </w:p>
          <w:p>
            <w:pPr>
              <w:pStyle w:val="9"/>
              <w:tabs>
                <w:tab w:val="left" w:pos="2138"/>
              </w:tabs>
            </w:pPr>
            <w:r>
              <w:rPr>
                <w:rFonts w:hint="eastAsia"/>
              </w:rPr>
              <w:t>提供扫描件加盖投标人公章，原件备查。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b/>
                <w:bCs/>
                <w:szCs w:val="22"/>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Calibri" w:hAnsi="Calibri"/>
                <w:szCs w:val="21"/>
              </w:rPr>
            </w:pPr>
            <w:r>
              <w:rPr>
                <w:rFonts w:hint="eastAsia" w:ascii="Calibri" w:hAnsi="Calibri"/>
                <w:szCs w:val="21"/>
              </w:rPr>
              <w:t>2</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pPr>
            <w:r>
              <w:rPr>
                <w:rFonts w:hint="eastAsia" w:ascii="宋体" w:hAnsi="宋体" w:cs="宋体"/>
                <w:kern w:val="0"/>
                <w:szCs w:val="21"/>
              </w:rPr>
              <w:t>同类业绩</w:t>
            </w:r>
          </w:p>
          <w:p>
            <w:pPr>
              <w:wordWrap w:val="0"/>
              <w:jc w:val="center"/>
              <w:rPr>
                <w:rFonts w:ascii="Calibri" w:hAnsi="Calibri"/>
                <w:szCs w:val="21"/>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Calibri" w:hAnsi="Calibri"/>
                <w:szCs w:val="21"/>
              </w:rPr>
            </w:pPr>
            <w:r>
              <w:rPr>
                <w:rFonts w:hint="eastAsia" w:ascii="Calibri" w:hAnsi="Calibri"/>
                <w:szCs w:val="21"/>
              </w:rPr>
              <w:t>6</w:t>
            </w:r>
          </w:p>
        </w:tc>
        <w:tc>
          <w:tcPr>
            <w:tcW w:w="4480"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ascii="宋体" w:hAnsi="宋体" w:cs="宋体"/>
                <w:b/>
                <w:bCs/>
                <w:kern w:val="0"/>
                <w:szCs w:val="21"/>
              </w:rPr>
            </w:pPr>
            <w:r>
              <w:rPr>
                <w:rFonts w:hint="eastAsia" w:ascii="宋体" w:hAnsi="宋体" w:cs="宋体"/>
                <w:b/>
                <w:bCs/>
                <w:kern w:val="0"/>
                <w:szCs w:val="21"/>
              </w:rPr>
              <w:t xml:space="preserve">（一）评审标准： </w:t>
            </w:r>
          </w:p>
          <w:p>
            <w:pPr>
              <w:widowControl/>
              <w:jc w:val="left"/>
              <w:rPr>
                <w:rFonts w:ascii="宋体" w:hAnsi="宋体" w:eastAsia="宋体" w:cs="宋体"/>
              </w:rPr>
            </w:pPr>
            <w:r>
              <w:rPr>
                <w:rFonts w:hint="eastAsia" w:ascii="仿宋_GB2312" w:hAnsi="仿宋_GB2312" w:eastAsia="仿宋_GB2312" w:cs="仿宋_GB2312"/>
                <w:color w:val="FF0000"/>
                <w:sz w:val="32"/>
                <w:szCs w:val="32"/>
                <w:highlight w:val="yellow"/>
              </w:rPr>
              <w:t>近三年内（以公开开始时间倒推计算）</w:t>
            </w:r>
            <w:r>
              <w:rPr>
                <w:rFonts w:hint="eastAsia" w:ascii="宋体" w:hAnsi="宋体" w:cs="宋体"/>
                <w:color w:val="000000"/>
                <w:szCs w:val="21"/>
              </w:rPr>
              <w:t>楼宇建筑的保洁和消杀业绩一份（可以是同一份合同，但分别有保洁和消杀）</w:t>
            </w:r>
            <w:r>
              <w:rPr>
                <w:rFonts w:hint="eastAsia" w:ascii="宋体" w:hAnsi="宋体" w:eastAsia="宋体" w:cs="宋体"/>
                <w:szCs w:val="21"/>
              </w:rPr>
              <w:t>，</w:t>
            </w:r>
            <w:r>
              <w:rPr>
                <w:rFonts w:hint="eastAsia" w:ascii="宋体" w:hAnsi="宋体" w:eastAsia="宋体" w:cs="宋体"/>
              </w:rPr>
              <w:t>满足3项得4分；超过3项部分每多一项，加1分。最高得6分，低于3项不得分。</w:t>
            </w:r>
          </w:p>
          <w:p>
            <w:pPr>
              <w:widowControl/>
              <w:jc w:val="left"/>
              <w:rPr>
                <w:rFonts w:ascii="宋体" w:hAnsi="宋体" w:cs="宋体"/>
                <w:b/>
                <w:bCs/>
                <w:kern w:val="0"/>
                <w:szCs w:val="21"/>
              </w:rPr>
            </w:pPr>
            <w:r>
              <w:rPr>
                <w:rFonts w:hint="eastAsia" w:ascii="宋体" w:hAnsi="宋体" w:cs="宋体"/>
                <w:b/>
                <w:bCs/>
                <w:kern w:val="0"/>
                <w:szCs w:val="21"/>
              </w:rPr>
              <w:t xml:space="preserve">（二）证明文件： </w:t>
            </w:r>
          </w:p>
          <w:p>
            <w:pPr>
              <w:widowControl/>
              <w:jc w:val="left"/>
            </w:pPr>
            <w:r>
              <w:rPr>
                <w:rFonts w:hint="eastAsia"/>
              </w:rPr>
              <w:t xml:space="preserve">提供项目合同复印件。未提供或提供的不符 </w:t>
            </w:r>
          </w:p>
          <w:p>
            <w:pPr>
              <w:widowControl/>
              <w:jc w:val="left"/>
            </w:pPr>
            <w:r>
              <w:rPr>
                <w:rFonts w:hint="eastAsia"/>
              </w:rPr>
              <w:t xml:space="preserve">合或提供不清晰导致专家无法判断的均不 </w:t>
            </w:r>
          </w:p>
          <w:p>
            <w:pPr>
              <w:widowControl/>
              <w:jc w:val="left"/>
              <w:rPr>
                <w:rFonts w:ascii="宋体" w:hAnsi="宋体" w:cs="宋体"/>
                <w:kern w:val="0"/>
                <w:szCs w:val="21"/>
              </w:rPr>
            </w:pPr>
            <w:r>
              <w:rPr>
                <w:rFonts w:hint="eastAsia"/>
              </w:rPr>
              <w:t xml:space="preserve">得分。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b/>
                <w:bCs/>
                <w:szCs w:val="22"/>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Calibri" w:hAnsi="Calibri"/>
                <w:szCs w:val="21"/>
              </w:rPr>
            </w:pPr>
            <w:r>
              <w:rPr>
                <w:rFonts w:hint="eastAsia" w:ascii="Calibri" w:hAnsi="Calibri"/>
                <w:szCs w:val="21"/>
              </w:rPr>
              <w:t>2</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Calibri" w:hAnsi="Calibri"/>
                <w:szCs w:val="21"/>
              </w:rPr>
            </w:pPr>
            <w:r>
              <w:rPr>
                <w:rFonts w:hint="eastAsia" w:ascii="Calibri" w:hAnsi="Calibri"/>
                <w:szCs w:val="21"/>
              </w:rPr>
              <w:t>履约评价</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Calibri" w:hAnsi="Calibri"/>
                <w:szCs w:val="21"/>
              </w:rPr>
            </w:pPr>
            <w:r>
              <w:rPr>
                <w:rFonts w:hint="eastAsia" w:ascii="Calibri" w:hAnsi="Calibri"/>
                <w:szCs w:val="21"/>
              </w:rPr>
              <w:t>6</w:t>
            </w:r>
          </w:p>
        </w:tc>
        <w:tc>
          <w:tcPr>
            <w:tcW w:w="4480"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pPr>
            <w:r>
              <w:rPr>
                <w:rFonts w:hint="eastAsia" w:ascii="宋体" w:hAnsi="宋体" w:cs="宋体"/>
                <w:b/>
                <w:bCs/>
                <w:kern w:val="0"/>
                <w:szCs w:val="21"/>
              </w:rPr>
              <w:t xml:space="preserve">（一）评审标准： </w:t>
            </w:r>
          </w:p>
          <w:p>
            <w:pPr>
              <w:wordWrap w:val="0"/>
              <w:rPr>
                <w:rFonts w:ascii="Calibri" w:hAnsi="Calibri"/>
                <w:szCs w:val="21"/>
              </w:rPr>
            </w:pPr>
            <w:r>
              <w:rPr>
                <w:rFonts w:hint="eastAsia" w:ascii="Calibri" w:hAnsi="Calibri"/>
                <w:szCs w:val="21"/>
              </w:rPr>
              <w:t>提供上述“同类业绩”对应的合同履约评价，获得“优秀”（或最高评价）评价的每个得2分，良好评价每个得1分，最高得6分。</w:t>
            </w:r>
          </w:p>
          <w:p>
            <w:pPr>
              <w:widowControl/>
              <w:jc w:val="left"/>
            </w:pPr>
            <w:r>
              <w:rPr>
                <w:rFonts w:hint="eastAsia" w:ascii="宋体" w:hAnsi="宋体" w:cs="宋体"/>
                <w:b/>
                <w:bCs/>
                <w:kern w:val="0"/>
                <w:szCs w:val="21"/>
              </w:rPr>
              <w:t xml:space="preserve">（二）证明文件： </w:t>
            </w:r>
          </w:p>
          <w:p>
            <w:pPr>
              <w:wordWrap w:val="0"/>
              <w:rPr>
                <w:rFonts w:ascii="Calibri" w:hAnsi="Calibri"/>
                <w:szCs w:val="21"/>
              </w:rPr>
            </w:pPr>
            <w:r>
              <w:rPr>
                <w:rFonts w:hint="eastAsia" w:ascii="Calibri" w:hAnsi="Calibri"/>
                <w:szCs w:val="21"/>
              </w:rPr>
              <w:t>须提供盖</w:t>
            </w:r>
            <w:r>
              <w:rPr>
                <w:rFonts w:hint="eastAsia" w:ascii="Calibri" w:hAnsi="Calibri"/>
                <w:b/>
                <w:bCs/>
                <w:szCs w:val="21"/>
              </w:rPr>
              <w:t>合同甲方公章</w:t>
            </w:r>
            <w:r>
              <w:rPr>
                <w:rFonts w:hint="eastAsia" w:ascii="Calibri" w:hAnsi="Calibri"/>
                <w:szCs w:val="21"/>
              </w:rPr>
              <w:t>的履约评价文件清晰复印件。评分中出现无证明资料或专家无法凭所提供资料判断是否得分的情况，均不得分。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85"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b/>
                <w:bCs/>
                <w:szCs w:val="22"/>
              </w:rPr>
            </w:pPr>
          </w:p>
        </w:tc>
        <w:tc>
          <w:tcPr>
            <w:tcW w:w="680" w:type="dxa"/>
            <w:tcBorders>
              <w:top w:val="single" w:color="000000" w:sz="8" w:space="0"/>
              <w:left w:val="single" w:color="000000" w:sz="8" w:space="0"/>
              <w:right w:val="single" w:color="000000" w:sz="8" w:space="0"/>
            </w:tcBorders>
            <w:shd w:val="clear" w:color="auto" w:fill="auto"/>
            <w:vAlign w:val="center"/>
          </w:tcPr>
          <w:p>
            <w:pPr>
              <w:wordWrap w:val="0"/>
              <w:jc w:val="center"/>
              <w:rPr>
                <w:rFonts w:ascii="Calibri" w:hAnsi="Calibri"/>
                <w:szCs w:val="21"/>
              </w:rPr>
            </w:pPr>
            <w:r>
              <w:rPr>
                <w:rFonts w:hint="eastAsia" w:ascii="Calibri" w:hAnsi="Calibri"/>
                <w:szCs w:val="21"/>
              </w:rPr>
              <w:t>3</w:t>
            </w:r>
          </w:p>
        </w:tc>
        <w:tc>
          <w:tcPr>
            <w:tcW w:w="2835" w:type="dxa"/>
            <w:tcBorders>
              <w:top w:val="single" w:color="000000" w:sz="8" w:space="0"/>
              <w:left w:val="single" w:color="000000" w:sz="8" w:space="0"/>
              <w:right w:val="single" w:color="000000" w:sz="8" w:space="0"/>
            </w:tcBorders>
            <w:shd w:val="clear" w:color="auto" w:fill="auto"/>
            <w:vAlign w:val="center"/>
          </w:tcPr>
          <w:p>
            <w:pPr>
              <w:wordWrap w:val="0"/>
              <w:jc w:val="center"/>
              <w:rPr>
                <w:rFonts w:ascii="Calibri" w:hAnsi="Calibri"/>
                <w:szCs w:val="21"/>
              </w:rPr>
            </w:pPr>
            <w:r>
              <w:rPr>
                <w:rFonts w:hint="eastAsia" w:ascii="Calibri" w:hAnsi="Calibri" w:cs="Times New Roman"/>
                <w:szCs w:val="21"/>
              </w:rPr>
              <w:t>纳税承诺</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Calibri" w:hAnsi="Calibri"/>
                <w:szCs w:val="21"/>
              </w:rPr>
            </w:pPr>
            <w:r>
              <w:rPr>
                <w:rFonts w:hint="eastAsia" w:ascii="Calibri" w:hAnsi="Calibri"/>
                <w:szCs w:val="21"/>
              </w:rPr>
              <w:t>3</w:t>
            </w:r>
          </w:p>
        </w:tc>
        <w:tc>
          <w:tcPr>
            <w:tcW w:w="4480" w:type="dxa"/>
            <w:tcBorders>
              <w:top w:val="single" w:color="000000" w:sz="8" w:space="0"/>
              <w:left w:val="single" w:color="000000" w:sz="8" w:space="0"/>
              <w:bottom w:val="single" w:color="000000" w:sz="8" w:space="0"/>
              <w:right w:val="single" w:color="000000" w:sz="8" w:space="0"/>
            </w:tcBorders>
            <w:shd w:val="clear" w:color="auto" w:fill="auto"/>
          </w:tcPr>
          <w:p>
            <w:pPr>
              <w:numPr>
                <w:ilvl w:val="0"/>
                <w:numId w:val="4"/>
              </w:numPr>
              <w:wordWrap w:val="0"/>
              <w:rPr>
                <w:rFonts w:ascii="宋体" w:hAnsi="宋体" w:cs="宋体"/>
                <w:b/>
                <w:bCs/>
                <w:kern w:val="0"/>
                <w:szCs w:val="21"/>
              </w:rPr>
            </w:pPr>
            <w:r>
              <w:rPr>
                <w:rFonts w:hint="eastAsia" w:ascii="宋体" w:hAnsi="宋体" w:cs="宋体"/>
                <w:b/>
                <w:bCs/>
                <w:kern w:val="0"/>
                <w:szCs w:val="21"/>
              </w:rPr>
              <w:t>评审标准：</w:t>
            </w:r>
          </w:p>
          <w:p>
            <w:pPr>
              <w:widowControl/>
              <w:jc w:val="left"/>
              <w:rPr>
                <w:rFonts w:ascii="Calibri" w:hAnsi="Calibri"/>
                <w:szCs w:val="21"/>
              </w:rPr>
            </w:pPr>
            <w:r>
              <w:rPr>
                <w:rFonts w:hint="eastAsia" w:ascii="Calibri" w:hAnsi="Calibri" w:cs="Times New Roman"/>
                <w:szCs w:val="21"/>
              </w:rPr>
              <w:t>投标人承诺提供一般纳税人增值税专用发票的得3分、提供小规模纳税人增值税专用发票的得0分，投标人提供以上增值税纳税承诺函并加盖公章，不提供的不得分。（格式自拟）</w:t>
            </w:r>
          </w:p>
        </w:tc>
      </w:tr>
    </w:tbl>
    <w:p/>
    <w:p>
      <w:pPr>
        <w:pStyle w:val="9"/>
        <w:tabs>
          <w:tab w:val="left" w:pos="2138"/>
        </w:tabs>
        <w:spacing w:before="72" w:line="360" w:lineRule="auto"/>
      </w:pPr>
      <w:r>
        <w:t xml:space="preserve">备注： </w:t>
      </w:r>
    </w:p>
    <w:p>
      <w:pPr>
        <w:spacing w:line="360" w:lineRule="auto"/>
        <w:ind w:firstLine="420" w:firstLineChars="200"/>
      </w:pPr>
      <w:r>
        <w:rPr>
          <w:rFonts w:hint="eastAsia"/>
        </w:rPr>
        <w:t>1.</w:t>
      </w:r>
      <w:r>
        <w:t>每一项的得分均不能超过该项最高分值。</w:t>
      </w:r>
    </w:p>
    <w:p>
      <w:pPr>
        <w:spacing w:line="360" w:lineRule="auto"/>
        <w:ind w:firstLine="420" w:firstLineChars="200"/>
      </w:pPr>
      <w:r>
        <w:rPr>
          <w:rFonts w:hint="eastAsia"/>
        </w:rPr>
        <w:t>2.</w:t>
      </w:r>
      <w:r>
        <w:t xml:space="preserve">缺项则该项为 0 分或不合格为 0 分。 </w:t>
      </w:r>
    </w:p>
    <w:p>
      <w:pPr>
        <w:spacing w:line="360" w:lineRule="auto"/>
        <w:ind w:firstLine="420" w:firstLineChars="200"/>
      </w:pPr>
      <w:r>
        <w:rPr>
          <w:rFonts w:hint="eastAsia"/>
        </w:rPr>
        <w:t>3.</w:t>
      </w:r>
      <w:r>
        <w:t xml:space="preserve">客观评分项，所有评审专家应当统一打分分值；主观评分项，评审专家应当按照打分标准独立打分。 </w:t>
      </w:r>
    </w:p>
    <w:p/>
    <w:p>
      <w:pPr>
        <w:topLinePunct/>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以下空白。</w:t>
      </w:r>
    </w:p>
    <w:p>
      <w:pPr>
        <w:topLinePunct/>
        <w:adjustRightInd w:val="0"/>
        <w:snapToGrid w:val="0"/>
        <w:spacing w:line="360" w:lineRule="auto"/>
        <w:ind w:firstLine="420" w:firstLineChars="200"/>
        <w:rPr>
          <w:rFonts w:ascii="宋体" w:hAnsi="宋体" w:eastAsia="宋体" w:cs="宋体"/>
          <w:kern w:val="0"/>
          <w:szCs w:val="21"/>
        </w:rPr>
      </w:pPr>
    </w:p>
    <w:p>
      <w:pPr>
        <w:topLinePunct/>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招   标   人：</w:t>
      </w:r>
      <w:r>
        <w:rPr>
          <w:rFonts w:hint="eastAsia" w:ascii="宋体" w:hAnsi="宋体" w:eastAsia="宋体" w:cs="宋体"/>
          <w:szCs w:val="21"/>
          <w:u w:val="single"/>
        </w:rPr>
        <w:t>深圳市盛天源物业管理有限公司</w:t>
      </w:r>
    </w:p>
    <w:p>
      <w:pPr>
        <w:topLinePunct/>
        <w:adjustRightInd w:val="0"/>
        <w:snapToGrid w:val="0"/>
        <w:spacing w:line="360" w:lineRule="auto"/>
        <w:rPr>
          <w:rFonts w:ascii="宋体" w:hAnsi="宋体" w:eastAsia="宋体" w:cs="宋体"/>
          <w:kern w:val="0"/>
          <w:szCs w:val="21"/>
        </w:rPr>
      </w:pPr>
    </w:p>
    <w:p>
      <w:pPr>
        <w:topLinePunct/>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编制日期：</w:t>
      </w:r>
    </w:p>
    <w:p>
      <w:pPr>
        <w:spacing w:line="560" w:lineRule="exact"/>
        <w:jc w:val="left"/>
        <w:rPr>
          <w:rFonts w:ascii="仿宋_GB2312" w:hAnsi="仿宋_GB2312" w:eastAsia="仿宋_GB2312" w:cs="仿宋_GB2312"/>
          <w:sz w:val="30"/>
          <w:szCs w:val="30"/>
        </w:rPr>
      </w:pPr>
    </w:p>
    <w:p>
      <w:pPr>
        <w:spacing w:line="560" w:lineRule="exact"/>
        <w:jc w:val="left"/>
        <w:rPr>
          <w:rFonts w:ascii="仿宋_GB2312" w:hAnsi="仿宋_GB2312" w:eastAsia="仿宋_GB2312" w:cs="仿宋_GB2312"/>
          <w:sz w:val="30"/>
          <w:szCs w:val="30"/>
        </w:rPr>
      </w:pPr>
    </w:p>
    <w:p>
      <w:pPr>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附件2：征信承诺书</w:t>
      </w:r>
    </w:p>
    <w:p>
      <w:pPr>
        <w:pStyle w:val="2"/>
      </w:pPr>
    </w:p>
    <w:p>
      <w:pPr>
        <w:spacing w:line="300" w:lineRule="auto"/>
        <w:jc w:val="center"/>
        <w:rPr>
          <w:bCs/>
          <w:color w:val="000000"/>
          <w:sz w:val="32"/>
          <w:szCs w:val="32"/>
        </w:rPr>
      </w:pPr>
      <w:r>
        <w:rPr>
          <w:rFonts w:hint="eastAsia"/>
          <w:bCs/>
          <w:color w:val="000000"/>
          <w:sz w:val="32"/>
          <w:szCs w:val="32"/>
        </w:rPr>
        <w:t>征信承诺书</w:t>
      </w:r>
    </w:p>
    <w:p>
      <w:pPr>
        <w:wordWrap w:val="0"/>
        <w:jc w:val="left"/>
        <w:rPr>
          <w:color w:val="000000"/>
        </w:rPr>
      </w:pPr>
    </w:p>
    <w:p>
      <w:pPr>
        <w:wordWrap w:val="0"/>
        <w:jc w:val="left"/>
        <w:rPr>
          <w:color w:val="000000"/>
        </w:rPr>
      </w:pPr>
      <w:r>
        <w:rPr>
          <w:rFonts w:hint="eastAsia"/>
          <w:color w:val="000000"/>
        </w:rPr>
        <w:t>项目名称：项目编号：</w:t>
      </w:r>
    </w:p>
    <w:p>
      <w:pPr>
        <w:rPr>
          <w:b/>
          <w:color w:val="000000"/>
        </w:rPr>
      </w:pPr>
      <w:r>
        <w:rPr>
          <w:rFonts w:hint="eastAsia"/>
          <w:b/>
          <w:color w:val="000000"/>
        </w:rPr>
        <w:t>主要内容应包括但不限于以下内容：</w:t>
      </w:r>
    </w:p>
    <w:p>
      <w:pPr>
        <w:ind w:left="-2" w:leftChars="-1" w:firstLine="426" w:firstLineChars="203"/>
        <w:rPr>
          <w:bCs/>
          <w:color w:val="000000"/>
          <w:szCs w:val="21"/>
          <w:lang w:val="en-GB"/>
        </w:rPr>
      </w:pPr>
      <w:r>
        <w:rPr>
          <w:rFonts w:hint="eastAsia"/>
          <w:bCs/>
          <w:color w:val="000000"/>
          <w:szCs w:val="21"/>
          <w:lang w:val="en-GB"/>
        </w:rPr>
        <w:t>（一）被纪检监察部门立案调查，违法违规事实成立的；</w:t>
      </w:r>
    </w:p>
    <w:p>
      <w:pPr>
        <w:ind w:left="-2" w:leftChars="-1" w:firstLine="426" w:firstLineChars="203"/>
        <w:rPr>
          <w:bCs/>
          <w:color w:val="000000"/>
          <w:szCs w:val="21"/>
          <w:lang w:val="en-GB"/>
        </w:rPr>
      </w:pPr>
      <w:r>
        <w:rPr>
          <w:rFonts w:hint="eastAsia"/>
          <w:bCs/>
          <w:color w:val="000000"/>
          <w:szCs w:val="21"/>
          <w:lang w:val="en-GB"/>
        </w:rPr>
        <w:t>（二）未按规定签订、履行招标合同，造成严重后果的；</w:t>
      </w:r>
    </w:p>
    <w:p>
      <w:pPr>
        <w:ind w:left="-2" w:leftChars="-1" w:firstLine="426" w:firstLineChars="203"/>
        <w:rPr>
          <w:bCs/>
          <w:color w:val="000000"/>
          <w:szCs w:val="21"/>
          <w:lang w:val="en-GB"/>
        </w:rPr>
      </w:pPr>
      <w:r>
        <w:rPr>
          <w:rFonts w:hint="eastAsia"/>
          <w:bCs/>
          <w:color w:val="000000"/>
          <w:szCs w:val="21"/>
          <w:lang w:val="en-GB"/>
        </w:rPr>
        <w:t>（三）隐瞒真实情况，提供虚假资料的；</w:t>
      </w:r>
    </w:p>
    <w:p>
      <w:pPr>
        <w:ind w:left="-2" w:leftChars="-1" w:firstLine="426" w:firstLineChars="203"/>
        <w:rPr>
          <w:bCs/>
          <w:color w:val="000000"/>
          <w:szCs w:val="21"/>
          <w:lang w:val="en-GB"/>
        </w:rPr>
      </w:pPr>
      <w:r>
        <w:rPr>
          <w:rFonts w:hint="eastAsia"/>
          <w:bCs/>
          <w:color w:val="000000"/>
          <w:szCs w:val="21"/>
          <w:lang w:val="en-GB"/>
        </w:rPr>
        <w:t>（四）以非法手段排斥其他供应商参与竞争的；</w:t>
      </w:r>
    </w:p>
    <w:p>
      <w:pPr>
        <w:ind w:left="-2" w:leftChars="-1" w:firstLine="426" w:firstLineChars="203"/>
        <w:rPr>
          <w:bCs/>
          <w:color w:val="000000"/>
          <w:szCs w:val="21"/>
          <w:lang w:val="en-GB"/>
        </w:rPr>
      </w:pPr>
      <w:r>
        <w:rPr>
          <w:rFonts w:hint="eastAsia"/>
          <w:bCs/>
          <w:color w:val="000000"/>
          <w:szCs w:val="21"/>
          <w:lang w:val="en-GB"/>
        </w:rPr>
        <w:t>（五）与其他招标参加人串通投标的；</w:t>
      </w:r>
    </w:p>
    <w:p>
      <w:pPr>
        <w:ind w:left="-2" w:leftChars="-1" w:firstLine="426" w:firstLineChars="203"/>
        <w:rPr>
          <w:bCs/>
          <w:color w:val="000000"/>
          <w:szCs w:val="21"/>
          <w:lang w:val="en-GB"/>
        </w:rPr>
      </w:pPr>
      <w:r>
        <w:rPr>
          <w:rFonts w:hint="eastAsia"/>
          <w:bCs/>
          <w:color w:val="000000"/>
          <w:szCs w:val="21"/>
          <w:lang w:val="en-GB"/>
        </w:rPr>
        <w:t>（六）在招标活动中应当回避而未回避的；</w:t>
      </w:r>
    </w:p>
    <w:p>
      <w:pPr>
        <w:ind w:left="-2" w:leftChars="-1" w:firstLine="426" w:firstLineChars="203"/>
        <w:rPr>
          <w:bCs/>
          <w:color w:val="000000"/>
          <w:szCs w:val="21"/>
          <w:lang w:val="en-GB"/>
        </w:rPr>
      </w:pPr>
      <w:r>
        <w:rPr>
          <w:rFonts w:hint="eastAsia"/>
          <w:bCs/>
          <w:color w:val="000000"/>
          <w:szCs w:val="21"/>
          <w:lang w:val="en-GB"/>
        </w:rPr>
        <w:t>（七）恶意投诉的；</w:t>
      </w:r>
    </w:p>
    <w:p>
      <w:pPr>
        <w:ind w:left="-2" w:leftChars="-1" w:firstLine="426" w:firstLineChars="203"/>
        <w:rPr>
          <w:bCs/>
          <w:color w:val="000000"/>
          <w:szCs w:val="21"/>
          <w:lang w:val="en-GB"/>
        </w:rPr>
      </w:pPr>
      <w:r>
        <w:rPr>
          <w:rFonts w:hint="eastAsia"/>
          <w:bCs/>
          <w:color w:val="000000"/>
          <w:szCs w:val="21"/>
          <w:lang w:val="en-GB"/>
        </w:rPr>
        <w:t>（八）向招标项目相关人行贿或者提供其他不当利益的；</w:t>
      </w:r>
    </w:p>
    <w:p>
      <w:pPr>
        <w:ind w:left="-2" w:leftChars="-1" w:firstLine="426" w:firstLineChars="203"/>
        <w:rPr>
          <w:bCs/>
          <w:color w:val="000000"/>
          <w:szCs w:val="21"/>
          <w:lang w:val="en-GB"/>
        </w:rPr>
      </w:pPr>
      <w:r>
        <w:rPr>
          <w:rFonts w:hint="eastAsia"/>
          <w:bCs/>
          <w:color w:val="000000"/>
          <w:szCs w:val="21"/>
          <w:lang w:val="en-GB"/>
        </w:rPr>
        <w:t>（九）阻碍、抗拒主管部门监督检查的；</w:t>
      </w:r>
    </w:p>
    <w:p>
      <w:pPr>
        <w:ind w:left="-2" w:leftChars="-1" w:firstLine="426" w:firstLineChars="203"/>
        <w:rPr>
          <w:bCs/>
          <w:color w:val="000000"/>
          <w:szCs w:val="21"/>
          <w:lang w:val="en-GB"/>
        </w:rPr>
      </w:pPr>
      <w:r>
        <w:rPr>
          <w:rFonts w:hint="eastAsia"/>
          <w:bCs/>
          <w:color w:val="000000"/>
          <w:szCs w:val="21"/>
          <w:lang w:val="en-GB"/>
        </w:rPr>
        <w:t>（十）履约检查不及格或评价为差的；</w:t>
      </w:r>
    </w:p>
    <w:p>
      <w:pPr>
        <w:ind w:left="-2" w:leftChars="-1" w:firstLine="426" w:firstLineChars="203"/>
        <w:rPr>
          <w:bCs/>
          <w:color w:val="000000"/>
          <w:szCs w:val="21"/>
          <w:lang w:val="en-GB"/>
        </w:rPr>
      </w:pPr>
      <w:r>
        <w:rPr>
          <w:rFonts w:hint="eastAsia"/>
          <w:bCs/>
          <w:color w:val="000000"/>
          <w:szCs w:val="21"/>
          <w:lang w:val="en-GB"/>
        </w:rPr>
        <w:t>（十一）主管部门认定的其他情形。</w:t>
      </w:r>
    </w:p>
    <w:p>
      <w:pPr>
        <w:ind w:left="-2" w:leftChars="-1" w:firstLine="420" w:firstLineChars="200"/>
        <w:rPr>
          <w:bCs/>
          <w:color w:val="000000"/>
          <w:szCs w:val="21"/>
          <w:lang w:val="en-GB"/>
        </w:rPr>
      </w:pPr>
      <w:r>
        <w:rPr>
          <w:rFonts w:hint="eastAsia"/>
          <w:bCs/>
          <w:color w:val="000000"/>
          <w:szCs w:val="21"/>
          <w:lang w:val="en-GB"/>
        </w:rPr>
        <w:t>如我司在</w:t>
      </w:r>
      <w:r>
        <w:rPr>
          <w:rFonts w:hint="eastAsia"/>
          <w:bCs/>
          <w:color w:val="000000"/>
          <w:szCs w:val="21"/>
        </w:rPr>
        <w:t>公告</w:t>
      </w:r>
      <w:r>
        <w:rPr>
          <w:rFonts w:hint="eastAsia"/>
          <w:bCs/>
          <w:color w:val="000000"/>
          <w:szCs w:val="21"/>
          <w:lang w:val="en-GB"/>
        </w:rPr>
        <w:t>日前三年内存在上述行为超出法定追诉时效未被追诉、或者上述情节轻微未给予禁止参加招标活动的行政处罚，我司自愿承担虚假应标以及其他一切不利的法律后果。</w:t>
      </w:r>
    </w:p>
    <w:p>
      <w:pPr>
        <w:ind w:left="-2" w:leftChars="-1" w:firstLine="420" w:firstLineChars="200"/>
        <w:rPr>
          <w:bCs/>
          <w:color w:val="000000"/>
          <w:szCs w:val="21"/>
        </w:rPr>
      </w:pPr>
      <w:r>
        <w:rPr>
          <w:rFonts w:hint="eastAsia"/>
          <w:bCs/>
          <w:color w:val="000000"/>
          <w:szCs w:val="21"/>
        </w:rPr>
        <w:t>同时我司承诺在招采活动中及后续合同签订、合同执行过程中，如采购单位在征信网站或相关平台查到我司三年内存在征信问题，我司愿接受采购人的取消中标资格、终止项目合同等一切与本项目相关的处罚，并承担法律责任。</w:t>
      </w:r>
    </w:p>
    <w:p>
      <w:pPr>
        <w:pStyle w:val="2"/>
        <w:rPr>
          <w:color w:val="000000"/>
          <w:spacing w:val="4"/>
          <w:u w:val="single"/>
        </w:rPr>
      </w:pPr>
    </w:p>
    <w:p>
      <w:pPr>
        <w:pStyle w:val="2"/>
        <w:rPr>
          <w:color w:val="000000"/>
          <w:spacing w:val="4"/>
          <w:u w:val="single"/>
        </w:rPr>
      </w:pPr>
    </w:p>
    <w:p>
      <w:pPr>
        <w:pStyle w:val="2"/>
        <w:rPr>
          <w:color w:val="000000"/>
          <w:spacing w:val="4"/>
          <w:u w:val="single"/>
        </w:rPr>
      </w:pPr>
    </w:p>
    <w:p>
      <w:pPr>
        <w:pStyle w:val="2"/>
        <w:rPr>
          <w:color w:val="000000"/>
          <w:spacing w:val="4"/>
          <w:u w:val="single"/>
        </w:rPr>
      </w:pPr>
    </w:p>
    <w:p>
      <w:pPr>
        <w:ind w:firstLine="420"/>
        <w:rPr>
          <w:color w:val="000000"/>
          <w:u w:val="single"/>
        </w:rPr>
      </w:pPr>
      <w:r>
        <w:rPr>
          <w:rFonts w:hint="eastAsia"/>
          <w:color w:val="000000"/>
        </w:rPr>
        <w:t>承诺单位名称：</w:t>
      </w:r>
    </w:p>
    <w:p>
      <w:pPr>
        <w:ind w:firstLine="420"/>
        <w:rPr>
          <w:color w:val="000000"/>
          <w:u w:val="single"/>
        </w:rPr>
      </w:pPr>
      <w:r>
        <w:rPr>
          <w:rFonts w:hint="eastAsia"/>
          <w:color w:val="000000"/>
        </w:rPr>
        <w:t>法定代表人或投标人授权代表（签名或盖章）：</w:t>
      </w:r>
    </w:p>
    <w:p>
      <w:pPr>
        <w:ind w:firstLine="420"/>
        <w:rPr>
          <w:color w:val="000000"/>
          <w:u w:val="single"/>
        </w:rPr>
      </w:pPr>
      <w:r>
        <w:rPr>
          <w:rFonts w:hint="eastAsia"/>
          <w:color w:val="000000"/>
        </w:rPr>
        <w:t>单位地址：</w:t>
      </w:r>
    </w:p>
    <w:p>
      <w:pPr>
        <w:ind w:firstLine="420"/>
        <w:rPr>
          <w:color w:val="000000"/>
          <w:u w:val="single"/>
        </w:rPr>
      </w:pPr>
      <w:r>
        <w:rPr>
          <w:rFonts w:hint="eastAsia"/>
          <w:color w:val="000000"/>
        </w:rPr>
        <w:t>单位公章：</w:t>
      </w:r>
    </w:p>
    <w:p>
      <w:pPr>
        <w:ind w:firstLine="420"/>
        <w:rPr>
          <w:color w:val="000000"/>
          <w:u w:val="single"/>
        </w:rPr>
      </w:pPr>
      <w:r>
        <w:rPr>
          <w:rFonts w:hint="eastAsia"/>
          <w:color w:val="000000"/>
        </w:rPr>
        <w:t>邮政编码：日期：</w:t>
      </w:r>
    </w:p>
    <w:p>
      <w:pPr>
        <w:ind w:firstLine="420"/>
        <w:rPr>
          <w:color w:val="000000"/>
          <w:szCs w:val="21"/>
          <w:u w:val="single"/>
        </w:rPr>
      </w:pPr>
      <w:r>
        <w:rPr>
          <w:rFonts w:hint="eastAsia"/>
          <w:color w:val="000000"/>
        </w:rPr>
        <w:t>联系电话：</w:t>
      </w:r>
    </w:p>
    <w:p>
      <w:pPr>
        <w:spacing w:line="560" w:lineRule="exact"/>
        <w:jc w:val="left"/>
        <w:rPr>
          <w:rFonts w:ascii="仿宋_GB2312" w:hAnsi="仿宋_GB2312" w:eastAsia="仿宋_GB2312" w:cs="仿宋_GB2312"/>
          <w:sz w:val="30"/>
          <w:szCs w:val="30"/>
        </w:rPr>
      </w:pPr>
    </w:p>
    <w:p>
      <w:pPr>
        <w:pStyle w:val="7"/>
        <w:ind w:firstLine="600"/>
        <w:rPr>
          <w:rFonts w:ascii="仿宋_GB2312" w:hAnsi="仿宋_GB2312" w:eastAsia="仿宋_GB2312" w:cs="仿宋_GB2312"/>
          <w:sz w:val="30"/>
          <w:szCs w:val="30"/>
        </w:rPr>
      </w:pPr>
    </w:p>
    <w:p>
      <w:pPr>
        <w:pStyle w:val="7"/>
        <w:ind w:firstLine="600"/>
        <w:rPr>
          <w:rFonts w:ascii="仿宋_GB2312" w:hAnsi="仿宋_GB2312" w:eastAsia="仿宋_GB2312" w:cs="仿宋_GB2312"/>
          <w:sz w:val="30"/>
          <w:szCs w:val="30"/>
        </w:rPr>
      </w:pPr>
    </w:p>
    <w:p>
      <w:pPr>
        <w:pStyle w:val="7"/>
        <w:ind w:firstLine="600"/>
        <w:rPr>
          <w:rFonts w:ascii="仿宋_GB2312" w:hAnsi="仿宋_GB2312" w:eastAsia="仿宋_GB2312" w:cs="仿宋_GB2312"/>
          <w:sz w:val="30"/>
          <w:szCs w:val="30"/>
        </w:rPr>
      </w:pPr>
    </w:p>
    <w:p>
      <w:pPr>
        <w:pStyle w:val="7"/>
        <w:ind w:firstLine="600"/>
        <w:rPr>
          <w:rFonts w:ascii="仿宋_GB2312" w:hAnsi="仿宋_GB2312" w:eastAsia="仿宋_GB2312" w:cs="仿宋_GB2312"/>
          <w:sz w:val="30"/>
          <w:szCs w:val="30"/>
        </w:rPr>
      </w:pPr>
    </w:p>
    <w:p>
      <w:pPr>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附件3</w:t>
      </w:r>
    </w:p>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报价函</w:t>
      </w:r>
    </w:p>
    <w:p>
      <w:pPr>
        <w:spacing w:line="560" w:lineRule="exact"/>
        <w:jc w:val="center"/>
        <w:rPr>
          <w:rFonts w:ascii="仿宋_GB2312" w:hAnsi="仿宋_GB2312" w:eastAsia="仿宋_GB2312" w:cs="仿宋_GB2312"/>
          <w:sz w:val="30"/>
          <w:szCs w:val="30"/>
        </w:rPr>
      </w:pPr>
    </w:p>
    <w:p>
      <w:pPr>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深圳市盛天源物业管理有限公司：</w:t>
      </w:r>
    </w:p>
    <w:p>
      <w:pPr>
        <w:pStyle w:val="2"/>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贵司询价函我司已收悉，决定参与报价，现就“深圳市罗湖区翠竹大厦2024年度保洁消杀服务项目”报价如下：</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一、我方愿意按照询价函规定的各项要求，向贵司提供相应服务，月度服务报价为XX元，总价为人民币XX元（12个月），其中含税XX%，该报价包含人工、材料、设备、管理费、税费等一切费用；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二、一旦我方中标，双方合同签字生效后，我方将严格履行合同规定的职责和义务，保证按照合同要求贵司要求提供服务。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三、我方为本项目提交的报价文件一式两份，具备同等效力。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四、我方提供给贵单位的与本项目采购有关的文件资料，保证文件资料的真实性和准确性。</w:t>
      </w:r>
    </w:p>
    <w:p>
      <w:pPr>
        <w:spacing w:line="560" w:lineRule="exact"/>
        <w:jc w:val="left"/>
        <w:rPr>
          <w:rFonts w:ascii="仿宋_GB2312" w:hAnsi="仿宋_GB2312" w:eastAsia="仿宋_GB2312" w:cs="仿宋_GB2312"/>
          <w:sz w:val="30"/>
          <w:szCs w:val="30"/>
        </w:rPr>
      </w:pP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报价人名称（公章）：</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法定代表人或委托代理人签名：</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通讯地址：  </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联系人及联系方式：</w:t>
      </w: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spacing w:line="560" w:lineRule="exact"/>
        <w:ind w:firstLine="640" w:firstLineChars="200"/>
        <w:jc w:val="left"/>
        <w:rPr>
          <w:rFonts w:ascii="仿宋" w:hAnsi="仿宋" w:eastAsia="仿宋" w:cs="仿宋"/>
          <w:sz w:val="32"/>
          <w:szCs w:val="40"/>
        </w:rPr>
      </w:pPr>
      <w:r>
        <w:rPr>
          <w:rFonts w:hint="eastAsia" w:ascii="仿宋" w:hAnsi="仿宋" w:eastAsia="仿宋" w:cs="仿宋"/>
          <w:sz w:val="32"/>
          <w:szCs w:val="40"/>
        </w:rPr>
        <w:t>附件4：</w:t>
      </w:r>
      <w:r>
        <w:rPr>
          <w:rFonts w:hint="eastAsia" w:ascii="仿宋" w:hAnsi="仿宋" w:eastAsia="仿宋" w:cs="仿宋"/>
          <w:b/>
          <w:bCs/>
          <w:sz w:val="32"/>
          <w:szCs w:val="40"/>
        </w:rPr>
        <w:t>其他资料</w:t>
      </w:r>
    </w:p>
    <w:p>
      <w:pPr>
        <w:pStyle w:val="7"/>
      </w:pPr>
    </w:p>
    <w:p>
      <w:pPr>
        <w:numPr>
          <w:ilvl w:val="0"/>
          <w:numId w:val="5"/>
        </w:numPr>
        <w:spacing w:line="560" w:lineRule="exact"/>
        <w:ind w:firstLine="640"/>
        <w:jc w:val="left"/>
        <w:rPr>
          <w:rFonts w:ascii="仿宋" w:hAnsi="仿宋" w:eastAsia="仿宋" w:cs="仿宋"/>
          <w:sz w:val="32"/>
          <w:szCs w:val="40"/>
        </w:rPr>
      </w:pPr>
      <w:r>
        <w:rPr>
          <w:rFonts w:hint="eastAsia" w:ascii="仿宋" w:hAnsi="仿宋" w:eastAsia="仿宋" w:cs="仿宋"/>
          <w:sz w:val="32"/>
          <w:szCs w:val="40"/>
        </w:rPr>
        <w:t>提供营业执照、法人证明、法人授权加盖公章（格式自拟）；</w:t>
      </w:r>
    </w:p>
    <w:p>
      <w:pPr>
        <w:numPr>
          <w:ilvl w:val="0"/>
          <w:numId w:val="5"/>
        </w:numPr>
        <w:spacing w:line="560" w:lineRule="exact"/>
        <w:ind w:firstLine="640"/>
        <w:jc w:val="left"/>
        <w:rPr>
          <w:rFonts w:ascii="仿宋" w:hAnsi="仿宋" w:eastAsia="仿宋" w:cs="仿宋"/>
          <w:sz w:val="32"/>
          <w:szCs w:val="40"/>
        </w:rPr>
      </w:pPr>
      <w:r>
        <w:rPr>
          <w:rFonts w:hint="eastAsia" w:ascii="仿宋" w:hAnsi="仿宋" w:eastAsia="仿宋" w:cs="仿宋"/>
          <w:sz w:val="32"/>
          <w:szCs w:val="40"/>
        </w:rPr>
        <w:t>保洁及消杀的资质（复印件加盖公司公章）；</w:t>
      </w:r>
    </w:p>
    <w:p>
      <w:pPr>
        <w:pStyle w:val="2"/>
        <w:numPr>
          <w:ilvl w:val="0"/>
          <w:numId w:val="5"/>
        </w:numPr>
        <w:ind w:firstLine="640"/>
        <w:rPr>
          <w:rFonts w:ascii="仿宋" w:hAnsi="仿宋" w:eastAsia="仿宋" w:cs="仿宋"/>
          <w:sz w:val="32"/>
          <w:szCs w:val="40"/>
        </w:rPr>
      </w:pPr>
      <w:r>
        <w:rPr>
          <w:rFonts w:hint="eastAsia" w:ascii="仿宋" w:hAnsi="仿宋" w:eastAsia="仿宋" w:cs="仿宋"/>
          <w:sz w:val="32"/>
          <w:szCs w:val="40"/>
        </w:rPr>
        <w:t>分项报价表（格式自拟、加盖公司公章）</w:t>
      </w:r>
    </w:p>
    <w:p>
      <w:pPr>
        <w:pStyle w:val="2"/>
        <w:numPr>
          <w:ilvl w:val="0"/>
          <w:numId w:val="5"/>
        </w:numPr>
        <w:ind w:firstLine="640"/>
        <w:rPr>
          <w:rFonts w:ascii="仿宋" w:hAnsi="仿宋" w:eastAsia="仿宋" w:cs="仿宋"/>
          <w:sz w:val="32"/>
          <w:szCs w:val="40"/>
        </w:rPr>
      </w:pPr>
      <w:r>
        <w:rPr>
          <w:rFonts w:hint="eastAsia" w:ascii="仿宋" w:hAnsi="仿宋" w:eastAsia="仿宋" w:cs="仿宋"/>
          <w:sz w:val="32"/>
          <w:szCs w:val="40"/>
        </w:rPr>
        <w:t>其他询价函要求的资料（复印件加盖公司公章）。</w:t>
      </w:r>
    </w:p>
    <w:p>
      <w:pPr>
        <w:pStyle w:val="2"/>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40BB4"/>
    <w:multiLevelType w:val="singleLevel"/>
    <w:tmpl w:val="D0E40BB4"/>
    <w:lvl w:ilvl="0" w:tentative="0">
      <w:start w:val="1"/>
      <w:numFmt w:val="chineseCounting"/>
      <w:suff w:val="nothing"/>
      <w:lvlText w:val="（%1）"/>
      <w:lvlJc w:val="left"/>
      <w:rPr>
        <w:rFonts w:hint="eastAsia"/>
      </w:rPr>
    </w:lvl>
  </w:abstractNum>
  <w:abstractNum w:abstractNumId="1">
    <w:nsid w:val="049A3ED8"/>
    <w:multiLevelType w:val="singleLevel"/>
    <w:tmpl w:val="049A3ED8"/>
    <w:lvl w:ilvl="0" w:tentative="0">
      <w:start w:val="1"/>
      <w:numFmt w:val="chineseCounting"/>
      <w:suff w:val="nothing"/>
      <w:lvlText w:val="%1、"/>
      <w:lvlJc w:val="left"/>
      <w:rPr>
        <w:rFonts w:hint="eastAsia"/>
      </w:rPr>
    </w:lvl>
  </w:abstractNum>
  <w:abstractNum w:abstractNumId="2">
    <w:nsid w:val="1ADE2D38"/>
    <w:multiLevelType w:val="singleLevel"/>
    <w:tmpl w:val="1ADE2D38"/>
    <w:lvl w:ilvl="0" w:tentative="0">
      <w:start w:val="2"/>
      <w:numFmt w:val="chineseCounting"/>
      <w:suff w:val="nothing"/>
      <w:lvlText w:val="（%1）"/>
      <w:lvlJc w:val="left"/>
      <w:rPr>
        <w:rFonts w:hint="eastAsia"/>
      </w:rPr>
    </w:lvl>
  </w:abstractNum>
  <w:abstractNum w:abstractNumId="3">
    <w:nsid w:val="1CFEDCED"/>
    <w:multiLevelType w:val="singleLevel"/>
    <w:tmpl w:val="1CFEDCED"/>
    <w:lvl w:ilvl="0" w:tentative="0">
      <w:start w:val="1"/>
      <w:numFmt w:val="chineseCounting"/>
      <w:suff w:val="nothing"/>
      <w:lvlText w:val="（%1）"/>
      <w:lvlJc w:val="left"/>
      <w:rPr>
        <w:rFonts w:hint="eastAsia"/>
      </w:rPr>
    </w:lvl>
  </w:abstractNum>
  <w:abstractNum w:abstractNumId="4">
    <w:nsid w:val="25518C6F"/>
    <w:multiLevelType w:val="singleLevel"/>
    <w:tmpl w:val="25518C6F"/>
    <w:lvl w:ilvl="0" w:tentative="0">
      <w:start w:val="1"/>
      <w:numFmt w:val="decimal"/>
      <w:suff w:val="nothing"/>
      <w:lvlText w:val="%1、"/>
      <w:lvlJc w:val="left"/>
      <w:pPr>
        <w:ind w:left="-2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2ZDY3ZTc2MTI0ODExMmU2YzE4M2JlOTY5Yjc0YjQifQ=="/>
  </w:docVars>
  <w:rsids>
    <w:rsidRoot w:val="14F87D44"/>
    <w:rsid w:val="001D3E17"/>
    <w:rsid w:val="002C7B74"/>
    <w:rsid w:val="003B1467"/>
    <w:rsid w:val="003E7590"/>
    <w:rsid w:val="00542160"/>
    <w:rsid w:val="005B6047"/>
    <w:rsid w:val="005F762A"/>
    <w:rsid w:val="00B551E0"/>
    <w:rsid w:val="00B55668"/>
    <w:rsid w:val="00C07BEE"/>
    <w:rsid w:val="00CC4B90"/>
    <w:rsid w:val="00D51DC3"/>
    <w:rsid w:val="00E84308"/>
    <w:rsid w:val="00FE7896"/>
    <w:rsid w:val="02080F1A"/>
    <w:rsid w:val="024C4754"/>
    <w:rsid w:val="04BD77CE"/>
    <w:rsid w:val="07B17ABF"/>
    <w:rsid w:val="08FD1455"/>
    <w:rsid w:val="091B6FF2"/>
    <w:rsid w:val="0A081A83"/>
    <w:rsid w:val="0AF827E9"/>
    <w:rsid w:val="0B0C4017"/>
    <w:rsid w:val="0B8615FF"/>
    <w:rsid w:val="105453B4"/>
    <w:rsid w:val="10862B8B"/>
    <w:rsid w:val="12D35200"/>
    <w:rsid w:val="133F0F4B"/>
    <w:rsid w:val="137232E7"/>
    <w:rsid w:val="142A1F51"/>
    <w:rsid w:val="14F87D44"/>
    <w:rsid w:val="15372984"/>
    <w:rsid w:val="17E3216B"/>
    <w:rsid w:val="1B32458C"/>
    <w:rsid w:val="1B9A0218"/>
    <w:rsid w:val="1CBA49F4"/>
    <w:rsid w:val="1CCE7466"/>
    <w:rsid w:val="1E68443A"/>
    <w:rsid w:val="1EC54DAB"/>
    <w:rsid w:val="21787527"/>
    <w:rsid w:val="21794D99"/>
    <w:rsid w:val="221E5141"/>
    <w:rsid w:val="242C6C35"/>
    <w:rsid w:val="25201CCB"/>
    <w:rsid w:val="26040F53"/>
    <w:rsid w:val="292D0766"/>
    <w:rsid w:val="2A441890"/>
    <w:rsid w:val="2CB20162"/>
    <w:rsid w:val="2D6B4CDB"/>
    <w:rsid w:val="2D9A3001"/>
    <w:rsid w:val="2EB557D1"/>
    <w:rsid w:val="2F6F4237"/>
    <w:rsid w:val="2FA9003E"/>
    <w:rsid w:val="30F85AFE"/>
    <w:rsid w:val="31854BB4"/>
    <w:rsid w:val="3444193A"/>
    <w:rsid w:val="34E45D5E"/>
    <w:rsid w:val="35552CE1"/>
    <w:rsid w:val="36992A33"/>
    <w:rsid w:val="37321D6A"/>
    <w:rsid w:val="376F660D"/>
    <w:rsid w:val="378D6FA0"/>
    <w:rsid w:val="3A553ACA"/>
    <w:rsid w:val="3A82150F"/>
    <w:rsid w:val="3DA57A21"/>
    <w:rsid w:val="3E1F0817"/>
    <w:rsid w:val="3FDD1F71"/>
    <w:rsid w:val="40326749"/>
    <w:rsid w:val="45A556C9"/>
    <w:rsid w:val="45F700DE"/>
    <w:rsid w:val="49CE0ED2"/>
    <w:rsid w:val="4C3E4C07"/>
    <w:rsid w:val="4DC22D2E"/>
    <w:rsid w:val="4DE107FB"/>
    <w:rsid w:val="4EBC7A82"/>
    <w:rsid w:val="50BD049E"/>
    <w:rsid w:val="52BA043A"/>
    <w:rsid w:val="53207EF7"/>
    <w:rsid w:val="53B45828"/>
    <w:rsid w:val="54FA5966"/>
    <w:rsid w:val="550A4038"/>
    <w:rsid w:val="5617074A"/>
    <w:rsid w:val="577629DF"/>
    <w:rsid w:val="5A541AC9"/>
    <w:rsid w:val="5AF820D3"/>
    <w:rsid w:val="5C135D05"/>
    <w:rsid w:val="5D5C650B"/>
    <w:rsid w:val="5DD40BD5"/>
    <w:rsid w:val="5EC7698C"/>
    <w:rsid w:val="5FBE67FB"/>
    <w:rsid w:val="5FDA7A7F"/>
    <w:rsid w:val="603C53C3"/>
    <w:rsid w:val="604F07E6"/>
    <w:rsid w:val="60ED0A6B"/>
    <w:rsid w:val="61993ACC"/>
    <w:rsid w:val="62B246B0"/>
    <w:rsid w:val="63CA73BF"/>
    <w:rsid w:val="63DD342C"/>
    <w:rsid w:val="69B663F4"/>
    <w:rsid w:val="6A103DDD"/>
    <w:rsid w:val="6B034790"/>
    <w:rsid w:val="6B234F4A"/>
    <w:rsid w:val="6BAD142C"/>
    <w:rsid w:val="6C023AD0"/>
    <w:rsid w:val="6FE23CD5"/>
    <w:rsid w:val="701A4559"/>
    <w:rsid w:val="712D08D1"/>
    <w:rsid w:val="724621E7"/>
    <w:rsid w:val="734553B7"/>
    <w:rsid w:val="73A844F9"/>
    <w:rsid w:val="741F12C7"/>
    <w:rsid w:val="75F81EC5"/>
    <w:rsid w:val="76D87530"/>
    <w:rsid w:val="77F009C7"/>
    <w:rsid w:val="78B97986"/>
    <w:rsid w:val="78F42964"/>
    <w:rsid w:val="7AB03A59"/>
    <w:rsid w:val="7BAB6F63"/>
    <w:rsid w:val="7C120630"/>
    <w:rsid w:val="7C2E2D68"/>
    <w:rsid w:val="7CC02A24"/>
    <w:rsid w:val="7D2A7116"/>
    <w:rsid w:val="7F652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5"/>
    <w:next w:val="6"/>
    <w:qFormat/>
    <w:uiPriority w:val="0"/>
    <w:pPr>
      <w:tabs>
        <w:tab w:val="left" w:pos="2040"/>
      </w:tabs>
      <w:spacing w:before="240" w:after="240" w:line="480" w:lineRule="auto"/>
      <w:ind w:left="0" w:firstLine="0"/>
      <w:outlineLvl w:val="1"/>
    </w:pPr>
    <w:rPr>
      <w:rFonts w:ascii="Times New Roman" w:hAnsi="Times New Roman"/>
      <w:szCs w:val="20"/>
    </w:rPr>
  </w:style>
  <w:style w:type="paragraph" w:styleId="5">
    <w:name w:val="heading 3"/>
    <w:basedOn w:val="6"/>
    <w:next w:val="1"/>
    <w:qFormat/>
    <w:uiPriority w:val="0"/>
    <w:pPr>
      <w:keepNext/>
      <w:keepLines/>
      <w:tabs>
        <w:tab w:val="left" w:pos="2040"/>
      </w:tabs>
      <w:adjustRightInd w:val="0"/>
      <w:snapToGrid w:val="0"/>
      <w:spacing w:beforeLines="50" w:afterLines="50" w:line="500" w:lineRule="atLeast"/>
      <w:jc w:val="center"/>
      <w:outlineLvl w:val="2"/>
    </w:pPr>
    <w:rPr>
      <w:rFonts w:ascii="宋体" w:hAnsi="宋体"/>
      <w:bCs/>
      <w:sz w:val="28"/>
      <w:szCs w:val="24"/>
    </w:rPr>
  </w:style>
  <w:style w:type="paragraph" w:styleId="6">
    <w:name w:val="heading 4"/>
    <w:basedOn w:val="1"/>
    <w:next w:val="1"/>
    <w:qFormat/>
    <w:uiPriority w:val="0"/>
    <w:pPr>
      <w:tabs>
        <w:tab w:val="left" w:pos="2040"/>
      </w:tabs>
      <w:spacing w:before="120" w:after="120"/>
      <w:ind w:left="864" w:hanging="144"/>
      <w:outlineLvl w:val="3"/>
    </w:pPr>
    <w:rPr>
      <w:rFonts w:ascii="Times New Roman" w:hAnsi="Times New Roman" w:eastAsia="宋体" w:cs="Calibri"/>
      <w:b/>
      <w:kern w:val="0"/>
      <w:sz w:val="2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非政府正文"/>
    <w:basedOn w:val="1"/>
    <w:qFormat/>
    <w:uiPriority w:val="0"/>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qFormat/>
    <w:uiPriority w:val="0"/>
    <w:pPr>
      <w:spacing w:beforeLines="50" w:line="360" w:lineRule="auto"/>
      <w:ind w:firstLine="440" w:firstLineChars="200"/>
    </w:pPr>
    <w:rPr>
      <w:rFonts w:ascii="宋体" w:hAnsi="宋体"/>
      <w:color w:val="FF0000"/>
      <w:sz w:val="22"/>
      <w:szCs w:val="22"/>
    </w:rPr>
  </w:style>
  <w:style w:type="paragraph" w:styleId="11">
    <w:name w:val="Body Text Indent 2"/>
    <w:basedOn w:val="1"/>
    <w:qFormat/>
    <w:uiPriority w:val="0"/>
    <w:pPr>
      <w:spacing w:line="480" w:lineRule="auto"/>
      <w:ind w:left="420" w:leftChars="200"/>
    </w:pPr>
  </w:style>
  <w:style w:type="paragraph" w:styleId="12">
    <w:name w:val="footer"/>
    <w:basedOn w:val="1"/>
    <w:link w:val="19"/>
    <w:qFormat/>
    <w:uiPriority w:val="0"/>
    <w:pPr>
      <w:tabs>
        <w:tab w:val="center" w:pos="4153"/>
        <w:tab w:val="right" w:pos="8306"/>
      </w:tabs>
      <w:snapToGrid w:val="0"/>
      <w:jc w:val="left"/>
    </w:pPr>
    <w:rPr>
      <w:sz w:val="18"/>
      <w:szCs w:val="18"/>
    </w:rPr>
  </w:style>
  <w:style w:type="paragraph" w:styleId="1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10"/>
    <w:qFormat/>
    <w:uiPriority w:val="0"/>
    <w:pPr>
      <w:spacing w:beforeLines="0" w:after="120" w:line="240" w:lineRule="auto"/>
      <w:ind w:left="420" w:leftChars="200" w:firstLine="420"/>
    </w:pPr>
    <w:rPr>
      <w:rFonts w:ascii="Times New Roman" w:hAnsi="Times New Roman"/>
      <w:color w:val="auto"/>
      <w:sz w:val="21"/>
      <w:szCs w:val="24"/>
    </w:rPr>
  </w:style>
  <w:style w:type="character" w:customStyle="1" w:styleId="18">
    <w:name w:val="页眉 Char"/>
    <w:basedOn w:val="17"/>
    <w:link w:val="13"/>
    <w:qFormat/>
    <w:uiPriority w:val="0"/>
    <w:rPr>
      <w:kern w:val="2"/>
      <w:sz w:val="18"/>
      <w:szCs w:val="18"/>
    </w:rPr>
  </w:style>
  <w:style w:type="character" w:customStyle="1" w:styleId="19">
    <w:name w:val="页脚 Char"/>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817</Words>
  <Characters>4660</Characters>
  <Lines>38</Lines>
  <Paragraphs>10</Paragraphs>
  <TotalTime>6</TotalTime>
  <ScaleCrop>false</ScaleCrop>
  <LinksUpToDate>false</LinksUpToDate>
  <CharactersWithSpaces>5467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2023-11-13T06:49:00Z</dcterms:created>
  <dc:creator>Administrator</dc:creator>
  <cp:lastModifiedBy>ZYGS</cp:lastModifiedBy>
  <dcterms:modified xsi:type="dcterms:W3CDTF">2023-12-21T01:02:00Z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C100612D84EA4BB0B1BE0BFA352A0033</vt:lpwstr>
  </property>
</Properties>
</file>