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rFonts w:hint="eastAsia"/>
          <w:sz w:val="32"/>
          <w:szCs w:val="32"/>
          <w:lang w:eastAsia="zh-CN"/>
        </w:rPr>
        <w:t>项</w:t>
      </w:r>
      <w:r>
        <w:rPr>
          <w:rFonts w:hint="eastAsia"/>
          <w:sz w:val="32"/>
          <w:szCs w:val="32"/>
        </w:rPr>
        <w:t>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项目服务地点:</w:t>
      </w:r>
      <w:r>
        <w:rPr>
          <w:rFonts w:hint="eastAsia"/>
          <w:sz w:val="32"/>
          <w:szCs w:val="32"/>
          <w:lang w:eastAsia="zh-CN"/>
        </w:rPr>
        <w:t>岳阳县城建成区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服务范围:通过开展春冬季灭鼠、夏秋季灭蚊蝇及重点场所应急消杀，有效降低辖区内四害密度。确保达到国家C级以上标准。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二、项目概述.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对</w:t>
      </w:r>
      <w:r>
        <w:rPr>
          <w:rFonts w:hint="eastAsia"/>
          <w:sz w:val="32"/>
          <w:szCs w:val="32"/>
          <w:lang w:eastAsia="zh-CN"/>
        </w:rPr>
        <w:t>岳阳县</w:t>
      </w:r>
      <w:r>
        <w:rPr>
          <w:rFonts w:hint="eastAsia"/>
          <w:sz w:val="32"/>
          <w:szCs w:val="32"/>
        </w:rPr>
        <w:t>城建</w:t>
      </w:r>
      <w:r>
        <w:rPr>
          <w:rFonts w:hint="eastAsia"/>
          <w:sz w:val="32"/>
          <w:szCs w:val="32"/>
          <w:lang w:eastAsia="zh-CN"/>
        </w:rPr>
        <w:t>成</w:t>
      </w:r>
      <w:r>
        <w:rPr>
          <w:rFonts w:hint="eastAsia"/>
          <w:sz w:val="32"/>
          <w:szCs w:val="32"/>
        </w:rPr>
        <w:t>区范围内居住的社区/公共绿地、地下空间、地下管井、垃圾桶、公厕、垃圾中转站、水体及辖区内其他公共场所等地的蟑、鼠、蚊、蝇、的防治以及孳生地治理;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三、服务范围及内容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服务范围:按照</w:t>
      </w:r>
      <w:r>
        <w:rPr>
          <w:rFonts w:hint="eastAsia"/>
          <w:sz w:val="32"/>
          <w:szCs w:val="32"/>
          <w:lang w:eastAsia="zh-CN"/>
        </w:rPr>
        <w:t>岳阳县巩固</w:t>
      </w:r>
      <w:r>
        <w:rPr>
          <w:rFonts w:hint="eastAsia"/>
          <w:sz w:val="32"/>
          <w:szCs w:val="32"/>
        </w:rPr>
        <w:t>国家卫生</w:t>
      </w:r>
      <w:r>
        <w:rPr>
          <w:rFonts w:hint="eastAsia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</w:rPr>
        <w:t>工作安排, 2023年重点工作为病媒生物防制、重点点位督导检查、整改及技术指导,创卫综合培训等工作全部内容。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服务内容:现拟招聘专业防制公司对</w:t>
      </w:r>
      <w:r>
        <w:rPr>
          <w:rFonts w:hint="eastAsia"/>
          <w:sz w:val="32"/>
          <w:szCs w:val="32"/>
          <w:lang w:eastAsia="zh-CN"/>
        </w:rPr>
        <w:t>岳阳县</w:t>
      </w:r>
      <w:r>
        <w:rPr>
          <w:rFonts w:hint="eastAsia"/>
          <w:sz w:val="32"/>
          <w:szCs w:val="32"/>
        </w:rPr>
        <w:t>属地建成区范围内开展病媒生物防治(除四害)工作,通过监测、检查、综合防治,消除鼠、蚊、蝇、蟑及其他突发性病媒生物的危害,达到国家病媒生物防制创卫标准。( 春冬荻鼠防治范围为安定镇全区域,需配备3辆防制作业车)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服务期限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合同履行期限: 2023</w:t>
      </w:r>
      <w:r>
        <w:rPr>
          <w:rFonts w:hint="eastAsia"/>
          <w:sz w:val="32"/>
          <w:szCs w:val="32"/>
          <w:lang w:eastAsia="zh-CN"/>
        </w:rPr>
        <w:t>全</w:t>
      </w:r>
      <w:r>
        <w:rPr>
          <w:rFonts w:hint="eastAsia"/>
          <w:sz w:val="32"/>
          <w:szCs w:val="32"/>
        </w:rPr>
        <w:t>年随至消杀轮次全部结束(建城区公共区域蟑鼠防治12轮次,包含春冬季灭鼠全区域2轮次)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(建城区公共区域蚊蝇防治5轮次，)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(病媒生物宣传和药品发放4轮次，)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(辖区病媒生物密度监测与效果评估4轮次)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(室内重点场所督导检查6轮次)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五、防制范围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1.按照病媒生物防制检查项目及国标要求,做到建城区域病媒生物防制全覆盖、质量达标的要求,依据国家相关标准,本项目的病媒生物防制工作内容包括: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(一)公共区域病媒生物防制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(二)室内重点场所督导检查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(三)辖区病媒生物密度监测与效果评估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(四)病媒生物宣传和药品发放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(五)创卫病媒生物相关档案资料整理与撰写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2.防控防制主要对象为:蚊、蝇、鼠、蟑。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六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防制时间安排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整体服务期:自合同签订之日起至消杀轮次全部结束。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(一)公共区域病媒生物防制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1.自服务开始,分别开展鼠、蟑、越冬蚊虫的防制,每月1-2次,总体防制轮次不少于12轮次;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2.自服务开始,按照病媒生物的孳生习性, 每月进行1轮蚊、蝇的综合防制,总体不少于5轮次。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(二)室内重点场所病媒生物督导检查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自服务开始,每月不少于1次针对蚊、蝇、鼠蟑的督导检查工作,总体不少于6次。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(三)辖区病媒生物密度监测与效果评估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病媒生物繁殖季节规律,全年定期开展病媒生物密度监测与效果评估工作,主要节点分为3个节点，即:春季统一-灭鼠、夏季统-灭蚊蝇、冬季统-灭鼠，以及创卫明察和暗访前1月等重要节点。具体时间为:自服务开始,年不少于4轮监测与评估。监测与评估场所分为:公共区域和重点场所2大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(四)病媒生物防制和创卫宣传及药品发放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着全民参与创卫和提高居民及单位病媒生物防制意识和技能,每年在春季、夏季和冬季,不定期开展针对居民和单位的病媒生物宣传和培训指导服务。具体为:病媒生物防制宣传全年不少于4轮次,药品发放不少于2000份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(五)创卫病媒生物相关档案整理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确保合作期间,将合作年限范围内所有创卫病媒生物相关档案整理完善。在</w:t>
      </w:r>
      <w:r>
        <w:rPr>
          <w:rFonts w:hint="eastAsia"/>
          <w:sz w:val="32"/>
          <w:szCs w:val="32"/>
          <w:lang w:eastAsia="zh-CN"/>
        </w:rPr>
        <w:t>岳阳县</w:t>
      </w:r>
      <w:r>
        <w:rPr>
          <w:rFonts w:hint="eastAsia"/>
          <w:sz w:val="32"/>
          <w:szCs w:val="32"/>
        </w:rPr>
        <w:t>驻点一人,协助整理创卫档案。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七、药械要求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所使用药剂及辅助材料必须符合国家环保、安全等有关规定及</w:t>
      </w:r>
      <w:r>
        <w:rPr>
          <w:rFonts w:hint="eastAsia"/>
          <w:sz w:val="32"/>
          <w:szCs w:val="32"/>
          <w:lang w:eastAsia="zh-CN"/>
        </w:rPr>
        <w:t>合</w:t>
      </w:r>
      <w:r>
        <w:rPr>
          <w:rFonts w:hint="eastAsia"/>
          <w:sz w:val="32"/>
          <w:szCs w:val="32"/>
        </w:rPr>
        <w:t>格产品,严禁使用违禁、淘汰、过期药物。并采用合理、科学的用药策略,选用优质的药剂有效成分,符合剂型要求和施药方式,防止产生抗药性,达到最佳防制效果。车辆及设备满足项目实施需要。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八、防制控制标准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该项目控制指标达到国标《病媒生物密度控制水平》C级以上要求,确保顺利验收。具体防制标准指标为: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1.鼠类标准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(1 )室内鼠迹阳性率小于或等于5% 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( 2 )外环境鼠密度路径指数小于或等于5。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2.蚊类标准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( 1 )小型积水蚊虫路径指数小于或等于0.8 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( 2 )大型积水蚊虫采样勺指数小于或等于5%,平均每阳性勺少于8只蚊虫幼虫和蛹;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( 3 )外环境蚊虫停落指数小于或等于1.5。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3.蝇类标准.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(1 )生产销售直接入口食品的场所不得有蝇,室内不得有蝇类孳生地;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( 2 )室内有蝇房间阳性率小于或等于9% ,阳性间蝇密度小于或等于3只间;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(3 )室外蝇类孳生地阳性率小于或等于5% 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4.蟑螂标准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( 1 )蟑螂成若虫侵害率小于或等于5% ;平均每阳性间(处)成若虫小蠊小于或等于10只,大蠊小于或等于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5只;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( 2 )蟑螂卵鞘查获率小于或等于3% ,平均每阳性间(处)卵鞘数小于或等于8只;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(3)蟑迹(蟑螂的尸体、残尸、空卵鞘壳、粪便等)查获率小于或等于7%。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九、信息收集报送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1.每轮作业结束,应进行小结并报送采购人;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2.项目完成后1个月内,将作业记录(或复印件)、照片(电子版)、相关资料及项目执行情况总结报告整</w:t>
      </w:r>
      <w:bookmarkStart w:id="0" w:name="_GoBack"/>
      <w:bookmarkEnd w:id="0"/>
      <w:r>
        <w:rPr>
          <w:rFonts w:hint="eastAsia"/>
          <w:sz w:val="32"/>
          <w:szCs w:val="32"/>
        </w:rPr>
        <w:t>理装订,报采购人。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项目清单及技术规格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采购数量及参数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789"/>
        <w:gridCol w:w="3021"/>
        <w:gridCol w:w="1550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主要参数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7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新建鼠饵站</w:t>
            </w:r>
          </w:p>
        </w:tc>
        <w:tc>
          <w:tcPr>
            <w:tcW w:w="3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规格：长≥30CM；宽≥11CM；高≥11CM有毒饵站标识</w:t>
            </w:r>
          </w:p>
        </w:tc>
        <w:tc>
          <w:tcPr>
            <w:tcW w:w="1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</w:t>
            </w:r>
          </w:p>
        </w:tc>
        <w:tc>
          <w:tcPr>
            <w:tcW w:w="9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7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灭鼠饵剂（0.005%溴鼠灵颗粒剂）</w:t>
            </w:r>
          </w:p>
        </w:tc>
        <w:tc>
          <w:tcPr>
            <w:tcW w:w="3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成份：0.005%溴鼠灵颗粒剂，100克/包或500克/包，10公斤/袋</w:t>
            </w:r>
          </w:p>
        </w:tc>
        <w:tc>
          <w:tcPr>
            <w:tcW w:w="1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</w:t>
            </w:r>
          </w:p>
        </w:tc>
        <w:tc>
          <w:tcPr>
            <w:tcW w:w="9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7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强力粘鼠板（国标45克胶）</w:t>
            </w:r>
          </w:p>
        </w:tc>
        <w:tc>
          <w:tcPr>
            <w:tcW w:w="3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规格：长≥33CM*宽≥22CM，≥45克胶，50张/箱</w:t>
            </w:r>
          </w:p>
        </w:tc>
        <w:tc>
          <w:tcPr>
            <w:tcW w:w="1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  <w:tc>
          <w:tcPr>
            <w:tcW w:w="9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7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灭</w:t>
            </w:r>
            <w:r>
              <w:rPr>
                <w:rFonts w:hint="eastAsia"/>
                <w:lang w:eastAsia="zh-CN"/>
              </w:rPr>
              <w:t>蟑方便贴</w:t>
            </w:r>
          </w:p>
        </w:tc>
        <w:tc>
          <w:tcPr>
            <w:tcW w:w="3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成份：0.05%氟虫氰+99.95%引诱剂，200盒/箱</w:t>
            </w:r>
          </w:p>
        </w:tc>
        <w:tc>
          <w:tcPr>
            <w:tcW w:w="1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  <w:tc>
          <w:tcPr>
            <w:tcW w:w="9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诱蝇笼（含引诱剂）</w:t>
            </w:r>
          </w:p>
        </w:tc>
        <w:tc>
          <w:tcPr>
            <w:tcW w:w="3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直径25，高40，含引诱剂</w:t>
            </w:r>
          </w:p>
        </w:tc>
        <w:tc>
          <w:tcPr>
            <w:tcW w:w="1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9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LED灭蚊蝇灯</w:t>
            </w:r>
          </w:p>
        </w:tc>
        <w:tc>
          <w:tcPr>
            <w:tcW w:w="3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功率≥2W，主要派发食品“三小行业”</w:t>
            </w:r>
          </w:p>
        </w:tc>
        <w:tc>
          <w:tcPr>
            <w:tcW w:w="1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700</w:t>
            </w:r>
          </w:p>
        </w:tc>
        <w:tc>
          <w:tcPr>
            <w:tcW w:w="9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7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7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4.5%高效氯氰菊酯</w:t>
            </w:r>
          </w:p>
        </w:tc>
        <w:tc>
          <w:tcPr>
            <w:tcW w:w="3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含量：4.5%高氯，剂型：微乳剂，规格：500克/瓶或1000克/瓶</w:t>
            </w:r>
          </w:p>
        </w:tc>
        <w:tc>
          <w:tcPr>
            <w:tcW w:w="1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9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7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背负式手动喷雾器</w:t>
            </w:r>
          </w:p>
        </w:tc>
        <w:tc>
          <w:tcPr>
            <w:tcW w:w="30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9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7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7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“四害”孳生地的调查</w:t>
            </w:r>
          </w:p>
        </w:tc>
        <w:tc>
          <w:tcPr>
            <w:tcW w:w="30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根据季节对整个城区的病媒生物孳生地开展调查</w:t>
            </w:r>
          </w:p>
        </w:tc>
        <w:tc>
          <w:tcPr>
            <w:tcW w:w="1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7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7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病媒生物防制各项资料完善整体</w:t>
            </w:r>
          </w:p>
        </w:tc>
        <w:tc>
          <w:tcPr>
            <w:tcW w:w="30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依据创卫检查中所需相关资料，提供病媒生物防制资料</w:t>
            </w:r>
          </w:p>
        </w:tc>
        <w:tc>
          <w:tcPr>
            <w:tcW w:w="1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7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病媒生物防制培训、宣传、督导</w:t>
            </w:r>
          </w:p>
        </w:tc>
        <w:tc>
          <w:tcPr>
            <w:tcW w:w="30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根据业主方要求适时组织相关培训及指导</w:t>
            </w:r>
          </w:p>
        </w:tc>
        <w:tc>
          <w:tcPr>
            <w:tcW w:w="1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0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</w:p>
    <w:p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09A9A"/>
    <w:multiLevelType w:val="singleLevel"/>
    <w:tmpl w:val="8A009A9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B07EDC"/>
    <w:multiLevelType w:val="singleLevel"/>
    <w:tmpl w:val="50B07E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mE2Y2VjY2JhMTdiOWMyZjE1OWFiMWEyZmY1MWYifQ=="/>
  </w:docVars>
  <w:rsids>
    <w:rsidRoot w:val="1EFA27AB"/>
    <w:rsid w:val="1EFA27AB"/>
    <w:rsid w:val="1F9C6B7D"/>
    <w:rsid w:val="66D342FF"/>
    <w:rsid w:val="7EF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2023-11-23T03:34:00Z</dcterms:created>
  <dc:creator>Administrator</dc:creator>
  <cp:lastModifiedBy>陈岳军</cp:lastModifiedBy>
  <dcterms:modified xsi:type="dcterms:W3CDTF">2023-12-20T04:11:22Z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F02BB14F79A54353A59715E4398F7361_11</vt:lpwstr>
  </property>
</Properties>
</file>