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441202-2023-02699</w:t>
      </w:r>
    </w:p>
    <w:p>
      <w:pPr>
        <w:jc w:val="center"/>
      </w:pPr>
      <w:r>
        <w:rPr>
          <w:b/>
          <w:sz w:val="24"/>
        </w:rPr>
        <w:t>采购项目编号：</w:t>
      </w:r>
      <w:r>
        <w:rPr>
          <w:b/>
          <w:sz w:val="24"/>
        </w:rPr>
        <w:t>ZQDLZB202300076</w:t>
      </w:r>
    </w:p>
    <w:p>
      <w:pPr>
        <w:jc w:val="center"/>
      </w:pPr>
      <w:r>
        <w:rPr>
          <w:b/>
          <w:sz w:val="24"/>
        </w:rPr>
        <w:t>项目名称：</w:t>
      </w:r>
      <w:r>
        <w:rPr>
          <w:b/>
          <w:sz w:val="24"/>
        </w:rPr>
        <w:t>端州城区公共外环境病媒生物防制服务</w:t>
      </w:r>
    </w:p>
    <w:p>
      <w:pPr>
        <w:jc w:val="center"/>
      </w:pPr>
      <w:r>
        <w:rPr>
          <w:b/>
          <w:sz w:val="24"/>
        </w:rPr>
        <w:t>采购人：</w:t>
      </w:r>
      <w:r>
        <w:rPr>
          <w:b/>
          <w:sz w:val="24"/>
        </w:rPr>
        <w:t>肇庆市端州区卫生健康局</w:t>
      </w:r>
    </w:p>
    <w:p>
      <w:pPr>
        <w:jc w:val="center"/>
      </w:pPr>
      <w:r>
        <w:rPr>
          <w:b/>
          <w:sz w:val="24"/>
        </w:rPr>
        <w:t>采购代理机构：</w:t>
      </w:r>
      <w:r>
        <w:rPr>
          <w:b/>
          <w:sz w:val="24"/>
        </w:rPr>
        <w:t>肇庆德力招标代理有限公司</w:t>
      </w:r>
    </w:p>
    <w:p>
      <w:pPr>
        <w:ind w:firstLine="480"/>
      </w:pPr>
    </w:p>
    <w:p>
      <w:r>
        <w:rPr/>
        <w:t xml:space="preserve"> </w:t>
      </w:r>
    </w:p>
    <w:p/>
    <w:p>
      <w:pPr>
        <w:jc w:val="center"/>
      </w:pPr>
      <w:r>
        <w:rPr>
          <w:b/>
          <w:sz w:val="36"/>
        </w:rPr>
        <w:t>第一章投标邀请</w:t>
      </w:r>
    </w:p>
    <w:p>
      <w:pPr>
        <w:ind w:firstLine="480"/>
      </w:pPr>
      <w:r>
        <w:rPr/>
        <w:t>肇庆德力招标代理有限公司</w:t>
      </w:r>
      <w:r>
        <w:rPr/>
        <w:t>受</w:t>
      </w:r>
      <w:r>
        <w:rPr/>
        <w:t>肇庆市端州区卫生健康局</w:t>
      </w:r>
      <w:r>
        <w:rPr/>
        <w:t>的委托，采用</w:t>
      </w:r>
      <w:r>
        <w:rPr/>
        <w:t>公开招标</w:t>
      </w:r>
      <w:r>
        <w:rPr/>
        <w:t>方式组织采购</w:t>
      </w:r>
      <w:r>
        <w:rPr/>
        <w:t>端州城区公共外环境病媒生物防制服务</w:t>
      </w:r>
      <w:r>
        <w:rPr/>
        <w:t>。欢迎符合资格条件的国内供应商参加投标。</w:t>
      </w:r>
    </w:p>
    <w:p>
      <w:r>
        <w:rPr>
          <w:b/>
          <w:sz w:val="28"/>
        </w:rPr>
        <w:t>一.项目概述</w:t>
      </w:r>
    </w:p>
    <w:p>
      <w:r>
        <w:rPr>
          <w:b/>
          <w:sz w:val="24"/>
        </w:rPr>
        <w:t>1.名称与编号</w:t>
      </w:r>
    </w:p>
    <w:p>
      <w:pPr>
        <w:ind w:firstLine="480"/>
      </w:pPr>
      <w:r>
        <w:rPr/>
        <w:t>项目名称：</w:t>
      </w:r>
      <w:r>
        <w:rPr/>
        <w:t>端州城区公共外环境病媒生物防制服务</w:t>
      </w:r>
    </w:p>
    <w:p>
      <w:pPr>
        <w:ind w:firstLine="480"/>
      </w:pPr>
      <w:r>
        <w:rPr/>
        <w:t>采购计划编号：</w:t>
      </w:r>
      <w:r>
        <w:rPr/>
        <w:t>441202-2023-02699</w:t>
      </w:r>
    </w:p>
    <w:p>
      <w:pPr>
        <w:ind w:firstLine="480"/>
      </w:pPr>
      <w:r>
        <w:rPr/>
        <w:t>采购项目编号：</w:t>
      </w:r>
      <w:r>
        <w:rPr/>
        <w:t>ZQDLZB202300076</w:t>
      </w:r>
    </w:p>
    <w:p>
      <w:pPr>
        <w:ind w:firstLine="480"/>
      </w:pPr>
      <w:r>
        <w:rPr/>
        <w:t>采购方式：</w:t>
      </w:r>
      <w:r>
        <w:rPr/>
        <w:t>公开招标</w:t>
      </w:r>
    </w:p>
    <w:p>
      <w:pPr>
        <w:ind w:firstLine="480"/>
      </w:pPr>
      <w:r>
        <w:rPr/>
        <w:t>预算金额：</w:t>
      </w:r>
      <w:r>
        <w:rPr/>
        <w:t>1,750,000.00</w:t>
      </w:r>
      <w:r>
        <w:rPr/>
        <w:t>元</w:t>
      </w:r>
    </w:p>
    <w:p>
      <w:r>
        <w:rPr>
          <w:b/>
          <w:sz w:val="24"/>
        </w:rPr>
        <w:t>2.项目内容及需求情况（采购项目技术规格、参数及要求）</w:t>
      </w:r>
    </w:p>
    <w:p>
      <w:pPr>
        <w:ind w:firstLine="480"/>
      </w:pPr>
    </w:p>
    <w:p/>
    <w:p>
      <w:r>
        <w:rPr/>
        <w:t>采购包1(城东街道和黄岗街道辖区的服务):</w:t>
      </w:r>
    </w:p>
    <w:p>
      <w:r>
        <w:rPr/>
        <w:t>采购包预算金额：1,050,000.00元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其他城镇公共卫生服务</w:t>
            </w:r>
          </w:p>
        </w:tc>
        <w:tc>
          <w:tcPr>
            <w:tcW w:type="dxa" w:w="2136"/>
          </w:tcPr>
          <w:p>
            <w:r>
              <w:rPr/>
              <w:t>城东街道和黄岗街道辖区的服务</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合同履行期限：合同所约定的全部义务履行完毕之日止。</w:t>
      </w:r>
    </w:p>
    <w:p/>
    <w:p>
      <w:r>
        <w:rPr/>
        <w:t>采购包2(城西街道和睦岗街道辖区的服务):</w:t>
      </w:r>
    </w:p>
    <w:p>
      <w:r>
        <w:rPr/>
        <w:t>采购包预算金额：700,000.00元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其他城镇公共卫生服务</w:t>
            </w:r>
          </w:p>
        </w:tc>
        <w:tc>
          <w:tcPr>
            <w:tcW w:type="dxa" w:w="2136"/>
          </w:tcPr>
          <w:p>
            <w:r>
              <w:rPr/>
              <w:t>城西街道和睦岗街道辖区的服务</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合同履行期限：合同所约定的全部义务履行完毕之日止。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2）有依法缴纳税收和社会保障资金的良好记录：投标文件中提供《资格条件承诺函》，格式详见招标公告附件1；</w:t>
      </w:r>
    </w:p>
    <w:p/>
    <w:p>
      <w:r>
        <w:rPr/>
        <w:t>3）具有良好的商业信誉和健全的财务会计制度：投标文件中提供《资格条件承诺函》；</w:t>
      </w:r>
    </w:p>
    <w:p/>
    <w:p>
      <w:r>
        <w:rPr/>
        <w:t>4）履行合同所必需的设备和专业技术能力：投标文件中提供《资格条件承诺函》；</w:t>
      </w:r>
    </w:p>
    <w:p/>
    <w:p>
      <w:r>
        <w:rPr/>
        <w:t>5）参加采购活动前3年内，在经营活动中没有重大违法记录：(采购包1）投标文件中提供《资格条件承诺函》。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采购包2）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采购包1（城东街道和黄岗街道辖区的服务）：</w:t>
      </w:r>
      <w:r>
        <w:rPr/>
        <w:t>采购包整体专门面向中小企业。投标供应商须是符合本项目采购标的对应行业（其他未列明行业。）的政策划分标准的中小企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jc w:val="left"/>
      </w:pPr>
    </w:p>
    <w:p>
      <w:r>
        <w:rPr/>
        <w:t>采购包2（城西街道和睦岗街道辖区的服务）：</w:t>
      </w:r>
      <w:r>
        <w:rPr/>
        <w:t>采购包整体专门面向中小企业。投标供应商须是符合本项目采购标的对应行业（其他未列明行业。）的政策划分标准的中小企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采购包1（城东街道和黄岗街道辖区的服务）：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 投标（响应）。 为本项目提供整体设计、规范编制或者项目管理、监理、检测等服务的供应商，不得再参与本项目投标（响应）。以提供书面声明为准。</w:t>
      </w:r>
    </w:p>
    <w:p/>
    <w:p>
      <w:r>
        <w:rPr/>
        <w:t>采购包2（城西街道和睦岗街道辖区的服务）：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 为本项目提供整体设计、规范编制或者项目管理、监理、检测等服务的供应商，不得再参与本项目投标（响应）。投标（报价）函相关承诺要求内容。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肇庆德力招标代理有限公司（http://www.zqdlzbdl.com/）</w:t>
      </w:r>
    </w:p>
    <w:p>
      <w:r>
        <w:rPr>
          <w:b/>
          <w:sz w:val="28"/>
        </w:rPr>
        <w:t>六.本项目联系方式：</w:t>
      </w:r>
    </w:p>
    <w:p>
      <w:r>
        <w:rPr>
          <w:b/>
          <w:sz w:val="24"/>
        </w:rPr>
        <w:t>1.采购人信息</w:t>
      </w:r>
    </w:p>
    <w:p>
      <w:pPr>
        <w:ind w:firstLine="480"/>
      </w:pPr>
      <w:r>
        <w:rPr/>
        <w:t>名称：</w:t>
      </w:r>
      <w:r>
        <w:rPr/>
        <w:t>肇庆市端州区卫生健康局</w:t>
      </w:r>
    </w:p>
    <w:p>
      <w:pPr>
        <w:ind w:firstLine="480"/>
      </w:pPr>
      <w:r>
        <w:rPr/>
        <w:t>地址：</w:t>
      </w:r>
      <w:r>
        <w:rPr/>
        <w:t>肇庆市端州区柳园路7号</w:t>
      </w:r>
    </w:p>
    <w:p>
      <w:pPr>
        <w:ind w:firstLine="480"/>
      </w:pPr>
      <w:r>
        <w:rPr/>
        <w:t>联系方式：</w:t>
      </w:r>
      <w:r>
        <w:rPr/>
        <w:t>0758-2322932</w:t>
      </w:r>
    </w:p>
    <w:p>
      <w:r>
        <w:rPr>
          <w:b/>
          <w:sz w:val="24"/>
        </w:rPr>
        <w:t>2.采购代理机构信息</w:t>
      </w:r>
    </w:p>
    <w:p>
      <w:pPr>
        <w:ind w:firstLine="480"/>
      </w:pPr>
      <w:r>
        <w:rPr/>
        <w:t>名称：</w:t>
      </w:r>
      <w:r>
        <w:rPr/>
        <w:t>肇庆德力招标代理有限公司</w:t>
      </w:r>
    </w:p>
    <w:p>
      <w:pPr>
        <w:ind w:firstLine="480"/>
      </w:pPr>
      <w:r>
        <w:rPr/>
        <w:t>地址：</w:t>
      </w:r>
      <w:r>
        <w:rPr/>
        <w:t>广东省肇庆市端州区肇庆市前进路10号第十一层第1107室</w:t>
      </w:r>
    </w:p>
    <w:p>
      <w:pPr>
        <w:ind w:firstLine="480"/>
      </w:pPr>
      <w:r>
        <w:rPr/>
        <w:t>联系方式：</w:t>
      </w:r>
      <w:r>
        <w:rPr/>
        <w:t>0758-2160028</w:t>
      </w:r>
    </w:p>
    <w:p>
      <w:r>
        <w:rPr>
          <w:b/>
          <w:sz w:val="24"/>
        </w:rPr>
        <w:t>3.项目联系方式</w:t>
      </w:r>
    </w:p>
    <w:p>
      <w:pPr>
        <w:ind w:firstLine="480"/>
      </w:pPr>
      <w:r>
        <w:rPr/>
        <w:t>项目联系人：</w:t>
      </w:r>
      <w:r>
        <w:rPr/>
        <w:t>曲女士</w:t>
      </w:r>
    </w:p>
    <w:p>
      <w:pPr>
        <w:ind w:firstLine="480"/>
      </w:pPr>
      <w:r>
        <w:rPr/>
        <w:t>电话：</w:t>
      </w:r>
      <w:r>
        <w:rPr/>
        <w:t>0758-2160028</w:t>
      </w:r>
    </w:p>
    <w:p>
      <w:r>
        <w:rPr>
          <w:b/>
          <w:sz w:val="24"/>
        </w:rPr>
        <w:t>4.技术支持联系方式</w:t>
      </w:r>
    </w:p>
    <w:p>
      <w:pPr>
        <w:ind w:firstLine="480"/>
      </w:pPr>
      <w:r>
        <w:rPr/>
        <w:t>云平台联系方式：020-88696588</w:t>
      </w:r>
    </w:p>
    <w:p>
      <w:r>
        <w:rPr/>
        <w:t>采购代理机构：</w:t>
      </w:r>
      <w:r>
        <w:rPr/>
        <w:t>肇庆德力招标代理有限公司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560"/>
      </w:pPr>
      <w:r>
        <w:rPr>
          <w:sz w:val="21"/>
        </w:rPr>
        <w:t>1.本次采购项目为端州城区公共外环境病媒生物防制（灭鼠、灭蚊、灭蝇、灭蟑）服务采购项目，用户单位为肇庆市端州区卫生健康局。本项目共分2个合同包组，以天宁路为界，城东街道和黄岗街道辖区的服务为合同包一，城西街道和睦岗街道辖区的服务为合同包二。各投标人需提供完整的技术服务资料。</w:t>
      </w:r>
    </w:p>
    <w:p>
      <w:pPr>
        <w:ind w:firstLine="560"/>
      </w:pPr>
      <w:r>
        <w:rPr>
          <w:sz w:val="21"/>
        </w:rPr>
        <w:t>2.项目最高限价：本项目合同包一最高限价为人民币壹佰零伍万元（￥1,050,000.00元），本项目合同包二最高限价为人民币柒拾万元（￥700,000.00元），超出最高限价的投标将被拒绝。</w:t>
      </w:r>
    </w:p>
    <w:p>
      <w:pPr>
        <w:ind w:firstLine="560"/>
      </w:pPr>
      <w:r>
        <w:rPr>
          <w:sz w:val="21"/>
        </w:rPr>
        <w:t>3.本项目兼投不兼中，每个投标人最多只能被确定为1个合同包（采购包）的第一中标候选人。本项目按合同包（采购包）的顺序进行评审，依次按照评标总得分由高到低的顺序，每包组推荐两名中标候选人。已获得合同包1（采购包1）的第一中标候选人资格的，如参加合同包2（采购包2）的投标，将不能通过合同包二的符合性审查。</w:t>
      </w:r>
    </w:p>
    <w:p>
      <w:pPr>
        <w:ind w:firstLine="560"/>
      </w:pPr>
      <w:r>
        <w:rPr>
          <w:sz w:val="21"/>
        </w:rPr>
        <w:t>4.本项目为服务类项目，其中小企业划分标准所属行业为：其他未列明行业。</w:t>
      </w:r>
    </w:p>
    <w:p>
      <w:pPr>
        <w:ind w:firstLine="560"/>
      </w:pPr>
      <w:r>
        <w:rPr>
          <w:sz w:val="21"/>
        </w:rPr>
        <w:t>5.服务时间：1年（具体时间以合同签订时间为准）。</w:t>
      </w:r>
    </w:p>
    <w:p>
      <w:pPr>
        <w:ind w:firstLine="560"/>
      </w:pPr>
      <w:r>
        <w:rPr>
          <w:sz w:val="21"/>
        </w:rPr>
        <w:t>6.项目理解及熟悉程度要求</w:t>
      </w:r>
    </w:p>
    <w:p>
      <w:pPr>
        <w:ind w:firstLine="560"/>
      </w:pPr>
      <w:r>
        <w:rPr>
          <w:sz w:val="21"/>
        </w:rPr>
        <w:t>投标人应对本项目需要提供的服务有一定的理解和熟悉，至少包括对端州区城区卫生害虫种类、栖息部位、密度状况及孳生环境的了解等内容。</w:t>
      </w:r>
    </w:p>
    <w:p>
      <w:pPr>
        <w:ind w:firstLine="560"/>
      </w:pPr>
      <w:r>
        <w:rPr>
          <w:sz w:val="21"/>
        </w:rPr>
        <w:t>7.总体服务实施要求</w:t>
      </w:r>
    </w:p>
    <w:p>
      <w:pPr>
        <w:ind w:firstLine="560"/>
      </w:pPr>
      <w:r>
        <w:rPr>
          <w:sz w:val="21"/>
        </w:rPr>
        <w:t>投标人应有完整的总体服务实施方案。针对本项目特点和实际需求，投标人应提供完整的总体服务实施方案，至少包括项目组织机构、综合防制措施、操作规程、病媒生物（鼠、蚊子、苍蝇、蟑螂）防制措施及防制要点等内容。</w:t>
      </w:r>
    </w:p>
    <w:p>
      <w:pPr>
        <w:ind w:firstLine="560"/>
      </w:pPr>
      <w:r>
        <w:rPr>
          <w:sz w:val="21"/>
        </w:rPr>
        <w:t>8.项目管理制度要求</w:t>
      </w:r>
    </w:p>
    <w:p>
      <w:pPr>
        <w:ind w:firstLine="560"/>
      </w:pPr>
      <w:r>
        <w:rPr>
          <w:sz w:val="21"/>
        </w:rPr>
        <w:t>投标人应有完整的项目管理制度方案。针对本项目特点和实际需求，投标人应提供完整的项目管理制度方案，至少包括药品仓库管理、器械使用及管理、安全用药制度、施工现场管理等内容。</w:t>
      </w:r>
    </w:p>
    <w:p>
      <w:pPr>
        <w:ind w:firstLine="560"/>
      </w:pPr>
      <w:r>
        <w:rPr>
          <w:sz w:val="21"/>
        </w:rPr>
        <w:t>9.安全防护措施要求</w:t>
      </w:r>
    </w:p>
    <w:p>
      <w:pPr>
        <w:ind w:firstLine="560"/>
      </w:pPr>
      <w:r>
        <w:rPr>
          <w:sz w:val="21"/>
        </w:rPr>
        <w:t>投标人应有完整的安全防护措施。针对本项目特点和实际需求，投标人应提供完整的安全防护措施，至少包括个人防护措施、安全操作制度、防止环境污染措施、安全注意事项等内容。</w:t>
      </w:r>
    </w:p>
    <w:p>
      <w:pPr>
        <w:ind w:firstLine="560"/>
      </w:pPr>
      <w:r>
        <w:rPr>
          <w:sz w:val="21"/>
        </w:rPr>
        <w:t>10.突发公共卫生事件应急预案要求</w:t>
      </w:r>
    </w:p>
    <w:p>
      <w:pPr>
        <w:ind w:firstLine="560"/>
      </w:pPr>
      <w:r>
        <w:rPr>
          <w:sz w:val="21"/>
        </w:rPr>
        <w:t>投标人应有完整的突发公共卫生事件应急预案。针对本项目特点和实际需求，投标人应提供完整的突发公共卫生事件应急预案，至少包括鼠、蚊虫、蟑螂、苍蝇传播的病媒传染病的应急处置措施等内容。</w:t>
      </w:r>
    </w:p>
    <w:p>
      <w:pPr>
        <w:ind w:firstLine="560"/>
      </w:pPr>
      <w:r>
        <w:rPr>
          <w:sz w:val="21"/>
        </w:rPr>
        <w:t>11.质量保证措施要求</w:t>
      </w:r>
    </w:p>
    <w:p>
      <w:pPr>
        <w:ind w:firstLine="560"/>
      </w:pPr>
      <w:r>
        <w:rPr>
          <w:sz w:val="21"/>
        </w:rPr>
        <w:t>投标人应有完整的质量保证措施。针对本项目特点和实际需求，投标人应提供完整的质量保证措施，至少包括质量保证措施、药品质量保证、监测评估、整改处理等内容。</w:t>
      </w:r>
    </w:p>
    <w:p>
      <w:pPr>
        <w:ind w:firstLine="560"/>
      </w:pPr>
      <w:r>
        <w:rPr>
          <w:sz w:val="21"/>
        </w:rPr>
        <w:t>12.后续服务要求</w:t>
      </w:r>
    </w:p>
    <w:p>
      <w:pPr>
        <w:ind w:firstLine="560"/>
      </w:pPr>
      <w:r>
        <w:rPr>
          <w:sz w:val="21"/>
        </w:rPr>
        <w:t>投标人应有完整的后续服务方案。针对本项目特点和实际需求，投标人应提供完整的后续服务方案，至少包括响应时间、到场时间、问题解决时间、服务点设置（服务网点、人员及电话）、增值服务承诺等内容。</w:t>
      </w:r>
    </w:p>
    <w:p/>
    <w:p>
      <w:pPr>
        <w:ind w:firstLine="480"/>
      </w:pPr>
    </w:p>
    <w:p/>
    <w:p>
      <w:r>
        <w:rPr/>
        <w:t>采购包1（城东街道和黄岗街道辖区的服务）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1年（具体时间以合同签订时间为准）。</w:t>
            </w:r>
          </w:p>
        </w:tc>
      </w:tr>
      <w:tr>
        <w:tc>
          <w:tcPr>
            <w:tcW w:type="dxa" w:w="4153"/>
          </w:tcPr>
          <w:p>
            <w:r>
              <w:rPr/>
              <w:t>标的提供的地点</w:t>
            </w:r>
          </w:p>
        </w:tc>
        <w:tc>
          <w:tcPr>
            <w:tcW w:type="dxa" w:w="4153"/>
          </w:tcPr>
          <w:p/>
          <w:p>
            <w:r>
              <w:rPr/>
              <w:t>采购人指定地点，详见服务范围</w:t>
            </w:r>
          </w:p>
        </w:tc>
      </w:tr>
      <w:tr>
        <w:tc>
          <w:tcPr>
            <w:tcW w:type="dxa" w:w="4153"/>
          </w:tcPr>
          <w:p>
            <w:r>
              <w:rPr/>
              <w:t>付款方式</w:t>
            </w:r>
          </w:p>
        </w:tc>
        <w:tc>
          <w:tcPr>
            <w:tcW w:type="dxa" w:w="4153"/>
          </w:tcPr>
          <w:p/>
          <w:p/>
          <w:p>
            <w:r>
              <w:rPr/>
              <w:t>1期：支付比例100%,本项目款项由区财政局按相关规定以人民币转账方式集中支付: （1）常规服务在每次服务结束，并经服务质量考评合格后，两个月内，支付本次服务费，支付服务费=应付服务费-扣减款。（2）非常规服务在每次服务结束，并经中标人把服务相关资料报采购人核实后，两个月内支付本次费用。（3）每次结算前，中标人需先向采购人开具正式发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1期：采购人将对中标人的服务及相关质量进行定期考评和日常管理考评，考评结果与服务挂钩。详见《服务质量考评办法》</w:t>
            </w:r>
          </w:p>
        </w:tc>
      </w:tr>
      <w:tr>
        <w:tc>
          <w:tcPr>
            <w:tcW w:type="dxa" w:w="4153"/>
          </w:tcPr>
          <w:p>
            <w:r>
              <w:rPr/>
              <w:t>履约保证金</w:t>
            </w:r>
          </w:p>
        </w:tc>
        <w:tc>
          <w:tcPr>
            <w:tcW w:type="dxa" w:w="4153"/>
          </w:tcPr>
          <w:p/>
          <w:p/>
          <w:p/>
          <w:p/>
          <w:p>
            <w:r>
              <w:rPr/>
              <w:t>收取比例：5%,说明：履约保证金为合同金额的5%，中标人应在签订合同之日起5日内向采购人支付履约保证金。履约保证金应当以支票、汇票、本票或者金融机构、担保机构出具的保函等非现金形式提交；履约保证金在中标人履行完采购合同主要义务后，采购人按照合同约定原额（无息）退还，履约保证金以履约担保函形式提交的，担保责任终止。</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其他</w:t>
            </w:r>
          </w:p>
        </w:tc>
        <w:tc>
          <w:tcPr>
            <w:tcW w:type="dxa" w:w="2076"/>
          </w:tcPr>
          <w:p>
            <w:pPr>
              <w:jc w:val="left"/>
            </w:pPr>
            <w:r>
              <w:rPr/>
              <w:t>采购项目其他商务要求: 1.服务质量考评办法 本项目的服务质量管理采用综合分100分制，分定期考评和日常管理两种考评办法： 1.1.定期考评由采购方委托第三方在中标人每次全面投药灭害常规服务后的10天内对其服务及相关质量进行考评，考评内容包括监测资料（本底调查资料、服务方案、施工记录）、现场操作规程和服务效果等三项，其中资料20分、现场操作规程20分、防制服务效果占60分，共100分，该项占综合分的80%； 1.2.日常管理在每次常规服务后的10天内由区卫生健康局、区爱卫办、街道办、社区居委会根据服务期间的监督检查和市疾控中心每月对城区“四害”密度监测数据相结合对其服务(包括但不限于非常规服务)及相关质量进行考评，占综合分的20%。 以上两项合计评定分值以90分为合格分，每少1%扣减当月服务款的1%；连续2次不合格且经整改后仍不合格的（不满90分），采购人有权无条件终止和解除服务合同。 1.3.每次全面投药灭害服务后的质量效果监测需委托第三方机构评价考核，所需的费用由中标人承担。 1.4.考核内容详见合同书中《考核评分表》。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其他城镇公共卫生服务</w:t>
            </w:r>
          </w:p>
        </w:tc>
        <w:tc>
          <w:tcPr>
            <w:tcW w:type="dxa" w:w="933"/>
          </w:tcPr>
          <w:p>
            <w:pPr>
              <w:jc w:val="left"/>
            </w:pPr>
            <w:r>
              <w:rPr/>
              <w:t>城东街道和黄岗街道辖区的服务</w:t>
            </w:r>
          </w:p>
        </w:tc>
        <w:tc>
          <w:tcPr>
            <w:tcW w:type="dxa" w:w="933"/>
          </w:tcPr>
          <w:p>
            <w:pPr>
              <w:jc w:val="left"/>
            </w:pPr>
            <w:r>
              <w:rPr/>
              <w:t>项</w:t>
            </w:r>
          </w:p>
        </w:tc>
        <w:tc>
          <w:tcPr>
            <w:tcW w:type="dxa" w:w="933"/>
          </w:tcPr>
          <w:p>
            <w:pPr>
              <w:jc w:val="right"/>
            </w:pPr>
            <w:r>
              <w:rPr/>
              <w:t>1.00</w:t>
            </w:r>
          </w:p>
        </w:tc>
        <w:tc>
          <w:tcPr>
            <w:tcW w:type="dxa" w:w="933"/>
          </w:tcPr>
          <w:p>
            <w:pPr>
              <w:jc w:val="right"/>
            </w:pPr>
            <w:r>
              <w:rPr/>
              <w:t>1,050,000.00</w:t>
            </w:r>
          </w:p>
        </w:tc>
        <w:tc>
          <w:tcPr>
            <w:tcW w:type="dxa" w:w="933"/>
          </w:tcPr>
          <w:p>
            <w:pPr>
              <w:jc w:val="right"/>
            </w:pPr>
            <w:r>
              <w:rPr/>
              <w:t>1,050,000.00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城东街道和黄岗街道辖区的服务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8"/>
              </w:rPr>
              <w:t>（一）服务要求</w:t>
            </w:r>
          </w:p>
        </w:tc>
      </w:tr>
      <w:tr>
        <w:tc>
          <w:tcPr>
            <w:tcW w:type="dxa" w:w="2076"/>
          </w:tcPr>
          <w:p/>
        </w:tc>
        <w:tc>
          <w:tcPr>
            <w:tcW w:type="dxa" w:w="415"/>
          </w:tcPr>
          <w:p>
            <w:r>
              <w:rPr/>
              <w:t>2</w:t>
            </w:r>
          </w:p>
        </w:tc>
        <w:tc>
          <w:tcPr>
            <w:tcW w:type="dxa" w:w="5814"/>
          </w:tcPr>
          <w:p>
            <w:r>
              <w:rPr>
                <w:sz w:val="28"/>
              </w:rPr>
              <w:t>1.常规服务：</w:t>
            </w:r>
            <w:r>
              <w:rPr>
                <w:color w:val="222222"/>
                <w:sz w:val="27"/>
              </w:rPr>
              <w:t>按照市、区爱卫会的统一部署，全年开展</w:t>
            </w:r>
            <w:r>
              <w:rPr>
                <w:color w:val="222222"/>
                <w:sz w:val="27"/>
              </w:rPr>
              <w:t>4次全面投药杀灭鼠、蝇、蚊、蟑螂等病媒生物防制服务工作（每次病媒生物防制服务包括投药灭鼠、下水道烟雾灭蚊蟑、绿化带喷药灭蚊、下水道入水口吊木塞或珍珠岩缓释剂灭蚊幼、垃圾中转站喷药灭蝇、大中型水体投药灭蚊幼），2次灭蚊专项行动（每次灭蚊专项行动包括下水道烟雾灭蚊蟑、垃圾中转站喷药灭蝇、绿化带喷药灭蚊、大中型水体投药灭蚊幼。）具体工作时间根据</w:t>
            </w:r>
            <w:r>
              <w:rPr>
                <w:sz w:val="27"/>
              </w:rPr>
              <w:t>区爱卫办、区卫健局下</w:t>
            </w:r>
            <w:r>
              <w:rPr>
                <w:color w:val="222222"/>
                <w:sz w:val="27"/>
              </w:rPr>
              <w:t>发的病媒生物防制方案执行。服务范围内局部区域出现登革热病例或疫情，中标人须带齐人员、器械和药物按照采购人要求开展灭蚊专项行动。</w:t>
            </w:r>
          </w:p>
        </w:tc>
      </w:tr>
      <w:tr>
        <w:tc>
          <w:tcPr>
            <w:tcW w:type="dxa" w:w="2076"/>
          </w:tcPr>
          <w:p/>
        </w:tc>
        <w:tc>
          <w:tcPr>
            <w:tcW w:type="dxa" w:w="415"/>
          </w:tcPr>
          <w:p>
            <w:r>
              <w:rPr/>
              <w:t>3</w:t>
            </w:r>
          </w:p>
        </w:tc>
        <w:tc>
          <w:tcPr>
            <w:tcW w:type="dxa" w:w="5814"/>
          </w:tcPr>
          <w:p>
            <w:r>
              <w:rPr>
                <w:sz w:val="28"/>
              </w:rPr>
              <w:t>2.非常规服务：遇到突发事件如登革热病等传播，另行开展登革热防控灭蚊专项行动（成蚊灭杀和孳生地处理），药物及服务费另安排预算。</w:t>
            </w:r>
          </w:p>
        </w:tc>
      </w:tr>
      <w:tr>
        <w:tc>
          <w:tcPr>
            <w:tcW w:type="dxa" w:w="2076"/>
          </w:tcPr>
          <w:p/>
        </w:tc>
        <w:tc>
          <w:tcPr>
            <w:tcW w:type="dxa" w:w="415"/>
          </w:tcPr>
          <w:p>
            <w:r>
              <w:rPr/>
              <w:t>4</w:t>
            </w:r>
          </w:p>
        </w:tc>
        <w:tc>
          <w:tcPr>
            <w:tcW w:type="dxa" w:w="5814"/>
          </w:tcPr>
          <w:p>
            <w:r>
              <w:rPr>
                <w:sz w:val="28"/>
              </w:rPr>
              <w:t>3.合同期内负责安装2500只鼠屋，毒鼠屋的规格必须统一。毒鼠屋由专人负责管理，毒鼠屋需有编号、安装位置登记表、鼠屋分布平面图，灭鼠屋须张贴安全警示标志。每次投药需有毒鼠屋投药记录表。</w:t>
            </w:r>
          </w:p>
        </w:tc>
      </w:tr>
      <w:tr>
        <w:tc>
          <w:tcPr>
            <w:tcW w:type="dxa" w:w="2076"/>
          </w:tcPr>
          <w:p/>
        </w:tc>
        <w:tc>
          <w:tcPr>
            <w:tcW w:type="dxa" w:w="415"/>
          </w:tcPr>
          <w:p>
            <w:r>
              <w:rPr/>
              <w:t>5</w:t>
            </w:r>
          </w:p>
        </w:tc>
        <w:tc>
          <w:tcPr>
            <w:tcW w:type="dxa" w:w="5814"/>
          </w:tcPr>
          <w:p>
            <w:r>
              <w:rPr>
                <w:sz w:val="28"/>
              </w:rPr>
              <w:t>4.服务范围：端州城区主次干道、内街巷道范围内公共外环境，各街道办辖区内无明确物业小区老旧居民区、城中村、主次干道及内街巷道下水道、公园绿地、西江堤岸内、垃圾中转站、绿化带、花基、闲置地和各类型病媒生物孳生繁殖地，具体如下：</w:t>
            </w:r>
          </w:p>
        </w:tc>
      </w:tr>
      <w:tr>
        <w:tc>
          <w:tcPr>
            <w:tcW w:type="dxa" w:w="2076"/>
          </w:tcPr>
          <w:p/>
        </w:tc>
        <w:tc>
          <w:tcPr>
            <w:tcW w:type="dxa" w:w="415"/>
          </w:tcPr>
          <w:p>
            <w:r>
              <w:rPr/>
              <w:t>6</w:t>
            </w:r>
          </w:p>
        </w:tc>
        <w:tc>
          <w:tcPr>
            <w:tcW w:type="dxa" w:w="5814"/>
          </w:tcPr>
          <w:p>
            <w:r>
              <w:rPr>
                <w:sz w:val="28"/>
              </w:rPr>
              <w:t>4.1 城东街道办服务范围：厚岗社区、工农社区、岩前社区、景山岗社区、明珠社区、柳园社区、塔脚社区、跃龙社区、杏花社区、前进社区、文明社区、阅江社区、雅图社区、信安社区、古塔社区、星湖社区、景德社区、和平社区等十八个社区公共外环境及居民区（单位、物业管理小区除外），包括辖区范围的主次干道、背街小巷的下水道、公园绿地（城东公园）、垃圾中转站、绿化带、花基、闲置地和各类型病媒生物孳生繁殖地。</w:t>
            </w:r>
          </w:p>
        </w:tc>
      </w:tr>
      <w:tr>
        <w:tc>
          <w:tcPr>
            <w:tcW w:type="dxa" w:w="2076"/>
          </w:tcPr>
          <w:p/>
        </w:tc>
        <w:tc>
          <w:tcPr>
            <w:tcW w:type="dxa" w:w="415"/>
          </w:tcPr>
          <w:p>
            <w:r>
              <w:rPr/>
              <w:t>7</w:t>
            </w:r>
          </w:p>
        </w:tc>
        <w:tc>
          <w:tcPr>
            <w:tcW w:type="dxa" w:w="5814"/>
          </w:tcPr>
          <w:p>
            <w:r>
              <w:rPr>
                <w:sz w:val="28"/>
              </w:rPr>
              <w:t>4.2 黄岗街道办服务范围：双东南社区、双东北社区、河旁社区、嘉湖社区、新元社区、沙湖社区、下黄冈一社区、下黄冈二社区、石牌社区（石牌村、新村、仕贤村）、东岗社区（东岗一至八村、前村、大塘面村）、蓝塘社区、大冲社区、北岭社区等十三个社区公共外环境及居民区（单位、物业管理小区除外），包括辖区范围的主次干道、背街小巷的下水道、公园绿地（东湖公园）、垃圾中转站、绿化带、花基、闲置地和各类型病媒生物孳生繁殖地。</w:t>
            </w:r>
          </w:p>
        </w:tc>
      </w:tr>
      <w:tr>
        <w:tc>
          <w:tcPr>
            <w:tcW w:type="dxa" w:w="2076"/>
          </w:tcPr>
          <w:p/>
        </w:tc>
        <w:tc>
          <w:tcPr>
            <w:tcW w:type="dxa" w:w="415"/>
          </w:tcPr>
          <w:p>
            <w:r>
              <w:rPr/>
              <w:t>8</w:t>
            </w:r>
          </w:p>
        </w:tc>
        <w:tc>
          <w:tcPr>
            <w:tcW w:type="dxa" w:w="5814"/>
          </w:tcPr>
          <w:p>
            <w:r>
              <w:rPr>
                <w:sz w:val="28"/>
              </w:rPr>
              <w:t>5.服务范围内的公共外环境病媒生物的质量控制执行如下标准：</w:t>
            </w:r>
          </w:p>
        </w:tc>
      </w:tr>
      <w:tr>
        <w:tc>
          <w:tcPr>
            <w:tcW w:type="dxa" w:w="2076"/>
          </w:tcPr>
          <w:p/>
        </w:tc>
        <w:tc>
          <w:tcPr>
            <w:tcW w:type="dxa" w:w="415"/>
          </w:tcPr>
          <w:p>
            <w:r>
              <w:rPr/>
              <w:t>9</w:t>
            </w:r>
          </w:p>
        </w:tc>
        <w:tc>
          <w:tcPr>
            <w:tcW w:type="dxa" w:w="5814"/>
          </w:tcPr>
          <w:p>
            <w:r>
              <w:rPr>
                <w:sz w:val="28"/>
              </w:rPr>
              <w:t>5.1、密度水平控制标准：中华人民共和国卫生部、中国国家标准化管理委员会《病媒生物密度控制水平—鼠类、蚊虫、蝇类、蜚蠊》的4个国家标准（GB／T27770、27771、27772、27773—2011）。鼠类、蚊虫、蝇类、蜚蠊达到C级或以上。</w:t>
            </w:r>
          </w:p>
        </w:tc>
      </w:tr>
      <w:tr>
        <w:tc>
          <w:tcPr>
            <w:tcW w:type="dxa" w:w="2076"/>
          </w:tcPr>
          <w:p/>
        </w:tc>
        <w:tc>
          <w:tcPr>
            <w:tcW w:type="dxa" w:w="415"/>
          </w:tcPr>
          <w:p>
            <w:r>
              <w:rPr/>
              <w:t>10</w:t>
            </w:r>
          </w:p>
        </w:tc>
        <w:tc>
          <w:tcPr>
            <w:tcW w:type="dxa" w:w="5814"/>
          </w:tcPr>
          <w:p>
            <w:r>
              <w:rPr>
                <w:sz w:val="28"/>
              </w:rPr>
              <w:t>5.2、</w:t>
            </w:r>
            <w:r>
              <w:rPr>
                <w:color w:val="222222"/>
                <w:sz w:val="27"/>
              </w:rPr>
              <w:t>密度监测标准：中华人民共和国国家质量监督检验检疫总局、中国国家标准化管理委员会《病媒生物密度监测方法</w:t>
            </w:r>
            <w:r>
              <w:rPr>
                <w:color w:val="222222"/>
                <w:sz w:val="27"/>
              </w:rPr>
              <w:t>—蜚蠊、蝇类、蚊虫、鼠类》的4个国家标准（GB／T23795-2009、GB／T23796-2009、GB／T23797-2020、GB／T23798—2009）。</w:t>
            </w:r>
          </w:p>
        </w:tc>
      </w:tr>
      <w:tr>
        <w:tc>
          <w:tcPr>
            <w:tcW w:type="dxa" w:w="2076"/>
          </w:tcPr>
          <w:p/>
        </w:tc>
        <w:tc>
          <w:tcPr>
            <w:tcW w:type="dxa" w:w="415"/>
          </w:tcPr>
          <w:p>
            <w:r>
              <w:rPr/>
              <w:t>11</w:t>
            </w:r>
          </w:p>
        </w:tc>
        <w:tc>
          <w:tcPr>
            <w:tcW w:type="dxa" w:w="5814"/>
          </w:tcPr>
          <w:p>
            <w:r>
              <w:rPr>
                <w:sz w:val="28"/>
              </w:rPr>
              <w:t>（二）技术要求</w:t>
            </w:r>
          </w:p>
        </w:tc>
      </w:tr>
      <w:tr>
        <w:tc>
          <w:tcPr>
            <w:tcW w:type="dxa" w:w="2076"/>
          </w:tcPr>
          <w:p>
            <w:r>
              <w:rPr/>
              <w:t>★</w:t>
            </w:r>
          </w:p>
        </w:tc>
        <w:tc>
          <w:tcPr>
            <w:tcW w:type="dxa" w:w="415"/>
          </w:tcPr>
          <w:p>
            <w:r>
              <w:rPr/>
              <w:t>12</w:t>
            </w:r>
          </w:p>
        </w:tc>
        <w:tc>
          <w:tcPr>
            <w:tcW w:type="dxa" w:w="5814"/>
          </w:tcPr>
          <w:p>
            <w:r>
              <w:rPr>
                <w:sz w:val="28"/>
              </w:rPr>
              <w:t>1.★投标人必须具备病媒生物防制的技术力量，有参加病媒生物防治服务的工人不少于30人（列出名册，含姓名、身份证号码、联系电话等），其中持有经省、市爱卫、人社、协会三类部门出具的病媒生物防制职业资格证书且有购买社保的工人不少于10人（须提供人员资格证明及在投标单位的社保证明复印件），并承诺每次开展服务期间出动不少于30人。</w:t>
            </w:r>
          </w:p>
        </w:tc>
      </w:tr>
      <w:tr>
        <w:tc>
          <w:tcPr>
            <w:tcW w:type="dxa" w:w="2076"/>
          </w:tcPr>
          <w:p>
            <w:r>
              <w:rPr/>
              <w:t>★</w:t>
            </w:r>
          </w:p>
        </w:tc>
        <w:tc>
          <w:tcPr>
            <w:tcW w:type="dxa" w:w="415"/>
          </w:tcPr>
          <w:p>
            <w:r>
              <w:rPr/>
              <w:t>13</w:t>
            </w:r>
          </w:p>
        </w:tc>
        <w:tc>
          <w:tcPr>
            <w:tcW w:type="dxa" w:w="5814"/>
          </w:tcPr>
          <w:p>
            <w:r>
              <w:rPr>
                <w:sz w:val="28"/>
              </w:rPr>
              <w:t>2.</w:t>
            </w:r>
            <w:r>
              <w:rPr>
                <w:sz w:val="28"/>
              </w:rPr>
              <w:t>★投标人必须有固定的药物仓库和器械仓库（须提供租赁合同或房产证明复印件）：药物仓库面积不少于40㎡，器械仓库面积不少于40㎡。</w:t>
            </w:r>
          </w:p>
        </w:tc>
      </w:tr>
      <w:tr>
        <w:tc>
          <w:tcPr>
            <w:tcW w:type="dxa" w:w="2076"/>
          </w:tcPr>
          <w:p>
            <w:r>
              <w:rPr/>
              <w:t>★</w:t>
            </w:r>
          </w:p>
        </w:tc>
        <w:tc>
          <w:tcPr>
            <w:tcW w:type="dxa" w:w="415"/>
          </w:tcPr>
          <w:p>
            <w:r>
              <w:rPr/>
              <w:t>14</w:t>
            </w:r>
          </w:p>
        </w:tc>
        <w:tc>
          <w:tcPr>
            <w:tcW w:type="dxa" w:w="5814"/>
          </w:tcPr>
          <w:p>
            <w:r>
              <w:rPr>
                <w:sz w:val="28"/>
              </w:rPr>
              <w:t>3.★投标人必须具有一定数量的器械，其中烟雾机不少于12台、机动或电动超低容量喷雾机、机动或电动常量喷雾机均不少于8台（投标人须提供购买设备发票复印件），并承诺每次开展服务期间出动不少于上述数量的器械。</w:t>
            </w:r>
          </w:p>
        </w:tc>
      </w:tr>
      <w:tr>
        <w:tc>
          <w:tcPr>
            <w:tcW w:type="dxa" w:w="2076"/>
          </w:tcPr>
          <w:p>
            <w:r>
              <w:rPr/>
              <w:t>★</w:t>
            </w:r>
          </w:p>
        </w:tc>
        <w:tc>
          <w:tcPr>
            <w:tcW w:type="dxa" w:w="415"/>
          </w:tcPr>
          <w:p>
            <w:r>
              <w:rPr/>
              <w:t>15</w:t>
            </w:r>
          </w:p>
        </w:tc>
        <w:tc>
          <w:tcPr>
            <w:tcW w:type="dxa" w:w="5814"/>
          </w:tcPr>
          <w:p>
            <w:r>
              <w:rPr>
                <w:sz w:val="28"/>
              </w:rPr>
              <w:t>4.★投标人要做到科学用药，所使用药物必须提供药物“三证”（农药登记证、农药生产批准证书、产品企业标准），并在每次开展服务前将准备使用药物的“三证”报给区爱卫办、区卫健局备案，不得使用国家禁用或伪劣的灭鼠、杀虫剂。（提供书面承诺）</w:t>
            </w:r>
          </w:p>
        </w:tc>
      </w:tr>
      <w:tr>
        <w:tc>
          <w:tcPr>
            <w:tcW w:type="dxa" w:w="2076"/>
          </w:tcPr>
          <w:p/>
        </w:tc>
        <w:tc>
          <w:tcPr>
            <w:tcW w:type="dxa" w:w="415"/>
          </w:tcPr>
          <w:p>
            <w:r>
              <w:rPr/>
              <w:t>16</w:t>
            </w:r>
          </w:p>
        </w:tc>
        <w:tc>
          <w:tcPr>
            <w:tcW w:type="dxa" w:w="5814"/>
          </w:tcPr>
          <w:p>
            <w:r>
              <w:rPr>
                <w:sz w:val="28"/>
              </w:rPr>
              <w:t>5.采购人有权在不超出约定的年度服务总次数的前提下，调整每次服务的时间，具体以采购人文件通知为准。</w:t>
            </w:r>
          </w:p>
        </w:tc>
      </w:tr>
      <w:tr>
        <w:tc>
          <w:tcPr>
            <w:tcW w:type="dxa" w:w="2076"/>
          </w:tcPr>
          <w:p>
            <w:r>
              <w:rPr/>
              <w:t>★</w:t>
            </w:r>
          </w:p>
        </w:tc>
        <w:tc>
          <w:tcPr>
            <w:tcW w:type="dxa" w:w="415"/>
          </w:tcPr>
          <w:p>
            <w:r>
              <w:rPr/>
              <w:t>17</w:t>
            </w:r>
          </w:p>
        </w:tc>
        <w:tc>
          <w:tcPr>
            <w:tcW w:type="dxa" w:w="5814"/>
          </w:tcPr>
          <w:p>
            <w:r>
              <w:rPr>
                <w:sz w:val="28"/>
              </w:rPr>
              <w:t>6.★中标人必须接受采购人及相关技术部门的监督、检查，并提供必需的材料，应具有参与开展创建卫生城市、卫生镇经验。（须提供书面承诺）</w:t>
            </w:r>
          </w:p>
        </w:tc>
      </w:tr>
      <w:tr>
        <w:tc>
          <w:tcPr>
            <w:tcW w:type="dxa" w:w="2076"/>
          </w:tcPr>
          <w:p>
            <w:r>
              <w:rPr/>
              <w:t>★</w:t>
            </w:r>
          </w:p>
        </w:tc>
        <w:tc>
          <w:tcPr>
            <w:tcW w:type="dxa" w:w="415"/>
          </w:tcPr>
          <w:p>
            <w:r>
              <w:rPr/>
              <w:t>18</w:t>
            </w:r>
          </w:p>
        </w:tc>
        <w:tc>
          <w:tcPr>
            <w:tcW w:type="dxa" w:w="5814"/>
          </w:tcPr>
          <w:p>
            <w:r>
              <w:rPr>
                <w:sz w:val="28"/>
              </w:rPr>
              <w:t>7.★合同期间，如采购人有上级检查或出现疫情等情况，中标人必须服从安排，在接到通知后及时按要求带全装备到现场开展相关工作。（须提供书面承诺）</w:t>
            </w:r>
          </w:p>
        </w:tc>
      </w:tr>
      <w:tr>
        <w:tc>
          <w:tcPr>
            <w:tcW w:type="dxa" w:w="2076"/>
          </w:tcPr>
          <w:p/>
        </w:tc>
        <w:tc>
          <w:tcPr>
            <w:tcW w:type="dxa" w:w="415"/>
          </w:tcPr>
          <w:p>
            <w:r>
              <w:rPr/>
              <w:t>19</w:t>
            </w:r>
          </w:p>
        </w:tc>
        <w:tc>
          <w:tcPr>
            <w:tcW w:type="dxa" w:w="5814"/>
          </w:tcPr>
          <w:p>
            <w:r>
              <w:rPr>
                <w:sz w:val="28"/>
              </w:rPr>
              <w:t>8.</w:t>
            </w:r>
            <w:r>
              <w:rPr>
                <w:color w:val="222222"/>
                <w:sz w:val="27"/>
              </w:rPr>
              <w:t>每次服务前，中标人需对服务范围内病媒生物防制工作开展本底调查，并结合本底调查情况制定病媒生物防制服务方案报区爱卫办、区卫健局，并列出每次每项工作安排表。每次服务完成后</w:t>
            </w:r>
            <w:r>
              <w:rPr>
                <w:color w:val="222222"/>
                <w:sz w:val="27"/>
              </w:rPr>
              <w:t>10个工作日内，中标人须向采购人提交药物使用表、药物进出记录表、工作安排表及施工记录表等相关资料。</w:t>
            </w:r>
          </w:p>
        </w:tc>
      </w:tr>
      <w:tr>
        <w:tc>
          <w:tcPr>
            <w:tcW w:type="dxa" w:w="2076"/>
          </w:tcPr>
          <w:p/>
        </w:tc>
        <w:tc>
          <w:tcPr>
            <w:tcW w:type="dxa" w:w="415"/>
          </w:tcPr>
          <w:p>
            <w:r>
              <w:rPr/>
              <w:t>20</w:t>
            </w:r>
          </w:p>
        </w:tc>
        <w:tc>
          <w:tcPr>
            <w:tcW w:type="dxa" w:w="5814"/>
          </w:tcPr>
          <w:p>
            <w:r>
              <w:rPr>
                <w:sz w:val="28"/>
              </w:rPr>
              <w:t>9.中标人每次服务要做好除四害善后清理工作，及时清理鼠粪、死鼠及填塞鼠洞，及时清除过期失效的鼠谷。</w:t>
            </w:r>
          </w:p>
        </w:tc>
      </w:tr>
      <w:tr>
        <w:tc>
          <w:tcPr>
            <w:tcW w:type="dxa" w:w="2076"/>
          </w:tcPr>
          <w:p/>
        </w:tc>
        <w:tc>
          <w:tcPr>
            <w:tcW w:type="dxa" w:w="415"/>
          </w:tcPr>
          <w:p>
            <w:r>
              <w:rPr/>
              <w:t>21</w:t>
            </w:r>
          </w:p>
        </w:tc>
        <w:tc>
          <w:tcPr>
            <w:tcW w:type="dxa" w:w="5814"/>
          </w:tcPr>
          <w:p>
            <w:r>
              <w:rPr>
                <w:sz w:val="28"/>
              </w:rPr>
              <w:t>10.中标人须熟悉国家卫生城市病媒生物防制密度监测的标准并配合采购方开展病媒生物密度监测评估工作。</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采购包2（城西街道和睦岗街道辖区的服务）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1年（具体时间以合同签订时间为准）。</w:t>
            </w:r>
          </w:p>
        </w:tc>
      </w:tr>
      <w:tr>
        <w:tc>
          <w:tcPr>
            <w:tcW w:type="dxa" w:w="4153"/>
          </w:tcPr>
          <w:p>
            <w:r>
              <w:rPr/>
              <w:t>标的提供的地点</w:t>
            </w:r>
          </w:p>
        </w:tc>
        <w:tc>
          <w:tcPr>
            <w:tcW w:type="dxa" w:w="4153"/>
          </w:tcPr>
          <w:p/>
          <w:p>
            <w:r>
              <w:rPr/>
              <w:t>采购人指定地点，详见服务范围</w:t>
            </w:r>
          </w:p>
        </w:tc>
      </w:tr>
      <w:tr>
        <w:tc>
          <w:tcPr>
            <w:tcW w:type="dxa" w:w="4153"/>
          </w:tcPr>
          <w:p>
            <w:r>
              <w:rPr/>
              <w:t>付款方式</w:t>
            </w:r>
          </w:p>
        </w:tc>
        <w:tc>
          <w:tcPr>
            <w:tcW w:type="dxa" w:w="4153"/>
          </w:tcPr>
          <w:p/>
          <w:p/>
          <w:p>
            <w:r>
              <w:rPr/>
              <w:t>1期：支付比例100%,本项目款项由区财政局按相关规定以人民币转账方式集中支付:（1）常规服务在每次服务结束，并经服务质量考评合格后，两个月内，支付本次服务费，支付服务费=应付服务费-扣减款。（2）非常规服务在每次服务结束，并经中标人把服务相关资料报采购人核实后，两个月内支付本次费用。（3）每次结算前，中标人需先向采购人开具正式发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1期：采购人将对中标人的服务及相关质量进行定期考评和日常管理考评，考评结果与服务挂钩。详见《服务质量考评办法》</w:t>
            </w:r>
          </w:p>
        </w:tc>
      </w:tr>
      <w:tr>
        <w:tc>
          <w:tcPr>
            <w:tcW w:type="dxa" w:w="4153"/>
          </w:tcPr>
          <w:p>
            <w:r>
              <w:rPr/>
              <w:t>履约保证金</w:t>
            </w:r>
          </w:p>
        </w:tc>
        <w:tc>
          <w:tcPr>
            <w:tcW w:type="dxa" w:w="4153"/>
          </w:tcPr>
          <w:p/>
          <w:p/>
          <w:p/>
          <w:p/>
          <w:p>
            <w:r>
              <w:rPr/>
              <w:t>收取比例：5%,说明：履约保证金为合同金额的5%，中标人应在签订合同之日起5日内向采购人支付履约保证金。履约保证金应当以支票、汇票、本票或者金融机构、担保机构出具的保函等非现金形式提交；履约保证金在中标人履行完采购合同主要义务后，采购人按照合同约定原额（无息）退还，履约保证金以履约担保函形式提交的，担保责任终止。</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其他</w:t>
            </w:r>
          </w:p>
        </w:tc>
        <w:tc>
          <w:tcPr>
            <w:tcW w:type="dxa" w:w="2076"/>
          </w:tcPr>
          <w:p>
            <w:pPr>
              <w:jc w:val="left"/>
            </w:pPr>
            <w:r>
              <w:rPr/>
              <w:t>采购项目其他商务要求: 1.服务质量考评办法 本项目的服务质量管理采用综合分100分制，分定期考评和日常管理两种考评办法： 1.1.定期考评由采购方委托第三方在中标人每次全面投药灭害常规服务后的10天内对其服务及相关质量进行考评，考评内容包括监测资料（本底调查资料、服务方案、施工记录）、现场操作规程和服务效果等三项，其中资料20分、现场操作规程20分、防制服务效果占60分，共100分，该项占综合分的80%； 1.2.日常管理在每次常规服务后的10天内由区卫生健康局、区爱卫办、街道办、社区居委会根据服务期间的监督检查和市疾控中心每月对城区“四害”密度监测数据相结合对其服务(包括但不限于非常规服务)及相关质量进行考评，占综合分的20%。 以上两项合计评定分值以90分为合格分，每少1%扣减当月服务款的1%；连续2次不合格且经整改后仍不合格的（不满90分），采购人有权无条件终止和解除服务合同。 1.3.每次全面投药灭害服务后的质量效果监测需委托第三方机构评价考核，所需的费用由中标人承担。 1.4.考核内容详见合同书中《考核评分表》。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其他城镇公共卫生服务</w:t>
            </w:r>
          </w:p>
        </w:tc>
        <w:tc>
          <w:tcPr>
            <w:tcW w:type="dxa" w:w="933"/>
          </w:tcPr>
          <w:p>
            <w:pPr>
              <w:jc w:val="left"/>
            </w:pPr>
            <w:r>
              <w:rPr/>
              <w:t>城西街道和睦岗街道辖区的服务</w:t>
            </w:r>
          </w:p>
        </w:tc>
        <w:tc>
          <w:tcPr>
            <w:tcW w:type="dxa" w:w="933"/>
          </w:tcPr>
          <w:p>
            <w:pPr>
              <w:jc w:val="left"/>
            </w:pPr>
            <w:r>
              <w:rPr/>
              <w:t>项</w:t>
            </w:r>
          </w:p>
        </w:tc>
        <w:tc>
          <w:tcPr>
            <w:tcW w:type="dxa" w:w="933"/>
          </w:tcPr>
          <w:p>
            <w:pPr>
              <w:jc w:val="right"/>
            </w:pPr>
            <w:r>
              <w:rPr/>
              <w:t>1.00</w:t>
            </w:r>
          </w:p>
        </w:tc>
        <w:tc>
          <w:tcPr>
            <w:tcW w:type="dxa" w:w="933"/>
          </w:tcPr>
          <w:p>
            <w:pPr>
              <w:jc w:val="right"/>
            </w:pPr>
            <w:r>
              <w:rPr/>
              <w:t>700,000.00</w:t>
            </w:r>
          </w:p>
        </w:tc>
        <w:tc>
          <w:tcPr>
            <w:tcW w:type="dxa" w:w="933"/>
          </w:tcPr>
          <w:p>
            <w:pPr>
              <w:jc w:val="right"/>
            </w:pPr>
            <w:r>
              <w:rPr/>
              <w:t>700,000.00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城西街道和睦岗街道辖区的服务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8"/>
              </w:rPr>
              <w:t>（一）服务要求</w:t>
            </w:r>
          </w:p>
        </w:tc>
      </w:tr>
      <w:tr>
        <w:tc>
          <w:tcPr>
            <w:tcW w:type="dxa" w:w="2076"/>
          </w:tcPr>
          <w:p/>
        </w:tc>
        <w:tc>
          <w:tcPr>
            <w:tcW w:type="dxa" w:w="415"/>
          </w:tcPr>
          <w:p>
            <w:r>
              <w:rPr/>
              <w:t>2</w:t>
            </w:r>
          </w:p>
        </w:tc>
        <w:tc>
          <w:tcPr>
            <w:tcW w:type="dxa" w:w="5814"/>
          </w:tcPr>
          <w:p>
            <w:r>
              <w:rPr>
                <w:sz w:val="28"/>
              </w:rPr>
              <w:t>1.常规服务：按照市区爱卫会的统一部署，全年开展4次全面投药杀灭鼠、蝇、蚊、蟑螂等病媒生物防制服务工作（每次病媒生物防制服务包括投药灭鼠、下水道烟雾灭蚊蟑、绿化带喷药灭蚊、</w:t>
            </w:r>
            <w:r>
              <w:rPr>
                <w:color w:val="222222"/>
                <w:sz w:val="27"/>
              </w:rPr>
              <w:t>下水道入水口吊木塞或珍珠岩缓释剂灭蚊幼</w:t>
            </w:r>
            <w:r>
              <w:rPr>
                <w:sz w:val="28"/>
              </w:rPr>
              <w:t>、垃圾中转站喷药灭蝇、大中型水体投药灭蚊幼），2次灭蚊专项行动（每次灭蚊专项行动包括下水道烟雾灭蚊蟑、垃圾中转站喷药灭蝇、绿化带喷药灭蚊）和2次大中型水体投药灭蚊幼。具体工作时间根据区爱卫办下发的病媒生物防制方案执行。服务范围内局部区域出现登革热病例或疫情，中标人须带齐人员、器械和药物按照采购人要求开展灭蚊专项行动。</w:t>
            </w:r>
          </w:p>
        </w:tc>
      </w:tr>
      <w:tr>
        <w:tc>
          <w:tcPr>
            <w:tcW w:type="dxa" w:w="2076"/>
          </w:tcPr>
          <w:p/>
        </w:tc>
        <w:tc>
          <w:tcPr>
            <w:tcW w:type="dxa" w:w="415"/>
          </w:tcPr>
          <w:p>
            <w:r>
              <w:rPr/>
              <w:t>3</w:t>
            </w:r>
          </w:p>
        </w:tc>
        <w:tc>
          <w:tcPr>
            <w:tcW w:type="dxa" w:w="5814"/>
          </w:tcPr>
          <w:p>
            <w:r>
              <w:rPr>
                <w:sz w:val="28"/>
              </w:rPr>
              <w:t>2.非常规服务：遇到突发事件如登革热病等传播，另行开展登革热防控灭蚊专项行动（成蚊灭杀和孳生地处理），药物及服务费另安排预算。</w:t>
            </w:r>
          </w:p>
        </w:tc>
      </w:tr>
      <w:tr>
        <w:tc>
          <w:tcPr>
            <w:tcW w:type="dxa" w:w="2076"/>
          </w:tcPr>
          <w:p/>
        </w:tc>
        <w:tc>
          <w:tcPr>
            <w:tcW w:type="dxa" w:w="415"/>
          </w:tcPr>
          <w:p>
            <w:r>
              <w:rPr/>
              <w:t>4</w:t>
            </w:r>
          </w:p>
        </w:tc>
        <w:tc>
          <w:tcPr>
            <w:tcW w:type="dxa" w:w="5814"/>
          </w:tcPr>
          <w:p>
            <w:r>
              <w:rPr>
                <w:sz w:val="28"/>
              </w:rPr>
              <w:t>3.合同期内负责安装2500只鼠屋，毒鼠屋的规格必须统一。毒鼠屋由专人负责管理，毒鼠屋需有编号、安装位置登记表、鼠屋分布平面图，灭鼠屋须张贴安全警示标志。每次投药需有毒鼠屋投药记录表。</w:t>
            </w:r>
          </w:p>
        </w:tc>
      </w:tr>
      <w:tr>
        <w:tc>
          <w:tcPr>
            <w:tcW w:type="dxa" w:w="2076"/>
          </w:tcPr>
          <w:p/>
        </w:tc>
        <w:tc>
          <w:tcPr>
            <w:tcW w:type="dxa" w:w="415"/>
          </w:tcPr>
          <w:p>
            <w:r>
              <w:rPr/>
              <w:t>5</w:t>
            </w:r>
          </w:p>
        </w:tc>
        <w:tc>
          <w:tcPr>
            <w:tcW w:type="dxa" w:w="5814"/>
          </w:tcPr>
          <w:p>
            <w:r>
              <w:rPr>
                <w:sz w:val="28"/>
              </w:rPr>
              <w:t>4.服务范围：端州城区主次干道、内街巷道范围内公共外环境，各街道办辖区内无明确物业小区老旧居民区、城中村、主次干道及内街巷道下水道、公园绿地、西江堤岸内、垃圾中转站、绿化带、花基、闲置地和各类型病媒生物孳生繁殖地，具体如下：</w:t>
            </w:r>
          </w:p>
        </w:tc>
      </w:tr>
      <w:tr>
        <w:tc>
          <w:tcPr>
            <w:tcW w:type="dxa" w:w="2076"/>
          </w:tcPr>
          <w:p/>
        </w:tc>
        <w:tc>
          <w:tcPr>
            <w:tcW w:type="dxa" w:w="415"/>
          </w:tcPr>
          <w:p>
            <w:r>
              <w:rPr/>
              <w:t>6</w:t>
            </w:r>
          </w:p>
        </w:tc>
        <w:tc>
          <w:tcPr>
            <w:tcW w:type="dxa" w:w="5814"/>
          </w:tcPr>
          <w:p>
            <w:r>
              <w:rPr>
                <w:sz w:val="28"/>
              </w:rPr>
              <w:t>4.1城西街道办服务范围：城中社区、宋城社区、正西社区、白沙社区、清风社区、宝月社区、登高社区、星荷社区、康乐社区、芙蓉社区、黄塘社区、百花社区、桥北社区、伴月社区、波海社区、下瑶社区、沙街社区、出头社区等十八个社区公共外环境及居民区（单位、物业管理小区除外），包括辖区范围的主次干道、背街小巷的下水道、公园绿地（芙蓉公园、儿童公园、宝月公园、白沙公园）、垃圾中转站、绿化带、花基、闲置地和各类型病媒生物孳生繁殖地。</w:t>
            </w:r>
          </w:p>
        </w:tc>
      </w:tr>
      <w:tr>
        <w:tc>
          <w:tcPr>
            <w:tcW w:type="dxa" w:w="2076"/>
          </w:tcPr>
          <w:p/>
        </w:tc>
        <w:tc>
          <w:tcPr>
            <w:tcW w:type="dxa" w:w="415"/>
          </w:tcPr>
          <w:p>
            <w:r>
              <w:rPr/>
              <w:t>7</w:t>
            </w:r>
          </w:p>
        </w:tc>
        <w:tc>
          <w:tcPr>
            <w:tcW w:type="dxa" w:w="5814"/>
          </w:tcPr>
          <w:p>
            <w:r>
              <w:rPr>
                <w:sz w:val="28"/>
              </w:rPr>
              <w:t>4.2睦岗街道办服务范围：桂林街社区、龙塘社区、三村社区、蕉园社区、站北社区、山河社区、棠下社区、大洲社区、睦岗社区、玑东社区等十个社区公共外环境及居民区（单位、物业管理小区除外）包括辖区范围的主次干道、背街小巷的下水道、公园绿地（珑湖公园）、垃圾中转站、绿化带、花基、闲置地和各类型病媒生物孳生繁殖地。</w:t>
            </w:r>
          </w:p>
        </w:tc>
      </w:tr>
      <w:tr>
        <w:tc>
          <w:tcPr>
            <w:tcW w:type="dxa" w:w="2076"/>
          </w:tcPr>
          <w:p/>
        </w:tc>
        <w:tc>
          <w:tcPr>
            <w:tcW w:type="dxa" w:w="415"/>
          </w:tcPr>
          <w:p>
            <w:r>
              <w:rPr/>
              <w:t>8</w:t>
            </w:r>
          </w:p>
        </w:tc>
        <w:tc>
          <w:tcPr>
            <w:tcW w:type="dxa" w:w="5814"/>
          </w:tcPr>
          <w:p>
            <w:r>
              <w:rPr>
                <w:sz w:val="28"/>
              </w:rPr>
              <w:t>5.服务范围内的公共外环境病媒生物的质量控制执行如下标准：</w:t>
            </w:r>
          </w:p>
        </w:tc>
      </w:tr>
      <w:tr>
        <w:tc>
          <w:tcPr>
            <w:tcW w:type="dxa" w:w="2076"/>
          </w:tcPr>
          <w:p/>
        </w:tc>
        <w:tc>
          <w:tcPr>
            <w:tcW w:type="dxa" w:w="415"/>
          </w:tcPr>
          <w:p>
            <w:r>
              <w:rPr/>
              <w:t>9</w:t>
            </w:r>
          </w:p>
        </w:tc>
        <w:tc>
          <w:tcPr>
            <w:tcW w:type="dxa" w:w="5814"/>
          </w:tcPr>
          <w:p>
            <w:r>
              <w:rPr>
                <w:sz w:val="28"/>
              </w:rPr>
              <w:t>5.1、密度水平控制标准：中华人民共和国卫生部、中国国家标准化管理委员会《病媒生物密度控制水平—鼠类、蚊虫、蝇类、蜚蠊》的4个国家标准（GB／T27770、27771、27772、27773—2011）。鼠类、蚊虫、蝇类、蜚蠊达到C级或以上。</w:t>
            </w:r>
          </w:p>
        </w:tc>
      </w:tr>
      <w:tr>
        <w:tc>
          <w:tcPr>
            <w:tcW w:type="dxa" w:w="2076"/>
          </w:tcPr>
          <w:p/>
        </w:tc>
        <w:tc>
          <w:tcPr>
            <w:tcW w:type="dxa" w:w="415"/>
          </w:tcPr>
          <w:p>
            <w:r>
              <w:rPr/>
              <w:t>10</w:t>
            </w:r>
          </w:p>
        </w:tc>
        <w:tc>
          <w:tcPr>
            <w:tcW w:type="dxa" w:w="5814"/>
          </w:tcPr>
          <w:p>
            <w:r>
              <w:rPr>
                <w:sz w:val="28"/>
              </w:rPr>
              <w:t>5.2、</w:t>
            </w:r>
            <w:r>
              <w:rPr>
                <w:color w:val="222222"/>
                <w:sz w:val="27"/>
              </w:rPr>
              <w:t>密度监测标准：中华人民共和国国家质量监督检验检疫总局、中国国家标准化管理委员会《病媒生物密度监测方法</w:t>
            </w:r>
            <w:r>
              <w:rPr>
                <w:color w:val="222222"/>
                <w:sz w:val="27"/>
              </w:rPr>
              <w:t>—蜚蠊、蝇类、蚊虫、鼠类》的4个国家标准（GB／T23795-2009、GB／T23796-2009、GB／T23797-2020、GB／T23798—2009）</w:t>
            </w:r>
            <w:r>
              <w:rPr>
                <w:sz w:val="28"/>
              </w:rPr>
              <w:t>。</w:t>
            </w:r>
          </w:p>
        </w:tc>
      </w:tr>
      <w:tr>
        <w:tc>
          <w:tcPr>
            <w:tcW w:type="dxa" w:w="2076"/>
          </w:tcPr>
          <w:p/>
        </w:tc>
        <w:tc>
          <w:tcPr>
            <w:tcW w:type="dxa" w:w="415"/>
          </w:tcPr>
          <w:p>
            <w:r>
              <w:rPr/>
              <w:t>11</w:t>
            </w:r>
          </w:p>
        </w:tc>
        <w:tc>
          <w:tcPr>
            <w:tcW w:type="dxa" w:w="5814"/>
          </w:tcPr>
          <w:p>
            <w:r>
              <w:rPr>
                <w:sz w:val="28"/>
              </w:rPr>
              <w:t>（二）技术要求</w:t>
            </w:r>
          </w:p>
        </w:tc>
      </w:tr>
      <w:tr>
        <w:tc>
          <w:tcPr>
            <w:tcW w:type="dxa" w:w="2076"/>
          </w:tcPr>
          <w:p>
            <w:r>
              <w:rPr/>
              <w:t>★</w:t>
            </w:r>
          </w:p>
        </w:tc>
        <w:tc>
          <w:tcPr>
            <w:tcW w:type="dxa" w:w="415"/>
          </w:tcPr>
          <w:p>
            <w:r>
              <w:rPr/>
              <w:t>12</w:t>
            </w:r>
          </w:p>
        </w:tc>
        <w:tc>
          <w:tcPr>
            <w:tcW w:type="dxa" w:w="5814"/>
          </w:tcPr>
          <w:p>
            <w:r>
              <w:rPr>
                <w:sz w:val="28"/>
              </w:rPr>
              <w:t>1.★投标人必须具备病媒生物防制的技术力量，有参加病媒生物防治服务的工人不少于30人（列出名册，含姓名、身份证号码、联系电话等），其中持有经省、市爱卫、人社、协会三类部门出具的病媒生物防制职业资格证书且有购买社保的工人不少于10人（须提供人员资格证明及在投标单位的社保证明复印件），并承诺每次开展服务期间出动不少于30人。</w:t>
            </w:r>
          </w:p>
        </w:tc>
      </w:tr>
      <w:tr>
        <w:tc>
          <w:tcPr>
            <w:tcW w:type="dxa" w:w="2076"/>
          </w:tcPr>
          <w:p>
            <w:r>
              <w:rPr/>
              <w:t>★</w:t>
            </w:r>
          </w:p>
        </w:tc>
        <w:tc>
          <w:tcPr>
            <w:tcW w:type="dxa" w:w="415"/>
          </w:tcPr>
          <w:p>
            <w:r>
              <w:rPr/>
              <w:t>13</w:t>
            </w:r>
          </w:p>
        </w:tc>
        <w:tc>
          <w:tcPr>
            <w:tcW w:type="dxa" w:w="5814"/>
          </w:tcPr>
          <w:p>
            <w:r>
              <w:rPr>
                <w:sz w:val="28"/>
              </w:rPr>
              <w:t>2.</w:t>
            </w:r>
            <w:r>
              <w:rPr>
                <w:sz w:val="28"/>
              </w:rPr>
              <w:t>★投标人必须有固定的药物仓库和器械仓库（须提供租赁合同或房产证明复印件）：药物仓库面积不少于40㎡，器械仓库面积不少于40㎡。</w:t>
            </w:r>
          </w:p>
        </w:tc>
      </w:tr>
      <w:tr>
        <w:tc>
          <w:tcPr>
            <w:tcW w:type="dxa" w:w="2076"/>
          </w:tcPr>
          <w:p>
            <w:r>
              <w:rPr/>
              <w:t>★</w:t>
            </w:r>
          </w:p>
        </w:tc>
        <w:tc>
          <w:tcPr>
            <w:tcW w:type="dxa" w:w="415"/>
          </w:tcPr>
          <w:p>
            <w:r>
              <w:rPr/>
              <w:t>14</w:t>
            </w:r>
          </w:p>
        </w:tc>
        <w:tc>
          <w:tcPr>
            <w:tcW w:type="dxa" w:w="5814"/>
          </w:tcPr>
          <w:p>
            <w:r>
              <w:rPr>
                <w:sz w:val="28"/>
              </w:rPr>
              <w:t>3.★投标人必须具有一定数量的器械，其中烟雾机不少于12台、机动或电动超低容量喷雾机、机动或电动常量喷雾机均不少于8台（投标人须提供购买设备发票复印件），并承诺每次开展服务期间出动不少于上述数量的器械。</w:t>
            </w:r>
          </w:p>
        </w:tc>
      </w:tr>
      <w:tr>
        <w:tc>
          <w:tcPr>
            <w:tcW w:type="dxa" w:w="2076"/>
          </w:tcPr>
          <w:p>
            <w:r>
              <w:rPr/>
              <w:t>★</w:t>
            </w:r>
          </w:p>
        </w:tc>
        <w:tc>
          <w:tcPr>
            <w:tcW w:type="dxa" w:w="415"/>
          </w:tcPr>
          <w:p>
            <w:r>
              <w:rPr/>
              <w:t>15</w:t>
            </w:r>
          </w:p>
        </w:tc>
        <w:tc>
          <w:tcPr>
            <w:tcW w:type="dxa" w:w="5814"/>
          </w:tcPr>
          <w:p>
            <w:r>
              <w:rPr>
                <w:sz w:val="28"/>
              </w:rPr>
              <w:t>4.★投标人要做到科学用药，所使用药物必须提供药物“三证”（农药登记证、农药生产批准证书、产品企业标准），并在每次开展服务前将准备使用药物的“三证”报给区爱卫办、区卫健局，不得使用国家禁用或伪劣的灭鼠、杀虫剂。（提供书面承诺）</w:t>
            </w:r>
          </w:p>
        </w:tc>
      </w:tr>
      <w:tr>
        <w:tc>
          <w:tcPr>
            <w:tcW w:type="dxa" w:w="2076"/>
          </w:tcPr>
          <w:p/>
        </w:tc>
        <w:tc>
          <w:tcPr>
            <w:tcW w:type="dxa" w:w="415"/>
          </w:tcPr>
          <w:p>
            <w:r>
              <w:rPr/>
              <w:t>16</w:t>
            </w:r>
          </w:p>
        </w:tc>
        <w:tc>
          <w:tcPr>
            <w:tcW w:type="dxa" w:w="5814"/>
          </w:tcPr>
          <w:p>
            <w:r>
              <w:rPr>
                <w:sz w:val="28"/>
              </w:rPr>
              <w:t>5.采购人有权在不超出约定的年度服务总次数的前提下，调整每次服务的时间，具体以采购人文件通知为准。</w:t>
            </w:r>
          </w:p>
        </w:tc>
      </w:tr>
      <w:tr>
        <w:tc>
          <w:tcPr>
            <w:tcW w:type="dxa" w:w="2076"/>
          </w:tcPr>
          <w:p>
            <w:r>
              <w:rPr/>
              <w:t>★</w:t>
            </w:r>
          </w:p>
        </w:tc>
        <w:tc>
          <w:tcPr>
            <w:tcW w:type="dxa" w:w="415"/>
          </w:tcPr>
          <w:p>
            <w:r>
              <w:rPr/>
              <w:t>17</w:t>
            </w:r>
          </w:p>
        </w:tc>
        <w:tc>
          <w:tcPr>
            <w:tcW w:type="dxa" w:w="5814"/>
          </w:tcPr>
          <w:p>
            <w:r>
              <w:rPr>
                <w:sz w:val="28"/>
              </w:rPr>
              <w:t>★中标人必须接受采购人及相关技术部门的监督、检查，并提供必需的材料，应具有参与开展创建卫生城市、卫生镇经验。（须提供书面承诺）</w:t>
            </w:r>
          </w:p>
        </w:tc>
      </w:tr>
      <w:tr>
        <w:tc>
          <w:tcPr>
            <w:tcW w:type="dxa" w:w="2076"/>
          </w:tcPr>
          <w:p>
            <w:r>
              <w:rPr/>
              <w:t>★</w:t>
            </w:r>
          </w:p>
        </w:tc>
        <w:tc>
          <w:tcPr>
            <w:tcW w:type="dxa" w:w="415"/>
          </w:tcPr>
          <w:p>
            <w:r>
              <w:rPr/>
              <w:t>18</w:t>
            </w:r>
          </w:p>
        </w:tc>
        <w:tc>
          <w:tcPr>
            <w:tcW w:type="dxa" w:w="5814"/>
          </w:tcPr>
          <w:p>
            <w:r>
              <w:rPr>
                <w:sz w:val="28"/>
              </w:rPr>
              <w:t>7.★合同期间，如采购人有上级检查或出现疫情等情况，中标人必须服从安排，在接到通知后及时按要求带全装备到现场开展相关工作。（须提供书面承诺）</w:t>
            </w:r>
          </w:p>
        </w:tc>
      </w:tr>
      <w:tr>
        <w:tc>
          <w:tcPr>
            <w:tcW w:type="dxa" w:w="2076"/>
          </w:tcPr>
          <w:p/>
        </w:tc>
        <w:tc>
          <w:tcPr>
            <w:tcW w:type="dxa" w:w="415"/>
          </w:tcPr>
          <w:p>
            <w:r>
              <w:rPr/>
              <w:t>19</w:t>
            </w:r>
          </w:p>
        </w:tc>
        <w:tc>
          <w:tcPr>
            <w:tcW w:type="dxa" w:w="5814"/>
          </w:tcPr>
          <w:p>
            <w:r>
              <w:rPr>
                <w:sz w:val="28"/>
              </w:rPr>
              <w:t>8.</w:t>
            </w:r>
            <w:r>
              <w:rPr>
                <w:color w:val="222222"/>
                <w:sz w:val="27"/>
              </w:rPr>
              <w:t>每次服务前，中标人需对服务范围内病媒生物防制工作开展本底调查，并结合本底调查情况制定病媒生物防制服务方案报区爱卫办、区卫健局，并列出每次每项工作安排表。每次服务完成后</w:t>
            </w:r>
            <w:r>
              <w:rPr>
                <w:color w:val="222222"/>
                <w:sz w:val="27"/>
              </w:rPr>
              <w:t>10个工作日内，中标人须向采购人提交药物使用表、药物进出记录表、工作安排表及施工记录表等相关资料。</w:t>
            </w:r>
          </w:p>
        </w:tc>
      </w:tr>
      <w:tr>
        <w:tc>
          <w:tcPr>
            <w:tcW w:type="dxa" w:w="2076"/>
          </w:tcPr>
          <w:p/>
        </w:tc>
        <w:tc>
          <w:tcPr>
            <w:tcW w:type="dxa" w:w="415"/>
          </w:tcPr>
          <w:p>
            <w:r>
              <w:rPr/>
              <w:t>20</w:t>
            </w:r>
          </w:p>
        </w:tc>
        <w:tc>
          <w:tcPr>
            <w:tcW w:type="dxa" w:w="5814"/>
          </w:tcPr>
          <w:p>
            <w:r>
              <w:rPr>
                <w:sz w:val="28"/>
              </w:rPr>
              <w:t>9.中标人每次服务要做好除四害善后清理工作，及时清理鼠粪、死鼠及填塞鼠洞，及时清除过期失效的鼠谷。</w:t>
            </w:r>
          </w:p>
        </w:tc>
      </w:tr>
      <w:tr>
        <w:tc>
          <w:tcPr>
            <w:tcW w:type="dxa" w:w="2076"/>
          </w:tcPr>
          <w:p/>
        </w:tc>
        <w:tc>
          <w:tcPr>
            <w:tcW w:type="dxa" w:w="415"/>
          </w:tcPr>
          <w:p>
            <w:r>
              <w:rPr/>
              <w:t>21</w:t>
            </w:r>
          </w:p>
        </w:tc>
        <w:tc>
          <w:tcPr>
            <w:tcW w:type="dxa" w:w="5814"/>
          </w:tcPr>
          <w:p>
            <w:r>
              <w:rPr>
                <w:sz w:val="28"/>
              </w:rPr>
              <w:t>10.中标人须熟悉国家卫生城市病媒生物防制密度监测的标准并配合采购方开展病媒生物密度监测评估工作。</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1.采购代理机构：本项目是指肇庆德力招标代理有限公司，负责整个采购活动的组织，依法负责编制和发布招标文件，对招标文件拥有最终的解释权，不以任何身份出任评标委员会成员。</w:t>
      </w:r>
    </w:p>
    <w:p>
      <w:pPr>
        <w:ind w:firstLine="480"/>
      </w:pPr>
      <w:r>
        <w:rPr/>
        <w:t>2.采购人：本项目是指</w:t>
      </w:r>
      <w:r>
        <w:rPr/>
        <w:t>肇庆市端州区卫生健康局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兼投不兼中：本项目兼投不兼中，每个投标人最多只能被确定为1个合同包（采购包）的第一中标候选人。本项目按合同包（采购包）的顺序进行评审，依次按照评标总得分由高到低的顺序，每包组推荐两名中标候选人。已获得合同包1（采购包1）的第一中标候选人资格的，如参加合同包2（采购包2）的投标，将不能通过合同包二的符合性审查。</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项目根据国家发展和改革委员会《关于进一步放开建设项目专业服务价格的通知》（发改价格[2015]299号），采购代理机构向各中标人定额收取本项目中标服务费,收费标准为:采购包1:人民币壹万陆仟肆佰元（￥16,400.00元）,采购包2:人民币壹万壹仟伍佰元（￥11,500.00元），由各中标人在采购代理机构送达《中标通知书》之日起5个工作日内向采购代理机构一次性支付。</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30</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p>
            <w:pPr>
              <w:jc w:val="left"/>
            </w:pPr>
            <w:r>
              <w:rPr/>
              <w:t>采购包2：面向中小企业，采购包专门预留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肇庆德力招标代理有限公司</w:t>
      </w:r>
      <w:r>
        <w:rPr/>
        <w:t>代收。具体操作要求详见</w:t>
      </w:r>
      <w:r>
        <w:rPr/>
        <w:t>肇庆德力招标代理有限公司</w:t>
      </w:r>
      <w:r>
        <w:rPr/>
        <w:t>有关指引，递交事宜请自行咨询</w:t>
      </w:r>
      <w:r>
        <w:rPr/>
        <w:t>肇庆德力招标代理有限公司</w:t>
      </w:r>
      <w:r>
        <w:rPr/>
        <w:t>；请各投标人在投标文件递交截止时间前按须知前附表规定的金额递交至</w:t>
      </w:r>
      <w:r>
        <w:rPr/>
        <w:t>肇庆德力招标代理有限公司</w:t>
      </w:r>
      <w:r>
        <w:rPr/>
        <w:t>，到账情况以开标时</w:t>
      </w:r>
      <w:r>
        <w:rPr/>
        <w:t>肇庆德力招标代理有限公司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肇庆德力招标代理有限公司（http://www.zqdlzbdl.com/）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肇庆德力招标代理有限公司（http://www.zqdlzbdl.com/）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李女士</w:t>
      </w:r>
    </w:p>
    <w:p>
      <w:pPr>
        <w:ind w:firstLine="480"/>
      </w:pPr>
      <w:r>
        <w:rPr/>
        <w:t>电话：</w:t>
      </w:r>
      <w:r>
        <w:rPr/>
        <w:t>0758-2160028</w:t>
      </w:r>
    </w:p>
    <w:p>
      <w:pPr>
        <w:ind w:firstLine="480"/>
      </w:pPr>
      <w:r>
        <w:rPr/>
        <w:t>传真：</w:t>
      </w:r>
      <w:r>
        <w:rPr/>
        <w:t>0758-2160198</w:t>
      </w:r>
    </w:p>
    <w:p>
      <w:pPr>
        <w:ind w:firstLine="480"/>
      </w:pPr>
      <w:r>
        <w:rPr/>
        <w:t>邮箱：</w:t>
      </w:r>
      <w:r>
        <w:rPr/>
        <w:t>delizb2160028@163.com</w:t>
      </w:r>
    </w:p>
    <w:p>
      <w:pPr>
        <w:ind w:firstLine="480"/>
      </w:pPr>
      <w:r>
        <w:rPr/>
        <w:t>地址：</w:t>
      </w:r>
      <w:r>
        <w:rPr/>
        <w:t>肇庆市前进路10号第十一层第1107室</w:t>
      </w:r>
    </w:p>
    <w:p>
      <w:pPr>
        <w:ind w:firstLine="480"/>
      </w:pPr>
      <w:r>
        <w:rPr/>
        <w:t>邮编：</w:t>
      </w:r>
      <w:r>
        <w:rPr/>
        <w:t>526060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政府采购监督管理机构名称：肇庆市端州区政府采购监管办公室</w:t>
      </w:r>
    </w:p>
    <w:p>
      <w:r>
        <w:rPr/>
        <w:t>地  址：肇庆市端州区蓓蕾北路11号财政大楼7楼703室</w:t>
      </w:r>
    </w:p>
    <w:p>
      <w:r>
        <w:rPr/>
        <w:t>电  话：0758-2724026</w:t>
      </w:r>
    </w:p>
    <w:p>
      <w:r>
        <w:rPr/>
        <w:t>邮  编：526060</w:t>
      </w:r>
    </w:p>
    <w:p>
      <w:r>
        <w:rPr/>
        <w:t>传  真：0758-2761787</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城东街道和黄岗街道辖区的服务)：综合评分法,是指投标文件满足招标文件全部实质性要求，且按照评审因素的量化指标评审得分最高的投标人为中标候选人的评标方法。（最低报价不是中标的唯一依据。）</w:t>
      </w:r>
    </w:p>
    <w:p/>
    <w:p>
      <w:r>
        <w:rPr/>
        <w:t>采购包2(城西街道和睦岗街道辖区的服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肇庆德力招标代理有限公司</w:t>
      </w:r>
      <w:r>
        <w:rPr/>
        <w:t>统一对外发布。</w:t>
      </w:r>
    </w:p>
    <w:p>
      <w:pPr>
        <w:ind w:firstLine="480"/>
      </w:pPr>
      <w:r>
        <w:rPr/>
        <w:t>（2）对</w:t>
      </w:r>
      <w:r>
        <w:rPr/>
        <w:t>肇庆德力招标代理有限公司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采购包1（城东街道和黄岗街道辖区的服务）：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采购包2（城西街道和睦岗街道辖区的服务）：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采购包1（城东街道和黄岗街道辖区的服务）：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投标文件中提供《资格条件承诺函》，格式详见招标公告附件1；</w:t>
            </w:r>
          </w:p>
        </w:tc>
      </w:tr>
      <w:tr>
        <w:tc>
          <w:tcPr>
            <w:tcW w:type="dxa" w:w="890"/>
          </w:tcPr>
          <w:p>
            <w:r>
              <w:rPr/>
              <w:t>3</w:t>
            </w:r>
          </w:p>
        </w:tc>
        <w:tc>
          <w:tcPr>
            <w:tcW w:type="dxa" w:w="3178"/>
          </w:tcPr>
          <w:p>
            <w:r>
              <w:rPr/>
              <w:t>具有良好的商业信誉和健全的财务会计制度</w:t>
            </w:r>
          </w:p>
        </w:tc>
        <w:tc>
          <w:tcPr>
            <w:tcW w:type="dxa" w:w="4238"/>
          </w:tcPr>
          <w:p>
            <w:r>
              <w:rPr/>
              <w:t>投标文件中提供《资格条件承诺函》；</w:t>
            </w:r>
          </w:p>
        </w:tc>
      </w:tr>
      <w:tr>
        <w:tc>
          <w:tcPr>
            <w:tcW w:type="dxa" w:w="890"/>
          </w:tcPr>
          <w:p>
            <w:r>
              <w:rPr/>
              <w:t>4</w:t>
            </w:r>
          </w:p>
        </w:tc>
        <w:tc>
          <w:tcPr>
            <w:tcW w:type="dxa" w:w="3178"/>
          </w:tcPr>
          <w:p>
            <w:r>
              <w:rPr/>
              <w:t>履行合同所必需的设备和专业技术能力</w:t>
            </w:r>
          </w:p>
        </w:tc>
        <w:tc>
          <w:tcPr>
            <w:tcW w:type="dxa" w:w="4238"/>
          </w:tcPr>
          <w:p>
            <w:r>
              <w:rPr/>
              <w:t>投标文件中提供《资格条件承诺函》；</w:t>
            </w:r>
          </w:p>
        </w:tc>
      </w:tr>
      <w:tr>
        <w:tc>
          <w:tcPr>
            <w:tcW w:type="dxa" w:w="890"/>
          </w:tcPr>
          <w:p>
            <w:r>
              <w:rPr/>
              <w:t>5</w:t>
            </w:r>
          </w:p>
        </w:tc>
        <w:tc>
          <w:tcPr>
            <w:tcW w:type="dxa" w:w="3178"/>
          </w:tcPr>
          <w:p>
            <w:r>
              <w:rPr/>
              <w:t>参加采购活动前3年内，在经营活动中没有重大违法记录</w:t>
            </w:r>
          </w:p>
        </w:tc>
        <w:tc>
          <w:tcPr>
            <w:tcW w:type="dxa" w:w="4238"/>
          </w:tcPr>
          <w:p>
            <w:r>
              <w:rPr/>
              <w:t>投标文件中提供《资格条件承诺函》。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 投标（响应）。 为本项目提供整体设计、规范编制或者项目管理、监理、检测等服务的供应商，不得再参与本项目投标（响应）。以提供书面声明为准。</w:t>
            </w:r>
          </w:p>
        </w:tc>
      </w:tr>
      <w:tr>
        <w:tc>
          <w:tcPr>
            <w:tcW w:type="dxa" w:w="890"/>
          </w:tcPr>
          <w:p>
            <w:r>
              <w:rPr/>
              <w:t>8</w:t>
            </w:r>
          </w:p>
        </w:tc>
        <w:tc>
          <w:tcPr>
            <w:tcW w:type="dxa" w:w="3178"/>
          </w:tcPr>
          <w:p>
            <w:r>
              <w:rPr/>
              <w:t>本采购包专门面向中小企业采购</w:t>
            </w:r>
          </w:p>
        </w:tc>
        <w:tc>
          <w:tcPr>
            <w:tcW w:type="dxa" w:w="4238"/>
          </w:tcPr>
          <w:p>
            <w:r>
              <w:rPr/>
              <w:t>采购包整体专门面向中小企业。投标供应商须是符合本项目采购标的对应行业（其他未列明行业。）的政策划分标准的中小企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
      <w:r>
        <w:rPr/>
        <w:t>采购包2（城西街道和睦岗街道辖区的服务）：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投标文件中提供《资格条件承诺函》，格式详见招标公告附件1；</w:t>
            </w:r>
          </w:p>
        </w:tc>
      </w:tr>
      <w:tr>
        <w:tc>
          <w:tcPr>
            <w:tcW w:type="dxa" w:w="890"/>
          </w:tcPr>
          <w:p>
            <w:r>
              <w:rPr/>
              <w:t>3</w:t>
            </w:r>
          </w:p>
        </w:tc>
        <w:tc>
          <w:tcPr>
            <w:tcW w:type="dxa" w:w="3178"/>
          </w:tcPr>
          <w:p>
            <w:r>
              <w:rPr/>
              <w:t>具有良好的商业信誉和健全的财务会计制度</w:t>
            </w:r>
          </w:p>
        </w:tc>
        <w:tc>
          <w:tcPr>
            <w:tcW w:type="dxa" w:w="4238"/>
          </w:tcPr>
          <w:p>
            <w:r>
              <w:rPr/>
              <w:t>投标文件中提供《资格条件承诺函》；</w:t>
            </w:r>
          </w:p>
        </w:tc>
      </w:tr>
      <w:tr>
        <w:tc>
          <w:tcPr>
            <w:tcW w:type="dxa" w:w="890"/>
          </w:tcPr>
          <w:p>
            <w:r>
              <w:rPr/>
              <w:t>4</w:t>
            </w:r>
          </w:p>
        </w:tc>
        <w:tc>
          <w:tcPr>
            <w:tcW w:type="dxa" w:w="3178"/>
          </w:tcPr>
          <w:p>
            <w:r>
              <w:rPr/>
              <w:t>履行合同所必需的设备和专业技术能力</w:t>
            </w:r>
          </w:p>
        </w:tc>
        <w:tc>
          <w:tcPr>
            <w:tcW w:type="dxa" w:w="4238"/>
          </w:tcPr>
          <w:p>
            <w:r>
              <w:rPr/>
              <w:t>投标文件中提供《资格条件承诺函》；</w:t>
            </w:r>
          </w:p>
        </w:tc>
      </w:tr>
      <w:tr>
        <w:tc>
          <w:tcPr>
            <w:tcW w:type="dxa" w:w="890"/>
          </w:tcPr>
          <w:p>
            <w:r>
              <w:rPr/>
              <w:t>5</w:t>
            </w:r>
          </w:p>
        </w:tc>
        <w:tc>
          <w:tcPr>
            <w:tcW w:type="dxa" w:w="3178"/>
          </w:tcPr>
          <w:p>
            <w:r>
              <w:rPr/>
              <w:t>参加采购活动前3年内，在经营活动中没有重大违法记录</w:t>
            </w:r>
          </w:p>
        </w:tc>
        <w:tc>
          <w:tcPr>
            <w:tcW w:type="dxa" w:w="4238"/>
          </w:tcPr>
          <w:p>
            <w:r>
              <w:rPr/>
              <w:t>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 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本采购包专门面向中小企业采购</w:t>
            </w:r>
          </w:p>
        </w:tc>
        <w:tc>
          <w:tcPr>
            <w:tcW w:type="dxa" w:w="4238"/>
          </w:tcPr>
          <w:p>
            <w:r>
              <w:rPr/>
              <w:t>采购包整体专门面向中小企业。投标供应商须是符合本项目采购标的对应行业（其他未列明行业。）的政策划分标准的中小企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采购包1（城东街道和黄岗街道辖区的服务）：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投标（报价）总金额</w:t>
            </w:r>
          </w:p>
        </w:tc>
        <w:tc>
          <w:tcPr>
            <w:tcW w:type="dxa" w:w="4238"/>
          </w:tcPr>
          <w:p>
            <w:r>
              <w:rPr/>
              <w:t>投标（报价）总金额是固定价且是唯一的，未超过本项目（包组）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r>
        <w:tc>
          <w:tcPr>
            <w:tcW w:type="dxa" w:w="890"/>
          </w:tcPr>
          <w:p>
            <w:r>
              <w:rPr/>
              <w:t>2</w:t>
            </w:r>
          </w:p>
        </w:tc>
        <w:tc>
          <w:tcPr>
            <w:tcW w:type="dxa" w:w="3178"/>
          </w:tcPr>
          <w:p>
            <w:r>
              <w:rPr/>
              <w:t>报价漏项</w:t>
            </w:r>
          </w:p>
        </w:tc>
        <w:tc>
          <w:tcPr>
            <w:tcW w:type="dxa" w:w="4238"/>
          </w:tcPr>
          <w:p>
            <w:r>
              <w:rPr/>
              <w:t>对标的没有报价漏项。</w:t>
            </w:r>
          </w:p>
        </w:tc>
      </w:tr>
      <w:tr>
        <w:tc>
          <w:tcPr>
            <w:tcW w:type="dxa" w:w="890"/>
          </w:tcPr>
          <w:p>
            <w:r>
              <w:rPr/>
              <w:t>3</w:t>
            </w:r>
          </w:p>
        </w:tc>
        <w:tc>
          <w:tcPr>
            <w:tcW w:type="dxa" w:w="3178"/>
          </w:tcPr>
          <w:p>
            <w:r>
              <w:rPr/>
              <w:t>投标函</w:t>
            </w:r>
          </w:p>
        </w:tc>
        <w:tc>
          <w:tcPr>
            <w:tcW w:type="dxa" w:w="4238"/>
          </w:tcPr>
          <w:p>
            <w:r>
              <w:rPr/>
              <w:t>提交投标函。投标文件完整，投标内容基本完整，无重大错漏，并按要求签署、盖章。法定代表人/负责人资格证明书及授权委托书，按对应格式文件签署、盖章（原件）。</w:t>
            </w:r>
          </w:p>
        </w:tc>
      </w:tr>
      <w:tr>
        <w:tc>
          <w:tcPr>
            <w:tcW w:type="dxa" w:w="890"/>
          </w:tcPr>
          <w:p>
            <w:r>
              <w:rPr/>
              <w:t>4</w:t>
            </w:r>
          </w:p>
        </w:tc>
        <w:tc>
          <w:tcPr>
            <w:tcW w:type="dxa" w:w="3178"/>
          </w:tcPr>
          <w:p>
            <w:r>
              <w:rPr/>
              <w:t>“★”号条款</w:t>
            </w:r>
          </w:p>
        </w:tc>
        <w:tc>
          <w:tcPr>
            <w:tcW w:type="dxa" w:w="4238"/>
          </w:tcPr>
          <w:p>
            <w:r>
              <w:rPr/>
              <w:t>“★”号条款满足招标文件要求。</w:t>
            </w:r>
          </w:p>
        </w:tc>
      </w:tr>
      <w:tr>
        <w:tc>
          <w:tcPr>
            <w:tcW w:type="dxa" w:w="890"/>
          </w:tcPr>
          <w:p>
            <w:r>
              <w:rPr/>
              <w:t>5</w:t>
            </w:r>
          </w:p>
        </w:tc>
        <w:tc>
          <w:tcPr>
            <w:tcW w:type="dxa" w:w="3178"/>
          </w:tcPr>
          <w:p>
            <w:r>
              <w:rPr/>
              <w:t>附加条件</w:t>
            </w:r>
          </w:p>
        </w:tc>
        <w:tc>
          <w:tcPr>
            <w:tcW w:type="dxa" w:w="4238"/>
          </w:tcPr>
          <w:p>
            <w:r>
              <w:rPr/>
              <w:t>投标文件未含有采购人不可接受的附加条件。</w:t>
            </w:r>
          </w:p>
        </w:tc>
      </w:tr>
      <w:tr>
        <w:tc>
          <w:tcPr>
            <w:tcW w:type="dxa" w:w="890"/>
          </w:tcPr>
          <w:p>
            <w:r>
              <w:rPr/>
              <w:t>6</w:t>
            </w:r>
          </w:p>
        </w:tc>
        <w:tc>
          <w:tcPr>
            <w:tcW w:type="dxa" w:w="3178"/>
          </w:tcPr>
          <w:p>
            <w:r>
              <w:rPr/>
              <w:t>报价修正</w:t>
            </w:r>
          </w:p>
        </w:tc>
        <w:tc>
          <w:tcPr>
            <w:tcW w:type="dxa" w:w="4238"/>
          </w:tcPr>
          <w:p>
            <w:r>
              <w:rPr/>
              <w:t>如有报价修正的，投标人按规定要求书面确认。</w:t>
            </w:r>
          </w:p>
        </w:tc>
      </w:tr>
      <w:tr>
        <w:tc>
          <w:tcPr>
            <w:tcW w:type="dxa" w:w="890"/>
          </w:tcPr>
          <w:p>
            <w:r>
              <w:rPr/>
              <w:t>7</w:t>
            </w:r>
          </w:p>
        </w:tc>
        <w:tc>
          <w:tcPr>
            <w:tcW w:type="dxa" w:w="3178"/>
          </w:tcPr>
          <w:p>
            <w:r>
              <w:rPr/>
              <w:t>投标有效期</w:t>
            </w:r>
          </w:p>
        </w:tc>
        <w:tc>
          <w:tcPr>
            <w:tcW w:type="dxa" w:w="4238"/>
          </w:tcPr>
          <w:p>
            <w:r>
              <w:rPr/>
              <w:t>投标有效期为投标截止日起不少于90天。</w:t>
            </w:r>
          </w:p>
        </w:tc>
      </w:tr>
    </w:tbl>
    <w:p/>
    <w:p>
      <w:r>
        <w:rPr/>
        <w:t>采购包2（城西街道和睦岗街道辖区的服务）：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投标（报价）总金额</w:t>
            </w:r>
          </w:p>
        </w:tc>
        <w:tc>
          <w:tcPr>
            <w:tcW w:type="dxa" w:w="4238"/>
          </w:tcPr>
          <w:p>
            <w:r>
              <w:rPr/>
              <w:t>投标（报价）总金额是固定价且是唯一的，未超过本项目（包组）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r>
        <w:tc>
          <w:tcPr>
            <w:tcW w:type="dxa" w:w="890"/>
          </w:tcPr>
          <w:p>
            <w:r>
              <w:rPr/>
              <w:t>2</w:t>
            </w:r>
          </w:p>
        </w:tc>
        <w:tc>
          <w:tcPr>
            <w:tcW w:type="dxa" w:w="3178"/>
          </w:tcPr>
          <w:p>
            <w:r>
              <w:rPr/>
              <w:t>报价漏项</w:t>
            </w:r>
          </w:p>
        </w:tc>
        <w:tc>
          <w:tcPr>
            <w:tcW w:type="dxa" w:w="4238"/>
          </w:tcPr>
          <w:p>
            <w:r>
              <w:rPr/>
              <w:t>对标的没有报价漏项。</w:t>
            </w:r>
          </w:p>
        </w:tc>
      </w:tr>
      <w:tr>
        <w:tc>
          <w:tcPr>
            <w:tcW w:type="dxa" w:w="890"/>
          </w:tcPr>
          <w:p>
            <w:r>
              <w:rPr/>
              <w:t>3</w:t>
            </w:r>
          </w:p>
        </w:tc>
        <w:tc>
          <w:tcPr>
            <w:tcW w:type="dxa" w:w="3178"/>
          </w:tcPr>
          <w:p>
            <w:r>
              <w:rPr/>
              <w:t>投标函</w:t>
            </w:r>
          </w:p>
        </w:tc>
        <w:tc>
          <w:tcPr>
            <w:tcW w:type="dxa" w:w="4238"/>
          </w:tcPr>
          <w:p>
            <w:r>
              <w:rPr/>
              <w:t>提交投标函。投标文件完整，投标内容基本完整，无重大错漏，并按要求签署、盖章。法定代表人/负责人资格证明书及授权委托书，按对应格式文件签署、盖章（原件）。</w:t>
            </w:r>
          </w:p>
        </w:tc>
      </w:tr>
      <w:tr>
        <w:tc>
          <w:tcPr>
            <w:tcW w:type="dxa" w:w="890"/>
          </w:tcPr>
          <w:p>
            <w:r>
              <w:rPr/>
              <w:t>4</w:t>
            </w:r>
          </w:p>
        </w:tc>
        <w:tc>
          <w:tcPr>
            <w:tcW w:type="dxa" w:w="3178"/>
          </w:tcPr>
          <w:p>
            <w:r>
              <w:rPr/>
              <w:t>“★”号条款</w:t>
            </w:r>
          </w:p>
        </w:tc>
        <w:tc>
          <w:tcPr>
            <w:tcW w:type="dxa" w:w="4238"/>
          </w:tcPr>
          <w:p>
            <w:r>
              <w:rPr/>
              <w:t>“★”号条款满足招标文件要求。</w:t>
            </w:r>
          </w:p>
        </w:tc>
      </w:tr>
      <w:tr>
        <w:tc>
          <w:tcPr>
            <w:tcW w:type="dxa" w:w="890"/>
          </w:tcPr>
          <w:p>
            <w:r>
              <w:rPr/>
              <w:t>5</w:t>
            </w:r>
          </w:p>
        </w:tc>
        <w:tc>
          <w:tcPr>
            <w:tcW w:type="dxa" w:w="3178"/>
          </w:tcPr>
          <w:p>
            <w:r>
              <w:rPr/>
              <w:t>附加条件</w:t>
            </w:r>
          </w:p>
        </w:tc>
        <w:tc>
          <w:tcPr>
            <w:tcW w:type="dxa" w:w="4238"/>
          </w:tcPr>
          <w:p>
            <w:r>
              <w:rPr/>
              <w:t>投标文件未含有采购人不可接受的附加条件。</w:t>
            </w:r>
          </w:p>
        </w:tc>
      </w:tr>
      <w:tr>
        <w:tc>
          <w:tcPr>
            <w:tcW w:type="dxa" w:w="890"/>
          </w:tcPr>
          <w:p>
            <w:r>
              <w:rPr/>
              <w:t>6</w:t>
            </w:r>
          </w:p>
        </w:tc>
        <w:tc>
          <w:tcPr>
            <w:tcW w:type="dxa" w:w="3178"/>
          </w:tcPr>
          <w:p>
            <w:r>
              <w:rPr/>
              <w:t>报价修正</w:t>
            </w:r>
          </w:p>
        </w:tc>
        <w:tc>
          <w:tcPr>
            <w:tcW w:type="dxa" w:w="4238"/>
          </w:tcPr>
          <w:p>
            <w:r>
              <w:rPr/>
              <w:t>如有报价修正的，投标人按规定要求书面确认。</w:t>
            </w:r>
          </w:p>
        </w:tc>
      </w:tr>
      <w:tr>
        <w:tc>
          <w:tcPr>
            <w:tcW w:type="dxa" w:w="890"/>
          </w:tcPr>
          <w:p>
            <w:r>
              <w:rPr/>
              <w:t>7</w:t>
            </w:r>
          </w:p>
        </w:tc>
        <w:tc>
          <w:tcPr>
            <w:tcW w:type="dxa" w:w="3178"/>
          </w:tcPr>
          <w:p>
            <w:r>
              <w:rPr/>
              <w:t>投标有效期</w:t>
            </w:r>
          </w:p>
        </w:tc>
        <w:tc>
          <w:tcPr>
            <w:tcW w:type="dxa" w:w="4238"/>
          </w:tcPr>
          <w:p>
            <w:r>
              <w:rPr/>
              <w:t>投标有效期为投标截止日起不少于90天。</w:t>
            </w:r>
          </w:p>
        </w:tc>
      </w:tr>
      <w:tr>
        <w:tc>
          <w:tcPr>
            <w:tcW w:type="dxa" w:w="890"/>
          </w:tcPr>
          <w:p>
            <w:r>
              <w:rPr/>
              <w:t>8</w:t>
            </w:r>
          </w:p>
        </w:tc>
        <w:tc>
          <w:tcPr>
            <w:tcW w:type="dxa" w:w="3178"/>
          </w:tcPr>
          <w:p>
            <w:r>
              <w:rPr/>
              <w:t>按评审顺序，不是合同包1（采购包1）的第一中标候选人</w:t>
            </w:r>
          </w:p>
        </w:tc>
        <w:tc>
          <w:tcPr>
            <w:tcW w:type="dxa" w:w="4238"/>
          </w:tcPr>
          <w:p>
            <w:r>
              <w:rPr/>
              <w:t>按评审顺序，不是合同包1（采购包1）的第一中标候选人。</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采购包1(城东街道和黄岗街道辖区的服务):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技术部分70.0分</w:t>
            </w:r>
          </w:p>
          <w:p>
            <w:r>
              <w:rPr/>
              <w:t>报价得分20.0分</w:t>
            </w:r>
          </w:p>
        </w:tc>
      </w:tr>
      <w:tr>
        <w:tc>
          <w:tcPr>
            <w:tcW w:type="dxa" w:w="922"/>
            <w:gridSpan w:val="2"/>
            <w:vMerge w:val="restart"/>
          </w:tcPr>
          <w:p>
            <w:pPr>
              <w:jc w:val="center"/>
            </w:pPr>
            <w:r>
              <w:rPr/>
              <w:t>技术部分</w:t>
            </w:r>
          </w:p>
        </w:tc>
        <w:tc>
          <w:tcPr>
            <w:tcW w:type="dxa" w:w="2307"/>
          </w:tcPr>
          <w:p>
            <w:pPr>
              <w:jc w:val="left"/>
            </w:pPr>
            <w:r>
              <w:rPr/>
              <w:t>项目理解及熟悉程度  (10.0分)</w:t>
            </w:r>
          </w:p>
        </w:tc>
        <w:tc>
          <w:tcPr>
            <w:tcW w:type="dxa" w:w="5076"/>
          </w:tcPr>
          <w:p>
            <w:pPr>
              <w:jc w:val="left"/>
            </w:pPr>
            <w:r>
              <w:rPr/>
              <w:t>结合端州区城区实际，根据响应供应商提供的项目理解及熟悉程度进行综合评审： 1.能提供对项目实施背景理解的，得2分，不提供不得分；如未能提供对项目实施背景理解的，以下评分项均不得分。 2.对项目理解及熟悉程度方案涵盖了端州区城区卫生害虫种类、栖息部位、密度状况及孳生环境的，得2分。提供不齐全不得分。 3.对端州区城区卫生害虫种类、栖息部位、密度状况及孳生环境的了解全面，内容完整详细且重点突出，完全满足且优于采购需求的，得6分； 对端州区城区卫生害虫种类、栖息部位、密度状况及孳生环境的了解程度一般，内容完整度一般，完全满足采购需求的，得3分； 对端州区城区卫生害虫种类、栖息部位、密度状况及孳生环境不够了解，内容不完全满足采购需求的，得2分。</w:t>
            </w:r>
          </w:p>
        </w:tc>
      </w:tr>
      <w:tr>
        <w:tc>
          <w:tcPr>
            <w:tcW w:type="dxa" w:w="922"/>
            <w:gridSpan w:val="2"/>
            <w:vMerge/>
          </w:tcPr>
          <w:p/>
        </w:tc>
        <w:tc>
          <w:tcPr>
            <w:tcW w:type="dxa" w:w="2307"/>
          </w:tcPr>
          <w:p>
            <w:pPr>
              <w:jc w:val="left"/>
            </w:pPr>
            <w:r>
              <w:rPr/>
              <w:t>总体服务实施方案  (10.0分)</w:t>
            </w:r>
          </w:p>
        </w:tc>
        <w:tc>
          <w:tcPr>
            <w:tcW w:type="dxa" w:w="5076"/>
          </w:tcPr>
          <w:p>
            <w:pPr>
              <w:jc w:val="left"/>
            </w:pPr>
            <w:r>
              <w:rPr/>
              <w:t>结合端州区城区实际，根据响应供应商提供的总体服务实施方案进行综合评审： 1.能提供总体服务实施方案的，得2分，不提供不得分；如未能提供总体服务实施方案的，以下评分项均不得分。 2.总体服务实施方案涵盖了项目组织机构、综合防制措施、操作规程、病媒生物（鼠、蚊子、苍蝇、蟑螂）防制措施及防制要点的，得2分。提供不齐全不得分。 3.总体服务实施方案要点突出、内容完整，完全满足且优于采购需求的，得6分； 总体服务实施方案要点内容完整度一般，完全满足采购需求的，得3分； 总体服务实施方案要点不够完整，内容不完全满足采购需求的，得1分。</w:t>
            </w:r>
          </w:p>
        </w:tc>
      </w:tr>
      <w:tr>
        <w:tc>
          <w:tcPr>
            <w:tcW w:type="dxa" w:w="922"/>
            <w:gridSpan w:val="2"/>
            <w:vMerge/>
          </w:tcPr>
          <w:p/>
        </w:tc>
        <w:tc>
          <w:tcPr>
            <w:tcW w:type="dxa" w:w="2307"/>
          </w:tcPr>
          <w:p>
            <w:pPr>
              <w:jc w:val="left"/>
            </w:pPr>
            <w:r>
              <w:rPr/>
              <w:t>项目管理制度方案  (10.0分)</w:t>
            </w:r>
          </w:p>
        </w:tc>
        <w:tc>
          <w:tcPr>
            <w:tcW w:type="dxa" w:w="5076"/>
          </w:tcPr>
          <w:p>
            <w:pPr>
              <w:jc w:val="left"/>
            </w:pPr>
            <w:r>
              <w:rPr/>
              <w:t>根据响应供应商提供的项目管理制度方案进行综合评审： 1.能提供项目管理制度方案的，得2分，不提供不得分；如未能提供项目管理制度方案的，以下评分项均不得分。 2.项目管理制度方案涵盖了药品仓库管理、器械使用及管理、安全用药制度、施工现场管理的，得2分。提供不齐全不得分。 3.项目管理制度方案内容完整详细，完全满足且优于采购需求的，得6分； 项目管理制度方案内容完整度一般，完全满足采购需求的，得3分； 项目管理制度方案内容不够完整，内容不完全满足采购需求的，得1分。</w:t>
            </w:r>
          </w:p>
        </w:tc>
      </w:tr>
      <w:tr>
        <w:tc>
          <w:tcPr>
            <w:tcW w:type="dxa" w:w="922"/>
            <w:gridSpan w:val="2"/>
            <w:vMerge/>
          </w:tcPr>
          <w:p/>
        </w:tc>
        <w:tc>
          <w:tcPr>
            <w:tcW w:type="dxa" w:w="2307"/>
          </w:tcPr>
          <w:p>
            <w:pPr>
              <w:jc w:val="left"/>
            </w:pPr>
            <w:r>
              <w:rPr/>
              <w:t>安全防护措施 (10.0分)</w:t>
            </w:r>
          </w:p>
        </w:tc>
        <w:tc>
          <w:tcPr>
            <w:tcW w:type="dxa" w:w="5076"/>
          </w:tcPr>
          <w:p>
            <w:pPr>
              <w:jc w:val="left"/>
            </w:pPr>
            <w:r>
              <w:rPr/>
              <w:t>结合端州区城区实际，根据响应供应商提供的安全防护措施进行综合评审： 1.能提供安全防护措施方案的，得2分，不提供不得分；如未能提供安全防护措施方案的，以下评分项均不得分。 2.安全防护措施方案涵盖了个人防护措施、安全操作制度、防止环境污染措施、安全注意事项的，得2分。提供不齐全不得分。 3.安全防护措施方案完整详细且重点突出，完全满足且优于采购需求的，得6分； 安全防护措施方案完整度一般，完全满足采购需求的，得3分； 安全防护措施方案不完全满足采购需求的，得1分。</w:t>
            </w:r>
          </w:p>
        </w:tc>
      </w:tr>
      <w:tr>
        <w:tc>
          <w:tcPr>
            <w:tcW w:type="dxa" w:w="922"/>
            <w:gridSpan w:val="2"/>
            <w:vMerge/>
          </w:tcPr>
          <w:p/>
        </w:tc>
        <w:tc>
          <w:tcPr>
            <w:tcW w:type="dxa" w:w="2307"/>
          </w:tcPr>
          <w:p>
            <w:pPr>
              <w:jc w:val="left"/>
            </w:pPr>
            <w:r>
              <w:rPr/>
              <w:t>突发公共卫生事件应急预案 (10.0分)</w:t>
            </w:r>
          </w:p>
        </w:tc>
        <w:tc>
          <w:tcPr>
            <w:tcW w:type="dxa" w:w="5076"/>
          </w:tcPr>
          <w:p>
            <w:pPr>
              <w:jc w:val="left"/>
            </w:pPr>
            <w:r>
              <w:rPr/>
              <w:t>根据响应供应商提供的突发公共卫生事件应急预案进行综合评审： 1.能提供突发公共卫生事件应急预案的，得2分，不提供不得分；如未能提供突发公共卫生事件应急预案的，以下评分项均不得分。 2.突发公共卫生事件应急预案涵盖了鼠、蚊虫、蟑螂、苍蝇传播的病媒传染病的应急处置措施，得2分。提供不齐全不得分。 3.突发公共卫生事件应急预案完整详细且重点突出，完全满足且优于采购需求的，得6分； 突发公共卫生事件应急预案完整度一般，完全满足采购需求的，得3分； 突发公共卫生事件应急预案不完全满足采购需求的，得1分。</w:t>
            </w:r>
          </w:p>
        </w:tc>
      </w:tr>
      <w:tr>
        <w:tc>
          <w:tcPr>
            <w:tcW w:type="dxa" w:w="922"/>
            <w:gridSpan w:val="2"/>
            <w:vMerge/>
          </w:tcPr>
          <w:p/>
        </w:tc>
        <w:tc>
          <w:tcPr>
            <w:tcW w:type="dxa" w:w="2307"/>
          </w:tcPr>
          <w:p>
            <w:pPr>
              <w:jc w:val="left"/>
            </w:pPr>
            <w:r>
              <w:rPr/>
              <w:t>质量保证措施 (10.0分)</w:t>
            </w:r>
          </w:p>
        </w:tc>
        <w:tc>
          <w:tcPr>
            <w:tcW w:type="dxa" w:w="5076"/>
          </w:tcPr>
          <w:p>
            <w:pPr>
              <w:jc w:val="left"/>
            </w:pPr>
            <w:r>
              <w:rPr/>
              <w:t>根据响应供应商提供的质量保证措施进行综合评审： 1.能提供质量保证措施的，得2分，不提供不得分；如未能提供质量保证措施方案的，以下评分项均不得分。 2.质量保证措施涵盖了质量保证措施、药品质量保证、监测评估、整改处理的，得2分。提供不齐全不得分。 3.质量保证措施内容完整详细且重点突出，完全满足且优于采购需求的，得6分； 质量保证措施完整度一般，完全满足采购需求的，得3分； 质量保证措施不完全满足采购需求的，得1分。</w:t>
            </w:r>
          </w:p>
        </w:tc>
      </w:tr>
      <w:tr>
        <w:tc>
          <w:tcPr>
            <w:tcW w:type="dxa" w:w="922"/>
            <w:gridSpan w:val="2"/>
            <w:vMerge/>
          </w:tcPr>
          <w:p/>
        </w:tc>
        <w:tc>
          <w:tcPr>
            <w:tcW w:type="dxa" w:w="2307"/>
          </w:tcPr>
          <w:p>
            <w:pPr>
              <w:jc w:val="left"/>
            </w:pPr>
            <w:r>
              <w:rPr/>
              <w:t>后续服务方案 (10.0分)</w:t>
            </w:r>
          </w:p>
        </w:tc>
        <w:tc>
          <w:tcPr>
            <w:tcW w:type="dxa" w:w="5076"/>
          </w:tcPr>
          <w:p>
            <w:pPr>
              <w:jc w:val="left"/>
            </w:pPr>
            <w:r>
              <w:rPr/>
              <w:t>根据响应供应商提供的后续服务方案进行综合评审： 1.能提供后续服务方案的，得2分，不提供不得分；如未能提供后续服务方案的，以下评分项均不得分。 2.后续服务方案涵盖了响应时间、到场时间、问题解决时间、服务点设置（服务网点、人员及电话）、增值服务承诺的，得2分。提供不齐全不得分。 3.后续服务方案内容完整详细且重点突出，完全满足且优于采购需求的，得6分； 后续服务方案完整度一般，完全满足采购需求的，得3分； 后续服务方案不完全满足采购需求的，得1分。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供应商2020年1月1日起至今具有病媒生物防制消杀类似项目业绩，每提供一项得1分，最高得5分。 注：业绩证明材料以合同复印件并加盖公章作为依据，以合同签订时间为准，没有提供有效证明材料的不得分。</w:t>
            </w:r>
          </w:p>
        </w:tc>
      </w:tr>
      <w:tr>
        <w:tc>
          <w:tcPr>
            <w:tcW w:type="dxa" w:w="922"/>
            <w:gridSpan w:val="2"/>
            <w:vMerge/>
          </w:tcPr>
          <w:p/>
        </w:tc>
        <w:tc>
          <w:tcPr>
            <w:tcW w:type="dxa" w:w="2307"/>
          </w:tcPr>
          <w:p>
            <w:pPr>
              <w:jc w:val="left"/>
            </w:pPr>
            <w:r>
              <w:rPr/>
              <w:t>投标人可投入设备能力 (5.0分)</w:t>
            </w:r>
          </w:p>
        </w:tc>
        <w:tc>
          <w:tcPr>
            <w:tcW w:type="dxa" w:w="5076"/>
          </w:tcPr>
          <w:p>
            <w:pPr>
              <w:jc w:val="left"/>
            </w:pPr>
            <w:r>
              <w:rPr/>
              <w:t>根据供应商提供的消杀设备数量进行评审： 具有1辆消杀车辆（车辆外观需具有消杀专用标志）的，得2分，每增加1辆加1.5分，本小项最多得5分； 注：以提供车辆购买发票或租赁凭证、车辆行驶证、机动车登记证、车辆外观图片等证明材料复印件并加盖公章，没有提供或提供不全不得分。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采购包2(城西街道和睦岗街道辖区的服务):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技术部分70.0分</w:t>
            </w:r>
          </w:p>
          <w:p>
            <w:r>
              <w:rPr/>
              <w:t>报价得分20.0分</w:t>
            </w:r>
          </w:p>
        </w:tc>
      </w:tr>
      <w:tr>
        <w:tc>
          <w:tcPr>
            <w:tcW w:type="dxa" w:w="922"/>
            <w:gridSpan w:val="2"/>
            <w:vMerge w:val="restart"/>
          </w:tcPr>
          <w:p>
            <w:pPr>
              <w:jc w:val="center"/>
            </w:pPr>
            <w:r>
              <w:rPr/>
              <w:t>技术部分</w:t>
            </w:r>
          </w:p>
        </w:tc>
        <w:tc>
          <w:tcPr>
            <w:tcW w:type="dxa" w:w="2307"/>
          </w:tcPr>
          <w:p>
            <w:pPr>
              <w:jc w:val="left"/>
            </w:pPr>
            <w:r>
              <w:rPr/>
              <w:t>项目理解及熟悉程度 (10.0分)</w:t>
            </w:r>
          </w:p>
        </w:tc>
        <w:tc>
          <w:tcPr>
            <w:tcW w:type="dxa" w:w="5076"/>
          </w:tcPr>
          <w:p>
            <w:pPr>
              <w:jc w:val="left"/>
            </w:pPr>
            <w:r>
              <w:rPr/>
              <w:t>结合端州区城区实际，根据响应供应商提供的项目理解及熟悉程度进行综合评审： 1.能提供对项目实施背景理解的，得2分，不提供不得分；如未能提供对项目实施背景理解的，以下评分项均不得分。 2.对项目理解及熟悉程度方案涵盖了端州区城区卫生害虫种类、栖息部位、密度状况及孳生环境的，得2分。提供不齐全不得分。 3.对端州区城区卫生害虫种类、栖息部位、密度状况及孳生环境的了解全面，内容完整详细且重点突出，完全满足且优于采购需求的，得6分； 对端州区城区卫生害虫种类、栖息部位、密度状况及孳生环境的了解程度一般，内容完整度一般，完全满足采购需求的，得3分； 对端州区城区卫生害虫种类、栖息部位、密度状况及孳生环境不够了解，内容不完全满足采购需求的，得2分。</w:t>
            </w:r>
          </w:p>
        </w:tc>
      </w:tr>
      <w:tr>
        <w:tc>
          <w:tcPr>
            <w:tcW w:type="dxa" w:w="922"/>
            <w:gridSpan w:val="2"/>
            <w:vMerge/>
          </w:tcPr>
          <w:p/>
        </w:tc>
        <w:tc>
          <w:tcPr>
            <w:tcW w:type="dxa" w:w="2307"/>
          </w:tcPr>
          <w:p>
            <w:pPr>
              <w:jc w:val="left"/>
            </w:pPr>
            <w:r>
              <w:rPr/>
              <w:t>总体服务实施方案  (10.0分)</w:t>
            </w:r>
          </w:p>
        </w:tc>
        <w:tc>
          <w:tcPr>
            <w:tcW w:type="dxa" w:w="5076"/>
          </w:tcPr>
          <w:p>
            <w:pPr>
              <w:jc w:val="left"/>
            </w:pPr>
            <w:r>
              <w:rPr/>
              <w:t>结合端州区城区实际，根据响应供应商提供的总体服务实施方案进行综合评审： 1.能提供总体服务实施方案的，得2分，不提供不得分；如未能提供总体服务实施方案的，以下评分项均不得分。 2.总体服务实施方案涵盖了项目组织机构、综合防制措施、操作规程、病媒生物（鼠、蚊子、苍蝇、蟑螂）防制措施及防制要点的，得2分。提供不齐全不得分。 3.总体服务实施方案要点突出、内容完整，完全满足且优于采购需求的，得6分； 总体服务实施方案要点内容完整度一般，完全满足采购需求的，得3分； 总体服务实施方案要点不够完整，内容不完全满足采购需求的，得1分。</w:t>
            </w:r>
          </w:p>
        </w:tc>
      </w:tr>
      <w:tr>
        <w:tc>
          <w:tcPr>
            <w:tcW w:type="dxa" w:w="922"/>
            <w:gridSpan w:val="2"/>
            <w:vMerge/>
          </w:tcPr>
          <w:p/>
        </w:tc>
        <w:tc>
          <w:tcPr>
            <w:tcW w:type="dxa" w:w="2307"/>
          </w:tcPr>
          <w:p>
            <w:pPr>
              <w:jc w:val="left"/>
            </w:pPr>
            <w:r>
              <w:rPr/>
              <w:t>项目管理制度方案   (10.0分)</w:t>
            </w:r>
          </w:p>
        </w:tc>
        <w:tc>
          <w:tcPr>
            <w:tcW w:type="dxa" w:w="5076"/>
          </w:tcPr>
          <w:p>
            <w:pPr>
              <w:jc w:val="left"/>
            </w:pPr>
            <w:r>
              <w:rPr/>
              <w:t>根据响应供应商提供的项目管理制度方案进行综合评审： 1.能提供项目管理制度方案的，得2分，不提供不得分；如未能提供项目管理制度方案的，以下评分项均不得分。 2.项目管理制度方案涵盖了药品仓库管理、器械使用及管理、安全用药制度、施工现场管理的，得2分。提供不齐全不得分。 3.项目管理制度方案内容完整详细，完全满足且优于采购需求的，得6分； 项目管理制度方案内容完整度一般，完全满足采购需求的，得3分； 项目管理制度方案内容不够完整，内容不完全满足采购需求的，得1分。</w:t>
            </w:r>
          </w:p>
        </w:tc>
      </w:tr>
      <w:tr>
        <w:tc>
          <w:tcPr>
            <w:tcW w:type="dxa" w:w="922"/>
            <w:gridSpan w:val="2"/>
            <w:vMerge/>
          </w:tcPr>
          <w:p/>
        </w:tc>
        <w:tc>
          <w:tcPr>
            <w:tcW w:type="dxa" w:w="2307"/>
          </w:tcPr>
          <w:p>
            <w:pPr>
              <w:jc w:val="left"/>
            </w:pPr>
            <w:r>
              <w:rPr/>
              <w:t>安全防护措施 (10.0分)</w:t>
            </w:r>
          </w:p>
        </w:tc>
        <w:tc>
          <w:tcPr>
            <w:tcW w:type="dxa" w:w="5076"/>
          </w:tcPr>
          <w:p>
            <w:pPr>
              <w:jc w:val="left"/>
            </w:pPr>
            <w:r>
              <w:rPr/>
              <w:t>结合端州区城区实际，根据响应供应商提供的安全防护措施进行综合评审： 1.能提供安全防护措施方案的，得2分，不提供不得分；如未能提供安全防护措施方案的，以下评分项均不得分。 2.安全防护措施方案涵盖了个人防护措施、安全操作制度、防止环境污染措施、安全注意事项的，得2分。提供不齐全不得分。 3.安全防护措施方案完整详细且重点突出，完全满足且优于采购需求的，得6分； 安全防护措施方案完整度一般，完全满足采购需求的，得3分； 安全防护措施方案不完全满足采购需求的，得1分。</w:t>
            </w:r>
          </w:p>
        </w:tc>
      </w:tr>
      <w:tr>
        <w:tc>
          <w:tcPr>
            <w:tcW w:type="dxa" w:w="922"/>
            <w:gridSpan w:val="2"/>
            <w:vMerge/>
          </w:tcPr>
          <w:p/>
        </w:tc>
        <w:tc>
          <w:tcPr>
            <w:tcW w:type="dxa" w:w="2307"/>
          </w:tcPr>
          <w:p>
            <w:pPr>
              <w:jc w:val="left"/>
            </w:pPr>
            <w:r>
              <w:rPr/>
              <w:t>突发公共卫生事件应急预案 (10.0分)</w:t>
            </w:r>
          </w:p>
        </w:tc>
        <w:tc>
          <w:tcPr>
            <w:tcW w:type="dxa" w:w="5076"/>
          </w:tcPr>
          <w:p>
            <w:pPr>
              <w:jc w:val="left"/>
            </w:pPr>
            <w:r>
              <w:rPr/>
              <w:t>根据响应供应商提供的突发公共卫生事件应急预案进行综合评审： 1.能提供突发公共卫生事件应急预案的，得2分，不提供不得分；如未能提供突发公共卫生事件应急预案的，以下评分项均不得分。 2.突发公共卫生事件应急预案涵盖了鼠、蚊虫、蟑螂、苍蝇传播的病媒传染病的应急处置措施，得2分。提供不齐全不得分。 3.突发公共卫生事件应急预案完整详细且重点突出，完全满足且优于采购需求的，得6分； 突发公共卫生事件应急预案完整度一般，完全满足采购需求的，得3分； 突发公共卫生事件应急预案不完全满足采购需求的，得1分。</w:t>
            </w:r>
          </w:p>
        </w:tc>
      </w:tr>
      <w:tr>
        <w:tc>
          <w:tcPr>
            <w:tcW w:type="dxa" w:w="922"/>
            <w:gridSpan w:val="2"/>
            <w:vMerge/>
          </w:tcPr>
          <w:p/>
        </w:tc>
        <w:tc>
          <w:tcPr>
            <w:tcW w:type="dxa" w:w="2307"/>
          </w:tcPr>
          <w:p>
            <w:pPr>
              <w:jc w:val="left"/>
            </w:pPr>
            <w:r>
              <w:rPr/>
              <w:t>质量保证措施 (10.0分)</w:t>
            </w:r>
          </w:p>
        </w:tc>
        <w:tc>
          <w:tcPr>
            <w:tcW w:type="dxa" w:w="5076"/>
          </w:tcPr>
          <w:p>
            <w:pPr>
              <w:jc w:val="left"/>
            </w:pPr>
            <w:r>
              <w:rPr/>
              <w:t>根据响应供应商提供的质量保证措施进行综合评审： 1.能提供质量保证措施的，得2分，不提供不得分；如未能提供质量保证措施方案的，以下评分项均不得分。 2.质量保证措施涵盖了质量保证措施、药品质量保证、监测评估、整改处理的，得2分。提供不齐全不得分。 3.质量保证措施内容完整详细且重点突出，完全满足且优于采购需求的，得6分； 质量保证措施完整度一般，完全满足采购需求的，得3分； 质量保证措施不完全满足采购需求的，得1分。</w:t>
            </w:r>
          </w:p>
        </w:tc>
      </w:tr>
      <w:tr>
        <w:tc>
          <w:tcPr>
            <w:tcW w:type="dxa" w:w="922"/>
            <w:gridSpan w:val="2"/>
            <w:vMerge/>
          </w:tcPr>
          <w:p/>
        </w:tc>
        <w:tc>
          <w:tcPr>
            <w:tcW w:type="dxa" w:w="2307"/>
          </w:tcPr>
          <w:p>
            <w:pPr>
              <w:jc w:val="left"/>
            </w:pPr>
            <w:r>
              <w:rPr/>
              <w:t>后续服务方案 (10.0分)</w:t>
            </w:r>
          </w:p>
        </w:tc>
        <w:tc>
          <w:tcPr>
            <w:tcW w:type="dxa" w:w="5076"/>
          </w:tcPr>
          <w:p>
            <w:pPr>
              <w:jc w:val="left"/>
            </w:pPr>
            <w:r>
              <w:rPr/>
              <w:t>根据响应供应商提供的后续服务方案进行综合评审： 1.能提供后续服务方案的，得2分，不提供不得分；如未能提供后续服务方案的，以下评分项均不得分。 2.后续服务方案涵盖了响应时间、到场时间、问题解决时间、服务点设置（服务网点、人员及电话）、增值服务承诺的，得2分。提供不齐全不得分。 3.后续服务方案内容完整详细且重点突出，完全满足且优于采购需求的，得6分； 后续服务方案完整度一般，完全满足采购需求的，得3分； 后续服务方案不完全满足采购需求的，得1分。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供应商2020年1月1日起至今具有病媒生物防制消杀类似项目业绩，每提供一项得1分，最高得5分。 注：业绩证明材料以合同复印件并加盖公章作为依据，以合同签订时间为准，没有提供有效证明材料的不得分。</w:t>
            </w:r>
          </w:p>
        </w:tc>
      </w:tr>
      <w:tr>
        <w:tc>
          <w:tcPr>
            <w:tcW w:type="dxa" w:w="922"/>
            <w:gridSpan w:val="2"/>
            <w:vMerge/>
          </w:tcPr>
          <w:p/>
        </w:tc>
        <w:tc>
          <w:tcPr>
            <w:tcW w:type="dxa" w:w="2307"/>
          </w:tcPr>
          <w:p>
            <w:pPr>
              <w:jc w:val="left"/>
            </w:pPr>
            <w:r>
              <w:rPr/>
              <w:t>投标人可投入设备能力 (5.0分)</w:t>
            </w:r>
          </w:p>
        </w:tc>
        <w:tc>
          <w:tcPr>
            <w:tcW w:type="dxa" w:w="5076"/>
          </w:tcPr>
          <w:p>
            <w:pPr>
              <w:jc w:val="left"/>
            </w:pPr>
            <w:r>
              <w:rPr/>
              <w:t>根据供应商提供的消杀设备数量进行评审： 具有1辆消杀车辆（车辆外观需具有消杀专用标志）的，得2分，每增加1辆加1.5分，本小项最多得5分； 注：以提供车辆购买发票或租赁凭证、车辆行驶证、机动车登记证、车辆外观图片等证明材料复印件并加盖公章，没有提供或提供不全不得分。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color w:val="222222"/>
          <w:sz w:val="48"/>
        </w:rPr>
        <w:t>广东省政府采购</w:t>
      </w:r>
    </w:p>
    <w:p>
      <w:pPr>
        <w:jc w:val="both"/>
      </w:pPr>
      <w:r>
        <w:rPr>
          <w:sz w:val="24"/>
        </w:rPr>
        <w:t xml:space="preserve"> </w:t>
      </w:r>
    </w:p>
    <w:p>
      <w:pPr>
        <w:jc w:val="center"/>
      </w:pPr>
      <w:r>
        <w:rPr>
          <w:b/>
          <w:color w:val="222222"/>
          <w:sz w:val="48"/>
        </w:rPr>
        <w:t>合　同　书</w:t>
      </w:r>
    </w:p>
    <w:p>
      <w:pPr>
        <w:jc w:val="center"/>
      </w:pPr>
      <w:r>
        <w:br/>
      </w:r>
      <w:r>
        <w:br/>
      </w:r>
      <w:r>
        <w:br/>
      </w:r>
      <w:r>
        <w:br/>
      </w:r>
      <w:r>
        <w:br/>
      </w:r>
      <w:r>
        <w:br/>
      </w:r>
      <w:r>
        <w:br/>
      </w:r>
      <w:r>
        <w:br/>
      </w:r>
      <w:r>
        <w:rPr>
          <w:sz w:val="24"/>
        </w:rPr>
        <w:t xml:space="preserve"> </w:t>
      </w:r>
    </w:p>
    <w:p>
      <w:pPr>
        <w:jc w:val="left"/>
      </w:pPr>
      <w:r>
        <w:rPr>
          <w:color w:val="222222"/>
          <w:sz w:val="28"/>
        </w:rPr>
        <w:t>采购计划编号：</w:t>
      </w:r>
      <w:r>
        <w:rPr>
          <w:sz w:val="24"/>
        </w:rPr>
        <w:t xml:space="preserve">                          </w:t>
      </w:r>
    </w:p>
    <w:p>
      <w:pPr>
        <w:jc w:val="left"/>
      </w:pPr>
      <w:r>
        <w:rPr>
          <w:sz w:val="24"/>
        </w:rPr>
        <w:t xml:space="preserve"> </w:t>
      </w:r>
    </w:p>
    <w:p>
      <w:pPr>
        <w:jc w:val="left"/>
      </w:pPr>
      <w:r>
        <w:rPr>
          <w:color w:val="222222"/>
          <w:sz w:val="28"/>
        </w:rPr>
        <w:t>项目编号：</w:t>
      </w:r>
      <w:r>
        <w:rPr>
          <w:sz w:val="24"/>
        </w:rPr>
        <w:t xml:space="preserve">                              </w:t>
      </w:r>
    </w:p>
    <w:p>
      <w:pPr>
        <w:jc w:val="left"/>
      </w:pPr>
      <w:r>
        <w:rPr>
          <w:sz w:val="24"/>
        </w:rPr>
        <w:t xml:space="preserve"> </w:t>
      </w:r>
    </w:p>
    <w:p>
      <w:pPr>
        <w:jc w:val="left"/>
      </w:pPr>
      <w:r>
        <w:rPr>
          <w:color w:val="222222"/>
          <w:sz w:val="28"/>
        </w:rPr>
        <w:t>项目名称：</w:t>
      </w:r>
      <w:r>
        <w:rPr>
          <w:color w:val="222222"/>
          <w:sz w:val="28"/>
        </w:rPr>
        <w:t xml:space="preserve"> </w:t>
      </w:r>
    </w:p>
    <w:p>
      <w:pPr>
        <w:jc w:val="left"/>
      </w:pPr>
    </w:p>
    <w:p>
      <w:pPr>
        <w:jc w:val="left"/>
      </w:pPr>
      <w:r>
        <w:rPr>
          <w:color w:val="222222"/>
          <w:sz w:val="28"/>
        </w:rPr>
        <w:t>合同包</w:t>
      </w:r>
      <w:r>
        <w:rPr>
          <w:color w:val="222222"/>
          <w:sz w:val="28"/>
        </w:rPr>
        <w:t>1：</w:t>
      </w:r>
      <w:r>
        <w:rPr>
          <w:color w:val="222222"/>
          <w:sz w:val="28"/>
        </w:rPr>
        <w:t xml:space="preserve"> </w:t>
      </w:r>
      <w:r>
        <w:rPr>
          <w:color w:val="222222"/>
          <w:sz w:val="28"/>
        </w:rPr>
        <w:t>城东街道和黄岗街道辖区的服务</w:t>
      </w:r>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pPr>
        <w:jc w:val="both"/>
      </w:pPr>
      <w:r>
        <w:br/>
      </w:r>
      <w:r>
        <w:rPr>
          <w:sz w:val="24"/>
        </w:rPr>
        <w:t xml:space="preserve"> </w:t>
      </w:r>
    </w:p>
    <w:p/>
    <w:p/>
    <w:p>
      <w:r>
        <w:rPr/>
        <w:t xml:space="preserve"> </w:t>
      </w:r>
    </w:p>
    <w:p>
      <w:pPr>
        <w:jc w:val="both"/>
      </w:pPr>
      <w:r>
        <w:rPr>
          <w:b/>
          <w:color w:val="222222"/>
          <w:sz w:val="27"/>
        </w:rPr>
        <w:t>甲方：</w:t>
      </w:r>
      <w:r>
        <w:rPr>
          <w:b/>
          <w:color w:val="222222"/>
          <w:sz w:val="27"/>
        </w:rPr>
        <w:t xml:space="preserve"> </w:t>
      </w:r>
    </w:p>
    <w:p>
      <w:pPr>
        <w:jc w:val="both"/>
      </w:pPr>
      <w:r>
        <w:rPr>
          <w:color w:val="222222"/>
          <w:sz w:val="27"/>
        </w:rPr>
        <w:t>电话：</w:t>
      </w:r>
      <w:r>
        <w:rPr>
          <w:b/>
          <w:sz w:val="24"/>
        </w:rPr>
        <w:t xml:space="preserve"> </w:t>
      </w:r>
      <w:r>
        <w:rPr>
          <w:color w:val="222222"/>
          <w:sz w:val="27"/>
        </w:rPr>
        <w:t>传真</w:t>
      </w:r>
      <w:r>
        <w:rPr>
          <w:color w:val="222222"/>
          <w:sz w:val="27"/>
        </w:rPr>
        <w:t>：</w:t>
      </w:r>
      <w:r>
        <w:rPr>
          <w:b/>
          <w:sz w:val="24"/>
        </w:rPr>
        <w:t xml:space="preserve"> </w:t>
      </w:r>
      <w:r>
        <w:rPr>
          <w:color w:val="222222"/>
          <w:sz w:val="27"/>
        </w:rPr>
        <w:t>地址：</w:t>
      </w:r>
      <w:r>
        <w:rPr>
          <w:b/>
          <w:sz w:val="24"/>
        </w:rPr>
        <w:t xml:space="preserve">  </w:t>
      </w:r>
    </w:p>
    <w:p>
      <w:pPr>
        <w:jc w:val="both"/>
      </w:pPr>
      <w:r>
        <w:rPr>
          <w:b/>
          <w:color w:val="222222"/>
          <w:sz w:val="27"/>
        </w:rPr>
        <w:t>乙方：</w:t>
      </w:r>
      <w:r>
        <w:rPr>
          <w:b/>
          <w:color w:val="222222"/>
          <w:sz w:val="27"/>
        </w:rPr>
        <w:t xml:space="preserve"> </w:t>
      </w:r>
    </w:p>
    <w:p>
      <w:pPr>
        <w:jc w:val="both"/>
      </w:pPr>
      <w:r>
        <w:rPr>
          <w:color w:val="222222"/>
          <w:sz w:val="27"/>
        </w:rPr>
        <w:t>电话：</w:t>
      </w:r>
      <w:r>
        <w:rPr>
          <w:b/>
          <w:sz w:val="24"/>
        </w:rPr>
        <w:t xml:space="preserve">  </w:t>
      </w:r>
      <w:r>
        <w:rPr>
          <w:color w:val="222222"/>
          <w:sz w:val="27"/>
        </w:rPr>
        <w:t>传真：</w:t>
      </w:r>
      <w:r>
        <w:rPr>
          <w:b/>
          <w:sz w:val="24"/>
        </w:rPr>
        <w:t xml:space="preserve">  </w:t>
      </w:r>
      <w:r>
        <w:rPr>
          <w:color w:val="222222"/>
          <w:sz w:val="27"/>
        </w:rPr>
        <w:t>地址：</w:t>
      </w:r>
      <w:r>
        <w:rPr>
          <w:b/>
          <w:sz w:val="24"/>
        </w:rPr>
        <w:t xml:space="preserve">  </w:t>
      </w:r>
    </w:p>
    <w:p>
      <w:pPr>
        <w:jc w:val="both"/>
      </w:pPr>
      <w:r>
        <w:rPr>
          <w:sz w:val="24"/>
        </w:rPr>
        <w:t xml:space="preserve"> </w:t>
      </w:r>
    </w:p>
    <w:p>
      <w:pPr>
        <w:jc w:val="both"/>
      </w:pPr>
      <w:r>
        <w:rPr>
          <w:color w:val="222222"/>
          <w:sz w:val="27"/>
        </w:rPr>
        <w:t xml:space="preserve">  </w:t>
      </w:r>
      <w:r>
        <w:rPr>
          <w:color w:val="222222"/>
          <w:sz w:val="27"/>
        </w:rPr>
        <w:t>根据</w:t>
      </w:r>
      <w:r>
        <w:rPr>
          <w:color w:val="222222"/>
          <w:sz w:val="27"/>
        </w:rPr>
        <w:t xml:space="preserve">         </w:t>
      </w:r>
      <w:r>
        <w:rPr>
          <w:color w:val="222222"/>
          <w:sz w:val="27"/>
        </w:rPr>
        <w:t>项目</w:t>
      </w:r>
      <w:r>
        <w:rPr>
          <w:color w:val="222222"/>
          <w:sz w:val="27"/>
        </w:rPr>
        <w:t>的采购结果，按照《中华人民共和国政府采购法》，《中华人民共和国民法典</w:t>
      </w:r>
      <w:r>
        <w:rPr>
          <w:color w:val="222222"/>
          <w:sz w:val="27"/>
        </w:rPr>
        <w:t>(合同编)》的规定，经双方协商，本着平等互利和诚实信用的原则，一致同意遵守本合同如下。</w:t>
      </w:r>
    </w:p>
    <w:p>
      <w:pPr>
        <w:jc w:val="both"/>
      </w:pPr>
      <w:r>
        <w:rPr>
          <w:b/>
          <w:color w:val="222222"/>
          <w:sz w:val="27"/>
        </w:rPr>
        <w:t>一、合同金额</w:t>
      </w:r>
    </w:p>
    <w:p>
      <w:pPr>
        <w:ind w:firstLine="540"/>
        <w:jc w:val="both"/>
      </w:pPr>
      <w:r>
        <w:rPr>
          <w:color w:val="222222"/>
          <w:sz w:val="27"/>
        </w:rPr>
        <w:t>1.</w:t>
      </w:r>
      <w:r>
        <w:rPr>
          <w:color w:val="222222"/>
          <w:sz w:val="27"/>
        </w:rPr>
        <w:t>合同金额为（大写）：</w:t>
      </w:r>
      <w:r>
        <w:rPr>
          <w:color w:val="222222"/>
          <w:sz w:val="27"/>
        </w:rPr>
        <w:t>_____________元（￥_________元）人民币。</w:t>
      </w:r>
    </w:p>
    <w:p>
      <w:pPr>
        <w:ind w:firstLine="540"/>
        <w:jc w:val="both"/>
      </w:pPr>
      <w:r>
        <w:rPr>
          <w:color w:val="222222"/>
          <w:sz w:val="27"/>
        </w:rPr>
        <w:t>2.合同总价均包括完成该项目的药品费用、人工费、员工意外保险、工伤、医疗、失业、养老保险、管理费、机械设备工具材料费、机械使用费、水费、电费、维修维护费、企业利润、规费、税费、技术指导费、风险费、突发事件处理费等乙方履行本合同过程中应预见和不可预见的一切费用和利润。</w:t>
      </w:r>
    </w:p>
    <w:p>
      <w:pPr>
        <w:jc w:val="both"/>
      </w:pPr>
      <w:r>
        <w:rPr>
          <w:b/>
          <w:color w:val="222222"/>
          <w:sz w:val="27"/>
        </w:rPr>
        <w:t>二、</w:t>
      </w:r>
      <w:r>
        <w:rPr>
          <w:b/>
          <w:color w:val="222222"/>
          <w:sz w:val="27"/>
        </w:rPr>
        <w:t>服务期：</w:t>
      </w:r>
      <w:r>
        <w:rPr>
          <w:b/>
          <w:color w:val="222222"/>
          <w:sz w:val="27"/>
        </w:rPr>
        <w:t xml:space="preserve">        </w:t>
      </w:r>
      <w:r>
        <w:rPr>
          <w:b/>
          <w:color w:val="222222"/>
          <w:sz w:val="27"/>
        </w:rPr>
        <w:t>年</w:t>
      </w:r>
      <w:r>
        <w:rPr>
          <w:b/>
          <w:color w:val="222222"/>
          <w:sz w:val="27"/>
        </w:rPr>
        <w:t xml:space="preserve">    </w:t>
      </w:r>
      <w:r>
        <w:rPr>
          <w:b/>
          <w:color w:val="222222"/>
          <w:sz w:val="27"/>
        </w:rPr>
        <w:t>月</w:t>
      </w:r>
      <w:r>
        <w:rPr>
          <w:b/>
          <w:color w:val="222222"/>
          <w:sz w:val="27"/>
        </w:rPr>
        <w:t xml:space="preserve">   </w:t>
      </w:r>
      <w:r>
        <w:rPr>
          <w:b/>
          <w:color w:val="222222"/>
          <w:sz w:val="27"/>
        </w:rPr>
        <w:t>日</w:t>
      </w:r>
      <w:r>
        <w:rPr>
          <w:b/>
          <w:color w:val="222222"/>
          <w:sz w:val="27"/>
        </w:rPr>
        <w:t>到</w:t>
      </w:r>
      <w:r>
        <w:rPr>
          <w:b/>
          <w:color w:val="222222"/>
          <w:sz w:val="27"/>
        </w:rPr>
        <w:t xml:space="preserve">      </w:t>
      </w:r>
      <w:r>
        <w:rPr>
          <w:b/>
          <w:color w:val="222222"/>
          <w:sz w:val="27"/>
        </w:rPr>
        <w:t>年</w:t>
      </w:r>
      <w:r>
        <w:rPr>
          <w:b/>
          <w:color w:val="222222"/>
          <w:sz w:val="27"/>
        </w:rPr>
        <w:t xml:space="preserve">   </w:t>
      </w:r>
      <w:r>
        <w:rPr>
          <w:b/>
          <w:color w:val="222222"/>
          <w:sz w:val="27"/>
        </w:rPr>
        <w:t>月</w:t>
      </w:r>
      <w:r>
        <w:rPr>
          <w:b/>
          <w:color w:val="222222"/>
          <w:sz w:val="27"/>
        </w:rPr>
        <w:t xml:space="preserve">   </w:t>
      </w:r>
      <w:r>
        <w:rPr>
          <w:b/>
          <w:color w:val="222222"/>
          <w:sz w:val="27"/>
        </w:rPr>
        <w:t>日。</w:t>
      </w:r>
    </w:p>
    <w:p>
      <w:pPr>
        <w:jc w:val="both"/>
      </w:pPr>
      <w:r>
        <w:rPr>
          <w:color w:val="222222"/>
          <w:sz w:val="27"/>
        </w:rPr>
        <w:t>三、</w:t>
      </w:r>
      <w:r>
        <w:rPr>
          <w:b/>
          <w:color w:val="222222"/>
          <w:sz w:val="27"/>
        </w:rPr>
        <w:t>服务要求</w:t>
      </w:r>
    </w:p>
    <w:p>
      <w:pPr>
        <w:ind w:firstLine="540"/>
        <w:jc w:val="both"/>
      </w:pPr>
      <w:r>
        <w:rPr>
          <w:color w:val="222222"/>
          <w:sz w:val="27"/>
        </w:rPr>
        <w:t>1.常规服务：按照市、区爱卫会的统一部署，全年开展4次全面投药杀灭鼠、蝇、蚊、蟑螂等病媒生物防制服务工作（每次病媒生物防制服务包括投药灭鼠、下水道烟雾灭蚊蟑、绿化带喷药灭蚊、下水道入水口吊木塞或珍珠岩缓释剂灭蚊幼、垃圾中转站喷药灭蝇、大中型水体投药灭蚊幼），2次灭蚊专项行动（每次灭蚊专项行动包括下水道烟雾灭蚊蟑、垃圾中转站喷药灭蝇、绿化带喷药灭蚊、大中型水体投药灭蚊幼。）具体工作时间根据</w:t>
      </w:r>
      <w:r>
        <w:rPr>
          <w:sz w:val="27"/>
        </w:rPr>
        <w:t>区爱卫办、区卫健局下</w:t>
      </w:r>
      <w:r>
        <w:rPr>
          <w:color w:val="222222"/>
          <w:sz w:val="27"/>
        </w:rPr>
        <w:t>发的病媒生物防制方案执行。服务范围内局部区域出现登革热病例或疫情，乙方须带齐人员、器械和药物按照甲方要求开展灭蚊专项行动。</w:t>
      </w:r>
    </w:p>
    <w:p>
      <w:pPr>
        <w:ind w:firstLine="540"/>
        <w:jc w:val="both"/>
      </w:pPr>
      <w:r>
        <w:rPr>
          <w:color w:val="222222"/>
          <w:sz w:val="27"/>
        </w:rPr>
        <w:t>2.非常规服务：遇到突发事件如登革热病等传播，另行开展登革热防控灭蚊专项行动（成蚊灭杀和孳生地处理），药物及服务费另安排预算。</w:t>
      </w:r>
    </w:p>
    <w:p>
      <w:pPr>
        <w:ind w:firstLine="540"/>
        <w:jc w:val="both"/>
      </w:pPr>
      <w:r>
        <w:rPr>
          <w:color w:val="222222"/>
          <w:sz w:val="27"/>
        </w:rPr>
        <w:t>3.合同期内负责安装2500只鼠屋，毒鼠屋的规格必须统一。毒鼠屋由专人负责管理，毒鼠屋需有编号、安装位置登记表、鼠屋分布平面图，灭鼠屋须张贴安全警示标志。每次投药需有毒鼠屋投药记录表。</w:t>
      </w:r>
    </w:p>
    <w:p>
      <w:pPr>
        <w:ind w:firstLine="540"/>
        <w:jc w:val="both"/>
      </w:pPr>
      <w:r>
        <w:rPr>
          <w:color w:val="222222"/>
          <w:sz w:val="27"/>
        </w:rPr>
        <w:t>4.服务范围：端州城区主次干道、内街巷道范围内公共外环境，各街道办辖区内无明确物业小区、老旧居民区、城中村、主次干道及内街巷道下水道、公园绿地、西江堤岸内、垃圾中转站、绿化带、花基、闲置地和各类型病媒生物孳生繁殖地，具体如下：</w:t>
      </w:r>
    </w:p>
    <w:p>
      <w:pPr>
        <w:ind w:firstLine="540"/>
        <w:jc w:val="both"/>
      </w:pPr>
      <w:r>
        <w:rPr>
          <w:color w:val="222222"/>
          <w:sz w:val="27"/>
        </w:rPr>
        <w:t>4.1 城东街道办服务范围：厚岗社区、工农社区、岩前社区、景山岗社区、明珠社区、柳园社区、塔脚社区、跃龙社区、杏花社区、前进社区、文明社区、阅江社区、雅图社区、信安社区、古塔社区、星湖社区、景德社区、和平社区等十八个社区公共外环境及居民区（单位、物业管理小区除外），包括辖区范围的主次干道、背街小巷的下水道、公园绿地（城东公园）、垃圾中转站、绿化带、花基、闲置地和各类型病媒生物孳生繁殖地。</w:t>
      </w:r>
    </w:p>
    <w:p>
      <w:pPr>
        <w:ind w:firstLine="540"/>
        <w:jc w:val="both"/>
      </w:pPr>
      <w:r>
        <w:rPr>
          <w:color w:val="222222"/>
          <w:sz w:val="27"/>
        </w:rPr>
        <w:t>4.2 黄岗街道办服务范围：双东南社区、双东北社区、河旁社区、嘉湖社区、新元社区、沙湖社区、下黄冈一社区、下黄冈二社区、石牌社区（石牌村、新村、仕贤村）、东岗社区（东岗一至八村、前村、大塘面村）、蓝塘社区、大冲社区、北岭社区等十三个社区公共外环境及居民区（单位、物业管理小区除外），包括辖区范围的主次干道、背街小巷的下水道、公园绿地（东湖公园）、垃圾中转站、绿化带、花基、闲置地和各类型病媒生物孳生繁殖地。</w:t>
      </w:r>
    </w:p>
    <w:p>
      <w:pPr>
        <w:ind w:firstLine="540"/>
        <w:jc w:val="both"/>
      </w:pPr>
      <w:r>
        <w:rPr>
          <w:color w:val="222222"/>
          <w:sz w:val="27"/>
        </w:rPr>
        <w:t>5.服务范围内的公共外环境病媒生物的质量控制执行如下标准：</w:t>
      </w:r>
    </w:p>
    <w:p>
      <w:pPr>
        <w:ind w:firstLine="540"/>
        <w:jc w:val="both"/>
      </w:pPr>
      <w:r>
        <w:rPr>
          <w:color w:val="222222"/>
          <w:sz w:val="27"/>
        </w:rPr>
        <w:t>5.1 密度水平控制标准：中华人民共和国卫生部、中国国家标准化管理委员会《病媒生物密度控制水平—鼠类、蚊虫、蝇类、蜚蠊》的4个国家标准（GB／T27770、27771、27772、27773—2011）。鼠类、蚊虫、蝇类、蜚蠊达到C级或以上。</w:t>
      </w:r>
    </w:p>
    <w:p>
      <w:pPr>
        <w:ind w:firstLine="540"/>
        <w:jc w:val="both"/>
      </w:pPr>
      <w:r>
        <w:rPr>
          <w:color w:val="222222"/>
          <w:sz w:val="27"/>
        </w:rPr>
        <w:t>5.2 密度监测标准：中华人民共和国国家质量监督检验检疫总局、中国国家标准化管理委员会《病媒生物密度监测方法—蜚蠊、蝇类、蚊虫、鼠类》的4个国家标准（GB／T23795-2009、GB／T23796-2009、GB／T23797-2020、GB／T23798—2009）。</w:t>
      </w:r>
    </w:p>
    <w:p>
      <w:pPr>
        <w:jc w:val="both"/>
      </w:pPr>
      <w:r>
        <w:rPr>
          <w:b/>
          <w:color w:val="222222"/>
          <w:sz w:val="27"/>
        </w:rPr>
        <w:t>四、技术要求</w:t>
      </w:r>
    </w:p>
    <w:p>
      <w:pPr>
        <w:ind w:firstLine="540"/>
        <w:jc w:val="both"/>
      </w:pPr>
      <w:r>
        <w:rPr>
          <w:color w:val="222222"/>
          <w:sz w:val="27"/>
        </w:rPr>
        <w:t>1.乙方必须具备病媒生物防制的技术力量，有参加病媒生物防治服务的工人不少于30人，其中持有经省、市爱卫、人社、协会三类部门出具的病媒生物防制职业资格证书且有购买社保的工人不少于10人，并承诺每次开展服务期间出动不少于30人。</w:t>
      </w:r>
    </w:p>
    <w:p>
      <w:pPr>
        <w:ind w:firstLine="540"/>
        <w:jc w:val="both"/>
      </w:pPr>
      <w:r>
        <w:rPr>
          <w:sz w:val="27"/>
        </w:rPr>
        <w:t>2.乙方必须有固定的药物仓库和器械仓库：药物仓库面积不少于40㎡，器械仓库面积不少于40㎡。</w:t>
      </w:r>
    </w:p>
    <w:p>
      <w:pPr>
        <w:ind w:firstLine="540"/>
        <w:jc w:val="both"/>
      </w:pPr>
      <w:r>
        <w:rPr>
          <w:color w:val="222222"/>
          <w:sz w:val="27"/>
        </w:rPr>
        <w:t>3.乙方必须具有一定数量的器械，其中烟雾机不少于12台、机动或电动超低容量喷雾机、机动或电动常量喷雾机均不少于8台，并承诺每次开展服务期间出动不少于上述数量的器械。</w:t>
      </w:r>
    </w:p>
    <w:p>
      <w:pPr>
        <w:ind w:firstLine="540"/>
        <w:jc w:val="both"/>
      </w:pPr>
      <w:r>
        <w:rPr>
          <w:color w:val="222222"/>
          <w:sz w:val="27"/>
        </w:rPr>
        <w:t>4.乙方要做到科学用药，所使用药物必须提供药物“三证”（农药登记证、农药生产批准证书、产品企业标准），并在每次开展服务前将准备使用药物的“三证”报给区爱卫办、区卫健局，不得使用国家禁用或伪劣的灭鼠、杀虫剂。</w:t>
      </w:r>
    </w:p>
    <w:p>
      <w:pPr>
        <w:ind w:firstLine="540"/>
        <w:jc w:val="both"/>
      </w:pPr>
      <w:r>
        <w:rPr>
          <w:color w:val="222222"/>
          <w:sz w:val="27"/>
        </w:rPr>
        <w:t>5.甲方有权在不超出约定的年度服务总次数的前提下，调整每次服务的时间，具体以甲方文件通知为准。</w:t>
      </w:r>
    </w:p>
    <w:p>
      <w:pPr>
        <w:ind w:firstLine="540"/>
        <w:jc w:val="both"/>
      </w:pPr>
      <w:r>
        <w:rPr>
          <w:color w:val="222222"/>
          <w:sz w:val="27"/>
        </w:rPr>
        <w:t>6.乙方必须接受甲方及相关技术部门的监督、检查，并提供必需的材料，应具有参与开展创建卫生城市、卫生镇经验。</w:t>
      </w:r>
    </w:p>
    <w:p>
      <w:pPr>
        <w:ind w:firstLine="540"/>
        <w:jc w:val="both"/>
      </w:pPr>
      <w:r>
        <w:rPr>
          <w:color w:val="222222"/>
          <w:sz w:val="27"/>
        </w:rPr>
        <w:t>7.合同期间，如甲方有上级检查或出现疫情等情况，乙方必须服从安排，在接到通知后及时按要求带全装备到现场开展相关工作。</w:t>
      </w:r>
    </w:p>
    <w:p>
      <w:pPr>
        <w:ind w:firstLine="540"/>
        <w:jc w:val="both"/>
      </w:pPr>
      <w:r>
        <w:rPr>
          <w:color w:val="222222"/>
          <w:sz w:val="27"/>
        </w:rPr>
        <w:t>8.每次服务前，乙方需对服务范围内病媒生物防制工作开展本底调查，并结合本底调查情况制定病媒生物防制服务方案报区爱卫办、区卫健局，并列出每次每项工作安排表。每次服务完成后10个工作日内，乙方须向甲方提交药物使用表、药物进出记录表、工作安排表及施工记录表等相关资料。</w:t>
      </w:r>
    </w:p>
    <w:p>
      <w:pPr>
        <w:ind w:firstLine="540"/>
        <w:jc w:val="both"/>
      </w:pPr>
      <w:r>
        <w:rPr>
          <w:color w:val="222222"/>
          <w:sz w:val="27"/>
        </w:rPr>
        <w:t>9.乙方每次服务要做好除四害善后清理工作，及时清理鼠粪、死鼠及填塞鼠洞，及时清除过期失效的鼠谷。</w:t>
      </w:r>
    </w:p>
    <w:p>
      <w:pPr>
        <w:ind w:firstLine="540"/>
        <w:jc w:val="both"/>
      </w:pPr>
      <w:r>
        <w:rPr>
          <w:color w:val="222222"/>
          <w:sz w:val="27"/>
        </w:rPr>
        <w:t>10.乙方须熟悉国家卫生城市病媒生物防制密度监测的标准并配合采购方开展病媒生物密度监测评估工作。</w:t>
      </w:r>
    </w:p>
    <w:p>
      <w:pPr>
        <w:ind w:firstLine="540"/>
        <w:jc w:val="both"/>
      </w:pPr>
    </w:p>
    <w:p>
      <w:pPr>
        <w:jc w:val="both"/>
      </w:pPr>
      <w:r>
        <w:rPr>
          <w:b/>
          <w:color w:val="222222"/>
          <w:sz w:val="27"/>
        </w:rPr>
        <w:t>五、付款方式</w:t>
      </w:r>
    </w:p>
    <w:p>
      <w:pPr>
        <w:ind w:firstLine="540"/>
        <w:jc w:val="both"/>
      </w:pPr>
      <w:r>
        <w:rPr>
          <w:color w:val="222222"/>
          <w:sz w:val="27"/>
        </w:rPr>
        <w:t>本项目款项由区财政局按相关规定以人民币转账方式集中支付</w:t>
      </w:r>
      <w:r>
        <w:rPr>
          <w:color w:val="222222"/>
          <w:sz w:val="27"/>
        </w:rPr>
        <w:t>:（1）常规服务在每次服务结束，并经服务质量考评合格后，两个月内，支付本次服务费，支付服务费=应付服务费-扣减款。（2）非常规服务在每次服务结束，并经乙方把服务相关资料报甲方核实后，两个月内支付本次费用。（3）每次结算前，乙方需先向甲方开具正式发票。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ind w:firstLine="540"/>
        <w:jc w:val="both"/>
      </w:pPr>
    </w:p>
    <w:p>
      <w:pPr>
        <w:jc w:val="both"/>
      </w:pPr>
      <w:r>
        <w:rPr>
          <w:b/>
          <w:color w:val="222222"/>
          <w:sz w:val="27"/>
        </w:rPr>
        <w:t>六、履约保证金</w:t>
      </w:r>
    </w:p>
    <w:p>
      <w:pPr>
        <w:ind w:firstLine="540"/>
        <w:jc w:val="both"/>
      </w:pPr>
      <w:r>
        <w:rPr>
          <w:color w:val="222222"/>
          <w:sz w:val="27"/>
        </w:rPr>
        <w:t>履约保证金为合同金额的</w:t>
      </w:r>
      <w:r>
        <w:rPr>
          <w:color w:val="222222"/>
          <w:sz w:val="27"/>
        </w:rPr>
        <w:t>5%，</w:t>
      </w:r>
      <w:r>
        <w:rPr>
          <w:color w:val="222222"/>
          <w:sz w:val="27"/>
        </w:rPr>
        <w:t>乙方应在签订本合同</w:t>
      </w:r>
      <w:r>
        <w:rPr>
          <w:color w:val="222222"/>
          <w:sz w:val="27"/>
        </w:rPr>
        <w:t>5日内向甲方支付</w:t>
      </w:r>
      <w:r>
        <w:rPr>
          <w:color w:val="222222"/>
          <w:sz w:val="27"/>
        </w:rPr>
        <w:t>履约保证金</w:t>
      </w:r>
      <w:r>
        <w:rPr>
          <w:color w:val="222222"/>
          <w:sz w:val="27"/>
        </w:rPr>
        <w:t>。</w:t>
      </w:r>
      <w:r>
        <w:rPr>
          <w:color w:val="222222"/>
          <w:sz w:val="27"/>
        </w:rPr>
        <w:t>履约保证金应当以支票、汇票、本票</w:t>
      </w:r>
      <w:r>
        <w:rPr>
          <w:color w:val="222222"/>
          <w:sz w:val="27"/>
        </w:rPr>
        <w:t>或者金融机构、担保机构出具的保函等非现金形式提交；履约保证金在乙方履行完采购合同主要义务后，甲方按照合同约定原额</w:t>
      </w:r>
      <w:r>
        <w:rPr>
          <w:color w:val="222222"/>
          <w:sz w:val="27"/>
        </w:rPr>
        <w:t>（</w:t>
      </w:r>
      <w:r>
        <w:rPr>
          <w:color w:val="222222"/>
          <w:sz w:val="27"/>
        </w:rPr>
        <w:t>无息</w:t>
      </w:r>
      <w:r>
        <w:rPr>
          <w:color w:val="222222"/>
          <w:sz w:val="27"/>
        </w:rPr>
        <w:t>）</w:t>
      </w:r>
      <w:r>
        <w:rPr>
          <w:color w:val="222222"/>
          <w:sz w:val="27"/>
        </w:rPr>
        <w:t>退还，履约保证金以履约担保函形式提交的，担保责任终止。</w:t>
      </w:r>
    </w:p>
    <w:p>
      <w:pPr>
        <w:jc w:val="both"/>
      </w:pPr>
      <w:r>
        <w:rPr>
          <w:b/>
          <w:color w:val="222222"/>
          <w:sz w:val="27"/>
        </w:rPr>
        <w:t>七、</w:t>
      </w:r>
      <w:r>
        <w:rPr>
          <w:b/>
          <w:color w:val="222222"/>
          <w:sz w:val="27"/>
        </w:rPr>
        <w:t>服务质量考评办法</w:t>
      </w:r>
    </w:p>
    <w:p>
      <w:pPr>
        <w:ind w:firstLine="540"/>
        <w:jc w:val="both"/>
      </w:pPr>
      <w:r>
        <w:rPr>
          <w:color w:val="222222"/>
          <w:sz w:val="27"/>
        </w:rPr>
        <w:t>本项目的服务质量管理采用综合分</w:t>
      </w:r>
      <w:r>
        <w:rPr>
          <w:color w:val="222222"/>
          <w:sz w:val="27"/>
        </w:rPr>
        <w:t>100分制，分定期考评和日常管理两种考评办法：</w:t>
      </w:r>
    </w:p>
    <w:p>
      <w:pPr>
        <w:ind w:firstLine="540"/>
        <w:jc w:val="both"/>
      </w:pPr>
      <w:r>
        <w:rPr>
          <w:color w:val="222222"/>
          <w:sz w:val="27"/>
        </w:rPr>
        <w:t>1．定期考评由甲方委托第三方在乙方每次全面投药灭害常规服务后的10天内对其服务及相关质量进行考评，考评内容包括监测资料（本底调查资料、服务方案、施工记录）、现场操作规程和服务效果等三项，其中资料20分、现场操作规程20分、防制服务效果占60分，共100分，该项占综合分的80%；</w:t>
      </w:r>
    </w:p>
    <w:p>
      <w:pPr>
        <w:ind w:firstLine="540"/>
        <w:jc w:val="both"/>
      </w:pPr>
      <w:r>
        <w:rPr>
          <w:color w:val="222222"/>
          <w:sz w:val="27"/>
        </w:rPr>
        <w:t>2</w:t>
      </w:r>
      <w:r>
        <w:rPr>
          <w:color w:val="222222"/>
          <w:sz w:val="27"/>
        </w:rPr>
        <w:t>.</w:t>
      </w:r>
      <w:r>
        <w:rPr>
          <w:color w:val="222222"/>
          <w:sz w:val="27"/>
        </w:rPr>
        <w:t>日常管理在每次常规服务后的</w:t>
      </w:r>
      <w:r>
        <w:rPr>
          <w:color w:val="222222"/>
          <w:sz w:val="27"/>
        </w:rPr>
        <w:t>10天内由</w:t>
      </w:r>
      <w:r>
        <w:rPr>
          <w:color w:val="222222"/>
          <w:sz w:val="27"/>
        </w:rPr>
        <w:t>区</w:t>
      </w:r>
      <w:r>
        <w:rPr>
          <w:color w:val="222222"/>
          <w:sz w:val="27"/>
        </w:rPr>
        <w:t>卫生健康局</w:t>
      </w:r>
      <w:r>
        <w:rPr>
          <w:color w:val="222222"/>
          <w:sz w:val="27"/>
        </w:rPr>
        <w:t>、</w:t>
      </w:r>
      <w:r>
        <w:rPr>
          <w:color w:val="222222"/>
          <w:sz w:val="27"/>
        </w:rPr>
        <w:t>区</w:t>
      </w:r>
      <w:r>
        <w:rPr>
          <w:color w:val="222222"/>
          <w:sz w:val="27"/>
        </w:rPr>
        <w:t>爱卫办、街道办、社区居委会根据服务期间的监督检查和市疾控中心每月对城区</w:t>
      </w:r>
      <w:r>
        <w:rPr>
          <w:color w:val="222222"/>
          <w:sz w:val="27"/>
        </w:rPr>
        <w:t>“四害”密度监测数据相结合对其服务(包括但不限于非常规服务)及相关质量进行考评，占综合分的20%。</w:t>
      </w:r>
    </w:p>
    <w:p>
      <w:pPr>
        <w:ind w:firstLine="542"/>
      </w:pPr>
      <w:r>
        <w:rPr>
          <w:b/>
          <w:sz w:val="27"/>
        </w:rPr>
        <w:t>考核评分表</w:t>
      </w:r>
    </w:p>
    <w:tbl>
      <w:tblPr>
        <w:tblW w:w="0" w:type="auto"/>
        <w:tblBorders>
          <w:top w:val="none" w:color="000000" w:sz="4"/>
          <w:left w:val="none" w:color="000000" w:sz="4"/>
          <w:bottom w:val="none" w:color="000000" w:sz="4"/>
          <w:right w:val="none" w:color="000000" w:sz="4"/>
          <w:insideH w:val="none"/>
          <w:insideV w:val="none"/>
        </w:tblBorders>
      </w:tblPr>
      <w:tblGrid>
        <w:gridCol w:w="783"/>
        <w:gridCol w:w="467"/>
        <w:gridCol w:w="5954"/>
        <w:gridCol w:w="594"/>
        <w:gridCol w:w="467"/>
      </w:tblGrid>
      <w:tr>
        <w:tc>
          <w:tcPr>
            <w:tcW w:type="dxa" w:w="8265"/>
            <w:gridSpan w:val="5"/>
            <w:tcBorders>
              <w:top w:val="single" w:color="000000" w:sz="8"/>
              <w:left w:val="single" w:color="000000" w:sz="8"/>
              <w:bottom w:val="single" w:color="000000" w:sz="8"/>
              <w:right w:val="single" w:color="000000" w:sz="8"/>
            </w:tcBorders>
            <w:vAlign w:val="top"/>
          </w:tcPr>
          <w:p>
            <w:pPr>
              <w:jc w:val="center"/>
            </w:pPr>
            <w:r>
              <w:rPr>
                <w:b/>
                <w:sz w:val="27"/>
              </w:rPr>
              <w:t>端州城区公共外环境病媒生物防制服务考核评分表</w:t>
            </w:r>
          </w:p>
        </w:tc>
      </w:tr>
      <w:tr>
        <w:tc>
          <w:tcPr>
            <w:tcW w:type="dxa" w:w="8265"/>
            <w:gridSpan w:val="5"/>
            <w:tcBorders>
              <w:top w:val="none" w:color="000000" w:sz="4"/>
              <w:left w:val="single" w:color="000000" w:sz="8"/>
              <w:bottom w:val="single" w:color="000000" w:sz="8"/>
              <w:right w:val="single" w:color="000000" w:sz="8"/>
            </w:tcBorders>
            <w:vAlign w:val="top"/>
          </w:tcPr>
          <w:p>
            <w:pPr>
              <w:jc w:val="center"/>
            </w:pPr>
          </w:p>
        </w:tc>
      </w:tr>
      <w:tr>
        <w:tc>
          <w:tcPr>
            <w:tcW w:type="dxa" w:w="8265"/>
            <w:gridSpan w:val="5"/>
            <w:tcBorders>
              <w:top w:val="none" w:color="000000" w:sz="4"/>
              <w:left w:val="single" w:color="000000" w:sz="8"/>
              <w:bottom w:val="single" w:color="000000" w:sz="8"/>
              <w:right w:val="single" w:color="000000" w:sz="8"/>
            </w:tcBorders>
            <w:vAlign w:val="top"/>
          </w:tcPr>
          <w:p>
            <w:pPr>
              <w:jc w:val="center"/>
            </w:pPr>
            <w:r>
              <w:rPr>
                <w:sz w:val="27"/>
              </w:rPr>
              <w:t>考核对象：</w:t>
            </w:r>
            <w:r>
              <w:rPr>
                <w:sz w:val="27"/>
              </w:rPr>
              <w:t>XX                            本轮服务时间：202X年XX-XX月</w:t>
            </w:r>
          </w:p>
        </w:tc>
      </w:tr>
      <w:tr>
        <w:tc>
          <w:tcPr>
            <w:tcW w:type="dxa" w:w="783"/>
            <w:tcBorders>
              <w:top w:val="none" w:color="000000" w:sz="4"/>
              <w:left w:val="single" w:color="000000" w:sz="8"/>
              <w:bottom w:val="single" w:color="000000" w:sz="8"/>
              <w:right w:val="single" w:color="000000" w:sz="8"/>
            </w:tcBorders>
            <w:vAlign w:val="top"/>
          </w:tcPr>
          <w:p>
            <w:pPr>
              <w:jc w:val="center"/>
            </w:pPr>
            <w:r>
              <w:rPr>
                <w:sz w:val="27"/>
              </w:rPr>
              <w:t>考核</w:t>
            </w:r>
          </w:p>
          <w:p>
            <w:pPr>
              <w:jc w:val="center"/>
            </w:pPr>
            <w:r>
              <w:rPr>
                <w:sz w:val="27"/>
              </w:rPr>
              <w:t>项目</w:t>
            </w:r>
          </w:p>
        </w:tc>
        <w:tc>
          <w:tcPr>
            <w:tcW w:type="dxa" w:w="6421"/>
            <w:gridSpan w:val="2"/>
            <w:tcBorders>
              <w:top w:val="single" w:color="000000" w:sz="8"/>
              <w:left w:val="single" w:color="000000" w:sz="8"/>
              <w:bottom w:val="single" w:color="000000" w:sz="8"/>
              <w:right w:val="single" w:color="000000" w:sz="8"/>
            </w:tcBorders>
            <w:vAlign w:val="top"/>
          </w:tcPr>
          <w:p>
            <w:pPr>
              <w:jc w:val="center"/>
            </w:pPr>
            <w:r>
              <w:rPr>
                <w:sz w:val="27"/>
              </w:rPr>
              <w:t>评分细则</w:t>
            </w:r>
          </w:p>
        </w:tc>
        <w:tc>
          <w:tcPr>
            <w:tcW w:type="dxa" w:w="594"/>
            <w:tcBorders>
              <w:top w:val="single" w:color="000000" w:sz="8"/>
              <w:left w:val="single" w:color="000000" w:sz="8"/>
              <w:bottom w:val="single" w:color="000000" w:sz="8"/>
              <w:right w:val="single" w:color="000000" w:sz="8"/>
            </w:tcBorders>
            <w:vAlign w:val="top"/>
          </w:tcPr>
          <w:p>
            <w:pPr>
              <w:jc w:val="center"/>
            </w:pPr>
            <w:r>
              <w:rPr>
                <w:sz w:val="27"/>
              </w:rPr>
              <w:t>分值</w:t>
            </w:r>
          </w:p>
        </w:tc>
        <w:tc>
          <w:tcPr>
            <w:tcW w:type="dxa" w:w="467"/>
            <w:tcBorders>
              <w:top w:val="single" w:color="000000" w:sz="8"/>
              <w:left w:val="single" w:color="000000" w:sz="8"/>
              <w:bottom w:val="single" w:color="000000" w:sz="8"/>
              <w:right w:val="single" w:color="000000" w:sz="8"/>
            </w:tcBorders>
            <w:vAlign w:val="top"/>
          </w:tcPr>
          <w:p>
            <w:pPr>
              <w:jc w:val="center"/>
            </w:pPr>
            <w:r>
              <w:rPr>
                <w:sz w:val="27"/>
              </w:rPr>
              <w:t>得分</w:t>
            </w:r>
          </w:p>
        </w:tc>
      </w:tr>
      <w:tr>
        <w:tc>
          <w:tcPr>
            <w:tcW w:type="dxa" w:w="783"/>
            <w:vMerge w:val="restart"/>
            <w:tcBorders>
              <w:top w:val="none" w:color="000000" w:sz="4"/>
              <w:left w:val="single" w:color="000000" w:sz="8"/>
              <w:bottom w:val="single" w:color="000000" w:sz="8"/>
              <w:right w:val="single" w:color="000000" w:sz="8"/>
            </w:tcBorders>
            <w:vAlign w:val="top"/>
          </w:tcPr>
          <w:p>
            <w:pPr>
              <w:jc w:val="center"/>
            </w:pPr>
            <w:r>
              <w:rPr>
                <w:sz w:val="27"/>
              </w:rPr>
              <w:t>服务</w:t>
            </w:r>
          </w:p>
          <w:p>
            <w:pPr>
              <w:jc w:val="center"/>
            </w:pPr>
            <w:r>
              <w:rPr>
                <w:sz w:val="27"/>
              </w:rPr>
              <w:t>资料</w:t>
            </w:r>
            <w:r>
              <w:br/>
            </w:r>
            <w:r>
              <w:rPr>
                <w:sz w:val="27"/>
              </w:rPr>
              <w:t>（</w:t>
            </w:r>
            <w:r>
              <w:rPr>
                <w:sz w:val="27"/>
              </w:rPr>
              <w:t>18分）</w:t>
            </w:r>
          </w:p>
        </w:tc>
        <w:tc>
          <w:tcPr>
            <w:tcW w:type="dxa" w:w="467"/>
            <w:tcBorders>
              <w:top w:val="none" w:color="000000" w:sz="4"/>
              <w:left w:val="single" w:color="000000" w:sz="8"/>
              <w:bottom w:val="single" w:color="000000" w:sz="8"/>
              <w:right w:val="single" w:color="000000" w:sz="8"/>
            </w:tcBorders>
            <w:vAlign w:val="top"/>
          </w:tcPr>
          <w:p>
            <w:pPr>
              <w:jc w:val="center"/>
            </w:pPr>
            <w:r>
              <w:rPr>
                <w:sz w:val="27"/>
              </w:rPr>
              <w:t>1</w:t>
            </w:r>
          </w:p>
        </w:tc>
        <w:tc>
          <w:tcPr>
            <w:tcW w:type="dxa" w:w="5954"/>
            <w:tcBorders>
              <w:top w:val="none" w:color="000000" w:sz="4"/>
              <w:left w:val="single" w:color="000000" w:sz="8"/>
              <w:bottom w:val="single" w:color="000000" w:sz="8"/>
              <w:right w:val="single" w:color="000000" w:sz="8"/>
            </w:tcBorders>
            <w:vAlign w:val="top"/>
          </w:tcPr>
          <w:p>
            <w:r>
              <w:rPr>
                <w:sz w:val="27"/>
              </w:rPr>
              <w:t>每次开展服务前，按要求开展本底调查，并提交本底调查资料，缺</w:t>
            </w:r>
            <w:r>
              <w:rPr>
                <w:sz w:val="27"/>
              </w:rPr>
              <w:t>1次扣2分。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4</w:t>
            </w:r>
          </w:p>
        </w:tc>
        <w:tc>
          <w:tcPr>
            <w:tcW w:type="dxa" w:w="467"/>
            <w:tcBorders>
              <w:top w:val="single" w:color="000000" w:sz="8"/>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2</w:t>
            </w:r>
          </w:p>
        </w:tc>
        <w:tc>
          <w:tcPr>
            <w:tcW w:type="dxa" w:w="5954"/>
            <w:tcBorders>
              <w:top w:val="none" w:color="000000" w:sz="4"/>
              <w:left w:val="single" w:color="000000" w:sz="8"/>
              <w:bottom w:val="single" w:color="000000" w:sz="8"/>
              <w:right w:val="single" w:color="000000" w:sz="8"/>
            </w:tcBorders>
            <w:vAlign w:val="top"/>
          </w:tcPr>
          <w:p>
            <w:r>
              <w:rPr>
                <w:sz w:val="27"/>
              </w:rPr>
              <w:t>每次开展服务前提交服务方案，缺</w:t>
            </w:r>
            <w:r>
              <w:rPr>
                <w:sz w:val="27"/>
              </w:rPr>
              <w:t>1次扣1分。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2</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3</w:t>
            </w:r>
          </w:p>
        </w:tc>
        <w:tc>
          <w:tcPr>
            <w:tcW w:type="dxa" w:w="5954"/>
            <w:tcBorders>
              <w:top w:val="none" w:color="000000" w:sz="4"/>
              <w:left w:val="single" w:color="000000" w:sz="8"/>
              <w:bottom w:val="single" w:color="000000" w:sz="8"/>
              <w:right w:val="single" w:color="000000" w:sz="8"/>
            </w:tcBorders>
            <w:vAlign w:val="top"/>
          </w:tcPr>
          <w:p>
            <w:r>
              <w:rPr>
                <w:sz w:val="27"/>
              </w:rPr>
              <w:t>服务前一天提交完整的工作安排表，缺</w:t>
            </w:r>
            <w:r>
              <w:rPr>
                <w:sz w:val="27"/>
              </w:rPr>
              <w:t>1次扣1分。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5</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4</w:t>
            </w:r>
          </w:p>
        </w:tc>
        <w:tc>
          <w:tcPr>
            <w:tcW w:type="dxa" w:w="5954"/>
            <w:tcBorders>
              <w:top w:val="none" w:color="000000" w:sz="4"/>
              <w:left w:val="single" w:color="000000" w:sz="8"/>
              <w:bottom w:val="single" w:color="000000" w:sz="8"/>
              <w:right w:val="single" w:color="000000" w:sz="8"/>
            </w:tcBorders>
            <w:vAlign w:val="top"/>
          </w:tcPr>
          <w:p>
            <w:r>
              <w:rPr>
                <w:sz w:val="27"/>
              </w:rPr>
              <w:t>每次服务结束后须提交完整的药物使用表及施工记录表，缺</w:t>
            </w:r>
            <w:r>
              <w:rPr>
                <w:sz w:val="27"/>
              </w:rPr>
              <w:t>1次扣1分。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4</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5</w:t>
            </w:r>
          </w:p>
        </w:tc>
        <w:tc>
          <w:tcPr>
            <w:tcW w:type="dxa" w:w="5954"/>
            <w:tcBorders>
              <w:top w:val="none" w:color="000000" w:sz="4"/>
              <w:left w:val="single" w:color="000000" w:sz="8"/>
              <w:bottom w:val="single" w:color="000000" w:sz="8"/>
              <w:right w:val="single" w:color="000000" w:sz="8"/>
            </w:tcBorders>
            <w:vAlign w:val="top"/>
          </w:tcPr>
          <w:p>
            <w:r>
              <w:rPr>
                <w:sz w:val="27"/>
              </w:rPr>
              <w:t>积极配合甲方开展病媒生物防制资料收集整理工作，没能按时提供的本项不得分。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3</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val="restart"/>
            <w:tcBorders>
              <w:top w:val="none" w:color="000000" w:sz="4"/>
              <w:left w:val="single" w:color="000000" w:sz="8"/>
              <w:bottom w:val="single" w:color="000000" w:sz="8"/>
              <w:right w:val="single" w:color="000000" w:sz="8"/>
            </w:tcBorders>
            <w:vAlign w:val="top"/>
          </w:tcPr>
          <w:p>
            <w:pPr>
              <w:jc w:val="center"/>
            </w:pPr>
            <w:r>
              <w:rPr>
                <w:sz w:val="27"/>
              </w:rPr>
              <w:t>现场</w:t>
            </w:r>
          </w:p>
          <w:p>
            <w:pPr>
              <w:jc w:val="center"/>
            </w:pPr>
            <w:r>
              <w:rPr>
                <w:sz w:val="27"/>
              </w:rPr>
              <w:t>服务</w:t>
            </w:r>
            <w:r>
              <w:br/>
            </w:r>
            <w:r>
              <w:rPr>
                <w:sz w:val="27"/>
              </w:rPr>
              <w:t>质量</w:t>
            </w:r>
            <w:r>
              <w:br/>
            </w:r>
            <w:r>
              <w:rPr>
                <w:sz w:val="27"/>
              </w:rPr>
              <w:t>（</w:t>
            </w:r>
            <w:r>
              <w:rPr>
                <w:sz w:val="27"/>
              </w:rPr>
              <w:t>54分）</w:t>
            </w:r>
          </w:p>
        </w:tc>
        <w:tc>
          <w:tcPr>
            <w:tcW w:type="dxa" w:w="467"/>
            <w:tcBorders>
              <w:top w:val="none" w:color="000000" w:sz="4"/>
              <w:left w:val="single" w:color="000000" w:sz="8"/>
              <w:bottom w:val="single" w:color="000000" w:sz="8"/>
              <w:right w:val="single" w:color="000000" w:sz="8"/>
            </w:tcBorders>
            <w:vAlign w:val="top"/>
          </w:tcPr>
          <w:p>
            <w:pPr>
              <w:jc w:val="center"/>
            </w:pPr>
            <w:r>
              <w:rPr>
                <w:sz w:val="27"/>
              </w:rPr>
              <w:t>6</w:t>
            </w:r>
          </w:p>
        </w:tc>
        <w:tc>
          <w:tcPr>
            <w:tcW w:type="dxa" w:w="5954"/>
            <w:tcBorders>
              <w:top w:val="none" w:color="000000" w:sz="4"/>
              <w:left w:val="single" w:color="000000" w:sz="8"/>
              <w:bottom w:val="single" w:color="000000" w:sz="8"/>
              <w:right w:val="single" w:color="000000" w:sz="8"/>
            </w:tcBorders>
            <w:vAlign w:val="top"/>
          </w:tcPr>
          <w:p>
            <w:r>
              <w:rPr>
                <w:sz w:val="27"/>
              </w:rPr>
              <w:t>根据实地下水道每隔</w:t>
            </w:r>
            <w:r>
              <w:rPr>
                <w:sz w:val="27"/>
              </w:rPr>
              <w:t>5-15米进行喷药，不得漏打，发现漏打的要及时补打。如不按要求补打的每次扣1分。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5</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7</w:t>
            </w:r>
          </w:p>
        </w:tc>
        <w:tc>
          <w:tcPr>
            <w:tcW w:type="dxa" w:w="5954"/>
            <w:tcBorders>
              <w:top w:val="none" w:color="000000" w:sz="4"/>
              <w:left w:val="single" w:color="000000" w:sz="8"/>
              <w:bottom w:val="single" w:color="000000" w:sz="8"/>
              <w:right w:val="single" w:color="000000" w:sz="8"/>
            </w:tcBorders>
            <w:vAlign w:val="top"/>
          </w:tcPr>
          <w:p>
            <w:r>
              <w:rPr>
                <w:sz w:val="27"/>
              </w:rPr>
              <w:t>器械数量是否充足，服务期间要求每天至少</w:t>
            </w:r>
            <w:r>
              <w:rPr>
                <w:sz w:val="27"/>
              </w:rPr>
              <w:t>12台烟雾机，每发现少1台扣1分。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5</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8</w:t>
            </w:r>
          </w:p>
        </w:tc>
        <w:tc>
          <w:tcPr>
            <w:tcW w:type="dxa" w:w="5954"/>
            <w:tcBorders>
              <w:top w:val="none" w:color="000000" w:sz="4"/>
              <w:left w:val="single" w:color="000000" w:sz="8"/>
              <w:bottom w:val="single" w:color="000000" w:sz="8"/>
              <w:right w:val="single" w:color="000000" w:sz="8"/>
            </w:tcBorders>
            <w:vAlign w:val="top"/>
          </w:tcPr>
          <w:p>
            <w:r>
              <w:rPr>
                <w:sz w:val="27"/>
              </w:rPr>
              <w:t>每次投药灭鼠必须先清理干净旧谷再投，进行</w:t>
            </w:r>
            <w:r>
              <w:rPr>
                <w:sz w:val="27"/>
              </w:rPr>
              <w:t>2轮以上补投。最后一次补投后要及时堵塞鼠洞。如发现漏投、漏补现象未按要求补投的，每发现1次扣1分。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10</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9</w:t>
            </w:r>
          </w:p>
        </w:tc>
        <w:tc>
          <w:tcPr>
            <w:tcW w:type="dxa" w:w="5954"/>
            <w:tcBorders>
              <w:top w:val="none" w:color="000000" w:sz="4"/>
              <w:left w:val="single" w:color="000000" w:sz="8"/>
              <w:bottom w:val="single" w:color="000000" w:sz="8"/>
              <w:right w:val="single" w:color="000000" w:sz="8"/>
            </w:tcBorders>
            <w:vAlign w:val="top"/>
          </w:tcPr>
          <w:p>
            <w:r>
              <w:rPr>
                <w:sz w:val="27"/>
              </w:rPr>
              <w:t>毒鼠屋由专人负责管理，毒鼠屋需有编号、安装位置登记表、鼠屋分布平面图，每次投药需有毒鼠屋投药记录表，缺</w:t>
            </w:r>
            <w:r>
              <w:rPr>
                <w:sz w:val="27"/>
              </w:rPr>
              <w:t>1项扣2分。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8</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10</w:t>
            </w:r>
          </w:p>
        </w:tc>
        <w:tc>
          <w:tcPr>
            <w:tcW w:type="dxa" w:w="5954"/>
            <w:tcBorders>
              <w:top w:val="none" w:color="000000" w:sz="4"/>
              <w:left w:val="single" w:color="000000" w:sz="8"/>
              <w:bottom w:val="single" w:color="000000" w:sz="8"/>
              <w:right w:val="single" w:color="000000" w:sz="8"/>
            </w:tcBorders>
            <w:vAlign w:val="top"/>
          </w:tcPr>
          <w:p>
            <w:r>
              <w:rPr>
                <w:sz w:val="27"/>
              </w:rPr>
              <w:t>下水道进水口吊放浸药木塞，不得漏放；发现漏放的要及时补放。如不按要求补放的每次扣</w:t>
            </w:r>
            <w:r>
              <w:rPr>
                <w:sz w:val="27"/>
              </w:rPr>
              <w:t>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8</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11</w:t>
            </w:r>
          </w:p>
        </w:tc>
        <w:tc>
          <w:tcPr>
            <w:tcW w:type="dxa" w:w="5954"/>
            <w:tcBorders>
              <w:top w:val="none" w:color="000000" w:sz="4"/>
              <w:left w:val="single" w:color="000000" w:sz="8"/>
              <w:bottom w:val="single" w:color="000000" w:sz="8"/>
              <w:right w:val="single" w:color="000000" w:sz="8"/>
            </w:tcBorders>
            <w:vAlign w:val="top"/>
          </w:tcPr>
          <w:p>
            <w:r>
              <w:rPr>
                <w:sz w:val="27"/>
              </w:rPr>
              <w:t>大中型水体投药灭蚊幼，不得漏投；发现漏放的要及时补投。如不按要求补投的每次扣</w:t>
            </w:r>
            <w:r>
              <w:rPr>
                <w:sz w:val="27"/>
              </w:rPr>
              <w:t>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8</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12</w:t>
            </w:r>
          </w:p>
        </w:tc>
        <w:tc>
          <w:tcPr>
            <w:tcW w:type="dxa" w:w="5954"/>
            <w:tcBorders>
              <w:top w:val="none" w:color="000000" w:sz="4"/>
              <w:left w:val="single" w:color="000000" w:sz="8"/>
              <w:bottom w:val="single" w:color="000000" w:sz="8"/>
              <w:right w:val="single" w:color="000000" w:sz="8"/>
            </w:tcBorders>
            <w:vAlign w:val="top"/>
          </w:tcPr>
          <w:p>
            <w:r>
              <w:rPr>
                <w:sz w:val="27"/>
              </w:rPr>
              <w:t>每次施工要按照要求配置足够人员；现场施工人员落实到位。发现缺</w:t>
            </w:r>
            <w:r>
              <w:rPr>
                <w:sz w:val="27"/>
              </w:rPr>
              <w:t>1项扣1分。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10</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tcBorders>
              <w:top w:val="none" w:color="000000" w:sz="4"/>
              <w:left w:val="single" w:color="000000" w:sz="8"/>
              <w:bottom w:val="single" w:color="000000" w:sz="8"/>
              <w:right w:val="single" w:color="000000" w:sz="8"/>
            </w:tcBorders>
            <w:vAlign w:val="top"/>
          </w:tcPr>
          <w:p>
            <w:pPr>
              <w:jc w:val="center"/>
            </w:pPr>
            <w:r>
              <w:rPr>
                <w:sz w:val="27"/>
              </w:rPr>
              <w:t>药物</w:t>
            </w:r>
            <w:r>
              <w:br/>
            </w:r>
            <w:r>
              <w:rPr>
                <w:sz w:val="27"/>
              </w:rPr>
              <w:t>（</w:t>
            </w:r>
            <w:r>
              <w:rPr>
                <w:sz w:val="27"/>
              </w:rPr>
              <w:t>10分）</w:t>
            </w:r>
          </w:p>
        </w:tc>
        <w:tc>
          <w:tcPr>
            <w:tcW w:type="dxa" w:w="467"/>
            <w:tcBorders>
              <w:top w:val="none" w:color="000000" w:sz="4"/>
              <w:left w:val="single" w:color="000000" w:sz="8"/>
              <w:bottom w:val="single" w:color="000000" w:sz="8"/>
              <w:right w:val="single" w:color="000000" w:sz="8"/>
            </w:tcBorders>
            <w:vAlign w:val="top"/>
          </w:tcPr>
          <w:p>
            <w:pPr>
              <w:jc w:val="center"/>
            </w:pPr>
            <w:r>
              <w:rPr>
                <w:sz w:val="27"/>
              </w:rPr>
              <w:t>13</w:t>
            </w:r>
          </w:p>
        </w:tc>
        <w:tc>
          <w:tcPr>
            <w:tcW w:type="dxa" w:w="5954"/>
            <w:tcBorders>
              <w:top w:val="none" w:color="000000" w:sz="4"/>
              <w:left w:val="single" w:color="000000" w:sz="8"/>
              <w:bottom w:val="single" w:color="000000" w:sz="8"/>
              <w:right w:val="single" w:color="000000" w:sz="8"/>
            </w:tcBorders>
            <w:vAlign w:val="top"/>
          </w:tcPr>
          <w:p>
            <w:r>
              <w:rPr>
                <w:sz w:val="27"/>
              </w:rPr>
              <w:t>服务使用的药物必须是使用已向</w:t>
            </w:r>
            <w:r>
              <w:rPr>
                <w:sz w:val="27"/>
              </w:rPr>
              <w:t>区卫健局、</w:t>
            </w:r>
            <w:r>
              <w:rPr>
                <w:sz w:val="27"/>
              </w:rPr>
              <w:t>区爱卫办提供</w:t>
            </w:r>
            <w:r>
              <w:rPr>
                <w:sz w:val="27"/>
              </w:rPr>
              <w:t>“三证”备案的药物，否则本项不得分；药物用量是否充足，是否有偷工减料现象，每发现一项扣2分。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10</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val="restart"/>
            <w:tcBorders>
              <w:top w:val="none" w:color="000000" w:sz="4"/>
              <w:left w:val="single" w:color="000000" w:sz="8"/>
              <w:bottom w:val="single" w:color="000000" w:sz="8"/>
              <w:right w:val="single" w:color="000000" w:sz="8"/>
            </w:tcBorders>
            <w:vAlign w:val="top"/>
          </w:tcPr>
          <w:p>
            <w:pPr>
              <w:jc w:val="center"/>
            </w:pPr>
            <w:r>
              <w:rPr>
                <w:sz w:val="27"/>
              </w:rPr>
              <w:t>投诉处理（</w:t>
            </w:r>
            <w:r>
              <w:rPr>
                <w:sz w:val="27"/>
              </w:rPr>
              <w:t>8分）</w:t>
            </w:r>
          </w:p>
        </w:tc>
        <w:tc>
          <w:tcPr>
            <w:tcW w:type="dxa" w:w="467"/>
            <w:tcBorders>
              <w:top w:val="none" w:color="000000" w:sz="4"/>
              <w:left w:val="single" w:color="000000" w:sz="8"/>
              <w:bottom w:val="single" w:color="000000" w:sz="8"/>
              <w:right w:val="single" w:color="000000" w:sz="8"/>
            </w:tcBorders>
            <w:vAlign w:val="top"/>
          </w:tcPr>
          <w:p>
            <w:pPr>
              <w:jc w:val="center"/>
            </w:pPr>
            <w:r>
              <w:rPr>
                <w:sz w:val="27"/>
              </w:rPr>
              <w:t>14</w:t>
            </w:r>
          </w:p>
        </w:tc>
        <w:tc>
          <w:tcPr>
            <w:tcW w:type="dxa" w:w="5954"/>
            <w:tcBorders>
              <w:top w:val="none" w:color="000000" w:sz="4"/>
              <w:left w:val="single" w:color="000000" w:sz="8"/>
              <w:bottom w:val="single" w:color="000000" w:sz="8"/>
              <w:right w:val="single" w:color="000000" w:sz="8"/>
            </w:tcBorders>
            <w:vAlign w:val="top"/>
          </w:tcPr>
          <w:p>
            <w:r>
              <w:rPr>
                <w:sz w:val="27"/>
              </w:rPr>
              <w:t>如市民投诉防制过程中因药物使用不当而影响群众的宠物、家禽、鱼类、鸟类安全，经查属直接或间接导致损失的，扣</w:t>
            </w:r>
            <w:r>
              <w:rPr>
                <w:sz w:val="27"/>
              </w:rPr>
              <w:t>3分处理。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3</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15</w:t>
            </w:r>
          </w:p>
        </w:tc>
        <w:tc>
          <w:tcPr>
            <w:tcW w:type="dxa" w:w="5954"/>
            <w:tcBorders>
              <w:top w:val="none" w:color="000000" w:sz="4"/>
              <w:left w:val="single" w:color="000000" w:sz="8"/>
              <w:bottom w:val="single" w:color="000000" w:sz="8"/>
              <w:right w:val="single" w:color="000000" w:sz="8"/>
            </w:tcBorders>
            <w:vAlign w:val="top"/>
          </w:tcPr>
          <w:p>
            <w:r>
              <w:rPr>
                <w:sz w:val="27"/>
              </w:rPr>
              <w:t>遇市民投诉，合同区域内的病媒生物防治效果不良或有不作为、偷工减料等现象，经核实的扣</w:t>
            </w:r>
            <w:r>
              <w:rPr>
                <w:sz w:val="27"/>
              </w:rPr>
              <w:t>2分处理。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2</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16</w:t>
            </w:r>
          </w:p>
        </w:tc>
        <w:tc>
          <w:tcPr>
            <w:tcW w:type="dxa" w:w="5954"/>
            <w:tcBorders>
              <w:top w:val="none" w:color="000000" w:sz="4"/>
              <w:left w:val="single" w:color="000000" w:sz="8"/>
              <w:bottom w:val="single" w:color="000000" w:sz="8"/>
              <w:right w:val="single" w:color="000000" w:sz="8"/>
            </w:tcBorders>
            <w:vAlign w:val="top"/>
          </w:tcPr>
          <w:p>
            <w:r>
              <w:rPr>
                <w:sz w:val="27"/>
              </w:rPr>
              <w:t>服务过程中各类有效投诉或媒体负面曝光不得超过</w:t>
            </w:r>
            <w:r>
              <w:rPr>
                <w:sz w:val="27"/>
              </w:rPr>
              <w:t>1宗，每超出1宗扣2分。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3</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val="restart"/>
            <w:tcBorders>
              <w:top w:val="none" w:color="000000" w:sz="4"/>
              <w:left w:val="single" w:color="000000" w:sz="8"/>
              <w:bottom w:val="single" w:color="000000" w:sz="8"/>
              <w:right w:val="single" w:color="000000" w:sz="8"/>
            </w:tcBorders>
            <w:vAlign w:val="top"/>
          </w:tcPr>
          <w:p>
            <w:pPr>
              <w:jc w:val="center"/>
            </w:pPr>
            <w:r>
              <w:rPr>
                <w:sz w:val="27"/>
              </w:rPr>
              <w:t>应急反应（</w:t>
            </w:r>
            <w:r>
              <w:rPr>
                <w:sz w:val="27"/>
              </w:rPr>
              <w:t>10分）</w:t>
            </w:r>
          </w:p>
        </w:tc>
        <w:tc>
          <w:tcPr>
            <w:tcW w:type="dxa" w:w="467"/>
            <w:tcBorders>
              <w:top w:val="none" w:color="000000" w:sz="4"/>
              <w:left w:val="single" w:color="000000" w:sz="8"/>
              <w:bottom w:val="single" w:color="000000" w:sz="8"/>
              <w:right w:val="single" w:color="000000" w:sz="8"/>
            </w:tcBorders>
            <w:vAlign w:val="top"/>
          </w:tcPr>
          <w:p>
            <w:pPr>
              <w:jc w:val="center"/>
            </w:pPr>
            <w:r>
              <w:rPr>
                <w:sz w:val="27"/>
              </w:rPr>
              <w:t>17</w:t>
            </w:r>
          </w:p>
        </w:tc>
        <w:tc>
          <w:tcPr>
            <w:tcW w:type="dxa" w:w="5954"/>
            <w:tcBorders>
              <w:top w:val="none" w:color="000000" w:sz="4"/>
              <w:left w:val="single" w:color="000000" w:sz="8"/>
              <w:bottom w:val="single" w:color="000000" w:sz="8"/>
              <w:right w:val="single" w:color="000000" w:sz="8"/>
            </w:tcBorders>
            <w:vAlign w:val="top"/>
          </w:tcPr>
          <w:p>
            <w:r>
              <w:rPr>
                <w:sz w:val="27"/>
              </w:rPr>
              <w:t>对市民投诉</w:t>
            </w:r>
            <w:r>
              <w:rPr>
                <w:sz w:val="27"/>
              </w:rPr>
              <w:t>“四害”密度高的区域，乙方应4小时内到场处理。如未能按时到达处理，经查属实的扣3分。应急处理效果不理想的扣2分。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3</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18</w:t>
            </w:r>
          </w:p>
        </w:tc>
        <w:tc>
          <w:tcPr>
            <w:tcW w:type="dxa" w:w="5954"/>
            <w:tcBorders>
              <w:top w:val="none" w:color="000000" w:sz="4"/>
              <w:left w:val="single" w:color="000000" w:sz="8"/>
              <w:bottom w:val="single" w:color="000000" w:sz="8"/>
              <w:right w:val="single" w:color="000000" w:sz="8"/>
            </w:tcBorders>
            <w:vAlign w:val="top"/>
          </w:tcPr>
          <w:p>
            <w:r>
              <w:rPr>
                <w:sz w:val="27"/>
              </w:rPr>
              <w:t>如突发事件或需应急处理的，乙方未能在</w:t>
            </w:r>
            <w:r>
              <w:rPr>
                <w:sz w:val="27"/>
              </w:rPr>
              <w:t>2小时内及时响应的扣2分。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2</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19</w:t>
            </w:r>
          </w:p>
        </w:tc>
        <w:tc>
          <w:tcPr>
            <w:tcW w:type="dxa" w:w="5954"/>
            <w:tcBorders>
              <w:top w:val="none" w:color="000000" w:sz="4"/>
              <w:left w:val="single" w:color="000000" w:sz="8"/>
              <w:bottom w:val="single" w:color="000000" w:sz="8"/>
              <w:right w:val="single" w:color="000000" w:sz="8"/>
            </w:tcBorders>
            <w:vAlign w:val="top"/>
          </w:tcPr>
          <w:p>
            <w:r>
              <w:rPr>
                <w:sz w:val="27"/>
              </w:rPr>
              <w:t>对于疾控中心监测报告反馈的合同区域内</w:t>
            </w:r>
            <w:r>
              <w:rPr>
                <w:sz w:val="27"/>
              </w:rPr>
              <w:t>BI指数超出20的区域进行处理。如未能及时处理的每次扣1分。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5</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tcBorders>
              <w:top w:val="none" w:color="000000" w:sz="4"/>
              <w:left w:val="single" w:color="000000" w:sz="8"/>
              <w:bottom w:val="single" w:color="000000" w:sz="8"/>
              <w:right w:val="single" w:color="000000" w:sz="8"/>
            </w:tcBorders>
            <w:vAlign w:val="top"/>
          </w:tcPr>
          <w:p>
            <w:pPr>
              <w:jc w:val="center"/>
            </w:pPr>
            <w:r>
              <w:rPr>
                <w:sz w:val="27"/>
              </w:rPr>
              <w:t>分值</w:t>
            </w:r>
          </w:p>
        </w:tc>
        <w:tc>
          <w:tcPr>
            <w:tcW w:type="dxa" w:w="6421"/>
            <w:gridSpan w:val="2"/>
            <w:tcBorders>
              <w:top w:val="none" w:color="000000" w:sz="4"/>
              <w:left w:val="single" w:color="000000" w:sz="8"/>
              <w:bottom w:val="single" w:color="000000" w:sz="8"/>
              <w:right w:val="single" w:color="000000" w:sz="8"/>
            </w:tcBorders>
            <w:vAlign w:val="top"/>
          </w:tcPr>
          <w:p>
            <w:pPr>
              <w:jc w:val="center"/>
            </w:pPr>
            <w:r>
              <w:rPr>
                <w:sz w:val="27"/>
              </w:rPr>
              <w:t>合计</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100</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8265"/>
            <w:gridSpan w:val="5"/>
            <w:tcBorders>
              <w:top w:val="none" w:color="000000" w:sz="4"/>
              <w:left w:val="single" w:color="000000" w:sz="8"/>
              <w:bottom w:val="single" w:color="000000" w:sz="8"/>
              <w:right w:val="single" w:color="000000" w:sz="8"/>
            </w:tcBorders>
            <w:vAlign w:val="top"/>
          </w:tcPr>
          <w:p>
            <w:r>
              <w:rPr>
                <w:b/>
                <w:sz w:val="27"/>
              </w:rPr>
              <w:t>存在问题与建议</w:t>
            </w:r>
            <w:r>
              <w:rPr>
                <w:sz w:val="27"/>
              </w:rPr>
              <w:t>：</w:t>
            </w:r>
          </w:p>
        </w:tc>
      </w:tr>
      <w:tr>
        <w:tc>
          <w:tcPr>
            <w:tcW w:type="dxa" w:w="8265"/>
            <w:gridSpan w:val="5"/>
            <w:tcBorders>
              <w:top w:val="none" w:color="000000" w:sz="4"/>
              <w:left w:val="single" w:color="000000" w:sz="8"/>
              <w:bottom w:val="single" w:color="000000" w:sz="8"/>
              <w:right w:val="single" w:color="000000" w:sz="8"/>
            </w:tcBorders>
            <w:vAlign w:val="top"/>
          </w:tcPr>
          <w:p>
            <w:r>
              <w:rPr>
                <w:sz w:val="27"/>
              </w:rPr>
              <w:t>甲方考核人员确认签名：</w:t>
            </w:r>
          </w:p>
        </w:tc>
      </w:tr>
      <w:tr>
        <w:tc>
          <w:tcPr>
            <w:tcW w:type="dxa" w:w="8265"/>
            <w:gridSpan w:val="5"/>
            <w:tcBorders>
              <w:top w:val="none" w:color="000000" w:sz="4"/>
              <w:left w:val="single" w:color="000000" w:sz="8"/>
              <w:bottom w:val="single" w:color="000000" w:sz="8"/>
              <w:right w:val="single" w:color="000000" w:sz="8"/>
            </w:tcBorders>
            <w:vAlign w:val="bottom"/>
          </w:tcPr>
          <w:p>
            <w:pPr>
              <w:jc w:val="center"/>
            </w:pPr>
            <w:r>
              <w:rPr>
                <w:sz w:val="27"/>
              </w:rPr>
              <w:t xml:space="preserve">                                                                        </w:t>
            </w:r>
            <w:r>
              <w:rPr>
                <w:sz w:val="27"/>
              </w:rPr>
              <w:t>（盖章）</w:t>
            </w:r>
            <w:r>
              <w:br/>
            </w:r>
            <w:r>
              <w:rPr>
                <w:sz w:val="27"/>
              </w:rPr>
              <w:t xml:space="preserve">                                                                         </w:t>
            </w:r>
            <w:r>
              <w:rPr>
                <w:sz w:val="27"/>
              </w:rPr>
              <w:t>年</w:t>
            </w:r>
            <w:r>
              <w:rPr>
                <w:sz w:val="27"/>
              </w:rPr>
              <w:t xml:space="preserve">    </w:t>
            </w:r>
            <w:r>
              <w:rPr>
                <w:sz w:val="27"/>
              </w:rPr>
              <w:t>月</w:t>
            </w:r>
            <w:r>
              <w:rPr>
                <w:sz w:val="27"/>
              </w:rPr>
              <w:t xml:space="preserve">    </w:t>
            </w:r>
            <w:r>
              <w:rPr>
                <w:sz w:val="27"/>
              </w:rPr>
              <w:t>日</w:t>
            </w:r>
          </w:p>
        </w:tc>
      </w:tr>
      <w:tr>
        <w:tc>
          <w:tcPr>
            <w:tcW w:type="dxa" w:w="8265"/>
            <w:gridSpan w:val="5"/>
            <w:tcBorders>
              <w:top w:val="none" w:color="000000" w:sz="4"/>
              <w:left w:val="single" w:color="000000" w:sz="8"/>
              <w:bottom w:val="single" w:color="000000" w:sz="8"/>
              <w:right w:val="single" w:color="000000" w:sz="8"/>
            </w:tcBorders>
            <w:vAlign w:val="top"/>
          </w:tcPr>
          <w:p>
            <w:r>
              <w:rPr>
                <w:sz w:val="27"/>
              </w:rPr>
              <w:t>说明：</w:t>
            </w:r>
            <w:r>
              <w:rPr>
                <w:sz w:val="27"/>
              </w:rPr>
              <w:t>1.本评分表由区、街道、居委会三级综合考评。</w:t>
            </w:r>
          </w:p>
        </w:tc>
      </w:tr>
      <w:tr>
        <w:tc>
          <w:tcPr>
            <w:tcW w:type="dxa" w:w="8265"/>
            <w:gridSpan w:val="5"/>
            <w:tcBorders>
              <w:top w:val="none" w:color="000000" w:sz="4"/>
              <w:left w:val="single" w:color="000000" w:sz="8"/>
              <w:bottom w:val="single" w:color="000000" w:sz="8"/>
              <w:right w:val="single" w:color="000000" w:sz="8"/>
            </w:tcBorders>
            <w:vAlign w:val="top"/>
          </w:tcPr>
          <w:p>
            <w:r>
              <w:rPr>
                <w:sz w:val="27"/>
              </w:rPr>
              <w:t>2.现场服务质量项目由</w:t>
            </w:r>
            <w:r>
              <w:rPr>
                <w:sz w:val="27"/>
              </w:rPr>
              <w:t>区卫健局、</w:t>
            </w:r>
            <w:r>
              <w:rPr>
                <w:sz w:val="27"/>
              </w:rPr>
              <w:t>区爱卫办和四个街道办分别打分，然后算平均分为有效分值。</w:t>
            </w:r>
          </w:p>
        </w:tc>
      </w:tr>
      <w:tr>
        <w:tc>
          <w:tcPr>
            <w:tcW w:type="dxa" w:w="8265"/>
            <w:gridSpan w:val="5"/>
            <w:tcBorders>
              <w:top w:val="none" w:color="000000" w:sz="4"/>
              <w:left w:val="single" w:color="000000" w:sz="8"/>
              <w:bottom w:val="single" w:color="000000" w:sz="8"/>
              <w:right w:val="single" w:color="000000" w:sz="8"/>
            </w:tcBorders>
            <w:vAlign w:val="top"/>
          </w:tcPr>
          <w:p>
            <w:r>
              <w:rPr>
                <w:sz w:val="27"/>
              </w:rPr>
              <w:t>3.社区居委会确认资料包括：《公共外环境下水道烟雾灭蚊蟑及施工人员签到表》、《公共外环境灭鼠领谷及投药人员签到表》、《公共外环境沉沙井口等积水点吊木塞及人员签到表》、《灭鼠药分配表》《端州区开展除“四害"药物签领表》等。</w:t>
            </w:r>
          </w:p>
        </w:tc>
      </w:tr>
    </w:tbl>
    <w:p>
      <w:pPr>
        <w:ind w:firstLine="540"/>
      </w:pPr>
      <w:r>
        <w:rPr>
          <w:sz w:val="27"/>
        </w:rPr>
        <w:t>以上两项合计评定分值以</w:t>
      </w:r>
      <w:r>
        <w:rPr>
          <w:sz w:val="27"/>
        </w:rPr>
        <w:t>90分为合格分，每少1%扣减当月服务款的1%；连续2次不合格且经整改后仍不合格的（不满90分），甲方有权无条件终止和解除服务合同。</w:t>
      </w:r>
    </w:p>
    <w:p>
      <w:pPr>
        <w:ind w:firstLine="540"/>
      </w:pPr>
      <w:r>
        <w:rPr>
          <w:sz w:val="27"/>
        </w:rPr>
        <w:t>3．每次全面投药灭害服务后的质量效果监测需委托第三方机构评价考核，所需的费用由乙方承担。</w:t>
      </w:r>
    </w:p>
    <w:p>
      <w:pPr>
        <w:jc w:val="both"/>
      </w:pPr>
      <w:r>
        <w:rPr>
          <w:b/>
          <w:color w:val="222222"/>
          <w:sz w:val="27"/>
        </w:rPr>
        <w:t>八、</w:t>
      </w:r>
      <w:r>
        <w:rPr>
          <w:b/>
          <w:color w:val="222222"/>
          <w:sz w:val="27"/>
        </w:rPr>
        <w:t>知识产权</w:t>
      </w:r>
    </w:p>
    <w:p>
      <w:pPr>
        <w:ind w:firstLine="540"/>
      </w:pPr>
      <w:r>
        <w:rPr>
          <w:sz w:val="27"/>
        </w:rPr>
        <w:t>乙方</w:t>
      </w:r>
      <w:r>
        <w:rPr>
          <w:sz w:val="27"/>
        </w:rPr>
        <w:t>须保障</w:t>
      </w:r>
      <w:r>
        <w:rPr>
          <w:sz w:val="27"/>
        </w:rPr>
        <w:t>甲方</w:t>
      </w:r>
      <w:r>
        <w:rPr>
          <w:sz w:val="27"/>
        </w:rPr>
        <w:t>在</w:t>
      </w:r>
      <w:r>
        <w:rPr>
          <w:sz w:val="27"/>
        </w:rPr>
        <w:t>其提供的服务</w:t>
      </w:r>
      <w:r>
        <w:rPr>
          <w:sz w:val="27"/>
        </w:rPr>
        <w:t>不受到第三方关于侵犯专利权、商标权或者工业设计权等知识产权的指控。如果任何第三方提出侵权指控与</w:t>
      </w:r>
      <w:r>
        <w:rPr>
          <w:sz w:val="27"/>
        </w:rPr>
        <w:t>甲方</w:t>
      </w:r>
      <w:r>
        <w:rPr>
          <w:sz w:val="27"/>
        </w:rPr>
        <w:t>无关，</w:t>
      </w:r>
      <w:r>
        <w:rPr>
          <w:sz w:val="27"/>
        </w:rPr>
        <w:t>乙方</w:t>
      </w:r>
      <w:r>
        <w:rPr>
          <w:sz w:val="27"/>
        </w:rPr>
        <w:t>须与第三方交涉并承担可能发生的责任与一切费用。如</w:t>
      </w:r>
      <w:r>
        <w:rPr>
          <w:sz w:val="27"/>
        </w:rPr>
        <w:t>甲方</w:t>
      </w:r>
      <w:r>
        <w:rPr>
          <w:sz w:val="27"/>
        </w:rPr>
        <w:t>因此而遭致损失的，</w:t>
      </w:r>
      <w:r>
        <w:rPr>
          <w:sz w:val="27"/>
        </w:rPr>
        <w:t>乙方</w:t>
      </w:r>
      <w:r>
        <w:rPr>
          <w:sz w:val="27"/>
        </w:rPr>
        <w:t>应赔偿该损失。</w:t>
      </w:r>
    </w:p>
    <w:p>
      <w:pPr>
        <w:jc w:val="both"/>
      </w:pPr>
      <w:r>
        <w:rPr>
          <w:b/>
          <w:color w:val="222222"/>
          <w:sz w:val="27"/>
        </w:rPr>
        <w:t>九</w:t>
      </w:r>
      <w:r>
        <w:rPr>
          <w:b/>
          <w:color w:val="222222"/>
          <w:sz w:val="27"/>
        </w:rPr>
        <w:t>、违约责任与赔偿损失</w:t>
      </w:r>
    </w:p>
    <w:p>
      <w:pPr>
        <w:jc w:val="both"/>
      </w:pPr>
      <w:r>
        <w:rPr>
          <w:color w:val="222222"/>
          <w:sz w:val="27"/>
        </w:rPr>
        <w:t>1.乙方提供的服务不符合本合同规定的，甲方有权拒收，并且乙方须向甲方方支付本合同总价5%的违约金。</w:t>
      </w:r>
    </w:p>
    <w:p>
      <w:pPr>
        <w:jc w:val="both"/>
      </w:pPr>
      <w:r>
        <w:rPr>
          <w:color w:val="222222"/>
          <w:sz w:val="27"/>
        </w:rPr>
        <w:t>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3.甲方无正当理由拒收接受服务，到期拒付服务款项的，甲方向乙方偿付本合同总的5%的违约金。甲方逾期付款，则每日按本合同总价的3‰向乙方偿付违约金。</w:t>
      </w:r>
    </w:p>
    <w:p>
      <w:pPr>
        <w:jc w:val="both"/>
      </w:pPr>
    </w:p>
    <w:p>
      <w:pPr>
        <w:jc w:val="both"/>
      </w:pPr>
      <w:r>
        <w:rPr>
          <w:color w:val="222222"/>
          <w:sz w:val="27"/>
        </w:rPr>
        <w:t>4</w:t>
      </w:r>
      <w:r>
        <w:rPr>
          <w:color w:val="222222"/>
          <w:sz w:val="27"/>
        </w:rPr>
        <w:t>.其它违约责任按《中华人民共和国民法典(合同编)》处理。</w:t>
      </w:r>
    </w:p>
    <w:p>
      <w:pPr>
        <w:jc w:val="both"/>
      </w:pPr>
      <w:r>
        <w:rPr>
          <w:b/>
          <w:color w:val="222222"/>
          <w:sz w:val="27"/>
        </w:rPr>
        <w:t>十</w:t>
      </w:r>
      <w:r>
        <w:rPr>
          <w:b/>
          <w:color w:val="222222"/>
          <w:sz w:val="27"/>
        </w:rPr>
        <w:t>、争议的解决</w:t>
      </w:r>
    </w:p>
    <w:p>
      <w:pPr>
        <w:ind w:firstLine="400"/>
        <w:jc w:val="both"/>
      </w:pPr>
      <w:r>
        <w:rPr>
          <w:color w:val="222222"/>
          <w:sz w:val="27"/>
        </w:rPr>
        <w:t>合同执行过程中发生的任何争议，如双方不能通过友好协商解决，</w:t>
      </w:r>
      <w:r>
        <w:rPr>
          <w:color w:val="222222"/>
          <w:sz w:val="27"/>
        </w:rPr>
        <w:t>各方可向甲方所在地人民发院提起诉讼并按相关法律法规处理。</w:t>
      </w:r>
      <w:r>
        <w:rPr>
          <w:sz w:val="24"/>
        </w:rPr>
        <w:t xml:space="preserve">     </w:t>
      </w:r>
    </w:p>
    <w:p>
      <w:pPr>
        <w:jc w:val="both"/>
      </w:pPr>
      <w:r>
        <w:rPr>
          <w:b/>
          <w:color w:val="222222"/>
          <w:sz w:val="27"/>
        </w:rPr>
        <w:t>十</w:t>
      </w:r>
      <w:r>
        <w:rPr>
          <w:b/>
          <w:color w:val="222222"/>
          <w:sz w:val="27"/>
        </w:rPr>
        <w:t>一</w:t>
      </w:r>
      <w:r>
        <w:rPr>
          <w:b/>
          <w:color w:val="222222"/>
          <w:sz w:val="27"/>
        </w:rPr>
        <w:t>、不可抗力</w:t>
      </w:r>
    </w:p>
    <w:p>
      <w:pPr>
        <w:jc w:val="both"/>
      </w:pPr>
      <w:r>
        <w:rPr>
          <w:color w:val="222222"/>
          <w:sz w:val="27"/>
        </w:rPr>
        <w:t>　　任何一方由于不可抗力原因不能履行合同时，应在不可抗力事件结束后</w:t>
      </w:r>
      <w:r>
        <w:rPr>
          <w:color w:val="222222"/>
          <w:sz w:val="27"/>
        </w:rPr>
        <w:t>1日内向对方通报，以减轻可能给对方造成的损失，在取得有关机构的不可抗力证明或双方谅解确认后，允许延期履行或修订合同，并根据情况可部分或全部免于承担违约责任。</w:t>
      </w:r>
    </w:p>
    <w:p>
      <w:pPr>
        <w:jc w:val="both"/>
      </w:pPr>
      <w:r>
        <w:rPr>
          <w:b/>
          <w:color w:val="222222"/>
          <w:sz w:val="27"/>
        </w:rPr>
        <w:t>十</w:t>
      </w:r>
      <w:r>
        <w:rPr>
          <w:b/>
          <w:color w:val="222222"/>
          <w:sz w:val="27"/>
        </w:rPr>
        <w:t>二</w:t>
      </w:r>
      <w:r>
        <w:rPr>
          <w:b/>
          <w:color w:val="222222"/>
          <w:sz w:val="27"/>
        </w:rPr>
        <w:t>、税费</w:t>
      </w:r>
    </w:p>
    <w:p>
      <w:pPr>
        <w:jc w:val="both"/>
      </w:pPr>
      <w:r>
        <w:rPr>
          <w:color w:val="222222"/>
          <w:sz w:val="27"/>
        </w:rPr>
        <w:t>　　在中国境内、外发生的与本合同执行有关的一切税费均由乙方负担。</w:t>
      </w:r>
    </w:p>
    <w:p>
      <w:pPr>
        <w:jc w:val="both"/>
      </w:pPr>
      <w:r>
        <w:rPr>
          <w:b/>
          <w:color w:val="222222"/>
          <w:sz w:val="27"/>
        </w:rPr>
        <w:t>十</w:t>
      </w:r>
      <w:r>
        <w:rPr>
          <w:b/>
          <w:color w:val="222222"/>
          <w:sz w:val="27"/>
        </w:rPr>
        <w:t>三</w:t>
      </w:r>
      <w:r>
        <w:rPr>
          <w:b/>
          <w:color w:val="222222"/>
          <w:sz w:val="27"/>
        </w:rPr>
        <w:t>、其它</w:t>
      </w:r>
    </w:p>
    <w:p>
      <w:pPr>
        <w:jc w:val="both"/>
      </w:pPr>
      <w:r>
        <w:rPr>
          <w:color w:val="222222"/>
          <w:sz w:val="27"/>
        </w:rPr>
        <w:t>1.本合同所有附件、招标文件、投标文件、中标通知书均为合同的有效组成部分，与本合同具有同等法律效力。</w:t>
      </w:r>
    </w:p>
    <w:p>
      <w:pPr>
        <w:jc w:val="both"/>
      </w:pPr>
      <w:r>
        <w:rPr>
          <w:color w:val="222222"/>
          <w:sz w:val="27"/>
        </w:rPr>
        <w:t>2.在执行本合同的过程中，所有经双方签署确认的文件（包括会议纪要、补充协议、往来信函）即成为本合同的有效组成部分。</w:t>
      </w:r>
    </w:p>
    <w:p>
      <w:pPr>
        <w:jc w:val="both"/>
      </w:pPr>
      <w:r>
        <w:rPr>
          <w:color w:val="222222"/>
          <w:sz w:val="27"/>
        </w:rPr>
        <w:t>3.如一方地址、电话、传真号码有变更，应在变更当日内书面通知对方，否则，应承担相应责任。</w:t>
      </w:r>
    </w:p>
    <w:p>
      <w:pPr>
        <w:jc w:val="both"/>
      </w:pPr>
      <w:r>
        <w:rPr>
          <w:color w:val="222222"/>
          <w:sz w:val="27"/>
        </w:rPr>
        <w:t>4.除甲方事先书面同意外，乙方不得部分或全部转让其应履行的合同项下的义务。</w:t>
      </w:r>
    </w:p>
    <w:p>
      <w:pPr>
        <w:jc w:val="both"/>
      </w:pPr>
      <w:r>
        <w:rPr>
          <w:b/>
          <w:color w:val="222222"/>
          <w:sz w:val="27"/>
        </w:rPr>
        <w:t>十</w:t>
      </w:r>
      <w:r>
        <w:rPr>
          <w:b/>
          <w:color w:val="222222"/>
          <w:sz w:val="27"/>
        </w:rPr>
        <w:t>四</w:t>
      </w:r>
      <w:r>
        <w:rPr>
          <w:b/>
          <w:color w:val="222222"/>
          <w:sz w:val="27"/>
        </w:rPr>
        <w:t>、合同生效</w:t>
      </w:r>
    </w:p>
    <w:p>
      <w:pPr>
        <w:jc w:val="both"/>
      </w:pPr>
      <w:r>
        <w:rPr>
          <w:color w:val="222222"/>
          <w:sz w:val="27"/>
        </w:rPr>
        <w:t>1.本合同在甲乙双方法人代表或其授权代表签字盖章后生效。</w:t>
      </w:r>
    </w:p>
    <w:p>
      <w:pPr>
        <w:jc w:val="both"/>
      </w:pPr>
      <w:r>
        <w:rPr>
          <w:color w:val="222222"/>
          <w:sz w:val="27"/>
        </w:rPr>
        <w:t>2.合同一式    份。</w:t>
      </w:r>
    </w:p>
    <w:p>
      <w:pPr>
        <w:jc w:val="both"/>
      </w:pPr>
      <w:r>
        <w:rPr>
          <w:sz w:val="24"/>
        </w:rPr>
        <w:t xml:space="preserve"> </w:t>
      </w:r>
    </w:p>
    <w:p>
      <w:r>
        <w:rPr>
          <w:sz w:val="27"/>
        </w:rPr>
        <w:t>甲方（盖章）：</w:t>
      </w:r>
      <w:r>
        <w:rPr>
          <w:sz w:val="24"/>
          <w:u w:val="single"/>
        </w:rPr>
        <w:t xml:space="preserve">          </w:t>
      </w:r>
      <w:r>
        <w:rPr>
          <w:sz w:val="24"/>
        </w:rPr>
        <w:t xml:space="preserve">  </w:t>
      </w:r>
      <w:r>
        <w:rPr>
          <w:sz w:val="27"/>
        </w:rPr>
        <w:t xml:space="preserve">                  </w:t>
      </w:r>
      <w:r>
        <w:rPr>
          <w:sz w:val="27"/>
        </w:rPr>
        <w:t>乙方（盖章）：</w:t>
      </w:r>
    </w:p>
    <w:p>
      <w:r>
        <w:rPr>
          <w:sz w:val="27"/>
        </w:rPr>
        <w:t>地址：</w:t>
      </w:r>
      <w:r>
        <w:rPr>
          <w:sz w:val="24"/>
          <w:u w:val="single"/>
        </w:rPr>
        <w:t xml:space="preserve">                  </w:t>
      </w:r>
      <w:r>
        <w:rPr>
          <w:sz w:val="24"/>
        </w:rPr>
        <w:t xml:space="preserve">   </w:t>
      </w:r>
      <w:r>
        <w:rPr>
          <w:sz w:val="27"/>
        </w:rPr>
        <w:t xml:space="preserve">                 </w:t>
      </w:r>
      <w:r>
        <w:rPr>
          <w:sz w:val="27"/>
        </w:rPr>
        <w:t>地址：</w:t>
      </w:r>
    </w:p>
    <w:p>
      <w:r>
        <w:rPr>
          <w:sz w:val="27"/>
        </w:rPr>
        <w:t>法定代表人：</w:t>
      </w:r>
      <w:r>
        <w:rPr>
          <w:sz w:val="24"/>
          <w:u w:val="single"/>
        </w:rPr>
        <w:t xml:space="preserve">            </w:t>
      </w:r>
      <w:r>
        <w:rPr>
          <w:sz w:val="24"/>
        </w:rPr>
        <w:t xml:space="preserve">   </w:t>
      </w:r>
      <w:r>
        <w:rPr>
          <w:sz w:val="27"/>
        </w:rPr>
        <w:t xml:space="preserve">                 </w:t>
      </w:r>
      <w:r>
        <w:rPr>
          <w:sz w:val="27"/>
        </w:rPr>
        <w:t>法定代表人：</w:t>
      </w:r>
    </w:p>
    <w:p>
      <w:r>
        <w:rPr>
          <w:sz w:val="27"/>
        </w:rPr>
        <w:t>委托代理人：</w:t>
      </w:r>
      <w:r>
        <w:rPr>
          <w:sz w:val="24"/>
          <w:u w:val="single"/>
        </w:rPr>
        <w:t xml:space="preserve">            </w:t>
      </w:r>
      <w:r>
        <w:rPr>
          <w:sz w:val="24"/>
        </w:rPr>
        <w:t xml:space="preserve">   </w:t>
      </w:r>
      <w:r>
        <w:rPr>
          <w:sz w:val="27"/>
        </w:rPr>
        <w:t xml:space="preserve">                 </w:t>
      </w:r>
      <w:r>
        <w:rPr>
          <w:sz w:val="27"/>
        </w:rPr>
        <w:t>委托代理人：</w:t>
      </w:r>
      <w:r>
        <w:rPr>
          <w:sz w:val="24"/>
          <w:u w:val="single"/>
        </w:rPr>
        <w:t xml:space="preserve">  </w:t>
      </w:r>
    </w:p>
    <w:p>
      <w:r>
        <w:rPr>
          <w:sz w:val="27"/>
        </w:rPr>
        <w:t>电话：</w:t>
      </w:r>
      <w:r>
        <w:rPr>
          <w:sz w:val="24"/>
          <w:u w:val="single"/>
        </w:rPr>
        <w:t xml:space="preserve">                  </w:t>
      </w:r>
      <w:r>
        <w:rPr>
          <w:sz w:val="24"/>
        </w:rPr>
        <w:t xml:space="preserve">   </w:t>
      </w:r>
      <w:r>
        <w:rPr>
          <w:sz w:val="27"/>
        </w:rPr>
        <w:t xml:space="preserve">                 </w:t>
      </w:r>
      <w:r>
        <w:rPr>
          <w:sz w:val="27"/>
        </w:rPr>
        <w:t>电话：</w:t>
      </w:r>
    </w:p>
    <w:p>
      <w:r>
        <w:rPr>
          <w:sz w:val="27"/>
        </w:rPr>
        <w:t>传真：</w:t>
      </w:r>
      <w:r>
        <w:rPr>
          <w:sz w:val="24"/>
          <w:u w:val="single"/>
        </w:rPr>
        <w:t xml:space="preserve">                  </w:t>
      </w:r>
      <w:r>
        <w:rPr>
          <w:sz w:val="24"/>
        </w:rPr>
        <w:t xml:space="preserve">   </w:t>
      </w:r>
      <w:r>
        <w:rPr>
          <w:sz w:val="27"/>
        </w:rPr>
        <w:t xml:space="preserve">                 </w:t>
      </w:r>
      <w:r>
        <w:rPr>
          <w:sz w:val="27"/>
        </w:rPr>
        <w:t>传真：</w:t>
      </w:r>
      <w:r>
        <w:rPr>
          <w:sz w:val="24"/>
          <w:u w:val="single"/>
        </w:rPr>
        <w:t xml:space="preserve">     </w:t>
      </w:r>
    </w:p>
    <w:p>
      <w:r>
        <w:rPr>
          <w:sz w:val="27"/>
        </w:rPr>
        <w:t>开户银行：</w:t>
      </w:r>
      <w:r>
        <w:rPr>
          <w:sz w:val="24"/>
          <w:u w:val="single"/>
        </w:rPr>
        <w:t xml:space="preserve">              </w:t>
      </w:r>
      <w:r>
        <w:rPr>
          <w:sz w:val="24"/>
        </w:rPr>
        <w:t xml:space="preserve">   </w:t>
      </w:r>
      <w:r>
        <w:rPr>
          <w:sz w:val="27"/>
        </w:rPr>
        <w:t xml:space="preserve">                 </w:t>
      </w:r>
      <w:r>
        <w:rPr>
          <w:sz w:val="27"/>
        </w:rPr>
        <w:t>开户银行：</w:t>
      </w:r>
      <w:r>
        <w:rPr>
          <w:sz w:val="24"/>
          <w:u w:val="single"/>
        </w:rPr>
        <w:t xml:space="preserve">    </w:t>
      </w:r>
    </w:p>
    <w:p>
      <w:r>
        <w:rPr>
          <w:sz w:val="27"/>
        </w:rPr>
        <w:t>账号：</w:t>
      </w:r>
      <w:r>
        <w:rPr>
          <w:sz w:val="24"/>
          <w:u w:val="single"/>
        </w:rPr>
        <w:t xml:space="preserve">                  </w:t>
      </w:r>
      <w:r>
        <w:rPr>
          <w:sz w:val="24"/>
        </w:rPr>
        <w:t xml:space="preserve">   </w:t>
      </w:r>
      <w:r>
        <w:rPr>
          <w:sz w:val="27"/>
        </w:rPr>
        <w:t xml:space="preserve">                 </w:t>
      </w:r>
      <w:r>
        <w:rPr>
          <w:sz w:val="27"/>
        </w:rPr>
        <w:t>账号：</w:t>
      </w:r>
      <w:r>
        <w:rPr>
          <w:sz w:val="24"/>
          <w:u w:val="single"/>
        </w:rPr>
        <w:t xml:space="preserve">    </w:t>
      </w:r>
    </w:p>
    <w:p>
      <w:r>
        <w:rPr>
          <w:sz w:val="27"/>
        </w:rPr>
        <w:t>签约时间：</w:t>
      </w:r>
      <w:r>
        <w:rPr>
          <w:sz w:val="24"/>
          <w:u w:val="single"/>
        </w:rPr>
        <w:t xml:space="preserve">    </w:t>
      </w:r>
      <w:r>
        <w:rPr>
          <w:sz w:val="27"/>
        </w:rPr>
        <w:t>年</w:t>
      </w:r>
      <w:r>
        <w:rPr>
          <w:sz w:val="24"/>
          <w:u w:val="single"/>
        </w:rPr>
        <w:t xml:space="preserve">  </w:t>
      </w:r>
      <w:r>
        <w:rPr>
          <w:sz w:val="27"/>
        </w:rPr>
        <w:t>月</w:t>
      </w:r>
      <w:r>
        <w:rPr>
          <w:sz w:val="24"/>
          <w:u w:val="single"/>
        </w:rPr>
        <w:t xml:space="preserve">  </w:t>
      </w:r>
      <w:r>
        <w:rPr>
          <w:sz w:val="27"/>
        </w:rPr>
        <w:t>日</w:t>
      </w:r>
      <w:r>
        <w:rPr>
          <w:sz w:val="24"/>
        </w:rPr>
        <w:t xml:space="preserve">   </w:t>
      </w:r>
      <w:r>
        <w:rPr>
          <w:sz w:val="27"/>
        </w:rPr>
        <w:t xml:space="preserve">                 </w:t>
      </w:r>
      <w:r>
        <w:rPr>
          <w:sz w:val="27"/>
        </w:rPr>
        <w:t>签约时间：</w:t>
      </w:r>
      <w:r>
        <w:rPr>
          <w:sz w:val="24"/>
          <w:u w:val="single"/>
        </w:rPr>
        <w:t xml:space="preserve">    </w:t>
      </w:r>
      <w:r>
        <w:rPr>
          <w:sz w:val="27"/>
        </w:rPr>
        <w:t>年</w:t>
      </w:r>
      <w:r>
        <w:rPr>
          <w:sz w:val="24"/>
          <w:u w:val="single"/>
        </w:rPr>
        <w:t xml:space="preserve">  </w:t>
      </w:r>
      <w:r>
        <w:rPr>
          <w:sz w:val="27"/>
        </w:rPr>
        <w:t>月</w:t>
      </w:r>
      <w:r>
        <w:rPr>
          <w:sz w:val="24"/>
          <w:u w:val="single"/>
        </w:rPr>
        <w:t xml:space="preserve">  </w:t>
      </w:r>
      <w:r>
        <w:rPr>
          <w:sz w:val="27"/>
        </w:rPr>
        <w:t>日</w:t>
      </w:r>
    </w:p>
    <w:p/>
    <w:p/>
    <w:p>
      <w:r>
        <w:rPr/>
        <w:t xml:space="preserve"> </w:t>
      </w:r>
    </w:p>
    <w:p>
      <w:pPr>
        <w:jc w:val="center"/>
      </w:pPr>
      <w:r>
        <w:rPr>
          <w:b/>
          <w:color w:val="222222"/>
          <w:sz w:val="48"/>
        </w:rPr>
        <w:t>广东省政府采购</w:t>
      </w:r>
    </w:p>
    <w:p>
      <w:pPr>
        <w:jc w:val="both"/>
      </w:pPr>
      <w:r>
        <w:rPr>
          <w:sz w:val="24"/>
        </w:rPr>
        <w:t xml:space="preserve"> </w:t>
      </w:r>
    </w:p>
    <w:p>
      <w:pPr>
        <w:jc w:val="center"/>
      </w:pPr>
      <w:r>
        <w:rPr>
          <w:b/>
          <w:color w:val="222222"/>
          <w:sz w:val="48"/>
        </w:rPr>
        <w:t>合　同　书</w:t>
      </w:r>
    </w:p>
    <w:p>
      <w:pPr>
        <w:jc w:val="center"/>
      </w:pPr>
      <w:r>
        <w:br/>
      </w:r>
      <w:r>
        <w:br/>
      </w:r>
      <w:r>
        <w:br/>
      </w:r>
      <w:r>
        <w:br/>
      </w:r>
      <w:r>
        <w:br/>
      </w:r>
      <w:r>
        <w:br/>
      </w:r>
      <w:r>
        <w:br/>
      </w:r>
      <w:r>
        <w:br/>
      </w:r>
      <w:r>
        <w:rPr>
          <w:sz w:val="24"/>
        </w:rPr>
        <w:t xml:space="preserve"> </w:t>
      </w:r>
    </w:p>
    <w:p>
      <w:pPr>
        <w:jc w:val="left"/>
      </w:pPr>
      <w:r>
        <w:rPr>
          <w:color w:val="222222"/>
          <w:sz w:val="28"/>
        </w:rPr>
        <w:t>采购计划编号：</w:t>
      </w:r>
      <w:r>
        <w:rPr>
          <w:sz w:val="24"/>
        </w:rPr>
        <w:t xml:space="preserve">                          </w:t>
      </w:r>
    </w:p>
    <w:p>
      <w:pPr>
        <w:jc w:val="left"/>
      </w:pPr>
      <w:r>
        <w:rPr>
          <w:sz w:val="24"/>
        </w:rPr>
        <w:t xml:space="preserve"> </w:t>
      </w:r>
    </w:p>
    <w:p>
      <w:pPr>
        <w:jc w:val="left"/>
      </w:pPr>
      <w:r>
        <w:rPr>
          <w:color w:val="222222"/>
          <w:sz w:val="28"/>
        </w:rPr>
        <w:t>项目编号：</w:t>
      </w:r>
      <w:r>
        <w:rPr>
          <w:sz w:val="24"/>
        </w:rPr>
        <w:t xml:space="preserve">                              </w:t>
      </w:r>
    </w:p>
    <w:p>
      <w:pPr>
        <w:jc w:val="left"/>
      </w:pPr>
      <w:r>
        <w:rPr>
          <w:sz w:val="24"/>
        </w:rPr>
        <w:t xml:space="preserve"> </w:t>
      </w:r>
    </w:p>
    <w:p>
      <w:pPr>
        <w:jc w:val="left"/>
      </w:pPr>
      <w:r>
        <w:rPr>
          <w:color w:val="222222"/>
          <w:sz w:val="28"/>
        </w:rPr>
        <w:t>项目名称：</w:t>
      </w:r>
      <w:r>
        <w:rPr>
          <w:color w:val="222222"/>
          <w:sz w:val="28"/>
        </w:rPr>
        <w:t xml:space="preserve"> </w:t>
      </w:r>
    </w:p>
    <w:p>
      <w:pPr>
        <w:jc w:val="left"/>
      </w:pPr>
    </w:p>
    <w:p>
      <w:pPr>
        <w:jc w:val="left"/>
      </w:pPr>
      <w:r>
        <w:rPr>
          <w:color w:val="222222"/>
          <w:sz w:val="28"/>
        </w:rPr>
        <w:t>合同包</w:t>
      </w:r>
      <w:r>
        <w:rPr>
          <w:color w:val="222222"/>
          <w:sz w:val="28"/>
        </w:rPr>
        <w:t>2：</w:t>
      </w:r>
      <w:r>
        <w:rPr>
          <w:color w:val="222222"/>
          <w:sz w:val="28"/>
        </w:rPr>
        <w:t xml:space="preserve"> </w:t>
      </w:r>
      <w:r>
        <w:rPr>
          <w:color w:val="222222"/>
          <w:sz w:val="28"/>
        </w:rPr>
        <w:t>城西街道和睦岗街道辖区的服务</w:t>
      </w:r>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pPr>
        <w:jc w:val="both"/>
      </w:pPr>
      <w:r>
        <w:br/>
      </w:r>
      <w:r>
        <w:rPr>
          <w:sz w:val="24"/>
        </w:rPr>
        <w:t xml:space="preserve"> </w:t>
      </w:r>
    </w:p>
    <w:p/>
    <w:p/>
    <w:p>
      <w:r>
        <w:rPr/>
        <w:t xml:space="preserve"> </w:t>
      </w:r>
    </w:p>
    <w:p>
      <w:pPr>
        <w:jc w:val="both"/>
      </w:pPr>
      <w:r>
        <w:rPr>
          <w:b/>
          <w:color w:val="222222"/>
          <w:sz w:val="27"/>
        </w:rPr>
        <w:t>甲方：</w:t>
      </w:r>
      <w:r>
        <w:rPr>
          <w:b/>
          <w:color w:val="222222"/>
          <w:sz w:val="27"/>
        </w:rPr>
        <w:t xml:space="preserve"> </w:t>
      </w:r>
    </w:p>
    <w:p>
      <w:pPr>
        <w:jc w:val="both"/>
      </w:pPr>
      <w:r>
        <w:rPr>
          <w:color w:val="222222"/>
          <w:sz w:val="27"/>
        </w:rPr>
        <w:t>电话：</w:t>
      </w:r>
      <w:r>
        <w:rPr>
          <w:b/>
          <w:sz w:val="24"/>
        </w:rPr>
        <w:t xml:space="preserve"> </w:t>
      </w:r>
      <w:r>
        <w:rPr>
          <w:color w:val="222222"/>
          <w:sz w:val="27"/>
        </w:rPr>
        <w:t>传真</w:t>
      </w:r>
      <w:r>
        <w:rPr>
          <w:color w:val="222222"/>
          <w:sz w:val="27"/>
        </w:rPr>
        <w:t>：</w:t>
      </w:r>
      <w:r>
        <w:rPr>
          <w:b/>
          <w:sz w:val="24"/>
        </w:rPr>
        <w:t xml:space="preserve"> </w:t>
      </w:r>
      <w:r>
        <w:rPr>
          <w:color w:val="222222"/>
          <w:sz w:val="27"/>
        </w:rPr>
        <w:t>地址：</w:t>
      </w:r>
      <w:r>
        <w:rPr>
          <w:b/>
          <w:sz w:val="24"/>
        </w:rPr>
        <w:t xml:space="preserve">  </w:t>
      </w:r>
    </w:p>
    <w:p>
      <w:pPr>
        <w:jc w:val="both"/>
      </w:pPr>
      <w:r>
        <w:rPr>
          <w:b/>
          <w:color w:val="222222"/>
          <w:sz w:val="27"/>
        </w:rPr>
        <w:t>乙方：</w:t>
      </w:r>
      <w:r>
        <w:rPr>
          <w:b/>
          <w:color w:val="222222"/>
          <w:sz w:val="27"/>
        </w:rPr>
        <w:t xml:space="preserve"> </w:t>
      </w:r>
    </w:p>
    <w:p>
      <w:pPr>
        <w:jc w:val="both"/>
      </w:pPr>
      <w:r>
        <w:rPr>
          <w:color w:val="222222"/>
          <w:sz w:val="27"/>
        </w:rPr>
        <w:t>电话：</w:t>
      </w:r>
      <w:r>
        <w:rPr>
          <w:b/>
          <w:sz w:val="24"/>
        </w:rPr>
        <w:t xml:space="preserve">  </w:t>
      </w:r>
      <w:r>
        <w:rPr>
          <w:color w:val="222222"/>
          <w:sz w:val="27"/>
        </w:rPr>
        <w:t>传真：</w:t>
      </w:r>
      <w:r>
        <w:rPr>
          <w:b/>
          <w:sz w:val="24"/>
        </w:rPr>
        <w:t xml:space="preserve">  </w:t>
      </w:r>
      <w:r>
        <w:rPr>
          <w:color w:val="222222"/>
          <w:sz w:val="27"/>
        </w:rPr>
        <w:t>地址：</w:t>
      </w:r>
      <w:r>
        <w:rPr>
          <w:b/>
          <w:sz w:val="24"/>
        </w:rPr>
        <w:t xml:space="preserve">  </w:t>
      </w:r>
    </w:p>
    <w:p>
      <w:pPr>
        <w:jc w:val="both"/>
      </w:pPr>
      <w:r>
        <w:rPr>
          <w:sz w:val="24"/>
        </w:rPr>
        <w:t xml:space="preserve"> </w:t>
      </w:r>
    </w:p>
    <w:p>
      <w:pPr>
        <w:jc w:val="both"/>
      </w:pPr>
      <w:r>
        <w:rPr>
          <w:color w:val="222222"/>
          <w:sz w:val="27"/>
        </w:rPr>
        <w:t xml:space="preserve">  </w:t>
      </w:r>
      <w:r>
        <w:rPr>
          <w:color w:val="222222"/>
          <w:sz w:val="27"/>
        </w:rPr>
        <w:t>根据</w:t>
      </w:r>
      <w:r>
        <w:rPr>
          <w:color w:val="222222"/>
          <w:sz w:val="27"/>
        </w:rPr>
        <w:t xml:space="preserve">         </w:t>
      </w:r>
      <w:r>
        <w:rPr>
          <w:color w:val="222222"/>
          <w:sz w:val="27"/>
        </w:rPr>
        <w:t>项目</w:t>
      </w:r>
      <w:r>
        <w:rPr>
          <w:color w:val="222222"/>
          <w:sz w:val="27"/>
        </w:rPr>
        <w:t>的采购结果，按照《中华人民共和国政府采购法》，《中华人民共和国民法典</w:t>
      </w:r>
      <w:r>
        <w:rPr>
          <w:color w:val="222222"/>
          <w:sz w:val="27"/>
        </w:rPr>
        <w:t>(合同编)》的规定，经双方协商，本着平等互利和诚实信用的原则，一致同意遵守本合同如下。</w:t>
      </w:r>
    </w:p>
    <w:p>
      <w:pPr>
        <w:jc w:val="both"/>
      </w:pPr>
      <w:r>
        <w:rPr>
          <w:b/>
          <w:color w:val="222222"/>
          <w:sz w:val="27"/>
        </w:rPr>
        <w:t>一、合同金额</w:t>
      </w:r>
    </w:p>
    <w:p>
      <w:pPr>
        <w:ind w:firstLine="540"/>
        <w:jc w:val="both"/>
      </w:pPr>
      <w:r>
        <w:rPr>
          <w:color w:val="222222"/>
          <w:sz w:val="27"/>
        </w:rPr>
        <w:t>1.</w:t>
      </w:r>
      <w:r>
        <w:rPr>
          <w:color w:val="222222"/>
          <w:sz w:val="27"/>
        </w:rPr>
        <w:t>合同金额为（大写）：</w:t>
      </w:r>
      <w:r>
        <w:rPr>
          <w:color w:val="222222"/>
          <w:sz w:val="27"/>
        </w:rPr>
        <w:t>_____________元（￥_________元）人民币。</w:t>
      </w:r>
    </w:p>
    <w:p>
      <w:pPr>
        <w:ind w:firstLine="540"/>
        <w:jc w:val="both"/>
      </w:pPr>
      <w:r>
        <w:rPr>
          <w:color w:val="222222"/>
          <w:sz w:val="27"/>
        </w:rPr>
        <w:t>2.合同总价均包括完成该项目的药品费用、人工费、员工意外保险、工伤、医疗、失业、养老保险、管理费、机械设备工具材料费、机械使用费、水费、电费、维修维护费、企业利润、规费、税费、技术指导费、风险费、突发事件处理费等乙方履行本合同过程中应预见和不可预见的一切费用和利润。</w:t>
      </w:r>
    </w:p>
    <w:p>
      <w:pPr>
        <w:jc w:val="both"/>
      </w:pPr>
      <w:r>
        <w:rPr>
          <w:b/>
          <w:color w:val="222222"/>
          <w:sz w:val="27"/>
        </w:rPr>
        <w:t>二、</w:t>
      </w:r>
      <w:r>
        <w:rPr>
          <w:b/>
          <w:color w:val="222222"/>
          <w:sz w:val="27"/>
        </w:rPr>
        <w:t>服务期：</w:t>
      </w:r>
      <w:r>
        <w:rPr>
          <w:b/>
          <w:color w:val="222222"/>
          <w:sz w:val="27"/>
        </w:rPr>
        <w:t xml:space="preserve">        </w:t>
      </w:r>
      <w:r>
        <w:rPr>
          <w:b/>
          <w:color w:val="222222"/>
          <w:sz w:val="27"/>
        </w:rPr>
        <w:t>年</w:t>
      </w:r>
      <w:r>
        <w:rPr>
          <w:b/>
          <w:color w:val="222222"/>
          <w:sz w:val="27"/>
        </w:rPr>
        <w:t xml:space="preserve">    </w:t>
      </w:r>
      <w:r>
        <w:rPr>
          <w:b/>
          <w:color w:val="222222"/>
          <w:sz w:val="27"/>
        </w:rPr>
        <w:t>月</w:t>
      </w:r>
      <w:r>
        <w:rPr>
          <w:b/>
          <w:color w:val="222222"/>
          <w:sz w:val="27"/>
        </w:rPr>
        <w:t xml:space="preserve">   </w:t>
      </w:r>
      <w:r>
        <w:rPr>
          <w:b/>
          <w:color w:val="222222"/>
          <w:sz w:val="27"/>
        </w:rPr>
        <w:t>日</w:t>
      </w:r>
      <w:r>
        <w:rPr>
          <w:b/>
          <w:color w:val="222222"/>
          <w:sz w:val="27"/>
        </w:rPr>
        <w:t>到</w:t>
      </w:r>
      <w:r>
        <w:rPr>
          <w:b/>
          <w:color w:val="222222"/>
          <w:sz w:val="27"/>
        </w:rPr>
        <w:t xml:space="preserve">      </w:t>
      </w:r>
      <w:r>
        <w:rPr>
          <w:b/>
          <w:color w:val="222222"/>
          <w:sz w:val="27"/>
        </w:rPr>
        <w:t>年</w:t>
      </w:r>
      <w:r>
        <w:rPr>
          <w:b/>
          <w:color w:val="222222"/>
          <w:sz w:val="27"/>
        </w:rPr>
        <w:t xml:space="preserve">   </w:t>
      </w:r>
      <w:r>
        <w:rPr>
          <w:b/>
          <w:color w:val="222222"/>
          <w:sz w:val="27"/>
        </w:rPr>
        <w:t>月</w:t>
      </w:r>
      <w:r>
        <w:rPr>
          <w:b/>
          <w:color w:val="222222"/>
          <w:sz w:val="27"/>
        </w:rPr>
        <w:t xml:space="preserve">   </w:t>
      </w:r>
      <w:r>
        <w:rPr>
          <w:b/>
          <w:color w:val="222222"/>
          <w:sz w:val="27"/>
        </w:rPr>
        <w:t>日。</w:t>
      </w:r>
    </w:p>
    <w:p>
      <w:pPr>
        <w:jc w:val="both"/>
      </w:pPr>
      <w:r>
        <w:rPr>
          <w:color w:val="222222"/>
          <w:sz w:val="27"/>
        </w:rPr>
        <w:t>三、</w:t>
      </w:r>
      <w:r>
        <w:rPr>
          <w:b/>
          <w:color w:val="222222"/>
          <w:sz w:val="27"/>
        </w:rPr>
        <w:t>服务要求</w:t>
      </w:r>
    </w:p>
    <w:p>
      <w:pPr>
        <w:ind w:firstLine="540"/>
        <w:jc w:val="both"/>
      </w:pPr>
      <w:r>
        <w:rPr>
          <w:color w:val="222222"/>
          <w:sz w:val="27"/>
        </w:rPr>
        <w:t>1.常规服务：按照市</w:t>
      </w:r>
      <w:r>
        <w:rPr>
          <w:color w:val="222222"/>
          <w:sz w:val="27"/>
        </w:rPr>
        <w:t>、</w:t>
      </w:r>
      <w:r>
        <w:rPr>
          <w:color w:val="222222"/>
          <w:sz w:val="27"/>
        </w:rPr>
        <w:t>区爱卫会的统一部署，全年开展</w:t>
      </w:r>
      <w:r>
        <w:rPr>
          <w:color w:val="222222"/>
          <w:sz w:val="27"/>
        </w:rPr>
        <w:t>4次全面投药杀灭鼠、蝇、蚊、蟑螂等病媒生物防制服务工作（每次病媒生物防制服务包括投药灭鼠、下水道烟雾灭蚊蟑、绿化带喷药灭蚊、下水道入水口吊木塞或珍珠岩缓释剂灭蚊幼、垃圾中转站喷药灭蝇、大中型水体投药灭蚊幼），2次灭蚊专项行动（每次灭蚊专项行动包括下水道烟雾灭蚊蟑、垃圾中转站喷药灭蝇、绿化带喷药灭蚊</w:t>
      </w:r>
      <w:r>
        <w:rPr>
          <w:color w:val="222222"/>
          <w:sz w:val="27"/>
        </w:rPr>
        <w:t>、</w:t>
      </w:r>
      <w:r>
        <w:rPr>
          <w:color w:val="222222"/>
          <w:sz w:val="27"/>
        </w:rPr>
        <w:t>大中型水体投药灭蚊幼。</w:t>
      </w:r>
      <w:r>
        <w:rPr>
          <w:color w:val="222222"/>
          <w:sz w:val="27"/>
        </w:rPr>
        <w:t>）</w:t>
      </w:r>
      <w:r>
        <w:rPr>
          <w:color w:val="222222"/>
          <w:sz w:val="27"/>
        </w:rPr>
        <w:t>具体工作时间根据</w:t>
      </w:r>
      <w:r>
        <w:rPr>
          <w:color w:val="222222"/>
          <w:sz w:val="27"/>
        </w:rPr>
        <w:t>区卫健局、</w:t>
      </w:r>
      <w:r>
        <w:rPr>
          <w:color w:val="222222"/>
          <w:sz w:val="27"/>
        </w:rPr>
        <w:t>区爱卫办下发的病媒生物防制方案执行。服务范围内局部区域出现登革热病例或疫情，乙方须带齐人员、器械和药物按照甲方要求开展灭蚊专项行动。</w:t>
      </w:r>
    </w:p>
    <w:p>
      <w:pPr>
        <w:ind w:firstLine="540"/>
        <w:jc w:val="both"/>
      </w:pPr>
      <w:r>
        <w:rPr>
          <w:color w:val="222222"/>
          <w:sz w:val="27"/>
        </w:rPr>
        <w:t>2.非常规服务：遇到突发事件如登革热病等传播，另行开展登革热防控灭蚊专项行动（成蚊灭杀和孳生地处理），药物及服务费另安排预算。</w:t>
      </w:r>
    </w:p>
    <w:p>
      <w:pPr>
        <w:ind w:firstLine="540"/>
        <w:jc w:val="both"/>
      </w:pPr>
      <w:r>
        <w:rPr>
          <w:color w:val="222222"/>
          <w:sz w:val="27"/>
        </w:rPr>
        <w:t>3.合同期内负责安装2500只鼠屋，毒鼠屋的规格必须统一。毒鼠屋由专人负责管理，毒鼠屋需有编号、安装位置登记表、鼠屋分布平面图，灭鼠屋须张贴安全警示标志。每次投药需有毒鼠屋投药记录表。</w:t>
      </w:r>
    </w:p>
    <w:p>
      <w:pPr>
        <w:ind w:firstLine="540"/>
        <w:jc w:val="both"/>
      </w:pPr>
      <w:r>
        <w:rPr>
          <w:color w:val="222222"/>
          <w:sz w:val="27"/>
        </w:rPr>
        <w:t>4.服务范围：端州城区主次干道、内街巷道范围内公共外环境，各街道办辖区内无明确物业小区老旧居民区、城中村、主次干道及内街巷道下水道、公园绿地、西江堤岸内、垃圾中转站、绿化带、花基、闲置地和各类型病媒生物孳生繁殖地，具体如下：</w:t>
      </w:r>
    </w:p>
    <w:p>
      <w:pPr>
        <w:ind w:firstLine="540"/>
        <w:jc w:val="both"/>
      </w:pPr>
      <w:r>
        <w:rPr>
          <w:color w:val="222222"/>
          <w:sz w:val="27"/>
        </w:rPr>
        <w:t>4.1 城西街道办服务范围：城中社区、宋城社区、正西社区、白沙社区、清风社区、宝月社区、登高社区、星荷社区、康乐社区、芙蓉社区、黄塘社区、百花社区、桥北社区、伴月社区、波海社区、下瑶社区、沙街社区、出头社区等十八个社区公共外环境及居民区（单位、物业管理小区除外），包括辖区范围的主次干道、背街小巷的下水道、公园绿地（芙蓉公园、儿童公园、宝月公园、白沙公园）、垃圾中转站、绿化带、花基、闲置地和各类型病媒生物孳生繁殖地。</w:t>
      </w:r>
    </w:p>
    <w:p>
      <w:pPr>
        <w:ind w:firstLine="540"/>
        <w:jc w:val="both"/>
      </w:pPr>
      <w:r>
        <w:rPr>
          <w:color w:val="222222"/>
          <w:sz w:val="27"/>
        </w:rPr>
        <w:t>4.2 睦岗街道办服务范围：桂林街社区、龙塘社区、三村社区、蕉园社区、站北社区、山河社区、棠下社区、大洲社区、睦岗社区、玑东社区等十个社区公共外环境及居民区（单位、物业管理小区除外）包括辖区范围的主次干道、背街小巷的下水道、公园绿地（珑湖公园）、垃圾中转站、绿化带、花基、闲置地和各类型病媒生物孳生繁殖地。</w:t>
      </w:r>
    </w:p>
    <w:p>
      <w:pPr>
        <w:ind w:firstLine="540"/>
        <w:jc w:val="both"/>
      </w:pPr>
      <w:r>
        <w:rPr>
          <w:color w:val="222222"/>
          <w:sz w:val="27"/>
        </w:rPr>
        <w:t>5.服务范围内的公共外环境病媒生物的质量控制执行如下标准：</w:t>
      </w:r>
    </w:p>
    <w:p>
      <w:pPr>
        <w:ind w:firstLine="540"/>
        <w:jc w:val="both"/>
      </w:pPr>
      <w:r>
        <w:rPr>
          <w:color w:val="222222"/>
          <w:sz w:val="27"/>
        </w:rPr>
        <w:t>5.1 密度水平控制标准：中华人民共和国卫生部、中国国家标准化管理委员会《病媒生物密度控制水平—鼠类、蚊虫、蝇类、蜚蠊》的4个国家标准（GB／T27770、27771、27772、27773—2011）。鼠类、蚊虫、蝇类、蜚蠊达到C级或以上。</w:t>
      </w:r>
    </w:p>
    <w:p>
      <w:pPr>
        <w:ind w:firstLine="540"/>
        <w:jc w:val="both"/>
      </w:pPr>
      <w:r>
        <w:rPr>
          <w:color w:val="222222"/>
          <w:sz w:val="27"/>
        </w:rPr>
        <w:t>5.2 密度监测标准：中华人民共和国国家质量监督检验检疫总局、中国国家标准化管理委员会《病媒生物密度监测方法—蜚蠊、蝇类、蚊虫、鼠类》的4个国家标准</w:t>
      </w:r>
      <w:r>
        <w:rPr>
          <w:color w:val="222222"/>
          <w:sz w:val="27"/>
        </w:rPr>
        <w:t>（</w:t>
      </w:r>
      <w:r>
        <w:rPr>
          <w:color w:val="222222"/>
          <w:sz w:val="27"/>
        </w:rPr>
        <w:t>GB／T23795-2009、GB／T23796-2009、GB／T23797-2020、GB／T23798—2009）</w:t>
      </w:r>
      <w:r>
        <w:rPr>
          <w:color w:val="222222"/>
          <w:sz w:val="27"/>
        </w:rPr>
        <w:t>。</w:t>
      </w:r>
    </w:p>
    <w:p>
      <w:pPr>
        <w:jc w:val="both"/>
      </w:pPr>
      <w:r>
        <w:rPr>
          <w:b/>
          <w:color w:val="222222"/>
          <w:sz w:val="27"/>
        </w:rPr>
        <w:t>四、技术要求</w:t>
      </w:r>
    </w:p>
    <w:p>
      <w:pPr>
        <w:ind w:firstLine="540"/>
        <w:jc w:val="both"/>
      </w:pPr>
      <w:r>
        <w:rPr>
          <w:color w:val="222222"/>
          <w:sz w:val="27"/>
        </w:rPr>
        <w:t>1.乙方必须具备病媒生物防制的技术力量，有参加病媒生物防治服务的工人不少于30人，其中持有经省、市爱卫、人社、协会三类部门出具的病媒生物防制职业资格证书且有购买社保的工人不少于10人，并承诺每次开展服务期间出动不少于30人。</w:t>
      </w:r>
    </w:p>
    <w:p>
      <w:pPr>
        <w:ind w:firstLine="540"/>
        <w:jc w:val="both"/>
      </w:pPr>
      <w:r>
        <w:rPr>
          <w:sz w:val="27"/>
        </w:rPr>
        <w:t>2.乙方必须有固定的药物仓库和器械仓库：药物仓库面积不少于40㎡，器械仓库面积不少于40㎡。</w:t>
      </w:r>
    </w:p>
    <w:p>
      <w:pPr>
        <w:ind w:firstLine="540"/>
        <w:jc w:val="both"/>
      </w:pPr>
      <w:r>
        <w:rPr>
          <w:color w:val="222222"/>
          <w:sz w:val="27"/>
        </w:rPr>
        <w:t>3.乙方必须具有一定数量的器械，其中烟雾机不少于12台、机动或电动超低容量喷雾机、机动或电动常量喷雾机均不少于8台，并承诺每次开展服务期间出动不少于上述数量的器械。</w:t>
      </w:r>
    </w:p>
    <w:p>
      <w:pPr>
        <w:ind w:firstLine="540"/>
        <w:jc w:val="both"/>
      </w:pPr>
      <w:r>
        <w:rPr>
          <w:color w:val="222222"/>
          <w:sz w:val="27"/>
        </w:rPr>
        <w:t>4.乙方要做到科学用药，所使用药物必须提供药物“三证”（农药登记证、农药生产批准证书、产品企业标准），并在每次开展服务前将准备使用药物的“三证”报给区爱卫办、区卫健局，不得使用国家禁用或伪劣的灭鼠、杀虫剂。</w:t>
      </w:r>
    </w:p>
    <w:p>
      <w:pPr>
        <w:ind w:firstLine="540"/>
        <w:jc w:val="both"/>
      </w:pPr>
      <w:r>
        <w:rPr>
          <w:color w:val="222222"/>
          <w:sz w:val="27"/>
        </w:rPr>
        <w:t>5.甲方有权在不超出约定的年度服务总次数的前提下，调整每次服务的时间，具体以甲方文件通知为准。</w:t>
      </w:r>
    </w:p>
    <w:p>
      <w:pPr>
        <w:ind w:firstLine="540"/>
        <w:jc w:val="both"/>
      </w:pPr>
      <w:r>
        <w:rPr>
          <w:color w:val="222222"/>
          <w:sz w:val="27"/>
        </w:rPr>
        <w:t>6.乙方必须接受甲方及相关技术部门的监督、检查，并提供必需的材料，应具有参与开展创建卫生城市、卫生镇经验。</w:t>
      </w:r>
    </w:p>
    <w:p>
      <w:pPr>
        <w:ind w:firstLine="540"/>
        <w:jc w:val="both"/>
      </w:pPr>
      <w:r>
        <w:rPr>
          <w:color w:val="222222"/>
          <w:sz w:val="27"/>
        </w:rPr>
        <w:t>7.合同期间，如甲方有上级检查或出现疫情等情况，乙方必须服从安排，在接到通知后及时按要求带全装备到现场开展相关工作。</w:t>
      </w:r>
    </w:p>
    <w:p>
      <w:pPr>
        <w:ind w:firstLine="540"/>
        <w:jc w:val="both"/>
      </w:pPr>
      <w:r>
        <w:rPr>
          <w:color w:val="222222"/>
          <w:sz w:val="27"/>
        </w:rPr>
        <w:t>8.每次服务前，乙方需对服务范围内病媒生物防制工作开展本底调查，并结合本底调查情况制定病媒生物防制服务方案报区爱卫办、区卫健局，并列出每次每项工作安排表。每次服务完成后10个工作日内，乙方须向甲方提交药物使用表、工作安排表及施工记录表等相关资料。</w:t>
      </w:r>
    </w:p>
    <w:p>
      <w:pPr>
        <w:ind w:firstLine="540"/>
        <w:jc w:val="both"/>
      </w:pPr>
      <w:r>
        <w:rPr>
          <w:color w:val="222222"/>
          <w:sz w:val="27"/>
        </w:rPr>
        <w:t>9.乙方每次服务要做好除四害善后清理工作，及时清理鼠粪、死鼠及填塞鼠洞，及时清除过期失效的鼠谷。</w:t>
      </w:r>
    </w:p>
    <w:p>
      <w:pPr>
        <w:ind w:firstLine="540"/>
        <w:jc w:val="both"/>
      </w:pPr>
      <w:r>
        <w:rPr>
          <w:color w:val="222222"/>
          <w:sz w:val="27"/>
        </w:rPr>
        <w:t>10.乙方须熟悉国家卫生城市病媒生物防制密度监测的标准并配合采购方开展病媒生物密度监测评估工作。</w:t>
      </w:r>
    </w:p>
    <w:p>
      <w:pPr>
        <w:jc w:val="both"/>
      </w:pPr>
      <w:r>
        <w:rPr>
          <w:b/>
          <w:color w:val="222222"/>
          <w:sz w:val="27"/>
        </w:rPr>
        <w:t>五、付款方式</w:t>
      </w:r>
    </w:p>
    <w:p>
      <w:pPr>
        <w:jc w:val="both"/>
      </w:pPr>
      <w:r>
        <w:rPr>
          <w:color w:val="222222"/>
          <w:sz w:val="27"/>
        </w:rPr>
        <w:t>本项目款项由区财政局按相关规定以人民币转账方式集中支付</w:t>
      </w:r>
      <w:r>
        <w:rPr>
          <w:color w:val="222222"/>
          <w:sz w:val="27"/>
        </w:rPr>
        <w:t>:（1）常规服务在每次服务结束，并经服务质量考评合格后，两个月内，支付本次服务费，支付服务费=应付服务费-扣减款。（2）非常规服务在每次服务结束，并经乙方把服务相关资料报甲方核实后，两个月内支付本次费用。（3）每次结算前，乙方需先向甲方开具正式发票。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jc w:val="both"/>
      </w:pPr>
      <w:r>
        <w:rPr>
          <w:b/>
          <w:color w:val="222222"/>
          <w:sz w:val="27"/>
        </w:rPr>
        <w:t>六、履约保证金</w:t>
      </w:r>
    </w:p>
    <w:p>
      <w:pPr>
        <w:ind w:firstLine="540"/>
        <w:jc w:val="both"/>
      </w:pPr>
      <w:r>
        <w:rPr>
          <w:color w:val="222222"/>
          <w:sz w:val="27"/>
        </w:rPr>
        <w:t>履约保证金为合同金额的</w:t>
      </w:r>
      <w:r>
        <w:rPr>
          <w:color w:val="222222"/>
          <w:sz w:val="27"/>
        </w:rPr>
        <w:t>5%，</w:t>
      </w:r>
      <w:r>
        <w:rPr>
          <w:color w:val="222222"/>
          <w:sz w:val="27"/>
        </w:rPr>
        <w:t>乙方应在签订本合同</w:t>
      </w:r>
      <w:r>
        <w:rPr>
          <w:color w:val="222222"/>
          <w:sz w:val="27"/>
        </w:rPr>
        <w:t>5日内向甲方支付</w:t>
      </w:r>
      <w:r>
        <w:rPr>
          <w:color w:val="222222"/>
          <w:sz w:val="27"/>
        </w:rPr>
        <w:t>履约保证金</w:t>
      </w:r>
      <w:r>
        <w:rPr>
          <w:color w:val="222222"/>
          <w:sz w:val="27"/>
        </w:rPr>
        <w:t>。</w:t>
      </w:r>
      <w:r>
        <w:rPr>
          <w:color w:val="222222"/>
          <w:sz w:val="27"/>
        </w:rPr>
        <w:t>履约保证金应当以支票、汇票、本票</w:t>
      </w:r>
      <w:r>
        <w:rPr>
          <w:color w:val="222222"/>
          <w:sz w:val="27"/>
        </w:rPr>
        <w:t>或者金融机构、担保机构出具的保函等非现金形式提交；履约保证金在乙方履行完采购合同主要义务后，甲方按照合同约定原额</w:t>
      </w:r>
      <w:r>
        <w:rPr>
          <w:color w:val="222222"/>
          <w:sz w:val="27"/>
        </w:rPr>
        <w:t>（</w:t>
      </w:r>
      <w:r>
        <w:rPr>
          <w:color w:val="222222"/>
          <w:sz w:val="27"/>
        </w:rPr>
        <w:t>无息</w:t>
      </w:r>
      <w:r>
        <w:rPr>
          <w:color w:val="222222"/>
          <w:sz w:val="27"/>
        </w:rPr>
        <w:t>）</w:t>
      </w:r>
      <w:r>
        <w:rPr>
          <w:color w:val="222222"/>
          <w:sz w:val="27"/>
        </w:rPr>
        <w:t>退还，履约保证金以履约担保函形式提交的，担保责任终止。</w:t>
      </w:r>
    </w:p>
    <w:p>
      <w:pPr>
        <w:jc w:val="both"/>
      </w:pPr>
      <w:r>
        <w:rPr>
          <w:b/>
          <w:color w:val="222222"/>
          <w:sz w:val="27"/>
        </w:rPr>
        <w:t>七、</w:t>
      </w:r>
      <w:r>
        <w:rPr>
          <w:b/>
          <w:color w:val="222222"/>
          <w:sz w:val="27"/>
        </w:rPr>
        <w:t>服务质量考评办法</w:t>
      </w:r>
    </w:p>
    <w:p>
      <w:pPr>
        <w:ind w:firstLine="540"/>
        <w:jc w:val="both"/>
      </w:pPr>
      <w:r>
        <w:rPr>
          <w:color w:val="222222"/>
          <w:sz w:val="27"/>
        </w:rPr>
        <w:t>本项目的服务质量管理采用综合分</w:t>
      </w:r>
      <w:r>
        <w:rPr>
          <w:color w:val="222222"/>
          <w:sz w:val="27"/>
        </w:rPr>
        <w:t>100分制，分定期考评和日常管理两种考评办法：</w:t>
      </w:r>
    </w:p>
    <w:p>
      <w:pPr>
        <w:ind w:firstLine="540"/>
        <w:jc w:val="both"/>
      </w:pPr>
      <w:r>
        <w:rPr>
          <w:color w:val="222222"/>
          <w:sz w:val="27"/>
        </w:rPr>
        <w:t>1．定期考评由甲方委托第三方在乙方每次全面投药灭害常规服务后的10天内对其服务及相关质量进行考评，考评内容包括监测资料（本底调查资料、服务方案、施工记录）、现场操作规程和服务效果等三项，其中资料20分、现场操作规程20分、防制服务效果占60分，共100分，该项占综合分的80%；</w:t>
      </w:r>
    </w:p>
    <w:p>
      <w:pPr>
        <w:ind w:firstLine="540"/>
        <w:jc w:val="both"/>
      </w:pPr>
      <w:r>
        <w:rPr>
          <w:color w:val="222222"/>
          <w:sz w:val="27"/>
        </w:rPr>
        <w:t>2</w:t>
      </w:r>
      <w:r>
        <w:rPr>
          <w:color w:val="222222"/>
          <w:sz w:val="27"/>
        </w:rPr>
        <w:t>.</w:t>
      </w:r>
      <w:r>
        <w:rPr>
          <w:color w:val="222222"/>
          <w:sz w:val="27"/>
        </w:rPr>
        <w:t>日常管理在每次常规服务后的</w:t>
      </w:r>
      <w:r>
        <w:rPr>
          <w:color w:val="222222"/>
          <w:sz w:val="27"/>
        </w:rPr>
        <w:t>10天内由卫生健康局爱卫办、街道办、社区居委会根据服务期间的监督检查和市疾控中心每月对城区“四害”密度监测数据相结合对其服务(包括但不限于非常规服务)及相关质量进行考评，占综合分的20%。</w:t>
      </w:r>
    </w:p>
    <w:p>
      <w:pPr>
        <w:ind w:firstLine="542"/>
      </w:pPr>
      <w:r>
        <w:rPr>
          <w:b/>
          <w:sz w:val="27"/>
        </w:rPr>
        <w:t>考核评分表</w:t>
      </w:r>
    </w:p>
    <w:tbl>
      <w:tblPr>
        <w:tblW w:w="0" w:type="auto"/>
        <w:tblBorders>
          <w:top w:val="none" w:color="000000" w:sz="4"/>
          <w:left w:val="none" w:color="000000" w:sz="4"/>
          <w:bottom w:val="none" w:color="000000" w:sz="4"/>
          <w:right w:val="none" w:color="000000" w:sz="4"/>
          <w:insideH w:val="none"/>
          <w:insideV w:val="none"/>
        </w:tblBorders>
      </w:tblPr>
      <w:tblGrid>
        <w:gridCol w:w="783"/>
        <w:gridCol w:w="467"/>
        <w:gridCol w:w="5954"/>
        <w:gridCol w:w="594"/>
        <w:gridCol w:w="467"/>
      </w:tblGrid>
      <w:tr>
        <w:tc>
          <w:tcPr>
            <w:tcW w:type="dxa" w:w="8265"/>
            <w:gridSpan w:val="5"/>
            <w:tcBorders>
              <w:top w:val="single" w:color="000000" w:sz="8"/>
              <w:left w:val="single" w:color="000000" w:sz="8"/>
              <w:bottom w:val="single" w:color="000000" w:sz="8"/>
              <w:right w:val="single" w:color="000000" w:sz="8"/>
            </w:tcBorders>
            <w:vAlign w:val="top"/>
          </w:tcPr>
          <w:p>
            <w:pPr>
              <w:jc w:val="center"/>
            </w:pPr>
            <w:r>
              <w:rPr>
                <w:b/>
                <w:sz w:val="27"/>
              </w:rPr>
              <w:t>端州城区公共外环境病媒生物防制服务考核评分表</w:t>
            </w:r>
          </w:p>
        </w:tc>
      </w:tr>
      <w:tr>
        <w:tc>
          <w:tcPr>
            <w:tcW w:type="dxa" w:w="8265"/>
            <w:gridSpan w:val="5"/>
            <w:tcBorders>
              <w:top w:val="none" w:color="000000" w:sz="4"/>
              <w:left w:val="single" w:color="000000" w:sz="8"/>
              <w:bottom w:val="single" w:color="000000" w:sz="8"/>
              <w:right w:val="single" w:color="000000" w:sz="8"/>
            </w:tcBorders>
            <w:vAlign w:val="top"/>
          </w:tcPr>
          <w:p>
            <w:pPr>
              <w:jc w:val="center"/>
            </w:pPr>
          </w:p>
        </w:tc>
      </w:tr>
      <w:tr>
        <w:tc>
          <w:tcPr>
            <w:tcW w:type="dxa" w:w="8265"/>
            <w:gridSpan w:val="5"/>
            <w:tcBorders>
              <w:top w:val="none" w:color="000000" w:sz="4"/>
              <w:left w:val="single" w:color="000000" w:sz="8"/>
              <w:bottom w:val="single" w:color="000000" w:sz="8"/>
              <w:right w:val="single" w:color="000000" w:sz="8"/>
            </w:tcBorders>
            <w:vAlign w:val="top"/>
          </w:tcPr>
          <w:p>
            <w:pPr>
              <w:jc w:val="center"/>
            </w:pPr>
            <w:r>
              <w:rPr>
                <w:sz w:val="27"/>
              </w:rPr>
              <w:t>考核对象：</w:t>
            </w:r>
            <w:r>
              <w:rPr>
                <w:sz w:val="27"/>
              </w:rPr>
              <w:t>XX                             本轮服务时间：202X年XX-XX月</w:t>
            </w:r>
          </w:p>
        </w:tc>
      </w:tr>
      <w:tr>
        <w:tc>
          <w:tcPr>
            <w:tcW w:type="dxa" w:w="783"/>
            <w:tcBorders>
              <w:top w:val="none" w:color="000000" w:sz="4"/>
              <w:left w:val="single" w:color="000000" w:sz="8"/>
              <w:bottom w:val="single" w:color="000000" w:sz="8"/>
              <w:right w:val="single" w:color="000000" w:sz="8"/>
            </w:tcBorders>
            <w:vAlign w:val="top"/>
          </w:tcPr>
          <w:p>
            <w:pPr>
              <w:jc w:val="center"/>
            </w:pPr>
            <w:r>
              <w:rPr>
                <w:sz w:val="27"/>
              </w:rPr>
              <w:t>考核</w:t>
            </w:r>
          </w:p>
          <w:p>
            <w:pPr>
              <w:jc w:val="center"/>
            </w:pPr>
            <w:r>
              <w:rPr>
                <w:sz w:val="27"/>
              </w:rPr>
              <w:t>项目</w:t>
            </w:r>
          </w:p>
        </w:tc>
        <w:tc>
          <w:tcPr>
            <w:tcW w:type="dxa" w:w="6421"/>
            <w:gridSpan w:val="2"/>
            <w:tcBorders>
              <w:top w:val="single" w:color="000000" w:sz="8"/>
              <w:left w:val="single" w:color="000000" w:sz="8"/>
              <w:bottom w:val="single" w:color="000000" w:sz="8"/>
              <w:right w:val="single" w:color="000000" w:sz="8"/>
            </w:tcBorders>
            <w:vAlign w:val="top"/>
          </w:tcPr>
          <w:p>
            <w:pPr>
              <w:jc w:val="center"/>
            </w:pPr>
            <w:r>
              <w:rPr>
                <w:sz w:val="27"/>
              </w:rPr>
              <w:t>评分细则</w:t>
            </w:r>
          </w:p>
        </w:tc>
        <w:tc>
          <w:tcPr>
            <w:tcW w:type="dxa" w:w="594"/>
            <w:tcBorders>
              <w:top w:val="single" w:color="000000" w:sz="8"/>
              <w:left w:val="single" w:color="000000" w:sz="8"/>
              <w:bottom w:val="single" w:color="000000" w:sz="8"/>
              <w:right w:val="single" w:color="000000" w:sz="8"/>
            </w:tcBorders>
            <w:vAlign w:val="top"/>
          </w:tcPr>
          <w:p>
            <w:pPr>
              <w:jc w:val="center"/>
            </w:pPr>
            <w:r>
              <w:rPr>
                <w:sz w:val="27"/>
              </w:rPr>
              <w:t>分值</w:t>
            </w:r>
          </w:p>
        </w:tc>
        <w:tc>
          <w:tcPr>
            <w:tcW w:type="dxa" w:w="467"/>
            <w:tcBorders>
              <w:top w:val="single" w:color="000000" w:sz="8"/>
              <w:left w:val="single" w:color="000000" w:sz="8"/>
              <w:bottom w:val="single" w:color="000000" w:sz="8"/>
              <w:right w:val="single" w:color="000000" w:sz="8"/>
            </w:tcBorders>
            <w:vAlign w:val="top"/>
          </w:tcPr>
          <w:p>
            <w:pPr>
              <w:jc w:val="center"/>
            </w:pPr>
            <w:r>
              <w:rPr>
                <w:sz w:val="27"/>
              </w:rPr>
              <w:t>得分</w:t>
            </w:r>
          </w:p>
        </w:tc>
      </w:tr>
      <w:tr>
        <w:tc>
          <w:tcPr>
            <w:tcW w:type="dxa" w:w="783"/>
            <w:vMerge w:val="restart"/>
            <w:tcBorders>
              <w:top w:val="none" w:color="000000" w:sz="4"/>
              <w:left w:val="single" w:color="000000" w:sz="8"/>
              <w:bottom w:val="single" w:color="000000" w:sz="8"/>
              <w:right w:val="single" w:color="000000" w:sz="8"/>
            </w:tcBorders>
            <w:vAlign w:val="top"/>
          </w:tcPr>
          <w:p>
            <w:pPr>
              <w:jc w:val="center"/>
            </w:pPr>
            <w:r>
              <w:rPr>
                <w:sz w:val="27"/>
              </w:rPr>
              <w:t>服务</w:t>
            </w:r>
          </w:p>
          <w:p>
            <w:pPr>
              <w:jc w:val="center"/>
            </w:pPr>
            <w:r>
              <w:rPr>
                <w:sz w:val="27"/>
              </w:rPr>
              <w:t>资料</w:t>
            </w:r>
            <w:r>
              <w:br/>
            </w:r>
            <w:r>
              <w:rPr>
                <w:sz w:val="27"/>
              </w:rPr>
              <w:t>（</w:t>
            </w:r>
            <w:r>
              <w:rPr>
                <w:sz w:val="27"/>
              </w:rPr>
              <w:t>18分）</w:t>
            </w:r>
          </w:p>
        </w:tc>
        <w:tc>
          <w:tcPr>
            <w:tcW w:type="dxa" w:w="467"/>
            <w:tcBorders>
              <w:top w:val="none" w:color="000000" w:sz="4"/>
              <w:left w:val="single" w:color="000000" w:sz="8"/>
              <w:bottom w:val="single" w:color="000000" w:sz="8"/>
              <w:right w:val="single" w:color="000000" w:sz="8"/>
            </w:tcBorders>
            <w:vAlign w:val="top"/>
          </w:tcPr>
          <w:p>
            <w:pPr>
              <w:jc w:val="center"/>
            </w:pPr>
            <w:r>
              <w:rPr>
                <w:sz w:val="27"/>
              </w:rPr>
              <w:t>1</w:t>
            </w:r>
          </w:p>
        </w:tc>
        <w:tc>
          <w:tcPr>
            <w:tcW w:type="dxa" w:w="5954"/>
            <w:tcBorders>
              <w:top w:val="none" w:color="000000" w:sz="4"/>
              <w:left w:val="single" w:color="000000" w:sz="8"/>
              <w:bottom w:val="single" w:color="000000" w:sz="8"/>
              <w:right w:val="single" w:color="000000" w:sz="8"/>
            </w:tcBorders>
            <w:vAlign w:val="top"/>
          </w:tcPr>
          <w:p>
            <w:r>
              <w:rPr>
                <w:sz w:val="27"/>
              </w:rPr>
              <w:t>每次开展服务前，按要求开展本底调查，并提交本底调查资料，缺</w:t>
            </w:r>
            <w:r>
              <w:rPr>
                <w:sz w:val="27"/>
              </w:rPr>
              <w:t>1次扣2分。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4</w:t>
            </w:r>
          </w:p>
        </w:tc>
        <w:tc>
          <w:tcPr>
            <w:tcW w:type="dxa" w:w="467"/>
            <w:tcBorders>
              <w:top w:val="single" w:color="000000" w:sz="8"/>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2</w:t>
            </w:r>
          </w:p>
        </w:tc>
        <w:tc>
          <w:tcPr>
            <w:tcW w:type="dxa" w:w="5954"/>
            <w:tcBorders>
              <w:top w:val="none" w:color="000000" w:sz="4"/>
              <w:left w:val="single" w:color="000000" w:sz="8"/>
              <w:bottom w:val="single" w:color="000000" w:sz="8"/>
              <w:right w:val="single" w:color="000000" w:sz="8"/>
            </w:tcBorders>
            <w:vAlign w:val="top"/>
          </w:tcPr>
          <w:p>
            <w:r>
              <w:rPr>
                <w:sz w:val="27"/>
              </w:rPr>
              <w:t>每次开展服务前提交服务方案，缺</w:t>
            </w:r>
            <w:r>
              <w:rPr>
                <w:sz w:val="27"/>
              </w:rPr>
              <w:t>1次扣1分。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2</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3</w:t>
            </w:r>
          </w:p>
        </w:tc>
        <w:tc>
          <w:tcPr>
            <w:tcW w:type="dxa" w:w="5954"/>
            <w:tcBorders>
              <w:top w:val="none" w:color="000000" w:sz="4"/>
              <w:left w:val="single" w:color="000000" w:sz="8"/>
              <w:bottom w:val="single" w:color="000000" w:sz="8"/>
              <w:right w:val="single" w:color="000000" w:sz="8"/>
            </w:tcBorders>
            <w:vAlign w:val="top"/>
          </w:tcPr>
          <w:p>
            <w:r>
              <w:rPr>
                <w:sz w:val="27"/>
              </w:rPr>
              <w:t>服务前一天提交完整的工作安排表，缺</w:t>
            </w:r>
            <w:r>
              <w:rPr>
                <w:sz w:val="27"/>
              </w:rPr>
              <w:t>1次扣1分。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5</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4</w:t>
            </w:r>
          </w:p>
        </w:tc>
        <w:tc>
          <w:tcPr>
            <w:tcW w:type="dxa" w:w="5954"/>
            <w:tcBorders>
              <w:top w:val="none" w:color="000000" w:sz="4"/>
              <w:left w:val="single" w:color="000000" w:sz="8"/>
              <w:bottom w:val="single" w:color="000000" w:sz="8"/>
              <w:right w:val="single" w:color="000000" w:sz="8"/>
            </w:tcBorders>
            <w:vAlign w:val="top"/>
          </w:tcPr>
          <w:p>
            <w:r>
              <w:rPr>
                <w:sz w:val="27"/>
              </w:rPr>
              <w:t>每次服务结束后须提交完整的药物使用表及施工记录表，缺</w:t>
            </w:r>
            <w:r>
              <w:rPr>
                <w:sz w:val="27"/>
              </w:rPr>
              <w:t>1次扣1分。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4</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5</w:t>
            </w:r>
          </w:p>
        </w:tc>
        <w:tc>
          <w:tcPr>
            <w:tcW w:type="dxa" w:w="5954"/>
            <w:tcBorders>
              <w:top w:val="none" w:color="000000" w:sz="4"/>
              <w:left w:val="single" w:color="000000" w:sz="8"/>
              <w:bottom w:val="single" w:color="000000" w:sz="8"/>
              <w:right w:val="single" w:color="000000" w:sz="8"/>
            </w:tcBorders>
            <w:vAlign w:val="top"/>
          </w:tcPr>
          <w:p>
            <w:r>
              <w:rPr>
                <w:sz w:val="27"/>
              </w:rPr>
              <w:t>积极配合甲方开展病媒生物防制资料收集整理工作，没能按时提供的本项不得分。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3</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val="restart"/>
            <w:tcBorders>
              <w:top w:val="none" w:color="000000" w:sz="4"/>
              <w:left w:val="single" w:color="000000" w:sz="8"/>
              <w:bottom w:val="single" w:color="000000" w:sz="8"/>
              <w:right w:val="single" w:color="000000" w:sz="8"/>
            </w:tcBorders>
            <w:vAlign w:val="top"/>
          </w:tcPr>
          <w:p>
            <w:pPr>
              <w:jc w:val="center"/>
            </w:pPr>
            <w:r>
              <w:rPr>
                <w:sz w:val="27"/>
              </w:rPr>
              <w:t>现场</w:t>
            </w:r>
          </w:p>
          <w:p>
            <w:pPr>
              <w:jc w:val="center"/>
            </w:pPr>
            <w:r>
              <w:rPr>
                <w:sz w:val="27"/>
              </w:rPr>
              <w:t>服务</w:t>
            </w:r>
            <w:r>
              <w:br/>
            </w:r>
            <w:r>
              <w:rPr>
                <w:sz w:val="27"/>
              </w:rPr>
              <w:t>质量</w:t>
            </w:r>
            <w:r>
              <w:br/>
            </w:r>
            <w:r>
              <w:rPr>
                <w:sz w:val="27"/>
              </w:rPr>
              <w:t>（</w:t>
            </w:r>
            <w:r>
              <w:rPr>
                <w:sz w:val="27"/>
              </w:rPr>
              <w:t>54分）</w:t>
            </w:r>
          </w:p>
        </w:tc>
        <w:tc>
          <w:tcPr>
            <w:tcW w:type="dxa" w:w="467"/>
            <w:tcBorders>
              <w:top w:val="none" w:color="000000" w:sz="4"/>
              <w:left w:val="single" w:color="000000" w:sz="8"/>
              <w:bottom w:val="single" w:color="000000" w:sz="8"/>
              <w:right w:val="single" w:color="000000" w:sz="8"/>
            </w:tcBorders>
            <w:vAlign w:val="top"/>
          </w:tcPr>
          <w:p>
            <w:pPr>
              <w:jc w:val="center"/>
            </w:pPr>
            <w:r>
              <w:rPr>
                <w:sz w:val="27"/>
              </w:rPr>
              <w:t>6</w:t>
            </w:r>
          </w:p>
        </w:tc>
        <w:tc>
          <w:tcPr>
            <w:tcW w:type="dxa" w:w="5954"/>
            <w:tcBorders>
              <w:top w:val="none" w:color="000000" w:sz="4"/>
              <w:left w:val="single" w:color="000000" w:sz="8"/>
              <w:bottom w:val="single" w:color="000000" w:sz="8"/>
              <w:right w:val="single" w:color="000000" w:sz="8"/>
            </w:tcBorders>
            <w:vAlign w:val="top"/>
          </w:tcPr>
          <w:p>
            <w:r>
              <w:rPr>
                <w:sz w:val="27"/>
              </w:rPr>
              <w:t>根据实地下水道每隔</w:t>
            </w:r>
            <w:r>
              <w:rPr>
                <w:sz w:val="27"/>
              </w:rPr>
              <w:t>5-15米进行喷药，不得漏打，发现漏打的要及时补打。如不按要求补打的每次扣1分。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5</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7</w:t>
            </w:r>
          </w:p>
        </w:tc>
        <w:tc>
          <w:tcPr>
            <w:tcW w:type="dxa" w:w="5954"/>
            <w:tcBorders>
              <w:top w:val="none" w:color="000000" w:sz="4"/>
              <w:left w:val="single" w:color="000000" w:sz="8"/>
              <w:bottom w:val="single" w:color="000000" w:sz="8"/>
              <w:right w:val="single" w:color="000000" w:sz="8"/>
            </w:tcBorders>
            <w:vAlign w:val="top"/>
          </w:tcPr>
          <w:p>
            <w:r>
              <w:rPr>
                <w:sz w:val="27"/>
              </w:rPr>
              <w:t>器械数量是否充足，服务期间要求每天至少</w:t>
            </w:r>
            <w:r>
              <w:rPr>
                <w:sz w:val="27"/>
              </w:rPr>
              <w:t>12台烟雾机，每发现少1台扣1分。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5</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8</w:t>
            </w:r>
          </w:p>
        </w:tc>
        <w:tc>
          <w:tcPr>
            <w:tcW w:type="dxa" w:w="5954"/>
            <w:tcBorders>
              <w:top w:val="none" w:color="000000" w:sz="4"/>
              <w:left w:val="single" w:color="000000" w:sz="8"/>
              <w:bottom w:val="single" w:color="000000" w:sz="8"/>
              <w:right w:val="single" w:color="000000" w:sz="8"/>
            </w:tcBorders>
            <w:vAlign w:val="top"/>
          </w:tcPr>
          <w:p>
            <w:r>
              <w:rPr>
                <w:sz w:val="27"/>
              </w:rPr>
              <w:t>每次投药灭鼠必须先清理干净旧谷再投，进行</w:t>
            </w:r>
            <w:r>
              <w:rPr>
                <w:sz w:val="27"/>
              </w:rPr>
              <w:t>2轮以上补投。最后一次补投后要及时堵塞鼠洞。如发现漏投、漏补现象未按要求补投的，每发现1次扣1分。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10</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9</w:t>
            </w:r>
          </w:p>
        </w:tc>
        <w:tc>
          <w:tcPr>
            <w:tcW w:type="dxa" w:w="5954"/>
            <w:tcBorders>
              <w:top w:val="none" w:color="000000" w:sz="4"/>
              <w:left w:val="single" w:color="000000" w:sz="8"/>
              <w:bottom w:val="single" w:color="000000" w:sz="8"/>
              <w:right w:val="single" w:color="000000" w:sz="8"/>
            </w:tcBorders>
            <w:vAlign w:val="top"/>
          </w:tcPr>
          <w:p>
            <w:r>
              <w:rPr>
                <w:sz w:val="27"/>
              </w:rPr>
              <w:t>毒鼠屋由专人负责管理，毒鼠屋需有编号、安装位置登记表、鼠屋分布平面图，每次投药需有毒鼠屋投药记录表，缺</w:t>
            </w:r>
            <w:r>
              <w:rPr>
                <w:sz w:val="27"/>
              </w:rPr>
              <w:t>1项扣2分。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8</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10</w:t>
            </w:r>
          </w:p>
        </w:tc>
        <w:tc>
          <w:tcPr>
            <w:tcW w:type="dxa" w:w="5954"/>
            <w:tcBorders>
              <w:top w:val="none" w:color="000000" w:sz="4"/>
              <w:left w:val="single" w:color="000000" w:sz="8"/>
              <w:bottom w:val="single" w:color="000000" w:sz="8"/>
              <w:right w:val="single" w:color="000000" w:sz="8"/>
            </w:tcBorders>
            <w:vAlign w:val="top"/>
          </w:tcPr>
          <w:p>
            <w:r>
              <w:rPr>
                <w:sz w:val="27"/>
              </w:rPr>
              <w:t>下水道进水口吊放浸药木塞，不得漏放；发现漏放的要及时补放。如不按要求补放的每次扣</w:t>
            </w:r>
            <w:r>
              <w:rPr>
                <w:sz w:val="27"/>
              </w:rPr>
              <w:t>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8</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11</w:t>
            </w:r>
          </w:p>
        </w:tc>
        <w:tc>
          <w:tcPr>
            <w:tcW w:type="dxa" w:w="5954"/>
            <w:tcBorders>
              <w:top w:val="none" w:color="000000" w:sz="4"/>
              <w:left w:val="single" w:color="000000" w:sz="8"/>
              <w:bottom w:val="single" w:color="000000" w:sz="8"/>
              <w:right w:val="single" w:color="000000" w:sz="8"/>
            </w:tcBorders>
            <w:vAlign w:val="top"/>
          </w:tcPr>
          <w:p>
            <w:r>
              <w:rPr>
                <w:sz w:val="27"/>
              </w:rPr>
              <w:t>大中型水体投药灭蚊幼，不得漏投；发现漏放的要及时补投。如不按要求补投的每次扣</w:t>
            </w:r>
            <w:r>
              <w:rPr>
                <w:sz w:val="27"/>
              </w:rPr>
              <w:t>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8</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12</w:t>
            </w:r>
          </w:p>
        </w:tc>
        <w:tc>
          <w:tcPr>
            <w:tcW w:type="dxa" w:w="5954"/>
            <w:tcBorders>
              <w:top w:val="none" w:color="000000" w:sz="4"/>
              <w:left w:val="single" w:color="000000" w:sz="8"/>
              <w:bottom w:val="single" w:color="000000" w:sz="8"/>
              <w:right w:val="single" w:color="000000" w:sz="8"/>
            </w:tcBorders>
            <w:vAlign w:val="top"/>
          </w:tcPr>
          <w:p>
            <w:r>
              <w:rPr>
                <w:sz w:val="27"/>
              </w:rPr>
              <w:t>每次施工要按照要求配置足够人员；现场施工人员落实到位。发现缺</w:t>
            </w:r>
            <w:r>
              <w:rPr>
                <w:sz w:val="27"/>
              </w:rPr>
              <w:t>1项扣1分。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10</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tcBorders>
              <w:top w:val="none" w:color="000000" w:sz="4"/>
              <w:left w:val="single" w:color="000000" w:sz="8"/>
              <w:bottom w:val="single" w:color="000000" w:sz="8"/>
              <w:right w:val="single" w:color="000000" w:sz="8"/>
            </w:tcBorders>
            <w:vAlign w:val="top"/>
          </w:tcPr>
          <w:p>
            <w:pPr>
              <w:jc w:val="center"/>
            </w:pPr>
            <w:r>
              <w:rPr>
                <w:sz w:val="27"/>
              </w:rPr>
              <w:t>药物</w:t>
            </w:r>
            <w:r>
              <w:br/>
            </w:r>
            <w:r>
              <w:rPr>
                <w:sz w:val="27"/>
              </w:rPr>
              <w:t>（</w:t>
            </w:r>
            <w:r>
              <w:rPr>
                <w:sz w:val="27"/>
              </w:rPr>
              <w:t>10分）</w:t>
            </w:r>
          </w:p>
        </w:tc>
        <w:tc>
          <w:tcPr>
            <w:tcW w:type="dxa" w:w="467"/>
            <w:tcBorders>
              <w:top w:val="none" w:color="000000" w:sz="4"/>
              <w:left w:val="single" w:color="000000" w:sz="8"/>
              <w:bottom w:val="single" w:color="000000" w:sz="8"/>
              <w:right w:val="single" w:color="000000" w:sz="8"/>
            </w:tcBorders>
            <w:vAlign w:val="top"/>
          </w:tcPr>
          <w:p>
            <w:pPr>
              <w:jc w:val="center"/>
            </w:pPr>
            <w:r>
              <w:rPr>
                <w:sz w:val="27"/>
              </w:rPr>
              <w:t>13</w:t>
            </w:r>
          </w:p>
        </w:tc>
        <w:tc>
          <w:tcPr>
            <w:tcW w:type="dxa" w:w="5954"/>
            <w:tcBorders>
              <w:top w:val="none" w:color="000000" w:sz="4"/>
              <w:left w:val="single" w:color="000000" w:sz="8"/>
              <w:bottom w:val="single" w:color="000000" w:sz="8"/>
              <w:right w:val="single" w:color="000000" w:sz="8"/>
            </w:tcBorders>
            <w:vAlign w:val="top"/>
          </w:tcPr>
          <w:p>
            <w:r>
              <w:rPr>
                <w:sz w:val="27"/>
              </w:rPr>
              <w:t>服务使用的药物必须是使用已向区爱卫办提供</w:t>
            </w:r>
            <w:r>
              <w:rPr>
                <w:sz w:val="27"/>
              </w:rPr>
              <w:t>“三证”备案的药物，否则本项不得分；药物用量是否充足，是否有偷工减料现象，每发现一项扣2分。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10</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val="restart"/>
            <w:tcBorders>
              <w:top w:val="none" w:color="000000" w:sz="4"/>
              <w:left w:val="single" w:color="000000" w:sz="8"/>
              <w:bottom w:val="single" w:color="000000" w:sz="8"/>
              <w:right w:val="single" w:color="000000" w:sz="8"/>
            </w:tcBorders>
            <w:vAlign w:val="top"/>
          </w:tcPr>
          <w:p>
            <w:pPr>
              <w:jc w:val="center"/>
            </w:pPr>
            <w:r>
              <w:rPr>
                <w:sz w:val="27"/>
              </w:rPr>
              <w:t>投诉处理（</w:t>
            </w:r>
            <w:r>
              <w:rPr>
                <w:sz w:val="27"/>
              </w:rPr>
              <w:t>8分）</w:t>
            </w:r>
          </w:p>
        </w:tc>
        <w:tc>
          <w:tcPr>
            <w:tcW w:type="dxa" w:w="467"/>
            <w:tcBorders>
              <w:top w:val="none" w:color="000000" w:sz="4"/>
              <w:left w:val="single" w:color="000000" w:sz="8"/>
              <w:bottom w:val="single" w:color="000000" w:sz="8"/>
              <w:right w:val="single" w:color="000000" w:sz="8"/>
            </w:tcBorders>
            <w:vAlign w:val="top"/>
          </w:tcPr>
          <w:p>
            <w:pPr>
              <w:jc w:val="center"/>
            </w:pPr>
            <w:r>
              <w:rPr>
                <w:sz w:val="27"/>
              </w:rPr>
              <w:t>14</w:t>
            </w:r>
          </w:p>
        </w:tc>
        <w:tc>
          <w:tcPr>
            <w:tcW w:type="dxa" w:w="5954"/>
            <w:tcBorders>
              <w:top w:val="none" w:color="000000" w:sz="4"/>
              <w:left w:val="single" w:color="000000" w:sz="8"/>
              <w:bottom w:val="single" w:color="000000" w:sz="8"/>
              <w:right w:val="single" w:color="000000" w:sz="8"/>
            </w:tcBorders>
            <w:vAlign w:val="top"/>
          </w:tcPr>
          <w:p>
            <w:r>
              <w:rPr>
                <w:sz w:val="27"/>
              </w:rPr>
              <w:t>如市民投诉防制过程中因药物使用不当而影响群众的宠物、家禽、鱼类、鸟类安全，经查属直接或间接导致损失的，扣</w:t>
            </w:r>
            <w:r>
              <w:rPr>
                <w:sz w:val="27"/>
              </w:rPr>
              <w:t>3分处理。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3</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15</w:t>
            </w:r>
          </w:p>
        </w:tc>
        <w:tc>
          <w:tcPr>
            <w:tcW w:type="dxa" w:w="5954"/>
            <w:tcBorders>
              <w:top w:val="none" w:color="000000" w:sz="4"/>
              <w:left w:val="single" w:color="000000" w:sz="8"/>
              <w:bottom w:val="single" w:color="000000" w:sz="8"/>
              <w:right w:val="single" w:color="000000" w:sz="8"/>
            </w:tcBorders>
            <w:vAlign w:val="top"/>
          </w:tcPr>
          <w:p>
            <w:r>
              <w:rPr>
                <w:sz w:val="27"/>
              </w:rPr>
              <w:t>遇市民投诉，合同区域内的病媒生物防治效果不良或有不作为、偷工减料等现象，经核实的扣</w:t>
            </w:r>
            <w:r>
              <w:rPr>
                <w:sz w:val="27"/>
              </w:rPr>
              <w:t>2分处理。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2</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16</w:t>
            </w:r>
          </w:p>
        </w:tc>
        <w:tc>
          <w:tcPr>
            <w:tcW w:type="dxa" w:w="5954"/>
            <w:tcBorders>
              <w:top w:val="none" w:color="000000" w:sz="4"/>
              <w:left w:val="single" w:color="000000" w:sz="8"/>
              <w:bottom w:val="single" w:color="000000" w:sz="8"/>
              <w:right w:val="single" w:color="000000" w:sz="8"/>
            </w:tcBorders>
            <w:vAlign w:val="top"/>
          </w:tcPr>
          <w:p>
            <w:r>
              <w:rPr>
                <w:sz w:val="27"/>
              </w:rPr>
              <w:t>服务过程中各类有效投诉或媒体负面曝光不得超过</w:t>
            </w:r>
            <w:r>
              <w:rPr>
                <w:sz w:val="27"/>
              </w:rPr>
              <w:t>1宗，每超出1宗扣2分。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3</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val="restart"/>
            <w:tcBorders>
              <w:top w:val="none" w:color="000000" w:sz="4"/>
              <w:left w:val="single" w:color="000000" w:sz="8"/>
              <w:bottom w:val="single" w:color="000000" w:sz="8"/>
              <w:right w:val="single" w:color="000000" w:sz="8"/>
            </w:tcBorders>
            <w:vAlign w:val="top"/>
          </w:tcPr>
          <w:p>
            <w:pPr>
              <w:jc w:val="center"/>
            </w:pPr>
            <w:r>
              <w:rPr>
                <w:sz w:val="27"/>
              </w:rPr>
              <w:t>应急反应（</w:t>
            </w:r>
            <w:r>
              <w:rPr>
                <w:sz w:val="27"/>
              </w:rPr>
              <w:t>10分）</w:t>
            </w:r>
          </w:p>
        </w:tc>
        <w:tc>
          <w:tcPr>
            <w:tcW w:type="dxa" w:w="467"/>
            <w:tcBorders>
              <w:top w:val="none" w:color="000000" w:sz="4"/>
              <w:left w:val="single" w:color="000000" w:sz="8"/>
              <w:bottom w:val="single" w:color="000000" w:sz="8"/>
              <w:right w:val="single" w:color="000000" w:sz="8"/>
            </w:tcBorders>
            <w:vAlign w:val="top"/>
          </w:tcPr>
          <w:p>
            <w:pPr>
              <w:jc w:val="center"/>
            </w:pPr>
            <w:r>
              <w:rPr>
                <w:sz w:val="27"/>
              </w:rPr>
              <w:t>17</w:t>
            </w:r>
          </w:p>
        </w:tc>
        <w:tc>
          <w:tcPr>
            <w:tcW w:type="dxa" w:w="5954"/>
            <w:tcBorders>
              <w:top w:val="none" w:color="000000" w:sz="4"/>
              <w:left w:val="single" w:color="000000" w:sz="8"/>
              <w:bottom w:val="single" w:color="000000" w:sz="8"/>
              <w:right w:val="single" w:color="000000" w:sz="8"/>
            </w:tcBorders>
            <w:vAlign w:val="top"/>
          </w:tcPr>
          <w:p>
            <w:r>
              <w:rPr>
                <w:sz w:val="27"/>
              </w:rPr>
              <w:t>对市民投诉</w:t>
            </w:r>
            <w:r>
              <w:rPr>
                <w:sz w:val="27"/>
              </w:rPr>
              <w:t>“四害”密度高的区域，乙方应4小时内到场处理。如未能按时到达处理，经查属实的扣3分。应急处理效果不理想的扣2分。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3</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18</w:t>
            </w:r>
          </w:p>
        </w:tc>
        <w:tc>
          <w:tcPr>
            <w:tcW w:type="dxa" w:w="5954"/>
            <w:tcBorders>
              <w:top w:val="none" w:color="000000" w:sz="4"/>
              <w:left w:val="single" w:color="000000" w:sz="8"/>
              <w:bottom w:val="single" w:color="000000" w:sz="8"/>
              <w:right w:val="single" w:color="000000" w:sz="8"/>
            </w:tcBorders>
            <w:vAlign w:val="top"/>
          </w:tcPr>
          <w:p>
            <w:r>
              <w:rPr>
                <w:sz w:val="27"/>
              </w:rPr>
              <w:t>如突发事件或需应急处理的，乙方未能在</w:t>
            </w:r>
            <w:r>
              <w:rPr>
                <w:sz w:val="27"/>
              </w:rPr>
              <w:t>2小时内及时响应的扣2分。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2</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vMerge/>
            <w:tcBorders>
              <w:top w:val="none" w:color="000000" w:sz="4"/>
              <w:left w:val="single" w:color="000000" w:sz="8"/>
              <w:bottom w:val="single" w:color="000000" w:sz="8"/>
              <w:right w:val="single" w:color="000000" w:sz="8"/>
            </w:tcBorders>
          </w:tcPr>
          <w:p/>
        </w:tc>
        <w:tc>
          <w:tcPr>
            <w:tcW w:type="dxa" w:w="467"/>
            <w:tcBorders>
              <w:top w:val="none" w:color="000000" w:sz="4"/>
              <w:left w:val="single" w:color="000000" w:sz="8"/>
              <w:bottom w:val="single" w:color="000000" w:sz="8"/>
              <w:right w:val="single" w:color="000000" w:sz="8"/>
            </w:tcBorders>
            <w:vAlign w:val="top"/>
          </w:tcPr>
          <w:p>
            <w:pPr>
              <w:jc w:val="center"/>
            </w:pPr>
            <w:r>
              <w:rPr>
                <w:sz w:val="27"/>
              </w:rPr>
              <w:t>19</w:t>
            </w:r>
          </w:p>
        </w:tc>
        <w:tc>
          <w:tcPr>
            <w:tcW w:type="dxa" w:w="5954"/>
            <w:tcBorders>
              <w:top w:val="none" w:color="000000" w:sz="4"/>
              <w:left w:val="single" w:color="000000" w:sz="8"/>
              <w:bottom w:val="single" w:color="000000" w:sz="8"/>
              <w:right w:val="single" w:color="000000" w:sz="8"/>
            </w:tcBorders>
            <w:vAlign w:val="top"/>
          </w:tcPr>
          <w:p>
            <w:r>
              <w:rPr>
                <w:sz w:val="27"/>
              </w:rPr>
              <w:t>对于疾控中心监测报告反馈的合同区域内</w:t>
            </w:r>
            <w:r>
              <w:rPr>
                <w:sz w:val="27"/>
              </w:rPr>
              <w:t>BI指数超出20的区域进行处理。如未能及时处理的每次扣1分。</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5</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783"/>
            <w:tcBorders>
              <w:top w:val="none" w:color="000000" w:sz="4"/>
              <w:left w:val="single" w:color="000000" w:sz="8"/>
              <w:bottom w:val="single" w:color="000000" w:sz="8"/>
              <w:right w:val="single" w:color="000000" w:sz="8"/>
            </w:tcBorders>
            <w:vAlign w:val="top"/>
          </w:tcPr>
          <w:p>
            <w:pPr>
              <w:jc w:val="center"/>
            </w:pPr>
            <w:r>
              <w:rPr>
                <w:sz w:val="27"/>
              </w:rPr>
              <w:t>分值</w:t>
            </w:r>
          </w:p>
        </w:tc>
        <w:tc>
          <w:tcPr>
            <w:tcW w:type="dxa" w:w="6421"/>
            <w:gridSpan w:val="2"/>
            <w:tcBorders>
              <w:top w:val="none" w:color="000000" w:sz="4"/>
              <w:left w:val="single" w:color="000000" w:sz="8"/>
              <w:bottom w:val="single" w:color="000000" w:sz="8"/>
              <w:right w:val="single" w:color="000000" w:sz="8"/>
            </w:tcBorders>
            <w:vAlign w:val="top"/>
          </w:tcPr>
          <w:p>
            <w:pPr>
              <w:jc w:val="center"/>
            </w:pPr>
            <w:r>
              <w:rPr>
                <w:sz w:val="27"/>
              </w:rPr>
              <w:t>合计</w:t>
            </w:r>
          </w:p>
        </w:tc>
        <w:tc>
          <w:tcPr>
            <w:tcW w:type="dxa" w:w="594"/>
            <w:tcBorders>
              <w:top w:val="none" w:color="000000" w:sz="4"/>
              <w:left w:val="single" w:color="000000" w:sz="8"/>
              <w:bottom w:val="single" w:color="000000" w:sz="8"/>
              <w:right w:val="single" w:color="000000" w:sz="8"/>
            </w:tcBorders>
            <w:vAlign w:val="top"/>
          </w:tcPr>
          <w:p>
            <w:pPr>
              <w:jc w:val="center"/>
            </w:pPr>
            <w:r>
              <w:rPr>
                <w:sz w:val="27"/>
              </w:rPr>
              <w:t>100</w:t>
            </w:r>
          </w:p>
        </w:tc>
        <w:tc>
          <w:tcPr>
            <w:tcW w:type="dxa" w:w="467"/>
            <w:tcBorders>
              <w:top w:val="none" w:color="000000" w:sz="4"/>
              <w:left w:val="single" w:color="000000" w:sz="8"/>
              <w:bottom w:val="single" w:color="000000" w:sz="8"/>
              <w:right w:val="single" w:color="000000" w:sz="8"/>
            </w:tcBorders>
            <w:vAlign w:val="top"/>
          </w:tcPr>
          <w:p>
            <w:pPr>
              <w:jc w:val="center"/>
            </w:pPr>
          </w:p>
        </w:tc>
      </w:tr>
      <w:tr>
        <w:tc>
          <w:tcPr>
            <w:tcW w:type="dxa" w:w="8265"/>
            <w:gridSpan w:val="5"/>
            <w:tcBorders>
              <w:top w:val="none" w:color="000000" w:sz="4"/>
              <w:left w:val="single" w:color="000000" w:sz="8"/>
              <w:bottom w:val="single" w:color="000000" w:sz="8"/>
              <w:right w:val="single" w:color="000000" w:sz="8"/>
            </w:tcBorders>
            <w:vAlign w:val="top"/>
          </w:tcPr>
          <w:p>
            <w:r>
              <w:rPr>
                <w:b/>
                <w:sz w:val="27"/>
              </w:rPr>
              <w:t>存在问题与建议</w:t>
            </w:r>
            <w:r>
              <w:rPr>
                <w:sz w:val="27"/>
              </w:rPr>
              <w:t>：</w:t>
            </w:r>
          </w:p>
        </w:tc>
      </w:tr>
      <w:tr>
        <w:tc>
          <w:tcPr>
            <w:tcW w:type="dxa" w:w="8265"/>
            <w:gridSpan w:val="5"/>
            <w:tcBorders>
              <w:top w:val="none" w:color="000000" w:sz="4"/>
              <w:left w:val="single" w:color="000000" w:sz="8"/>
              <w:bottom w:val="single" w:color="000000" w:sz="8"/>
              <w:right w:val="single" w:color="000000" w:sz="8"/>
            </w:tcBorders>
            <w:vAlign w:val="top"/>
          </w:tcPr>
          <w:p>
            <w:r>
              <w:rPr>
                <w:sz w:val="27"/>
              </w:rPr>
              <w:t>甲方考核人员确认签名：</w:t>
            </w:r>
          </w:p>
        </w:tc>
      </w:tr>
      <w:tr>
        <w:tc>
          <w:tcPr>
            <w:tcW w:type="dxa" w:w="8265"/>
            <w:gridSpan w:val="5"/>
            <w:tcBorders>
              <w:top w:val="none" w:color="000000" w:sz="4"/>
              <w:left w:val="single" w:color="000000" w:sz="8"/>
              <w:bottom w:val="single" w:color="000000" w:sz="8"/>
              <w:right w:val="single" w:color="000000" w:sz="8"/>
            </w:tcBorders>
            <w:vAlign w:val="bottom"/>
          </w:tcPr>
          <w:p>
            <w:pPr>
              <w:jc w:val="center"/>
            </w:pPr>
            <w:r>
              <w:rPr>
                <w:sz w:val="27"/>
              </w:rPr>
              <w:t xml:space="preserve">                                                                        </w:t>
            </w:r>
            <w:r>
              <w:rPr>
                <w:sz w:val="27"/>
              </w:rPr>
              <w:t>（盖章）</w:t>
            </w:r>
            <w:r>
              <w:br/>
            </w:r>
            <w:r>
              <w:rPr>
                <w:sz w:val="27"/>
              </w:rPr>
              <w:t xml:space="preserve">                                                                         </w:t>
            </w:r>
            <w:r>
              <w:rPr>
                <w:sz w:val="27"/>
              </w:rPr>
              <w:t>年</w:t>
            </w:r>
            <w:r>
              <w:rPr>
                <w:sz w:val="27"/>
              </w:rPr>
              <w:t xml:space="preserve">    </w:t>
            </w:r>
            <w:r>
              <w:rPr>
                <w:sz w:val="27"/>
              </w:rPr>
              <w:t>月</w:t>
            </w:r>
            <w:r>
              <w:rPr>
                <w:sz w:val="27"/>
              </w:rPr>
              <w:t xml:space="preserve">    </w:t>
            </w:r>
            <w:r>
              <w:rPr>
                <w:sz w:val="27"/>
              </w:rPr>
              <w:t>日</w:t>
            </w:r>
          </w:p>
        </w:tc>
      </w:tr>
      <w:tr>
        <w:tc>
          <w:tcPr>
            <w:tcW w:type="dxa" w:w="8265"/>
            <w:gridSpan w:val="5"/>
            <w:tcBorders>
              <w:top w:val="none" w:color="000000" w:sz="4"/>
              <w:left w:val="single" w:color="000000" w:sz="8"/>
              <w:bottom w:val="single" w:color="000000" w:sz="8"/>
              <w:right w:val="single" w:color="000000" w:sz="8"/>
            </w:tcBorders>
            <w:vAlign w:val="top"/>
          </w:tcPr>
          <w:p>
            <w:r>
              <w:rPr>
                <w:sz w:val="27"/>
              </w:rPr>
              <w:t>说明：</w:t>
            </w:r>
            <w:r>
              <w:rPr>
                <w:sz w:val="27"/>
              </w:rPr>
              <w:t>1.本评分表由区、街道、居委会三级综合考评。</w:t>
            </w:r>
          </w:p>
        </w:tc>
      </w:tr>
      <w:tr>
        <w:tc>
          <w:tcPr>
            <w:tcW w:type="dxa" w:w="8265"/>
            <w:gridSpan w:val="5"/>
            <w:tcBorders>
              <w:top w:val="none" w:color="000000" w:sz="4"/>
              <w:left w:val="single" w:color="000000" w:sz="8"/>
              <w:bottom w:val="single" w:color="000000" w:sz="8"/>
              <w:right w:val="single" w:color="000000" w:sz="8"/>
            </w:tcBorders>
            <w:vAlign w:val="top"/>
          </w:tcPr>
          <w:p>
            <w:r>
              <w:rPr>
                <w:sz w:val="27"/>
              </w:rPr>
              <w:t>2.现场服务质量项目由区爱卫办和四个街道办分别打分，然后算平均分为有效分值。</w:t>
            </w:r>
          </w:p>
        </w:tc>
      </w:tr>
      <w:tr>
        <w:tc>
          <w:tcPr>
            <w:tcW w:type="dxa" w:w="8265"/>
            <w:gridSpan w:val="5"/>
            <w:tcBorders>
              <w:top w:val="none" w:color="000000" w:sz="4"/>
              <w:left w:val="single" w:color="000000" w:sz="8"/>
              <w:bottom w:val="single" w:color="000000" w:sz="8"/>
              <w:right w:val="single" w:color="000000" w:sz="8"/>
            </w:tcBorders>
            <w:vAlign w:val="top"/>
          </w:tcPr>
          <w:p>
            <w:r>
              <w:rPr>
                <w:sz w:val="27"/>
              </w:rPr>
              <w:t>3.社区居委会确认资料包括：《公共外环境下水道烟雾灭蚊蟑及施工人员签到表》、《公共外环境灭鼠领谷及投药人员签到表》、《公共外环境沉沙井口等积水点吊木塞及人员签到表》、《灭鼠药分配表》《端州区开展除“四害"药物签领表》等。</w:t>
            </w:r>
          </w:p>
        </w:tc>
      </w:tr>
    </w:tbl>
    <w:p>
      <w:pPr>
        <w:ind w:firstLine="540"/>
      </w:pPr>
      <w:r>
        <w:rPr>
          <w:sz w:val="27"/>
        </w:rPr>
        <w:t>以上两项合计评定分值以</w:t>
      </w:r>
      <w:r>
        <w:rPr>
          <w:sz w:val="27"/>
        </w:rPr>
        <w:t>90分为合格分，每少1%扣减当月服务款的1%；连续2次不合格且经整改后仍不合格的（不满90分），甲方有权无条件终止和解除服务合同。</w:t>
      </w:r>
    </w:p>
    <w:p>
      <w:pPr>
        <w:ind w:firstLine="540"/>
      </w:pPr>
      <w:r>
        <w:rPr>
          <w:sz w:val="27"/>
        </w:rPr>
        <w:t>3．每次全面投药灭害服务后的质量效果监测需委托第三方机构评价考核，所需的费用由乙方承担。</w:t>
      </w:r>
    </w:p>
    <w:p>
      <w:pPr>
        <w:jc w:val="both"/>
      </w:pPr>
    </w:p>
    <w:p>
      <w:pPr>
        <w:jc w:val="both"/>
      </w:pPr>
      <w:r>
        <w:rPr>
          <w:b/>
          <w:color w:val="222222"/>
          <w:sz w:val="27"/>
        </w:rPr>
        <w:t>八、</w:t>
      </w:r>
      <w:r>
        <w:rPr>
          <w:b/>
          <w:color w:val="222222"/>
          <w:sz w:val="27"/>
        </w:rPr>
        <w:t>知识产权</w:t>
      </w:r>
    </w:p>
    <w:p>
      <w:pPr>
        <w:ind w:firstLine="540"/>
      </w:pPr>
      <w:r>
        <w:rPr>
          <w:sz w:val="27"/>
        </w:rPr>
        <w:t>乙方</w:t>
      </w:r>
      <w:r>
        <w:rPr>
          <w:sz w:val="27"/>
        </w:rPr>
        <w:t>须保障</w:t>
      </w:r>
      <w:r>
        <w:rPr>
          <w:sz w:val="27"/>
        </w:rPr>
        <w:t>甲方</w:t>
      </w:r>
      <w:r>
        <w:rPr>
          <w:sz w:val="27"/>
        </w:rPr>
        <w:t>在</w:t>
      </w:r>
      <w:r>
        <w:rPr>
          <w:sz w:val="27"/>
        </w:rPr>
        <w:t>其提供的服务</w:t>
      </w:r>
      <w:r>
        <w:rPr>
          <w:sz w:val="27"/>
        </w:rPr>
        <w:t>不受到第三方关于侵犯专利权、商标权或者工业设计权等知识产权的指控。如果任何第三方提出侵权指控与</w:t>
      </w:r>
      <w:r>
        <w:rPr>
          <w:sz w:val="27"/>
        </w:rPr>
        <w:t>甲方</w:t>
      </w:r>
      <w:r>
        <w:rPr>
          <w:sz w:val="27"/>
        </w:rPr>
        <w:t>无关，</w:t>
      </w:r>
      <w:r>
        <w:rPr>
          <w:sz w:val="27"/>
        </w:rPr>
        <w:t>乙方</w:t>
      </w:r>
      <w:r>
        <w:rPr>
          <w:sz w:val="27"/>
        </w:rPr>
        <w:t>须与第三方交涉并承担可能发生的责任与一切费用。如</w:t>
      </w:r>
      <w:r>
        <w:rPr>
          <w:sz w:val="27"/>
        </w:rPr>
        <w:t>甲方</w:t>
      </w:r>
      <w:r>
        <w:rPr>
          <w:sz w:val="27"/>
        </w:rPr>
        <w:t>因此而遭致损失的，</w:t>
      </w:r>
      <w:r>
        <w:rPr>
          <w:sz w:val="27"/>
        </w:rPr>
        <w:t>乙方</w:t>
      </w:r>
      <w:r>
        <w:rPr>
          <w:sz w:val="27"/>
        </w:rPr>
        <w:t>应赔偿该损失。</w:t>
      </w:r>
    </w:p>
    <w:p>
      <w:pPr>
        <w:jc w:val="both"/>
      </w:pPr>
      <w:r>
        <w:rPr>
          <w:b/>
          <w:color w:val="222222"/>
          <w:sz w:val="27"/>
        </w:rPr>
        <w:t>九</w:t>
      </w:r>
      <w:r>
        <w:rPr>
          <w:b/>
          <w:color w:val="222222"/>
          <w:sz w:val="27"/>
        </w:rPr>
        <w:t>、违约责任与赔偿损失</w:t>
      </w:r>
    </w:p>
    <w:p>
      <w:pPr>
        <w:jc w:val="both"/>
      </w:pPr>
      <w:r>
        <w:rPr>
          <w:color w:val="222222"/>
          <w:sz w:val="27"/>
        </w:rPr>
        <w:t>1.乙方提供的服务不符合本合同规定的，甲方有权拒收，并且乙方须向甲方方支付本合同总价5%的违约金。</w:t>
      </w:r>
    </w:p>
    <w:p>
      <w:pPr>
        <w:jc w:val="both"/>
      </w:pPr>
      <w:r>
        <w:rPr>
          <w:color w:val="222222"/>
          <w:sz w:val="27"/>
        </w:rPr>
        <w:t>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 xml:space="preserve">3.甲方无正当理由拒收接受服务，到期拒付服务款项的，甲方向乙方偿付本合同总的5%的违约金。甲方逾期付款，则每日按本合同总价的3‰向乙方偿付违约金。              </w:t>
      </w:r>
    </w:p>
    <w:p>
      <w:pPr>
        <w:jc w:val="both"/>
      </w:pPr>
      <w:r>
        <w:rPr>
          <w:color w:val="222222"/>
          <w:sz w:val="27"/>
        </w:rPr>
        <w:t>4</w:t>
      </w:r>
      <w:r>
        <w:rPr>
          <w:color w:val="222222"/>
          <w:sz w:val="27"/>
        </w:rPr>
        <w:t>.其它违约责任按《中华人民共和国民法典(合同编)》处理。</w:t>
      </w:r>
    </w:p>
    <w:p>
      <w:pPr>
        <w:jc w:val="both"/>
      </w:pPr>
      <w:r>
        <w:rPr>
          <w:b/>
          <w:color w:val="222222"/>
          <w:sz w:val="27"/>
        </w:rPr>
        <w:t>十</w:t>
      </w:r>
      <w:r>
        <w:rPr>
          <w:b/>
          <w:color w:val="222222"/>
          <w:sz w:val="27"/>
        </w:rPr>
        <w:t>、争议的解决</w:t>
      </w:r>
    </w:p>
    <w:p>
      <w:pPr>
        <w:ind w:firstLine="400"/>
        <w:jc w:val="both"/>
      </w:pPr>
      <w:r>
        <w:rPr>
          <w:color w:val="222222"/>
          <w:sz w:val="27"/>
        </w:rPr>
        <w:t>合同执行过程中发生的任何争议，如双方不能通过友好协商解决，</w:t>
      </w:r>
      <w:r>
        <w:rPr>
          <w:color w:val="222222"/>
          <w:sz w:val="27"/>
        </w:rPr>
        <w:t>各方可向甲方所在地人民发院提起诉讼并按相关法律法规处理。</w:t>
      </w:r>
      <w:r>
        <w:rPr>
          <w:sz w:val="24"/>
        </w:rPr>
        <w:t xml:space="preserve">          </w:t>
      </w:r>
    </w:p>
    <w:p>
      <w:pPr>
        <w:jc w:val="both"/>
      </w:pPr>
      <w:r>
        <w:rPr>
          <w:b/>
          <w:color w:val="222222"/>
          <w:sz w:val="27"/>
        </w:rPr>
        <w:t>十</w:t>
      </w:r>
      <w:r>
        <w:rPr>
          <w:b/>
          <w:color w:val="222222"/>
          <w:sz w:val="27"/>
        </w:rPr>
        <w:t>一</w:t>
      </w:r>
      <w:r>
        <w:rPr>
          <w:b/>
          <w:color w:val="222222"/>
          <w:sz w:val="27"/>
        </w:rPr>
        <w:t>、不可抗力</w:t>
      </w:r>
    </w:p>
    <w:p>
      <w:pPr>
        <w:jc w:val="both"/>
      </w:pPr>
      <w:r>
        <w:rPr>
          <w:color w:val="222222"/>
          <w:sz w:val="27"/>
        </w:rPr>
        <w:t>　　任何一方由于不可抗力原因不能履行合同时，应在不可抗力事件结束后</w:t>
      </w:r>
      <w:r>
        <w:rPr>
          <w:color w:val="222222"/>
          <w:sz w:val="27"/>
        </w:rPr>
        <w:t>1日内向对方通报，以减轻可能给对方造成的损失，在取得有关机构的不可抗力证明或双方谅解确认后，允许延期履行或修订合同，并根据情况可部分或全部免于承担违约责任。</w:t>
      </w:r>
    </w:p>
    <w:p>
      <w:pPr>
        <w:jc w:val="both"/>
      </w:pPr>
      <w:r>
        <w:rPr>
          <w:b/>
          <w:color w:val="222222"/>
          <w:sz w:val="27"/>
        </w:rPr>
        <w:t>十</w:t>
      </w:r>
      <w:r>
        <w:rPr>
          <w:b/>
          <w:color w:val="222222"/>
          <w:sz w:val="27"/>
        </w:rPr>
        <w:t>二</w:t>
      </w:r>
      <w:r>
        <w:rPr>
          <w:b/>
          <w:color w:val="222222"/>
          <w:sz w:val="27"/>
        </w:rPr>
        <w:t>、税费</w:t>
      </w:r>
    </w:p>
    <w:p>
      <w:pPr>
        <w:jc w:val="both"/>
      </w:pPr>
      <w:r>
        <w:rPr>
          <w:color w:val="222222"/>
          <w:sz w:val="27"/>
        </w:rPr>
        <w:t>　　在中国境内、外发生的与本合同执行有关的一切税费均由乙方负担。</w:t>
      </w:r>
    </w:p>
    <w:p>
      <w:pPr>
        <w:jc w:val="both"/>
      </w:pPr>
      <w:r>
        <w:rPr>
          <w:b/>
          <w:color w:val="222222"/>
          <w:sz w:val="27"/>
        </w:rPr>
        <w:t>十</w:t>
      </w:r>
      <w:r>
        <w:rPr>
          <w:b/>
          <w:color w:val="222222"/>
          <w:sz w:val="27"/>
        </w:rPr>
        <w:t>三</w:t>
      </w:r>
      <w:r>
        <w:rPr>
          <w:b/>
          <w:color w:val="222222"/>
          <w:sz w:val="27"/>
        </w:rPr>
        <w:t>、其它</w:t>
      </w:r>
    </w:p>
    <w:p>
      <w:pPr>
        <w:jc w:val="both"/>
      </w:pPr>
      <w:r>
        <w:rPr>
          <w:color w:val="222222"/>
          <w:sz w:val="27"/>
        </w:rPr>
        <w:t>1.本合同所有附件、招标文件、投标文件、中标通知书均为合同的有效组成部分，与本合同具有同等法律效力。</w:t>
      </w:r>
    </w:p>
    <w:p>
      <w:pPr>
        <w:jc w:val="both"/>
      </w:pPr>
      <w:r>
        <w:rPr>
          <w:color w:val="222222"/>
          <w:sz w:val="27"/>
        </w:rPr>
        <w:t>2.在执行本合同的过程中，所有经双方签署确认的文件（包括会议纪要、补充协议、往来信函）即成为本合同的有效组成部分。</w:t>
      </w:r>
    </w:p>
    <w:p>
      <w:pPr>
        <w:jc w:val="both"/>
      </w:pPr>
      <w:r>
        <w:rPr>
          <w:color w:val="222222"/>
          <w:sz w:val="27"/>
        </w:rPr>
        <w:t>3.如一方地址、电话、传真号码有变更，应在变更当日内书面通知对方，否则，应承担相应责任。</w:t>
      </w:r>
    </w:p>
    <w:p>
      <w:pPr>
        <w:jc w:val="both"/>
      </w:pPr>
      <w:r>
        <w:rPr>
          <w:color w:val="222222"/>
          <w:sz w:val="27"/>
        </w:rPr>
        <w:t>4.除甲方事先书面同意外，乙方不得部分或全部转让其应履行的合同项下的义务。</w:t>
      </w:r>
    </w:p>
    <w:p>
      <w:pPr>
        <w:jc w:val="both"/>
      </w:pPr>
      <w:r>
        <w:rPr>
          <w:b/>
          <w:color w:val="222222"/>
          <w:sz w:val="27"/>
        </w:rPr>
        <w:t>十</w:t>
      </w:r>
      <w:r>
        <w:rPr>
          <w:b/>
          <w:color w:val="222222"/>
          <w:sz w:val="27"/>
        </w:rPr>
        <w:t>四</w:t>
      </w:r>
      <w:r>
        <w:rPr>
          <w:b/>
          <w:color w:val="222222"/>
          <w:sz w:val="27"/>
        </w:rPr>
        <w:t>、合同生效</w:t>
      </w:r>
    </w:p>
    <w:p>
      <w:pPr>
        <w:jc w:val="both"/>
      </w:pPr>
      <w:r>
        <w:rPr>
          <w:color w:val="222222"/>
          <w:sz w:val="27"/>
        </w:rPr>
        <w:t>1.本合同在甲乙双方法人代表或其授权代表签字盖章后生效。</w:t>
      </w:r>
    </w:p>
    <w:p>
      <w:pPr>
        <w:jc w:val="both"/>
      </w:pPr>
      <w:r>
        <w:rPr>
          <w:color w:val="222222"/>
          <w:sz w:val="27"/>
        </w:rPr>
        <w:t>2.合同一式    份。</w:t>
      </w:r>
    </w:p>
    <w:p>
      <w:pPr>
        <w:jc w:val="both"/>
      </w:pPr>
    </w:p>
    <w:p>
      <w:pPr>
        <w:jc w:val="both"/>
      </w:pPr>
      <w:r>
        <w:rPr>
          <w:sz w:val="24"/>
        </w:rPr>
        <w:t xml:space="preserve"> </w:t>
      </w:r>
    </w:p>
    <w:p>
      <w:r>
        <w:rPr>
          <w:sz w:val="27"/>
        </w:rPr>
        <w:t>甲方（盖章）：</w:t>
      </w:r>
      <w:r>
        <w:rPr>
          <w:sz w:val="24"/>
          <w:u w:val="single"/>
        </w:rPr>
        <w:t xml:space="preserve">          </w:t>
      </w:r>
      <w:r>
        <w:rPr>
          <w:sz w:val="24"/>
        </w:rPr>
        <w:t xml:space="preserve">  </w:t>
      </w:r>
      <w:r>
        <w:rPr>
          <w:sz w:val="27"/>
        </w:rPr>
        <w:t xml:space="preserve">                  </w:t>
      </w:r>
      <w:r>
        <w:rPr>
          <w:sz w:val="27"/>
        </w:rPr>
        <w:t>乙方（盖章）：</w:t>
      </w:r>
    </w:p>
    <w:p>
      <w:r>
        <w:rPr>
          <w:sz w:val="27"/>
        </w:rPr>
        <w:t>地址：</w:t>
      </w:r>
      <w:r>
        <w:rPr>
          <w:sz w:val="24"/>
          <w:u w:val="single"/>
        </w:rPr>
        <w:t xml:space="preserve">                  </w:t>
      </w:r>
      <w:r>
        <w:rPr>
          <w:sz w:val="24"/>
        </w:rPr>
        <w:t xml:space="preserve">   </w:t>
      </w:r>
      <w:r>
        <w:rPr>
          <w:sz w:val="27"/>
        </w:rPr>
        <w:t xml:space="preserve">                 </w:t>
      </w:r>
      <w:r>
        <w:rPr>
          <w:sz w:val="27"/>
        </w:rPr>
        <w:t>地址：</w:t>
      </w:r>
    </w:p>
    <w:p>
      <w:r>
        <w:rPr>
          <w:sz w:val="27"/>
        </w:rPr>
        <w:t>法定代表人：</w:t>
      </w:r>
      <w:r>
        <w:rPr>
          <w:sz w:val="24"/>
          <w:u w:val="single"/>
        </w:rPr>
        <w:t xml:space="preserve">            </w:t>
      </w:r>
      <w:r>
        <w:rPr>
          <w:sz w:val="24"/>
        </w:rPr>
        <w:t xml:space="preserve">   </w:t>
      </w:r>
      <w:r>
        <w:rPr>
          <w:sz w:val="27"/>
        </w:rPr>
        <w:t xml:space="preserve">                 </w:t>
      </w:r>
      <w:r>
        <w:rPr>
          <w:sz w:val="27"/>
        </w:rPr>
        <w:t>法定代表人：</w:t>
      </w:r>
    </w:p>
    <w:p>
      <w:r>
        <w:rPr>
          <w:sz w:val="27"/>
        </w:rPr>
        <w:t>委托代理人：</w:t>
      </w:r>
      <w:r>
        <w:rPr>
          <w:sz w:val="24"/>
          <w:u w:val="single"/>
        </w:rPr>
        <w:t xml:space="preserve">            </w:t>
      </w:r>
      <w:r>
        <w:rPr>
          <w:sz w:val="24"/>
        </w:rPr>
        <w:t xml:space="preserve">   </w:t>
      </w:r>
      <w:r>
        <w:rPr>
          <w:sz w:val="27"/>
        </w:rPr>
        <w:t xml:space="preserve">                 </w:t>
      </w:r>
      <w:r>
        <w:rPr>
          <w:sz w:val="27"/>
        </w:rPr>
        <w:t>委托代理人：</w:t>
      </w:r>
      <w:r>
        <w:rPr>
          <w:sz w:val="24"/>
          <w:u w:val="single"/>
        </w:rPr>
        <w:t xml:space="preserve">  </w:t>
      </w:r>
    </w:p>
    <w:p>
      <w:r>
        <w:rPr>
          <w:sz w:val="27"/>
        </w:rPr>
        <w:t>电话：</w:t>
      </w:r>
      <w:r>
        <w:rPr>
          <w:sz w:val="24"/>
          <w:u w:val="single"/>
        </w:rPr>
        <w:t xml:space="preserve">                  </w:t>
      </w:r>
      <w:r>
        <w:rPr>
          <w:sz w:val="24"/>
        </w:rPr>
        <w:t xml:space="preserve">   </w:t>
      </w:r>
      <w:r>
        <w:rPr>
          <w:sz w:val="27"/>
        </w:rPr>
        <w:t xml:space="preserve">                 </w:t>
      </w:r>
      <w:r>
        <w:rPr>
          <w:sz w:val="27"/>
        </w:rPr>
        <w:t>电话：</w:t>
      </w:r>
    </w:p>
    <w:p>
      <w:r>
        <w:rPr>
          <w:sz w:val="27"/>
        </w:rPr>
        <w:t>传真：</w:t>
      </w:r>
      <w:r>
        <w:rPr>
          <w:sz w:val="24"/>
          <w:u w:val="single"/>
        </w:rPr>
        <w:t xml:space="preserve">                  </w:t>
      </w:r>
      <w:r>
        <w:rPr>
          <w:sz w:val="24"/>
        </w:rPr>
        <w:t xml:space="preserve">   </w:t>
      </w:r>
      <w:r>
        <w:rPr>
          <w:sz w:val="27"/>
        </w:rPr>
        <w:t xml:space="preserve">                 </w:t>
      </w:r>
      <w:r>
        <w:rPr>
          <w:sz w:val="27"/>
        </w:rPr>
        <w:t>传真：</w:t>
      </w:r>
      <w:r>
        <w:rPr>
          <w:sz w:val="24"/>
          <w:u w:val="single"/>
        </w:rPr>
        <w:t xml:space="preserve">     </w:t>
      </w:r>
    </w:p>
    <w:p>
      <w:r>
        <w:rPr>
          <w:sz w:val="27"/>
        </w:rPr>
        <w:t>开户银行：</w:t>
      </w:r>
      <w:r>
        <w:rPr>
          <w:sz w:val="24"/>
          <w:u w:val="single"/>
        </w:rPr>
        <w:t xml:space="preserve">              </w:t>
      </w:r>
      <w:r>
        <w:rPr>
          <w:sz w:val="24"/>
        </w:rPr>
        <w:t xml:space="preserve">   </w:t>
      </w:r>
      <w:r>
        <w:rPr>
          <w:sz w:val="27"/>
        </w:rPr>
        <w:t xml:space="preserve">                 </w:t>
      </w:r>
      <w:r>
        <w:rPr>
          <w:sz w:val="27"/>
        </w:rPr>
        <w:t>开户银行：</w:t>
      </w:r>
      <w:r>
        <w:rPr>
          <w:sz w:val="24"/>
          <w:u w:val="single"/>
        </w:rPr>
        <w:t xml:space="preserve">    </w:t>
      </w:r>
    </w:p>
    <w:p>
      <w:r>
        <w:rPr>
          <w:sz w:val="27"/>
        </w:rPr>
        <w:t>账号：</w:t>
      </w:r>
      <w:r>
        <w:rPr>
          <w:sz w:val="24"/>
          <w:u w:val="single"/>
        </w:rPr>
        <w:t xml:space="preserve">                  </w:t>
      </w:r>
      <w:r>
        <w:rPr>
          <w:sz w:val="24"/>
        </w:rPr>
        <w:t xml:space="preserve">   </w:t>
      </w:r>
      <w:r>
        <w:rPr>
          <w:sz w:val="27"/>
        </w:rPr>
        <w:t xml:space="preserve">                 </w:t>
      </w:r>
      <w:r>
        <w:rPr>
          <w:sz w:val="27"/>
        </w:rPr>
        <w:t>账号：</w:t>
      </w:r>
      <w:r>
        <w:rPr>
          <w:sz w:val="24"/>
          <w:u w:val="single"/>
        </w:rPr>
        <w:t xml:space="preserve">    </w:t>
      </w:r>
    </w:p>
    <w:p>
      <w:r>
        <w:rPr>
          <w:sz w:val="27"/>
        </w:rPr>
        <w:t>签约时间：</w:t>
      </w:r>
      <w:r>
        <w:rPr>
          <w:sz w:val="24"/>
          <w:u w:val="single"/>
        </w:rPr>
        <w:t xml:space="preserve">    </w:t>
      </w:r>
      <w:r>
        <w:rPr>
          <w:sz w:val="27"/>
        </w:rPr>
        <w:t>年</w:t>
      </w:r>
      <w:r>
        <w:rPr>
          <w:sz w:val="24"/>
          <w:u w:val="single"/>
        </w:rPr>
        <w:t xml:space="preserve">  </w:t>
      </w:r>
      <w:r>
        <w:rPr>
          <w:sz w:val="27"/>
        </w:rPr>
        <w:t>月</w:t>
      </w:r>
      <w:r>
        <w:rPr>
          <w:sz w:val="24"/>
          <w:u w:val="single"/>
        </w:rPr>
        <w:t xml:space="preserve">  </w:t>
      </w:r>
      <w:r>
        <w:rPr>
          <w:sz w:val="27"/>
        </w:rPr>
        <w:t>日</w:t>
      </w:r>
      <w:r>
        <w:rPr>
          <w:sz w:val="24"/>
        </w:rPr>
        <w:t xml:space="preserve">   </w:t>
      </w:r>
      <w:r>
        <w:rPr>
          <w:sz w:val="27"/>
        </w:rPr>
        <w:t xml:space="preserve">                 </w:t>
      </w:r>
      <w:r>
        <w:rPr>
          <w:sz w:val="27"/>
        </w:rPr>
        <w:t>签约时间：</w:t>
      </w:r>
      <w:r>
        <w:rPr>
          <w:sz w:val="24"/>
          <w:u w:val="single"/>
        </w:rPr>
        <w:t xml:space="preserve">    </w:t>
      </w:r>
      <w:r>
        <w:rPr>
          <w:sz w:val="27"/>
        </w:rPr>
        <w:t>年</w:t>
      </w:r>
      <w:r>
        <w:rPr>
          <w:sz w:val="24"/>
          <w:u w:val="single"/>
        </w:rPr>
        <w:t xml:space="preserve">  </w:t>
      </w:r>
      <w:r>
        <w:rPr>
          <w:sz w:val="27"/>
        </w:rPr>
        <w:t>月</w:t>
      </w:r>
      <w:r>
        <w:rPr>
          <w:sz w:val="24"/>
          <w:u w:val="single"/>
        </w:rPr>
        <w:t xml:space="preserve">  </w:t>
      </w:r>
      <w:r>
        <w:rPr>
          <w:sz w:val="27"/>
        </w:rPr>
        <w:t>日</w:t>
      </w:r>
    </w:p>
    <w:p/>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441202-2023-02699</w:t>
      </w:r>
    </w:p>
    <w:p>
      <w:pPr>
        <w:jc w:val="center"/>
      </w:pPr>
      <w:r>
        <w:rPr>
          <w:b/>
          <w:sz w:val="24"/>
        </w:rPr>
        <w:t>采购项目编号：</w:t>
      </w:r>
      <w:r>
        <w:rPr>
          <w:b/>
          <w:sz w:val="24"/>
        </w:rPr>
        <w:t>ZQDLZB202300076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肇庆德力招标代理有限公司</w:t>
      </w:r>
    </w:p>
    <w:p>
      <w:pPr>
        <w:ind w:firstLine="480"/>
      </w:pPr>
      <w:r>
        <w:rPr/>
        <w:t>你方组织的</w:t>
      </w:r>
      <w:r>
        <w:rPr>
          <w:u w:val="single"/>
        </w:rPr>
        <w:t>“</w:t>
      </w:r>
      <w:r>
        <w:rPr>
          <w:u w:val="single"/>
        </w:rPr>
        <w:t>端州城区公共外环境病媒生物防制服务</w:t>
      </w:r>
      <w:r>
        <w:rPr>
          <w:u w:val="single"/>
        </w:rPr>
        <w:t>”</w:t>
      </w:r>
      <w:r>
        <w:rPr/>
        <w:t>项目的招标[采购项目编号为：</w:t>
      </w:r>
      <w:r>
        <w:rPr>
          <w:u w:val="single"/>
        </w:rPr>
        <w:t>ZQDLZB202300076</w:t>
      </w:r>
      <w:r>
        <w:rPr/>
        <w:t>]，我方愿参与投标。</w:t>
      </w:r>
    </w:p>
    <w:p>
      <w:pPr>
        <w:ind w:firstLine="480"/>
      </w:pPr>
      <w:r>
        <w:rPr/>
        <w:t>我方确认收到贵方提供的</w:t>
      </w:r>
      <w:r>
        <w:rPr>
          <w:u w:val="single"/>
        </w:rPr>
        <w:t>“</w:t>
      </w:r>
      <w:r>
        <w:rPr>
          <w:u w:val="single"/>
        </w:rPr>
        <w:t>端州城区公共外环境病媒生物防制服务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肇庆德力招标代理有限公司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端州城区公共外环境病媒生物防制服务</w:t>
      </w:r>
      <w:r>
        <w:rPr/>
        <w:t>”项目采购[采购项目编号为</w:t>
      </w:r>
      <w:r>
        <w:rPr/>
        <w:t>ZQDLZB202300076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肇庆市端州区卫生健康局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肇庆德力招标代理有限公司</w:t>
      </w:r>
    </w:p>
    <w:p>
      <w:pPr>
        <w:ind w:firstLine="480"/>
      </w:pPr>
      <w:r>
        <w:rPr/>
        <w:t>如果我方在贵采购代理机构组织的</w:t>
      </w:r>
      <w:r>
        <w:rPr/>
        <w:t>端州城区公共外环境病媒生物防制服务</w:t>
      </w:r>
      <w:r>
        <w:rPr/>
        <w:t>招标中获中标（采购项目编号：</w:t>
      </w:r>
      <w:r>
        <w:rPr/>
        <w:t>ZQDLZB202300076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肇庆德力招标代理有限公司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肇庆德力招标代理有限公司</w:t>
      </w:r>
    </w:p>
    <w:p>
      <w:pPr>
        <w:ind w:firstLine="480"/>
      </w:pPr>
      <w:r>
        <w:rPr/>
        <w:t>我单位已登记并准备参与“</w:t>
      </w:r>
      <w:r>
        <w:rPr/>
        <w:t>端州城区公共外环境病媒生物防制服务</w:t>
      </w:r>
      <w:r>
        <w:rPr/>
        <w:t>”项目（采购项目编号：</w:t>
      </w:r>
      <w:r>
        <w:rPr/>
        <w:t>ZQDLZB202300076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