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新宋体" w:hAnsi="新宋体" w:eastAsia="新宋体" w:cs="新宋体"/>
          <w:b/>
          <w:bCs/>
          <w:color w:val="auto"/>
          <w:spacing w:val="120"/>
          <w:sz w:val="52"/>
          <w:szCs w:val="52"/>
          <w:highlight w:val="none"/>
        </w:rPr>
      </w:pPr>
    </w:p>
    <w:p>
      <w:pPr>
        <w:pStyle w:val="63"/>
        <w:rPr>
          <w:rFonts w:hint="eastAsia"/>
          <w:color w:val="auto"/>
          <w:highlight w:val="none"/>
        </w:rPr>
      </w:pPr>
    </w:p>
    <w:p>
      <w:pPr>
        <w:jc w:val="distribute"/>
        <w:rPr>
          <w:rFonts w:hint="eastAsia" w:ascii="新宋体" w:hAnsi="新宋体" w:eastAsia="新宋体" w:cs="新宋体"/>
          <w:b/>
          <w:bCs/>
          <w:color w:val="auto"/>
          <w:sz w:val="84"/>
          <w:szCs w:val="84"/>
          <w:highlight w:val="none"/>
        </w:rPr>
      </w:pPr>
      <w:r>
        <w:rPr>
          <w:rFonts w:hint="eastAsia" w:ascii="新宋体" w:hAnsi="新宋体" w:eastAsia="新宋体" w:cs="新宋体"/>
          <w:b/>
          <w:bCs/>
          <w:color w:val="auto"/>
          <w:sz w:val="84"/>
          <w:szCs w:val="84"/>
          <w:highlight w:val="none"/>
        </w:rPr>
        <w:t>温州市洞头区政府采购</w:t>
      </w:r>
    </w:p>
    <w:p>
      <w:pPr>
        <w:jc w:val="center"/>
        <w:rPr>
          <w:rFonts w:hint="eastAsia" w:ascii="新宋体" w:hAnsi="新宋体" w:eastAsia="新宋体" w:cs="新宋体"/>
          <w:b/>
          <w:bCs/>
          <w:color w:val="auto"/>
          <w:spacing w:val="26"/>
          <w:sz w:val="52"/>
          <w:highlight w:val="none"/>
        </w:rPr>
      </w:pPr>
    </w:p>
    <w:p>
      <w:pPr>
        <w:rPr>
          <w:rFonts w:hint="eastAsia" w:ascii="新宋体" w:hAnsi="新宋体" w:eastAsia="新宋体" w:cs="新宋体"/>
          <w:b/>
          <w:bCs/>
          <w:color w:val="auto"/>
          <w:spacing w:val="140"/>
          <w:sz w:val="72"/>
          <w:highlight w:val="none"/>
        </w:rPr>
      </w:pPr>
    </w:p>
    <w:p>
      <w:pPr>
        <w:pStyle w:val="63"/>
        <w:rPr>
          <w:rFonts w:hint="eastAsia"/>
          <w:color w:val="auto"/>
          <w:highlight w:val="none"/>
        </w:rPr>
      </w:pPr>
    </w:p>
    <w:p>
      <w:pPr>
        <w:adjustRightInd w:val="0"/>
        <w:snapToGrid w:val="0"/>
        <w:spacing w:line="480" w:lineRule="auto"/>
        <w:ind w:right="361"/>
        <w:jc w:val="center"/>
        <w:rPr>
          <w:rFonts w:hint="eastAsia" w:ascii="新宋体" w:hAnsi="新宋体" w:eastAsia="新宋体" w:cs="新宋体"/>
          <w:b w:val="0"/>
          <w:bCs w:val="0"/>
          <w:color w:val="auto"/>
          <w:sz w:val="84"/>
          <w:szCs w:val="84"/>
          <w:highlight w:val="none"/>
        </w:rPr>
      </w:pPr>
      <w:r>
        <w:rPr>
          <w:rFonts w:hint="eastAsia" w:ascii="新宋体" w:hAnsi="新宋体" w:eastAsia="新宋体" w:cs="新宋体"/>
          <w:b w:val="0"/>
          <w:bCs w:val="0"/>
          <w:color w:val="auto"/>
          <w:sz w:val="84"/>
          <w:szCs w:val="84"/>
          <w:highlight w:val="none"/>
        </w:rPr>
        <w:t>磋 商 文 件</w:t>
      </w:r>
    </w:p>
    <w:p>
      <w:pPr>
        <w:pStyle w:val="63"/>
        <w:rPr>
          <w:rFonts w:hint="eastAsia" w:ascii="新宋体" w:hAnsi="新宋体" w:eastAsia="新宋体" w:cs="新宋体"/>
          <w:b w:val="0"/>
          <w:bCs w:val="0"/>
          <w:color w:val="auto"/>
          <w:sz w:val="84"/>
          <w:szCs w:val="84"/>
          <w:highlight w:val="none"/>
        </w:rPr>
      </w:pPr>
    </w:p>
    <w:p>
      <w:pPr>
        <w:pStyle w:val="21"/>
        <w:rPr>
          <w:rFonts w:hint="eastAsia"/>
          <w:color w:val="auto"/>
          <w:highlight w:val="none"/>
        </w:rPr>
      </w:pPr>
    </w:p>
    <w:p>
      <w:pPr>
        <w:spacing w:line="600" w:lineRule="exact"/>
        <w:ind w:firstLine="1140" w:firstLineChars="300"/>
        <w:rPr>
          <w:rFonts w:hint="eastAsia" w:ascii="新宋体" w:hAnsi="新宋体" w:eastAsia="新宋体" w:cs="新宋体"/>
          <w:color w:val="auto"/>
          <w:spacing w:val="40"/>
          <w:sz w:val="30"/>
          <w:szCs w:val="30"/>
          <w:highlight w:val="none"/>
        </w:rPr>
      </w:pPr>
      <w:r>
        <w:rPr>
          <w:rFonts w:hint="eastAsia" w:ascii="新宋体" w:hAnsi="新宋体" w:eastAsia="新宋体" w:cs="新宋体"/>
          <w:color w:val="auto"/>
          <w:spacing w:val="40"/>
          <w:sz w:val="30"/>
          <w:szCs w:val="30"/>
          <w:highlight w:val="none"/>
        </w:rPr>
        <w:t>项 目 编 号：</w:t>
      </w:r>
      <w:r>
        <w:rPr>
          <w:rFonts w:hint="eastAsia" w:ascii="新宋体" w:hAnsi="新宋体" w:eastAsia="新宋体" w:cs="新宋体"/>
          <w:b w:val="0"/>
          <w:bCs w:val="0"/>
          <w:color w:val="auto"/>
          <w:spacing w:val="40"/>
          <w:sz w:val="30"/>
          <w:szCs w:val="30"/>
          <w:highlight w:val="none"/>
          <w:lang w:eastAsia="zh-CN"/>
        </w:rPr>
        <w:t>DTCG20231213141</w:t>
      </w:r>
    </w:p>
    <w:p>
      <w:pPr>
        <w:spacing w:line="600" w:lineRule="exact"/>
        <w:ind w:firstLine="1140" w:firstLineChars="300"/>
        <w:rPr>
          <w:rFonts w:hint="eastAsia" w:ascii="新宋体" w:hAnsi="新宋体" w:eastAsia="新宋体" w:cs="新宋体"/>
          <w:color w:val="auto"/>
          <w:spacing w:val="40"/>
          <w:sz w:val="30"/>
          <w:szCs w:val="30"/>
          <w:highlight w:val="none"/>
        </w:rPr>
      </w:pPr>
      <w:r>
        <w:rPr>
          <w:rFonts w:hint="eastAsia" w:ascii="新宋体" w:hAnsi="新宋体" w:eastAsia="新宋体" w:cs="新宋体"/>
          <w:color w:val="auto"/>
          <w:spacing w:val="40"/>
          <w:sz w:val="30"/>
          <w:szCs w:val="30"/>
          <w:highlight w:val="none"/>
        </w:rPr>
        <w:t>项 目 名 称：</w:t>
      </w:r>
      <w:r>
        <w:rPr>
          <w:rFonts w:hint="eastAsia" w:ascii="新宋体" w:hAnsi="新宋体" w:eastAsia="新宋体" w:cs="新宋体"/>
          <w:b w:val="0"/>
          <w:bCs w:val="0"/>
          <w:color w:val="auto"/>
          <w:spacing w:val="40"/>
          <w:sz w:val="30"/>
          <w:szCs w:val="30"/>
          <w:highlight w:val="none"/>
          <w:lang w:eastAsia="zh-CN"/>
        </w:rPr>
        <w:t>洞头区个人住房白蚁灭治采购服务</w:t>
      </w:r>
    </w:p>
    <w:p>
      <w:pPr>
        <w:spacing w:line="600" w:lineRule="exact"/>
        <w:ind w:firstLine="1140" w:firstLineChars="300"/>
        <w:rPr>
          <w:rFonts w:hint="eastAsia" w:ascii="新宋体" w:hAnsi="新宋体" w:eastAsia="新宋体" w:cs="新宋体"/>
          <w:color w:val="auto"/>
          <w:spacing w:val="40"/>
          <w:sz w:val="30"/>
          <w:szCs w:val="30"/>
          <w:highlight w:val="none"/>
        </w:rPr>
      </w:pPr>
      <w:r>
        <w:rPr>
          <w:rFonts w:hint="eastAsia" w:ascii="新宋体" w:hAnsi="新宋体" w:eastAsia="新宋体" w:cs="新宋体"/>
          <w:color w:val="auto"/>
          <w:spacing w:val="40"/>
          <w:sz w:val="30"/>
          <w:szCs w:val="30"/>
          <w:highlight w:val="none"/>
        </w:rPr>
        <w:t>采 购 方 式：</w:t>
      </w:r>
      <w:r>
        <w:rPr>
          <w:rFonts w:hint="eastAsia" w:ascii="新宋体" w:hAnsi="新宋体" w:eastAsia="新宋体" w:cs="新宋体"/>
          <w:b w:val="0"/>
          <w:bCs w:val="0"/>
          <w:color w:val="auto"/>
          <w:spacing w:val="40"/>
          <w:sz w:val="30"/>
          <w:szCs w:val="30"/>
          <w:highlight w:val="none"/>
        </w:rPr>
        <w:t>竞争性磋商</w:t>
      </w:r>
    </w:p>
    <w:p>
      <w:pPr>
        <w:spacing w:line="600" w:lineRule="exact"/>
        <w:ind w:firstLine="1140" w:firstLineChars="300"/>
        <w:rPr>
          <w:rFonts w:hint="eastAsia" w:ascii="新宋体" w:hAnsi="新宋体" w:eastAsia="新宋体" w:cs="新宋体"/>
          <w:color w:val="auto"/>
          <w:spacing w:val="30"/>
          <w:sz w:val="30"/>
          <w:highlight w:val="none"/>
        </w:rPr>
      </w:pPr>
      <w:r>
        <w:rPr>
          <w:rFonts w:hint="eastAsia" w:ascii="新宋体" w:hAnsi="新宋体" w:eastAsia="新宋体" w:cs="新宋体"/>
          <w:color w:val="auto"/>
          <w:spacing w:val="40"/>
          <w:sz w:val="30"/>
          <w:szCs w:val="30"/>
          <w:highlight w:val="none"/>
        </w:rPr>
        <w:t>评 审 方 式：</w:t>
      </w:r>
      <w:r>
        <w:rPr>
          <w:rFonts w:hint="eastAsia" w:ascii="新宋体" w:hAnsi="新宋体" w:eastAsia="新宋体" w:cs="新宋体"/>
          <w:b w:val="0"/>
          <w:bCs w:val="0"/>
          <w:color w:val="auto"/>
          <w:spacing w:val="40"/>
          <w:sz w:val="30"/>
          <w:szCs w:val="30"/>
          <w:highlight w:val="none"/>
        </w:rPr>
        <w:t>线上电子评审</w:t>
      </w:r>
    </w:p>
    <w:p>
      <w:pPr>
        <w:pStyle w:val="298"/>
        <w:ind w:left="0" w:leftChars="0" w:firstLine="0" w:firstLineChars="0"/>
        <w:rPr>
          <w:rFonts w:hint="eastAsia" w:ascii="新宋体" w:hAnsi="新宋体" w:eastAsia="新宋体" w:cs="新宋体"/>
          <w:color w:val="auto"/>
          <w:spacing w:val="30"/>
          <w:sz w:val="30"/>
          <w:highlight w:val="none"/>
        </w:rPr>
      </w:pPr>
    </w:p>
    <w:p>
      <w:pPr>
        <w:rPr>
          <w:rFonts w:hint="eastAsia" w:ascii="新宋体" w:hAnsi="新宋体" w:eastAsia="新宋体" w:cs="新宋体"/>
          <w:color w:val="auto"/>
          <w:spacing w:val="30"/>
          <w:sz w:val="30"/>
          <w:highlight w:val="none"/>
        </w:rPr>
      </w:pPr>
    </w:p>
    <w:p>
      <w:pPr>
        <w:pStyle w:val="63"/>
        <w:rPr>
          <w:rFonts w:hint="eastAsia"/>
          <w:color w:val="auto"/>
          <w:highlight w:val="none"/>
        </w:rPr>
      </w:pPr>
    </w:p>
    <w:p>
      <w:pPr>
        <w:pStyle w:val="63"/>
        <w:rPr>
          <w:rFonts w:hint="eastAsia"/>
          <w:color w:val="auto"/>
          <w:highlight w:val="none"/>
        </w:rPr>
      </w:pPr>
    </w:p>
    <w:p>
      <w:pPr>
        <w:spacing w:line="600" w:lineRule="exact"/>
        <w:jc w:val="center"/>
        <w:rPr>
          <w:rFonts w:hint="eastAsia" w:ascii="新宋体" w:hAnsi="新宋体" w:eastAsia="新宋体" w:cs="新宋体"/>
          <w:color w:val="auto"/>
          <w:spacing w:val="40"/>
          <w:sz w:val="30"/>
          <w:szCs w:val="30"/>
          <w:highlight w:val="none"/>
          <w:lang w:val="en-US" w:eastAsia="zh-CN"/>
        </w:rPr>
      </w:pPr>
      <w:r>
        <w:rPr>
          <w:rFonts w:hint="eastAsia" w:ascii="新宋体" w:hAnsi="新宋体" w:eastAsia="新宋体" w:cs="新宋体"/>
          <w:color w:val="auto"/>
          <w:spacing w:val="40"/>
          <w:sz w:val="30"/>
          <w:szCs w:val="30"/>
          <w:highlight w:val="none"/>
          <w:lang w:val="en-US" w:eastAsia="zh-CN"/>
        </w:rPr>
        <w:t>采购人：</w:t>
      </w:r>
      <w:r>
        <w:rPr>
          <w:rFonts w:hint="eastAsia" w:ascii="新宋体" w:hAnsi="新宋体" w:eastAsia="新宋体" w:cs="新宋体"/>
          <w:color w:val="auto"/>
          <w:spacing w:val="40"/>
          <w:sz w:val="30"/>
          <w:szCs w:val="30"/>
          <w:highlight w:val="none"/>
          <w:lang w:eastAsia="zh-CN"/>
        </w:rPr>
        <w:t>温州市洞头区房产管理服务中心</w:t>
      </w:r>
    </w:p>
    <w:p>
      <w:pPr>
        <w:spacing w:line="600" w:lineRule="exact"/>
        <w:jc w:val="center"/>
        <w:rPr>
          <w:rFonts w:hint="eastAsia" w:ascii="新宋体" w:hAnsi="新宋体" w:eastAsia="新宋体" w:cs="新宋体"/>
          <w:color w:val="auto"/>
          <w:spacing w:val="40"/>
          <w:sz w:val="30"/>
          <w:szCs w:val="30"/>
          <w:highlight w:val="none"/>
          <w:lang w:val="en-US" w:eastAsia="zh-CN"/>
        </w:rPr>
      </w:pPr>
      <w:r>
        <w:rPr>
          <w:rFonts w:hint="eastAsia" w:ascii="新宋体" w:hAnsi="新宋体" w:eastAsia="新宋体" w:cs="新宋体"/>
          <w:color w:val="auto"/>
          <w:spacing w:val="40"/>
          <w:sz w:val="30"/>
          <w:szCs w:val="30"/>
          <w:highlight w:val="none"/>
        </w:rPr>
        <w:t>采购代理机构：温州历程招标有限公司</w:t>
      </w:r>
    </w:p>
    <w:p>
      <w:pPr>
        <w:spacing w:line="600" w:lineRule="exact"/>
        <w:jc w:val="center"/>
        <w:rPr>
          <w:rFonts w:hint="eastAsia" w:ascii="新宋体" w:hAnsi="新宋体" w:eastAsia="新宋体" w:cs="新宋体"/>
          <w:color w:val="auto"/>
          <w:spacing w:val="40"/>
          <w:sz w:val="30"/>
          <w:szCs w:val="30"/>
          <w:highlight w:val="none"/>
          <w:lang w:val="en-US" w:eastAsia="zh-CN"/>
        </w:rPr>
      </w:pPr>
      <w:r>
        <w:rPr>
          <w:rFonts w:hint="eastAsia" w:ascii="新宋体" w:hAnsi="新宋体" w:eastAsia="新宋体" w:cs="新宋体"/>
          <w:color w:val="auto"/>
          <w:spacing w:val="40"/>
          <w:sz w:val="30"/>
          <w:szCs w:val="30"/>
          <w:highlight w:val="none"/>
          <w:lang w:val="en-US" w:eastAsia="zh-CN"/>
        </w:rPr>
        <w:t>日期：二〇二三年</w:t>
      </w:r>
    </w:p>
    <w:p>
      <w:pPr>
        <w:rPr>
          <w:rFonts w:hint="eastAsia" w:ascii="新宋体" w:hAnsi="新宋体" w:eastAsia="新宋体" w:cs="新宋体"/>
          <w:color w:val="auto"/>
          <w:spacing w:val="30"/>
          <w:sz w:val="30"/>
          <w:highlight w:val="none"/>
        </w:rPr>
      </w:pPr>
    </w:p>
    <w:p>
      <w:pPr>
        <w:rPr>
          <w:rFonts w:hint="eastAsia" w:ascii="新宋体" w:hAnsi="新宋体" w:eastAsia="新宋体" w:cs="新宋体"/>
          <w:color w:val="auto"/>
          <w:highlight w:val="none"/>
        </w:rPr>
      </w:pPr>
    </w:p>
    <w:p>
      <w:pPr>
        <w:spacing w:before="0" w:beforeLines="0" w:after="0" w:afterLines="0" w:line="360" w:lineRule="auto"/>
        <w:ind w:left="0" w:leftChars="0" w:right="0" w:rightChars="0" w:firstLine="0" w:firstLineChars="0"/>
        <w:jc w:val="center"/>
        <w:outlineLvl w:val="0"/>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8"/>
          <w:szCs w:val="36"/>
          <w:highlight w:val="none"/>
        </w:rPr>
        <w:br w:type="page"/>
      </w:r>
      <w:r>
        <w:rPr>
          <w:rFonts w:hint="eastAsia" w:ascii="新宋体" w:hAnsi="新宋体" w:eastAsia="新宋体" w:cs="新宋体"/>
          <w:b/>
          <w:bCs/>
          <w:color w:val="auto"/>
          <w:sz w:val="28"/>
          <w:szCs w:val="36"/>
          <w:highlight w:val="none"/>
        </w:rPr>
        <w:t>目</w:t>
      </w:r>
      <w:r>
        <w:rPr>
          <w:rFonts w:hint="eastAsia" w:ascii="新宋体" w:hAnsi="新宋体" w:eastAsia="新宋体" w:cs="新宋体"/>
          <w:b/>
          <w:bCs/>
          <w:color w:val="auto"/>
          <w:sz w:val="28"/>
          <w:szCs w:val="36"/>
          <w:highlight w:val="none"/>
          <w:lang w:val="en-US" w:eastAsia="zh-CN"/>
        </w:rPr>
        <w:t xml:space="preserve">   </w:t>
      </w:r>
      <w:r>
        <w:rPr>
          <w:rFonts w:hint="eastAsia" w:ascii="新宋体" w:hAnsi="新宋体" w:eastAsia="新宋体" w:cs="新宋体"/>
          <w:b/>
          <w:bCs/>
          <w:color w:val="auto"/>
          <w:sz w:val="28"/>
          <w:szCs w:val="36"/>
          <w:highlight w:val="none"/>
        </w:rPr>
        <w:t>录</w:t>
      </w:r>
    </w:p>
    <w:p>
      <w:pPr>
        <w:pStyle w:val="39"/>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TOC \o "1-3" \h \u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_Toc4546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竞争性磋商公告</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_Toc4546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3</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pStyle w:val="39"/>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_Toc31483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第一部分    磋商供应商须知</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_Toc31483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7</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pStyle w:val="30"/>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_Toc20804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bCs/>
          <w:color w:val="auto"/>
          <w:sz w:val="22"/>
          <w:szCs w:val="24"/>
          <w:highlight w:val="none"/>
        </w:rPr>
        <w:t>磋商供应商须知前附表</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_Toc20804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7</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pStyle w:val="30"/>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_Toc29436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bCs/>
          <w:color w:val="auto"/>
          <w:sz w:val="22"/>
          <w:szCs w:val="28"/>
          <w:highlight w:val="none"/>
        </w:rPr>
        <w:t>一、 说   明</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_Toc29436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11</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pStyle w:val="30"/>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_Toc20678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bCs/>
          <w:color w:val="auto"/>
          <w:sz w:val="22"/>
          <w:szCs w:val="28"/>
          <w:highlight w:val="none"/>
        </w:rPr>
        <w:t>二、 磋商文件</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_Toc20678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12</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pStyle w:val="30"/>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_Toc7296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bCs/>
          <w:color w:val="auto"/>
          <w:sz w:val="22"/>
          <w:szCs w:val="28"/>
          <w:highlight w:val="none"/>
        </w:rPr>
        <w:t>三、 磋商响应文件的编制</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_Toc7296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12</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pStyle w:val="30"/>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_Toc16443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bCs/>
          <w:color w:val="auto"/>
          <w:sz w:val="22"/>
          <w:szCs w:val="24"/>
          <w:highlight w:val="none"/>
        </w:rPr>
        <w:t>四、 磋商响应文件的递交</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_Toc16443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15</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pStyle w:val="30"/>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_Toc24002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bCs/>
          <w:color w:val="auto"/>
          <w:sz w:val="22"/>
          <w:szCs w:val="24"/>
          <w:highlight w:val="none"/>
        </w:rPr>
        <w:t>五、 磋商和评审</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_Toc24002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15</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pStyle w:val="30"/>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_Toc21179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bCs/>
          <w:color w:val="auto"/>
          <w:sz w:val="22"/>
          <w:szCs w:val="28"/>
          <w:highlight w:val="none"/>
        </w:rPr>
        <w:t>六、 授予合同</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_Toc21179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20</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pStyle w:val="39"/>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_Toc5142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第二部分    合同主要条款</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_Toc5142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22</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pStyle w:val="39"/>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_Toc5214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第三部分    附件</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_Toc5214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22</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pStyle w:val="30"/>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_Toc5867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附件一</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_Toc5867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25</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pStyle w:val="28"/>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_Toc21449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bCs/>
          <w:color w:val="auto"/>
          <w:sz w:val="22"/>
          <w:szCs w:val="32"/>
          <w:highlight w:val="none"/>
        </w:rPr>
        <w:t>报价文件</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_Toc21449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25</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pStyle w:val="30"/>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_Toc9104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4"/>
          <w:highlight w:val="none"/>
        </w:rPr>
        <w:t>附件二</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_Toc9104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28</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pStyle w:val="28"/>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_Toc25922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bCs/>
          <w:color w:val="auto"/>
          <w:sz w:val="22"/>
          <w:szCs w:val="32"/>
          <w:highlight w:val="none"/>
        </w:rPr>
        <w:t>资格证明文件</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_Toc25922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28</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pStyle w:val="30"/>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_Toc139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bCs/>
          <w:color w:val="auto"/>
          <w:sz w:val="22"/>
          <w:szCs w:val="24"/>
          <w:highlight w:val="none"/>
        </w:rPr>
        <w:t>附件三</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_Toc139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30</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pStyle w:val="28"/>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_Toc29509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bCs/>
          <w:color w:val="auto"/>
          <w:sz w:val="22"/>
          <w:szCs w:val="32"/>
          <w:highlight w:val="none"/>
        </w:rPr>
        <w:t>商务技术文件</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_Toc29509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34</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pStyle w:val="39"/>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_Toc19012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第四部分   项目技术规范和服务要求</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_Toc19012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42</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pStyle w:val="39"/>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_Toc9439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第五部分   磋商原则及方法</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_Toc9439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44</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pStyle w:val="30"/>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_Toc7019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4"/>
          <w:highlight w:val="none"/>
        </w:rPr>
        <w:t>一、总 则</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_Toc7019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44</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pStyle w:val="30"/>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_Toc14043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4"/>
          <w:highlight w:val="none"/>
        </w:rPr>
        <w:t>二、磋商组织</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_Toc14043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44</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pStyle w:val="30"/>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_Toc28866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4"/>
          <w:highlight w:val="none"/>
        </w:rPr>
        <w:t>三、评审程序</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_Toc28866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44</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pStyle w:val="30"/>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_Toc16925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4"/>
          <w:highlight w:val="none"/>
        </w:rPr>
        <w:t>四、综合评审</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_Toc16925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44</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pStyle w:val="30"/>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_Toc9675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4"/>
          <w:highlight w:val="none"/>
        </w:rPr>
        <w:t>五、</w:t>
      </w:r>
      <w:r>
        <w:rPr>
          <w:rFonts w:hint="eastAsia" w:ascii="新宋体" w:hAnsi="新宋体" w:eastAsia="新宋体" w:cs="新宋体"/>
          <w:bCs/>
          <w:color w:val="auto"/>
          <w:sz w:val="22"/>
          <w:szCs w:val="24"/>
          <w:highlight w:val="none"/>
        </w:rPr>
        <w:t>评分</w:t>
      </w:r>
      <w:r>
        <w:rPr>
          <w:rFonts w:hint="eastAsia" w:ascii="新宋体" w:hAnsi="新宋体" w:eastAsia="新宋体" w:cs="新宋体"/>
          <w:color w:val="auto"/>
          <w:sz w:val="22"/>
          <w:szCs w:val="24"/>
          <w:highlight w:val="none"/>
        </w:rPr>
        <w:t>细则</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_Toc9675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44</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pStyle w:val="30"/>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_Toc13493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4"/>
          <w:highlight w:val="none"/>
        </w:rPr>
        <w:t>六、定标办法</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_Toc13493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47</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pStyle w:val="30"/>
        <w:tabs>
          <w:tab w:val="right" w:leader="dot" w:pos="9639"/>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HYPERLINK \l _Toc22152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4"/>
          <w:highlight w:val="none"/>
        </w:rPr>
        <w:t>七、磋商供应商义务</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_Toc22152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48</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pPr>
        <w:spacing w:line="360" w:lineRule="auto"/>
        <w:outlineLvl w:val="9"/>
        <w:rPr>
          <w:rFonts w:hint="eastAsia" w:ascii="新宋体" w:hAnsi="新宋体" w:eastAsia="新宋体" w:cs="新宋体"/>
          <w:color w:val="auto"/>
          <w:sz w:val="22"/>
          <w:highlight w:val="none"/>
        </w:rPr>
      </w:pPr>
      <w:r>
        <w:rPr>
          <w:rFonts w:hint="eastAsia" w:ascii="新宋体" w:hAnsi="新宋体" w:eastAsia="新宋体" w:cs="新宋体"/>
          <w:color w:val="auto"/>
          <w:sz w:val="36"/>
          <w:szCs w:val="21"/>
          <w:highlight w:val="none"/>
        </w:rPr>
        <w:fldChar w:fldCharType="end"/>
      </w:r>
    </w:p>
    <w:p>
      <w:pPr>
        <w:pStyle w:val="22"/>
        <w:spacing w:line="460" w:lineRule="exact"/>
        <w:ind w:left="0" w:leftChars="0" w:firstLine="0" w:firstLine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0" w:name="_Toc4546"/>
      <w:r>
        <w:rPr>
          <w:rFonts w:hint="eastAsia" w:ascii="新宋体" w:hAnsi="新宋体" w:eastAsia="新宋体" w:cs="新宋体"/>
          <w:b/>
          <w:color w:val="auto"/>
          <w:sz w:val="30"/>
          <w:highlight w:val="none"/>
          <w:lang w:eastAsia="zh-CN"/>
        </w:rPr>
        <w:t>温州历程招标有限公司</w:t>
      </w:r>
      <w:r>
        <w:rPr>
          <w:rFonts w:hint="eastAsia" w:ascii="新宋体" w:hAnsi="新宋体" w:eastAsia="新宋体" w:cs="新宋体"/>
          <w:b/>
          <w:color w:val="auto"/>
          <w:sz w:val="30"/>
          <w:highlight w:val="none"/>
        </w:rPr>
        <w:t>关于</w:t>
      </w:r>
      <w:r>
        <w:rPr>
          <w:rFonts w:hint="eastAsia" w:ascii="新宋体" w:hAnsi="新宋体" w:eastAsia="新宋体" w:cs="新宋体"/>
          <w:b/>
          <w:color w:val="auto"/>
          <w:sz w:val="30"/>
          <w:highlight w:val="none"/>
          <w:lang w:val="en-US" w:eastAsia="zh-CN"/>
        </w:rPr>
        <w:t>温州市洞头区房产管理服务中心洞头区个人住房白蚁灭治采购服务</w:t>
      </w:r>
      <w:r>
        <w:rPr>
          <w:rFonts w:hint="eastAsia" w:ascii="新宋体" w:hAnsi="新宋体" w:eastAsia="新宋体" w:cs="新宋体"/>
          <w:b/>
          <w:color w:val="auto"/>
          <w:sz w:val="30"/>
          <w:highlight w:val="none"/>
        </w:rPr>
        <w:t>的竞争性磋商公告</w:t>
      </w:r>
      <w:bookmarkEnd w:id="0"/>
    </w:p>
    <w:p>
      <w:pPr>
        <w:keepNext w:val="0"/>
        <w:keepLines w:val="0"/>
        <w:pageBreakBefore w:val="0"/>
        <w:widowControl w:val="0"/>
        <w:tabs>
          <w:tab w:val="left" w:pos="360"/>
        </w:tabs>
        <w:kinsoku/>
        <w:wordWrap/>
        <w:overflowPunct/>
        <w:topLinePunct w:val="0"/>
        <w:autoSpaceDE/>
        <w:autoSpaceDN/>
        <w:bidi w:val="0"/>
        <w:snapToGrid/>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rPr>
        <mc:AlternateContent>
          <mc:Choice Requires="wps">
            <w:drawing>
              <wp:anchor distT="0" distB="0" distL="114300" distR="114300" simplePos="0" relativeHeight="251661312" behindDoc="0" locked="0" layoutInCell="1" allowOverlap="1">
                <wp:simplePos x="0" y="0"/>
                <wp:positionH relativeFrom="column">
                  <wp:posOffset>-125730</wp:posOffset>
                </wp:positionH>
                <wp:positionV relativeFrom="paragraph">
                  <wp:posOffset>19050</wp:posOffset>
                </wp:positionV>
                <wp:extent cx="6499225" cy="1194435"/>
                <wp:effectExtent l="6350" t="6350" r="9525" b="18415"/>
                <wp:wrapNone/>
                <wp:docPr id="3" name="矩形 1"/>
                <wp:cNvGraphicFramePr/>
                <a:graphic xmlns:a="http://schemas.openxmlformats.org/drawingml/2006/main">
                  <a:graphicData uri="http://schemas.microsoft.com/office/word/2010/wordprocessingShape">
                    <wps:wsp>
                      <wps:cNvSpPr/>
                      <wps:spPr>
                        <a:xfrm>
                          <a:off x="0" y="0"/>
                          <a:ext cx="6499225" cy="1194435"/>
                        </a:xfrm>
                        <a:prstGeom prst="rect">
                          <a:avLst/>
                        </a:prstGeom>
                        <a:noFill/>
                        <a:ln w="12700" cap="flat" cmpd="sng">
                          <a:solidFill>
                            <a:srgbClr val="000000"/>
                          </a:solidFill>
                          <a:prstDash val="solid"/>
                          <a:round/>
                          <a:headEnd type="none" w="med" len="med"/>
                          <a:tailEnd type="none" w="med" len="med"/>
                        </a:ln>
                      </wps:spPr>
                      <wps:bodyPr wrap="square" anchor="ctr" anchorCtr="0" upright="1"/>
                    </wps:wsp>
                  </a:graphicData>
                </a:graphic>
              </wp:anchor>
            </w:drawing>
          </mc:Choice>
          <mc:Fallback>
            <w:pict>
              <v:rect id="矩形 1" o:spid="_x0000_s1026" o:spt="1" style="position:absolute;left:0pt;margin-left:-9.9pt;margin-top:1.5pt;height:94.05pt;width:511.75pt;z-index:251661312;v-text-anchor:middle;mso-width-relative:page;mso-height-relative:page;" filled="f" stroked="t" coordsize="21600,21600" o:gfxdata="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w6yCdgAAAAKAQAADwAAAAAAAAABACAA&#10;AAAiAAAAZHJzL2Rvd25yZXYueG1sUEsBAhQAFAAAAAgAh07iQLx+3PINAgAAIAQAAA4AAAAAAAAA&#10;AQAgAAAAJwEAAGRycy9lMm9Eb2MueG1sUEsFBgAAAAAGAAYAWQEAAKYFAAAAAA==&#10;">
                <v:fill on="f" focussize="0,0"/>
                <v:stroke weight="1pt" color="#000000" joinstyle="round"/>
                <v:imagedata o:title=""/>
                <o:lock v:ext="edit" aspectratio="f"/>
              </v:rect>
            </w:pict>
          </mc:Fallback>
        </mc:AlternateContent>
      </w:r>
      <w:r>
        <w:rPr>
          <w:rFonts w:hint="eastAsia" w:ascii="新宋体" w:hAnsi="新宋体" w:eastAsia="新宋体" w:cs="新宋体"/>
          <w:b/>
          <w:bCs/>
          <w:color w:val="auto"/>
          <w:sz w:val="22"/>
          <w:szCs w:val="22"/>
          <w:highlight w:val="none"/>
          <w:lang w:val="en-US" w:eastAsia="zh-CN"/>
        </w:rPr>
        <w:t>项目概况</w:t>
      </w:r>
    </w:p>
    <w:p>
      <w:pPr>
        <w:keepNext w:val="0"/>
        <w:keepLines w:val="0"/>
        <w:pageBreakBefore w:val="0"/>
        <w:widowControl w:val="0"/>
        <w:tabs>
          <w:tab w:val="left" w:pos="360"/>
        </w:tabs>
        <w:kinsoku/>
        <w:wordWrap/>
        <w:overflowPunct/>
        <w:topLinePunct w:val="0"/>
        <w:autoSpaceDE/>
        <w:autoSpaceDN/>
        <w:bidi w:val="0"/>
        <w:snapToGrid/>
        <w:spacing w:line="460" w:lineRule="exact"/>
        <w:ind w:firstLine="550" w:firstLineChars="25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洞头区个人住房白蚁灭治采购服务采购项目的潜在供应商应在政采云平台（http://zfcg.czt.zj.gov.cn）获取（下载）采购文件，并于2023年12月25日14:30（北京时间）前提交（上传）响应文件。                            </w:t>
      </w:r>
    </w:p>
    <w:p>
      <w:pPr>
        <w:keepNext w:val="0"/>
        <w:keepLines w:val="0"/>
        <w:pageBreakBefore w:val="0"/>
        <w:widowControl w:val="0"/>
        <w:tabs>
          <w:tab w:val="left" w:pos="360"/>
        </w:tabs>
        <w:kinsoku/>
        <w:wordWrap/>
        <w:overflowPunct/>
        <w:topLinePunct w:val="0"/>
        <w:autoSpaceDE/>
        <w:autoSpaceDN/>
        <w:bidi w:val="0"/>
        <w:snapToGrid/>
        <w:spacing w:line="460" w:lineRule="exact"/>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一、项目基本情况</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项目编号：DTCG20231213141</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项目名称：洞头区个人住房白蚁灭治采购服务</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采购方式：竞争性磋商</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预算金额（元）：</w:t>
      </w:r>
      <w:r>
        <w:rPr>
          <w:rFonts w:hint="eastAsia" w:ascii="新宋体" w:hAnsi="新宋体" w:eastAsia="新宋体" w:cs="新宋体"/>
          <w:color w:val="auto"/>
          <w:sz w:val="22"/>
          <w:szCs w:val="22"/>
          <w:highlight w:val="none"/>
          <w:u w:val="none"/>
          <w:lang w:val="en-US" w:eastAsia="zh-CN"/>
        </w:rPr>
        <w:t>470000</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最高限价（元）：</w:t>
      </w:r>
      <w:r>
        <w:rPr>
          <w:rFonts w:hint="eastAsia" w:ascii="新宋体" w:hAnsi="新宋体" w:eastAsia="新宋体" w:cs="新宋体"/>
          <w:color w:val="auto"/>
          <w:sz w:val="22"/>
          <w:szCs w:val="22"/>
          <w:highlight w:val="none"/>
          <w:u w:val="none"/>
          <w:lang w:val="en-US" w:eastAsia="zh-CN"/>
        </w:rPr>
        <w:t>470000</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采购需求：</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数量：1 </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预算金额（元）：470000</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单位： </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简要规格描述：具体详见磋商文件</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备注：   </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合同履约期限：标项 1，具体详见磋商文件  </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本项目（否）接受联合体投标。  </w:t>
      </w:r>
    </w:p>
    <w:p>
      <w:pPr>
        <w:keepNext w:val="0"/>
        <w:keepLines w:val="0"/>
        <w:pageBreakBefore w:val="0"/>
        <w:widowControl w:val="0"/>
        <w:tabs>
          <w:tab w:val="left" w:pos="360"/>
        </w:tabs>
        <w:kinsoku/>
        <w:wordWrap/>
        <w:overflowPunct/>
        <w:topLinePunct w:val="0"/>
        <w:autoSpaceDE/>
        <w:autoSpaceDN/>
        <w:bidi w:val="0"/>
        <w:snapToGrid/>
        <w:spacing w:line="460" w:lineRule="exact"/>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二、申请人的资格要求：</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2.落实政府采购政策需满足的资格要求：标项1：供应商为中小企业/小微企业</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3.本项目的特定资格要求：标项1：已进行白蚁防治施工单位备案</w:t>
      </w:r>
    </w:p>
    <w:p>
      <w:pPr>
        <w:keepNext w:val="0"/>
        <w:keepLines w:val="0"/>
        <w:pageBreakBefore w:val="0"/>
        <w:widowControl w:val="0"/>
        <w:tabs>
          <w:tab w:val="left" w:pos="360"/>
        </w:tabs>
        <w:kinsoku/>
        <w:wordWrap/>
        <w:overflowPunct/>
        <w:topLinePunct w:val="0"/>
        <w:autoSpaceDE/>
        <w:autoSpaceDN/>
        <w:bidi w:val="0"/>
        <w:snapToGrid/>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三、获取（下载）采购文件</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时间：</w:t>
      </w:r>
      <w:r>
        <w:rPr>
          <w:rFonts w:hint="eastAsia" w:ascii="新宋体" w:hAnsi="新宋体" w:eastAsia="新宋体" w:cs="新宋体"/>
          <w:color w:val="auto"/>
          <w:sz w:val="22"/>
          <w:szCs w:val="22"/>
          <w:highlight w:val="none"/>
          <w:u w:val="none"/>
          <w:lang w:val="en-US" w:eastAsia="zh-CN"/>
        </w:rPr>
        <w:t>2023年12月13日</w:t>
      </w:r>
      <w:r>
        <w:rPr>
          <w:rFonts w:hint="eastAsia" w:ascii="新宋体" w:hAnsi="新宋体" w:eastAsia="新宋体" w:cs="新宋体"/>
          <w:color w:val="auto"/>
          <w:sz w:val="22"/>
          <w:szCs w:val="22"/>
          <w:highlight w:val="none"/>
          <w:u w:val="none"/>
        </w:rPr>
        <w:t>至</w:t>
      </w:r>
      <w:r>
        <w:rPr>
          <w:rFonts w:hint="eastAsia" w:ascii="新宋体" w:hAnsi="新宋体" w:eastAsia="新宋体" w:cs="新宋体"/>
          <w:color w:val="auto"/>
          <w:sz w:val="22"/>
          <w:szCs w:val="22"/>
          <w:highlight w:val="none"/>
          <w:u w:val="none"/>
          <w:lang w:val="en-US" w:eastAsia="zh-CN"/>
        </w:rPr>
        <w:t>2023年12月25日</w:t>
      </w:r>
      <w:r>
        <w:rPr>
          <w:rFonts w:hint="eastAsia" w:ascii="新宋体" w:hAnsi="新宋体" w:eastAsia="新宋体" w:cs="新宋体"/>
          <w:color w:val="auto"/>
          <w:sz w:val="22"/>
          <w:szCs w:val="22"/>
          <w:highlight w:val="none"/>
          <w:u w:val="none"/>
        </w:rPr>
        <w:t>，每天上午00:00至12:00，下午12:00至23:59（北京时间，线上获取法定节假日均可，线下获取文件法定节假日除外）</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地点（网址）：浙江政府采购网（https://zfcg.czt.zj.gov.cn/） </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方式：供应商登录政采云平台https://www.zcygov.cn/在线申请获取采购文件（进入“项目采购”应用，在获取采购文件菜单中选择项目，申请获取采购文件）</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售价（元）：0 </w:t>
      </w:r>
    </w:p>
    <w:p>
      <w:pPr>
        <w:keepNext w:val="0"/>
        <w:keepLines w:val="0"/>
        <w:pageBreakBefore w:val="0"/>
        <w:widowControl w:val="0"/>
        <w:tabs>
          <w:tab w:val="left" w:pos="360"/>
        </w:tabs>
        <w:kinsoku/>
        <w:wordWrap/>
        <w:overflowPunct/>
        <w:topLinePunct w:val="0"/>
        <w:autoSpaceDE/>
        <w:autoSpaceDN/>
        <w:bidi w:val="0"/>
        <w:snapToGrid/>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四、响应文件提交（上传）</w:t>
      </w:r>
      <w:r>
        <w:rPr>
          <w:rFonts w:hint="eastAsia" w:ascii="新宋体" w:hAnsi="新宋体" w:eastAsia="新宋体" w:cs="新宋体"/>
          <w:color w:val="auto"/>
          <w:sz w:val="22"/>
          <w:szCs w:val="22"/>
          <w:highlight w:val="none"/>
          <w:lang w:val="en-US" w:eastAsia="zh-CN"/>
        </w:rPr>
        <w:t> </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截止时间：2023年12月25日14:30（北京时间）</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地点（网址）：政府采购云平台在线投标。（政采云平台：http://zfcg.czt.zj.gov.cn）</w:t>
      </w:r>
    </w:p>
    <w:p>
      <w:pPr>
        <w:keepNext w:val="0"/>
        <w:keepLines w:val="0"/>
        <w:pageBreakBefore w:val="0"/>
        <w:widowControl w:val="0"/>
        <w:tabs>
          <w:tab w:val="left" w:pos="360"/>
        </w:tabs>
        <w:kinsoku/>
        <w:wordWrap/>
        <w:overflowPunct/>
        <w:topLinePunct w:val="0"/>
        <w:autoSpaceDE/>
        <w:autoSpaceDN/>
        <w:bidi w:val="0"/>
        <w:snapToGrid/>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五、响应文件开启</w:t>
      </w:r>
      <w:r>
        <w:rPr>
          <w:rFonts w:hint="eastAsia" w:ascii="新宋体" w:hAnsi="新宋体" w:eastAsia="新宋体" w:cs="新宋体"/>
          <w:color w:val="auto"/>
          <w:sz w:val="22"/>
          <w:szCs w:val="22"/>
          <w:highlight w:val="none"/>
          <w:lang w:val="en-US" w:eastAsia="zh-CN"/>
        </w:rPr>
        <w:t> </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开启时间：2023年12月25日14:30（北京时间）</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地点（网址）：温州市洞头区政务服务中心2楼（政采云平台：http://zfcg.czt.zj.gov.cn）</w:t>
      </w:r>
    </w:p>
    <w:p>
      <w:pPr>
        <w:keepNext w:val="0"/>
        <w:keepLines w:val="0"/>
        <w:pageBreakBefore w:val="0"/>
        <w:widowControl w:val="0"/>
        <w:tabs>
          <w:tab w:val="left" w:pos="360"/>
        </w:tabs>
        <w:kinsoku/>
        <w:wordWrap/>
        <w:overflowPunct/>
        <w:topLinePunct w:val="0"/>
        <w:autoSpaceDE/>
        <w:autoSpaceDN/>
        <w:bidi w:val="0"/>
        <w:snapToGrid/>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六、公告期限</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自本公告发布之日起3个工作日。</w:t>
      </w:r>
    </w:p>
    <w:p>
      <w:pPr>
        <w:keepNext w:val="0"/>
        <w:keepLines w:val="0"/>
        <w:pageBreakBefore w:val="0"/>
        <w:widowControl w:val="0"/>
        <w:tabs>
          <w:tab w:val="left" w:pos="360"/>
        </w:tabs>
        <w:kinsoku/>
        <w:wordWrap/>
        <w:overflowPunct/>
        <w:topLinePunct w:val="0"/>
        <w:autoSpaceDE/>
        <w:autoSpaceDN/>
        <w:bidi w:val="0"/>
        <w:snapToGrid/>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七、其他补充事宜</w:t>
      </w:r>
      <w:r>
        <w:rPr>
          <w:rFonts w:hint="eastAsia" w:ascii="新宋体" w:hAnsi="新宋体" w:eastAsia="新宋体" w:cs="新宋体"/>
          <w:color w:val="auto"/>
          <w:sz w:val="22"/>
          <w:szCs w:val="22"/>
          <w:highlight w:val="none"/>
          <w:lang w:val="en-US" w:eastAsia="zh-CN"/>
        </w:rPr>
        <w:t> </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磋商供应商在投标截止时间前将加密的投标文件上传至政府采购云平台；⑥投标文件的解密：磋商供应商按照平台提示和招标文件的规定在半小时内完成在线解密；⑦具体操作指南：详见政采云平台“服务中心-帮助文档-项目采购-操作流程-电子招投标-政府采购项目电子交易管理操作指南-供应商”：浙江省政府采购项目政采云平台学习专题https://edu.zcygov.cn/luban/e-biding。（三）招标</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w:t>
      </w:r>
    </w:p>
    <w:p>
      <w:pPr>
        <w:keepNext w:val="0"/>
        <w:keepLines w:val="0"/>
        <w:pageBreakBefore w:val="0"/>
        <w:widowControl w:val="0"/>
        <w:tabs>
          <w:tab w:val="left" w:pos="360"/>
        </w:tabs>
        <w:kinsoku/>
        <w:wordWrap/>
        <w:overflowPunct/>
        <w:topLinePunct w:val="0"/>
        <w:autoSpaceDE/>
        <w:autoSpaceDN/>
        <w:bidi w:val="0"/>
        <w:snapToGrid/>
        <w:spacing w:line="460" w:lineRule="exact"/>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八、凡对本次招标提出询问、质疑、投诉，请按以下方式联系</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1.采购人信息</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名  称：温州市洞头区房产管理服务中心</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地  址：洞头区北岙街道人防大楼 </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传  真：/ </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项目联系人（询问）：陈先生</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项目联系方式（询问）：0577-63486068</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质疑联系人：毕先生</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质疑联系方式：0577-63486068</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2.采购代理机构信息</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名  称：温州历程招标有限公司 </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地  址：温州市鹿城区勤民路鹿城壹号18幢803室</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传  真：/</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项目联系人（询问）：郑永强</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项目联系方式（询问）：0577-89887322、13757727199</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质疑联系人：肖忠文</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质疑联系方式：13757727199</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3.同级政府采购监督管理部门</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名  称：温州市洞头区财政局政府采购监管科</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地  址：浙江省温州市洞头区腾飞路79号财政大楼</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传  真：0577-63387900</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联系人：许先生</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监督投诉电话：0577-63387968</w:t>
      </w:r>
    </w:p>
    <w:p>
      <w:pPr>
        <w:keepNext w:val="0"/>
        <w:keepLines w:val="0"/>
        <w:pageBreakBefore w:val="0"/>
        <w:widowControl w:val="0"/>
        <w:kinsoku/>
        <w:wordWrap/>
        <w:overflowPunct/>
        <w:topLinePunct w:val="0"/>
        <w:autoSpaceDE/>
        <w:autoSpaceDN/>
        <w:bidi w:val="0"/>
        <w:snapToGrid/>
        <w:spacing w:line="460" w:lineRule="exact"/>
        <w:ind w:firstLine="660" w:firstLineChars="300"/>
        <w:rPr>
          <w:rFonts w:hint="eastAsia" w:ascii="新宋体" w:hAnsi="新宋体" w:eastAsia="新宋体" w:cs="新宋体"/>
          <w:color w:val="auto"/>
          <w:sz w:val="22"/>
          <w:highlight w:val="none"/>
        </w:rPr>
      </w:pPr>
    </w:p>
    <w:p>
      <w:pPr>
        <w:pStyle w:val="9"/>
        <w:keepNext w:val="0"/>
        <w:keepLines w:val="0"/>
        <w:pageBreakBefore w:val="0"/>
        <w:widowControl w:val="0"/>
        <w:kinsoku/>
        <w:wordWrap/>
        <w:overflowPunct/>
        <w:topLinePunct w:val="0"/>
        <w:autoSpaceDE/>
        <w:autoSpaceDN/>
        <w:bidi w:val="0"/>
        <w:snapToGrid/>
        <w:spacing w:line="460" w:lineRule="exact"/>
        <w:rPr>
          <w:rFonts w:hint="eastAsia" w:ascii="新宋体" w:hAnsi="新宋体" w:eastAsia="新宋体" w:cs="新宋体"/>
          <w:color w:val="auto"/>
          <w:highlight w:val="none"/>
        </w:rPr>
      </w:pPr>
    </w:p>
    <w:p>
      <w:pPr>
        <w:keepNext w:val="0"/>
        <w:keepLines w:val="0"/>
        <w:pageBreakBefore w:val="0"/>
        <w:widowControl w:val="0"/>
        <w:tabs>
          <w:tab w:val="left" w:pos="360"/>
        </w:tabs>
        <w:kinsoku/>
        <w:wordWrap/>
        <w:overflowPunct/>
        <w:topLinePunct w:val="0"/>
        <w:autoSpaceDE/>
        <w:autoSpaceDN/>
        <w:bidi w:val="0"/>
        <w:snapToGrid/>
        <w:spacing w:line="460" w:lineRule="exact"/>
        <w:ind w:firstLine="400" w:firstLineChars="200"/>
        <w:rPr>
          <w:rFonts w:hint="eastAsia" w:ascii="新宋体" w:hAnsi="新宋体" w:eastAsia="新宋体" w:cs="新宋体"/>
          <w:color w:val="auto"/>
          <w:sz w:val="20"/>
          <w:szCs w:val="20"/>
          <w:highlight w:val="none"/>
          <w:lang w:val="en-US" w:eastAsia="zh-CN"/>
        </w:rPr>
      </w:pPr>
      <w:r>
        <w:rPr>
          <w:rFonts w:hint="eastAsia" w:ascii="新宋体" w:hAnsi="新宋体" w:eastAsia="新宋体" w:cs="新宋体"/>
          <w:color w:val="auto"/>
          <w:sz w:val="20"/>
          <w:szCs w:val="20"/>
          <w:highlight w:val="none"/>
          <w:lang w:val="en-US" w:eastAsia="zh-CN"/>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widowControl w:val="0"/>
        <w:tabs>
          <w:tab w:val="left" w:pos="360"/>
        </w:tabs>
        <w:kinsoku/>
        <w:wordWrap/>
        <w:overflowPunct/>
        <w:topLinePunct w:val="0"/>
        <w:autoSpaceDE/>
        <w:autoSpaceDN/>
        <w:bidi w:val="0"/>
        <w:snapToGrid/>
        <w:spacing w:line="460" w:lineRule="exact"/>
        <w:ind w:firstLine="400" w:firstLineChars="200"/>
        <w:rPr>
          <w:rFonts w:hint="eastAsia" w:ascii="新宋体" w:hAnsi="新宋体" w:eastAsia="新宋体" w:cs="新宋体"/>
          <w:color w:val="auto"/>
          <w:sz w:val="20"/>
          <w:szCs w:val="20"/>
          <w:highlight w:val="none"/>
          <w:lang w:val="en-US" w:eastAsia="zh-CN"/>
        </w:rPr>
      </w:pPr>
      <w:r>
        <w:rPr>
          <w:rFonts w:hint="eastAsia" w:ascii="新宋体" w:hAnsi="新宋体" w:eastAsia="新宋体" w:cs="新宋体"/>
          <w:color w:val="auto"/>
          <w:sz w:val="20"/>
          <w:szCs w:val="20"/>
          <w:highlight w:val="none"/>
          <w:lang w:val="en-US" w:eastAsia="zh-CN"/>
        </w:rPr>
        <w:t>CA问题联系电话（人工）：汇信CA 400-888-4636；天谷CA 400-087-8198。</w:t>
      </w: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pStyle w:val="298"/>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pStyle w:val="298"/>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keepNext/>
        <w:keepLines/>
        <w:pageBreakBefore w:val="0"/>
        <w:widowControl w:val="0"/>
        <w:kinsoku/>
        <w:wordWrap/>
        <w:overflowPunct/>
        <w:topLinePunct w:val="0"/>
        <w:autoSpaceDE/>
        <w:autoSpaceDN/>
        <w:bidi w:val="0"/>
        <w:adjustRightInd/>
        <w:snapToGrid/>
        <w:textAlignment w:val="auto"/>
        <w:outlineLvl w:val="9"/>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pStyle w:val="2"/>
        <w:bidi w:val="0"/>
        <w:rPr>
          <w:rFonts w:hint="eastAsia" w:ascii="新宋体" w:hAnsi="新宋体" w:eastAsia="新宋体" w:cs="新宋体"/>
          <w:b w:val="0"/>
          <w:color w:val="auto"/>
          <w:highlight w:val="none"/>
        </w:rPr>
      </w:pPr>
      <w:bookmarkStart w:id="1" w:name="_Toc31483"/>
      <w:r>
        <w:rPr>
          <w:rFonts w:hint="eastAsia" w:ascii="新宋体" w:hAnsi="新宋体" w:eastAsia="新宋体" w:cs="新宋体"/>
          <w:color w:val="auto"/>
          <w:highlight w:val="none"/>
        </w:rPr>
        <w:br w:type="page"/>
      </w:r>
      <w:r>
        <w:rPr>
          <w:rFonts w:hint="eastAsia" w:ascii="新宋体" w:hAnsi="新宋体" w:eastAsia="新宋体" w:cs="新宋体"/>
          <w:color w:val="auto"/>
          <w:highlight w:val="none"/>
        </w:rPr>
        <w:t>第一部分    磋商供应商须知</w:t>
      </w:r>
      <w:bookmarkEnd w:id="1"/>
    </w:p>
    <w:p>
      <w:pPr>
        <w:keepNext/>
        <w:keepLines/>
        <w:shd w:val="clear" w:color="auto" w:fill="FFFFFF"/>
        <w:tabs>
          <w:tab w:val="left" w:pos="706"/>
        </w:tabs>
        <w:snapToGrid w:val="0"/>
        <w:spacing w:line="460" w:lineRule="exact"/>
        <w:jc w:val="center"/>
        <w:outlineLvl w:val="1"/>
        <w:rPr>
          <w:rFonts w:hint="eastAsia" w:ascii="新宋体" w:hAnsi="新宋体" w:eastAsia="新宋体" w:cs="新宋体"/>
          <w:b/>
          <w:bCs/>
          <w:color w:val="auto"/>
          <w:sz w:val="22"/>
          <w:szCs w:val="22"/>
          <w:highlight w:val="none"/>
        </w:rPr>
      </w:pPr>
      <w:bookmarkStart w:id="2" w:name="_Toc33194387"/>
      <w:bookmarkStart w:id="3" w:name="_Toc233618971"/>
      <w:bookmarkStart w:id="4" w:name="_Toc20804"/>
      <w:bookmarkStart w:id="5" w:name="_Toc354996695"/>
      <w:r>
        <w:rPr>
          <w:rFonts w:hint="eastAsia" w:ascii="新宋体" w:hAnsi="新宋体" w:eastAsia="新宋体" w:cs="新宋体"/>
          <w:b/>
          <w:bCs/>
          <w:color w:val="auto"/>
          <w:sz w:val="22"/>
          <w:szCs w:val="22"/>
          <w:highlight w:val="none"/>
        </w:rPr>
        <w:t>磋商供应商须知前附表</w:t>
      </w:r>
      <w:bookmarkEnd w:id="2"/>
      <w:bookmarkEnd w:id="3"/>
      <w:bookmarkEnd w:id="4"/>
      <w:bookmarkEnd w:id="5"/>
    </w:p>
    <w:tbl>
      <w:tblPr>
        <w:tblStyle w:val="52"/>
        <w:tblW w:w="100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4"/>
        <w:gridCol w:w="94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44" w:type="dxa"/>
            <w:tcBorders>
              <w:top w:val="single" w:color="000000" w:sz="8"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416" w:type="dxa"/>
            <w:tcBorders>
              <w:top w:val="single" w:color="000000" w:sz="8" w:space="0"/>
              <w:left w:val="single" w:color="000000" w:sz="2" w:space="0"/>
              <w:bottom w:val="single" w:color="000000" w:sz="2" w:space="0"/>
              <w:right w:val="single" w:color="000000" w:sz="8"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44"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416" w:type="dxa"/>
            <w:tcBorders>
              <w:top w:val="single" w:color="000000" w:sz="2" w:space="0"/>
              <w:left w:val="single" w:color="000000" w:sz="2" w:space="0"/>
              <w:bottom w:val="single" w:color="000000" w:sz="2" w:space="0"/>
              <w:right w:val="single" w:color="000000" w:sz="8" w:space="0"/>
            </w:tcBorders>
            <w:noWrap w:val="0"/>
            <w:vAlign w:val="top"/>
          </w:tcPr>
          <w:p>
            <w:pPr>
              <w:tabs>
                <w:tab w:val="left" w:pos="360"/>
              </w:tabs>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color w:val="auto"/>
                <w:sz w:val="22"/>
                <w:szCs w:val="22"/>
                <w:highlight w:val="none"/>
              </w:rPr>
              <w:t>一、项目名称：</w:t>
            </w:r>
            <w:r>
              <w:rPr>
                <w:rFonts w:hint="eastAsia" w:ascii="新宋体" w:hAnsi="新宋体" w:eastAsia="新宋体" w:cs="新宋体"/>
                <w:color w:val="auto"/>
                <w:sz w:val="22"/>
                <w:szCs w:val="22"/>
                <w:highlight w:val="none"/>
                <w:lang w:eastAsia="zh-CN"/>
              </w:rPr>
              <w:t>洞头区个人住房白蚁灭治采购服务</w:t>
            </w:r>
          </w:p>
          <w:p>
            <w:pPr>
              <w:tabs>
                <w:tab w:val="left" w:pos="360"/>
              </w:tabs>
              <w:spacing w:line="460" w:lineRule="exact"/>
              <w:rPr>
                <w:rFonts w:hint="eastAsia" w:ascii="新宋体" w:hAnsi="新宋体" w:eastAsia="新宋体" w:cs="新宋体"/>
                <w:b w:val="0"/>
                <w:bCs w:val="0"/>
                <w:color w:val="auto"/>
                <w:sz w:val="22"/>
                <w:szCs w:val="22"/>
                <w:highlight w:val="none"/>
                <w:lang w:eastAsia="zh-CN"/>
              </w:rPr>
            </w:pPr>
            <w:bookmarkStart w:id="6" w:name="_Hlt75139851"/>
            <w:bookmarkEnd w:id="6"/>
            <w:r>
              <w:rPr>
                <w:rFonts w:hint="eastAsia" w:ascii="新宋体" w:hAnsi="新宋体" w:eastAsia="新宋体" w:cs="新宋体"/>
                <w:b/>
                <w:bCs/>
                <w:color w:val="auto"/>
                <w:sz w:val="22"/>
                <w:szCs w:val="22"/>
                <w:highlight w:val="none"/>
              </w:rPr>
              <w:t>二、采购内容：</w:t>
            </w:r>
            <w:r>
              <w:rPr>
                <w:rFonts w:hint="eastAsia" w:ascii="新宋体" w:hAnsi="新宋体" w:eastAsia="新宋体" w:cs="新宋体"/>
                <w:b w:val="0"/>
                <w:bCs w:val="0"/>
                <w:color w:val="auto"/>
                <w:sz w:val="22"/>
                <w:szCs w:val="22"/>
                <w:highlight w:val="none"/>
                <w:lang w:eastAsia="zh-CN"/>
              </w:rPr>
              <w:t>洞头区个人住房白蚁灭治采购服务，</w:t>
            </w:r>
            <w:r>
              <w:rPr>
                <w:rFonts w:hint="eastAsia" w:ascii="新宋体" w:hAnsi="新宋体" w:eastAsia="新宋体" w:cs="新宋体"/>
                <w:b w:val="0"/>
                <w:bCs w:val="0"/>
                <w:color w:val="auto"/>
                <w:sz w:val="22"/>
                <w:szCs w:val="22"/>
                <w:highlight w:val="none"/>
              </w:rPr>
              <w:t>详见磋商文件第四部分</w:t>
            </w:r>
            <w:r>
              <w:rPr>
                <w:rFonts w:hint="eastAsia" w:ascii="新宋体" w:hAnsi="新宋体" w:eastAsia="新宋体" w:cs="新宋体"/>
                <w:b w:val="0"/>
                <w:bCs w:val="0"/>
                <w:color w:val="auto"/>
                <w:sz w:val="22"/>
                <w:szCs w:val="22"/>
                <w:highlight w:val="none"/>
                <w:lang w:eastAsia="zh-CN"/>
              </w:rPr>
              <w:t>。</w:t>
            </w:r>
          </w:p>
          <w:p>
            <w:pPr>
              <w:tabs>
                <w:tab w:val="left" w:pos="360"/>
              </w:tabs>
              <w:spacing w:line="460" w:lineRule="exact"/>
              <w:rPr>
                <w:rFonts w:hint="eastAsia" w:ascii="新宋体" w:hAnsi="新宋体" w:eastAsia="新宋体" w:cs="新宋体"/>
                <w:color w:val="auto"/>
                <w:highlight w:val="none"/>
              </w:rPr>
            </w:pPr>
            <w:r>
              <w:rPr>
                <w:rFonts w:hint="eastAsia" w:ascii="新宋体" w:hAnsi="新宋体" w:eastAsia="新宋体" w:cs="新宋体"/>
                <w:b/>
                <w:bCs/>
                <w:color w:val="auto"/>
                <w:sz w:val="22"/>
                <w:szCs w:val="22"/>
                <w:highlight w:val="none"/>
                <w:lang w:val="en-US" w:eastAsia="zh-CN"/>
              </w:rPr>
              <w:t>三、</w:t>
            </w:r>
            <w:r>
              <w:rPr>
                <w:rFonts w:hint="eastAsia" w:ascii="新宋体" w:hAnsi="新宋体" w:eastAsia="新宋体" w:cs="新宋体"/>
                <w:b/>
                <w:bCs/>
                <w:color w:val="auto"/>
                <w:sz w:val="22"/>
                <w:szCs w:val="22"/>
                <w:highlight w:val="none"/>
                <w:lang w:val="zh-CN"/>
              </w:rPr>
              <w:t>采购预算：</w:t>
            </w:r>
            <w:r>
              <w:rPr>
                <w:rFonts w:hint="eastAsia" w:ascii="新宋体" w:hAnsi="新宋体" w:eastAsia="新宋体" w:cs="新宋体"/>
                <w:b/>
                <w:color w:val="auto"/>
                <w:sz w:val="22"/>
                <w:szCs w:val="22"/>
                <w:highlight w:val="none"/>
                <w:u w:val="single"/>
              </w:rPr>
              <w:t>人民币</w:t>
            </w:r>
            <w:r>
              <w:rPr>
                <w:rFonts w:hint="eastAsia" w:ascii="新宋体" w:hAnsi="新宋体" w:eastAsia="新宋体" w:cs="新宋体"/>
                <w:b/>
                <w:color w:val="auto"/>
                <w:sz w:val="22"/>
                <w:szCs w:val="22"/>
                <w:highlight w:val="none"/>
                <w:u w:val="single"/>
                <w:lang w:val="en-US" w:eastAsia="zh-CN"/>
              </w:rPr>
              <w:t>肆拾柒万元</w:t>
            </w:r>
            <w:r>
              <w:rPr>
                <w:rFonts w:hint="eastAsia" w:ascii="新宋体" w:hAnsi="新宋体" w:eastAsia="新宋体" w:cs="新宋体"/>
                <w:b/>
                <w:color w:val="auto"/>
                <w:sz w:val="22"/>
                <w:szCs w:val="22"/>
                <w:highlight w:val="none"/>
                <w:u w:val="single"/>
              </w:rPr>
              <w:t>整（¥</w:t>
            </w:r>
            <w:r>
              <w:rPr>
                <w:rFonts w:hint="eastAsia" w:ascii="新宋体" w:hAnsi="新宋体" w:eastAsia="新宋体" w:cs="新宋体"/>
                <w:b/>
                <w:color w:val="auto"/>
                <w:sz w:val="22"/>
                <w:szCs w:val="22"/>
                <w:highlight w:val="none"/>
                <w:u w:val="single"/>
                <w:lang w:val="en-US" w:eastAsia="zh-CN"/>
              </w:rPr>
              <w:t>470000</w:t>
            </w:r>
            <w:r>
              <w:rPr>
                <w:rFonts w:hint="eastAsia" w:ascii="新宋体" w:hAnsi="新宋体" w:eastAsia="新宋体" w:cs="新宋体"/>
                <w:b/>
                <w:color w:val="auto"/>
                <w:sz w:val="22"/>
                <w:szCs w:val="22"/>
                <w:highlight w:val="none"/>
                <w:u w:val="single"/>
              </w:rPr>
              <w:t>.00元）</w:t>
            </w:r>
            <w:r>
              <w:rPr>
                <w:rFonts w:hint="eastAsia" w:ascii="新宋体" w:hAnsi="新宋体" w:eastAsia="新宋体" w:cs="新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 w:hRule="atLeast"/>
          <w:jc w:val="center"/>
        </w:trPr>
        <w:tc>
          <w:tcPr>
            <w:tcW w:w="644"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416"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磋商有效期：</w:t>
            </w:r>
            <w:r>
              <w:rPr>
                <w:rFonts w:hint="eastAsia" w:ascii="新宋体" w:hAnsi="新宋体" w:eastAsia="新宋体" w:cs="新宋体"/>
                <w:color w:val="auto"/>
                <w:sz w:val="22"/>
                <w:szCs w:val="22"/>
                <w:highlight w:val="none"/>
              </w:rPr>
              <w:t>自</w:t>
            </w:r>
            <w:r>
              <w:rPr>
                <w:rFonts w:hint="eastAsia" w:ascii="新宋体" w:hAnsi="新宋体" w:eastAsia="新宋体" w:cs="新宋体"/>
                <w:color w:val="auto"/>
                <w:sz w:val="22"/>
                <w:highlight w:val="none"/>
              </w:rPr>
              <w:t>磋商响应文件递交</w:t>
            </w:r>
            <w:r>
              <w:rPr>
                <w:rFonts w:hint="eastAsia" w:ascii="新宋体" w:hAnsi="新宋体" w:eastAsia="新宋体" w:cs="新宋体"/>
                <w:color w:val="auto"/>
                <w:sz w:val="22"/>
                <w:szCs w:val="22"/>
                <w:highlight w:val="none"/>
              </w:rPr>
              <w:t>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 w:hRule="atLeast"/>
          <w:jc w:val="center"/>
        </w:trPr>
        <w:tc>
          <w:tcPr>
            <w:tcW w:w="644"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416"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磋商保证金数额：无</w:t>
            </w:r>
            <w:r>
              <w:rPr>
                <w:rFonts w:hint="eastAsia" w:ascii="新宋体" w:hAnsi="新宋体" w:eastAsia="新宋体" w:cs="新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45" w:hRule="atLeast"/>
          <w:jc w:val="center"/>
        </w:trPr>
        <w:tc>
          <w:tcPr>
            <w:tcW w:w="644"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c>
          <w:tcPr>
            <w:tcW w:w="9416" w:type="dxa"/>
            <w:tcBorders>
              <w:top w:val="single" w:color="000000" w:sz="2" w:space="0"/>
              <w:left w:val="single" w:color="000000" w:sz="2" w:space="0"/>
              <w:bottom w:val="single" w:color="000000" w:sz="2" w:space="0"/>
              <w:right w:val="single" w:color="000000" w:sz="8" w:space="0"/>
            </w:tcBorders>
            <w:noWrap w:val="0"/>
            <w:vAlign w:val="center"/>
          </w:tcPr>
          <w:p>
            <w:pPr>
              <w:spacing w:line="460" w:lineRule="exact"/>
              <w:rPr>
                <w:rFonts w:hint="eastAsia" w:ascii="新宋体" w:hAnsi="新宋体" w:eastAsia="新宋体" w:cs="新宋体"/>
                <w:b w:val="0"/>
                <w:bCs w:val="0"/>
                <w:color w:val="auto"/>
                <w:sz w:val="22"/>
                <w:szCs w:val="22"/>
                <w:highlight w:val="none"/>
                <w:shd w:val="clear" w:color="auto" w:fill="auto"/>
                <w:lang w:bidi="ar"/>
              </w:rPr>
            </w:pPr>
            <w:r>
              <w:rPr>
                <w:rFonts w:hint="eastAsia" w:ascii="新宋体" w:hAnsi="新宋体" w:eastAsia="新宋体" w:cs="新宋体"/>
                <w:b/>
                <w:bCs/>
                <w:color w:val="auto"/>
                <w:sz w:val="22"/>
                <w:szCs w:val="22"/>
                <w:highlight w:val="none"/>
                <w:lang w:bidi="ar"/>
              </w:rPr>
              <w:t>采购</w:t>
            </w:r>
            <w:r>
              <w:rPr>
                <w:rFonts w:hint="eastAsia" w:ascii="新宋体" w:hAnsi="新宋体" w:eastAsia="新宋体" w:cs="新宋体"/>
                <w:b/>
                <w:bCs/>
                <w:color w:val="auto"/>
                <w:sz w:val="22"/>
                <w:szCs w:val="22"/>
                <w:highlight w:val="none"/>
                <w:lang w:val="en-US" w:eastAsia="zh-CN" w:bidi="ar"/>
              </w:rPr>
              <w:t>代理</w:t>
            </w:r>
            <w:r>
              <w:rPr>
                <w:rFonts w:hint="eastAsia" w:ascii="新宋体" w:hAnsi="新宋体" w:eastAsia="新宋体" w:cs="新宋体"/>
                <w:b/>
                <w:bCs/>
                <w:color w:val="auto"/>
                <w:sz w:val="22"/>
                <w:szCs w:val="22"/>
                <w:highlight w:val="none"/>
                <w:lang w:bidi="ar"/>
              </w:rPr>
              <w:t>服务费：</w:t>
            </w:r>
            <w:r>
              <w:rPr>
                <w:rFonts w:hint="eastAsia" w:ascii="新宋体" w:hAnsi="新宋体" w:eastAsia="新宋体" w:cs="新宋体"/>
                <w:b w:val="0"/>
                <w:bCs w:val="0"/>
                <w:color w:val="auto"/>
                <w:sz w:val="22"/>
                <w:szCs w:val="22"/>
                <w:highlight w:val="none"/>
                <w:lang w:bidi="ar"/>
              </w:rPr>
              <w:t>根据国家计委计价格【2002】1980号《招标代理服务收费管理暂行办法》规定标准收取</w:t>
            </w:r>
            <w:r>
              <w:rPr>
                <w:rFonts w:hint="eastAsia" w:ascii="新宋体" w:hAnsi="新宋体" w:eastAsia="新宋体" w:cs="新宋体"/>
                <w:b w:val="0"/>
                <w:bCs w:val="0"/>
                <w:color w:val="auto"/>
                <w:sz w:val="22"/>
                <w:szCs w:val="22"/>
                <w:highlight w:val="none"/>
                <w:lang w:eastAsia="zh-CN" w:bidi="ar"/>
              </w:rPr>
              <w:t>，</w:t>
            </w:r>
            <w:r>
              <w:rPr>
                <w:rFonts w:hint="eastAsia" w:ascii="新宋体" w:hAnsi="新宋体" w:eastAsia="新宋体" w:cs="新宋体"/>
                <w:b w:val="0"/>
                <w:bCs w:val="0"/>
                <w:color w:val="auto"/>
                <w:sz w:val="22"/>
                <w:szCs w:val="22"/>
                <w:highlight w:val="none"/>
                <w:lang w:bidi="ar"/>
              </w:rPr>
              <w:t>采购代理服务费包含在投标报价之中</w:t>
            </w:r>
            <w:r>
              <w:rPr>
                <w:rFonts w:hint="eastAsia" w:ascii="新宋体" w:hAnsi="新宋体" w:eastAsia="新宋体" w:cs="新宋体"/>
                <w:b w:val="0"/>
                <w:bCs w:val="0"/>
                <w:color w:val="auto"/>
                <w:sz w:val="22"/>
                <w:highlight w:val="none"/>
                <w:shd w:val="clear" w:color="auto" w:fill="auto"/>
              </w:rPr>
              <w:t>，由成交供应商在领取成交通知书时支付。</w:t>
            </w:r>
          </w:p>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户  名：温州历程招标有限公司</w:t>
            </w:r>
          </w:p>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账  号：33050162870409101001</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bidi="ar"/>
              </w:rPr>
              <w:t>开户行：中国建设银行温州黎明支行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jc w:val="center"/>
        </w:trPr>
        <w:tc>
          <w:tcPr>
            <w:tcW w:w="644"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c>
          <w:tcPr>
            <w:tcW w:w="9416" w:type="dxa"/>
            <w:tcBorders>
              <w:top w:val="single" w:color="000000" w:sz="2" w:space="0"/>
              <w:left w:val="single" w:color="000000" w:sz="2" w:space="0"/>
              <w:bottom w:val="single" w:color="000000" w:sz="2" w:space="0"/>
              <w:right w:val="single" w:color="000000" w:sz="8" w:space="0"/>
            </w:tcBorders>
            <w:noWrap w:val="0"/>
            <w:vAlign w:val="center"/>
          </w:tcPr>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磋商响应文件的组成：</w:t>
            </w:r>
            <w:r>
              <w:rPr>
                <w:rFonts w:hint="eastAsia" w:ascii="新宋体" w:hAnsi="新宋体" w:eastAsia="新宋体" w:cs="新宋体"/>
                <w:color w:val="auto"/>
                <w:sz w:val="22"/>
                <w:szCs w:val="22"/>
                <w:highlight w:val="none"/>
                <w:lang w:bidi="ar"/>
              </w:rPr>
              <w:t>完整的《磋商响应文件》由“资格文件”、“报价文件”和“商务技术文件”三个部分组成。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0" w:hRule="atLeast"/>
          <w:jc w:val="center"/>
        </w:trPr>
        <w:tc>
          <w:tcPr>
            <w:tcW w:w="644"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w:t>
            </w:r>
          </w:p>
        </w:tc>
        <w:tc>
          <w:tcPr>
            <w:tcW w:w="9416" w:type="dxa"/>
            <w:tcBorders>
              <w:top w:val="single" w:color="000000" w:sz="2" w:space="0"/>
              <w:left w:val="single" w:color="000000" w:sz="2" w:space="0"/>
              <w:bottom w:val="single" w:color="000000" w:sz="2" w:space="0"/>
              <w:right w:val="single" w:color="000000" w:sz="8" w:space="0"/>
            </w:tcBorders>
            <w:noWrap w:val="0"/>
            <w:vAlign w:val="center"/>
          </w:tcPr>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磋商响应文件的编制：</w:t>
            </w:r>
            <w:r>
              <w:rPr>
                <w:rFonts w:hint="eastAsia" w:ascii="新宋体" w:hAnsi="新宋体" w:eastAsia="新宋体" w:cs="新宋体"/>
                <w:color w:val="auto"/>
                <w:sz w:val="22"/>
                <w:szCs w:val="22"/>
                <w:highlight w:val="none"/>
                <w:lang w:bidi="ar"/>
              </w:rPr>
              <w:t>供应商应先安装“政采云电子交易客户端”，并按照本磋商文件和“政府采购云平台”的要求，通过“政采云电子交易客户端”编制并加密磋商响应文件。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44"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w:t>
            </w:r>
          </w:p>
        </w:tc>
        <w:tc>
          <w:tcPr>
            <w:tcW w:w="9416" w:type="dxa"/>
            <w:tcBorders>
              <w:top w:val="single" w:color="000000" w:sz="2" w:space="0"/>
              <w:left w:val="single" w:color="000000" w:sz="2" w:space="0"/>
              <w:bottom w:val="single" w:color="000000" w:sz="2" w:space="0"/>
              <w:right w:val="single" w:color="000000" w:sz="8" w:space="0"/>
            </w:tcBorders>
            <w:noWrap w:val="0"/>
            <w:vAlign w:val="center"/>
          </w:tcPr>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磋商响应文件的签章：</w:t>
            </w:r>
            <w:r>
              <w:rPr>
                <w:rFonts w:hint="eastAsia" w:ascii="新宋体" w:hAnsi="新宋体" w:eastAsia="新宋体" w:cs="新宋体"/>
                <w:color w:val="auto"/>
                <w:sz w:val="22"/>
                <w:szCs w:val="22"/>
                <w:highlight w:val="none"/>
                <w:lang w:bidi="ar"/>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15" w:hRule="atLeast"/>
          <w:jc w:val="center"/>
        </w:trPr>
        <w:tc>
          <w:tcPr>
            <w:tcW w:w="644"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w:t>
            </w:r>
          </w:p>
        </w:tc>
        <w:tc>
          <w:tcPr>
            <w:tcW w:w="9416" w:type="dxa"/>
            <w:tcBorders>
              <w:top w:val="single" w:color="000000" w:sz="2" w:space="0"/>
              <w:left w:val="single" w:color="000000" w:sz="2" w:space="0"/>
              <w:bottom w:val="single" w:color="000000" w:sz="2" w:space="0"/>
              <w:right w:val="single" w:color="000000" w:sz="8" w:space="0"/>
            </w:tcBorders>
            <w:noWrap w:val="0"/>
            <w:vAlign w:val="center"/>
          </w:tcPr>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磋商响应文件的形式：</w:t>
            </w:r>
            <w:r>
              <w:rPr>
                <w:rFonts w:hint="default" w:ascii="Times New Roman" w:hAnsi="Times New Roman" w:eastAsia="新宋体" w:cs="Times New Roman"/>
                <w:color w:val="auto"/>
                <w:sz w:val="22"/>
                <w:szCs w:val="22"/>
                <w:highlight w:val="none"/>
                <w:lang w:bidi="ar"/>
              </w:rPr>
              <w:t>☑</w:t>
            </w:r>
            <w:r>
              <w:rPr>
                <w:rFonts w:hint="eastAsia" w:ascii="新宋体" w:hAnsi="新宋体" w:eastAsia="新宋体" w:cs="新宋体"/>
                <w:color w:val="auto"/>
                <w:sz w:val="22"/>
                <w:szCs w:val="22"/>
                <w:highlight w:val="none"/>
                <w:lang w:bidi="ar"/>
              </w:rPr>
              <w:t>电子磋商响应文件（包括“电子加密磋商响应文件”和“备份磋商响应文件”，在磋商响应文件编制完成后同时生成）；</w:t>
            </w:r>
          </w:p>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（1）“电子加密磋商响应文件”是指通过“政采云电子交易客户端”完成磋商响应文件编制后生成并加密的数据电文形式的磋商响应文件。</w:t>
            </w:r>
          </w:p>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（2）“备份磋商响应文件”是指与“电子加密磋商响应文件”同时生成的数据电文形式的电子文件（备份标书），其他方式编制的备份磋商响应文件视为无效备份磋商响应文件。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44"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w:t>
            </w:r>
          </w:p>
        </w:tc>
        <w:tc>
          <w:tcPr>
            <w:tcW w:w="9416" w:type="dxa"/>
            <w:tcBorders>
              <w:top w:val="single" w:color="000000" w:sz="2" w:space="0"/>
              <w:left w:val="single" w:color="000000" w:sz="2" w:space="0"/>
              <w:bottom w:val="single" w:color="000000" w:sz="2" w:space="0"/>
              <w:right w:val="single" w:color="000000" w:sz="8" w:space="0"/>
            </w:tcBorders>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磋商响应文件份数：</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“电子加密磋商响应文件”：在线上传递交、一份。</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“备份磋商响应文件”：密封包装后磋商响应文件递交截止时间前递交、一份</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（若不提供备份文件，电子加密磋商响应文件解密失败，磋商供应商自行负责。）</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可以（顺丰邮寄形式）在磋商响应文件递交截止时间前递交，并需采购代理机构确认是否收到，</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邮寄地址：</w:t>
            </w:r>
            <w:r>
              <w:rPr>
                <w:rFonts w:hint="eastAsia" w:ascii="新宋体" w:hAnsi="新宋体" w:eastAsia="新宋体" w:cs="新宋体"/>
                <w:color w:val="auto"/>
                <w:sz w:val="22"/>
                <w:szCs w:val="22"/>
                <w:highlight w:val="none"/>
                <w:lang w:eastAsia="zh-CN"/>
              </w:rPr>
              <w:t>温州市鹿城区勤民路鹿城壹号18幢803室</w:t>
            </w:r>
            <w:r>
              <w:rPr>
                <w:rFonts w:hint="eastAsia" w:ascii="新宋体" w:hAnsi="新宋体" w:eastAsia="新宋体" w:cs="新宋体"/>
                <w:color w:val="auto"/>
                <w:sz w:val="22"/>
                <w:szCs w:val="22"/>
                <w:highlight w:val="none"/>
              </w:rPr>
              <w:t>。</w:t>
            </w:r>
          </w:p>
          <w:p>
            <w:pPr>
              <w:spacing w:line="460" w:lineRule="exact"/>
              <w:rPr>
                <w:rFonts w:hint="eastAsia" w:ascii="新宋体" w:hAnsi="新宋体" w:eastAsia="新宋体" w:cs="新宋体"/>
                <w:color w:val="auto"/>
                <w:highlight w:val="none"/>
                <w:lang w:val="en-US" w:eastAsia="zh-CN"/>
              </w:rPr>
            </w:pPr>
            <w:r>
              <w:rPr>
                <w:rFonts w:hint="eastAsia" w:ascii="新宋体" w:hAnsi="新宋体" w:eastAsia="新宋体" w:cs="新宋体"/>
                <w:color w:val="auto"/>
                <w:sz w:val="22"/>
                <w:szCs w:val="28"/>
                <w:highlight w:val="none"/>
                <w:lang w:val="en-US" w:eastAsia="zh-CN"/>
              </w:rPr>
              <w:t>联系人：肖女士    联系电话</w:t>
            </w:r>
            <w:r>
              <w:rPr>
                <w:rFonts w:hint="eastAsia" w:ascii="新宋体" w:hAnsi="新宋体" w:eastAsia="新宋体" w:cs="新宋体"/>
                <w:b w:val="0"/>
                <w:bCs w:val="0"/>
                <w:color w:val="auto"/>
                <w:sz w:val="22"/>
                <w:szCs w:val="28"/>
                <w:highlight w:val="none"/>
                <w:lang w:val="en-US" w:eastAsia="zh-CN"/>
              </w:rPr>
              <w:t>：13757727199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44"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w:t>
            </w:r>
          </w:p>
        </w:tc>
        <w:tc>
          <w:tcPr>
            <w:tcW w:w="9416" w:type="dxa"/>
            <w:tcBorders>
              <w:top w:val="single" w:color="000000" w:sz="2" w:space="0"/>
              <w:left w:val="single" w:color="000000" w:sz="2" w:space="0"/>
              <w:bottom w:val="single" w:color="000000" w:sz="2" w:space="0"/>
              <w:right w:val="single" w:color="000000" w:sz="8" w:space="0"/>
            </w:tcBorders>
            <w:noWrap w:val="0"/>
            <w:vAlign w:val="center"/>
          </w:tcPr>
          <w:p>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磋商响应文件的上传和递交：</w:t>
            </w:r>
          </w:p>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（1）“电子加密磋商响应文件”的上传、递交：</w:t>
            </w:r>
          </w:p>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a.磋商供应商应在</w:t>
            </w:r>
            <w:r>
              <w:rPr>
                <w:rFonts w:hint="eastAsia" w:ascii="新宋体" w:hAnsi="新宋体" w:eastAsia="新宋体" w:cs="新宋体"/>
                <w:color w:val="auto"/>
                <w:sz w:val="22"/>
                <w:highlight w:val="none"/>
              </w:rPr>
              <w:t>磋商响应文件递交截止</w:t>
            </w:r>
            <w:r>
              <w:rPr>
                <w:rFonts w:hint="eastAsia" w:ascii="新宋体" w:hAnsi="新宋体" w:eastAsia="新宋体" w:cs="新宋体"/>
                <w:color w:val="auto"/>
                <w:sz w:val="22"/>
                <w:szCs w:val="22"/>
                <w:highlight w:val="none"/>
                <w:lang w:bidi="ar"/>
              </w:rPr>
              <w:t>时间前将“电子加密磋商响应文件”成功上传递交至“政府采购云平台”，否则磋商无效。</w:t>
            </w:r>
          </w:p>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b.“电子加密磋商响应文件”成功上传递交后，供应商可自行打印磋商响应文件接收回执。</w:t>
            </w:r>
          </w:p>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（2）“备份磋商响应文件”的密封包装、递交：</w:t>
            </w:r>
          </w:p>
          <w:p>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lang w:bidi="ar"/>
              </w:rPr>
              <w:t>a.磋商供应商在“政府采购云平台”完成“电子加密磋商响应文件”的上传递交后，</w:t>
            </w:r>
            <w:r>
              <w:rPr>
                <w:rFonts w:hint="eastAsia" w:ascii="新宋体" w:hAnsi="新宋体" w:eastAsia="新宋体" w:cs="新宋体"/>
                <w:b/>
                <w:bCs/>
                <w:color w:val="auto"/>
                <w:sz w:val="22"/>
                <w:szCs w:val="22"/>
                <w:highlight w:val="none"/>
              </w:rPr>
              <w:t>还可以在磋商响应文件递交截止时间前递交以介质（U盘）存储的数据电文形式的“备份磋商响应文件”，（可以（顺丰邮寄形式）在磋商响应文件递交截止时间前递交，并需采购代理机构确认是否收到）；</w:t>
            </w:r>
          </w:p>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b.“备份磋商响应文件”应当密封包装，并在包装上标注项目名称、磋商供应商名称并加盖公章。没有密封包装或者逾期（邮寄）送达至磋商地点的“备份磋商响应文件”将不予接收；</w:t>
            </w:r>
          </w:p>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c.通过“政府采购云平台”成功上传递交的“电子加密磋商响应文件”已按时解密的，“备份磋商响应文件”自动失效。</w:t>
            </w:r>
            <w:r>
              <w:rPr>
                <w:rFonts w:hint="eastAsia" w:ascii="新宋体" w:hAnsi="新宋体" w:eastAsia="新宋体" w:cs="新宋体"/>
                <w:color w:val="auto"/>
                <w:sz w:val="22"/>
                <w:highlight w:val="none"/>
              </w:rPr>
              <w:t>磋商响应文件递交截止</w:t>
            </w:r>
            <w:r>
              <w:rPr>
                <w:rFonts w:hint="eastAsia" w:ascii="新宋体" w:hAnsi="新宋体" w:eastAsia="新宋体" w:cs="新宋体"/>
                <w:color w:val="auto"/>
                <w:sz w:val="22"/>
                <w:szCs w:val="22"/>
                <w:highlight w:val="none"/>
                <w:lang w:bidi="ar"/>
              </w:rPr>
              <w:t>时间前，磋商供应商仅递交了“备份磋商响应文件”而未将“电子加密磋商响应文件”成功上传至“政府采购云平台”的，磋商无效。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44"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11</w:t>
            </w:r>
          </w:p>
        </w:tc>
        <w:tc>
          <w:tcPr>
            <w:tcW w:w="9416" w:type="dxa"/>
            <w:tcBorders>
              <w:top w:val="single" w:color="000000" w:sz="2" w:space="0"/>
              <w:left w:val="single" w:color="000000" w:sz="2" w:space="0"/>
              <w:bottom w:val="single" w:color="000000" w:sz="2" w:space="0"/>
              <w:right w:val="single" w:color="000000" w:sz="8" w:space="0"/>
            </w:tcBorders>
            <w:noWrap w:val="0"/>
            <w:vAlign w:val="center"/>
          </w:tcPr>
          <w:p>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电子加密磋商响应文件的解密和异常情况处理：</w:t>
            </w:r>
          </w:p>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（1）开标后，采购组织机构将向各磋商供应商发出“电子加密磋商响应文件”的解密通知，各磋商供应商代表应当在接到解密通知后30分钟内自行完成“电子加密磋商响应文件”的在线解密。</w:t>
            </w:r>
          </w:p>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通过“政府采购云平台”成功上传递交的“电子加密磋商响应文件”无法按时解密，磋商供应商如按规定递交了“备份磋商响应文件”的，以“备份磋商响应文件”为依据（由采购组织机构按“政府采购云平台”操作规范将“备份磋商响应文件”上传至“政府采购云平台”，上传成功后，“电子加密磋商响应文件”自动失效），否则视为磋商响应文件撤回。</w:t>
            </w:r>
          </w:p>
          <w:p>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（3）磋商响应文件递交截止时间前，磋商供应商仅递交了“备份磋商响应文件”而未将电子加密磋商响应文件上传至“政府采购云平台”的，磋商响应文件无效。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44"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w:t>
            </w:r>
          </w:p>
        </w:tc>
        <w:tc>
          <w:tcPr>
            <w:tcW w:w="9416"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460" w:lineRule="exact"/>
              <w:rPr>
                <w:rFonts w:hint="eastAsia" w:ascii="新宋体" w:hAnsi="新宋体" w:eastAsia="新宋体" w:cs="新宋体"/>
                <w:color w:val="auto"/>
                <w:sz w:val="22"/>
                <w:highlight w:val="none"/>
              </w:rPr>
            </w:pPr>
            <w:r>
              <w:rPr>
                <w:rFonts w:hint="eastAsia" w:ascii="新宋体" w:hAnsi="新宋体" w:eastAsia="新宋体" w:cs="新宋体"/>
                <w:b/>
                <w:bCs/>
                <w:color w:val="auto"/>
                <w:sz w:val="22"/>
                <w:highlight w:val="none"/>
              </w:rPr>
              <w:t>磋商响应文件递交截止时间</w:t>
            </w:r>
            <w:r>
              <w:rPr>
                <w:rFonts w:hint="eastAsia" w:ascii="新宋体" w:hAnsi="新宋体" w:eastAsia="新宋体" w:cs="新宋体"/>
                <w:b/>
                <w:bCs/>
                <w:color w:val="auto"/>
                <w:sz w:val="22"/>
                <w:highlight w:val="none"/>
                <w:lang w:eastAsia="zh-CN"/>
              </w:rPr>
              <w:t>、</w:t>
            </w:r>
            <w:r>
              <w:rPr>
                <w:rFonts w:hint="eastAsia" w:ascii="新宋体" w:hAnsi="新宋体" w:eastAsia="新宋体" w:cs="新宋体"/>
                <w:b/>
                <w:bCs/>
                <w:color w:val="auto"/>
                <w:sz w:val="22"/>
                <w:highlight w:val="none"/>
              </w:rPr>
              <w:t>磋商地点：</w:t>
            </w:r>
            <w:r>
              <w:rPr>
                <w:rFonts w:hint="eastAsia" w:ascii="新宋体" w:hAnsi="新宋体" w:eastAsia="新宋体" w:cs="新宋体"/>
                <w:color w:val="auto"/>
                <w:sz w:val="22"/>
                <w:szCs w:val="22"/>
                <w:highlight w:val="none"/>
                <w:lang w:val="en-US" w:eastAsia="zh-CN"/>
              </w:rPr>
              <w:t>详见竞争性磋商公告。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44" w:type="dxa"/>
            <w:tcBorders>
              <w:top w:val="single" w:color="000000" w:sz="2" w:space="0"/>
              <w:left w:val="single" w:color="000000" w:sz="8" w:space="0"/>
              <w:bottom w:val="single" w:color="auto" w:sz="4"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3</w:t>
            </w:r>
          </w:p>
        </w:tc>
        <w:tc>
          <w:tcPr>
            <w:tcW w:w="9416" w:type="dxa"/>
            <w:tcBorders>
              <w:top w:val="single" w:color="000000" w:sz="2" w:space="0"/>
              <w:left w:val="single" w:color="000000" w:sz="2" w:space="0"/>
              <w:bottom w:val="single" w:color="auto" w:sz="4" w:space="0"/>
              <w:right w:val="single" w:color="000000" w:sz="8" w:space="0"/>
            </w:tcBorders>
            <w:noWrap w:val="0"/>
            <w:vAlign w:val="center"/>
          </w:tcPr>
          <w:p>
            <w:pPr>
              <w:widowControl/>
              <w:snapToGrid w:val="0"/>
              <w:spacing w:line="460" w:lineRule="exact"/>
              <w:jc w:val="lef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开标时间</w:t>
            </w:r>
            <w:r>
              <w:rPr>
                <w:rFonts w:hint="eastAsia" w:ascii="新宋体" w:hAnsi="新宋体" w:eastAsia="新宋体" w:cs="新宋体"/>
                <w:b/>
                <w:bCs/>
                <w:color w:val="auto"/>
                <w:sz w:val="22"/>
                <w:szCs w:val="22"/>
                <w:highlight w:val="none"/>
                <w:lang w:eastAsia="zh-CN" w:bidi="ar"/>
              </w:rPr>
              <w:t>、</w:t>
            </w:r>
            <w:r>
              <w:rPr>
                <w:rFonts w:hint="eastAsia" w:ascii="新宋体" w:hAnsi="新宋体" w:eastAsia="新宋体" w:cs="新宋体"/>
                <w:b/>
                <w:bCs/>
                <w:color w:val="auto"/>
                <w:sz w:val="22"/>
                <w:szCs w:val="22"/>
                <w:highlight w:val="none"/>
                <w:lang w:val="en-US" w:eastAsia="zh-CN" w:bidi="ar"/>
              </w:rPr>
              <w:t>开标</w:t>
            </w:r>
            <w:r>
              <w:rPr>
                <w:rFonts w:hint="eastAsia" w:ascii="新宋体" w:hAnsi="新宋体" w:eastAsia="新宋体" w:cs="新宋体"/>
                <w:b/>
                <w:bCs/>
                <w:color w:val="auto"/>
                <w:sz w:val="22"/>
                <w:szCs w:val="22"/>
                <w:highlight w:val="none"/>
                <w:lang w:bidi="ar"/>
              </w:rPr>
              <w:t>地点：</w:t>
            </w:r>
            <w:r>
              <w:rPr>
                <w:rFonts w:hint="eastAsia" w:ascii="新宋体" w:hAnsi="新宋体" w:eastAsia="新宋体" w:cs="新宋体"/>
                <w:color w:val="auto"/>
                <w:sz w:val="22"/>
                <w:szCs w:val="22"/>
                <w:highlight w:val="none"/>
                <w:lang w:val="en-US" w:eastAsia="zh-CN"/>
              </w:rPr>
              <w:t>详见竞争性磋商公告。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44"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4</w:t>
            </w:r>
          </w:p>
        </w:tc>
        <w:tc>
          <w:tcPr>
            <w:tcW w:w="9416" w:type="dxa"/>
            <w:tcBorders>
              <w:top w:val="single" w:color="auto" w:sz="4" w:space="0"/>
              <w:left w:val="single" w:color="000000" w:sz="2" w:space="0"/>
              <w:bottom w:val="single" w:color="auto" w:sz="4" w:space="0"/>
              <w:right w:val="single" w:color="000000" w:sz="8" w:space="0"/>
            </w:tcBorders>
            <w:noWrap w:val="0"/>
            <w:vAlign w:val="center"/>
          </w:tcPr>
          <w:p>
            <w:pPr>
              <w:snapToGrid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带“▲”条款系指实质性要求条款</w:t>
            </w:r>
            <w:r>
              <w:rPr>
                <w:rFonts w:hint="eastAsia" w:ascii="新宋体" w:hAnsi="新宋体" w:eastAsia="新宋体" w:cs="新宋体"/>
                <w:color w:val="auto"/>
                <w:sz w:val="22"/>
                <w:szCs w:val="22"/>
                <w:highlight w:val="none"/>
                <w:lang w:eastAsia="zh-CN" w:bidi="ar"/>
              </w:rPr>
              <w:t>；</w:t>
            </w:r>
            <w:r>
              <w:rPr>
                <w:rFonts w:hint="eastAsia" w:ascii="新宋体" w:hAnsi="新宋体" w:eastAsia="新宋体" w:cs="新宋体"/>
                <w:color w:val="auto"/>
                <w:sz w:val="22"/>
                <w:szCs w:val="22"/>
                <w:highlight w:val="none"/>
              </w:rPr>
              <w:t>“★”是关键技术参数及要求。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44" w:type="dxa"/>
            <w:tcBorders>
              <w:top w:val="single" w:color="auto" w:sz="4" w:space="0"/>
              <w:left w:val="single" w:color="000000" w:sz="8" w:space="0"/>
              <w:bottom w:val="single" w:color="auto" w:sz="4" w:space="0"/>
              <w:right w:val="single" w:color="000000" w:sz="2" w:space="0"/>
            </w:tcBorders>
            <w:noWrap w:val="0"/>
            <w:vAlign w:val="center"/>
          </w:tcPr>
          <w:p>
            <w:pPr>
              <w:widowControl/>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5</w:t>
            </w:r>
          </w:p>
        </w:tc>
        <w:tc>
          <w:tcPr>
            <w:tcW w:w="9416" w:type="dxa"/>
            <w:tcBorders>
              <w:top w:val="single" w:color="auto" w:sz="4" w:space="0"/>
              <w:left w:val="single" w:color="000000" w:sz="2" w:space="0"/>
              <w:bottom w:val="single" w:color="auto" w:sz="4" w:space="0"/>
              <w:right w:val="single" w:color="000000" w:sz="8" w:space="0"/>
            </w:tcBorders>
            <w:noWrap w:val="0"/>
            <w:vAlign w:val="center"/>
          </w:tcPr>
          <w:p>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jc w:val="center"/>
        </w:trPr>
        <w:tc>
          <w:tcPr>
            <w:tcW w:w="644"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6</w:t>
            </w:r>
          </w:p>
        </w:tc>
        <w:tc>
          <w:tcPr>
            <w:tcW w:w="9416"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潜在供应商需在浙江政府采购网http://zfcg.czt.zj.gov.cn/进行免费注册，具体详见浙江政府采购网供应商注册要求。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44"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7</w:t>
            </w:r>
          </w:p>
        </w:tc>
        <w:tc>
          <w:tcPr>
            <w:tcW w:w="9416" w:type="dxa"/>
            <w:tcBorders>
              <w:top w:val="single" w:color="000000" w:sz="2" w:space="0"/>
              <w:left w:val="single" w:color="000000" w:sz="2" w:space="0"/>
              <w:bottom w:val="single" w:color="000000" w:sz="2" w:space="0"/>
              <w:right w:val="single" w:color="000000" w:sz="8" w:space="0"/>
            </w:tcBorders>
            <w:noWrap w:val="0"/>
            <w:vAlign w:val="center"/>
          </w:tcPr>
          <w:p>
            <w:pPr>
              <w:shd w:val="clear" w:color="auto" w:fill="auto"/>
              <w:adjustRightInd w:val="0"/>
              <w:snapToGrid w:val="0"/>
              <w:spacing w:line="460" w:lineRule="exact"/>
              <w:ind w:firstLine="442" w:firstLineChars="200"/>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1</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项目预算：</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47</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万元</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2</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项目属性：</w:t>
            </w:r>
            <w:r>
              <w:rPr>
                <w:rFonts w:hint="eastAsia" w:ascii="新宋体" w:hAnsi="新宋体" w:eastAsia="新宋体" w:cs="新宋体"/>
                <w:color w:val="auto"/>
                <w:sz w:val="22"/>
                <w:szCs w:val="28"/>
                <w:highlight w:val="none"/>
                <w:u w:val="single"/>
              </w:rPr>
              <w:t xml:space="preserve"> ②服务类 </w:t>
            </w:r>
            <w:r>
              <w:rPr>
                <w:rFonts w:hint="eastAsia" w:ascii="新宋体" w:hAnsi="新宋体" w:eastAsia="新宋体" w:cs="新宋体"/>
                <w:color w:val="auto"/>
                <w:sz w:val="22"/>
                <w:szCs w:val="28"/>
                <w:highlight w:val="none"/>
              </w:rPr>
              <w:t xml:space="preserve"> （①货物类/②服务类/③工程类）</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3</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项目对应的中小企业划分标准所属行业：</w:t>
            </w:r>
            <w:r>
              <w:rPr>
                <w:rFonts w:hint="eastAsia" w:ascii="新宋体" w:hAnsi="新宋体" w:eastAsia="新宋体" w:cs="新宋体"/>
                <w:color w:val="auto"/>
                <w:sz w:val="22"/>
                <w:szCs w:val="28"/>
                <w:highlight w:val="none"/>
                <w:u w:val="single"/>
              </w:rPr>
              <w:t xml:space="preserve"> 租赁和商业服务业 </w:t>
            </w:r>
            <w:r>
              <w:rPr>
                <w:rFonts w:hint="eastAsia" w:ascii="新宋体" w:hAnsi="新宋体" w:eastAsia="新宋体" w:cs="新宋体"/>
                <w:color w:val="auto"/>
                <w:sz w:val="22"/>
                <w:szCs w:val="28"/>
                <w:highlight w:val="none"/>
              </w:rPr>
              <w:t>（具体根据《中小企业划型标准规定》执行）</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备注：现行中小企业划分标准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业服务业和其他未列明行业（包括科学研究和技术服务业，水利、环境和公共设施管理业，居民服务、修理和其他服务业，社会工作，文化、体育和娱乐业等）  </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4</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本项目</w:t>
            </w:r>
            <w:r>
              <w:rPr>
                <w:rFonts w:hint="eastAsia" w:ascii="新宋体" w:hAnsi="新宋体" w:eastAsia="新宋体" w:cs="新宋体"/>
                <w:color w:val="auto"/>
                <w:sz w:val="22"/>
                <w:szCs w:val="28"/>
                <w:highlight w:val="none"/>
                <w:u w:val="single"/>
                <w:lang w:val="en-US" w:eastAsia="zh-CN"/>
              </w:rPr>
              <w:t xml:space="preserve"> 是 </w:t>
            </w:r>
            <w:r>
              <w:rPr>
                <w:rFonts w:hint="eastAsia" w:ascii="新宋体" w:hAnsi="新宋体" w:eastAsia="新宋体" w:cs="新宋体"/>
                <w:color w:val="auto"/>
                <w:sz w:val="22"/>
                <w:szCs w:val="28"/>
                <w:highlight w:val="none"/>
              </w:rPr>
              <w:t>属于预留份额专门面向中小企业采购的项目。</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5</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上述第4项中确定为“是”的采购项目，预留份额通过（①）措施进行：</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 </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比例</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 xml:space="preserve">； </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比例</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分包给一家或者多家中小企业。</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10%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（工程项目为</w:t>
            </w:r>
            <w:r>
              <w:rPr>
                <w:rFonts w:hint="eastAsia" w:ascii="新宋体" w:hAnsi="新宋体" w:eastAsia="新宋体" w:cs="新宋体"/>
                <w:color w:val="auto"/>
                <w:sz w:val="22"/>
                <w:szCs w:val="28"/>
                <w:highlight w:val="none"/>
                <w:lang w:val="en-US" w:eastAsia="zh-CN"/>
              </w:rPr>
              <w:t>3</w:t>
            </w:r>
            <w:r>
              <w:rPr>
                <w:rFonts w:hint="eastAsia" w:ascii="新宋体" w:hAnsi="新宋体" w:eastAsia="新宋体" w:cs="新宋体"/>
                <w:color w:val="auto"/>
                <w:sz w:val="22"/>
                <w:szCs w:val="28"/>
                <w:highlight w:val="none"/>
              </w:rPr>
              <w:t xml:space="preserve">%）的扣除，用扣除后的价格参加评审。 </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6%</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（工程项目为</w:t>
            </w:r>
            <w:r>
              <w:rPr>
                <w:rFonts w:hint="eastAsia" w:ascii="新宋体" w:hAnsi="新宋体" w:eastAsia="新宋体" w:cs="新宋体"/>
                <w:color w:val="auto"/>
                <w:sz w:val="22"/>
                <w:szCs w:val="28"/>
                <w:highlight w:val="none"/>
                <w:lang w:val="en-US" w:eastAsia="zh-CN"/>
              </w:rPr>
              <w:t>1</w:t>
            </w:r>
            <w:r>
              <w:rPr>
                <w:rFonts w:hint="eastAsia" w:ascii="新宋体" w:hAnsi="新宋体" w:eastAsia="新宋体" w:cs="新宋体"/>
                <w:color w:val="auto"/>
                <w:sz w:val="22"/>
                <w:szCs w:val="28"/>
                <w:highlight w:val="none"/>
              </w:rPr>
              <w:t>%）的扣除，用扣除后的价格参加评审。</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pPr>
              <w:widowControl/>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2</w:t>
            </w:r>
            <w:r>
              <w:rPr>
                <w:rFonts w:hint="eastAsia" w:ascii="新宋体" w:hAnsi="新宋体" w:eastAsia="新宋体" w:cs="新宋体"/>
                <w:color w:val="auto"/>
                <w:kern w:val="0"/>
                <w:sz w:val="22"/>
                <w:szCs w:val="22"/>
                <w:highlight w:val="none"/>
              </w:rPr>
              <w:t>、节能产品、环境标志产品的强制采购政策</w:t>
            </w:r>
          </w:p>
          <w:p>
            <w:pPr>
              <w:widowControl/>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pPr>
              <w:widowControl/>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3</w:t>
            </w:r>
            <w:r>
              <w:rPr>
                <w:rFonts w:hint="eastAsia" w:ascii="新宋体" w:hAnsi="新宋体" w:eastAsia="新宋体" w:cs="新宋体"/>
                <w:color w:val="auto"/>
                <w:kern w:val="0"/>
                <w:sz w:val="22"/>
                <w:szCs w:val="22"/>
                <w:highlight w:val="none"/>
              </w:rPr>
              <w:t>、节能产品、环境标志产品的优先采购政策</w:t>
            </w:r>
          </w:p>
          <w:p>
            <w:pPr>
              <w:widowControl/>
              <w:snapToGrid w:val="0"/>
              <w:spacing w:line="460" w:lineRule="exact"/>
              <w:ind w:firstLine="440" w:firstLineChars="200"/>
              <w:jc w:val="left"/>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44"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8</w:t>
            </w:r>
          </w:p>
        </w:tc>
        <w:tc>
          <w:tcPr>
            <w:tcW w:w="9416"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1）采购人或采购代理机构将对本项目供应商的信用记录进行查询。查询渠道为信用中国网站（www.creditchina.gov.cn）、中国政府采购网（www.ccgp.gov.cn）；</w:t>
            </w:r>
          </w:p>
          <w:p>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2）截止时点：</w:t>
            </w:r>
            <w:r>
              <w:rPr>
                <w:rFonts w:hint="eastAsia" w:ascii="新宋体" w:hAnsi="新宋体" w:eastAsia="新宋体" w:cs="新宋体"/>
                <w:color w:val="auto"/>
                <w:sz w:val="22"/>
                <w:highlight w:val="none"/>
              </w:rPr>
              <w:t>招标公告发布之日至投标截止时间前</w:t>
            </w:r>
            <w:r>
              <w:rPr>
                <w:rFonts w:hint="eastAsia" w:ascii="新宋体" w:hAnsi="新宋体" w:eastAsia="新宋体" w:cs="新宋体"/>
                <w:color w:val="auto"/>
                <w:sz w:val="22"/>
                <w:szCs w:val="22"/>
                <w:highlight w:val="none"/>
              </w:rPr>
              <w:t>；</w:t>
            </w:r>
          </w:p>
          <w:p>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3）查询记录和证据的留存：信用信息查询记录和证据以网页截图等方式留存。</w:t>
            </w:r>
          </w:p>
          <w:p>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4）使用规则：被列入失信被执行人、重大税收违法案件当事人名单、政府采购严重违法失信行为记录名单及其它不符合《中华人民共和国政府采购法》第二十二条规定条件的，其磋商将被拒绝。</w:t>
            </w:r>
          </w:p>
          <w:p>
            <w:pPr>
              <w:snapToGrid w:val="0"/>
              <w:spacing w:line="460" w:lineRule="exact"/>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10060" w:type="dxa"/>
            <w:gridSpan w:val="2"/>
            <w:tcBorders>
              <w:top w:val="single" w:color="000000" w:sz="2" w:space="0"/>
              <w:left w:val="single" w:color="000000" w:sz="8" w:space="0"/>
              <w:bottom w:val="single" w:color="000000" w:sz="2" w:space="0"/>
              <w:right w:val="single" w:color="000000" w:sz="8" w:space="0"/>
            </w:tcBorders>
            <w:noWrap w:val="0"/>
            <w:vAlign w:val="center"/>
          </w:tcPr>
          <w:p>
            <w:pPr>
              <w:snapToGrid w:val="0"/>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lang w:val="en-US" w:eastAsia="zh-CN"/>
              </w:rPr>
              <w:t>注：磋商</w:t>
            </w:r>
            <w:r>
              <w:rPr>
                <w:rFonts w:hint="eastAsia" w:ascii="新宋体" w:hAnsi="新宋体" w:eastAsia="新宋体" w:cs="新宋体"/>
                <w:color w:val="auto"/>
                <w:sz w:val="22"/>
                <w:szCs w:val="22"/>
                <w:highlight w:val="none"/>
              </w:rPr>
              <w:t>文件其他组成部分涉及与前附表相同内容，如有不明确或不一致，以前附表规定为准。</w:t>
            </w:r>
          </w:p>
        </w:tc>
      </w:tr>
    </w:tbl>
    <w:p>
      <w:pPr>
        <w:spacing w:before="100" w:beforeAutospacing="1" w:after="100" w:afterAutospacing="1" w:line="460" w:lineRule="exact"/>
        <w:jc w:val="center"/>
        <w:outlineLvl w:val="1"/>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6"/>
          <w:szCs w:val="26"/>
          <w:highlight w:val="none"/>
        </w:rPr>
        <w:br w:type="page"/>
      </w:r>
      <w:bookmarkStart w:id="7" w:name="_Toc29436"/>
      <w:r>
        <w:rPr>
          <w:rFonts w:hint="eastAsia" w:ascii="新宋体" w:hAnsi="新宋体" w:eastAsia="新宋体" w:cs="新宋体"/>
          <w:b/>
          <w:bCs/>
          <w:color w:val="auto"/>
          <w:sz w:val="26"/>
          <w:szCs w:val="26"/>
          <w:highlight w:val="none"/>
        </w:rPr>
        <w:t>一、 说   明</w:t>
      </w:r>
      <w:bookmarkEnd w:id="7"/>
    </w:p>
    <w:p>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highlight w:val="none"/>
        </w:rPr>
        <w:t>本次采购是按照</w:t>
      </w:r>
      <w:r>
        <w:rPr>
          <w:rFonts w:hint="eastAsia" w:ascii="新宋体" w:hAnsi="新宋体" w:eastAsia="新宋体" w:cs="新宋体"/>
          <w:color w:val="auto"/>
          <w:sz w:val="22"/>
          <w:szCs w:val="22"/>
          <w:highlight w:val="none"/>
        </w:rPr>
        <w:t>《中华人民共和国政府采购法》、《政府采购货物和服务招标投标管理办法》、《中华人民共和国政府采购法实施条例》和《政府采购竞争性磋商采购方式管理暂行办法》</w:t>
      </w:r>
      <w:r>
        <w:rPr>
          <w:rFonts w:hint="eastAsia" w:ascii="新宋体" w:hAnsi="新宋体" w:eastAsia="新宋体" w:cs="新宋体"/>
          <w:color w:val="auto"/>
          <w:sz w:val="22"/>
          <w:highlight w:val="none"/>
        </w:rPr>
        <w:t>等法律及有关法规组织和实施的。</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2、定义</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采购人：是指依法进行政府采购的国家机关、事业单位、团体组织</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采购代理机构：受采购人委托，在委托的范围内办理政府采购事宜的机构；</w:t>
      </w:r>
    </w:p>
    <w:p>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磋商供应商：是指参加本政府采购项目磋商的供应商；</w:t>
      </w:r>
    </w:p>
    <w:p>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磋商供应商代表：是指参加本项目磋商活动的供应商法定代表人或法定代表人授权代表；</w:t>
      </w:r>
    </w:p>
    <w:p>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磋商联合体：是指两个以上供应商组成联合体，以一个供应商的身份参加磋商；</w:t>
      </w:r>
    </w:p>
    <w:p>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甲方：是指合同签订的一方，一般与采购人、用户相同；</w:t>
      </w:r>
    </w:p>
    <w:p>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乙方：是指合同签订的另一方，与成交供应商相同；</w:t>
      </w:r>
    </w:p>
    <w:p>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制造商：是指拥有所投产品自主知识产权的单位；</w:t>
      </w:r>
    </w:p>
    <w:p>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中小企业（含中型、小型、微型）：符合中小企业划分标准（工信部联企业[2011]300号），在本项目政府采购活动中提供本企业制造的货物，或者提供其他中小企业制造的货物。本项所称货物不包括使用大型企业注册商标的货物及进口货物。小型、微型企业提供中型企业制造的货物的，视同为中型企业。</w:t>
      </w:r>
    </w:p>
    <w:p>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原件备查：要求携带原件备查的，供应商应按要求携带备查，如磋商小组发现磋商响应文件资料复印件存有瑕疵，致使内容模糊、关键信息难以辨认、材料真实性存疑等情形的，有权核对原件或磋商小组认为有必有核对原件，若供应商未能提交原件，将会导致磋商小组作出对其不利的评定，一切后果由供应商自行承担。</w:t>
      </w:r>
    </w:p>
    <w:p>
      <w:pPr>
        <w:tabs>
          <w:tab w:val="left" w:pos="360"/>
        </w:tabs>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“▲”为实质性响应项，不满足则磋商无效。“★”是关键技术参数及要求。</w:t>
      </w:r>
    </w:p>
    <w:p>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3、磋商供应商代表</w:t>
      </w:r>
    </w:p>
    <w:p>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3.1指全权代表磋商供应商参加磋商活动并签署磋商响应文件的人，如果磋商供应商代表不是法定代表人，须持有《法定代表人授权书》（见附件）。</w:t>
      </w:r>
    </w:p>
    <w:p>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政府采购相关法律、法规、规章、文件规定并满足磋商文件规定资格条件的区域性分支机构、个体工商户、个人独资企业、合伙企业参加本项目磋商并由单位负责人签署的相关磋商资料与本磋商文件规定由法定代表人签署的的文件材料具有同等效力。</w:t>
      </w:r>
    </w:p>
    <w:p>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4、磋商费用</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4.1磋商供应商应</w:t>
      </w:r>
      <w:r>
        <w:rPr>
          <w:rFonts w:hint="eastAsia" w:ascii="新宋体" w:hAnsi="新宋体" w:eastAsia="新宋体" w:cs="新宋体"/>
          <w:color w:val="auto"/>
          <w:sz w:val="22"/>
          <w:szCs w:val="22"/>
          <w:highlight w:val="none"/>
        </w:rPr>
        <w:t>承担所有与准备和参加磋商有关费用，不论磋商的结果如何，采购人或采购代理机构均无义务和责任承担这些费用。</w:t>
      </w:r>
    </w:p>
    <w:p>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rPr>
      </w:pPr>
      <w:bookmarkStart w:id="8" w:name="_Toc20678"/>
      <w:r>
        <w:rPr>
          <w:rFonts w:hint="eastAsia" w:ascii="新宋体" w:hAnsi="新宋体" w:eastAsia="新宋体" w:cs="新宋体"/>
          <w:b/>
          <w:bCs/>
          <w:color w:val="auto"/>
          <w:sz w:val="26"/>
          <w:szCs w:val="26"/>
          <w:highlight w:val="none"/>
        </w:rPr>
        <w:t>二、 磋商文件</w:t>
      </w:r>
      <w:bookmarkEnd w:id="8"/>
    </w:p>
    <w:p>
      <w:pPr>
        <w:tabs>
          <w:tab w:val="left" w:pos="360"/>
        </w:tabs>
        <w:spacing w:line="460" w:lineRule="exact"/>
        <w:ind w:firstLine="440" w:firstLineChars="200"/>
        <w:rPr>
          <w:rFonts w:hint="eastAsia" w:ascii="新宋体" w:hAnsi="新宋体" w:eastAsia="新宋体" w:cs="新宋体"/>
          <w:b w:val="0"/>
          <w:bCs w:val="0"/>
          <w:color w:val="auto"/>
          <w:sz w:val="22"/>
          <w:highlight w:val="none"/>
        </w:rPr>
      </w:pPr>
      <w:r>
        <w:rPr>
          <w:rFonts w:hint="eastAsia" w:ascii="新宋体" w:hAnsi="新宋体" w:eastAsia="新宋体" w:cs="新宋体"/>
          <w:b w:val="0"/>
          <w:bCs w:val="0"/>
          <w:color w:val="auto"/>
          <w:sz w:val="22"/>
          <w:highlight w:val="none"/>
        </w:rPr>
        <w:t>1、磋商文件由磋商文件目录所列内容及相关资料组成。</w:t>
      </w:r>
    </w:p>
    <w:p>
      <w:pPr>
        <w:tabs>
          <w:tab w:val="left" w:pos="360"/>
        </w:tabs>
        <w:spacing w:line="460" w:lineRule="exact"/>
        <w:ind w:firstLine="440" w:firstLineChars="200"/>
        <w:rPr>
          <w:rFonts w:hint="eastAsia" w:ascii="新宋体" w:hAnsi="新宋体" w:eastAsia="新宋体" w:cs="新宋体"/>
          <w:b w:val="0"/>
          <w:bCs w:val="0"/>
          <w:color w:val="auto"/>
          <w:sz w:val="22"/>
          <w:highlight w:val="none"/>
        </w:rPr>
      </w:pPr>
      <w:r>
        <w:rPr>
          <w:rFonts w:hint="eastAsia" w:ascii="新宋体" w:hAnsi="新宋体" w:eastAsia="新宋体" w:cs="新宋体"/>
          <w:b w:val="0"/>
          <w:bCs w:val="0"/>
          <w:color w:val="auto"/>
          <w:sz w:val="22"/>
          <w:highlight w:val="none"/>
        </w:rPr>
        <w:t>2、磋商文件的澄清和修改</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highlight w:val="none"/>
        </w:rPr>
        <w:t>2.1提交首次磋商响应文件截止之日前，采购人、采购代理机构或者磋商小组可以对已发出的磋商文件进行必要的澄清或者修改，澄清或者修改的内容作为磋商文件的组成部分。澄清或者修改的内容可能影响磋商响应文件编制的，采购人、采购代理机构应当在提交首次磋商响应文件截止时间至少5日前，以书面形式通知所有获取磋商文件的供应商；不足5日的，采购人、采购代理机构应当顺延提交首次磋商响应文件截止时间。</w:t>
      </w:r>
    </w:p>
    <w:p>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rPr>
      </w:pPr>
      <w:bookmarkStart w:id="9" w:name="_Toc7296"/>
      <w:r>
        <w:rPr>
          <w:rFonts w:hint="eastAsia" w:ascii="新宋体" w:hAnsi="新宋体" w:eastAsia="新宋体" w:cs="新宋体"/>
          <w:b/>
          <w:bCs/>
          <w:color w:val="auto"/>
          <w:sz w:val="26"/>
          <w:szCs w:val="26"/>
          <w:highlight w:val="none"/>
        </w:rPr>
        <w:t>三、 磋商响应文件的编制</w:t>
      </w:r>
      <w:bookmarkEnd w:id="9"/>
    </w:p>
    <w:p>
      <w:pPr>
        <w:tabs>
          <w:tab w:val="left" w:pos="360"/>
        </w:tabs>
        <w:spacing w:line="460" w:lineRule="exact"/>
        <w:ind w:firstLine="440" w:firstLineChars="200"/>
        <w:rPr>
          <w:rFonts w:hint="eastAsia" w:ascii="新宋体" w:hAnsi="新宋体" w:eastAsia="新宋体" w:cs="新宋体"/>
          <w:b w:val="0"/>
          <w:bCs w:val="0"/>
          <w:color w:val="auto"/>
          <w:sz w:val="22"/>
          <w:highlight w:val="none"/>
        </w:rPr>
      </w:pPr>
      <w:r>
        <w:rPr>
          <w:rFonts w:hint="eastAsia" w:ascii="新宋体" w:hAnsi="新宋体" w:eastAsia="新宋体" w:cs="新宋体"/>
          <w:b w:val="0"/>
          <w:bCs w:val="0"/>
          <w:color w:val="auto"/>
          <w:sz w:val="22"/>
          <w:highlight w:val="none"/>
        </w:rPr>
        <w:t>1、磋商供应商应认真阅读磋商文件中所有事项、格式、条款和技术规范等。磋商供应商没有按照磋商文件要求提交全部资料，或者没有对磋商文件各个方面做出实质性响应，导致磋商被否决的风险由磋商供应商自行承担。</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highlight w:val="none"/>
        </w:rPr>
        <w:t>2、磋商供应商应保证所提供文件资料的真实性，所有文件资料必须是针对本次磋商的。如发现磋商供应商提供了虚假文件资料，其磋商将被否决，并自行承担相应的法律责任。</w:t>
      </w:r>
    </w:p>
    <w:p>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磋商响应文件的构成：</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磋商响应文件</w:t>
      </w:r>
      <w:r>
        <w:rPr>
          <w:rFonts w:hint="eastAsia" w:ascii="新宋体" w:hAnsi="新宋体" w:eastAsia="新宋体" w:cs="新宋体"/>
          <w:color w:val="auto"/>
          <w:kern w:val="0"/>
          <w:sz w:val="22"/>
          <w:szCs w:val="22"/>
          <w:highlight w:val="none"/>
          <w:lang w:val="zh-CN"/>
        </w:rPr>
        <w:t>应当包括以下主要内容：资格文件、报价文件、商务技术文件。</w:t>
      </w:r>
    </w:p>
    <w:p>
      <w:pPr>
        <w:tabs>
          <w:tab w:val="left" w:pos="360"/>
        </w:tabs>
        <w:spacing w:line="460" w:lineRule="exact"/>
        <w:ind w:firstLine="442" w:firstLineChars="200"/>
        <w:rPr>
          <w:rFonts w:hint="eastAsia" w:ascii="新宋体" w:hAnsi="新宋体" w:eastAsia="新宋体" w:cs="新宋体"/>
          <w:b/>
          <w:bCs/>
          <w:color w:val="auto"/>
          <w:kern w:val="0"/>
          <w:sz w:val="22"/>
          <w:szCs w:val="22"/>
          <w:highlight w:val="none"/>
          <w:u w:val="none"/>
          <w:lang w:val="zh-CN"/>
        </w:rPr>
      </w:pPr>
      <w:r>
        <w:rPr>
          <w:rFonts w:hint="eastAsia" w:ascii="新宋体" w:hAnsi="新宋体" w:eastAsia="新宋体" w:cs="新宋体"/>
          <w:b/>
          <w:bCs/>
          <w:color w:val="auto"/>
          <w:kern w:val="0"/>
          <w:sz w:val="22"/>
          <w:szCs w:val="22"/>
          <w:highlight w:val="none"/>
          <w:u w:val="none"/>
        </w:rPr>
        <w:t>3.1</w:t>
      </w:r>
      <w:r>
        <w:rPr>
          <w:rFonts w:hint="eastAsia" w:ascii="新宋体" w:hAnsi="新宋体" w:eastAsia="新宋体" w:cs="新宋体"/>
          <w:b/>
          <w:bCs/>
          <w:color w:val="auto"/>
          <w:kern w:val="0"/>
          <w:sz w:val="22"/>
          <w:szCs w:val="22"/>
          <w:highlight w:val="none"/>
          <w:u w:val="none"/>
          <w:lang w:val="zh-CN"/>
        </w:rPr>
        <w:t xml:space="preserve">磋商供应商的资格文件至少应包括以下内容：  </w:t>
      </w:r>
    </w:p>
    <w:p>
      <w:pPr>
        <w:tabs>
          <w:tab w:val="left" w:pos="360"/>
        </w:tabs>
        <w:spacing w:line="460" w:lineRule="exact"/>
        <w:ind w:firstLine="440" w:firstLineChars="200"/>
        <w:rPr>
          <w:rFonts w:hint="eastAsia" w:ascii="新宋体" w:hAnsi="新宋体" w:eastAsia="新宋体" w:cs="新宋体"/>
          <w:color w:val="auto"/>
          <w:kern w:val="0"/>
          <w:sz w:val="22"/>
          <w:szCs w:val="22"/>
          <w:highlight w:val="none"/>
          <w:u w:val="none"/>
          <w:lang w:val="en-US" w:eastAsia="zh-CN"/>
        </w:rPr>
      </w:pPr>
      <w:r>
        <w:rPr>
          <w:rFonts w:hint="eastAsia" w:ascii="新宋体" w:hAnsi="新宋体" w:eastAsia="新宋体" w:cs="新宋体"/>
          <w:color w:val="auto"/>
          <w:kern w:val="0"/>
          <w:sz w:val="22"/>
          <w:szCs w:val="22"/>
          <w:highlight w:val="none"/>
          <w:u w:val="none"/>
          <w:lang w:val="zh-CN"/>
        </w:rPr>
        <w:t>基本资格条件审查材料：</w:t>
      </w:r>
      <w:r>
        <w:rPr>
          <w:rFonts w:hint="eastAsia" w:ascii="新宋体" w:hAnsi="新宋体" w:eastAsia="新宋体" w:cs="新宋体"/>
          <w:color w:val="auto"/>
          <w:kern w:val="0"/>
          <w:sz w:val="22"/>
          <w:szCs w:val="22"/>
          <w:highlight w:val="none"/>
          <w:u w:val="none"/>
          <w:lang w:val="en-US" w:eastAsia="zh-CN"/>
        </w:rPr>
        <w:t>即证明供应商</w:t>
      </w:r>
      <w:r>
        <w:rPr>
          <w:rFonts w:hint="eastAsia" w:ascii="新宋体" w:hAnsi="新宋体" w:eastAsia="新宋体" w:cs="新宋体"/>
          <w:color w:val="auto"/>
          <w:kern w:val="0"/>
          <w:sz w:val="22"/>
          <w:szCs w:val="22"/>
          <w:highlight w:val="none"/>
          <w:u w:val="none"/>
          <w:lang w:val="zh-CN"/>
        </w:rPr>
        <w:t>参加本次政府采购活动前3年内</w:t>
      </w:r>
      <w:r>
        <w:rPr>
          <w:rFonts w:hint="eastAsia" w:ascii="新宋体" w:hAnsi="新宋体" w:eastAsia="新宋体" w:cs="新宋体"/>
          <w:color w:val="auto"/>
          <w:sz w:val="22"/>
          <w:szCs w:val="22"/>
          <w:highlight w:val="none"/>
          <w:u w:val="none"/>
          <w:lang w:val="en-US" w:eastAsia="zh-CN"/>
        </w:rPr>
        <w:t>满足《中华人民共和国政府采购法》</w:t>
      </w:r>
      <w:r>
        <w:rPr>
          <w:rFonts w:hint="eastAsia" w:ascii="新宋体" w:hAnsi="新宋体" w:eastAsia="新宋体" w:cs="新宋体"/>
          <w:color w:val="auto"/>
          <w:kern w:val="0"/>
          <w:sz w:val="22"/>
          <w:szCs w:val="22"/>
          <w:highlight w:val="none"/>
          <w:u w:val="none"/>
          <w:lang w:val="zh-CN"/>
        </w:rPr>
        <w:t>的有关资格证明文件。</w:t>
      </w:r>
      <w:r>
        <w:rPr>
          <w:rFonts w:hint="eastAsia" w:ascii="新宋体" w:hAnsi="新宋体" w:eastAsia="新宋体" w:cs="新宋体"/>
          <w:color w:val="auto"/>
          <w:kern w:val="0"/>
          <w:sz w:val="22"/>
          <w:szCs w:val="22"/>
          <w:highlight w:val="none"/>
          <w:u w:val="none"/>
          <w:lang w:val="en-US" w:eastAsia="zh-CN"/>
        </w:rPr>
        <w:t>包括：</w:t>
      </w:r>
    </w:p>
    <w:p>
      <w:pPr>
        <w:tabs>
          <w:tab w:val="left" w:pos="360"/>
        </w:tabs>
        <w:spacing w:line="460" w:lineRule="exact"/>
        <w:ind w:firstLine="440" w:firstLineChars="200"/>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lang w:val="en-US" w:eastAsia="zh-CN"/>
        </w:rPr>
        <w:t>1</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rPr>
        <w:t>资格条件承诺函</w:t>
      </w:r>
      <w:r>
        <w:rPr>
          <w:rFonts w:hint="eastAsia" w:ascii="新宋体" w:hAnsi="新宋体" w:eastAsia="新宋体" w:cs="新宋体"/>
          <w:color w:val="auto"/>
          <w:sz w:val="22"/>
          <w:szCs w:val="22"/>
          <w:highlight w:val="none"/>
          <w:u w:val="none"/>
          <w:lang w:eastAsia="zh-CN"/>
        </w:rPr>
        <w:t>；</w:t>
      </w:r>
    </w:p>
    <w:p>
      <w:pPr>
        <w:tabs>
          <w:tab w:val="left" w:pos="360"/>
        </w:tabs>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w:t>
      </w:r>
      <w:r>
        <w:rPr>
          <w:rFonts w:hint="eastAsia" w:ascii="新宋体" w:hAnsi="新宋体" w:eastAsia="新宋体" w:cs="新宋体"/>
          <w:color w:val="auto"/>
          <w:sz w:val="22"/>
          <w:szCs w:val="22"/>
          <w:highlight w:val="none"/>
          <w:u w:val="none"/>
          <w:lang w:val="en-US" w:eastAsia="zh-CN"/>
        </w:rPr>
        <w:t>2</w:t>
      </w:r>
      <w:r>
        <w:rPr>
          <w:rFonts w:hint="eastAsia" w:ascii="新宋体" w:hAnsi="新宋体" w:eastAsia="新宋体" w:cs="新宋体"/>
          <w:color w:val="auto"/>
          <w:sz w:val="22"/>
          <w:szCs w:val="22"/>
          <w:highlight w:val="none"/>
          <w:u w:val="none"/>
        </w:rPr>
        <w:t>）营业执照</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rPr>
        <w:t>或事业法人登记证书或其它工商等登记证明材料；自然人参与政府采购，提供身份证</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rPr>
        <w:t xml:space="preserve">复印件； </w:t>
      </w:r>
    </w:p>
    <w:p>
      <w:pPr>
        <w:tabs>
          <w:tab w:val="left" w:pos="360"/>
        </w:tabs>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tabs>
          <w:tab w:val="left" w:pos="360"/>
        </w:tabs>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lang w:val="en-US" w:eastAsia="zh-CN"/>
        </w:rPr>
        <w:t>（3）磋商供应商信用查询；</w:t>
      </w:r>
    </w:p>
    <w:p>
      <w:pPr>
        <w:tabs>
          <w:tab w:val="left" w:pos="360"/>
        </w:tabs>
        <w:spacing w:line="460" w:lineRule="exact"/>
        <w:ind w:firstLine="440" w:firstLineChars="200"/>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lang w:val="en-US" w:eastAsia="zh-CN"/>
        </w:rPr>
        <w:t>4</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highlight w:val="none"/>
          <w:lang w:val="en-US" w:eastAsia="zh-CN"/>
        </w:rPr>
        <w:t>特定资格要求：已进行白蚁防治施工单位备案的证明材料；</w:t>
      </w:r>
    </w:p>
    <w:p>
      <w:pPr>
        <w:tabs>
          <w:tab w:val="left" w:pos="360"/>
        </w:tabs>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lang w:val="en-US" w:eastAsia="zh-CN"/>
        </w:rPr>
        <w:t>5</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rPr>
        <w:t>中小企业声明函、监狱企业、残疾人福利性单位及其他相关的充分的证明材料；</w:t>
      </w:r>
    </w:p>
    <w:p>
      <w:pPr>
        <w:tabs>
          <w:tab w:val="left" w:pos="360"/>
        </w:tabs>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w:t>
      </w:r>
      <w:r>
        <w:rPr>
          <w:rFonts w:hint="eastAsia" w:ascii="新宋体" w:hAnsi="新宋体" w:eastAsia="新宋体" w:cs="新宋体"/>
          <w:color w:val="auto"/>
          <w:sz w:val="22"/>
          <w:szCs w:val="22"/>
          <w:highlight w:val="none"/>
          <w:u w:val="none"/>
          <w:lang w:val="en-US" w:eastAsia="zh-CN"/>
        </w:rPr>
        <w:t>6</w:t>
      </w:r>
      <w:r>
        <w:rPr>
          <w:rFonts w:hint="eastAsia" w:ascii="新宋体" w:hAnsi="新宋体" w:eastAsia="新宋体" w:cs="新宋体"/>
          <w:color w:val="auto"/>
          <w:sz w:val="22"/>
          <w:szCs w:val="22"/>
          <w:highlight w:val="none"/>
          <w:u w:val="none"/>
        </w:rPr>
        <w:t>）政府采购活动现场确认声明书；</w:t>
      </w:r>
    </w:p>
    <w:p>
      <w:pPr>
        <w:tabs>
          <w:tab w:val="left" w:pos="360"/>
        </w:tabs>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上述资格条件审查材料有一项不提供的，视为资格审查不通过。</w:t>
      </w:r>
    </w:p>
    <w:p>
      <w:pPr>
        <w:tabs>
          <w:tab w:val="left" w:pos="360"/>
        </w:tabs>
        <w:spacing w:line="460" w:lineRule="exact"/>
        <w:ind w:firstLine="442" w:firstLineChars="20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rPr>
        <w:t xml:space="preserve">3.2磋商供应商的报价文件至少应包括以下内容： </w:t>
      </w:r>
    </w:p>
    <w:p>
      <w:pPr>
        <w:tabs>
          <w:tab w:val="left" w:pos="360"/>
        </w:tabs>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（1）磋商响应</w:t>
      </w:r>
      <w:r>
        <w:rPr>
          <w:rFonts w:hint="eastAsia" w:ascii="新宋体" w:hAnsi="新宋体" w:eastAsia="新宋体" w:cs="新宋体"/>
          <w:color w:val="auto"/>
          <w:sz w:val="22"/>
          <w:szCs w:val="22"/>
          <w:highlight w:val="none"/>
          <w:u w:val="none"/>
          <w:lang w:val="zh-CN"/>
        </w:rPr>
        <w:t>函</w:t>
      </w:r>
    </w:p>
    <w:p>
      <w:pPr>
        <w:tabs>
          <w:tab w:val="left" w:pos="360"/>
        </w:tabs>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（2）报价一览表</w:t>
      </w:r>
    </w:p>
    <w:p>
      <w:pPr>
        <w:tabs>
          <w:tab w:val="left" w:pos="360"/>
        </w:tabs>
        <w:spacing w:line="460" w:lineRule="exact"/>
        <w:ind w:firstLine="442" w:firstLineChars="2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3.3</w:t>
      </w:r>
      <w:r>
        <w:rPr>
          <w:rFonts w:hint="eastAsia" w:ascii="新宋体" w:hAnsi="新宋体" w:eastAsia="新宋体" w:cs="新宋体"/>
          <w:b/>
          <w:bCs/>
          <w:color w:val="auto"/>
          <w:kern w:val="0"/>
          <w:sz w:val="22"/>
          <w:szCs w:val="22"/>
          <w:highlight w:val="none"/>
          <w:lang w:val="zh-CN"/>
        </w:rPr>
        <w:t>磋商供应商的商务技术文件应包括以下内容：</w:t>
      </w:r>
      <w:r>
        <w:rPr>
          <w:rFonts w:hint="eastAsia" w:ascii="新宋体" w:hAnsi="新宋体" w:eastAsia="新宋体" w:cs="新宋体"/>
          <w:color w:val="auto"/>
          <w:kern w:val="0"/>
          <w:sz w:val="22"/>
          <w:szCs w:val="22"/>
          <w:highlight w:val="none"/>
          <w:lang w:val="zh-CN"/>
        </w:rPr>
        <w:t xml:space="preserve"> </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（1）法定代表人授权委托书（需提供法定代表人及授权委托人的身份证复印件加盖公章）；</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（2）磋商供应商情况表</w:t>
      </w:r>
    </w:p>
    <w:p>
      <w:pPr>
        <w:tabs>
          <w:tab w:val="left" w:pos="360"/>
        </w:tabs>
        <w:spacing w:line="460" w:lineRule="exact"/>
        <w:ind w:firstLine="440" w:firstLineChars="200"/>
        <w:rPr>
          <w:rFonts w:hint="eastAsia" w:ascii="新宋体" w:hAnsi="新宋体" w:eastAsia="新宋体" w:cs="新宋体"/>
          <w:b/>
          <w:bCs/>
          <w:color w:val="auto"/>
          <w:sz w:val="22"/>
          <w:szCs w:val="22"/>
          <w:highlight w:val="none"/>
          <w:u w:val="none" w:color="000000"/>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pPr>
        <w:snapToGrid w:val="0"/>
        <w:spacing w:line="460" w:lineRule="exact"/>
        <w:ind w:firstLine="440" w:firstLineChars="20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同类项目业绩</w:t>
      </w:r>
    </w:p>
    <w:p>
      <w:pPr>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投入本项目人员情况</w:t>
      </w:r>
    </w:p>
    <w:p>
      <w:pPr>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其他必要提供的资料</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
          <w:bCs/>
          <w:color w:val="auto"/>
          <w:sz w:val="22"/>
          <w:szCs w:val="22"/>
          <w:highlight w:val="none"/>
          <w:u w:val="single"/>
          <w:lang w:val="en-US" w:eastAsia="zh-CN"/>
        </w:rPr>
        <w:t>根据</w:t>
      </w:r>
      <w:r>
        <w:rPr>
          <w:rFonts w:hint="eastAsia" w:ascii="新宋体" w:hAnsi="新宋体" w:eastAsia="新宋体" w:cs="新宋体"/>
          <w:b/>
          <w:bCs/>
          <w:color w:val="auto"/>
          <w:sz w:val="22"/>
          <w:szCs w:val="22"/>
          <w:highlight w:val="none"/>
          <w:u w:val="single"/>
        </w:rPr>
        <w:t>评标标准</w:t>
      </w:r>
      <w:r>
        <w:rPr>
          <w:rFonts w:hint="eastAsia" w:ascii="新宋体" w:hAnsi="新宋体" w:eastAsia="新宋体" w:cs="新宋体"/>
          <w:b/>
          <w:bCs/>
          <w:color w:val="auto"/>
          <w:sz w:val="22"/>
          <w:szCs w:val="22"/>
          <w:highlight w:val="none"/>
          <w:u w:val="single"/>
          <w:lang w:val="en-US" w:eastAsia="zh-CN"/>
        </w:rPr>
        <w:t>自行提供</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t>
      </w:r>
    </w:p>
    <w:p>
      <w:pPr>
        <w:tabs>
          <w:tab w:val="left" w:pos="360"/>
        </w:tabs>
        <w:spacing w:line="460" w:lineRule="exact"/>
        <w:ind w:firstLine="440" w:firstLineChars="200"/>
        <w:rPr>
          <w:rFonts w:hint="eastAsia" w:ascii="新宋体" w:hAnsi="新宋体" w:eastAsia="新宋体" w:cs="新宋体"/>
          <w:color w:val="auto"/>
          <w:sz w:val="22"/>
          <w:szCs w:val="22"/>
          <w:highlight w:val="none"/>
          <w:u w:val="none" w:color="000000"/>
        </w:rPr>
      </w:pPr>
      <w:r>
        <w:rPr>
          <w:rFonts w:hint="eastAsia" w:ascii="新宋体" w:hAnsi="新宋体" w:eastAsia="新宋体" w:cs="新宋体"/>
          <w:color w:val="auto"/>
          <w:sz w:val="22"/>
          <w:szCs w:val="22"/>
          <w:highlight w:val="none"/>
          <w:u w:val="none" w:color="000000"/>
        </w:rPr>
        <w:t>资质文件（如有）、磋商供应商</w:t>
      </w:r>
      <w:r>
        <w:rPr>
          <w:rFonts w:hint="eastAsia" w:ascii="新宋体" w:hAnsi="新宋体" w:eastAsia="新宋体" w:cs="新宋体"/>
          <w:color w:val="auto"/>
          <w:sz w:val="22"/>
          <w:szCs w:val="22"/>
          <w:highlight w:val="none"/>
          <w:u w:val="none" w:color="000000"/>
          <w:lang w:val="en-US" w:eastAsia="zh-CN"/>
        </w:rPr>
        <w:t>认为</w:t>
      </w:r>
      <w:r>
        <w:rPr>
          <w:rFonts w:hint="eastAsia" w:ascii="新宋体" w:hAnsi="新宋体" w:eastAsia="新宋体" w:cs="新宋体"/>
          <w:color w:val="auto"/>
          <w:sz w:val="22"/>
          <w:szCs w:val="22"/>
          <w:highlight w:val="none"/>
        </w:rPr>
        <w:t>其他必要提供的资料</w:t>
      </w:r>
    </w:p>
    <w:p>
      <w:pPr>
        <w:tabs>
          <w:tab w:val="left" w:pos="360"/>
        </w:tabs>
        <w:spacing w:line="460" w:lineRule="exact"/>
        <w:ind w:firstLine="440" w:firstLineChars="200"/>
        <w:rPr>
          <w:rFonts w:hint="eastAsia" w:ascii="新宋体" w:hAnsi="新宋体" w:eastAsia="新宋体" w:cs="新宋体"/>
          <w:b w:val="0"/>
          <w:bCs/>
          <w:color w:val="auto"/>
          <w:sz w:val="22"/>
          <w:szCs w:val="22"/>
          <w:highlight w:val="none"/>
          <w:lang w:val="zh-CN"/>
        </w:rPr>
      </w:pPr>
      <w:r>
        <w:rPr>
          <w:rFonts w:hint="eastAsia" w:ascii="新宋体" w:hAnsi="新宋体" w:eastAsia="新宋体" w:cs="新宋体"/>
          <w:b w:val="0"/>
          <w:bCs/>
          <w:color w:val="auto"/>
          <w:sz w:val="22"/>
          <w:szCs w:val="22"/>
          <w:highlight w:val="none"/>
          <w:lang w:val="zh-CN"/>
        </w:rPr>
        <w:t>磋商响应文件中所需的各种证书、证件、证明资料如是复印件，须在复印件上加盖有效公章。</w:t>
      </w:r>
    </w:p>
    <w:p>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lang w:val="zh-CN"/>
        </w:rPr>
        <w:t>磋商供应商的</w:t>
      </w:r>
      <w:r>
        <w:rPr>
          <w:rFonts w:hint="eastAsia" w:ascii="新宋体" w:hAnsi="新宋体" w:eastAsia="新宋体" w:cs="新宋体"/>
          <w:b w:val="0"/>
          <w:bCs/>
          <w:color w:val="auto"/>
          <w:sz w:val="22"/>
          <w:szCs w:val="22"/>
          <w:highlight w:val="none"/>
        </w:rPr>
        <w:t>磋商响应文件必须按照磋商文件要求制作。</w:t>
      </w:r>
    </w:p>
    <w:p>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4、报价</w:t>
      </w:r>
    </w:p>
    <w:p>
      <w:pPr>
        <w:tabs>
          <w:tab w:val="left" w:pos="360"/>
        </w:tabs>
        <w:spacing w:line="460" w:lineRule="exact"/>
        <w:ind w:firstLine="442" w:firstLineChars="200"/>
        <w:rPr>
          <w:rFonts w:hint="eastAsia" w:ascii="新宋体" w:hAnsi="新宋体" w:eastAsia="新宋体" w:cs="新宋体"/>
          <w:b w:val="0"/>
          <w:bCs/>
          <w:color w:val="auto"/>
          <w:highlight w:val="none"/>
          <w:u w:val="single"/>
        </w:rPr>
      </w:pPr>
      <w:r>
        <w:rPr>
          <w:rFonts w:hint="eastAsia" w:ascii="新宋体" w:hAnsi="新宋体" w:eastAsia="新宋体" w:cs="新宋体"/>
          <w:b/>
          <w:bCs w:val="0"/>
          <w:color w:val="auto"/>
          <w:sz w:val="22"/>
          <w:highlight w:val="none"/>
        </w:rPr>
        <w:t>4.1报价是指</w:t>
      </w:r>
      <w:r>
        <w:rPr>
          <w:rFonts w:hint="eastAsia" w:ascii="新宋体" w:hAnsi="新宋体" w:eastAsia="新宋体" w:cs="新宋体"/>
          <w:b/>
          <w:bCs w:val="0"/>
          <w:color w:val="auto"/>
          <w:sz w:val="22"/>
          <w:szCs w:val="22"/>
          <w:highlight w:val="none"/>
        </w:rPr>
        <w:t>完成本</w:t>
      </w:r>
      <w:r>
        <w:rPr>
          <w:rFonts w:hint="eastAsia" w:ascii="新宋体" w:hAnsi="新宋体" w:eastAsia="新宋体" w:cs="新宋体"/>
          <w:b/>
          <w:color w:val="auto"/>
          <w:sz w:val="22"/>
          <w:szCs w:val="22"/>
          <w:highlight w:val="none"/>
        </w:rPr>
        <w:t>项目</w:t>
      </w:r>
      <w:r>
        <w:rPr>
          <w:rFonts w:hint="eastAsia" w:ascii="新宋体" w:hAnsi="新宋体" w:eastAsia="新宋体" w:cs="新宋体"/>
          <w:b/>
          <w:color w:val="auto"/>
          <w:sz w:val="22"/>
          <w:highlight w:val="none"/>
        </w:rPr>
        <w:t>所提供相关服务所需的一切人员工资、奖金、各种加班费、高温补贴费、各种社会保险、食宿与交通、设备及工具、器材、消耗材料、管理费用、税费、利润、完成合同所需的一切本身和不可或缺的所有工作开支、政策性文件规定及合同包含的所有风险、责任等各项全部费用并承担一切风险责任。在合同服务期间内不得违反国家相关政策规定</w:t>
      </w:r>
      <w:r>
        <w:rPr>
          <w:rFonts w:hint="eastAsia" w:ascii="新宋体" w:hAnsi="新宋体" w:eastAsia="新宋体" w:cs="新宋体"/>
          <w:color w:val="auto"/>
          <w:sz w:val="22"/>
          <w:highlight w:val="none"/>
        </w:rPr>
        <w:t>，</w:t>
      </w:r>
      <w:r>
        <w:rPr>
          <w:rFonts w:hint="eastAsia" w:ascii="新宋体" w:hAnsi="新宋体" w:eastAsia="新宋体" w:cs="新宋体"/>
          <w:b/>
          <w:bCs/>
          <w:color w:val="auto"/>
          <w:sz w:val="22"/>
          <w:highlight w:val="none"/>
        </w:rPr>
        <w:t>磋商供应商应根据上述因素自行考虑含入磋商报价。</w:t>
      </w:r>
    </w:p>
    <w:p>
      <w:pPr>
        <w:tabs>
          <w:tab w:val="left" w:pos="360"/>
        </w:tabs>
        <w:spacing w:line="460" w:lineRule="exact"/>
        <w:ind w:firstLine="440" w:firstLineChars="200"/>
        <w:rPr>
          <w:rFonts w:hint="eastAsia" w:ascii="新宋体" w:hAnsi="新宋体" w:eastAsia="新宋体" w:cs="新宋体"/>
          <w:b w:val="0"/>
          <w:bCs w:val="0"/>
          <w:color w:val="auto"/>
          <w:sz w:val="22"/>
          <w:highlight w:val="none"/>
        </w:rPr>
      </w:pPr>
      <w:r>
        <w:rPr>
          <w:rFonts w:hint="eastAsia" w:ascii="新宋体" w:hAnsi="新宋体" w:eastAsia="新宋体" w:cs="新宋体"/>
          <w:b w:val="0"/>
          <w:bCs w:val="0"/>
          <w:color w:val="auto"/>
          <w:sz w:val="22"/>
          <w:highlight w:val="none"/>
        </w:rPr>
        <w:t>4.2磋商供应商必须按附件中的报价一览表（均统一格式）内容填写价格，并由磋商供应商代表签署。</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4.3</w:t>
      </w:r>
      <w:r>
        <w:rPr>
          <w:rFonts w:hint="eastAsia" w:ascii="新宋体" w:hAnsi="新宋体" w:eastAsia="新宋体" w:cs="新宋体"/>
          <w:b w:val="0"/>
          <w:bCs w:val="0"/>
          <w:color w:val="auto"/>
          <w:sz w:val="22"/>
          <w:highlight w:val="none"/>
        </w:rPr>
        <w:t>报价货币以人民币进行报价</w:t>
      </w:r>
      <w:r>
        <w:rPr>
          <w:rFonts w:hint="eastAsia" w:ascii="新宋体" w:hAnsi="新宋体" w:eastAsia="新宋体" w:cs="新宋体"/>
          <w:b w:val="0"/>
          <w:bCs w:val="0"/>
          <w:color w:val="auto"/>
          <w:sz w:val="22"/>
          <w:szCs w:val="22"/>
          <w:highlight w:val="none"/>
        </w:rPr>
        <w:t>。</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4.4</w:t>
      </w:r>
      <w:r>
        <w:rPr>
          <w:rFonts w:hint="eastAsia" w:ascii="新宋体" w:hAnsi="新宋体" w:eastAsia="新宋体" w:cs="新宋体"/>
          <w:b w:val="0"/>
          <w:bCs w:val="0"/>
          <w:color w:val="auto"/>
          <w:sz w:val="22"/>
          <w:highlight w:val="none"/>
        </w:rPr>
        <w:t>采购人和采购代理机构不接受任何选择报价，对任何服务</w:t>
      </w:r>
      <w:r>
        <w:rPr>
          <w:rFonts w:hint="eastAsia" w:ascii="新宋体" w:hAnsi="新宋体" w:eastAsia="新宋体" w:cs="新宋体"/>
          <w:b w:val="0"/>
          <w:bCs w:val="0"/>
          <w:color w:val="auto"/>
          <w:sz w:val="22"/>
          <w:highlight w:val="none"/>
          <w:lang w:val="en-US" w:eastAsia="zh-CN"/>
        </w:rPr>
        <w:t>或货物</w:t>
      </w:r>
      <w:r>
        <w:rPr>
          <w:rFonts w:hint="eastAsia" w:ascii="新宋体" w:hAnsi="新宋体" w:eastAsia="新宋体" w:cs="新宋体"/>
          <w:b w:val="0"/>
          <w:bCs w:val="0"/>
          <w:color w:val="auto"/>
          <w:sz w:val="22"/>
          <w:highlight w:val="none"/>
        </w:rPr>
        <w:t>只允许一个价格。</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4.5采购人和</w:t>
      </w:r>
      <w:r>
        <w:rPr>
          <w:rFonts w:hint="eastAsia" w:ascii="新宋体" w:hAnsi="新宋体" w:eastAsia="新宋体" w:cs="新宋体"/>
          <w:b w:val="0"/>
          <w:bCs w:val="0"/>
          <w:color w:val="auto"/>
          <w:sz w:val="22"/>
          <w:highlight w:val="none"/>
        </w:rPr>
        <w:t>采购代理机构</w:t>
      </w:r>
      <w:r>
        <w:rPr>
          <w:rFonts w:hint="eastAsia" w:ascii="新宋体" w:hAnsi="新宋体" w:eastAsia="新宋体" w:cs="新宋体"/>
          <w:b w:val="0"/>
          <w:bCs w:val="0"/>
          <w:color w:val="auto"/>
          <w:sz w:val="22"/>
          <w:szCs w:val="22"/>
          <w:highlight w:val="none"/>
        </w:rPr>
        <w:t>要求分类报价是为了方便评审，但在任何情况下不限制采购人以其认为最合适的条款、条件签订合同的权利。</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4.6磋商报价报出后，磋商供应商不得以任何理由予以变更。任何包含价格调整的要求，将被认为是非实质性响应磋商而予以否决。</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4.7最低报价不能作为成交的保证。</w:t>
      </w:r>
    </w:p>
    <w:p>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5、磋商有效期</w:t>
      </w:r>
    </w:p>
    <w:p>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5.1自磋商之日起</w:t>
      </w:r>
      <w:r>
        <w:rPr>
          <w:rFonts w:hint="eastAsia" w:ascii="新宋体" w:hAnsi="新宋体" w:eastAsia="新宋体" w:cs="新宋体"/>
          <w:b/>
          <w:bCs/>
          <w:color w:val="auto"/>
          <w:sz w:val="22"/>
          <w:szCs w:val="22"/>
          <w:highlight w:val="none"/>
        </w:rPr>
        <w:t>120</w:t>
      </w:r>
      <w:r>
        <w:rPr>
          <w:rFonts w:hint="eastAsia" w:ascii="新宋体" w:hAnsi="新宋体" w:eastAsia="新宋体" w:cs="新宋体"/>
          <w:b/>
          <w:color w:val="auto"/>
          <w:sz w:val="22"/>
          <w:szCs w:val="22"/>
          <w:highlight w:val="none"/>
        </w:rPr>
        <w:t>天内磋商应保持有效。</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磋商有效期截止前，采购人、采购代理机构可与磋商供应商协商延长磋商有效期，这种要求和答复均以书面形式进行。磋商供应商可拒绝接受延期要求。同意延长磋商有效期的磋商供应商不得修改磋商文件。</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6、磋商保证金</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无。</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7、磋商响应文件编制</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7.1本项目通过“政府采购云平台（http://zfcg.czt.zj.gov.cn）”实行在线磋商响应（电子评审）。供应商应通过“政采云电子交易客户端”，并按照本磋商文件和“政府采购云平台”的要求编制并加密磋商响应文件。</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7.2磋商供应商应当按照本章节 “磋商响应文件的构成”规定的内容及顺序在“政采云电子交易客户端”编制磋商响应文件。</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7.3本文件《第三部分  附件》中有提供格式的，磋商供应商须参照格式进行编制（格式中要求提供相关证明材料的还需后附相关证明材料），并按格式要求在指定位置根据要求进行签章，否则视为未提供；本文件《第三部分  附件》未提供格式的，请各磋商供应商自行拟定格式，并加盖单位公章并由法定代表人或其授权代表签署（签字或盖章），否则视为未提供。</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7.4《磋商响应文件》内容不完整、编排混乱导致《磋商响应文件》被误读、漏读或者查找不到相关内容的，磋商供应商自行负责。</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7.5《磋商响应文件》因字迹潦草或表达不清所引起的后果由磋商供应商负责。</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7.6磋商供应商没有按照本章节 “磋商响应文件的构成”要求提供全部资料，或者没有仔细阅读磋商文件，或者没有对磋商文件在各方面的要求作出实质性响应是磋商供应商的风险，由此造成的一切后果由磋商供应商自行承担。</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8、磋商响应文件的签章</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8.1《磋商响应文件》的签章：见《前附表》；</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8.2《磋商响应文件》应由磋商供应商法定代表人或其授权代表签字（或盖章），并加盖磋商供应商公章。</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8.3电子签章操作指南详见采购公告附件《供应商项目采购-电子招投标操作指南》。</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9、磋商响应文件的形式</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9.1磋商响应文件的形式：见《前附表》；</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9.2“电子加密磋商响应文件”：“电子加密磋商响应文件”是指通过“政采云电子交易客户端”完成磋商响应文件编制后生成并加密的数据电文形式的磋商响应文件。</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9.3“备份磋商响应文件”：“备份磋商响应文件”是指与“电子加密磋商响应文件”同时生成的数据电文形式的电子文件（备份标书），其他方式编制的“备份磋商响应文件”视为无效的“备份磋商响应文件”。</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10、磋商响应文件的份数</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10.1磋商响应文件的份数：见《前附表》。</w:t>
      </w:r>
    </w:p>
    <w:p>
      <w:pPr>
        <w:spacing w:before="100" w:beforeAutospacing="1" w:after="100" w:afterAutospacing="1" w:line="440" w:lineRule="exact"/>
        <w:jc w:val="center"/>
        <w:outlineLvl w:val="1"/>
        <w:rPr>
          <w:rFonts w:hint="eastAsia" w:ascii="新宋体" w:hAnsi="新宋体" w:eastAsia="新宋体" w:cs="新宋体"/>
          <w:b/>
          <w:bCs/>
          <w:color w:val="auto"/>
          <w:sz w:val="22"/>
          <w:szCs w:val="22"/>
          <w:highlight w:val="none"/>
        </w:rPr>
      </w:pPr>
      <w:bookmarkStart w:id="10" w:name="_Toc16443"/>
      <w:r>
        <w:rPr>
          <w:rFonts w:hint="eastAsia" w:ascii="新宋体" w:hAnsi="新宋体" w:eastAsia="新宋体" w:cs="新宋体"/>
          <w:b/>
          <w:bCs/>
          <w:color w:val="auto"/>
          <w:sz w:val="22"/>
          <w:szCs w:val="22"/>
          <w:highlight w:val="none"/>
        </w:rPr>
        <w:t>四、 磋商响应文件的递交</w:t>
      </w:r>
      <w:bookmarkEnd w:id="10"/>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1、磋商响应文件的上传和递交</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1.1“磋商响应文件”的上传、递交：见《前附表》。</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2、“电子加密磋商响应文件”解密和异常情况处理</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2.1“电子加密磋商响应文件”解密：见《前附表》。</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3、磋商响应文件的补充、修改或撤回</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供应商应当在磋商响应文件递交截止时间前完成磋商响应文件的上传、递交，并可以补充、修改或者撤回磋商响应文件。补充或者修改磋商响应文件的，应当先行撤回原文件，补充、修改后重新上传、递交。磋商响应文件递交截止时间前未完成上传、递交的，视为撤回磋商响应文件。磋商响应文件递交截止时间后递交的磋商响应文件，“政府采购云平台”将予以拒收。</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3.2磋商响应文件递交截止时间后，磋商供应商不得撤回、修改《磋商响应文件》。</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4、磋商响应文件的备选方案</w:t>
      </w:r>
    </w:p>
    <w:p>
      <w:pPr>
        <w:tabs>
          <w:tab w:val="left" w:pos="360"/>
        </w:tabs>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4.1磋商供应商不得递交任何的磋商备选（替代）方案，否则其磋商响应文件将作无效标处理。与“电子加密磋商响应文件”同时生成的“备份磋商响应文件”不是磋商备选（替代）方案。</w:t>
      </w:r>
    </w:p>
    <w:p>
      <w:pPr>
        <w:spacing w:before="100" w:beforeAutospacing="1" w:after="100" w:afterAutospacing="1" w:line="460" w:lineRule="exact"/>
        <w:jc w:val="center"/>
        <w:outlineLvl w:val="1"/>
        <w:rPr>
          <w:rFonts w:hint="eastAsia" w:ascii="新宋体" w:hAnsi="新宋体" w:eastAsia="新宋体" w:cs="新宋体"/>
          <w:b/>
          <w:bCs/>
          <w:color w:val="auto"/>
          <w:sz w:val="22"/>
          <w:szCs w:val="22"/>
          <w:highlight w:val="none"/>
        </w:rPr>
      </w:pPr>
      <w:bookmarkStart w:id="11" w:name="_Toc24002"/>
      <w:r>
        <w:rPr>
          <w:rFonts w:hint="eastAsia" w:ascii="新宋体" w:hAnsi="新宋体" w:eastAsia="新宋体" w:cs="新宋体"/>
          <w:b/>
          <w:bCs/>
          <w:color w:val="auto"/>
          <w:sz w:val="22"/>
          <w:szCs w:val="22"/>
          <w:highlight w:val="none"/>
        </w:rPr>
        <w:t>五、 磋商和评审</w:t>
      </w:r>
      <w:bookmarkEnd w:id="11"/>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1、磋商小组</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采购人和采购代理机构组建磋商小组。磋商小组的成员在评审过程中必须严格遵守《政府采购法》等有关法律、法规的规定。</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2、评审过程的保密性</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开标后直至向成交供应商授予合同时止，凡与评审有关的资料均不得向磋商供应商及与评审无关人员透露。如果磋商供应商在评审过程中试图向采购人和采购代理机构施加影响，其磋商响应文件将被拒绝。</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3、开标形式</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rPr>
        <w:t>采购</w:t>
      </w:r>
      <w:r>
        <w:rPr>
          <w:rFonts w:hint="eastAsia" w:ascii="新宋体" w:hAnsi="新宋体" w:eastAsia="新宋体" w:cs="新宋体"/>
          <w:b w:val="0"/>
          <w:bCs w:val="0"/>
          <w:color w:val="auto"/>
          <w:sz w:val="22"/>
          <w:szCs w:val="22"/>
          <w:highlight w:val="none"/>
        </w:rPr>
        <w:t>组织机构将按照磋商文件规定的时间通过“政府采购云平台”组织开标、开启磋商响应文件，所有供应商均应当准时</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在线</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参加。</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4、开标准备</w:t>
      </w:r>
    </w:p>
    <w:p>
      <w:pPr>
        <w:tabs>
          <w:tab w:val="left" w:pos="360"/>
        </w:tabs>
        <w:spacing w:line="460" w:lineRule="exact"/>
        <w:ind w:firstLine="440" w:firstLineChars="200"/>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4.1开标的准备工作由采购组织机构负责落实；</w:t>
      </w:r>
    </w:p>
    <w:p>
      <w:pPr>
        <w:tabs>
          <w:tab w:val="left" w:pos="360"/>
        </w:tabs>
        <w:spacing w:line="460" w:lineRule="exact"/>
        <w:ind w:firstLine="440" w:firstLineChars="200"/>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4.2</w:t>
      </w:r>
      <w:r>
        <w:rPr>
          <w:rFonts w:hint="eastAsia" w:ascii="新宋体" w:hAnsi="新宋体" w:eastAsia="新宋体" w:cs="新宋体"/>
          <w:b w:val="0"/>
          <w:bCs w:val="0"/>
          <w:color w:val="auto"/>
          <w:sz w:val="22"/>
          <w:szCs w:val="22"/>
          <w:highlight w:val="none"/>
        </w:rPr>
        <w:t>采购组织机构将按照磋商文件规定的时间通过“政府采购云平台”组织开标、开启磋商响应文件，所有供应商均应当准时</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在线</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参加。</w:t>
      </w:r>
      <w:r>
        <w:rPr>
          <w:rFonts w:hint="eastAsia" w:ascii="新宋体" w:hAnsi="新宋体" w:eastAsia="新宋体" w:cs="新宋体"/>
          <w:b w:val="0"/>
          <w:bCs w:val="0"/>
          <w:color w:val="auto"/>
          <w:kern w:val="0"/>
          <w:sz w:val="22"/>
          <w:szCs w:val="22"/>
          <w:highlight w:val="none"/>
        </w:rPr>
        <w:t>磋商供应商如不参加开标大会的，视同认可开标结果，事后不得对采购相关人员、开标过程和开标结果提出异议，同时磋商供应商因未在线参加开标而导致磋商响应文件无法按时解密等一切后果由供应商自己承担。</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5、开标流程</w:t>
      </w:r>
    </w:p>
    <w:p>
      <w:pPr>
        <w:tabs>
          <w:tab w:val="left" w:pos="360"/>
        </w:tabs>
        <w:spacing w:line="460" w:lineRule="exact"/>
        <w:ind w:firstLine="440" w:firstLineChars="200"/>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5.1开标、评审</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kern w:val="0"/>
          <w:sz w:val="22"/>
          <w:szCs w:val="22"/>
          <w:highlight w:val="none"/>
        </w:rPr>
        <w:t>（1）向各磋商供应商发出电子加密磋商响应文件【开始解密】通知，由供应商按磋商文件规定的时间内自行进行磋商响应文件解密。磋商供应商在规定的时间内无法完成已递交的“电子加密磋商响应文件”解密的，如已按规 定递交了备份磋商响应文件的，将由采购组织机构按“政府采购云平台”操作规范将备份磋商响应文件上传至“政府采购云平台”，上传成功后，“电子加密磋商响应文件”自动失效；</w:t>
      </w:r>
    </w:p>
    <w:p>
      <w:pPr>
        <w:tabs>
          <w:tab w:val="left" w:pos="360"/>
        </w:tabs>
        <w:spacing w:line="460" w:lineRule="exact"/>
        <w:ind w:firstLine="440" w:firstLineChars="200"/>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（2）解密成功后，开启磋商供应商的《磋商响应文件》，由供应商对自己《磋商响应文件》相关内容进行签字确认（不予确认的应说明理由，否则视为无异议）。</w:t>
      </w:r>
    </w:p>
    <w:p>
      <w:pPr>
        <w:tabs>
          <w:tab w:val="left" w:pos="360"/>
        </w:tabs>
        <w:spacing w:line="460" w:lineRule="exact"/>
        <w:ind w:firstLine="440" w:firstLineChars="200"/>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（3）进入资格审查</w:t>
      </w:r>
      <w:r>
        <w:rPr>
          <w:rFonts w:hint="eastAsia" w:ascii="新宋体" w:hAnsi="新宋体" w:eastAsia="新宋体" w:cs="新宋体"/>
          <w:b w:val="0"/>
          <w:bCs w:val="0"/>
          <w:color w:val="auto"/>
          <w:sz w:val="22"/>
          <w:szCs w:val="22"/>
          <w:highlight w:val="none"/>
        </w:rPr>
        <w:t>。</w:t>
      </w:r>
    </w:p>
    <w:p>
      <w:pPr>
        <w:tabs>
          <w:tab w:val="left" w:pos="360"/>
        </w:tabs>
        <w:spacing w:line="460" w:lineRule="exact"/>
        <w:ind w:firstLine="440" w:firstLineChars="200"/>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备注：开标大会的结束后，采购人或采购代理机构将对依法对磋商供应商的资格进行审查，资格审查结束后进入符合性审查和商务技术的评审工作，具体见本章节“磋商供应商资格审查”相关规定。</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kern w:val="0"/>
          <w:sz w:val="22"/>
          <w:szCs w:val="22"/>
          <w:highlight w:val="none"/>
        </w:rPr>
        <w:t>（4）</w:t>
      </w:r>
      <w:r>
        <w:rPr>
          <w:rFonts w:hint="eastAsia" w:ascii="新宋体" w:hAnsi="新宋体" w:eastAsia="新宋体" w:cs="新宋体"/>
          <w:b w:val="0"/>
          <w:bCs w:val="0"/>
          <w:color w:val="auto"/>
          <w:sz w:val="22"/>
          <w:szCs w:val="22"/>
          <w:highlight w:val="none"/>
        </w:rPr>
        <w:t xml:space="preserve"> 竞争性磋商</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1）磋商小组所有成员根据磋商文件规定的程序、评定成交标准等事项与实质性响应磋商文件要求的供应商进行磋商。</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2）磋商小组将遵循公平、公正的原则，采用相同的程序和标准，如有必要，所有成员按顺序与单一供应商分别进行单独封闭式磋商，并给予所有参加磋商的供应商平等的磋商机会。磋商主要针对磋商供应商提供服务的价格、技术性能、质量水平和保证措施、服务实施方案、人员培训计划、履约能力、付款方式等方面进行磋商和综合分析考评。</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3）在磋商过程中，磋商的任何一方都不得透露与磋商有关的其他供应商的技术资料、价格和其他信息。</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4）在磋商过程中，磋商小组可以根据磋商文件和响应情况实质性变动采购需求中的技术、服务要求以及合同草案条款，但不得变动磋商文件的其他内容。实质性变动的内容，须经采购人代表确认。</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5）对磋商文件作出的实质性变动是磋商文件的有效组成部分，磋商小组应及时以书面形式通知所有参加磋商的供应商。</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6）磋商供应商在磋商过程中所作出的各种承诺都必须用书面形式</w:t>
      </w:r>
      <w:r>
        <w:rPr>
          <w:rFonts w:hint="eastAsia" w:ascii="新宋体" w:hAnsi="新宋体" w:eastAsia="新宋体" w:cs="新宋体"/>
          <w:b w:val="0"/>
          <w:bCs w:val="0"/>
          <w:color w:val="auto"/>
          <w:sz w:val="22"/>
          <w:szCs w:val="22"/>
          <w:highlight w:val="none"/>
          <w:u w:val="single"/>
        </w:rPr>
        <w:t>（或经电子签章的政采云平台上传文件，下同）</w:t>
      </w:r>
      <w:r>
        <w:rPr>
          <w:rFonts w:hint="eastAsia" w:ascii="新宋体" w:hAnsi="新宋体" w:eastAsia="新宋体" w:cs="新宋体"/>
          <w:b w:val="0"/>
          <w:bCs w:val="0"/>
          <w:color w:val="auto"/>
          <w:sz w:val="22"/>
          <w:szCs w:val="22"/>
          <w:highlight w:val="none"/>
        </w:rPr>
        <w:t>，并由磋商供应商代表签字。磋商轮次最多不超过3轮。</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（5）最后报价</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1）磋商文件能够详细列明采购标的的技术、服务要求的，磋商结束后，磋商小组应当要求所有实质性响应的供应商在规定时间内提交最后报价。</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2）磋商文件不能详细列明采购标的的技术、服务要求，需经磋商由供应商提供最终设计方案或解决方案的，磋商结束后，磋商小组应当按照少数服从多数的原则投票推荐供应商的设计方案或者解决方案，并要求其在规定时间内提交最后报价。</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3）已提交磋商响应文件的供应商，在提交最后报价之前，可以根据磋商情况退出磋商。</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4）原则上最后报价不得高于一次报价（磋商小组另有决议的除外）</w:t>
      </w:r>
      <w:r>
        <w:rPr>
          <w:rFonts w:hint="eastAsia" w:ascii="新宋体" w:hAnsi="新宋体" w:eastAsia="新宋体" w:cs="新宋体"/>
          <w:b w:val="0"/>
          <w:bCs w:val="0"/>
          <w:color w:val="auto"/>
          <w:sz w:val="22"/>
          <w:szCs w:val="22"/>
          <w:highlight w:val="none"/>
          <w:lang w:eastAsia="zh-CN"/>
        </w:rPr>
        <w:t>。</w:t>
      </w:r>
    </w:p>
    <w:p>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5）磋商最终轮报价后，分部分项价格按首次报价与最终报价的下浮比例同比例进行调整。</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（6）综合评分</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1）经磋商确定最终采购需求和提交最后报价的供应商后，由磋商小组采用综合评分法对提交最后报价的供应商的磋商响应文件和最后报价进行综合评分。</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2）综合评分法，是指磋商响应文件满足磋商文件全部实质性要求且按评审因素的量化指标评审得分最高的供应商为成交候选供应商的评审方法。</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3）综合评分法评审标准中的分值设置应当与评审因素的量化指标相对应。磋商文件中没有规定的评审标准不得作为评审依据。</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4）评审时，磋商小组各成员应当独立对每个有效响应的文件进行评价、打分，然后汇总每个供应商每项评分因素的得分。</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（7）宣布评分结果以及最终报价</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宣布评分结果以及最终报价在政采云电子招投标开标及评审程序中进行。</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bookmarkStart w:id="12" w:name="_Toc24550037"/>
      <w:bookmarkStart w:id="13" w:name="_Toc33194393"/>
      <w:r>
        <w:rPr>
          <w:rFonts w:hint="eastAsia" w:ascii="新宋体" w:hAnsi="新宋体" w:eastAsia="新宋体" w:cs="新宋体"/>
          <w:b w:val="0"/>
          <w:bCs w:val="0"/>
          <w:color w:val="auto"/>
          <w:sz w:val="22"/>
          <w:szCs w:val="22"/>
          <w:highlight w:val="none"/>
        </w:rPr>
        <w:t>6、磋商供应商资格审查</w:t>
      </w:r>
      <w:bookmarkEnd w:id="12"/>
      <w:bookmarkEnd w:id="13"/>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开标大会结束后，采购人或采购代理机构首先依法对各磋商供应商的资格进行审查，审查各磋商供应商的资格是否满足磋商文件的要求。采购人或采购代理机构对磋商供应商所提交的资格证明材料仅负审核的责任。如发现磋商供应商所提交的资格证明材料不合法或与事实不符，采购人可取消其成交资格并追究磋商供应商的法律责任。</w:t>
      </w:r>
    </w:p>
    <w:p>
      <w:pPr>
        <w:tabs>
          <w:tab w:val="left" w:pos="360"/>
        </w:tabs>
        <w:spacing w:line="460" w:lineRule="exact"/>
        <w:ind w:firstLine="440" w:firstLineChars="200"/>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sz w:val="22"/>
          <w:szCs w:val="22"/>
          <w:highlight w:val="none"/>
        </w:rPr>
        <w:t>（2）磋商供应商提交的资格证明材料无法证明其符合磋商文件规定的“磋商供应商资格要求”的，采购人或采购代理机构</w:t>
      </w:r>
      <w:r>
        <w:rPr>
          <w:rFonts w:hint="eastAsia" w:ascii="新宋体" w:hAnsi="新宋体" w:eastAsia="新宋体" w:cs="新宋体"/>
          <w:b w:val="0"/>
          <w:bCs w:val="0"/>
          <w:color w:val="auto"/>
          <w:kern w:val="0"/>
          <w:sz w:val="22"/>
          <w:szCs w:val="22"/>
          <w:highlight w:val="none"/>
        </w:rPr>
        <w:t>将对其作资格审查不通过处理（无效磋商），并不再将其磋商响应文件提交磋商小组进行后续评审。</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（3）</w:t>
      </w:r>
      <w:r>
        <w:rPr>
          <w:rFonts w:hint="eastAsia" w:ascii="新宋体" w:hAnsi="新宋体" w:eastAsia="新宋体" w:cs="新宋体"/>
          <w:b w:val="0"/>
          <w:bCs w:val="0"/>
          <w:color w:val="auto"/>
          <w:kern w:val="0"/>
          <w:sz w:val="22"/>
          <w:szCs w:val="22"/>
          <w:highlight w:val="none"/>
        </w:rPr>
        <w:t>单位负责人为同一人或者存在直接控股、管理关系的不同供应商参加同一合同项下的政府采购活动的，相关磋商供应商均作资格无效处理。</w:t>
      </w:r>
    </w:p>
    <w:p>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7、磋商小组按照磋商文件中规定的评审方法和标准，对磋商响应文件进行商务和技术评估，综合比较与评价。</w:t>
      </w:r>
    </w:p>
    <w:p>
      <w:pPr>
        <w:tabs>
          <w:tab w:val="left" w:pos="360"/>
        </w:tabs>
        <w:spacing w:line="460" w:lineRule="exact"/>
        <w:ind w:firstLine="442" w:firstLineChars="20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8、磋商供应商存在下列情况之一的，磋商无效：</w:t>
      </w:r>
    </w:p>
    <w:p>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（1）磋商响应文件未按磋商文件要求签署、盖章的；</w:t>
      </w:r>
    </w:p>
    <w:p>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（2）不具备磋商文件中规定的资格要求的； </w:t>
      </w:r>
    </w:p>
    <w:p>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（3）明显不符合磋商文件中主要技术规格、技术标准的；</w:t>
      </w:r>
    </w:p>
    <w:p>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（4）磋商响应文件内容不全或关键字迹模糊无法辨认的；</w:t>
      </w:r>
    </w:p>
    <w:p>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（5）磋商供应商代表没有法定代表人合法、有效委托的；</w:t>
      </w:r>
    </w:p>
    <w:p>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（6）报价超过磋商文件中规定的预算金额或者最高限价的；</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（7）磋商响应文件存在一个或一个以上备选（替代）磋商方案的；</w:t>
      </w:r>
    </w:p>
    <w:p>
      <w:pPr>
        <w:tabs>
          <w:tab w:val="left" w:pos="360"/>
        </w:tabs>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（8）仅提交“备份磋商响应文件”的；</w:t>
      </w:r>
    </w:p>
    <w:p>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（9）磋商响应文件含有采购人不能接受的附加条件的；</w:t>
      </w:r>
    </w:p>
    <w:p>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（10）法律、法规和磋商文件规定的其他无效情形。</w:t>
      </w:r>
    </w:p>
    <w:p>
      <w:pPr>
        <w:tabs>
          <w:tab w:val="left" w:pos="360"/>
        </w:tabs>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9、有下列情形之一的，视为磋商供应商串通磋商，其磋商无效</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（1）不同磋商供应商的磋商响应文件由同一单位或者个人编制；</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（2）不同磋商供应商委托同一单位或者个人办理磋商事宜；</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（3）不同磋商供应商的磋商响应文件载明的项目管理成员或者联系人员为同一人；</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（4）不同磋商供应商的磋商响应文件异常一致或者报价呈规律性差异；</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（5）不同磋商供应商的磋商响应文件相互混装。</w:t>
      </w:r>
    </w:p>
    <w:p>
      <w:pPr>
        <w:tabs>
          <w:tab w:val="left" w:pos="360"/>
        </w:tabs>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10、磋商响应文件报价出现前后不一致的，按照下列规定修正：</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（1）磋商响应文件中开标一览表（报价表）内容与磋商响应文件中相应内容不一致的，以开标一览表（报价表）为准；</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同时出现两种以上不一致的，按照前款规定的顺序修正。修正后的报价按照本小节第12条第12.2款的规定经磋商供应商确认后产生约束力，磋商供应商不确认的，其磋商响应文件无效。</w:t>
      </w:r>
    </w:p>
    <w:p>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11、磋商小组对需要共同认定的事项存在争议的，应当按照少数服从多数的原则作出结论。持不同意见的磋商小组成员应当在评审报告上签署不同意见及理由，否则视为同意评审报告。</w:t>
      </w:r>
    </w:p>
    <w:p>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12、磋商响应文件的澄清</w:t>
      </w:r>
    </w:p>
    <w:p>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12.1在评审期间，磋商小组可要求磋商供应商对于磋商响应文件中含义不明确、同类问题表述不一致或者有明显文字和计算错误的内容，磋商小组应当以书面形式（或通过“政府采购云平台”在线询标）要求磋商供应商在规定的时间内作出必要的澄清、说明或者补正。磋商供应商澄清、说明或补正时间为30分钟。</w:t>
      </w:r>
    </w:p>
    <w:p>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磋商供应商的澄清、说明或者补正应当采用书面形式（或通过“政府采购云平台”在线答复），并加盖公章，或者由法定代表人或其授权的代表签字。磋商供应商的澄清、说明或者补正不得超出磋商响应文件的范围或者改变磋商响应文件的实质性内容。</w:t>
      </w:r>
    </w:p>
    <w:p>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拒不按要求对其磋商响应文件进行澄清，说明或补正的磋商供应商，磋商小组可以否决其磋商。</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12.2经澄清后，若偏差仍存在，且不可接受，磋商供应商则被认为是“没有实质性响应磋商文件要求”，其磋商响应文件将被拒绝。</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13.1评审结果汇总完成后，除下列情形外，任何人不得修改评审结果：</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（3）磋商小组成员对客观评审因素评分不一致的；</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（4）经磋商小组认定评分畸高、畸低的。</w:t>
      </w:r>
    </w:p>
    <w:p>
      <w:pPr>
        <w:tabs>
          <w:tab w:val="left" w:pos="360"/>
        </w:tabs>
        <w:spacing w:line="460" w:lineRule="exact"/>
        <w:ind w:firstLine="440" w:firstLineChars="200"/>
        <w:rPr>
          <w:rFonts w:hint="eastAsia" w:ascii="新宋体" w:hAnsi="新宋体" w:eastAsia="新宋体" w:cs="新宋体"/>
          <w:b w:val="0"/>
          <w:bCs/>
          <w:color w:val="auto"/>
          <w:highlight w:val="none"/>
        </w:rPr>
      </w:pPr>
      <w:r>
        <w:rPr>
          <w:rFonts w:hint="eastAsia" w:ascii="新宋体" w:hAnsi="新宋体" w:eastAsia="新宋体" w:cs="新宋体"/>
          <w:bCs/>
          <w:color w:val="auto"/>
          <w:sz w:val="22"/>
          <w:szCs w:val="22"/>
          <w:highlight w:val="none"/>
        </w:rPr>
        <w:t>13.2书面评审报告签署前，经复核发现存在以上情形之一的，磋商小组将当场修改评审结果，</w:t>
      </w:r>
      <w:r>
        <w:rPr>
          <w:rFonts w:hint="eastAsia" w:ascii="新宋体" w:hAnsi="新宋体" w:eastAsia="新宋体" w:cs="新宋体"/>
          <w:b w:val="0"/>
          <w:bCs/>
          <w:color w:val="auto"/>
          <w:sz w:val="22"/>
          <w:szCs w:val="22"/>
          <w:highlight w:val="none"/>
        </w:rPr>
        <w:t>并在评审报告中记载。</w:t>
      </w:r>
    </w:p>
    <w:p>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确定成交候选人</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14.1由磋商小组确定成交候选人。</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磋商小组依据法律、法规及磋商文件有关规定按评审后得分（即商务技术分与报价得分之和）由高到低顺序排序，得分前三名的磋商供应商确定为该项目的第一、第二和第三成交候选人（得分相同的，按报价由低到高顺序排列。得分且报价相同的并列。）向采购人推荐。</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15、确定成交供应商</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15.1采购人按照书面评审报告中推荐的成交候选供应商顺序确定成交供应商；也可以事先授权磋商小组按照推荐的成交候选供应商顺序直接确定成交供应商。成交候选人并列的，由磋商小组全体成员记名投票按少数服从多数的原则确定排名。</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15.2如成交供应商放弃成交；或未能在规定时间内与采购单位签订合同的；或者经质疑，采购人审查后，确因排名第一的候选人在本次采购活动中存在违法违规行为或其他原因使质疑成立的，采购人可以</w:t>
      </w:r>
      <w:r>
        <w:rPr>
          <w:rFonts w:hint="eastAsia" w:ascii="新宋体" w:hAnsi="新宋体" w:eastAsia="新宋体" w:cs="新宋体"/>
          <w:color w:val="auto"/>
          <w:sz w:val="22"/>
          <w:szCs w:val="22"/>
          <w:highlight w:val="none"/>
          <w:lang w:val="en-US" w:eastAsia="zh-CN"/>
        </w:rPr>
        <w:t>依法</w:t>
      </w:r>
      <w:r>
        <w:rPr>
          <w:rFonts w:hint="eastAsia" w:ascii="新宋体" w:hAnsi="新宋体" w:eastAsia="新宋体" w:cs="新宋体"/>
          <w:color w:val="auto"/>
          <w:sz w:val="22"/>
          <w:szCs w:val="22"/>
          <w:highlight w:val="none"/>
        </w:rPr>
        <w:t>视情况直接确定排名第二的候选人为成交供应商（以此类推</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或重新组织采购。</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16、起草、签署评审报告</w:t>
      </w:r>
    </w:p>
    <w:p>
      <w:pPr>
        <w:tabs>
          <w:tab w:val="left" w:pos="360"/>
        </w:tabs>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评审结束后，磋商小组将通过“政府采购云平台”起草评审报告，磋商小组成员应当在评审报告上签字，对自己的评审意见承担法律责任。对评审报告有异议的，应当在评审报告上签署不同意见，并说明理由，否则视为同意评审报告。</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成交供应商确定后，采购人将在政府指定媒体公告成交结果，采购人向成交供应商发出成交通知书。</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18、采购人对决标结果不做任何解释，也不保证最低价成交。</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19</w:t>
      </w:r>
      <w:r>
        <w:rPr>
          <w:rFonts w:hint="eastAsia" w:ascii="新宋体" w:hAnsi="新宋体" w:eastAsia="新宋体" w:cs="新宋体"/>
          <w:b w:val="0"/>
          <w:bCs w:val="0"/>
          <w:color w:val="auto"/>
          <w:sz w:val="22"/>
          <w:szCs w:val="22"/>
          <w:highlight w:val="none"/>
        </w:rPr>
        <w:t>、其他未尽事宜遵循相关法律法规及规范性文件执行。</w:t>
      </w:r>
    </w:p>
    <w:p>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20</w:t>
      </w:r>
      <w:r>
        <w:rPr>
          <w:rFonts w:hint="eastAsia" w:ascii="新宋体" w:hAnsi="新宋体" w:eastAsia="新宋体" w:cs="新宋体"/>
          <w:b w:val="0"/>
          <w:bCs w:val="0"/>
          <w:color w:val="auto"/>
          <w:sz w:val="22"/>
          <w:szCs w:val="22"/>
          <w:highlight w:val="none"/>
        </w:rPr>
        <w:t>、评审细则详见“评审原则及方法”。</w:t>
      </w:r>
    </w:p>
    <w:p>
      <w:pPr>
        <w:tabs>
          <w:tab w:val="left" w:pos="360"/>
        </w:tabs>
        <w:spacing w:line="460" w:lineRule="exact"/>
        <w:ind w:firstLine="440" w:firstLineChars="200"/>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特别说明：如遇“政府采购云平台”电子化开标或评审程序调整的，按调整后程序执行。</w:t>
      </w:r>
    </w:p>
    <w:p>
      <w:pPr>
        <w:spacing w:before="100" w:beforeAutospacing="1" w:after="100" w:afterAutospacing="1" w:line="440" w:lineRule="exact"/>
        <w:jc w:val="center"/>
        <w:outlineLvl w:val="1"/>
        <w:rPr>
          <w:rFonts w:hint="eastAsia" w:ascii="新宋体" w:hAnsi="新宋体" w:eastAsia="新宋体" w:cs="新宋体"/>
          <w:b/>
          <w:bCs/>
          <w:color w:val="auto"/>
          <w:sz w:val="26"/>
          <w:szCs w:val="26"/>
          <w:highlight w:val="none"/>
        </w:rPr>
      </w:pPr>
      <w:bookmarkStart w:id="14" w:name="_Toc21179"/>
      <w:r>
        <w:rPr>
          <w:rFonts w:hint="eastAsia" w:ascii="新宋体" w:hAnsi="新宋体" w:eastAsia="新宋体" w:cs="新宋体"/>
          <w:b/>
          <w:bCs/>
          <w:color w:val="auto"/>
          <w:sz w:val="26"/>
          <w:szCs w:val="26"/>
          <w:highlight w:val="none"/>
        </w:rPr>
        <w:t>六、 授予合同</w:t>
      </w:r>
      <w:bookmarkEnd w:id="14"/>
    </w:p>
    <w:p>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highlight w:val="none"/>
        </w:rPr>
        <w:t>1、成交通知书</w:t>
      </w:r>
    </w:p>
    <w:p>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 xml:space="preserve">1.1成交供应商确定后，采购人将向成交供应商发出成交通知书。 </w:t>
      </w:r>
    </w:p>
    <w:p>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1.2成交通知书是合同的一个组成部分,对采购人和成交供应商均具有同等法律效力。</w:t>
      </w:r>
    </w:p>
    <w:p>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highlight w:val="none"/>
        </w:rPr>
        <w:t>2、授标时更改采购货物数量的权力</w:t>
      </w:r>
    </w:p>
    <w:p>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2.1采购人在授予合同时有权对采购货物的数量和服务在一定幅度范围内予以增加或减少,但不得对单价和其他的条款和条件作任何改变。</w:t>
      </w:r>
    </w:p>
    <w:p>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highlight w:val="none"/>
        </w:rPr>
        <w:t>3、签订合同</w:t>
      </w:r>
    </w:p>
    <w:p>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3.1成交供应商应按成交通知书规定的时间、地点与采购人签订合同。</w:t>
      </w:r>
    </w:p>
    <w:p>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3.2</w:t>
      </w:r>
      <w:r>
        <w:rPr>
          <w:rFonts w:hint="eastAsia" w:ascii="新宋体" w:hAnsi="新宋体" w:eastAsia="新宋体" w:cs="新宋体"/>
          <w:b w:val="0"/>
          <w:bCs/>
          <w:color w:val="auto"/>
          <w:spacing w:val="6"/>
          <w:sz w:val="22"/>
          <w:szCs w:val="22"/>
          <w:highlight w:val="none"/>
        </w:rPr>
        <w:t>在签订合同前，采购人有权在成交总价不变的前提下要求成交供应商对报价中的不平衡报价和缺漏项进行调整，如果成交供应商无合理理由拒绝调整，其中磋商资格将被取消，保证金将不予退还，且将导致其它进一步的赔偿和处罚。</w:t>
      </w:r>
    </w:p>
    <w:p>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3.3磋商文件、成交供应商的磋商响应文件、磋商响应修改文件、评审过程中有关澄清文件及经磋商供应商和评委双方签字的询标纪要和成交通知书均作为合同附件。</w:t>
      </w:r>
    </w:p>
    <w:p>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3.4拒签合同的违约责任</w:t>
      </w:r>
    </w:p>
    <w:p>
      <w:pPr>
        <w:tabs>
          <w:tab w:val="left" w:pos="360"/>
        </w:tabs>
        <w:spacing w:line="460" w:lineRule="exact"/>
        <w:ind w:firstLine="464" w:firstLineChars="200"/>
        <w:rPr>
          <w:rFonts w:hint="eastAsia" w:ascii="新宋体" w:hAnsi="新宋体" w:eastAsia="新宋体" w:cs="新宋体"/>
          <w:b w:val="0"/>
          <w:bCs/>
          <w:color w:val="auto"/>
          <w:highlight w:val="none"/>
        </w:rPr>
      </w:pPr>
      <w:r>
        <w:rPr>
          <w:rFonts w:hint="eastAsia" w:ascii="新宋体" w:hAnsi="新宋体" w:eastAsia="新宋体" w:cs="新宋体"/>
          <w:b w:val="0"/>
          <w:bCs/>
          <w:color w:val="auto"/>
          <w:spacing w:val="6"/>
          <w:sz w:val="22"/>
          <w:szCs w:val="22"/>
          <w:highlight w:val="none"/>
        </w:rPr>
        <w:t>成交供应商接到成交通知书后，在规定时间内借故否认已经承诺的条件而拒签合同的，以违约处理。</w:t>
      </w:r>
    </w:p>
    <w:p>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highlight w:val="none"/>
        </w:rPr>
        <w:t>4、质疑与投诉</w:t>
      </w:r>
    </w:p>
    <w:p>
      <w:pPr>
        <w:tabs>
          <w:tab w:val="left" w:pos="360"/>
        </w:tabs>
        <w:spacing w:line="460" w:lineRule="exact"/>
        <w:ind w:firstLine="440" w:firstLineChars="200"/>
        <w:rPr>
          <w:rFonts w:hint="eastAsia" w:ascii="新宋体" w:hAnsi="新宋体" w:eastAsia="新宋体" w:cs="新宋体"/>
          <w:b w:val="0"/>
          <w:bCs/>
          <w:color w:val="auto"/>
          <w:sz w:val="22"/>
          <w:highlight w:val="none"/>
          <w:lang w:val="en-US" w:eastAsia="zh-CN"/>
        </w:rPr>
      </w:pPr>
      <w:r>
        <w:rPr>
          <w:rFonts w:hint="eastAsia" w:ascii="新宋体" w:hAnsi="新宋体" w:eastAsia="新宋体" w:cs="新宋体"/>
          <w:b w:val="0"/>
          <w:bCs/>
          <w:color w:val="auto"/>
          <w:sz w:val="22"/>
          <w:highlight w:val="none"/>
        </w:rPr>
        <w:t>4.1</w:t>
      </w:r>
      <w:r>
        <w:rPr>
          <w:rFonts w:hint="eastAsia" w:ascii="新宋体" w:hAnsi="新宋体" w:eastAsia="新宋体" w:cs="新宋体"/>
          <w:b/>
          <w:bCs w:val="0"/>
          <w:color w:val="auto"/>
          <w:sz w:val="22"/>
          <w:highlight w:val="none"/>
          <w:lang w:val="en-US" w:eastAsia="zh-CN"/>
        </w:rPr>
        <w:t>特别提醒：</w:t>
      </w:r>
      <w:r>
        <w:rPr>
          <w:rFonts w:hint="eastAsia" w:ascii="新宋体" w:hAnsi="新宋体" w:eastAsia="新宋体" w:cs="新宋体"/>
          <w:color w:val="auto"/>
          <w:sz w:val="22"/>
          <w:highlight w:val="none"/>
          <w:lang w:val="en-US" w:eastAsia="zh-CN"/>
        </w:rPr>
        <w:t>磋商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新宋体" w:hAnsi="新宋体" w:eastAsia="新宋体" w:cs="新宋体"/>
          <w:bCs/>
          <w:color w:val="auto"/>
          <w:sz w:val="22"/>
          <w:highlight w:val="none"/>
          <w:lang w:eastAsia="zh-CN"/>
        </w:rPr>
        <w:t>，</w:t>
      </w:r>
      <w:r>
        <w:rPr>
          <w:rFonts w:hint="eastAsia" w:ascii="新宋体" w:hAnsi="新宋体" w:eastAsia="新宋体" w:cs="新宋体"/>
          <w:bCs/>
          <w:color w:val="auto"/>
          <w:sz w:val="22"/>
          <w:highlight w:val="none"/>
          <w:lang w:val="en-US" w:eastAsia="zh-CN"/>
        </w:rPr>
        <w:t>磋商</w:t>
      </w:r>
      <w:r>
        <w:rPr>
          <w:rFonts w:hint="eastAsia" w:ascii="新宋体" w:hAnsi="新宋体" w:eastAsia="新宋体" w:cs="新宋体"/>
          <w:b w:val="0"/>
          <w:bCs/>
          <w:color w:val="auto"/>
          <w:sz w:val="22"/>
          <w:highlight w:val="none"/>
          <w:lang w:val="en-US" w:eastAsia="zh-CN"/>
        </w:rPr>
        <w:t>供应商在法定质疑期内应一次性提出针对同一采购程序环节的质疑，</w:t>
      </w:r>
      <w:r>
        <w:rPr>
          <w:rFonts w:hint="eastAsia" w:ascii="新宋体" w:hAnsi="新宋体" w:eastAsia="新宋体" w:cs="新宋体"/>
          <w:bCs/>
          <w:color w:val="auto"/>
          <w:sz w:val="22"/>
          <w:highlight w:val="none"/>
          <w:lang w:val="en-US" w:eastAsia="zh-CN"/>
        </w:rPr>
        <w:t>否则</w:t>
      </w:r>
      <w:r>
        <w:rPr>
          <w:rFonts w:hint="eastAsia" w:ascii="新宋体" w:hAnsi="新宋体" w:eastAsia="新宋体" w:cs="新宋体"/>
          <w:color w:val="auto"/>
          <w:sz w:val="22"/>
          <w:szCs w:val="22"/>
          <w:highlight w:val="none"/>
        </w:rPr>
        <w:t>不予受理、答复</w:t>
      </w:r>
      <w:r>
        <w:rPr>
          <w:rFonts w:hint="eastAsia" w:ascii="新宋体" w:hAnsi="新宋体" w:eastAsia="新宋体" w:cs="新宋体"/>
          <w:bCs/>
          <w:color w:val="auto"/>
          <w:sz w:val="22"/>
          <w:highlight w:val="none"/>
          <w:lang w:val="en-US" w:eastAsia="zh-CN"/>
        </w:rPr>
        <w:t>。</w:t>
      </w:r>
    </w:p>
    <w:p>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highlight w:val="none"/>
        </w:rPr>
        <w:t>4.2采购人或采购代理机构在收到磋商供应商的书面质疑后七个工作日内作出答复，但答复的内容不得涉及商业秘密。质疑供应商对采购人或采购代理机构的答复不满意，可以在答复期满后十五个工作日内向同级采购监督管理部门投诉。</w:t>
      </w:r>
    </w:p>
    <w:p>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pPr>
        <w:spacing w:line="460" w:lineRule="exact"/>
        <w:ind w:firstLine="539" w:firstLineChars="245"/>
        <w:rPr>
          <w:rFonts w:hint="eastAsia" w:ascii="新宋体" w:hAnsi="新宋体" w:eastAsia="新宋体" w:cs="新宋体"/>
          <w:color w:val="auto"/>
          <w:sz w:val="22"/>
          <w:highlight w:val="none"/>
        </w:rPr>
      </w:pPr>
    </w:p>
    <w:p>
      <w:pPr>
        <w:pStyle w:val="22"/>
        <w:ind w:left="0" w:leftChars="0" w:firstLine="0" w:firstLineChars="0"/>
        <w:rPr>
          <w:rFonts w:hint="eastAsia" w:ascii="新宋体" w:hAnsi="新宋体" w:eastAsia="新宋体" w:cs="新宋体"/>
          <w:color w:val="auto"/>
          <w:sz w:val="22"/>
          <w:highlight w:val="none"/>
        </w:rPr>
      </w:pPr>
    </w:p>
    <w:p>
      <w:pPr>
        <w:pStyle w:val="22"/>
        <w:ind w:left="440" w:hanging="440"/>
        <w:rPr>
          <w:rFonts w:hint="eastAsia" w:ascii="新宋体" w:hAnsi="新宋体" w:eastAsia="新宋体" w:cs="新宋体"/>
          <w:color w:val="auto"/>
          <w:sz w:val="22"/>
          <w:highlight w:val="none"/>
        </w:rPr>
      </w:pPr>
    </w:p>
    <w:p>
      <w:pPr>
        <w:pStyle w:val="2"/>
        <w:bidi w:val="0"/>
        <w:rPr>
          <w:rFonts w:hint="eastAsia" w:ascii="新宋体" w:hAnsi="新宋体" w:eastAsia="新宋体" w:cs="新宋体"/>
          <w:color w:val="auto"/>
          <w:highlight w:val="none"/>
        </w:rPr>
      </w:pPr>
      <w:bookmarkStart w:id="15" w:name="_Toc5142"/>
      <w:r>
        <w:rPr>
          <w:rFonts w:hint="eastAsia" w:ascii="新宋体" w:hAnsi="新宋体" w:eastAsia="新宋体" w:cs="新宋体"/>
          <w:color w:val="auto"/>
          <w:highlight w:val="none"/>
        </w:rPr>
        <w:br w:type="page"/>
      </w:r>
      <w:r>
        <w:rPr>
          <w:rFonts w:hint="eastAsia" w:ascii="新宋体" w:hAnsi="新宋体" w:eastAsia="新宋体" w:cs="新宋体"/>
          <w:color w:val="auto"/>
          <w:highlight w:val="none"/>
        </w:rPr>
        <w:t>第二部分    合同主要条款</w:t>
      </w:r>
      <w:bookmarkEnd w:id="15"/>
    </w:p>
    <w:p>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注：如甲、乙双方同意，合同格式也可以按照其他形式, 具体条款以甲方为主协商确定。但合同条款的基本内容应与以下要求的内容相一致。</w:t>
      </w:r>
    </w:p>
    <w:p>
      <w:pPr>
        <w:widowControl/>
        <w:snapToGrid w:val="0"/>
        <w:spacing w:line="420" w:lineRule="atLeast"/>
        <w:jc w:val="center"/>
        <w:rPr>
          <w:rFonts w:hint="eastAsia" w:ascii="新宋体" w:hAnsi="新宋体" w:eastAsia="新宋体" w:cs="新宋体"/>
          <w:color w:val="auto"/>
          <w:kern w:val="0"/>
          <w:sz w:val="32"/>
          <w:highlight w:val="none"/>
        </w:rPr>
      </w:pPr>
      <w:r>
        <w:rPr>
          <w:rFonts w:hint="eastAsia" w:ascii="新宋体" w:hAnsi="新宋体" w:eastAsia="新宋体" w:cs="新宋体"/>
          <w:color w:val="auto"/>
          <w:kern w:val="0"/>
          <w:sz w:val="24"/>
          <w:highlight w:val="none"/>
        </w:rPr>
        <w:t xml:space="preserve">      </w:t>
      </w:r>
      <w:r>
        <w:rPr>
          <w:rFonts w:hint="eastAsia" w:ascii="新宋体" w:hAnsi="新宋体" w:eastAsia="新宋体" w:cs="新宋体"/>
          <w:color w:val="auto"/>
          <w:kern w:val="0"/>
          <w:sz w:val="24"/>
          <w:highlight w:val="none"/>
          <w:lang w:val="en-US" w:eastAsia="zh-CN"/>
        </w:rPr>
        <w:t xml:space="preserve">                                        </w:t>
      </w:r>
      <w:r>
        <w:rPr>
          <w:rFonts w:hint="eastAsia" w:ascii="新宋体" w:hAnsi="新宋体" w:eastAsia="新宋体" w:cs="新宋体"/>
          <w:color w:val="auto"/>
          <w:kern w:val="0"/>
          <w:sz w:val="24"/>
          <w:highlight w:val="none"/>
        </w:rPr>
        <w:t>合同编号：</w:t>
      </w:r>
      <w:r>
        <w:rPr>
          <w:rFonts w:hint="eastAsia" w:ascii="新宋体" w:hAnsi="新宋体" w:eastAsia="新宋体" w:cs="新宋体"/>
          <w:color w:val="auto"/>
          <w:kern w:val="0"/>
          <w:sz w:val="32"/>
          <w:highlight w:val="none"/>
        </w:rPr>
        <w:t xml:space="preserve">    </w:t>
      </w:r>
    </w:p>
    <w:p>
      <w:pPr>
        <w:widowControl/>
        <w:snapToGrid w:val="0"/>
        <w:spacing w:line="420" w:lineRule="atLeast"/>
        <w:jc w:val="left"/>
        <w:rPr>
          <w:rFonts w:hint="eastAsia" w:ascii="新宋体" w:hAnsi="新宋体" w:eastAsia="新宋体" w:cs="新宋体"/>
          <w:color w:val="auto"/>
          <w:kern w:val="0"/>
          <w:sz w:val="32"/>
          <w:highlight w:val="none"/>
        </w:rPr>
      </w:pPr>
      <w:r>
        <w:rPr>
          <w:rFonts w:hint="eastAsia" w:ascii="新宋体" w:hAnsi="新宋体" w:eastAsia="新宋体" w:cs="新宋体"/>
          <w:color w:val="auto"/>
          <w:kern w:val="0"/>
          <w:sz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bookmarkStart w:id="16" w:name="_Toc5214"/>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（以下简称甲方）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（以下简称乙方）</w:t>
      </w:r>
    </w:p>
    <w:p>
      <w:pPr>
        <w:keepNext w:val="0"/>
        <w:keepLines w:val="0"/>
        <w:pageBreakBefore w:val="0"/>
        <w:widowControl w:val="0"/>
        <w:numPr>
          <w:ilvl w:val="0"/>
          <w:numId w:val="0"/>
        </w:numPr>
        <w:kinsoku/>
        <w:wordWrap/>
        <w:overflowPunct/>
        <w:topLinePunct w:val="0"/>
        <w:bidi w:val="0"/>
        <w:snapToGrid/>
        <w:spacing w:line="460" w:lineRule="exact"/>
        <w:ind w:firstLine="440" w:firstLineChars="2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甲乙双方经</w:t>
      </w:r>
      <w:r>
        <w:rPr>
          <w:rFonts w:hint="eastAsia" w:ascii="新宋体" w:hAnsi="新宋体" w:eastAsia="新宋体" w:cs="新宋体"/>
          <w:color w:val="auto"/>
          <w:sz w:val="22"/>
          <w:szCs w:val="22"/>
          <w:highlight w:val="none"/>
          <w:lang w:eastAsia="zh-CN"/>
        </w:rPr>
        <w:t>友好</w:t>
      </w:r>
      <w:r>
        <w:rPr>
          <w:rFonts w:hint="eastAsia" w:ascii="新宋体" w:hAnsi="新宋体" w:eastAsia="新宋体" w:cs="新宋体"/>
          <w:color w:val="auto"/>
          <w:sz w:val="22"/>
          <w:szCs w:val="22"/>
          <w:highlight w:val="none"/>
        </w:rPr>
        <w:t>协商，</w:t>
      </w:r>
      <w:r>
        <w:rPr>
          <w:rFonts w:hint="eastAsia" w:ascii="新宋体" w:hAnsi="新宋体" w:eastAsia="新宋体" w:cs="新宋体"/>
          <w:color w:val="auto"/>
          <w:sz w:val="22"/>
          <w:szCs w:val="22"/>
          <w:highlight w:val="none"/>
          <w:lang w:val="zh-CN"/>
        </w:rPr>
        <w:t>本次</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lang w:val="zh-CN"/>
        </w:rPr>
        <w:t>的</w:t>
      </w:r>
      <w:r>
        <w:rPr>
          <w:rFonts w:hint="eastAsia" w:ascii="新宋体" w:hAnsi="新宋体" w:eastAsia="新宋体" w:cs="新宋体"/>
          <w:color w:val="auto"/>
          <w:sz w:val="22"/>
          <w:szCs w:val="22"/>
          <w:highlight w:val="none"/>
          <w:lang w:val="en-US" w:eastAsia="zh-CN"/>
        </w:rPr>
        <w:t>服务</w:t>
      </w:r>
      <w:r>
        <w:rPr>
          <w:rFonts w:hint="eastAsia" w:ascii="新宋体" w:hAnsi="新宋体" w:eastAsia="新宋体" w:cs="新宋体"/>
          <w:color w:val="auto"/>
          <w:sz w:val="22"/>
          <w:szCs w:val="22"/>
          <w:highlight w:val="none"/>
          <w:lang w:val="zh-CN"/>
        </w:rPr>
        <w:t>项目名称：</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lang w:val="zh-CN" w:eastAsia="zh-CN"/>
        </w:rPr>
        <w:t>洞头区个人住房白蚁灭治采购服务</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特签订本合同：</w:t>
      </w:r>
    </w:p>
    <w:p>
      <w:pPr>
        <w:keepNext w:val="0"/>
        <w:keepLines w:val="0"/>
        <w:pageBreakBefore w:val="0"/>
        <w:widowControl w:val="0"/>
        <w:kinsoku/>
        <w:wordWrap/>
        <w:overflowPunct/>
        <w:topLinePunct w:val="0"/>
        <w:bidi w:val="0"/>
        <w:snapToGrid/>
        <w:spacing w:line="460" w:lineRule="exact"/>
        <w:ind w:firstLine="442" w:firstLineChars="200"/>
        <w:textAlignment w:val="auto"/>
        <w:outlineLvl w:val="9"/>
        <w:rPr>
          <w:rFonts w:hint="eastAsia" w:ascii="新宋体" w:hAnsi="新宋体" w:eastAsia="新宋体" w:cs="新宋体"/>
          <w:b/>
          <w:color w:val="auto"/>
          <w:sz w:val="22"/>
          <w:szCs w:val="22"/>
          <w:highlight w:val="none"/>
        </w:rPr>
      </w:pPr>
      <w:bookmarkStart w:id="17" w:name="_Toc8535"/>
      <w:r>
        <w:rPr>
          <w:rFonts w:hint="eastAsia" w:ascii="新宋体" w:hAnsi="新宋体" w:eastAsia="新宋体" w:cs="新宋体"/>
          <w:b/>
          <w:color w:val="auto"/>
          <w:sz w:val="22"/>
          <w:szCs w:val="22"/>
          <w:highlight w:val="none"/>
        </w:rPr>
        <w:t>一、本合同签订依据</w:t>
      </w:r>
      <w:bookmarkEnd w:id="17"/>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《中华人民共和国</w:t>
      </w:r>
      <w:r>
        <w:rPr>
          <w:rFonts w:hint="eastAsia" w:ascii="新宋体" w:hAnsi="新宋体" w:eastAsia="新宋体" w:cs="新宋体"/>
          <w:bCs/>
          <w:color w:val="auto"/>
          <w:sz w:val="22"/>
          <w:szCs w:val="22"/>
          <w:highlight w:val="none"/>
          <w:lang w:val="en-US" w:eastAsia="zh-CN"/>
        </w:rPr>
        <w:t>民法典</w:t>
      </w:r>
      <w:r>
        <w:rPr>
          <w:rFonts w:hint="eastAsia" w:ascii="新宋体" w:hAnsi="新宋体" w:eastAsia="新宋体" w:cs="新宋体"/>
          <w:bCs/>
          <w:color w:val="auto"/>
          <w:sz w:val="22"/>
          <w:szCs w:val="2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二、</w:t>
      </w:r>
      <w:r>
        <w:rPr>
          <w:rFonts w:hint="eastAsia" w:ascii="新宋体" w:hAnsi="新宋体" w:eastAsia="新宋体" w:cs="新宋体"/>
          <w:b/>
          <w:bCs/>
          <w:color w:val="auto"/>
          <w:sz w:val="22"/>
          <w:szCs w:val="22"/>
          <w:highlight w:val="none"/>
        </w:rPr>
        <w:t>服务承包期限</w:t>
      </w:r>
      <w:r>
        <w:rPr>
          <w:rFonts w:hint="eastAsia" w:ascii="新宋体" w:hAnsi="新宋体" w:eastAsia="新宋体" w:cs="新宋体"/>
          <w:b/>
          <w:bCs/>
          <w:color w:val="auto"/>
          <w:sz w:val="22"/>
          <w:szCs w:val="22"/>
          <w:highlight w:val="none"/>
          <w:lang w:eastAsia="zh-CN"/>
        </w:rPr>
        <w:t>：</w:t>
      </w:r>
    </w:p>
    <w:p>
      <w:pPr>
        <w:pStyle w:val="51"/>
        <w:keepNext w:val="0"/>
        <w:keepLines w:val="0"/>
        <w:pageBreakBefore w:val="0"/>
        <w:widowControl w:val="0"/>
        <w:numPr>
          <w:ilvl w:val="0"/>
          <w:numId w:val="0"/>
        </w:numPr>
        <w:kinsoku/>
        <w:wordWrap/>
        <w:overflowPunct/>
        <w:topLinePunct w:val="0"/>
        <w:bidi w:val="0"/>
        <w:snapToGrid/>
        <w:spacing w:line="460" w:lineRule="exact"/>
        <w:ind w:firstLine="440" w:firstLineChars="200"/>
        <w:textAlignment w:val="auto"/>
        <w:rPr>
          <w:rFonts w:hint="default" w:ascii="新宋体" w:hAnsi="新宋体" w:eastAsia="新宋体" w:cs="新宋体"/>
          <w:color w:val="auto"/>
          <w:sz w:val="22"/>
          <w:szCs w:val="22"/>
          <w:highlight w:val="none"/>
          <w:u w:val="single"/>
          <w:lang w:val="en-US" w:eastAsia="zh-CN"/>
        </w:rPr>
      </w:pPr>
      <w:r>
        <w:rPr>
          <w:rFonts w:hint="eastAsia" w:ascii="新宋体" w:hAnsi="新宋体" w:eastAsia="新宋体" w:cs="新宋体"/>
          <w:color w:val="auto"/>
          <w:sz w:val="22"/>
          <w:szCs w:val="22"/>
          <w:highlight w:val="none"/>
          <w:lang w:val="en-US" w:eastAsia="zh-CN"/>
        </w:rPr>
        <w:t>洞头区个人住房白蚁灭治采购服务，合同签订之日起2年（灭治期1年，包治期1年）；</w:t>
      </w:r>
      <w:r>
        <w:rPr>
          <w:rFonts w:hint="eastAsia" w:ascii="新宋体" w:hAnsi="新宋体" w:eastAsia="新宋体" w:cs="新宋体"/>
          <w:color w:val="auto"/>
          <w:sz w:val="22"/>
          <w:szCs w:val="22"/>
          <w:highlight w:val="none"/>
          <w:u w:val="single"/>
          <w:lang w:val="en-US" w:eastAsia="zh-CN"/>
        </w:rPr>
        <w:t>灭治期1年即     年  月  日起至    年  月  日止，包治期1年     年  月  日起至    年  月  日止。</w:t>
      </w:r>
    </w:p>
    <w:p>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eastAsia="zh-CN"/>
        </w:rPr>
        <w:t>三、</w:t>
      </w:r>
      <w:r>
        <w:rPr>
          <w:rFonts w:hint="eastAsia" w:ascii="新宋体" w:hAnsi="新宋体" w:eastAsia="新宋体" w:cs="新宋体"/>
          <w:b/>
          <w:bCs/>
          <w:color w:val="auto"/>
          <w:sz w:val="22"/>
          <w:szCs w:val="22"/>
          <w:highlight w:val="none"/>
        </w:rPr>
        <w:t>服务承包内容及质量要求：</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（1）服务承包内容</w:t>
      </w:r>
      <w:r>
        <w:rPr>
          <w:rFonts w:hint="eastAsia" w:ascii="新宋体" w:hAnsi="新宋体" w:eastAsia="新宋体" w:cs="新宋体"/>
          <w:color w:val="auto"/>
          <w:sz w:val="22"/>
          <w:szCs w:val="22"/>
          <w:highlight w:val="none"/>
          <w:lang w:val="en-US" w:eastAsia="zh-CN"/>
        </w:rPr>
        <w:t>及价格</w:t>
      </w:r>
      <w:r>
        <w:rPr>
          <w:rFonts w:hint="eastAsia" w:ascii="新宋体" w:hAnsi="新宋体" w:eastAsia="新宋体" w:cs="新宋体"/>
          <w:color w:val="auto"/>
          <w:sz w:val="22"/>
          <w:szCs w:val="22"/>
          <w:highlight w:val="none"/>
        </w:rPr>
        <w:t>：见下表</w:t>
      </w:r>
    </w:p>
    <w:tbl>
      <w:tblPr>
        <w:tblStyle w:val="52"/>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4290"/>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15" w:type="dxa"/>
            <w:noWrap w:val="0"/>
            <w:vAlign w:val="center"/>
          </w:tcPr>
          <w:p>
            <w:pPr>
              <w:pageBreakBefore w:val="0"/>
              <w:widowControl w:val="0"/>
              <w:kinsoku/>
              <w:wordWrap/>
              <w:overflowPunct/>
              <w:topLinePunct w:val="0"/>
              <w:bidi w:val="0"/>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序号</w:t>
            </w:r>
          </w:p>
        </w:tc>
        <w:tc>
          <w:tcPr>
            <w:tcW w:w="4290" w:type="dxa"/>
            <w:noWrap w:val="0"/>
            <w:vAlign w:val="center"/>
          </w:tcPr>
          <w:p>
            <w:pPr>
              <w:pageBreakBefore w:val="0"/>
              <w:widowControl w:val="0"/>
              <w:kinsoku/>
              <w:wordWrap/>
              <w:overflowPunct/>
              <w:topLinePunct w:val="0"/>
              <w:bidi w:val="0"/>
              <w:snapToGrid/>
              <w:spacing w:line="460" w:lineRule="exact"/>
              <w:jc w:val="center"/>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项目</w:t>
            </w:r>
            <w:r>
              <w:rPr>
                <w:rFonts w:hint="eastAsia" w:ascii="新宋体" w:hAnsi="新宋体" w:eastAsia="新宋体" w:cs="新宋体"/>
                <w:bCs/>
                <w:color w:val="auto"/>
                <w:sz w:val="22"/>
                <w:szCs w:val="22"/>
                <w:highlight w:val="none"/>
                <w:lang w:val="en-US" w:eastAsia="zh-CN"/>
              </w:rPr>
              <w:t>内容</w:t>
            </w:r>
          </w:p>
        </w:tc>
        <w:tc>
          <w:tcPr>
            <w:tcW w:w="4690" w:type="dxa"/>
            <w:noWrap w:val="0"/>
            <w:vAlign w:val="center"/>
          </w:tcPr>
          <w:p>
            <w:pPr>
              <w:pageBreakBefore w:val="0"/>
              <w:widowControl w:val="0"/>
              <w:kinsoku/>
              <w:wordWrap/>
              <w:overflowPunct/>
              <w:topLinePunct w:val="0"/>
              <w:bidi w:val="0"/>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单价</w:t>
            </w:r>
            <w:r>
              <w:rPr>
                <w:rFonts w:hint="eastAsia" w:ascii="新宋体" w:hAnsi="新宋体" w:eastAsia="新宋体" w:cs="新宋体"/>
                <w:bCs/>
                <w:color w:val="auto"/>
                <w:sz w:val="22"/>
                <w:szCs w:val="22"/>
                <w:highlight w:val="none"/>
                <w:lang w:val="en-US" w:eastAsia="zh-CN"/>
              </w:rPr>
              <w:t>报价</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元/户</w:t>
            </w:r>
            <w:r>
              <w:rPr>
                <w:rFonts w:hint="eastAsia" w:ascii="新宋体" w:hAnsi="新宋体" w:eastAsia="新宋体" w:cs="新宋体"/>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15" w:type="dxa"/>
            <w:noWrap w:val="0"/>
            <w:vAlign w:val="center"/>
          </w:tcPr>
          <w:p>
            <w:pPr>
              <w:pageBreakBefore w:val="0"/>
              <w:widowControl w:val="0"/>
              <w:kinsoku/>
              <w:wordWrap/>
              <w:overflowPunct/>
              <w:topLinePunct w:val="0"/>
              <w:bidi w:val="0"/>
              <w:snapToGrid/>
              <w:spacing w:line="460" w:lineRule="exact"/>
              <w:jc w:val="center"/>
              <w:textAlignment w:val="auto"/>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1</w:t>
            </w:r>
          </w:p>
        </w:tc>
        <w:tc>
          <w:tcPr>
            <w:tcW w:w="4290" w:type="dxa"/>
            <w:noWrap w:val="0"/>
            <w:vAlign w:val="center"/>
          </w:tcPr>
          <w:p>
            <w:pPr>
              <w:pageBreakBefore w:val="0"/>
              <w:widowControl w:val="0"/>
              <w:kinsoku/>
              <w:wordWrap/>
              <w:overflowPunct/>
              <w:topLinePunct w:val="0"/>
              <w:bidi w:val="0"/>
              <w:snapToGrid/>
              <w:spacing w:line="460" w:lineRule="exact"/>
              <w:jc w:val="center"/>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val="en-US" w:eastAsia="zh-CN"/>
              </w:rPr>
              <w:t>单户100㎡（含）以下</w:t>
            </w:r>
            <w:r>
              <w:rPr>
                <w:rFonts w:hint="eastAsia" w:ascii="新宋体" w:hAnsi="新宋体" w:eastAsia="新宋体" w:cs="新宋体"/>
                <w:bCs/>
                <w:color w:val="auto"/>
                <w:sz w:val="22"/>
                <w:szCs w:val="22"/>
                <w:highlight w:val="none"/>
                <w:lang w:eastAsia="zh-CN"/>
              </w:rPr>
              <w:t>白蚁灭治服务</w:t>
            </w:r>
          </w:p>
        </w:tc>
        <w:tc>
          <w:tcPr>
            <w:tcW w:w="4690" w:type="dxa"/>
            <w:noWrap w:val="0"/>
            <w:vAlign w:val="center"/>
          </w:tcPr>
          <w:p>
            <w:pPr>
              <w:pStyle w:val="6"/>
              <w:pageBreakBefore w:val="0"/>
              <w:widowControl w:val="0"/>
              <w:kinsoku/>
              <w:wordWrap/>
              <w:overflowPunct/>
              <w:topLinePunct w:val="0"/>
              <w:bidi w:val="0"/>
              <w:snapToGrid/>
              <w:spacing w:line="460" w:lineRule="exact"/>
              <w:textAlignment w:val="auto"/>
              <w:rPr>
                <w:rFonts w:hint="eastAsia" w:ascii="新宋体" w:hAnsi="新宋体" w:eastAsia="新宋体" w:cs="新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15" w:type="dxa"/>
            <w:noWrap w:val="0"/>
            <w:vAlign w:val="center"/>
          </w:tcPr>
          <w:p>
            <w:pPr>
              <w:pageBreakBefore w:val="0"/>
              <w:widowControl w:val="0"/>
              <w:kinsoku/>
              <w:wordWrap/>
              <w:overflowPunct/>
              <w:topLinePunct w:val="0"/>
              <w:bidi w:val="0"/>
              <w:snapToGrid/>
              <w:spacing w:line="460" w:lineRule="exact"/>
              <w:jc w:val="center"/>
              <w:textAlignment w:val="auto"/>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2</w:t>
            </w:r>
          </w:p>
        </w:tc>
        <w:tc>
          <w:tcPr>
            <w:tcW w:w="4290" w:type="dxa"/>
            <w:noWrap w:val="0"/>
            <w:vAlign w:val="center"/>
          </w:tcPr>
          <w:p>
            <w:pPr>
              <w:pageBreakBefore w:val="0"/>
              <w:widowControl w:val="0"/>
              <w:kinsoku/>
              <w:wordWrap/>
              <w:overflowPunct/>
              <w:topLinePunct w:val="0"/>
              <w:bidi w:val="0"/>
              <w:snapToGrid/>
              <w:spacing w:line="460" w:lineRule="exact"/>
              <w:jc w:val="center"/>
              <w:textAlignment w:val="auto"/>
              <w:rPr>
                <w:rFonts w:hint="eastAsia" w:ascii="新宋体" w:hAnsi="新宋体" w:eastAsia="新宋体" w:cs="新宋体"/>
                <w:b w:val="0"/>
                <w:bCs w:val="0"/>
                <w:color w:val="auto"/>
                <w:sz w:val="22"/>
                <w:szCs w:val="18"/>
                <w:highlight w:val="none"/>
                <w:lang w:eastAsia="zh-CN"/>
              </w:rPr>
            </w:pPr>
            <w:r>
              <w:rPr>
                <w:rFonts w:hint="eastAsia" w:ascii="新宋体" w:hAnsi="新宋体" w:eastAsia="新宋体" w:cs="新宋体"/>
                <w:b w:val="0"/>
                <w:bCs w:val="0"/>
                <w:color w:val="auto"/>
                <w:sz w:val="22"/>
                <w:szCs w:val="18"/>
                <w:highlight w:val="none"/>
                <w:lang w:val="en-US" w:eastAsia="zh-CN"/>
              </w:rPr>
              <w:t>单户100㎡-200㎡（含）</w:t>
            </w:r>
            <w:r>
              <w:rPr>
                <w:rFonts w:hint="eastAsia" w:ascii="新宋体" w:hAnsi="新宋体" w:eastAsia="新宋体" w:cs="新宋体"/>
                <w:bCs/>
                <w:color w:val="auto"/>
                <w:sz w:val="22"/>
                <w:szCs w:val="22"/>
                <w:highlight w:val="none"/>
                <w:lang w:eastAsia="zh-CN"/>
              </w:rPr>
              <w:t>白蚁灭治服务</w:t>
            </w:r>
          </w:p>
        </w:tc>
        <w:tc>
          <w:tcPr>
            <w:tcW w:w="4690" w:type="dxa"/>
            <w:noWrap w:val="0"/>
            <w:vAlign w:val="center"/>
          </w:tcPr>
          <w:p>
            <w:pPr>
              <w:pStyle w:val="6"/>
              <w:pageBreakBefore w:val="0"/>
              <w:widowControl w:val="0"/>
              <w:kinsoku/>
              <w:wordWrap/>
              <w:overflowPunct/>
              <w:topLinePunct w:val="0"/>
              <w:bidi w:val="0"/>
              <w:snapToGrid/>
              <w:spacing w:line="460" w:lineRule="exact"/>
              <w:textAlignment w:val="auto"/>
              <w:rPr>
                <w:rFonts w:hint="eastAsia" w:ascii="新宋体" w:hAnsi="新宋体" w:eastAsia="新宋体" w:cs="新宋体"/>
                <w:color w:val="auto"/>
                <w:sz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15" w:type="dxa"/>
            <w:noWrap w:val="0"/>
            <w:vAlign w:val="center"/>
          </w:tcPr>
          <w:p>
            <w:pPr>
              <w:pageBreakBefore w:val="0"/>
              <w:widowControl w:val="0"/>
              <w:kinsoku/>
              <w:wordWrap/>
              <w:overflowPunct/>
              <w:topLinePunct w:val="0"/>
              <w:bidi w:val="0"/>
              <w:snapToGrid/>
              <w:spacing w:line="460" w:lineRule="exact"/>
              <w:jc w:val="center"/>
              <w:textAlignment w:val="auto"/>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3</w:t>
            </w:r>
          </w:p>
        </w:tc>
        <w:tc>
          <w:tcPr>
            <w:tcW w:w="4290" w:type="dxa"/>
            <w:noWrap w:val="0"/>
            <w:vAlign w:val="center"/>
          </w:tcPr>
          <w:p>
            <w:pPr>
              <w:pageBreakBefore w:val="0"/>
              <w:widowControl w:val="0"/>
              <w:kinsoku/>
              <w:wordWrap/>
              <w:overflowPunct/>
              <w:topLinePunct w:val="0"/>
              <w:bidi w:val="0"/>
              <w:snapToGrid/>
              <w:spacing w:line="460" w:lineRule="exact"/>
              <w:jc w:val="center"/>
              <w:textAlignment w:val="auto"/>
              <w:rPr>
                <w:rFonts w:hint="eastAsia" w:ascii="新宋体" w:hAnsi="新宋体" w:eastAsia="新宋体" w:cs="新宋体"/>
                <w:b w:val="0"/>
                <w:bCs w:val="0"/>
                <w:color w:val="auto"/>
                <w:sz w:val="22"/>
                <w:szCs w:val="18"/>
                <w:highlight w:val="none"/>
                <w:lang w:eastAsia="zh-CN"/>
              </w:rPr>
            </w:pPr>
            <w:r>
              <w:rPr>
                <w:rFonts w:hint="eastAsia" w:ascii="新宋体" w:hAnsi="新宋体" w:eastAsia="新宋体" w:cs="新宋体"/>
                <w:b w:val="0"/>
                <w:bCs w:val="0"/>
                <w:color w:val="auto"/>
                <w:sz w:val="22"/>
                <w:szCs w:val="18"/>
                <w:highlight w:val="none"/>
                <w:lang w:val="en-US" w:eastAsia="zh-CN"/>
              </w:rPr>
              <w:t>单户200㎡以上</w:t>
            </w:r>
            <w:r>
              <w:rPr>
                <w:rFonts w:hint="eastAsia" w:ascii="新宋体" w:hAnsi="新宋体" w:eastAsia="新宋体" w:cs="新宋体"/>
                <w:bCs/>
                <w:color w:val="auto"/>
                <w:sz w:val="22"/>
                <w:szCs w:val="22"/>
                <w:highlight w:val="none"/>
                <w:lang w:eastAsia="zh-CN"/>
              </w:rPr>
              <w:t>白蚁灭治服务</w:t>
            </w:r>
          </w:p>
        </w:tc>
        <w:tc>
          <w:tcPr>
            <w:tcW w:w="4690" w:type="dxa"/>
            <w:noWrap w:val="0"/>
            <w:vAlign w:val="center"/>
          </w:tcPr>
          <w:p>
            <w:pPr>
              <w:pStyle w:val="6"/>
              <w:pageBreakBefore w:val="0"/>
              <w:widowControl w:val="0"/>
              <w:kinsoku/>
              <w:wordWrap/>
              <w:overflowPunct/>
              <w:topLinePunct w:val="0"/>
              <w:bidi w:val="0"/>
              <w:snapToGrid/>
              <w:spacing w:line="460" w:lineRule="exact"/>
              <w:textAlignment w:val="auto"/>
              <w:rPr>
                <w:rFonts w:hint="eastAsia" w:ascii="新宋体" w:hAnsi="新宋体" w:eastAsia="新宋体" w:cs="新宋体"/>
                <w:color w:val="auto"/>
                <w:sz w:val="22"/>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具体结算金额按实际</w:t>
      </w:r>
      <w:r>
        <w:rPr>
          <w:rFonts w:hint="eastAsia" w:ascii="新宋体" w:hAnsi="新宋体" w:eastAsia="新宋体" w:cs="新宋体"/>
          <w:color w:val="auto"/>
          <w:sz w:val="22"/>
          <w:szCs w:val="22"/>
          <w:highlight w:val="none"/>
          <w:lang w:val="en-US" w:eastAsia="zh-CN"/>
        </w:rPr>
        <w:t>灭治户数</w:t>
      </w:r>
      <w:r>
        <w:rPr>
          <w:rFonts w:hint="eastAsia" w:ascii="新宋体" w:hAnsi="新宋体" w:eastAsia="新宋体" w:cs="新宋体"/>
          <w:color w:val="auto"/>
          <w:sz w:val="22"/>
          <w:szCs w:val="22"/>
          <w:highlight w:val="none"/>
          <w:lang w:eastAsia="zh-CN"/>
        </w:rPr>
        <w:t>进行结算，</w:t>
      </w:r>
      <w:r>
        <w:rPr>
          <w:rFonts w:hint="eastAsia" w:ascii="新宋体" w:hAnsi="新宋体" w:eastAsia="新宋体" w:cs="新宋体"/>
          <w:color w:val="auto"/>
          <w:sz w:val="22"/>
          <w:szCs w:val="22"/>
          <w:highlight w:val="none"/>
          <w:lang w:val="en-US" w:eastAsia="zh-CN"/>
        </w:rPr>
        <w:t>但不得超过采购预算47万元</w:t>
      </w:r>
      <w:r>
        <w:rPr>
          <w:rFonts w:hint="eastAsia" w:ascii="新宋体" w:hAnsi="新宋体" w:eastAsia="新宋体" w:cs="新宋体"/>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服务质量要求：按照本项目</w:t>
      </w:r>
      <w:r>
        <w:rPr>
          <w:rFonts w:hint="eastAsia" w:ascii="新宋体" w:hAnsi="新宋体" w:eastAsia="新宋体" w:cs="新宋体"/>
          <w:color w:val="auto"/>
          <w:sz w:val="22"/>
          <w:szCs w:val="22"/>
          <w:highlight w:val="none"/>
          <w:lang w:eastAsia="zh-CN"/>
        </w:rPr>
        <w:t>采购</w:t>
      </w:r>
      <w:r>
        <w:rPr>
          <w:rFonts w:hint="eastAsia" w:ascii="新宋体" w:hAnsi="新宋体" w:eastAsia="新宋体" w:cs="新宋体"/>
          <w:color w:val="auto"/>
          <w:sz w:val="22"/>
          <w:szCs w:val="22"/>
          <w:highlight w:val="none"/>
        </w:rPr>
        <w:t>文件第</w:t>
      </w:r>
      <w:r>
        <w:rPr>
          <w:rFonts w:hint="eastAsia" w:ascii="新宋体" w:hAnsi="新宋体" w:eastAsia="新宋体" w:cs="新宋体"/>
          <w:color w:val="auto"/>
          <w:sz w:val="22"/>
          <w:szCs w:val="22"/>
          <w:highlight w:val="none"/>
          <w:lang w:val="en-US" w:eastAsia="zh-CN"/>
        </w:rPr>
        <w:t>四</w:t>
      </w:r>
      <w:r>
        <w:rPr>
          <w:rFonts w:hint="eastAsia" w:ascii="新宋体" w:hAnsi="新宋体" w:eastAsia="新宋体" w:cs="新宋体"/>
          <w:color w:val="auto"/>
          <w:sz w:val="22"/>
          <w:szCs w:val="22"/>
          <w:highlight w:val="none"/>
        </w:rPr>
        <w:t>部分采购内容</w:t>
      </w:r>
      <w:r>
        <w:rPr>
          <w:rFonts w:hint="eastAsia" w:ascii="新宋体" w:hAnsi="新宋体" w:eastAsia="新宋体" w:cs="新宋体"/>
          <w:color w:val="auto"/>
          <w:sz w:val="22"/>
          <w:szCs w:val="22"/>
          <w:highlight w:val="none"/>
          <w:lang w:eastAsia="zh-CN"/>
        </w:rPr>
        <w:t>和</w:t>
      </w:r>
      <w:r>
        <w:rPr>
          <w:rFonts w:hint="eastAsia" w:ascii="新宋体" w:hAnsi="新宋体" w:eastAsia="新宋体" w:cs="新宋体"/>
          <w:color w:val="auto"/>
          <w:sz w:val="22"/>
          <w:szCs w:val="22"/>
          <w:highlight w:val="none"/>
        </w:rPr>
        <w:t>要求及</w:t>
      </w:r>
      <w:r>
        <w:rPr>
          <w:rFonts w:hint="eastAsia" w:ascii="新宋体" w:hAnsi="新宋体" w:eastAsia="新宋体" w:cs="新宋体"/>
          <w:color w:val="auto"/>
          <w:sz w:val="22"/>
          <w:szCs w:val="22"/>
          <w:highlight w:val="none"/>
          <w:lang w:eastAsia="zh-CN"/>
        </w:rPr>
        <w:t>中标供应商投标文件</w:t>
      </w:r>
      <w:r>
        <w:rPr>
          <w:rFonts w:hint="eastAsia" w:ascii="新宋体" w:hAnsi="新宋体" w:eastAsia="新宋体" w:cs="新宋体"/>
          <w:color w:val="auto"/>
          <w:sz w:val="22"/>
          <w:szCs w:val="22"/>
          <w:highlight w:val="none"/>
        </w:rPr>
        <w:t>执行。</w:t>
      </w:r>
    </w:p>
    <w:p>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eastAsia="zh-CN"/>
        </w:rPr>
        <w:t>四</w:t>
      </w:r>
      <w:r>
        <w:rPr>
          <w:rFonts w:hint="eastAsia" w:ascii="新宋体" w:hAnsi="新宋体" w:eastAsia="新宋体" w:cs="新宋体"/>
          <w:b/>
          <w:bCs/>
          <w:color w:val="auto"/>
          <w:sz w:val="22"/>
          <w:szCs w:val="22"/>
          <w:highlight w:val="none"/>
        </w:rPr>
        <w:t>、服务承包费的支付：</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1、本项目付款分期进行结算，</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（1）合同生效及具备实施</w:t>
      </w:r>
      <w:r>
        <w:rPr>
          <w:rFonts w:hint="eastAsia" w:ascii="新宋体" w:hAnsi="新宋体" w:eastAsia="新宋体" w:cs="新宋体"/>
          <w:color w:val="auto"/>
          <w:sz w:val="22"/>
          <w:szCs w:val="22"/>
          <w:highlight w:val="none"/>
        </w:rPr>
        <w:t>条件后</w:t>
      </w:r>
      <w:r>
        <w:rPr>
          <w:rFonts w:hint="eastAsia" w:ascii="新宋体" w:hAnsi="新宋体" w:eastAsia="新宋体" w:cs="新宋体"/>
          <w:color w:val="auto"/>
          <w:sz w:val="22"/>
          <w:szCs w:val="22"/>
          <w:highlight w:val="none"/>
          <w:lang w:val="en-US" w:eastAsia="zh-CN"/>
        </w:rPr>
        <w:t>7个工作日</w:t>
      </w:r>
      <w:r>
        <w:rPr>
          <w:rFonts w:hint="eastAsia" w:ascii="新宋体" w:hAnsi="新宋体" w:eastAsia="新宋体" w:cs="新宋体"/>
          <w:color w:val="auto"/>
          <w:sz w:val="22"/>
          <w:szCs w:val="22"/>
          <w:highlight w:val="none"/>
        </w:rPr>
        <w:t>内</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采购人向成交供应商</w:t>
      </w:r>
      <w:r>
        <w:rPr>
          <w:rFonts w:hint="eastAsia" w:ascii="新宋体" w:hAnsi="新宋体" w:eastAsia="新宋体" w:cs="新宋体"/>
          <w:color w:val="auto"/>
          <w:sz w:val="22"/>
          <w:szCs w:val="22"/>
          <w:highlight w:val="none"/>
        </w:rPr>
        <w:t>支付</w:t>
      </w:r>
      <w:r>
        <w:rPr>
          <w:rFonts w:hint="eastAsia" w:ascii="新宋体" w:hAnsi="新宋体" w:eastAsia="新宋体" w:cs="新宋体"/>
          <w:color w:val="auto"/>
          <w:sz w:val="22"/>
          <w:szCs w:val="22"/>
          <w:highlight w:val="none"/>
          <w:lang w:val="en-US" w:eastAsia="zh-CN"/>
        </w:rPr>
        <w:t>合同价款</w:t>
      </w:r>
      <w:r>
        <w:rPr>
          <w:rFonts w:hint="eastAsia" w:ascii="新宋体" w:hAnsi="新宋体" w:eastAsia="新宋体" w:cs="新宋体"/>
          <w:color w:val="auto"/>
          <w:sz w:val="22"/>
          <w:szCs w:val="22"/>
          <w:highlight w:val="none"/>
        </w:rPr>
        <w:t>的</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0%为预付款</w:t>
      </w:r>
      <w:r>
        <w:rPr>
          <w:rFonts w:hint="eastAsia" w:ascii="新宋体" w:hAnsi="新宋体" w:eastAsia="新宋体" w:cs="新宋体"/>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灭治</w:t>
      </w:r>
      <w:r>
        <w:rPr>
          <w:rFonts w:hint="eastAsia" w:ascii="新宋体" w:hAnsi="新宋体" w:eastAsia="新宋体" w:cs="新宋体"/>
          <w:color w:val="auto"/>
          <w:sz w:val="22"/>
          <w:szCs w:val="22"/>
          <w:highlight w:val="none"/>
          <w:lang w:val="en-US" w:eastAsia="zh-CN"/>
        </w:rPr>
        <w:t>期</w:t>
      </w:r>
      <w:r>
        <w:rPr>
          <w:rFonts w:hint="eastAsia" w:ascii="新宋体" w:hAnsi="新宋体" w:eastAsia="新宋体" w:cs="新宋体"/>
          <w:color w:val="auto"/>
          <w:sz w:val="22"/>
          <w:szCs w:val="22"/>
          <w:highlight w:val="none"/>
        </w:rPr>
        <w:t>完成后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采购人向成交供应商</w:t>
      </w:r>
      <w:r>
        <w:rPr>
          <w:rFonts w:hint="eastAsia" w:ascii="新宋体" w:hAnsi="新宋体" w:eastAsia="新宋体" w:cs="新宋体"/>
          <w:color w:val="auto"/>
          <w:sz w:val="22"/>
          <w:szCs w:val="22"/>
          <w:highlight w:val="none"/>
        </w:rPr>
        <w:t>支付</w:t>
      </w:r>
      <w:r>
        <w:rPr>
          <w:rFonts w:hint="eastAsia" w:ascii="新宋体" w:hAnsi="新宋体" w:eastAsia="新宋体" w:cs="新宋体"/>
          <w:color w:val="auto"/>
          <w:sz w:val="22"/>
          <w:szCs w:val="22"/>
          <w:highlight w:val="none"/>
          <w:lang w:val="en-US" w:eastAsia="zh-CN"/>
        </w:rPr>
        <w:t>合同价款</w:t>
      </w:r>
      <w:r>
        <w:rPr>
          <w:rFonts w:hint="eastAsia" w:ascii="新宋体" w:hAnsi="新宋体" w:eastAsia="新宋体" w:cs="新宋体"/>
          <w:color w:val="auto"/>
          <w:sz w:val="22"/>
          <w:szCs w:val="22"/>
          <w:highlight w:val="none"/>
        </w:rPr>
        <w:t>的</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0%</w:t>
      </w:r>
      <w:r>
        <w:rPr>
          <w:rFonts w:hint="eastAsia" w:ascii="新宋体" w:hAnsi="新宋体" w:eastAsia="新宋体" w:cs="新宋体"/>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（3）包治期完成后，</w:t>
      </w:r>
      <w:r>
        <w:rPr>
          <w:rFonts w:hint="eastAsia" w:ascii="新宋体" w:hAnsi="新宋体" w:eastAsia="新宋体" w:cs="新宋体"/>
          <w:color w:val="auto"/>
          <w:sz w:val="22"/>
          <w:szCs w:val="22"/>
          <w:highlight w:val="none"/>
        </w:rPr>
        <w:t>完成工程量经</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单位确认</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项目验收合格，</w:t>
      </w:r>
      <w:r>
        <w:rPr>
          <w:rFonts w:hint="eastAsia" w:ascii="新宋体" w:hAnsi="新宋体" w:eastAsia="新宋体" w:cs="新宋体"/>
          <w:color w:val="auto"/>
          <w:sz w:val="22"/>
          <w:szCs w:val="22"/>
          <w:highlight w:val="none"/>
        </w:rPr>
        <w:t>按实际</w:t>
      </w:r>
      <w:r>
        <w:rPr>
          <w:rFonts w:hint="eastAsia" w:ascii="新宋体" w:hAnsi="新宋体" w:eastAsia="新宋体" w:cs="新宋体"/>
          <w:color w:val="auto"/>
          <w:sz w:val="22"/>
          <w:szCs w:val="22"/>
          <w:highlight w:val="none"/>
          <w:lang w:val="en-US" w:eastAsia="zh-CN"/>
        </w:rPr>
        <w:t>灭治户数</w:t>
      </w:r>
      <w:r>
        <w:rPr>
          <w:rFonts w:hint="eastAsia" w:ascii="新宋体" w:hAnsi="新宋体" w:eastAsia="新宋体" w:cs="新宋体"/>
          <w:color w:val="auto"/>
          <w:sz w:val="22"/>
          <w:szCs w:val="22"/>
          <w:highlight w:val="none"/>
        </w:rPr>
        <w:t>进行结算</w:t>
      </w:r>
      <w:r>
        <w:rPr>
          <w:rFonts w:hint="eastAsia" w:ascii="新宋体" w:hAnsi="新宋体" w:eastAsia="新宋体" w:cs="新宋体"/>
          <w:color w:val="auto"/>
          <w:sz w:val="22"/>
          <w:szCs w:val="22"/>
          <w:highlight w:val="none"/>
          <w:lang w:val="en-US" w:eastAsia="zh-CN"/>
        </w:rPr>
        <w:t>支付剩余的款项（结算价不得超过采购预算47万元）</w:t>
      </w:r>
      <w:r>
        <w:rPr>
          <w:rFonts w:hint="eastAsia" w:ascii="新宋体" w:hAnsi="新宋体" w:eastAsia="新宋体" w:cs="新宋体"/>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2、每次付款前，成交供应商需提供等额发票，采购人收到发票后7个工作日内支付款项。</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注：若</w:t>
      </w:r>
      <w:r>
        <w:rPr>
          <w:rFonts w:hint="eastAsia" w:ascii="新宋体" w:hAnsi="新宋体" w:eastAsia="新宋体" w:cs="新宋体"/>
          <w:color w:val="auto"/>
          <w:sz w:val="22"/>
          <w:szCs w:val="22"/>
          <w:highlight w:val="none"/>
          <w:lang w:val="en-US" w:eastAsia="zh-CN"/>
        </w:rPr>
        <w:t>成交</w:t>
      </w:r>
      <w:r>
        <w:rPr>
          <w:rFonts w:hint="eastAsia" w:ascii="新宋体" w:hAnsi="新宋体" w:eastAsia="新宋体" w:cs="新宋体"/>
          <w:color w:val="auto"/>
          <w:sz w:val="22"/>
          <w:szCs w:val="22"/>
          <w:highlight w:val="none"/>
        </w:rPr>
        <w:t>供应商明确表示无需预付款或主动要求降低预付款比例的，采购人可不适用前述规定。本服务执行中相关的一切税费均由</w:t>
      </w:r>
      <w:r>
        <w:rPr>
          <w:rFonts w:hint="eastAsia" w:ascii="新宋体" w:hAnsi="新宋体" w:eastAsia="新宋体" w:cs="新宋体"/>
          <w:color w:val="auto"/>
          <w:sz w:val="22"/>
          <w:szCs w:val="22"/>
          <w:highlight w:val="none"/>
          <w:lang w:val="en-US" w:eastAsia="zh-CN"/>
        </w:rPr>
        <w:t>成交</w:t>
      </w:r>
      <w:r>
        <w:rPr>
          <w:rFonts w:hint="eastAsia" w:ascii="新宋体" w:hAnsi="新宋体" w:eastAsia="新宋体" w:cs="新宋体"/>
          <w:color w:val="auto"/>
          <w:sz w:val="22"/>
          <w:szCs w:val="22"/>
          <w:highlight w:val="none"/>
        </w:rPr>
        <w:t>供应商负担。</w:t>
      </w:r>
    </w:p>
    <w:p>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五、双方职责</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（一）甲方职责</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1、对乙方白蚁灭治服务工作进行监督和考核检查；</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2、按规定核拨给乙方灭治服务费。</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（二）乙方职责</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按照本项目</w:t>
      </w:r>
      <w:r>
        <w:rPr>
          <w:rFonts w:hint="eastAsia" w:ascii="新宋体" w:hAnsi="新宋体" w:eastAsia="新宋体" w:cs="新宋体"/>
          <w:color w:val="auto"/>
          <w:sz w:val="22"/>
          <w:szCs w:val="22"/>
          <w:highlight w:val="none"/>
          <w:lang w:val="en-US" w:eastAsia="zh-CN"/>
        </w:rPr>
        <w:t>磋商</w:t>
      </w:r>
      <w:r>
        <w:rPr>
          <w:rFonts w:hint="eastAsia" w:ascii="新宋体" w:hAnsi="新宋体" w:eastAsia="新宋体" w:cs="新宋体"/>
          <w:color w:val="auto"/>
          <w:sz w:val="22"/>
          <w:szCs w:val="22"/>
          <w:highlight w:val="none"/>
        </w:rPr>
        <w:t>文件第</w:t>
      </w:r>
      <w:r>
        <w:rPr>
          <w:rFonts w:hint="eastAsia" w:ascii="新宋体" w:hAnsi="新宋体" w:eastAsia="新宋体" w:cs="新宋体"/>
          <w:color w:val="auto"/>
          <w:sz w:val="22"/>
          <w:szCs w:val="22"/>
          <w:highlight w:val="none"/>
          <w:lang w:val="en-US" w:eastAsia="zh-CN"/>
        </w:rPr>
        <w:t>四</w:t>
      </w:r>
      <w:r>
        <w:rPr>
          <w:rFonts w:hint="eastAsia" w:ascii="新宋体" w:hAnsi="新宋体" w:eastAsia="新宋体" w:cs="新宋体"/>
          <w:color w:val="auto"/>
          <w:sz w:val="22"/>
          <w:szCs w:val="22"/>
          <w:highlight w:val="none"/>
          <w:lang w:eastAsia="zh-CN"/>
        </w:rPr>
        <w:t>部分</w:t>
      </w:r>
      <w:r>
        <w:rPr>
          <w:rFonts w:hint="eastAsia" w:ascii="新宋体" w:hAnsi="新宋体" w:eastAsia="新宋体" w:cs="新宋体"/>
          <w:color w:val="auto"/>
          <w:sz w:val="22"/>
          <w:szCs w:val="22"/>
          <w:highlight w:val="none"/>
        </w:rPr>
        <w:t>采购内容及要求及</w:t>
      </w:r>
      <w:r>
        <w:rPr>
          <w:rFonts w:hint="eastAsia" w:ascii="新宋体" w:hAnsi="新宋体" w:eastAsia="新宋体" w:cs="新宋体"/>
          <w:color w:val="auto"/>
          <w:sz w:val="22"/>
          <w:szCs w:val="22"/>
          <w:highlight w:val="none"/>
          <w:lang w:eastAsia="zh-CN"/>
        </w:rPr>
        <w:t>报价文件</w:t>
      </w:r>
      <w:r>
        <w:rPr>
          <w:rFonts w:hint="eastAsia" w:ascii="新宋体" w:hAnsi="新宋体" w:eastAsia="新宋体" w:cs="新宋体"/>
          <w:color w:val="auto"/>
          <w:sz w:val="22"/>
          <w:szCs w:val="22"/>
          <w:highlight w:val="none"/>
        </w:rPr>
        <w:t>执行</w:t>
      </w:r>
      <w:r>
        <w:rPr>
          <w:rFonts w:hint="eastAsia" w:ascii="新宋体" w:hAnsi="新宋体" w:eastAsia="新宋体" w:cs="新宋体"/>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按审核后的</w:t>
      </w:r>
      <w:r>
        <w:rPr>
          <w:rFonts w:hint="eastAsia" w:ascii="新宋体" w:hAnsi="新宋体" w:eastAsia="新宋体" w:cs="新宋体"/>
          <w:color w:val="auto"/>
          <w:sz w:val="22"/>
          <w:szCs w:val="22"/>
          <w:highlight w:val="none"/>
          <w:lang w:val="en-US" w:eastAsia="zh-CN"/>
        </w:rPr>
        <w:t>灭治</w:t>
      </w:r>
      <w:r>
        <w:rPr>
          <w:rFonts w:hint="eastAsia" w:ascii="新宋体" w:hAnsi="新宋体" w:eastAsia="新宋体" w:cs="新宋体"/>
          <w:color w:val="auto"/>
          <w:sz w:val="22"/>
          <w:szCs w:val="22"/>
          <w:highlight w:val="none"/>
          <w:lang w:eastAsia="zh-CN"/>
        </w:rPr>
        <w:t>方案实施，</w:t>
      </w:r>
      <w:r>
        <w:rPr>
          <w:rFonts w:hint="eastAsia" w:ascii="新宋体" w:hAnsi="新宋体" w:eastAsia="新宋体" w:cs="新宋体"/>
          <w:color w:val="auto"/>
          <w:sz w:val="22"/>
          <w:szCs w:val="22"/>
          <w:highlight w:val="none"/>
          <w:lang w:val="en-US" w:eastAsia="zh-CN"/>
        </w:rPr>
        <w:t>确保灭治效果，完成预期灭治目标。</w:t>
      </w:r>
    </w:p>
    <w:p>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六、监督与沟通：</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1、乙方应诚实信用，严格按照</w:t>
      </w:r>
      <w:r>
        <w:rPr>
          <w:rFonts w:hint="eastAsia" w:ascii="新宋体" w:hAnsi="新宋体" w:eastAsia="新宋体" w:cs="新宋体"/>
          <w:color w:val="auto"/>
          <w:sz w:val="22"/>
          <w:szCs w:val="22"/>
          <w:highlight w:val="none"/>
          <w:lang w:eastAsia="zh-CN"/>
        </w:rPr>
        <w:t>采购</w:t>
      </w:r>
      <w:r>
        <w:rPr>
          <w:rFonts w:hint="eastAsia" w:ascii="新宋体" w:hAnsi="新宋体" w:eastAsia="新宋体" w:cs="新宋体"/>
          <w:color w:val="auto"/>
          <w:sz w:val="22"/>
          <w:szCs w:val="22"/>
          <w:highlight w:val="none"/>
        </w:rPr>
        <w:t>文件要求和承诺履行合同，不向甲方进行商业贿赂或者提供不正当利益。</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2、因履行本合同引起的或与本合同有关的争议，甲、乙双方应首先通过友好协商解决，如果协商不能解决争议，任何一方可向甲方所在地人民法院起诉。</w:t>
      </w:r>
    </w:p>
    <w:p>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七、双方约定的其他事项：</w:t>
      </w:r>
    </w:p>
    <w:p>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default" w:ascii="新宋体" w:hAnsi="新宋体" w:eastAsia="新宋体" w:cs="新宋体"/>
          <w:b/>
          <w:bCs/>
          <w:color w:val="auto"/>
          <w:sz w:val="22"/>
          <w:szCs w:val="22"/>
          <w:highlight w:val="none"/>
          <w:u w:val="single"/>
          <w:lang w:val="en-US" w:eastAsia="zh-CN"/>
        </w:rPr>
      </w:pPr>
      <w:r>
        <w:rPr>
          <w:rFonts w:hint="eastAsia" w:ascii="新宋体" w:hAnsi="新宋体" w:eastAsia="新宋体" w:cs="新宋体"/>
          <w:b/>
          <w:bCs/>
          <w:color w:val="auto"/>
          <w:sz w:val="22"/>
          <w:szCs w:val="2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eastAsia="zh-CN"/>
        </w:rPr>
        <w:t>八</w:t>
      </w:r>
      <w:r>
        <w:rPr>
          <w:rFonts w:hint="eastAsia" w:ascii="新宋体" w:hAnsi="新宋体" w:eastAsia="新宋体" w:cs="新宋体"/>
          <w:b/>
          <w:bCs/>
          <w:color w:val="auto"/>
          <w:sz w:val="22"/>
          <w:szCs w:val="22"/>
          <w:highlight w:val="none"/>
        </w:rPr>
        <w:t>、合同生效：</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1、如</w:t>
      </w:r>
      <w:r>
        <w:rPr>
          <w:rFonts w:hint="eastAsia" w:ascii="新宋体" w:hAnsi="新宋体" w:eastAsia="新宋体" w:cs="新宋体"/>
          <w:color w:val="auto"/>
          <w:sz w:val="22"/>
          <w:szCs w:val="22"/>
          <w:highlight w:val="none"/>
          <w:lang w:val="en-US" w:eastAsia="zh-CN"/>
        </w:rPr>
        <w:t>磋商</w:t>
      </w:r>
      <w:r>
        <w:rPr>
          <w:rFonts w:hint="eastAsia" w:ascii="新宋体" w:hAnsi="新宋体" w:eastAsia="新宋体" w:cs="新宋体"/>
          <w:color w:val="auto"/>
          <w:sz w:val="22"/>
          <w:szCs w:val="22"/>
          <w:highlight w:val="none"/>
        </w:rPr>
        <w:t>文件与本合同有不符之处，以有利于</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的为准。</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2、本合同一式五份，双方各执二份，双方签字盖章后生效，违约及其处罚按</w:t>
      </w:r>
      <w:r>
        <w:rPr>
          <w:rFonts w:hint="eastAsia" w:ascii="新宋体" w:hAnsi="新宋体" w:eastAsia="新宋体" w:cs="新宋体"/>
          <w:color w:val="auto"/>
          <w:sz w:val="22"/>
          <w:szCs w:val="22"/>
          <w:highlight w:val="none"/>
          <w:lang w:eastAsia="zh-CN"/>
        </w:rPr>
        <w:t>《中华人民共和国民法典》</w:t>
      </w:r>
      <w:r>
        <w:rPr>
          <w:rFonts w:hint="eastAsia" w:ascii="新宋体" w:hAnsi="新宋体" w:eastAsia="新宋体" w:cs="新宋体"/>
          <w:color w:val="auto"/>
          <w:sz w:val="22"/>
          <w:szCs w:val="22"/>
          <w:highlight w:val="none"/>
        </w:rPr>
        <w:t>及本合</w:t>
      </w:r>
      <w:r>
        <w:rPr>
          <w:rFonts w:hint="eastAsia" w:ascii="新宋体" w:hAnsi="新宋体" w:eastAsia="新宋体" w:cs="新宋体"/>
          <w:bCs/>
          <w:color w:val="auto"/>
          <w:sz w:val="22"/>
          <w:szCs w:val="22"/>
          <w:highlight w:val="none"/>
        </w:rPr>
        <w:t>同有关条款执行。</w:t>
      </w:r>
      <w:r>
        <w:rPr>
          <w:rFonts w:hint="eastAsia" w:ascii="新宋体" w:hAnsi="新宋体" w:eastAsia="新宋体" w:cs="新宋体"/>
          <w:b/>
          <w:color w:val="auto"/>
          <w:sz w:val="22"/>
          <w:szCs w:val="22"/>
          <w:highlight w:val="none"/>
        </w:rPr>
        <w:t>一份送招标代理公司备案。</w:t>
      </w:r>
    </w:p>
    <w:p>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eastAsia="zh-CN"/>
        </w:rPr>
        <w:t>九</w:t>
      </w:r>
      <w:r>
        <w:rPr>
          <w:rFonts w:hint="eastAsia" w:ascii="新宋体" w:hAnsi="新宋体" w:eastAsia="新宋体" w:cs="新宋体"/>
          <w:b/>
          <w:bCs/>
          <w:color w:val="auto"/>
          <w:sz w:val="22"/>
          <w:szCs w:val="22"/>
          <w:highlight w:val="none"/>
        </w:rPr>
        <w:t>、合同修改：</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除了双方签署书面修改合同，并成为本合同不可分割的一部分之外，本合同条件不得有任何变化或修改。</w:t>
      </w:r>
    </w:p>
    <w:p>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eastAsia="zh-CN"/>
        </w:rPr>
        <w:t>十</w:t>
      </w:r>
      <w:r>
        <w:rPr>
          <w:rFonts w:hint="eastAsia" w:ascii="新宋体" w:hAnsi="新宋体" w:eastAsia="新宋体" w:cs="新宋体"/>
          <w:b/>
          <w:bCs/>
          <w:color w:val="auto"/>
          <w:sz w:val="22"/>
          <w:szCs w:val="22"/>
          <w:highlight w:val="none"/>
        </w:rPr>
        <w:t>、合同附件</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下列文件与本合</w:t>
      </w:r>
      <w:r>
        <w:rPr>
          <w:rFonts w:hint="eastAsia" w:ascii="新宋体" w:hAnsi="新宋体" w:eastAsia="新宋体" w:cs="新宋体"/>
          <w:color w:val="auto"/>
          <w:sz w:val="22"/>
          <w:szCs w:val="22"/>
          <w:highlight w:val="none"/>
          <w:lang w:val="zh-CN"/>
        </w:rPr>
        <w:t>同具有同等法律效力</w:t>
      </w:r>
      <w:r>
        <w:rPr>
          <w:rFonts w:hint="eastAsia" w:ascii="新宋体" w:hAnsi="新宋体" w:eastAsia="新宋体" w:cs="新宋体"/>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lang w:eastAsia="zh-CN"/>
        </w:rPr>
        <w:t>人</w:t>
      </w:r>
      <w:r>
        <w:rPr>
          <w:rFonts w:hint="eastAsia" w:ascii="新宋体" w:hAnsi="新宋体" w:eastAsia="新宋体" w:cs="新宋体"/>
          <w:color w:val="auto"/>
          <w:sz w:val="22"/>
          <w:szCs w:val="22"/>
          <w:highlight w:val="none"/>
        </w:rPr>
        <w:t>的</w:t>
      </w:r>
      <w:r>
        <w:rPr>
          <w:rFonts w:hint="eastAsia" w:ascii="新宋体" w:hAnsi="新宋体" w:eastAsia="新宋体" w:cs="新宋体"/>
          <w:color w:val="auto"/>
          <w:sz w:val="22"/>
          <w:szCs w:val="22"/>
          <w:highlight w:val="none"/>
          <w:lang w:val="en-US" w:eastAsia="zh-CN"/>
        </w:rPr>
        <w:t>磋商</w:t>
      </w:r>
      <w:r>
        <w:rPr>
          <w:rFonts w:hint="eastAsia" w:ascii="新宋体" w:hAnsi="新宋体" w:eastAsia="新宋体" w:cs="新宋体"/>
          <w:color w:val="auto"/>
          <w:sz w:val="22"/>
          <w:szCs w:val="22"/>
          <w:highlight w:val="none"/>
        </w:rPr>
        <w:t>文件与采购补充文件</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2、乙方的</w:t>
      </w:r>
      <w:r>
        <w:rPr>
          <w:rFonts w:hint="eastAsia" w:ascii="新宋体" w:hAnsi="新宋体" w:eastAsia="新宋体" w:cs="新宋体"/>
          <w:color w:val="auto"/>
          <w:sz w:val="22"/>
          <w:szCs w:val="22"/>
          <w:highlight w:val="none"/>
          <w:lang w:eastAsia="zh-CN"/>
        </w:rPr>
        <w:t>投标和报价</w:t>
      </w:r>
      <w:r>
        <w:rPr>
          <w:rFonts w:hint="eastAsia" w:ascii="新宋体" w:hAnsi="新宋体" w:eastAsia="新宋体" w:cs="新宋体"/>
          <w:color w:val="auto"/>
          <w:sz w:val="22"/>
          <w:szCs w:val="22"/>
          <w:highlight w:val="none"/>
        </w:rPr>
        <w:t>文件</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3、承诺书（函）、声明函、证明材料</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val="en-US" w:eastAsia="zh-CN"/>
        </w:rPr>
        <w:t>成交</w:t>
      </w:r>
      <w:r>
        <w:rPr>
          <w:rFonts w:hint="eastAsia" w:ascii="新宋体" w:hAnsi="新宋体" w:eastAsia="新宋体" w:cs="新宋体"/>
          <w:color w:val="auto"/>
          <w:sz w:val="22"/>
          <w:szCs w:val="22"/>
          <w:highlight w:val="none"/>
        </w:rPr>
        <w:t>通知书。</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甲方（盖章）：                        乙方（盖章）：</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单位负责人：                          单位负责人：</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开户银行：                            开户银行：</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开户名称：                            开户名称：</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账号：                                账号：</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签约日期：                            签约地点：</w:t>
      </w:r>
    </w:p>
    <w:p>
      <w:pPr>
        <w:pStyle w:val="2"/>
        <w:bidi w:val="0"/>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r>
        <w:rPr>
          <w:rFonts w:hint="eastAsia" w:ascii="新宋体" w:hAnsi="新宋体" w:eastAsia="新宋体" w:cs="新宋体"/>
          <w:color w:val="auto"/>
          <w:highlight w:val="none"/>
        </w:rPr>
        <w:t>第三部分    附件</w:t>
      </w:r>
      <w:bookmarkEnd w:id="16"/>
    </w:p>
    <w:p>
      <w:pPr>
        <w:pStyle w:val="22"/>
        <w:spacing w:line="460" w:lineRule="exact"/>
        <w:ind w:left="433" w:hanging="433" w:hangingChars="196"/>
        <w:outlineLvl w:val="1"/>
        <w:rPr>
          <w:rFonts w:hint="eastAsia" w:ascii="新宋体" w:hAnsi="新宋体" w:eastAsia="新宋体" w:cs="新宋体"/>
          <w:b/>
          <w:color w:val="auto"/>
          <w:sz w:val="22"/>
          <w:highlight w:val="none"/>
        </w:rPr>
      </w:pPr>
      <w:bookmarkStart w:id="18" w:name="_Toc5867"/>
      <w:r>
        <w:rPr>
          <w:rFonts w:hint="eastAsia" w:ascii="新宋体" w:hAnsi="新宋体" w:eastAsia="新宋体" w:cs="新宋体"/>
          <w:b/>
          <w:color w:val="auto"/>
          <w:sz w:val="22"/>
          <w:highlight w:val="none"/>
        </w:rPr>
        <w:t>附件一</w:t>
      </w:r>
      <w:bookmarkEnd w:id="18"/>
    </w:p>
    <w:p>
      <w:pPr>
        <w:pStyle w:val="5"/>
        <w:keepNext w:val="0"/>
        <w:keepLines w:val="0"/>
        <w:tabs>
          <w:tab w:val="left" w:pos="774"/>
        </w:tabs>
        <w:autoSpaceDE w:val="0"/>
        <w:autoSpaceDN w:val="0"/>
        <w:spacing w:before="240" w:line="460" w:lineRule="exact"/>
        <w:ind w:left="777" w:hanging="578"/>
        <w:jc w:val="center"/>
        <w:rPr>
          <w:rFonts w:hint="eastAsia" w:ascii="新宋体" w:hAnsi="新宋体" w:eastAsia="新宋体" w:cs="新宋体"/>
          <w:bCs/>
          <w:color w:val="auto"/>
          <w:szCs w:val="28"/>
          <w:highlight w:val="none"/>
        </w:rPr>
      </w:pPr>
      <w:bookmarkStart w:id="19" w:name="_Toc21449"/>
      <w:r>
        <w:rPr>
          <w:rFonts w:hint="eastAsia" w:ascii="新宋体" w:hAnsi="新宋体" w:eastAsia="新宋体" w:cs="新宋体"/>
          <w:bCs/>
          <w:color w:val="auto"/>
          <w:szCs w:val="28"/>
          <w:highlight w:val="none"/>
        </w:rPr>
        <w:t>报价文件</w:t>
      </w:r>
      <w:bookmarkEnd w:id="19"/>
    </w:p>
    <w:p>
      <w:pPr>
        <w:spacing w:line="460" w:lineRule="exact"/>
        <w:jc w:val="center"/>
        <w:outlineLvl w:val="3"/>
        <w:rPr>
          <w:rFonts w:hint="eastAsia" w:ascii="新宋体" w:hAnsi="新宋体" w:eastAsia="新宋体" w:cs="新宋体"/>
          <w:bCs/>
          <w:color w:val="auto"/>
          <w:szCs w:val="28"/>
          <w:highlight w:val="none"/>
          <w:lang w:val="zh-CN"/>
        </w:rPr>
      </w:pPr>
      <w:r>
        <w:rPr>
          <w:rFonts w:hint="eastAsia" w:ascii="新宋体" w:hAnsi="新宋体" w:eastAsia="新宋体" w:cs="新宋体"/>
          <w:b/>
          <w:bCs/>
          <w:color w:val="auto"/>
          <w:sz w:val="28"/>
          <w:szCs w:val="28"/>
          <w:highlight w:val="none"/>
        </w:rPr>
        <w:t>1、</w:t>
      </w:r>
      <w:r>
        <w:rPr>
          <w:rFonts w:hint="eastAsia" w:ascii="新宋体" w:hAnsi="新宋体" w:eastAsia="新宋体" w:cs="新宋体"/>
          <w:b/>
          <w:bCs/>
          <w:color w:val="auto"/>
          <w:sz w:val="28"/>
          <w:szCs w:val="28"/>
          <w:highlight w:val="none"/>
          <w:lang w:val="zh-CN"/>
        </w:rPr>
        <w:t>磋商响应函</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lang w:eastAsia="zh-CN"/>
        </w:rPr>
        <w:t>温州市洞头区房产管理服务中心</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项目（项目编号：</w:t>
      </w:r>
      <w:r>
        <w:rPr>
          <w:rFonts w:hint="eastAsia" w:ascii="新宋体" w:hAnsi="新宋体" w:eastAsia="新宋体" w:cs="新宋体"/>
          <w:b/>
          <w:color w:val="auto"/>
          <w:sz w:val="22"/>
          <w:szCs w:val="22"/>
          <w:highlight w:val="none"/>
          <w:u w:val="single"/>
        </w:rPr>
        <w:t xml:space="preserve">        </w:t>
      </w:r>
      <w:r>
        <w:rPr>
          <w:rFonts w:hint="eastAsia" w:ascii="新宋体" w:hAnsi="新宋体" w:eastAsia="新宋体" w:cs="新宋体"/>
          <w:color w:val="auto"/>
          <w:sz w:val="22"/>
          <w:szCs w:val="22"/>
          <w:highlight w:val="none"/>
        </w:rPr>
        <w:t>）的磋商邀请，我方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（磋商供应商名称）作为磋商供应商正式授权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（授权代表全名，职务）代表我方处理有关本磋商的一切事宜。为此：</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1、我方同意在磋商供应商</w:t>
      </w:r>
      <w:r>
        <w:rPr>
          <w:rFonts w:hint="eastAsia" w:ascii="新宋体" w:hAnsi="新宋体" w:eastAsia="新宋体" w:cs="新宋体"/>
          <w:color w:val="auto"/>
          <w:kern w:val="44"/>
          <w:sz w:val="22"/>
          <w:szCs w:val="22"/>
          <w:highlight w:val="none"/>
        </w:rPr>
        <w:t>编制和提交磋商响应文件须知</w:t>
      </w:r>
      <w:r>
        <w:rPr>
          <w:rFonts w:hint="eastAsia" w:ascii="新宋体" w:hAnsi="新宋体" w:eastAsia="新宋体" w:cs="新宋体"/>
          <w:color w:val="auto"/>
          <w:sz w:val="22"/>
          <w:szCs w:val="22"/>
          <w:highlight w:val="none"/>
        </w:rPr>
        <w:t>规定的开标日期起遵守本磋商响应文件中的承诺且在磋商有效期满之前均具有约束力。</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2、我方承诺已经具备《中华人民共和国政府采购法》中规定的参加政府采购活动的供应商应当具备的条件：</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具有独立承担民事责任的能力；</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遵守国家法律、行政法规，具有良好的信誉和商业道德；</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具有履行合同的能力和良好的履行合同记录；</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良好的资金、财务状况；</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提供的产品和服务符合中国政府规定的相应标准和环保标准；</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没有违反政府采购法规、政策的记录；</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没有发生重大经济纠纷和走私犯罪记录。</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w:t>
      </w:r>
      <w:r>
        <w:rPr>
          <w:rFonts w:hint="eastAsia" w:ascii="新宋体" w:hAnsi="新宋体" w:eastAsia="新宋体" w:cs="新宋体"/>
          <w:color w:val="auto"/>
          <w:kern w:val="44"/>
          <w:sz w:val="22"/>
          <w:szCs w:val="22"/>
          <w:highlight w:val="none"/>
        </w:rPr>
        <w:t>编制和提交磋商响应文件须知</w:t>
      </w:r>
      <w:r>
        <w:rPr>
          <w:rFonts w:hint="eastAsia" w:ascii="新宋体" w:hAnsi="新宋体" w:eastAsia="新宋体" w:cs="新宋体"/>
          <w:color w:val="auto"/>
          <w:sz w:val="22"/>
          <w:szCs w:val="22"/>
          <w:highlight w:val="none"/>
        </w:rPr>
        <w:t>规定的全部磋商响应文件，包括资格文件、报价文件、商务技术文件。具体内容为：</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资格文件</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报价文件；</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zh-CN"/>
        </w:rPr>
        <w:t>商务</w:t>
      </w:r>
      <w:r>
        <w:rPr>
          <w:rFonts w:hint="eastAsia" w:ascii="新宋体" w:hAnsi="新宋体" w:eastAsia="新宋体" w:cs="新宋体"/>
          <w:color w:val="auto"/>
          <w:kern w:val="0"/>
          <w:sz w:val="22"/>
          <w:szCs w:val="22"/>
          <w:highlight w:val="none"/>
          <w:lang w:val="zh-CN"/>
        </w:rPr>
        <w:t>技术文件</w:t>
      </w:r>
      <w:r>
        <w:rPr>
          <w:rFonts w:hint="eastAsia" w:ascii="新宋体" w:hAnsi="新宋体" w:eastAsia="新宋体" w:cs="新宋体"/>
          <w:color w:val="auto"/>
          <w:sz w:val="22"/>
          <w:szCs w:val="22"/>
          <w:highlight w:val="none"/>
        </w:rPr>
        <w:t>；</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44"/>
          <w:sz w:val="22"/>
          <w:szCs w:val="22"/>
          <w:highlight w:val="none"/>
        </w:rPr>
        <w:t>编制和提交磋商响应文件须知</w:t>
      </w:r>
      <w:r>
        <w:rPr>
          <w:rFonts w:hint="eastAsia" w:ascii="新宋体" w:hAnsi="新宋体" w:eastAsia="新宋体" w:cs="新宋体"/>
          <w:color w:val="auto"/>
          <w:sz w:val="22"/>
          <w:szCs w:val="22"/>
          <w:highlight w:val="none"/>
        </w:rPr>
        <w:t>要求磋商供应商提交的全部文件；</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按磋商文件要求提供和交付的货物和服务的报价详见开标一览表；</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保证忠实地执行双方所签订的合同，并承担合同规定的责任和义务；</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保证遵守磋商文件中的其他有关规定。</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4、磋商有效期内不撤销磋商响应文件，如成交，有效期将延至合同终止日为止。</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6、如成交，按磋商文件规定与采购人签订合同。如拒绝签订合同，承诺按本项目预算金额的2%对采购人进行赔偿；赔偿金额不足以弥补采购人损失的，承诺继续承担超过部分的损失。</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7、如成交，按磋商文件规定的采购代理服务费标准，在领取成交通知书时向采购代理机构支付采购代理服务费。</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8、我方愿意向贵方提供任何与该项磋商有关的数据、情况和服务资料。若贵方需要，我方愿意提供我方作出的一切承诺的证明材料。</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9、我方已详细审核全部磋商文件，包括磋商文件修改书（如有的话）、参考资料及有关附件，确认无误。我方完全理解并接受磋商文件的各项规定和要求，对磋商文件的合理性、合法性不再有异议。</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提供虚假材料谋取成交、成交的；</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采取不正当手段诋毁、排挤其他供应商的；</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与采购人、其它供应商或者采购代理机构恶意串通的；</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向采购人、采购代理机构行贿或者提供其他不正当利益的；</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拒绝有关部门监督检查或提供虚假情况的。</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供应商有前款第</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项情形之一的，成交、成交无效。</w:t>
      </w:r>
    </w:p>
    <w:p>
      <w:pPr>
        <w:tabs>
          <w:tab w:val="left" w:pos="360"/>
        </w:tabs>
        <w:spacing w:line="460" w:lineRule="exact"/>
        <w:ind w:firstLine="440" w:firstLineChars="200"/>
        <w:rPr>
          <w:rFonts w:hint="eastAsia" w:ascii="新宋体" w:hAnsi="新宋体" w:eastAsia="新宋体" w:cs="新宋体"/>
          <w:color w:val="auto"/>
          <w:kern w:val="0"/>
          <w:sz w:val="22"/>
          <w:szCs w:val="22"/>
          <w:highlight w:val="none"/>
          <w:lang w:val="zh-CN"/>
        </w:rPr>
      </w:pPr>
    </w:p>
    <w:p>
      <w:pPr>
        <w:tabs>
          <w:tab w:val="left" w:pos="360"/>
        </w:tabs>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法定（授权）代表人（签字）：</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rPr>
        <w:tab/>
      </w:r>
    </w:p>
    <w:p>
      <w:pPr>
        <w:tabs>
          <w:tab w:val="left" w:pos="360"/>
        </w:tabs>
        <w:spacing w:line="460" w:lineRule="exact"/>
        <w:ind w:firstLine="440" w:firstLineChars="200"/>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lang w:val="zh-CN"/>
        </w:rPr>
        <w:t>磋商供应商盖 章：</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u w:val="single"/>
          <w:lang w:val="zh-CN"/>
        </w:rPr>
        <w:t xml:space="preserve">                      </w:t>
      </w:r>
    </w:p>
    <w:p>
      <w:pPr>
        <w:tabs>
          <w:tab w:val="left" w:pos="360"/>
        </w:tabs>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 xml:space="preserve">联系电话：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电子邮件：</w:t>
      </w:r>
      <w:r>
        <w:rPr>
          <w:rFonts w:hint="eastAsia" w:ascii="新宋体" w:hAnsi="新宋体" w:eastAsia="新宋体" w:cs="新宋体"/>
          <w:color w:val="auto"/>
          <w:kern w:val="0"/>
          <w:sz w:val="22"/>
          <w:szCs w:val="22"/>
          <w:highlight w:val="none"/>
          <w:u w:val="single"/>
          <w:lang w:val="zh-CN"/>
        </w:rPr>
        <w:t xml:space="preserve">                </w:t>
      </w:r>
    </w:p>
    <w:p>
      <w:pPr>
        <w:tabs>
          <w:tab w:val="left" w:pos="360"/>
        </w:tabs>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联系地址：</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u w:val="single"/>
          <w:lang w:val="zh-CN"/>
        </w:rPr>
        <w:t xml:space="preserve">                                  </w:t>
      </w:r>
    </w:p>
    <w:p>
      <w:pPr>
        <w:tabs>
          <w:tab w:val="left" w:pos="360"/>
        </w:tabs>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邮政编码：</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传真号码：</w:t>
      </w:r>
      <w:r>
        <w:rPr>
          <w:rFonts w:hint="eastAsia" w:ascii="新宋体" w:hAnsi="新宋体" w:eastAsia="新宋体" w:cs="新宋体"/>
          <w:color w:val="auto"/>
          <w:kern w:val="0"/>
          <w:sz w:val="22"/>
          <w:szCs w:val="22"/>
          <w:highlight w:val="none"/>
          <w:u w:val="single"/>
          <w:lang w:val="zh-CN"/>
        </w:rPr>
        <w:t xml:space="preserve">                     </w:t>
      </w:r>
    </w:p>
    <w:p>
      <w:pPr>
        <w:tabs>
          <w:tab w:val="left" w:pos="360"/>
        </w:tabs>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lang w:val="zh-CN"/>
        </w:rPr>
        <w:t>日</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期</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lang w:val="zh-CN"/>
        </w:rPr>
        <w:t>年</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lang w:val="zh-CN"/>
        </w:rPr>
        <w:t>月</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日</w:t>
      </w:r>
    </w:p>
    <w:p>
      <w:pPr>
        <w:tabs>
          <w:tab w:val="left" w:pos="360"/>
        </w:tabs>
        <w:spacing w:line="460" w:lineRule="exact"/>
        <w:ind w:firstLine="442" w:firstLineChars="200"/>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注：未按照本磋商响应函要求填报的将被视为非实质性响应，从而可能导致该磋商响应文件被拒绝。</w:t>
      </w:r>
    </w:p>
    <w:p>
      <w:pPr>
        <w:pStyle w:val="22"/>
        <w:ind w:left="442" w:hanging="442"/>
        <w:rPr>
          <w:rFonts w:hint="eastAsia" w:ascii="新宋体" w:hAnsi="新宋体" w:eastAsia="新宋体" w:cs="新宋体"/>
          <w:b/>
          <w:bCs/>
          <w:color w:val="auto"/>
          <w:kern w:val="0"/>
          <w:sz w:val="22"/>
          <w:szCs w:val="22"/>
          <w:highlight w:val="none"/>
          <w:lang w:val="zh-CN"/>
        </w:rPr>
      </w:pPr>
    </w:p>
    <w:p>
      <w:pPr>
        <w:pStyle w:val="22"/>
        <w:ind w:left="442" w:hanging="442"/>
        <w:rPr>
          <w:rFonts w:hint="eastAsia" w:ascii="新宋体" w:hAnsi="新宋体" w:eastAsia="新宋体" w:cs="新宋体"/>
          <w:b/>
          <w:bCs/>
          <w:color w:val="auto"/>
          <w:kern w:val="0"/>
          <w:sz w:val="22"/>
          <w:szCs w:val="22"/>
          <w:highlight w:val="none"/>
          <w:lang w:val="zh-CN"/>
        </w:rPr>
      </w:pPr>
    </w:p>
    <w:p>
      <w:pPr>
        <w:pStyle w:val="22"/>
        <w:ind w:left="442" w:hanging="442"/>
        <w:rPr>
          <w:rFonts w:hint="eastAsia" w:ascii="新宋体" w:hAnsi="新宋体" w:eastAsia="新宋体" w:cs="新宋体"/>
          <w:b/>
          <w:bCs/>
          <w:color w:val="auto"/>
          <w:kern w:val="0"/>
          <w:sz w:val="22"/>
          <w:szCs w:val="22"/>
          <w:highlight w:val="none"/>
          <w:lang w:val="zh-CN"/>
        </w:rPr>
      </w:pPr>
    </w:p>
    <w:p>
      <w:pPr>
        <w:pStyle w:val="22"/>
        <w:ind w:left="442" w:hanging="442"/>
        <w:rPr>
          <w:rFonts w:hint="eastAsia" w:ascii="新宋体" w:hAnsi="新宋体" w:eastAsia="新宋体" w:cs="新宋体"/>
          <w:b/>
          <w:bCs/>
          <w:color w:val="auto"/>
          <w:kern w:val="0"/>
          <w:sz w:val="22"/>
          <w:szCs w:val="22"/>
          <w:highlight w:val="none"/>
          <w:lang w:val="zh-CN"/>
        </w:rPr>
      </w:pPr>
    </w:p>
    <w:p>
      <w:pPr>
        <w:pStyle w:val="22"/>
        <w:ind w:left="0" w:leftChars="0" w:firstLine="0" w:firstLineChars="0"/>
        <w:rPr>
          <w:rFonts w:hint="eastAsia" w:ascii="新宋体" w:hAnsi="新宋体" w:eastAsia="新宋体" w:cs="新宋体"/>
          <w:b/>
          <w:bCs/>
          <w:color w:val="auto"/>
          <w:kern w:val="0"/>
          <w:sz w:val="22"/>
          <w:szCs w:val="22"/>
          <w:highlight w:val="none"/>
          <w:lang w:val="zh-CN"/>
        </w:rPr>
      </w:pPr>
    </w:p>
    <w:p>
      <w:pPr>
        <w:spacing w:line="400" w:lineRule="exact"/>
        <w:jc w:val="center"/>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8"/>
          <w:szCs w:val="28"/>
          <w:highlight w:val="none"/>
        </w:rPr>
        <w:br w:type="page"/>
      </w:r>
      <w:r>
        <w:rPr>
          <w:rFonts w:hint="eastAsia" w:ascii="新宋体" w:hAnsi="新宋体" w:eastAsia="新宋体" w:cs="新宋体"/>
          <w:b/>
          <w:bCs/>
          <w:color w:val="auto"/>
          <w:sz w:val="28"/>
          <w:szCs w:val="28"/>
          <w:highlight w:val="none"/>
        </w:rPr>
        <w:t>2、报价一览表</w:t>
      </w:r>
      <w:r>
        <w:rPr>
          <w:rFonts w:hint="eastAsia" w:ascii="新宋体" w:hAnsi="新宋体" w:eastAsia="新宋体" w:cs="新宋体"/>
          <w:b/>
          <w:bCs/>
          <w:color w:val="auto"/>
          <w:sz w:val="22"/>
          <w:szCs w:val="22"/>
          <w:highlight w:val="none"/>
        </w:rPr>
        <w:t xml:space="preserve"> </w:t>
      </w:r>
    </w:p>
    <w:p>
      <w:pPr>
        <w:spacing w:line="380" w:lineRule="exact"/>
        <w:rPr>
          <w:rFonts w:hint="eastAsia" w:ascii="新宋体" w:hAnsi="新宋体" w:eastAsia="新宋体" w:cs="新宋体"/>
          <w:b/>
          <w:bCs/>
          <w:color w:val="auto"/>
          <w:sz w:val="22"/>
          <w:szCs w:val="22"/>
          <w:highlight w:val="none"/>
        </w:rPr>
      </w:pPr>
    </w:p>
    <w:p>
      <w:pPr>
        <w:spacing w:line="360" w:lineRule="auto"/>
        <w:jc w:val="left"/>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项 目 编 号：</w:t>
      </w:r>
      <w:r>
        <w:rPr>
          <w:rFonts w:hint="eastAsia" w:ascii="新宋体" w:hAnsi="新宋体" w:eastAsia="新宋体" w:cs="新宋体"/>
          <w:bCs/>
          <w:color w:val="auto"/>
          <w:sz w:val="22"/>
          <w:szCs w:val="22"/>
          <w:highlight w:val="none"/>
          <w:lang w:eastAsia="zh-CN"/>
        </w:rPr>
        <w:t>DTCG20231213141</w:t>
      </w:r>
    </w:p>
    <w:p>
      <w:pPr>
        <w:spacing w:line="360" w:lineRule="auto"/>
        <w:jc w:val="left"/>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项 目 名 称：</w:t>
      </w:r>
      <w:r>
        <w:rPr>
          <w:rFonts w:hint="eastAsia" w:ascii="新宋体" w:hAnsi="新宋体" w:eastAsia="新宋体" w:cs="新宋体"/>
          <w:bCs/>
          <w:color w:val="auto"/>
          <w:sz w:val="22"/>
          <w:szCs w:val="22"/>
          <w:highlight w:val="none"/>
          <w:lang w:eastAsia="zh-CN"/>
        </w:rPr>
        <w:t>洞头区个人住房白蚁灭治采购服务</w:t>
      </w:r>
    </w:p>
    <w:tbl>
      <w:tblPr>
        <w:tblStyle w:val="52"/>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4290"/>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15" w:type="dxa"/>
            <w:noWrap w:val="0"/>
            <w:vAlign w:val="center"/>
          </w:tcPr>
          <w:p>
            <w:pPr>
              <w:spacing w:line="38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序号</w:t>
            </w:r>
          </w:p>
        </w:tc>
        <w:tc>
          <w:tcPr>
            <w:tcW w:w="4290" w:type="dxa"/>
            <w:noWrap w:val="0"/>
            <w:vAlign w:val="center"/>
          </w:tcPr>
          <w:p>
            <w:pPr>
              <w:spacing w:line="380" w:lineRule="exact"/>
              <w:jc w:val="center"/>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项目</w:t>
            </w:r>
            <w:r>
              <w:rPr>
                <w:rFonts w:hint="eastAsia" w:ascii="新宋体" w:hAnsi="新宋体" w:eastAsia="新宋体" w:cs="新宋体"/>
                <w:bCs/>
                <w:color w:val="auto"/>
                <w:sz w:val="22"/>
                <w:szCs w:val="22"/>
                <w:highlight w:val="none"/>
                <w:lang w:val="en-US" w:eastAsia="zh-CN"/>
              </w:rPr>
              <w:t>内容</w:t>
            </w:r>
          </w:p>
        </w:tc>
        <w:tc>
          <w:tcPr>
            <w:tcW w:w="4690" w:type="dxa"/>
            <w:noWrap w:val="0"/>
            <w:vAlign w:val="center"/>
          </w:tcPr>
          <w:p>
            <w:pPr>
              <w:spacing w:line="38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单价</w:t>
            </w:r>
            <w:r>
              <w:rPr>
                <w:rFonts w:hint="eastAsia" w:ascii="新宋体" w:hAnsi="新宋体" w:eastAsia="新宋体" w:cs="新宋体"/>
                <w:bCs/>
                <w:color w:val="auto"/>
                <w:sz w:val="22"/>
                <w:szCs w:val="22"/>
                <w:highlight w:val="none"/>
                <w:lang w:val="en-US" w:eastAsia="zh-CN"/>
              </w:rPr>
              <w:t>报价</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元/户</w:t>
            </w:r>
            <w:r>
              <w:rPr>
                <w:rFonts w:hint="eastAsia" w:ascii="新宋体" w:hAnsi="新宋体" w:eastAsia="新宋体" w:cs="新宋体"/>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15" w:type="dxa"/>
            <w:noWrap w:val="0"/>
            <w:vAlign w:val="center"/>
          </w:tcPr>
          <w:p>
            <w:pPr>
              <w:spacing w:line="380" w:lineRule="exact"/>
              <w:jc w:val="center"/>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1</w:t>
            </w:r>
          </w:p>
        </w:tc>
        <w:tc>
          <w:tcPr>
            <w:tcW w:w="4290" w:type="dxa"/>
            <w:noWrap w:val="0"/>
            <w:vAlign w:val="center"/>
          </w:tcPr>
          <w:p>
            <w:pPr>
              <w:spacing w:line="3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val="en-US" w:eastAsia="zh-CN"/>
              </w:rPr>
              <w:t>单户100㎡（含）以下</w:t>
            </w:r>
            <w:r>
              <w:rPr>
                <w:rFonts w:hint="eastAsia" w:ascii="新宋体" w:hAnsi="新宋体" w:eastAsia="新宋体" w:cs="新宋体"/>
                <w:bCs/>
                <w:color w:val="auto"/>
                <w:sz w:val="22"/>
                <w:szCs w:val="22"/>
                <w:highlight w:val="none"/>
                <w:lang w:eastAsia="zh-CN"/>
              </w:rPr>
              <w:t>白蚁灭治服务</w:t>
            </w:r>
          </w:p>
        </w:tc>
        <w:tc>
          <w:tcPr>
            <w:tcW w:w="4690" w:type="dxa"/>
            <w:noWrap w:val="0"/>
            <w:vAlign w:val="center"/>
          </w:tcPr>
          <w:p>
            <w:pPr>
              <w:pStyle w:val="6"/>
              <w:rPr>
                <w:rFonts w:hint="eastAsia" w:ascii="新宋体" w:hAnsi="新宋体" w:eastAsia="新宋体" w:cs="新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15" w:type="dxa"/>
            <w:noWrap w:val="0"/>
            <w:vAlign w:val="center"/>
          </w:tcPr>
          <w:p>
            <w:pPr>
              <w:spacing w:line="380" w:lineRule="exact"/>
              <w:jc w:val="center"/>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2</w:t>
            </w:r>
          </w:p>
        </w:tc>
        <w:tc>
          <w:tcPr>
            <w:tcW w:w="4290" w:type="dxa"/>
            <w:noWrap w:val="0"/>
            <w:vAlign w:val="center"/>
          </w:tcPr>
          <w:p>
            <w:pPr>
              <w:spacing w:line="380" w:lineRule="exact"/>
              <w:jc w:val="center"/>
              <w:rPr>
                <w:rFonts w:hint="eastAsia" w:ascii="新宋体" w:hAnsi="新宋体" w:eastAsia="新宋体" w:cs="新宋体"/>
                <w:b w:val="0"/>
                <w:bCs w:val="0"/>
                <w:color w:val="auto"/>
                <w:sz w:val="22"/>
                <w:szCs w:val="18"/>
                <w:highlight w:val="none"/>
                <w:lang w:eastAsia="zh-CN"/>
              </w:rPr>
            </w:pPr>
            <w:r>
              <w:rPr>
                <w:rFonts w:hint="eastAsia" w:ascii="新宋体" w:hAnsi="新宋体" w:eastAsia="新宋体" w:cs="新宋体"/>
                <w:b w:val="0"/>
                <w:bCs w:val="0"/>
                <w:color w:val="auto"/>
                <w:sz w:val="22"/>
                <w:szCs w:val="18"/>
                <w:highlight w:val="none"/>
                <w:lang w:val="en-US" w:eastAsia="zh-CN"/>
              </w:rPr>
              <w:t>单户100㎡-200㎡（含）</w:t>
            </w:r>
            <w:r>
              <w:rPr>
                <w:rFonts w:hint="eastAsia" w:ascii="新宋体" w:hAnsi="新宋体" w:eastAsia="新宋体" w:cs="新宋体"/>
                <w:bCs/>
                <w:color w:val="auto"/>
                <w:sz w:val="22"/>
                <w:szCs w:val="22"/>
                <w:highlight w:val="none"/>
                <w:lang w:eastAsia="zh-CN"/>
              </w:rPr>
              <w:t>白蚁灭治服务</w:t>
            </w:r>
          </w:p>
        </w:tc>
        <w:tc>
          <w:tcPr>
            <w:tcW w:w="4690" w:type="dxa"/>
            <w:noWrap w:val="0"/>
            <w:vAlign w:val="center"/>
          </w:tcPr>
          <w:p>
            <w:pPr>
              <w:pStyle w:val="6"/>
              <w:rPr>
                <w:rFonts w:hint="eastAsia" w:ascii="新宋体" w:hAnsi="新宋体" w:eastAsia="新宋体" w:cs="新宋体"/>
                <w:color w:val="auto"/>
                <w:sz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15" w:type="dxa"/>
            <w:noWrap w:val="0"/>
            <w:vAlign w:val="center"/>
          </w:tcPr>
          <w:p>
            <w:pPr>
              <w:spacing w:line="380" w:lineRule="exact"/>
              <w:jc w:val="center"/>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3</w:t>
            </w:r>
          </w:p>
        </w:tc>
        <w:tc>
          <w:tcPr>
            <w:tcW w:w="4290" w:type="dxa"/>
            <w:noWrap w:val="0"/>
            <w:vAlign w:val="center"/>
          </w:tcPr>
          <w:p>
            <w:pPr>
              <w:spacing w:line="380" w:lineRule="exact"/>
              <w:jc w:val="center"/>
              <w:rPr>
                <w:rFonts w:hint="eastAsia" w:ascii="新宋体" w:hAnsi="新宋体" w:eastAsia="新宋体" w:cs="新宋体"/>
                <w:b w:val="0"/>
                <w:bCs w:val="0"/>
                <w:color w:val="auto"/>
                <w:sz w:val="22"/>
                <w:szCs w:val="18"/>
                <w:highlight w:val="none"/>
                <w:lang w:eastAsia="zh-CN"/>
              </w:rPr>
            </w:pPr>
            <w:r>
              <w:rPr>
                <w:rFonts w:hint="eastAsia" w:ascii="新宋体" w:hAnsi="新宋体" w:eastAsia="新宋体" w:cs="新宋体"/>
                <w:b w:val="0"/>
                <w:bCs w:val="0"/>
                <w:color w:val="auto"/>
                <w:sz w:val="22"/>
                <w:szCs w:val="18"/>
                <w:highlight w:val="none"/>
                <w:lang w:val="en-US" w:eastAsia="zh-CN"/>
              </w:rPr>
              <w:t>单户200㎡以上</w:t>
            </w:r>
            <w:r>
              <w:rPr>
                <w:rFonts w:hint="eastAsia" w:ascii="新宋体" w:hAnsi="新宋体" w:eastAsia="新宋体" w:cs="新宋体"/>
                <w:bCs/>
                <w:color w:val="auto"/>
                <w:sz w:val="22"/>
                <w:szCs w:val="22"/>
                <w:highlight w:val="none"/>
                <w:lang w:eastAsia="zh-CN"/>
              </w:rPr>
              <w:t>白蚁灭治服务</w:t>
            </w:r>
          </w:p>
        </w:tc>
        <w:tc>
          <w:tcPr>
            <w:tcW w:w="4690" w:type="dxa"/>
            <w:noWrap w:val="0"/>
            <w:vAlign w:val="center"/>
          </w:tcPr>
          <w:p>
            <w:pPr>
              <w:pStyle w:val="6"/>
              <w:rPr>
                <w:rFonts w:hint="eastAsia" w:ascii="新宋体" w:hAnsi="新宋体" w:eastAsia="新宋体" w:cs="新宋体"/>
                <w:color w:val="auto"/>
                <w:sz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15" w:type="dxa"/>
            <w:noWrap w:val="0"/>
            <w:vAlign w:val="center"/>
          </w:tcPr>
          <w:p>
            <w:pPr>
              <w:spacing w:line="380" w:lineRule="exact"/>
              <w:jc w:val="center"/>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4</w:t>
            </w:r>
          </w:p>
        </w:tc>
        <w:tc>
          <w:tcPr>
            <w:tcW w:w="4290" w:type="dxa"/>
            <w:noWrap w:val="0"/>
            <w:vAlign w:val="center"/>
          </w:tcPr>
          <w:p>
            <w:pPr>
              <w:spacing w:line="380" w:lineRule="exact"/>
              <w:jc w:val="center"/>
              <w:rPr>
                <w:rFonts w:hint="eastAsia" w:ascii="新宋体" w:hAnsi="新宋体" w:eastAsia="新宋体" w:cs="新宋体"/>
                <w:b w:val="0"/>
                <w:bCs w:val="0"/>
                <w:color w:val="auto"/>
                <w:sz w:val="22"/>
                <w:szCs w:val="18"/>
                <w:highlight w:val="none"/>
                <w:lang w:val="en-US" w:eastAsia="zh-CN"/>
              </w:rPr>
            </w:pPr>
            <w:r>
              <w:rPr>
                <w:rFonts w:hint="eastAsia" w:ascii="新宋体" w:hAnsi="新宋体" w:eastAsia="新宋体" w:cs="新宋体"/>
                <w:b w:val="0"/>
                <w:bCs w:val="0"/>
                <w:color w:val="auto"/>
                <w:sz w:val="22"/>
                <w:szCs w:val="18"/>
                <w:highlight w:val="none"/>
                <w:lang w:val="en-US" w:eastAsia="zh-CN"/>
              </w:rPr>
              <w:t>综合单价（1+2+3）</w:t>
            </w:r>
          </w:p>
        </w:tc>
        <w:tc>
          <w:tcPr>
            <w:tcW w:w="4690" w:type="dxa"/>
            <w:noWrap w:val="0"/>
            <w:vAlign w:val="center"/>
          </w:tcPr>
          <w:p>
            <w:pPr>
              <w:pStyle w:val="6"/>
              <w:rPr>
                <w:rFonts w:hint="eastAsia" w:ascii="新宋体" w:hAnsi="新宋体" w:eastAsia="新宋体" w:cs="新宋体"/>
                <w:color w:val="auto"/>
                <w:sz w:val="22"/>
                <w:highlight w:val="none"/>
                <w:lang w:val="en-US" w:eastAsia="zh-CN"/>
              </w:rPr>
            </w:pPr>
          </w:p>
        </w:tc>
      </w:tr>
    </w:tbl>
    <w:p>
      <w:pPr>
        <w:spacing w:line="450" w:lineRule="exact"/>
        <w:ind w:firstLine="541" w:firstLineChars="245"/>
        <w:rPr>
          <w:rFonts w:hint="eastAsia" w:ascii="新宋体" w:hAnsi="新宋体" w:eastAsia="新宋体" w:cs="新宋体"/>
          <w:b/>
          <w:color w:val="auto"/>
          <w:sz w:val="22"/>
          <w:szCs w:val="22"/>
          <w:highlight w:val="none"/>
        </w:rPr>
      </w:pPr>
    </w:p>
    <w:p>
      <w:pPr>
        <w:spacing w:line="450" w:lineRule="exact"/>
        <w:rPr>
          <w:rFonts w:hint="eastAsia" w:ascii="新宋体" w:hAnsi="新宋体" w:eastAsia="新宋体" w:cs="新宋体"/>
          <w:b/>
          <w:color w:val="auto"/>
          <w:sz w:val="22"/>
          <w:highlight w:val="none"/>
          <w:lang w:eastAsia="zh-CN"/>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highlight w:val="none"/>
        </w:rPr>
        <w:t>1、不提供此表格将被视为没有实质性响应磋商文件</w:t>
      </w:r>
      <w:r>
        <w:rPr>
          <w:rFonts w:hint="eastAsia" w:ascii="新宋体" w:hAnsi="新宋体" w:eastAsia="新宋体" w:cs="新宋体"/>
          <w:b/>
          <w:color w:val="auto"/>
          <w:sz w:val="22"/>
          <w:highlight w:val="none"/>
          <w:lang w:eastAsia="zh-CN"/>
        </w:rPr>
        <w:t>。</w:t>
      </w:r>
    </w:p>
    <w:p>
      <w:pPr>
        <w:spacing w:line="450" w:lineRule="exact"/>
        <w:ind w:firstLine="663" w:firstLineChars="300"/>
        <w:rPr>
          <w:rFonts w:hint="eastAsia" w:ascii="新宋体" w:hAnsi="新宋体" w:eastAsia="新宋体" w:cs="新宋体"/>
          <w:b/>
          <w:color w:val="auto"/>
          <w:sz w:val="22"/>
          <w:highlight w:val="none"/>
          <w:lang w:val="en-US" w:eastAsia="zh-CN"/>
        </w:rPr>
      </w:pPr>
      <w:r>
        <w:rPr>
          <w:rFonts w:hint="eastAsia" w:ascii="新宋体" w:hAnsi="新宋体" w:eastAsia="新宋体" w:cs="新宋体"/>
          <w:b/>
          <w:color w:val="auto"/>
          <w:sz w:val="22"/>
          <w:highlight w:val="none"/>
          <w:u w:val="single"/>
          <w:lang w:val="en-US" w:eastAsia="zh-CN"/>
        </w:rPr>
        <w:t>2、单户100㎡（含）以下最高单价：305元，单户100㎡-200㎡（含）最高单价：610元，单户200㎡以上最高单价：915元，供应商如单价报价超过最高单价，按无效标处理。</w:t>
      </w:r>
    </w:p>
    <w:p>
      <w:pPr>
        <w:spacing w:line="450" w:lineRule="exact"/>
        <w:ind w:firstLine="1201" w:firstLineChars="544"/>
        <w:rPr>
          <w:rFonts w:hint="eastAsia" w:ascii="新宋体" w:hAnsi="新宋体" w:eastAsia="新宋体" w:cs="新宋体"/>
          <w:b/>
          <w:color w:val="auto"/>
          <w:sz w:val="22"/>
          <w:highlight w:val="none"/>
          <w:lang w:val="en-US" w:eastAsia="zh-CN"/>
        </w:rPr>
      </w:pPr>
    </w:p>
    <w:p>
      <w:pPr>
        <w:spacing w:line="460" w:lineRule="exact"/>
        <w:ind w:left="532" w:leftChars="-171" w:hanging="891" w:hangingChars="405"/>
        <w:rPr>
          <w:rFonts w:hint="eastAsia" w:ascii="新宋体" w:hAnsi="新宋体" w:eastAsia="新宋体" w:cs="新宋体"/>
          <w:color w:val="auto"/>
          <w:sz w:val="22"/>
          <w:szCs w:val="22"/>
          <w:highlight w:val="none"/>
        </w:rPr>
      </w:pPr>
    </w:p>
    <w:p>
      <w:pPr>
        <w:pStyle w:val="29"/>
        <w:spacing w:line="360" w:lineRule="auto"/>
        <w:ind w:firstLine="5940" w:firstLineChars="27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磋商供应商全称（盖章）：</w:t>
      </w:r>
    </w:p>
    <w:p>
      <w:pPr>
        <w:spacing w:line="360" w:lineRule="auto"/>
        <w:ind w:firstLine="5940" w:firstLineChars="27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磋商供应商代表（签字）：</w:t>
      </w:r>
    </w:p>
    <w:p>
      <w:pPr>
        <w:spacing w:line="360" w:lineRule="auto"/>
        <w:ind w:firstLine="5940" w:firstLineChars="27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日    期：</w:t>
      </w:r>
    </w:p>
    <w:p>
      <w:pPr>
        <w:pStyle w:val="9"/>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9"/>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9"/>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22"/>
        <w:spacing w:line="460" w:lineRule="exact"/>
        <w:ind w:left="433" w:hanging="433" w:hangingChars="196"/>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br w:type="page"/>
      </w:r>
      <w:bookmarkStart w:id="20" w:name="_Toc9104"/>
      <w:r>
        <w:rPr>
          <w:rFonts w:hint="eastAsia" w:ascii="新宋体" w:hAnsi="新宋体" w:eastAsia="新宋体" w:cs="新宋体"/>
          <w:b/>
          <w:color w:val="auto"/>
          <w:sz w:val="22"/>
          <w:szCs w:val="22"/>
          <w:highlight w:val="none"/>
        </w:rPr>
        <w:t>附件二</w:t>
      </w:r>
      <w:bookmarkEnd w:id="20"/>
    </w:p>
    <w:p>
      <w:pPr>
        <w:spacing w:line="460" w:lineRule="exact"/>
        <w:jc w:val="center"/>
        <w:outlineLvl w:val="2"/>
        <w:rPr>
          <w:rFonts w:hint="eastAsia" w:ascii="新宋体" w:hAnsi="新宋体" w:eastAsia="新宋体" w:cs="新宋体"/>
          <w:color w:val="auto"/>
          <w:sz w:val="32"/>
          <w:szCs w:val="32"/>
          <w:highlight w:val="none"/>
        </w:rPr>
      </w:pPr>
      <w:bookmarkStart w:id="21" w:name="_Toc25922"/>
      <w:r>
        <w:rPr>
          <w:rFonts w:hint="eastAsia" w:ascii="新宋体" w:hAnsi="新宋体" w:eastAsia="新宋体" w:cs="新宋体"/>
          <w:b/>
          <w:bCs/>
          <w:color w:val="auto"/>
          <w:sz w:val="32"/>
          <w:szCs w:val="32"/>
          <w:highlight w:val="none"/>
        </w:rPr>
        <w:t>资格证明文件</w:t>
      </w:r>
      <w:bookmarkEnd w:id="21"/>
      <w:r>
        <w:rPr>
          <w:rFonts w:hint="eastAsia" w:ascii="新宋体" w:hAnsi="新宋体" w:eastAsia="新宋体" w:cs="新宋体"/>
          <w:color w:val="auto"/>
          <w:sz w:val="32"/>
          <w:szCs w:val="32"/>
          <w:highlight w:val="none"/>
        </w:rPr>
        <w:t xml:space="preserve"> </w:t>
      </w:r>
    </w:p>
    <w:p>
      <w:pPr>
        <w:keepNext/>
        <w:keepLines/>
        <w:pageBreakBefore w:val="0"/>
        <w:widowControl w:val="0"/>
        <w:kinsoku/>
        <w:wordWrap/>
        <w:overflowPunct/>
        <w:topLinePunct w:val="0"/>
        <w:autoSpaceDE/>
        <w:autoSpaceDN/>
        <w:bidi w:val="0"/>
        <w:adjustRightInd/>
        <w:snapToGrid/>
        <w:textAlignment w:val="auto"/>
        <w:outlineLvl w:val="9"/>
        <w:rPr>
          <w:rFonts w:hint="eastAsia" w:ascii="新宋体" w:hAnsi="新宋体" w:eastAsia="新宋体" w:cs="新宋体"/>
          <w:color w:val="auto"/>
          <w:highlight w:val="none"/>
        </w:rPr>
      </w:pPr>
    </w:p>
    <w:p>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新宋体" w:hAnsi="新宋体" w:eastAsia="新宋体" w:cs="新宋体"/>
          <w:b/>
          <w:bCs w:val="0"/>
          <w:color w:val="auto"/>
          <w:sz w:val="28"/>
          <w:szCs w:val="28"/>
          <w:highlight w:val="none"/>
        </w:rPr>
      </w:pPr>
      <w:r>
        <w:rPr>
          <w:rFonts w:hint="eastAsia" w:ascii="新宋体" w:hAnsi="新宋体" w:eastAsia="新宋体" w:cs="新宋体"/>
          <w:b/>
          <w:bCs w:val="0"/>
          <w:color w:val="auto"/>
          <w:kern w:val="0"/>
          <w:sz w:val="28"/>
          <w:szCs w:val="28"/>
          <w:highlight w:val="none"/>
          <w:lang w:val="en-US" w:eastAsia="zh-CN" w:bidi="ar-SA"/>
        </w:rPr>
        <w:t>1、资格条件承诺函</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温州市洞头区房产管理服务中心</w:t>
      </w:r>
      <w:r>
        <w:rPr>
          <w:rFonts w:hint="eastAsia" w:ascii="新宋体" w:hAnsi="新宋体" w:eastAsia="新宋体" w:cs="新宋体"/>
          <w:color w:val="auto"/>
          <w:sz w:val="22"/>
          <w:szCs w:val="22"/>
          <w:highlight w:val="none"/>
        </w:rPr>
        <w:t>、温州历程招标有限公司：</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（采购项目名称、编号）投标，现郑重承诺</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0"/>
          <w:sz w:val="22"/>
          <w:szCs w:val="22"/>
          <w:highlight w:val="none"/>
        </w:rPr>
        <w:t>参加本次政府采购活动前3年内</w:t>
      </w:r>
      <w:r>
        <w:rPr>
          <w:rFonts w:hint="eastAsia" w:ascii="新宋体" w:hAnsi="新宋体" w:eastAsia="新宋体" w:cs="新宋体"/>
          <w:color w:val="auto"/>
          <w:sz w:val="22"/>
          <w:szCs w:val="22"/>
          <w:highlight w:val="none"/>
        </w:rPr>
        <w:t>：</w:t>
      </w: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1、我方符合《中华人民共和国政府采购法》第22条规定的资格条件，即</w:t>
      </w:r>
    </w:p>
    <w:p>
      <w:pPr>
        <w:tabs>
          <w:tab w:val="left" w:pos="360"/>
        </w:tabs>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（1）我方具有独立承担民事责任的能力；</w:t>
      </w:r>
    </w:p>
    <w:p>
      <w:pPr>
        <w:tabs>
          <w:tab w:val="left" w:pos="360"/>
        </w:tabs>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（2）我方具有良好的商业信誉和健全的财务会计制度；</w:t>
      </w:r>
    </w:p>
    <w:p>
      <w:pPr>
        <w:tabs>
          <w:tab w:val="left" w:pos="360"/>
        </w:tabs>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（3）我方具有履行合同所必需的设备和专业技术能力；</w:t>
      </w:r>
    </w:p>
    <w:p>
      <w:pPr>
        <w:tabs>
          <w:tab w:val="left" w:pos="360"/>
        </w:tabs>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（4）我方有依法缴纳税收和社会保障资金的良好记录；</w:t>
      </w:r>
    </w:p>
    <w:p>
      <w:pPr>
        <w:tabs>
          <w:tab w:val="left" w:pos="360"/>
        </w:tabs>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tabs>
          <w:tab w:val="left" w:pos="360"/>
        </w:tabs>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2、到本项目投标截止时间为止，我方未被“信用中国（</w:t>
      </w:r>
      <w:r>
        <w:rPr>
          <w:rFonts w:hint="eastAsia" w:ascii="新宋体" w:hAnsi="新宋体" w:eastAsia="新宋体" w:cs="新宋体"/>
          <w:color w:val="auto"/>
          <w:kern w:val="0"/>
          <w:sz w:val="22"/>
          <w:szCs w:val="22"/>
          <w:highlight w:val="none"/>
        </w:rPr>
        <w:fldChar w:fldCharType="begin"/>
      </w:r>
      <w:r>
        <w:rPr>
          <w:rFonts w:hint="eastAsia" w:ascii="新宋体" w:hAnsi="新宋体" w:eastAsia="新宋体" w:cs="新宋体"/>
          <w:color w:val="auto"/>
          <w:kern w:val="0"/>
          <w:sz w:val="22"/>
          <w:szCs w:val="22"/>
          <w:highlight w:val="none"/>
        </w:rPr>
        <w:instrText xml:space="preserve"> HYPERLINK "http://www.creditchina.gov.cn）、" </w:instrText>
      </w:r>
      <w:r>
        <w:rPr>
          <w:rFonts w:hint="eastAsia" w:ascii="新宋体" w:hAnsi="新宋体" w:eastAsia="新宋体" w:cs="新宋体"/>
          <w:color w:val="auto"/>
          <w:kern w:val="0"/>
          <w:sz w:val="22"/>
          <w:szCs w:val="22"/>
          <w:highlight w:val="none"/>
        </w:rPr>
        <w:fldChar w:fldCharType="separate"/>
      </w:r>
      <w:r>
        <w:rPr>
          <w:rFonts w:hint="eastAsia" w:ascii="新宋体" w:hAnsi="新宋体" w:eastAsia="新宋体" w:cs="新宋体"/>
          <w:color w:val="auto"/>
          <w:kern w:val="0"/>
          <w:sz w:val="22"/>
          <w:szCs w:val="22"/>
          <w:highlight w:val="none"/>
        </w:rPr>
        <w:t>www.creditchina.gov.cn）、</w:t>
      </w:r>
      <w:r>
        <w:rPr>
          <w:rFonts w:hint="eastAsia" w:ascii="新宋体" w:hAnsi="新宋体" w:eastAsia="新宋体" w:cs="新宋体"/>
          <w:color w:val="auto"/>
          <w:kern w:val="0"/>
          <w:sz w:val="22"/>
          <w:szCs w:val="22"/>
          <w:highlight w:val="none"/>
        </w:rPr>
        <w:fldChar w:fldCharType="end"/>
      </w:r>
      <w:r>
        <w:rPr>
          <w:rFonts w:hint="eastAsia" w:ascii="新宋体" w:hAnsi="新宋体" w:eastAsia="新宋体" w:cs="新宋体"/>
          <w:color w:val="auto"/>
          <w:kern w:val="0"/>
          <w:sz w:val="22"/>
          <w:szCs w:val="22"/>
          <w:highlight w:val="none"/>
        </w:rPr>
        <w:t xml:space="preserve"> 中国政府采购网（www.ccgp.gov.cn）列入失信被执行人名单、重大税收违法案件当事人名单、政府采购严重违法失信行为记录名单。</w:t>
      </w:r>
    </w:p>
    <w:p>
      <w:pPr>
        <w:tabs>
          <w:tab w:val="left" w:pos="360"/>
        </w:tabs>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3、我方与参加本次项目同一合同项下政府采购活动的其他供应商不存在单位负责人为同一人或者直接控股、管理关系。</w:t>
      </w:r>
    </w:p>
    <w:p>
      <w:pPr>
        <w:tabs>
          <w:tab w:val="left" w:pos="360"/>
        </w:tabs>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4、我方</w:t>
      </w:r>
      <w:r>
        <w:rPr>
          <w:rFonts w:hint="eastAsia" w:ascii="新宋体" w:hAnsi="新宋体" w:eastAsia="新宋体" w:cs="新宋体"/>
          <w:color w:val="auto"/>
          <w:kern w:val="0"/>
          <w:sz w:val="22"/>
          <w:szCs w:val="22"/>
          <w:highlight w:val="none"/>
        </w:rPr>
        <w:t>不属于公益一类事业单位。</w:t>
      </w:r>
    </w:p>
    <w:p>
      <w:pPr>
        <w:tabs>
          <w:tab w:val="left" w:pos="360"/>
        </w:tabs>
        <w:spacing w:line="460" w:lineRule="exact"/>
        <w:ind w:firstLine="440" w:firstLineChars="200"/>
        <w:rPr>
          <w:rFonts w:hint="eastAsia" w:ascii="新宋体" w:hAnsi="新宋体" w:eastAsia="新宋体" w:cs="新宋体"/>
          <w:color w:val="auto"/>
          <w:kern w:val="0"/>
          <w:sz w:val="22"/>
          <w:szCs w:val="22"/>
          <w:highlight w:val="none"/>
          <w:lang w:val="en-US" w:eastAsia="zh-CN"/>
        </w:rPr>
      </w:pPr>
    </w:p>
    <w:p>
      <w:pPr>
        <w:tabs>
          <w:tab w:val="left" w:pos="360"/>
        </w:tabs>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以上承诺如有虚假，</w:t>
      </w:r>
      <w:r>
        <w:rPr>
          <w:rFonts w:hint="eastAsia" w:ascii="新宋体" w:hAnsi="新宋体" w:eastAsia="新宋体" w:cs="新宋体"/>
          <w:color w:val="auto"/>
          <w:sz w:val="22"/>
          <w:szCs w:val="22"/>
          <w:highlight w:val="none"/>
        </w:rPr>
        <w:t>愿接受取消</w:t>
      </w:r>
      <w:r>
        <w:rPr>
          <w:rFonts w:hint="eastAsia" w:ascii="新宋体" w:hAnsi="新宋体" w:eastAsia="新宋体" w:cs="新宋体"/>
          <w:color w:val="auto"/>
          <w:kern w:val="0"/>
          <w:sz w:val="22"/>
          <w:szCs w:val="22"/>
          <w:highlight w:val="none"/>
        </w:rPr>
        <w:t>我方任何资格（投标/成交/签订合同）</w:t>
      </w:r>
      <w:r>
        <w:rPr>
          <w:rFonts w:hint="eastAsia" w:ascii="新宋体" w:hAnsi="新宋体" w:eastAsia="新宋体" w:cs="新宋体"/>
          <w:color w:val="auto"/>
          <w:sz w:val="22"/>
          <w:szCs w:val="22"/>
          <w:highlight w:val="none"/>
        </w:rPr>
        <w:t>及其他任何形式的处理。</w:t>
      </w:r>
    </w:p>
    <w:p>
      <w:pPr>
        <w:tabs>
          <w:tab w:val="left" w:pos="360"/>
        </w:tabs>
        <w:spacing w:line="460" w:lineRule="exact"/>
        <w:ind w:firstLine="440" w:firstLineChars="200"/>
        <w:rPr>
          <w:rFonts w:hint="eastAsia" w:ascii="新宋体" w:hAnsi="新宋体" w:eastAsia="新宋体" w:cs="新宋体"/>
          <w:color w:val="auto"/>
          <w:kern w:val="0"/>
          <w:sz w:val="22"/>
          <w:szCs w:val="22"/>
          <w:highlight w:val="none"/>
        </w:rPr>
      </w:pPr>
    </w:p>
    <w:p>
      <w:pPr>
        <w:snapToGrid w:val="0"/>
        <w:spacing w:line="360" w:lineRule="auto"/>
        <w:ind w:firstLine="5060" w:firstLineChars="2300"/>
        <w:rPr>
          <w:rFonts w:hint="eastAsia" w:ascii="新宋体" w:hAnsi="新宋体" w:eastAsia="新宋体" w:cs="新宋体"/>
          <w:color w:val="auto"/>
          <w:kern w:val="0"/>
          <w:sz w:val="22"/>
          <w:szCs w:val="22"/>
          <w:highlight w:val="none"/>
          <w:lang w:val="zh-CN"/>
        </w:rPr>
      </w:pPr>
    </w:p>
    <w:p>
      <w:pPr>
        <w:tabs>
          <w:tab w:val="left" w:pos="360"/>
        </w:tabs>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lang w:eastAsia="zh-CN"/>
        </w:rPr>
        <w:t>磋商供应商</w:t>
      </w:r>
      <w:r>
        <w:rPr>
          <w:rFonts w:hint="eastAsia" w:ascii="新宋体" w:hAnsi="新宋体" w:eastAsia="新宋体" w:cs="新宋体"/>
          <w:color w:val="auto"/>
          <w:sz w:val="22"/>
          <w:szCs w:val="22"/>
          <w:highlight w:val="none"/>
        </w:rPr>
        <w:t>全称（盖章）</w:t>
      </w:r>
      <w:r>
        <w:rPr>
          <w:rFonts w:hint="eastAsia" w:ascii="新宋体" w:hAnsi="新宋体" w:eastAsia="新宋体" w:cs="新宋体"/>
          <w:color w:val="auto"/>
          <w:kern w:val="0"/>
          <w:sz w:val="22"/>
          <w:szCs w:val="22"/>
          <w:highlight w:val="none"/>
        </w:rPr>
        <w:t xml:space="preserve"> ：</w:t>
      </w:r>
    </w:p>
    <w:p>
      <w:pPr>
        <w:tabs>
          <w:tab w:val="left" w:pos="360"/>
        </w:tabs>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pPr>
        <w:pStyle w:val="22"/>
        <w:spacing w:line="460" w:lineRule="exact"/>
        <w:ind w:left="479" w:leftChars="228" w:firstLine="5280" w:firstLineChars="24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pPr>
        <w:rPr>
          <w:rFonts w:hint="eastAsia" w:ascii="新宋体" w:hAnsi="新宋体" w:eastAsia="新宋体" w:cs="新宋体"/>
          <w:color w:val="auto"/>
          <w:highlight w:val="none"/>
        </w:rPr>
      </w:pPr>
    </w:p>
    <w:p>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新宋体" w:hAnsi="新宋体" w:eastAsia="新宋体" w:cs="新宋体"/>
          <w:b/>
          <w:bCs w:val="0"/>
          <w:color w:val="auto"/>
          <w:sz w:val="28"/>
          <w:szCs w:val="28"/>
          <w:highlight w:val="none"/>
        </w:rPr>
      </w:pPr>
    </w:p>
    <w:p>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新宋体" w:hAnsi="新宋体" w:eastAsia="新宋体" w:cs="新宋体"/>
          <w:b/>
          <w:bCs w:val="0"/>
          <w:color w:val="auto"/>
          <w:kern w:val="0"/>
          <w:sz w:val="28"/>
          <w:szCs w:val="28"/>
          <w:highlight w:val="none"/>
          <w:lang w:val="en-US" w:eastAsia="zh-CN" w:bidi="ar-SA"/>
        </w:rPr>
      </w:pPr>
      <w:r>
        <w:rPr>
          <w:rFonts w:hint="eastAsia" w:ascii="新宋体" w:hAnsi="新宋体" w:eastAsia="新宋体" w:cs="新宋体"/>
          <w:b/>
          <w:bCs w:val="0"/>
          <w:color w:val="auto"/>
          <w:kern w:val="0"/>
          <w:sz w:val="28"/>
          <w:szCs w:val="28"/>
          <w:highlight w:val="none"/>
          <w:lang w:val="en-US" w:eastAsia="zh-CN" w:bidi="ar-SA"/>
        </w:rPr>
        <w:br w:type="page"/>
      </w:r>
      <w:r>
        <w:rPr>
          <w:rFonts w:hint="eastAsia" w:ascii="新宋体" w:hAnsi="新宋体" w:eastAsia="新宋体" w:cs="新宋体"/>
          <w:b/>
          <w:bCs w:val="0"/>
          <w:color w:val="auto"/>
          <w:kern w:val="0"/>
          <w:sz w:val="28"/>
          <w:szCs w:val="28"/>
          <w:highlight w:val="none"/>
          <w:lang w:val="en-US" w:eastAsia="zh-CN" w:bidi="ar-SA"/>
        </w:rPr>
        <w:t>2、有效营业执照</w:t>
      </w:r>
    </w:p>
    <w:p>
      <w:pPr>
        <w:pStyle w:val="48"/>
        <w:tabs>
          <w:tab w:val="left" w:pos="630"/>
          <w:tab w:val="left" w:pos="840"/>
          <w:tab w:val="left" w:pos="1050"/>
        </w:tabs>
        <w:adjustRightInd w:val="0"/>
        <w:snapToGrid w:val="0"/>
        <w:spacing w:before="0" w:beforeAutospacing="0" w:after="0" w:afterAutospacing="0" w:line="360" w:lineRule="auto"/>
        <w:ind w:left="420"/>
        <w:rPr>
          <w:rFonts w:hint="eastAsia" w:ascii="新宋体" w:hAnsi="新宋体" w:eastAsia="新宋体" w:cs="新宋体"/>
          <w:bCs/>
          <w:color w:val="auto"/>
          <w:sz w:val="24"/>
          <w:szCs w:val="24"/>
          <w:highlight w:val="none"/>
        </w:rPr>
      </w:pPr>
    </w:p>
    <w:p>
      <w:pPr>
        <w:tabs>
          <w:tab w:val="left" w:pos="360"/>
        </w:tabs>
        <w:spacing w:line="460" w:lineRule="exact"/>
        <w:ind w:firstLine="440" w:firstLineChars="200"/>
        <w:rPr>
          <w:rFonts w:hint="eastAsia" w:ascii="新宋体" w:hAnsi="新宋体" w:eastAsia="新宋体" w:cs="新宋体"/>
          <w:b w:val="0"/>
          <w:bCs w:val="0"/>
          <w:color w:val="auto"/>
          <w:sz w:val="22"/>
          <w:highlight w:val="none"/>
        </w:rPr>
      </w:pPr>
      <w:r>
        <w:rPr>
          <w:rFonts w:hint="eastAsia" w:ascii="新宋体" w:hAnsi="新宋体" w:eastAsia="新宋体" w:cs="新宋体"/>
          <w:b w:val="0"/>
          <w:bCs w:val="0"/>
          <w:color w:val="auto"/>
          <w:sz w:val="22"/>
          <w:highlight w:val="none"/>
          <w:lang w:eastAsia="zh-CN"/>
        </w:rPr>
        <w:t>磋商供应商</w:t>
      </w:r>
      <w:r>
        <w:rPr>
          <w:rFonts w:hint="eastAsia" w:ascii="新宋体" w:hAnsi="新宋体" w:eastAsia="新宋体" w:cs="新宋体"/>
          <w:b w:val="0"/>
          <w:bCs w:val="0"/>
          <w:color w:val="auto"/>
          <w:sz w:val="22"/>
          <w:highlight w:val="none"/>
        </w:rPr>
        <w:t>须在投标文件中出具符合以下情况的证明材料复印件（五选一）：</w:t>
      </w:r>
    </w:p>
    <w:p>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①</w:t>
      </w:r>
      <w:r>
        <w:rPr>
          <w:rFonts w:hint="eastAsia" w:ascii="新宋体" w:hAnsi="新宋体" w:eastAsia="新宋体" w:cs="新宋体"/>
          <w:bCs/>
          <w:color w:val="auto"/>
          <w:sz w:val="22"/>
          <w:szCs w:val="22"/>
          <w:highlight w:val="none"/>
        </w:rPr>
        <w:t>如</w:t>
      </w:r>
      <w:r>
        <w:rPr>
          <w:rFonts w:hint="eastAsia" w:ascii="新宋体" w:hAnsi="新宋体" w:eastAsia="新宋体" w:cs="新宋体"/>
          <w:bCs/>
          <w:color w:val="auto"/>
          <w:sz w:val="22"/>
          <w:szCs w:val="22"/>
          <w:highlight w:val="none"/>
          <w:lang w:eastAsia="zh-CN"/>
        </w:rPr>
        <w:t>磋商供应商</w:t>
      </w:r>
      <w:r>
        <w:rPr>
          <w:rFonts w:hint="eastAsia" w:ascii="新宋体" w:hAnsi="新宋体" w:eastAsia="新宋体" w:cs="新宋体"/>
          <w:bCs/>
          <w:color w:val="auto"/>
          <w:sz w:val="22"/>
          <w:szCs w:val="22"/>
          <w:highlight w:val="none"/>
        </w:rPr>
        <w:t>是企业（包括合伙企业），提供在工商部门注册的有效“企业法人营业执照”或“营业执照”；</w:t>
      </w:r>
    </w:p>
    <w:p>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②</w:t>
      </w:r>
      <w:r>
        <w:rPr>
          <w:rFonts w:hint="eastAsia" w:ascii="新宋体" w:hAnsi="新宋体" w:eastAsia="新宋体" w:cs="新宋体"/>
          <w:bCs/>
          <w:color w:val="auto"/>
          <w:sz w:val="22"/>
          <w:szCs w:val="22"/>
          <w:highlight w:val="none"/>
        </w:rPr>
        <w:t>如</w:t>
      </w:r>
      <w:r>
        <w:rPr>
          <w:rFonts w:hint="eastAsia" w:ascii="新宋体" w:hAnsi="新宋体" w:eastAsia="新宋体" w:cs="新宋体"/>
          <w:bCs/>
          <w:color w:val="auto"/>
          <w:sz w:val="22"/>
          <w:szCs w:val="22"/>
          <w:highlight w:val="none"/>
          <w:lang w:eastAsia="zh-CN"/>
        </w:rPr>
        <w:t>磋商供应商</w:t>
      </w:r>
      <w:r>
        <w:rPr>
          <w:rFonts w:hint="eastAsia" w:ascii="新宋体" w:hAnsi="新宋体" w:eastAsia="新宋体" w:cs="新宋体"/>
          <w:bCs/>
          <w:color w:val="auto"/>
          <w:sz w:val="22"/>
          <w:szCs w:val="22"/>
          <w:highlight w:val="none"/>
        </w:rPr>
        <w:t>是事业单位，提供有效的“事业单位法人证书”；</w:t>
      </w:r>
    </w:p>
    <w:p>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③</w:t>
      </w:r>
      <w:r>
        <w:rPr>
          <w:rFonts w:hint="eastAsia" w:ascii="新宋体" w:hAnsi="新宋体" w:eastAsia="新宋体" w:cs="新宋体"/>
          <w:bCs/>
          <w:color w:val="auto"/>
          <w:sz w:val="22"/>
          <w:szCs w:val="22"/>
          <w:highlight w:val="none"/>
        </w:rPr>
        <w:t>如</w:t>
      </w:r>
      <w:r>
        <w:rPr>
          <w:rFonts w:hint="eastAsia" w:ascii="新宋体" w:hAnsi="新宋体" w:eastAsia="新宋体" w:cs="新宋体"/>
          <w:bCs/>
          <w:color w:val="auto"/>
          <w:sz w:val="22"/>
          <w:szCs w:val="22"/>
          <w:highlight w:val="none"/>
          <w:lang w:eastAsia="zh-CN"/>
        </w:rPr>
        <w:t>磋商供应商</w:t>
      </w:r>
      <w:r>
        <w:rPr>
          <w:rFonts w:hint="eastAsia" w:ascii="新宋体" w:hAnsi="新宋体" w:eastAsia="新宋体" w:cs="新宋体"/>
          <w:bCs/>
          <w:color w:val="auto"/>
          <w:sz w:val="22"/>
          <w:szCs w:val="22"/>
          <w:highlight w:val="none"/>
        </w:rPr>
        <w:t>是非企业专业服务机构的，提供执业许可证等证明文件；</w:t>
      </w:r>
    </w:p>
    <w:p>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④</w:t>
      </w:r>
      <w:r>
        <w:rPr>
          <w:rFonts w:hint="eastAsia" w:ascii="新宋体" w:hAnsi="新宋体" w:eastAsia="新宋体" w:cs="新宋体"/>
          <w:bCs/>
          <w:color w:val="auto"/>
          <w:sz w:val="22"/>
          <w:szCs w:val="22"/>
          <w:highlight w:val="none"/>
        </w:rPr>
        <w:t>如</w:t>
      </w:r>
      <w:r>
        <w:rPr>
          <w:rFonts w:hint="eastAsia" w:ascii="新宋体" w:hAnsi="新宋体" w:eastAsia="新宋体" w:cs="新宋体"/>
          <w:bCs/>
          <w:color w:val="auto"/>
          <w:sz w:val="22"/>
          <w:szCs w:val="22"/>
          <w:highlight w:val="none"/>
          <w:lang w:eastAsia="zh-CN"/>
        </w:rPr>
        <w:t>磋商供应商</w:t>
      </w:r>
      <w:r>
        <w:rPr>
          <w:rFonts w:hint="eastAsia" w:ascii="新宋体" w:hAnsi="新宋体" w:eastAsia="新宋体" w:cs="新宋体"/>
          <w:bCs/>
          <w:color w:val="auto"/>
          <w:sz w:val="22"/>
          <w:szCs w:val="22"/>
          <w:highlight w:val="none"/>
        </w:rPr>
        <w:t>是个体工商户，提供有效的“个体工商户营业执照”；</w:t>
      </w:r>
    </w:p>
    <w:p>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⑤</w:t>
      </w:r>
      <w:r>
        <w:rPr>
          <w:rFonts w:hint="eastAsia" w:ascii="新宋体" w:hAnsi="新宋体" w:eastAsia="新宋体" w:cs="新宋体"/>
          <w:bCs/>
          <w:color w:val="auto"/>
          <w:sz w:val="22"/>
          <w:szCs w:val="22"/>
          <w:highlight w:val="none"/>
        </w:rPr>
        <w:t>如</w:t>
      </w:r>
      <w:r>
        <w:rPr>
          <w:rFonts w:hint="eastAsia" w:ascii="新宋体" w:hAnsi="新宋体" w:eastAsia="新宋体" w:cs="新宋体"/>
          <w:bCs/>
          <w:color w:val="auto"/>
          <w:sz w:val="22"/>
          <w:szCs w:val="22"/>
          <w:highlight w:val="none"/>
          <w:lang w:eastAsia="zh-CN"/>
        </w:rPr>
        <w:t>磋商供应商</w:t>
      </w:r>
      <w:r>
        <w:rPr>
          <w:rFonts w:hint="eastAsia" w:ascii="新宋体" w:hAnsi="新宋体" w:eastAsia="新宋体" w:cs="新宋体"/>
          <w:bCs/>
          <w:color w:val="auto"/>
          <w:sz w:val="22"/>
          <w:szCs w:val="22"/>
          <w:highlight w:val="none"/>
        </w:rPr>
        <w:t>是自然人，提供有效的自然人身份证明（居民身份证正反面或公安机关出具的临时居民身份证正反面或港澳台胞证或护照）。</w:t>
      </w:r>
    </w:p>
    <w:p>
      <w:pPr>
        <w:pStyle w:val="48"/>
        <w:tabs>
          <w:tab w:val="left" w:pos="312"/>
        </w:tabs>
        <w:adjustRightInd w:val="0"/>
        <w:snapToGrid w:val="0"/>
        <w:spacing w:before="0" w:beforeAutospacing="0" w:after="0" w:afterAutospacing="0" w:line="360" w:lineRule="auto"/>
        <w:rPr>
          <w:rFonts w:hint="eastAsia" w:ascii="新宋体" w:hAnsi="新宋体" w:eastAsia="新宋体" w:cs="新宋体"/>
          <w:bCs/>
          <w:color w:val="auto"/>
          <w:sz w:val="22"/>
          <w:szCs w:val="22"/>
          <w:highlight w:val="none"/>
        </w:rPr>
      </w:pPr>
    </w:p>
    <w:p>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rPr>
          <w:rFonts w:hint="eastAsia" w:ascii="新宋体" w:hAnsi="新宋体" w:eastAsia="新宋体" w:cs="新宋体"/>
          <w:color w:val="auto"/>
          <w:highlight w:val="none"/>
        </w:rPr>
      </w:pPr>
    </w:p>
    <w:p>
      <w:pPr>
        <w:pStyle w:val="94"/>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pStyle w:val="94"/>
        <w:rPr>
          <w:rFonts w:hint="eastAsia" w:ascii="新宋体" w:hAnsi="新宋体" w:eastAsia="新宋体" w:cs="新宋体"/>
          <w:color w:val="auto"/>
          <w:highlight w:val="none"/>
        </w:rPr>
      </w:pPr>
    </w:p>
    <w:p>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新宋体" w:hAnsi="新宋体" w:eastAsia="新宋体" w:cs="新宋体"/>
          <w:b/>
          <w:bCs w:val="0"/>
          <w:color w:val="auto"/>
          <w:kern w:val="0"/>
          <w:sz w:val="28"/>
          <w:szCs w:val="28"/>
          <w:highlight w:val="none"/>
          <w:lang w:val="en-US" w:eastAsia="zh-CN" w:bidi="ar-SA"/>
        </w:rPr>
      </w:pPr>
      <w:r>
        <w:rPr>
          <w:rFonts w:hint="eastAsia" w:ascii="新宋体" w:hAnsi="新宋体" w:eastAsia="新宋体" w:cs="新宋体"/>
          <w:b/>
          <w:bCs w:val="0"/>
          <w:color w:val="auto"/>
          <w:kern w:val="0"/>
          <w:sz w:val="28"/>
          <w:szCs w:val="28"/>
          <w:highlight w:val="none"/>
          <w:lang w:val="en-US" w:eastAsia="zh-CN" w:bidi="ar-SA"/>
        </w:rPr>
        <w:t>3、磋商供应商信用查询</w:t>
      </w:r>
    </w:p>
    <w:p>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w:t>
      </w:r>
      <w:r>
        <w:rPr>
          <w:rFonts w:hint="eastAsia" w:ascii="新宋体" w:hAnsi="新宋体" w:eastAsia="新宋体" w:cs="新宋体"/>
          <w:color w:val="auto"/>
          <w:sz w:val="22"/>
          <w:highlight w:val="none"/>
          <w:lang w:eastAsia="zh-CN"/>
        </w:rPr>
        <w:t>磋商供应商</w:t>
      </w:r>
      <w:r>
        <w:rPr>
          <w:rFonts w:hint="eastAsia" w:ascii="新宋体" w:hAnsi="新宋体" w:eastAsia="新宋体" w:cs="新宋体"/>
          <w:color w:val="auto"/>
          <w:sz w:val="22"/>
          <w:highlight w:val="none"/>
        </w:rPr>
        <w:t>信用信息查询的查询渠道：“信用中国”</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www.creditchina.gov.cn</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；“中国政府采购网”（http://www.ccgp.gov.cn/）；</w:t>
      </w:r>
    </w:p>
    <w:p>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w:t>
      </w:r>
      <w:r>
        <w:rPr>
          <w:rFonts w:hint="eastAsia" w:ascii="新宋体" w:hAnsi="新宋体" w:eastAsia="新宋体" w:cs="新宋体"/>
          <w:color w:val="auto"/>
          <w:sz w:val="22"/>
          <w:highlight w:val="none"/>
          <w:lang w:eastAsia="zh-CN"/>
        </w:rPr>
        <w:t>磋商供应商</w:t>
      </w:r>
      <w:r>
        <w:rPr>
          <w:rFonts w:hint="eastAsia" w:ascii="新宋体" w:hAnsi="新宋体" w:eastAsia="新宋体" w:cs="新宋体"/>
          <w:color w:val="auto"/>
          <w:sz w:val="22"/>
          <w:highlight w:val="none"/>
        </w:rPr>
        <w:t>信用信息查询截止时点：招标公告发布之日至投标截止时间前。</w:t>
      </w:r>
    </w:p>
    <w:p>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w:t>
      </w:r>
      <w:r>
        <w:rPr>
          <w:rFonts w:hint="eastAsia" w:ascii="新宋体" w:hAnsi="新宋体" w:eastAsia="新宋体" w:cs="新宋体"/>
          <w:color w:val="auto"/>
          <w:sz w:val="22"/>
          <w:highlight w:val="none"/>
          <w:lang w:eastAsia="zh-CN"/>
        </w:rPr>
        <w:t>磋商供应商</w:t>
      </w:r>
      <w:r>
        <w:rPr>
          <w:rFonts w:hint="eastAsia" w:ascii="新宋体" w:hAnsi="新宋体" w:eastAsia="新宋体" w:cs="新宋体"/>
          <w:color w:val="auto"/>
          <w:sz w:val="22"/>
          <w:highlight w:val="none"/>
        </w:rPr>
        <w:t>信用信息查询记录和证据留存的具体方式：</w:t>
      </w:r>
      <w:r>
        <w:rPr>
          <w:rFonts w:hint="eastAsia" w:ascii="新宋体" w:hAnsi="新宋体" w:eastAsia="新宋体" w:cs="新宋体"/>
          <w:b/>
          <w:bCs/>
          <w:color w:val="auto"/>
          <w:sz w:val="22"/>
          <w:highlight w:val="none"/>
        </w:rPr>
        <w:t>网页截图</w:t>
      </w:r>
      <w:r>
        <w:rPr>
          <w:rFonts w:hint="eastAsia" w:ascii="新宋体" w:hAnsi="新宋体" w:eastAsia="新宋体" w:cs="新宋体"/>
          <w:color w:val="auto"/>
          <w:sz w:val="22"/>
          <w:highlight w:val="none"/>
        </w:rPr>
        <w:t>；</w:t>
      </w:r>
    </w:p>
    <w:p>
      <w:pPr>
        <w:tabs>
          <w:tab w:val="left" w:pos="360"/>
        </w:tabs>
        <w:spacing w:line="460" w:lineRule="exact"/>
        <w:ind w:firstLine="440" w:firstLineChars="200"/>
        <w:rPr>
          <w:rFonts w:hint="eastAsia" w:ascii="新宋体" w:hAnsi="新宋体" w:eastAsia="新宋体" w:cs="新宋体"/>
          <w:b w:val="0"/>
          <w:bCs w:val="0"/>
          <w:color w:val="auto"/>
          <w:sz w:val="22"/>
          <w:highlight w:val="none"/>
          <w:u w:val="none"/>
        </w:rPr>
      </w:pPr>
      <w:r>
        <w:rPr>
          <w:rFonts w:hint="eastAsia" w:ascii="新宋体" w:hAnsi="新宋体" w:eastAsia="新宋体" w:cs="新宋体"/>
          <w:b w:val="0"/>
          <w:bCs w:val="0"/>
          <w:color w:val="auto"/>
          <w:sz w:val="22"/>
          <w:highlight w:val="none"/>
          <w:u w:val="none"/>
        </w:rPr>
        <w:t>4、信用信息的使用规则：对列入失信被执行人、重大税收违法案件当事人名单、政府采购严重违法失信行为记录名单的</w:t>
      </w:r>
      <w:r>
        <w:rPr>
          <w:rFonts w:hint="eastAsia" w:ascii="新宋体" w:hAnsi="新宋体" w:eastAsia="新宋体" w:cs="新宋体"/>
          <w:b w:val="0"/>
          <w:bCs w:val="0"/>
          <w:color w:val="auto"/>
          <w:sz w:val="22"/>
          <w:highlight w:val="none"/>
          <w:u w:val="none"/>
          <w:lang w:eastAsia="zh-CN"/>
        </w:rPr>
        <w:t>磋商供应商</w:t>
      </w:r>
      <w:r>
        <w:rPr>
          <w:rFonts w:hint="eastAsia" w:ascii="新宋体" w:hAnsi="新宋体" w:eastAsia="新宋体" w:cs="新宋体"/>
          <w:b w:val="0"/>
          <w:bCs w:val="0"/>
          <w:color w:val="auto"/>
          <w:sz w:val="22"/>
          <w:highlight w:val="none"/>
          <w:u w:val="none"/>
        </w:rPr>
        <w:t>，其投标将作无效标处理。</w:t>
      </w:r>
    </w:p>
    <w:p>
      <w:pPr>
        <w:pStyle w:val="94"/>
        <w:rPr>
          <w:rFonts w:hint="eastAsia" w:ascii="新宋体" w:hAnsi="新宋体" w:eastAsia="新宋体" w:cs="新宋体"/>
          <w:b w:val="0"/>
          <w:bCs w:val="0"/>
          <w:color w:val="auto"/>
          <w:sz w:val="22"/>
          <w:highlight w:val="none"/>
          <w:u w:val="none"/>
        </w:rPr>
      </w:pPr>
    </w:p>
    <w:p>
      <w:pPr>
        <w:rPr>
          <w:rFonts w:hint="eastAsia" w:ascii="新宋体" w:hAnsi="新宋体" w:eastAsia="新宋体" w:cs="新宋体"/>
          <w:b w:val="0"/>
          <w:bCs w:val="0"/>
          <w:color w:val="auto"/>
          <w:sz w:val="22"/>
          <w:highlight w:val="none"/>
          <w:u w:val="none"/>
        </w:rPr>
      </w:pPr>
    </w:p>
    <w:p>
      <w:pPr>
        <w:pStyle w:val="94"/>
        <w:rPr>
          <w:rFonts w:hint="eastAsia" w:ascii="新宋体" w:hAnsi="新宋体" w:eastAsia="新宋体" w:cs="新宋体"/>
          <w:b w:val="0"/>
          <w:bCs w:val="0"/>
          <w:color w:val="auto"/>
          <w:sz w:val="22"/>
          <w:highlight w:val="none"/>
          <w:u w:val="none"/>
        </w:rPr>
      </w:pPr>
    </w:p>
    <w:p>
      <w:pPr>
        <w:rPr>
          <w:rFonts w:hint="eastAsia" w:ascii="新宋体" w:hAnsi="新宋体" w:eastAsia="新宋体" w:cs="新宋体"/>
          <w:color w:val="auto"/>
          <w:highlight w:val="none"/>
        </w:rPr>
      </w:pPr>
    </w:p>
    <w:p>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新宋体" w:hAnsi="新宋体" w:eastAsia="新宋体" w:cs="新宋体"/>
          <w:b/>
          <w:bCs w:val="0"/>
          <w:color w:val="auto"/>
          <w:kern w:val="0"/>
          <w:sz w:val="28"/>
          <w:szCs w:val="28"/>
          <w:highlight w:val="none"/>
          <w:lang w:val="en-US" w:eastAsia="zh-CN" w:bidi="ar-SA"/>
        </w:rPr>
      </w:pPr>
      <w:r>
        <w:rPr>
          <w:rFonts w:hint="eastAsia" w:ascii="新宋体" w:hAnsi="新宋体" w:eastAsia="新宋体" w:cs="新宋体"/>
          <w:b/>
          <w:bCs w:val="0"/>
          <w:color w:val="auto"/>
          <w:kern w:val="0"/>
          <w:sz w:val="28"/>
          <w:szCs w:val="28"/>
          <w:highlight w:val="none"/>
          <w:lang w:val="en-US" w:eastAsia="zh-CN" w:bidi="ar-SA"/>
        </w:rPr>
        <w:t>4、特定资格要求：已进行白蚁防治施工单位备案的证明材料</w:t>
      </w:r>
    </w:p>
    <w:p>
      <w:pPr>
        <w:pStyle w:val="22"/>
        <w:spacing w:line="460" w:lineRule="exact"/>
        <w:ind w:left="0" w:firstLine="0" w:firstLineChars="0"/>
        <w:jc w:val="both"/>
        <w:rPr>
          <w:rFonts w:hint="eastAsia" w:ascii="新宋体" w:hAnsi="新宋体" w:eastAsia="新宋体" w:cs="新宋体"/>
          <w:b/>
          <w:bCs/>
          <w:color w:val="auto"/>
          <w:sz w:val="22"/>
          <w:szCs w:val="22"/>
          <w:highlight w:val="none"/>
        </w:rPr>
      </w:pPr>
    </w:p>
    <w:p>
      <w:pPr>
        <w:spacing w:line="420" w:lineRule="exact"/>
        <w:outlineLvl w:val="3"/>
        <w:rPr>
          <w:rFonts w:hint="eastAsia" w:ascii="新宋体" w:hAnsi="新宋体" w:eastAsia="新宋体" w:cs="新宋体"/>
          <w:b/>
          <w:bCs w:val="0"/>
          <w:color w:val="auto"/>
          <w:kern w:val="0"/>
          <w:sz w:val="28"/>
          <w:szCs w:val="28"/>
          <w:highlight w:val="none"/>
          <w:lang w:val="en-US" w:eastAsia="zh-CN" w:bidi="ar-SA"/>
        </w:rPr>
      </w:pPr>
      <w:bookmarkStart w:id="22" w:name="_Toc139"/>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val="0"/>
          <w:color w:val="auto"/>
          <w:kern w:val="0"/>
          <w:sz w:val="28"/>
          <w:szCs w:val="28"/>
          <w:highlight w:val="none"/>
          <w:lang w:val="en-US" w:eastAsia="zh-CN" w:bidi="ar-SA"/>
        </w:rPr>
        <w:t>5、落实政府采购政策需满足的资格要求证明材料</w:t>
      </w:r>
    </w:p>
    <w:p>
      <w:pPr>
        <w:bidi w:val="0"/>
        <w:rPr>
          <w:rFonts w:hint="eastAsia" w:ascii="新宋体" w:hAnsi="新宋体" w:eastAsia="新宋体" w:cs="新宋体"/>
          <w:color w:val="auto"/>
          <w:highlight w:val="none"/>
          <w:lang w:val="en-US" w:eastAsia="zh-CN"/>
        </w:rPr>
      </w:pPr>
      <w:r>
        <w:rPr>
          <w:rFonts w:hint="eastAsia" w:ascii="新宋体" w:hAnsi="新宋体" w:eastAsia="新宋体" w:cs="新宋体"/>
          <w:color w:val="auto"/>
          <w:sz w:val="22"/>
          <w:szCs w:val="22"/>
          <w:highlight w:val="none"/>
        </w:rPr>
        <w:t>（根据</w:t>
      </w:r>
      <w:r>
        <w:rPr>
          <w:rFonts w:hint="eastAsia" w:ascii="新宋体" w:hAnsi="新宋体" w:eastAsia="新宋体" w:cs="新宋体"/>
          <w:color w:val="auto"/>
          <w:sz w:val="22"/>
          <w:szCs w:val="22"/>
          <w:highlight w:val="none"/>
          <w:lang w:val="en-US" w:eastAsia="zh-CN"/>
        </w:rPr>
        <w:t>磋商</w:t>
      </w:r>
      <w:r>
        <w:rPr>
          <w:rFonts w:hint="eastAsia" w:ascii="新宋体" w:hAnsi="新宋体" w:eastAsia="新宋体" w:cs="新宋体"/>
          <w:color w:val="auto"/>
          <w:sz w:val="22"/>
          <w:szCs w:val="22"/>
          <w:highlight w:val="none"/>
        </w:rPr>
        <w:t>公告落实政府采购政策需满足的资格要求选择提供相应的材料；未要求的，无需提供）</w:t>
      </w:r>
    </w:p>
    <w:p>
      <w:pPr>
        <w:spacing w:line="420" w:lineRule="exact"/>
        <w:jc w:val="center"/>
        <w:outlineLvl w:val="3"/>
        <w:rPr>
          <w:rFonts w:hint="eastAsia" w:ascii="新宋体" w:hAnsi="新宋体" w:eastAsia="新宋体" w:cs="新宋体"/>
          <w:b/>
          <w:bCs/>
          <w:color w:val="auto"/>
          <w:kern w:val="2"/>
          <w:sz w:val="28"/>
          <w:szCs w:val="28"/>
          <w:highlight w:val="none"/>
          <w:lang w:val="en-US" w:eastAsia="zh-CN" w:bidi="ar-SA"/>
        </w:rPr>
      </w:pPr>
      <w:r>
        <w:rPr>
          <w:rFonts w:hint="eastAsia" w:ascii="新宋体" w:hAnsi="新宋体" w:eastAsia="新宋体" w:cs="新宋体"/>
          <w:b/>
          <w:bCs/>
          <w:color w:val="auto"/>
          <w:kern w:val="2"/>
          <w:sz w:val="28"/>
          <w:szCs w:val="28"/>
          <w:highlight w:val="none"/>
          <w:lang w:val="en-US" w:eastAsia="zh-CN" w:bidi="ar-SA"/>
        </w:rPr>
        <w:t>（1）中小企业的相关证明材料</w:t>
      </w:r>
    </w:p>
    <w:p>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w:t>
      </w:r>
      <w:r>
        <w:rPr>
          <w:rFonts w:hint="eastAsia" w:ascii="新宋体" w:hAnsi="新宋体" w:eastAsia="新宋体" w:cs="新宋体"/>
          <w:color w:val="auto"/>
          <w:spacing w:val="6"/>
          <w:sz w:val="22"/>
          <w:szCs w:val="22"/>
          <w:highlight w:val="none"/>
          <w:lang w:val="zh-CN"/>
        </w:rPr>
        <w:t>小型、微型</w:t>
      </w:r>
      <w:r>
        <w:rPr>
          <w:rFonts w:hint="eastAsia" w:ascii="新宋体" w:hAnsi="新宋体" w:eastAsia="新宋体" w:cs="新宋体"/>
          <w:color w:val="auto"/>
          <w:spacing w:val="6"/>
          <w:sz w:val="22"/>
          <w:szCs w:val="22"/>
          <w:highlight w:val="none"/>
        </w:rPr>
        <w:t>企业不用提供】</w:t>
      </w:r>
    </w:p>
    <w:p>
      <w:pPr>
        <w:spacing w:line="460" w:lineRule="exact"/>
        <w:jc w:val="center"/>
        <w:rPr>
          <w:rFonts w:hint="eastAsia" w:ascii="新宋体" w:hAnsi="新宋体" w:eastAsia="新宋体" w:cs="新宋体"/>
          <w:b/>
          <w:bCs/>
          <w:color w:val="auto"/>
          <w:sz w:val="22"/>
          <w:szCs w:val="22"/>
          <w:highlight w:val="none"/>
        </w:rPr>
      </w:pPr>
    </w:p>
    <w:p>
      <w:pPr>
        <w:tabs>
          <w:tab w:val="left" w:pos="360"/>
        </w:tabs>
        <w:spacing w:line="460" w:lineRule="exact"/>
        <w:jc w:val="center"/>
        <w:rPr>
          <w:rFonts w:hint="eastAsia" w:ascii="新宋体" w:hAnsi="新宋体" w:eastAsia="新宋体" w:cs="新宋体"/>
          <w:color w:val="auto"/>
          <w:sz w:val="24"/>
          <w:highlight w:val="none"/>
        </w:rPr>
      </w:pPr>
      <w:r>
        <w:rPr>
          <w:rFonts w:hint="eastAsia" w:ascii="新宋体" w:hAnsi="新宋体" w:eastAsia="新宋体" w:cs="新宋体"/>
          <w:b/>
          <w:bCs/>
          <w:color w:val="auto"/>
          <w:sz w:val="24"/>
          <w:highlight w:val="none"/>
        </w:rPr>
        <w:t>《中小企业声明函（工程、服务）》</w:t>
      </w:r>
    </w:p>
    <w:p>
      <w:pPr>
        <w:tabs>
          <w:tab w:val="left" w:pos="360"/>
        </w:tabs>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【不属于中小企业单位的无需填写、递交】</w:t>
      </w:r>
    </w:p>
    <w:p>
      <w:pPr>
        <w:spacing w:line="460" w:lineRule="exact"/>
        <w:ind w:firstLine="637" w:firstLineChars="245"/>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pacing w:val="20"/>
          <w:sz w:val="22"/>
          <w:szCs w:val="22"/>
          <w:highlight w:val="none"/>
          <w:u w:val="single"/>
        </w:rPr>
        <w:t>（单位名称）</w:t>
      </w:r>
      <w:r>
        <w:rPr>
          <w:rFonts w:hint="eastAsia" w:ascii="新宋体" w:hAnsi="新宋体" w:eastAsia="新宋体" w:cs="新宋体"/>
          <w:color w:val="auto"/>
          <w:spacing w:val="20"/>
          <w:sz w:val="22"/>
          <w:szCs w:val="22"/>
          <w:highlight w:val="none"/>
        </w:rPr>
        <w:t>的</w:t>
      </w:r>
      <w:r>
        <w:rPr>
          <w:rFonts w:hint="eastAsia" w:ascii="新宋体" w:hAnsi="新宋体" w:eastAsia="新宋体" w:cs="新宋体"/>
          <w:color w:val="auto"/>
          <w:spacing w:val="20"/>
          <w:sz w:val="22"/>
          <w:szCs w:val="22"/>
          <w:highlight w:val="none"/>
          <w:u w:val="single"/>
        </w:rPr>
        <w:t>（项目名称）</w:t>
      </w:r>
      <w:r>
        <w:rPr>
          <w:rFonts w:hint="eastAsia" w:ascii="新宋体" w:hAnsi="新宋体" w:eastAsia="新宋体" w:cs="新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exact"/>
        <w:ind w:firstLine="637" w:firstLineChars="245"/>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1.</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，属于</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行业； 承建（承接）企业为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 小型企业、微型企业）</w:t>
      </w:r>
      <w:r>
        <w:rPr>
          <w:rFonts w:hint="eastAsia" w:ascii="新宋体" w:hAnsi="新宋体" w:eastAsia="新宋体" w:cs="新宋体"/>
          <w:color w:val="auto"/>
          <w:spacing w:val="20"/>
          <w:sz w:val="22"/>
          <w:szCs w:val="22"/>
          <w:highlight w:val="none"/>
        </w:rPr>
        <w:t xml:space="preserve">； </w:t>
      </w:r>
    </w:p>
    <w:p>
      <w:pPr>
        <w:spacing w:line="460" w:lineRule="exact"/>
        <w:ind w:firstLine="637" w:firstLineChars="245"/>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2.</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，属于</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行业；承建（承接）企业为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 小型企业、微型企业）</w:t>
      </w:r>
      <w:r>
        <w:rPr>
          <w:rFonts w:hint="eastAsia" w:ascii="新宋体" w:hAnsi="新宋体" w:eastAsia="新宋体" w:cs="新宋体"/>
          <w:color w:val="auto"/>
          <w:spacing w:val="20"/>
          <w:sz w:val="22"/>
          <w:szCs w:val="22"/>
          <w:highlight w:val="none"/>
        </w:rPr>
        <w:t>；</w:t>
      </w:r>
    </w:p>
    <w:p>
      <w:pPr>
        <w:spacing w:line="460" w:lineRule="exact"/>
        <w:ind w:firstLine="639" w:firstLineChars="245"/>
        <w:rPr>
          <w:rFonts w:hint="eastAsia" w:ascii="新宋体" w:hAnsi="新宋体" w:eastAsia="新宋体" w:cs="新宋体"/>
          <w:b/>
          <w:bCs/>
          <w:color w:val="auto"/>
          <w:spacing w:val="20"/>
          <w:sz w:val="22"/>
          <w:szCs w:val="22"/>
          <w:highlight w:val="none"/>
        </w:rPr>
      </w:pPr>
      <w:r>
        <w:rPr>
          <w:rFonts w:hint="eastAsia" w:ascii="新宋体" w:hAnsi="新宋体" w:eastAsia="新宋体" w:cs="新宋体"/>
          <w:b/>
          <w:bCs/>
          <w:color w:val="auto"/>
          <w:spacing w:val="20"/>
          <w:sz w:val="22"/>
          <w:szCs w:val="22"/>
          <w:highlight w:val="none"/>
        </w:rPr>
        <w:t>……</w:t>
      </w:r>
    </w:p>
    <w:p>
      <w:pPr>
        <w:spacing w:line="460" w:lineRule="exact"/>
        <w:ind w:firstLine="637" w:firstLineChars="245"/>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460" w:lineRule="exact"/>
        <w:jc w:val="center"/>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 xml:space="preserve">           企业名称（盖章）：</w:t>
      </w:r>
    </w:p>
    <w:p>
      <w:pPr>
        <w:spacing w:line="460" w:lineRule="exact"/>
        <w:jc w:val="center"/>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 xml:space="preserve">  日 期：</w:t>
      </w:r>
    </w:p>
    <w:p>
      <w:pPr>
        <w:bidi w:val="0"/>
        <w:rPr>
          <w:rFonts w:hint="eastAsia" w:ascii="新宋体" w:hAnsi="新宋体" w:eastAsia="新宋体" w:cs="新宋体"/>
          <w:color w:val="auto"/>
          <w:highlight w:val="none"/>
          <w:lang w:val="en-US" w:eastAsia="zh-CN"/>
        </w:rPr>
      </w:pPr>
    </w:p>
    <w:p>
      <w:pPr>
        <w:pStyle w:val="94"/>
        <w:rPr>
          <w:rFonts w:hint="eastAsia" w:ascii="新宋体" w:hAnsi="新宋体" w:eastAsia="新宋体" w:cs="新宋体"/>
          <w:color w:val="auto"/>
          <w:highlight w:val="none"/>
          <w:lang w:val="en-US" w:eastAsia="zh-CN"/>
        </w:rPr>
      </w:pPr>
    </w:p>
    <w:p>
      <w:pPr>
        <w:rPr>
          <w:rFonts w:hint="eastAsia" w:ascii="新宋体" w:hAnsi="新宋体" w:eastAsia="新宋体" w:cs="新宋体"/>
          <w:color w:val="auto"/>
          <w:highlight w:val="none"/>
          <w:lang w:val="en-US" w:eastAsia="zh-CN"/>
        </w:rPr>
      </w:pPr>
    </w:p>
    <w:p>
      <w:pPr>
        <w:pStyle w:val="94"/>
        <w:rPr>
          <w:rFonts w:hint="eastAsia" w:ascii="新宋体" w:hAnsi="新宋体" w:eastAsia="新宋体" w:cs="新宋体"/>
          <w:color w:val="auto"/>
          <w:highlight w:val="none"/>
          <w:lang w:val="en-US" w:eastAsia="zh-CN"/>
        </w:rPr>
      </w:pPr>
    </w:p>
    <w:p>
      <w:pPr>
        <w:rPr>
          <w:rFonts w:hint="eastAsia" w:ascii="新宋体" w:hAnsi="新宋体" w:eastAsia="新宋体" w:cs="新宋体"/>
          <w:color w:val="auto"/>
          <w:highlight w:val="none"/>
          <w:lang w:val="en-US" w:eastAsia="zh-CN"/>
        </w:rPr>
      </w:pPr>
    </w:p>
    <w:p>
      <w:pPr>
        <w:pStyle w:val="94"/>
        <w:rPr>
          <w:rFonts w:hint="eastAsia" w:ascii="新宋体" w:hAnsi="新宋体" w:eastAsia="新宋体" w:cs="新宋体"/>
          <w:color w:val="auto"/>
          <w:highlight w:val="none"/>
          <w:lang w:val="en-US" w:eastAsia="zh-CN"/>
        </w:rPr>
      </w:pPr>
    </w:p>
    <w:p>
      <w:pPr>
        <w:rPr>
          <w:rFonts w:hint="eastAsia" w:ascii="新宋体" w:hAnsi="新宋体" w:eastAsia="新宋体" w:cs="新宋体"/>
          <w:color w:val="auto"/>
          <w:highlight w:val="none"/>
          <w:lang w:val="en-US" w:eastAsia="zh-CN"/>
        </w:rPr>
      </w:pPr>
    </w:p>
    <w:p>
      <w:pPr>
        <w:pStyle w:val="94"/>
        <w:rPr>
          <w:rFonts w:hint="eastAsia" w:ascii="新宋体" w:hAnsi="新宋体" w:eastAsia="新宋体" w:cs="新宋体"/>
          <w:color w:val="auto"/>
          <w:highlight w:val="none"/>
          <w:lang w:val="en-US" w:eastAsia="zh-CN"/>
        </w:rPr>
      </w:pPr>
    </w:p>
    <w:p>
      <w:pPr>
        <w:rPr>
          <w:rFonts w:hint="eastAsia" w:ascii="新宋体" w:hAnsi="新宋体" w:eastAsia="新宋体" w:cs="新宋体"/>
          <w:color w:val="auto"/>
          <w:highlight w:val="none"/>
          <w:lang w:val="en-US" w:eastAsia="zh-CN"/>
        </w:rPr>
      </w:pPr>
    </w:p>
    <w:p>
      <w:pPr>
        <w:pStyle w:val="94"/>
        <w:rPr>
          <w:rFonts w:hint="eastAsia" w:ascii="新宋体" w:hAnsi="新宋体" w:eastAsia="新宋体" w:cs="新宋体"/>
          <w:color w:val="auto"/>
          <w:highlight w:val="none"/>
          <w:lang w:val="en-US" w:eastAsia="zh-CN"/>
        </w:rPr>
      </w:pPr>
    </w:p>
    <w:p>
      <w:pPr>
        <w:rPr>
          <w:rFonts w:hint="eastAsia" w:ascii="新宋体" w:hAnsi="新宋体" w:eastAsia="新宋体" w:cs="新宋体"/>
          <w:color w:val="auto"/>
          <w:highlight w:val="none"/>
          <w:lang w:val="en-US" w:eastAsia="zh-CN"/>
        </w:rPr>
      </w:pPr>
    </w:p>
    <w:p>
      <w:pPr>
        <w:pStyle w:val="94"/>
        <w:rPr>
          <w:rFonts w:hint="eastAsia" w:ascii="新宋体" w:hAnsi="新宋体" w:eastAsia="新宋体" w:cs="新宋体"/>
          <w:color w:val="auto"/>
          <w:highlight w:val="none"/>
          <w:lang w:val="en-US" w:eastAsia="zh-CN"/>
        </w:rPr>
      </w:pPr>
    </w:p>
    <w:p>
      <w:pPr>
        <w:spacing w:line="420" w:lineRule="exact"/>
        <w:outlineLvl w:val="3"/>
        <w:rPr>
          <w:rFonts w:hint="eastAsia" w:ascii="新宋体" w:hAnsi="新宋体" w:eastAsia="新宋体" w:cs="新宋体"/>
          <w:b/>
          <w:bCs/>
          <w:color w:val="auto"/>
          <w:kern w:val="2"/>
          <w:sz w:val="28"/>
          <w:szCs w:val="28"/>
          <w:highlight w:val="none"/>
          <w:lang w:val="en-US" w:eastAsia="zh-CN" w:bidi="ar-SA"/>
        </w:rPr>
      </w:pPr>
      <w:r>
        <w:rPr>
          <w:rFonts w:hint="eastAsia" w:ascii="新宋体" w:hAnsi="新宋体" w:eastAsia="新宋体" w:cs="新宋体"/>
          <w:b/>
          <w:bCs/>
          <w:color w:val="auto"/>
          <w:kern w:val="2"/>
          <w:sz w:val="28"/>
          <w:szCs w:val="28"/>
          <w:highlight w:val="none"/>
          <w:lang w:val="en-US" w:eastAsia="zh-CN" w:bidi="ar-SA"/>
        </w:rPr>
        <w:t>（2）监狱企业的相关证明材料</w:t>
      </w:r>
    </w:p>
    <w:p>
      <w:pPr>
        <w:spacing w:line="460" w:lineRule="exact"/>
        <w:ind w:firstLine="571" w:firstLineChars="245"/>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是监狱企业的按非监狱企业处理，所提供的证明材料应为最新的最近的</w:t>
      </w:r>
      <w:r>
        <w:rPr>
          <w:rFonts w:hint="eastAsia" w:ascii="新宋体" w:hAnsi="新宋体" w:eastAsia="新宋体" w:cs="新宋体"/>
          <w:b/>
          <w:bCs/>
          <w:color w:val="auto"/>
          <w:sz w:val="22"/>
          <w:szCs w:val="22"/>
          <w:highlight w:val="none"/>
          <w:u w:val="single"/>
          <w:lang w:val="zh-CN"/>
        </w:rPr>
        <w:t>。</w:t>
      </w:r>
    </w:p>
    <w:p>
      <w:pPr>
        <w:adjustRightInd w:val="0"/>
        <w:snapToGrid w:val="0"/>
        <w:spacing w:line="300" w:lineRule="auto"/>
        <w:jc w:val="center"/>
        <w:rPr>
          <w:rFonts w:hint="eastAsia" w:ascii="新宋体" w:hAnsi="新宋体" w:eastAsia="新宋体" w:cs="新宋体"/>
          <w:b/>
          <w:color w:val="auto"/>
          <w:spacing w:val="6"/>
          <w:sz w:val="22"/>
          <w:szCs w:val="22"/>
          <w:highlight w:val="none"/>
        </w:rPr>
      </w:pPr>
    </w:p>
    <w:p>
      <w:pPr>
        <w:adjustRightInd w:val="0"/>
        <w:snapToGrid w:val="0"/>
        <w:spacing w:line="300" w:lineRule="auto"/>
        <w:jc w:val="center"/>
        <w:rPr>
          <w:rFonts w:hint="eastAsia" w:ascii="新宋体" w:hAnsi="新宋体" w:eastAsia="新宋体" w:cs="新宋体"/>
          <w:b/>
          <w:color w:val="auto"/>
          <w:spacing w:val="6"/>
          <w:sz w:val="22"/>
          <w:szCs w:val="22"/>
          <w:highlight w:val="none"/>
        </w:rPr>
      </w:pPr>
    </w:p>
    <w:p>
      <w:pPr>
        <w:adjustRightInd w:val="0"/>
        <w:snapToGrid w:val="0"/>
        <w:spacing w:line="300" w:lineRule="auto"/>
        <w:jc w:val="center"/>
        <w:rPr>
          <w:rFonts w:hint="eastAsia" w:ascii="新宋体" w:hAnsi="新宋体" w:eastAsia="新宋体" w:cs="新宋体"/>
          <w:b/>
          <w:color w:val="auto"/>
          <w:spacing w:val="6"/>
          <w:sz w:val="22"/>
          <w:szCs w:val="22"/>
          <w:highlight w:val="none"/>
        </w:rPr>
      </w:pPr>
    </w:p>
    <w:p>
      <w:pPr>
        <w:adjustRightInd w:val="0"/>
        <w:snapToGrid w:val="0"/>
        <w:spacing w:line="300" w:lineRule="auto"/>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监狱企业声明函</w:t>
      </w:r>
    </w:p>
    <w:p>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）（项目编号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）采购活动并承担本工程。 </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磋商供应商全称（</w:t>
      </w:r>
      <w:r>
        <w:rPr>
          <w:rFonts w:hint="eastAsia" w:ascii="新宋体" w:hAnsi="新宋体" w:eastAsia="新宋体" w:cs="新宋体"/>
          <w:color w:val="auto"/>
          <w:kern w:val="0"/>
          <w:sz w:val="22"/>
          <w:szCs w:val="22"/>
          <w:highlight w:val="none"/>
        </w:rPr>
        <w:t>盖章）：</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 xml:space="preserve">日期：    年    月  </w:t>
      </w:r>
      <w:r>
        <w:rPr>
          <w:rFonts w:hint="eastAsia" w:ascii="新宋体" w:hAnsi="新宋体" w:eastAsia="新宋体" w:cs="新宋体"/>
          <w:color w:val="auto"/>
          <w:kern w:val="0"/>
          <w:sz w:val="22"/>
          <w:szCs w:val="22"/>
          <w:highlight w:val="none"/>
        </w:rPr>
        <w:t xml:space="preserve"> 日 </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rPr>
          <w:rFonts w:hint="eastAsia" w:ascii="新宋体" w:hAnsi="新宋体" w:eastAsia="新宋体" w:cs="新宋体"/>
          <w:color w:val="auto"/>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380" w:lineRule="exact"/>
        <w:rPr>
          <w:rFonts w:hint="eastAsia" w:ascii="新宋体" w:hAnsi="新宋体" w:eastAsia="新宋体" w:cs="新宋体"/>
          <w:color w:val="auto"/>
          <w:sz w:val="22"/>
          <w:szCs w:val="22"/>
          <w:highlight w:val="none"/>
        </w:rPr>
      </w:pPr>
    </w:p>
    <w:p>
      <w:pPr>
        <w:spacing w:line="380" w:lineRule="exact"/>
        <w:rPr>
          <w:rFonts w:hint="eastAsia" w:ascii="新宋体" w:hAnsi="新宋体" w:eastAsia="新宋体" w:cs="新宋体"/>
          <w:color w:val="auto"/>
          <w:sz w:val="22"/>
          <w:szCs w:val="22"/>
          <w:highlight w:val="none"/>
        </w:rPr>
      </w:pPr>
    </w:p>
    <w:p>
      <w:pPr>
        <w:spacing w:line="380" w:lineRule="exact"/>
        <w:rPr>
          <w:rFonts w:hint="eastAsia" w:ascii="新宋体" w:hAnsi="新宋体" w:eastAsia="新宋体" w:cs="新宋体"/>
          <w:color w:val="auto"/>
          <w:sz w:val="22"/>
          <w:szCs w:val="22"/>
          <w:highlight w:val="none"/>
        </w:rPr>
      </w:pPr>
    </w:p>
    <w:p>
      <w:pPr>
        <w:spacing w:line="380" w:lineRule="exact"/>
        <w:rPr>
          <w:rFonts w:hint="eastAsia" w:ascii="新宋体" w:hAnsi="新宋体" w:eastAsia="新宋体" w:cs="新宋体"/>
          <w:color w:val="auto"/>
          <w:sz w:val="22"/>
          <w:szCs w:val="22"/>
          <w:highlight w:val="none"/>
        </w:rPr>
      </w:pPr>
    </w:p>
    <w:p>
      <w:pPr>
        <w:spacing w:line="380" w:lineRule="exact"/>
        <w:rPr>
          <w:rFonts w:hint="eastAsia" w:ascii="新宋体" w:hAnsi="新宋体" w:eastAsia="新宋体" w:cs="新宋体"/>
          <w:color w:val="auto"/>
          <w:sz w:val="22"/>
          <w:szCs w:val="22"/>
          <w:highlight w:val="none"/>
        </w:rPr>
      </w:pPr>
    </w:p>
    <w:p>
      <w:pPr>
        <w:spacing w:line="380" w:lineRule="exact"/>
        <w:rPr>
          <w:rFonts w:hint="eastAsia" w:ascii="新宋体" w:hAnsi="新宋体" w:eastAsia="新宋体" w:cs="新宋体"/>
          <w:color w:val="auto"/>
          <w:sz w:val="22"/>
          <w:szCs w:val="22"/>
          <w:highlight w:val="none"/>
        </w:rPr>
      </w:pPr>
    </w:p>
    <w:p>
      <w:pPr>
        <w:spacing w:line="420" w:lineRule="exact"/>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kern w:val="2"/>
          <w:sz w:val="28"/>
          <w:szCs w:val="28"/>
          <w:highlight w:val="none"/>
          <w:lang w:val="en-US" w:eastAsia="zh-CN" w:bidi="ar-SA"/>
        </w:rPr>
        <w:t>（3）残疾人福利性单位的相关证明材料</w:t>
      </w:r>
    </w:p>
    <w:p>
      <w:pPr>
        <w:spacing w:line="460" w:lineRule="exact"/>
        <w:ind w:firstLine="699" w:firstLineChars="300"/>
        <w:rPr>
          <w:rFonts w:hint="eastAsia" w:ascii="新宋体" w:hAnsi="新宋体" w:eastAsia="新宋体" w:cs="新宋体"/>
          <w:color w:val="auto"/>
          <w:spacing w:val="20"/>
          <w:sz w:val="22"/>
          <w:szCs w:val="22"/>
          <w:highlight w:val="none"/>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是残疾人福利性单位的按非残疾人福利性单位处理，所提供的证明材料应为最新的最近的</w:t>
      </w:r>
      <w:r>
        <w:rPr>
          <w:rFonts w:hint="eastAsia" w:ascii="新宋体" w:hAnsi="新宋体" w:eastAsia="新宋体" w:cs="新宋体"/>
          <w:b/>
          <w:bCs/>
          <w:color w:val="auto"/>
          <w:sz w:val="22"/>
          <w:szCs w:val="22"/>
          <w:highlight w:val="none"/>
          <w:u w:val="single"/>
          <w:lang w:val="zh-CN"/>
        </w:rPr>
        <w:t>。</w:t>
      </w: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pPr>
        <w:widowControl/>
        <w:adjustRightInd w:val="0"/>
        <w:snapToGrid w:val="0"/>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pPr>
        <w:snapToGrid w:val="0"/>
        <w:spacing w:line="460" w:lineRule="exact"/>
        <w:jc w:val="center"/>
        <w:rPr>
          <w:rFonts w:hint="eastAsia" w:ascii="新宋体" w:hAnsi="新宋体" w:eastAsia="新宋体" w:cs="新宋体"/>
          <w:b/>
          <w:bCs/>
          <w:color w:val="auto"/>
          <w:sz w:val="22"/>
          <w:szCs w:val="22"/>
          <w:highlight w:val="none"/>
        </w:rPr>
      </w:pP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（采购人名称）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p>
    <w:p>
      <w:pPr>
        <w:snapToGrid w:val="0"/>
        <w:spacing w:line="460" w:lineRule="exact"/>
        <w:ind w:firstLine="464" w:firstLineChars="200"/>
        <w:rPr>
          <w:rFonts w:hint="eastAsia" w:ascii="新宋体" w:hAnsi="新宋体" w:eastAsia="新宋体" w:cs="新宋体"/>
          <w:color w:val="auto"/>
          <w:spacing w:val="6"/>
          <w:sz w:val="22"/>
          <w:szCs w:val="22"/>
          <w:highlight w:val="none"/>
        </w:rPr>
      </w:pPr>
    </w:p>
    <w:p>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磋商供应商全称（盖章）：</w:t>
      </w:r>
      <w:r>
        <w:rPr>
          <w:rFonts w:hint="eastAsia" w:ascii="新宋体" w:hAnsi="新宋体" w:eastAsia="新宋体" w:cs="新宋体"/>
          <w:color w:val="auto"/>
          <w:kern w:val="0"/>
          <w:sz w:val="22"/>
          <w:szCs w:val="22"/>
          <w:highlight w:val="none"/>
          <w:u w:val="single"/>
        </w:rPr>
        <w:t xml:space="preserve">                    </w:t>
      </w:r>
    </w:p>
    <w:p>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pPr>
        <w:pStyle w:val="22"/>
        <w:ind w:left="440" w:hanging="440"/>
        <w:rPr>
          <w:rFonts w:hint="eastAsia" w:ascii="新宋体" w:hAnsi="新宋体" w:eastAsia="新宋体" w:cs="新宋体"/>
          <w:color w:val="auto"/>
          <w:kern w:val="0"/>
          <w:sz w:val="22"/>
          <w:szCs w:val="22"/>
          <w:highlight w:val="none"/>
        </w:rPr>
      </w:pPr>
    </w:p>
    <w:p>
      <w:pPr>
        <w:pStyle w:val="22"/>
        <w:ind w:left="440" w:hanging="440"/>
        <w:rPr>
          <w:rFonts w:hint="eastAsia" w:ascii="新宋体" w:hAnsi="新宋体" w:eastAsia="新宋体" w:cs="新宋体"/>
          <w:color w:val="auto"/>
          <w:kern w:val="0"/>
          <w:sz w:val="22"/>
          <w:szCs w:val="22"/>
          <w:highlight w:val="none"/>
        </w:rPr>
      </w:pPr>
    </w:p>
    <w:p>
      <w:pPr>
        <w:pStyle w:val="22"/>
        <w:ind w:left="440" w:hanging="440"/>
        <w:rPr>
          <w:rFonts w:hint="eastAsia" w:ascii="新宋体" w:hAnsi="新宋体" w:eastAsia="新宋体" w:cs="新宋体"/>
          <w:color w:val="auto"/>
          <w:kern w:val="0"/>
          <w:sz w:val="22"/>
          <w:szCs w:val="22"/>
          <w:highlight w:val="none"/>
        </w:rPr>
      </w:pPr>
    </w:p>
    <w:p>
      <w:pPr>
        <w:pStyle w:val="22"/>
        <w:ind w:left="440" w:hanging="440"/>
        <w:rPr>
          <w:rFonts w:hint="eastAsia" w:ascii="新宋体" w:hAnsi="新宋体" w:eastAsia="新宋体" w:cs="新宋体"/>
          <w:color w:val="auto"/>
          <w:kern w:val="0"/>
          <w:sz w:val="22"/>
          <w:szCs w:val="22"/>
          <w:highlight w:val="none"/>
        </w:rPr>
      </w:pPr>
    </w:p>
    <w:p>
      <w:pPr>
        <w:pStyle w:val="22"/>
        <w:ind w:left="440" w:hanging="440"/>
        <w:rPr>
          <w:rFonts w:hint="eastAsia" w:ascii="新宋体" w:hAnsi="新宋体" w:eastAsia="新宋体" w:cs="新宋体"/>
          <w:color w:val="auto"/>
          <w:kern w:val="0"/>
          <w:sz w:val="22"/>
          <w:szCs w:val="22"/>
          <w:highlight w:val="none"/>
        </w:rPr>
      </w:pPr>
    </w:p>
    <w:p>
      <w:pPr>
        <w:pStyle w:val="22"/>
        <w:ind w:left="440" w:hanging="440"/>
        <w:rPr>
          <w:rFonts w:hint="eastAsia" w:ascii="新宋体" w:hAnsi="新宋体" w:eastAsia="新宋体" w:cs="新宋体"/>
          <w:color w:val="auto"/>
          <w:kern w:val="0"/>
          <w:sz w:val="22"/>
          <w:szCs w:val="22"/>
          <w:highlight w:val="none"/>
        </w:rPr>
      </w:pPr>
    </w:p>
    <w:p>
      <w:pPr>
        <w:pStyle w:val="22"/>
        <w:ind w:left="440" w:hanging="440"/>
        <w:rPr>
          <w:rFonts w:hint="eastAsia" w:ascii="新宋体" w:hAnsi="新宋体" w:eastAsia="新宋体" w:cs="新宋体"/>
          <w:color w:val="auto"/>
          <w:kern w:val="0"/>
          <w:sz w:val="22"/>
          <w:szCs w:val="22"/>
          <w:highlight w:val="none"/>
        </w:rPr>
      </w:pPr>
    </w:p>
    <w:p>
      <w:pPr>
        <w:pStyle w:val="22"/>
        <w:ind w:left="440" w:hanging="440"/>
        <w:rPr>
          <w:rFonts w:hint="eastAsia" w:ascii="新宋体" w:hAnsi="新宋体" w:eastAsia="新宋体" w:cs="新宋体"/>
          <w:color w:val="auto"/>
          <w:kern w:val="0"/>
          <w:sz w:val="22"/>
          <w:szCs w:val="22"/>
          <w:highlight w:val="none"/>
        </w:rPr>
      </w:pPr>
    </w:p>
    <w:p>
      <w:pPr>
        <w:pStyle w:val="22"/>
        <w:ind w:left="440" w:hanging="440"/>
        <w:rPr>
          <w:rFonts w:hint="eastAsia" w:ascii="新宋体" w:hAnsi="新宋体" w:eastAsia="新宋体" w:cs="新宋体"/>
          <w:color w:val="auto"/>
          <w:kern w:val="0"/>
          <w:sz w:val="22"/>
          <w:szCs w:val="22"/>
          <w:highlight w:val="none"/>
        </w:rPr>
      </w:pPr>
    </w:p>
    <w:p>
      <w:pPr>
        <w:pStyle w:val="22"/>
        <w:ind w:left="440" w:hanging="440"/>
        <w:rPr>
          <w:rFonts w:hint="eastAsia" w:ascii="新宋体" w:hAnsi="新宋体" w:eastAsia="新宋体" w:cs="新宋体"/>
          <w:color w:val="auto"/>
          <w:kern w:val="0"/>
          <w:sz w:val="22"/>
          <w:szCs w:val="22"/>
          <w:highlight w:val="none"/>
        </w:rPr>
      </w:pPr>
    </w:p>
    <w:p>
      <w:pPr>
        <w:pStyle w:val="22"/>
        <w:ind w:left="440" w:hanging="440"/>
        <w:rPr>
          <w:rFonts w:hint="eastAsia" w:ascii="新宋体" w:hAnsi="新宋体" w:eastAsia="新宋体" w:cs="新宋体"/>
          <w:color w:val="auto"/>
          <w:kern w:val="0"/>
          <w:sz w:val="22"/>
          <w:szCs w:val="22"/>
          <w:highlight w:val="none"/>
        </w:rPr>
      </w:pPr>
    </w:p>
    <w:p>
      <w:pPr>
        <w:pStyle w:val="22"/>
        <w:ind w:left="440" w:hanging="440"/>
        <w:rPr>
          <w:rFonts w:hint="eastAsia" w:ascii="新宋体" w:hAnsi="新宋体" w:eastAsia="新宋体" w:cs="新宋体"/>
          <w:color w:val="auto"/>
          <w:kern w:val="0"/>
          <w:sz w:val="22"/>
          <w:szCs w:val="22"/>
          <w:highlight w:val="none"/>
        </w:rPr>
      </w:pPr>
    </w:p>
    <w:p>
      <w:pPr>
        <w:pStyle w:val="22"/>
        <w:ind w:left="440" w:hanging="440"/>
        <w:rPr>
          <w:rFonts w:hint="eastAsia" w:ascii="新宋体" w:hAnsi="新宋体" w:eastAsia="新宋体" w:cs="新宋体"/>
          <w:color w:val="auto"/>
          <w:kern w:val="0"/>
          <w:sz w:val="22"/>
          <w:szCs w:val="22"/>
          <w:highlight w:val="none"/>
        </w:rPr>
      </w:pPr>
    </w:p>
    <w:p>
      <w:pPr>
        <w:pStyle w:val="22"/>
        <w:ind w:left="440" w:hanging="440"/>
        <w:rPr>
          <w:rFonts w:hint="eastAsia" w:ascii="新宋体" w:hAnsi="新宋体" w:eastAsia="新宋体" w:cs="新宋体"/>
          <w:color w:val="auto"/>
          <w:kern w:val="0"/>
          <w:sz w:val="22"/>
          <w:szCs w:val="22"/>
          <w:highlight w:val="none"/>
        </w:rPr>
      </w:pPr>
    </w:p>
    <w:p>
      <w:pPr>
        <w:pStyle w:val="22"/>
        <w:ind w:left="440" w:hanging="440"/>
        <w:rPr>
          <w:rFonts w:hint="eastAsia" w:ascii="新宋体" w:hAnsi="新宋体" w:eastAsia="新宋体" w:cs="新宋体"/>
          <w:color w:val="auto"/>
          <w:kern w:val="0"/>
          <w:sz w:val="22"/>
          <w:szCs w:val="22"/>
          <w:highlight w:val="none"/>
        </w:rPr>
      </w:pPr>
    </w:p>
    <w:p>
      <w:pPr>
        <w:pStyle w:val="22"/>
        <w:ind w:left="440" w:hanging="440"/>
        <w:rPr>
          <w:rFonts w:hint="eastAsia" w:ascii="新宋体" w:hAnsi="新宋体" w:eastAsia="新宋体" w:cs="新宋体"/>
          <w:color w:val="auto"/>
          <w:kern w:val="0"/>
          <w:sz w:val="22"/>
          <w:szCs w:val="22"/>
          <w:highlight w:val="none"/>
        </w:rPr>
      </w:pPr>
    </w:p>
    <w:p>
      <w:pPr>
        <w:pStyle w:val="22"/>
        <w:ind w:left="440" w:hanging="440"/>
        <w:rPr>
          <w:rFonts w:hint="eastAsia" w:ascii="新宋体" w:hAnsi="新宋体" w:eastAsia="新宋体" w:cs="新宋体"/>
          <w:color w:val="auto"/>
          <w:kern w:val="0"/>
          <w:sz w:val="22"/>
          <w:szCs w:val="22"/>
          <w:highlight w:val="none"/>
        </w:rPr>
      </w:pPr>
    </w:p>
    <w:p>
      <w:pPr>
        <w:pStyle w:val="22"/>
        <w:ind w:left="440" w:hanging="440"/>
        <w:rPr>
          <w:rFonts w:hint="eastAsia" w:ascii="新宋体" w:hAnsi="新宋体" w:eastAsia="新宋体" w:cs="新宋体"/>
          <w:color w:val="auto"/>
          <w:kern w:val="0"/>
          <w:sz w:val="22"/>
          <w:szCs w:val="22"/>
          <w:highlight w:val="none"/>
        </w:rPr>
      </w:pPr>
    </w:p>
    <w:p>
      <w:pPr>
        <w:pStyle w:val="22"/>
        <w:ind w:left="440" w:hanging="440"/>
        <w:rPr>
          <w:rFonts w:hint="eastAsia" w:ascii="新宋体" w:hAnsi="新宋体" w:eastAsia="新宋体" w:cs="新宋体"/>
          <w:color w:val="auto"/>
          <w:kern w:val="0"/>
          <w:sz w:val="22"/>
          <w:szCs w:val="22"/>
          <w:highlight w:val="none"/>
        </w:rPr>
      </w:pPr>
    </w:p>
    <w:p>
      <w:pPr>
        <w:pStyle w:val="22"/>
        <w:ind w:left="440" w:hanging="440"/>
        <w:rPr>
          <w:rFonts w:hint="eastAsia" w:ascii="新宋体" w:hAnsi="新宋体" w:eastAsia="新宋体" w:cs="新宋体"/>
          <w:color w:val="auto"/>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21" w:rightChars="0"/>
        <w:jc w:val="center"/>
        <w:textAlignment w:val="auto"/>
        <w:outlineLvl w:val="3"/>
        <w:rPr>
          <w:rFonts w:hint="eastAsia" w:ascii="新宋体" w:hAnsi="新宋体" w:eastAsia="新宋体" w:cs="新宋体"/>
          <w:b/>
          <w:bCs w:val="0"/>
          <w:color w:val="auto"/>
          <w:kern w:val="0"/>
          <w:sz w:val="28"/>
          <w:szCs w:val="28"/>
          <w:highlight w:val="none"/>
          <w:lang w:val="en-US" w:eastAsia="zh-CN" w:bidi="ar-SA"/>
        </w:rPr>
      </w:pPr>
      <w:r>
        <w:rPr>
          <w:rFonts w:hint="eastAsia" w:ascii="新宋体" w:hAnsi="新宋体" w:eastAsia="新宋体" w:cs="新宋体"/>
          <w:b/>
          <w:bCs w:val="0"/>
          <w:color w:val="auto"/>
          <w:kern w:val="0"/>
          <w:sz w:val="28"/>
          <w:szCs w:val="28"/>
          <w:highlight w:val="none"/>
          <w:lang w:val="en-US" w:eastAsia="zh-CN" w:bidi="ar-SA"/>
        </w:rPr>
        <w:br w:type="page"/>
      </w:r>
      <w:r>
        <w:rPr>
          <w:rFonts w:hint="eastAsia" w:ascii="新宋体" w:hAnsi="新宋体" w:eastAsia="新宋体" w:cs="新宋体"/>
          <w:b/>
          <w:bCs w:val="0"/>
          <w:color w:val="auto"/>
          <w:kern w:val="0"/>
          <w:sz w:val="28"/>
          <w:szCs w:val="28"/>
          <w:highlight w:val="none"/>
          <w:lang w:val="en-US" w:eastAsia="zh-CN" w:bidi="ar-SA"/>
        </w:rPr>
        <w:t>6、政府采购活动现场确认声明书</w:t>
      </w:r>
    </w:p>
    <w:p>
      <w:pPr>
        <w:spacing w:line="460" w:lineRule="exact"/>
        <w:rPr>
          <w:rFonts w:hint="eastAsia" w:ascii="新宋体" w:hAnsi="新宋体" w:eastAsia="新宋体" w:cs="新宋体"/>
          <w:b/>
          <w:bCs/>
          <w:color w:val="auto"/>
          <w:sz w:val="22"/>
          <w:szCs w:val="22"/>
          <w:highlight w:val="none"/>
        </w:rPr>
      </w:pP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lang w:eastAsia="zh-CN"/>
        </w:rPr>
        <w:t>温州历程招标有限公司</w:t>
      </w:r>
      <w:r>
        <w:rPr>
          <w:rFonts w:hint="eastAsia" w:ascii="新宋体" w:hAnsi="新宋体" w:eastAsia="新宋体" w:cs="新宋体"/>
          <w:color w:val="auto"/>
          <w:sz w:val="22"/>
          <w:szCs w:val="22"/>
          <w:highlight w:val="none"/>
        </w:rPr>
        <w:t>：</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本人经由</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（供应商名称）负责人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（姓名）合法授权参加</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项目（编号：</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）采购活动，经与本单位法人代表（负责人）联系确认，现就有关公平竞争事项郑重声明如下：</w:t>
      </w:r>
    </w:p>
    <w:p>
      <w:pPr>
        <w:numPr>
          <w:ilvl w:val="0"/>
          <w:numId w:val="1"/>
        </w:num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本单位与招标人之间 □不存在利害关系 □存在下列利害关系：</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      A.投资关系    </w:t>
      </w:r>
    </w:p>
    <w:p>
      <w:p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B.行政隶属关系    </w:t>
      </w:r>
    </w:p>
    <w:p>
      <w:p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C.业务指导关系  </w:t>
      </w:r>
    </w:p>
    <w:p>
      <w:pPr>
        <w:spacing w:line="460" w:lineRule="exact"/>
        <w:ind w:firstLine="660" w:firstLine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D.其他可能影响采购公正的利害关系</w:t>
      </w:r>
      <w:r>
        <w:rPr>
          <w:rStyle w:val="122"/>
          <w:rFonts w:hint="eastAsia" w:ascii="新宋体" w:hAnsi="新宋体" w:eastAsia="新宋体" w:cs="新宋体"/>
          <w:color w:val="auto"/>
          <w:sz w:val="22"/>
          <w:szCs w:val="22"/>
          <w:highlight w:val="none"/>
        </w:rPr>
        <w:t xml:space="preserve">（如有，请如实说明）                 </w:t>
      </w:r>
      <w:r>
        <w:rPr>
          <w:rFonts w:hint="eastAsia" w:ascii="新宋体" w:hAnsi="新宋体" w:eastAsia="新宋体" w:cs="新宋体"/>
          <w:color w:val="auto"/>
          <w:kern w:val="0"/>
          <w:sz w:val="22"/>
          <w:szCs w:val="22"/>
          <w:highlight w:val="none"/>
        </w:rPr>
        <w:t>。</w:t>
      </w:r>
    </w:p>
    <w:p>
      <w:pPr>
        <w:numPr>
          <w:ilvl w:val="0"/>
          <w:numId w:val="1"/>
        </w:num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现已清楚知道参加本项目采购活动的其他所有供应商名称，本单位 </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      □与其他所有供应商之间均不存在利害关系 </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      □与</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供应商名称）之间存在下列利害关系</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      A.法定代表人或负责人或实际控制人是同一人</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      B.法定代表人或负责人或实际控制人是夫妻关系</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      C.法定代表人或负责人或实际控制人是直系血亲关系</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      D.法定代表人或负责人或实际控制人存在三代以内旁系血亲关系</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      E.法定代表人或负责人或实际控制人存在近姻亲关系</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      F.法定代表人或负责人或实际控制人存在股份控制或实际控制关系</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      G.存在共同直接或间接投资设立子公司、联营企业和合营企业情况</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      I.其他利害关系情况</w:t>
      </w:r>
      <w:r>
        <w:rPr>
          <w:rFonts w:hint="eastAsia" w:ascii="新宋体" w:hAnsi="新宋体" w:eastAsia="新宋体" w:cs="新宋体"/>
          <w:color w:val="auto"/>
          <w:kern w:val="0"/>
          <w:sz w:val="22"/>
          <w:szCs w:val="22"/>
          <w:highlight w:val="none"/>
          <w:u w:val="single"/>
        </w:rPr>
        <w:t xml:space="preserve">                              。</w:t>
      </w:r>
    </w:p>
    <w:p>
      <w:pPr>
        <w:pStyle w:val="22"/>
        <w:spacing w:line="460" w:lineRule="exact"/>
        <w:ind w:left="0" w:firstLine="0" w:firstLineChars="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（三）现已清楚知道并严格遵守政府采购法律法规和现场纪律</w:t>
      </w:r>
    </w:p>
    <w:p>
      <w:pPr>
        <w:pStyle w:val="22"/>
        <w:spacing w:line="460" w:lineRule="exact"/>
        <w:ind w:left="0" w:firstLine="0" w:firstLineChars="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（四）我发现</w:t>
      </w:r>
      <w:r>
        <w:rPr>
          <w:rStyle w:val="122"/>
          <w:rFonts w:hint="eastAsia" w:ascii="新宋体" w:hAnsi="新宋体" w:eastAsia="新宋体" w:cs="新宋体"/>
          <w:color w:val="auto"/>
          <w:sz w:val="22"/>
          <w:szCs w:val="22"/>
          <w:highlight w:val="none"/>
          <w:u w:val="single"/>
        </w:rPr>
        <w:t xml:space="preserve">                  </w:t>
      </w:r>
      <w:r>
        <w:rPr>
          <w:rStyle w:val="122"/>
          <w:rFonts w:hint="eastAsia" w:ascii="新宋体" w:hAnsi="新宋体" w:eastAsia="新宋体" w:cs="新宋体"/>
          <w:color w:val="auto"/>
          <w:sz w:val="22"/>
          <w:szCs w:val="22"/>
          <w:highlight w:val="none"/>
        </w:rPr>
        <w:t>与</w:t>
      </w:r>
      <w:r>
        <w:rPr>
          <w:rStyle w:val="122"/>
          <w:rFonts w:hint="eastAsia" w:ascii="新宋体" w:hAnsi="新宋体" w:eastAsia="新宋体" w:cs="新宋体"/>
          <w:color w:val="auto"/>
          <w:sz w:val="22"/>
          <w:szCs w:val="22"/>
          <w:highlight w:val="none"/>
          <w:u w:val="single"/>
        </w:rPr>
        <w:t xml:space="preserve">                  </w:t>
      </w:r>
      <w:r>
        <w:rPr>
          <w:rStyle w:val="122"/>
          <w:rFonts w:hint="eastAsia" w:ascii="新宋体" w:hAnsi="新宋体" w:eastAsia="新宋体" w:cs="新宋体"/>
          <w:color w:val="auto"/>
          <w:sz w:val="22"/>
          <w:szCs w:val="22"/>
          <w:highlight w:val="none"/>
        </w:rPr>
        <w:t>（供应商名称）</w:t>
      </w:r>
      <w:r>
        <w:rPr>
          <w:rFonts w:hint="eastAsia" w:ascii="新宋体" w:hAnsi="新宋体" w:eastAsia="新宋体" w:cs="新宋体"/>
          <w:color w:val="auto"/>
          <w:kern w:val="0"/>
          <w:sz w:val="22"/>
          <w:szCs w:val="22"/>
          <w:highlight w:val="none"/>
        </w:rPr>
        <w:t>之间存在或可能存在上述第二条第</w:t>
      </w:r>
      <w:r>
        <w:rPr>
          <w:rStyle w:val="122"/>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kern w:val="0"/>
          <w:sz w:val="22"/>
          <w:szCs w:val="22"/>
          <w:highlight w:val="none"/>
        </w:rPr>
        <w:t>项利害关系。</w:t>
      </w:r>
    </w:p>
    <w:p>
      <w:pPr>
        <w:pStyle w:val="22"/>
        <w:spacing w:line="460" w:lineRule="exact"/>
        <w:ind w:left="0" w:firstLine="0" w:firstLineChars="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供应商代表签名:</w:t>
      </w:r>
    </w:p>
    <w:p>
      <w:pPr>
        <w:pStyle w:val="22"/>
        <w:spacing w:line="460" w:lineRule="exact"/>
        <w:ind w:left="0" w:firstLine="0" w:firstLineChars="0"/>
        <w:jc w:val="right"/>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kern w:val="0"/>
          <w:sz w:val="22"/>
          <w:szCs w:val="22"/>
          <w:highlight w:val="none"/>
        </w:rPr>
        <w:t>日期:</w:t>
      </w:r>
      <w:r>
        <w:rPr>
          <w:rFonts w:hint="eastAsia" w:ascii="新宋体" w:hAnsi="新宋体" w:eastAsia="新宋体" w:cs="新宋体"/>
          <w:b/>
          <w:color w:val="auto"/>
          <w:kern w:val="0"/>
          <w:sz w:val="22"/>
          <w:szCs w:val="22"/>
          <w:highlight w:val="none"/>
          <w:lang w:val="en-US" w:eastAsia="zh-CN"/>
        </w:rPr>
        <w:t xml:space="preserve">     </w:t>
      </w:r>
      <w:r>
        <w:rPr>
          <w:rFonts w:hint="eastAsia" w:ascii="新宋体" w:hAnsi="新宋体" w:eastAsia="新宋体" w:cs="新宋体"/>
          <w:b/>
          <w:color w:val="auto"/>
          <w:kern w:val="0"/>
          <w:sz w:val="22"/>
          <w:szCs w:val="22"/>
          <w:highlight w:val="none"/>
        </w:rPr>
        <w:t>年    月    日</w:t>
      </w:r>
    </w:p>
    <w:p>
      <w:pPr>
        <w:spacing w:line="360" w:lineRule="auto"/>
        <w:rPr>
          <w:rFonts w:hint="eastAsia" w:ascii="新宋体" w:hAnsi="新宋体" w:eastAsia="新宋体" w:cs="新宋体"/>
          <w:color w:val="auto"/>
          <w:sz w:val="22"/>
          <w:szCs w:val="22"/>
          <w:highlight w:val="none"/>
        </w:rPr>
      </w:pPr>
    </w:p>
    <w:p>
      <w:pPr>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附件三</w:t>
      </w:r>
      <w:bookmarkEnd w:id="22"/>
    </w:p>
    <w:p>
      <w:pPr>
        <w:spacing w:line="380" w:lineRule="exact"/>
        <w:jc w:val="center"/>
        <w:outlineLvl w:val="2"/>
        <w:rPr>
          <w:rFonts w:hint="eastAsia" w:ascii="新宋体" w:hAnsi="新宋体" w:eastAsia="新宋体" w:cs="新宋体"/>
          <w:b/>
          <w:color w:val="auto"/>
          <w:sz w:val="22"/>
          <w:szCs w:val="22"/>
          <w:highlight w:val="none"/>
        </w:rPr>
      </w:pPr>
      <w:bookmarkStart w:id="23" w:name="_Toc29509"/>
      <w:r>
        <w:rPr>
          <w:rFonts w:hint="eastAsia" w:ascii="新宋体" w:hAnsi="新宋体" w:eastAsia="新宋体" w:cs="新宋体"/>
          <w:b/>
          <w:bCs/>
          <w:color w:val="auto"/>
          <w:sz w:val="28"/>
          <w:szCs w:val="28"/>
          <w:highlight w:val="none"/>
        </w:rPr>
        <w:t>商务技术文件</w:t>
      </w:r>
      <w:bookmarkEnd w:id="23"/>
    </w:p>
    <w:p>
      <w:pPr>
        <w:spacing w:line="380" w:lineRule="exact"/>
        <w:jc w:val="center"/>
        <w:outlineLvl w:val="3"/>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1、法定代表人授权书</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温州市洞头区房产管理服务中心、</w:t>
      </w:r>
      <w:r>
        <w:rPr>
          <w:rFonts w:hint="eastAsia" w:ascii="新宋体" w:hAnsi="新宋体" w:eastAsia="新宋体" w:cs="新宋体"/>
          <w:color w:val="auto"/>
          <w:sz w:val="22"/>
          <w:szCs w:val="22"/>
          <w:highlight w:val="none"/>
          <w:lang w:val="en-US" w:eastAsia="zh-CN"/>
        </w:rPr>
        <w:t>温州历程招标有限公司</w:t>
      </w:r>
      <w:r>
        <w:rPr>
          <w:rFonts w:hint="eastAsia" w:ascii="新宋体" w:hAnsi="新宋体" w:eastAsia="新宋体" w:cs="新宋体"/>
          <w:color w:val="auto"/>
          <w:sz w:val="22"/>
          <w:szCs w:val="22"/>
          <w:highlight w:val="none"/>
        </w:rPr>
        <w:t>：</w:t>
      </w:r>
    </w:p>
    <w:p>
      <w:pPr>
        <w:spacing w:line="460" w:lineRule="exact"/>
        <w:rPr>
          <w:rFonts w:hint="eastAsia" w:ascii="新宋体" w:hAnsi="新宋体" w:eastAsia="新宋体" w:cs="新宋体"/>
          <w:color w:val="auto"/>
          <w:sz w:val="22"/>
          <w:szCs w:val="22"/>
          <w:highlight w:val="none"/>
          <w:u w:val="single"/>
        </w:rPr>
      </w:pPr>
    </w:p>
    <w:p>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（磋商供应商全称）法定代表人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 ）的磋商活动，全权代表我方处理磋商活动中的一切事宜。</w:t>
      </w:r>
    </w:p>
    <w:p>
      <w:pPr>
        <w:spacing w:line="460" w:lineRule="exact"/>
        <w:ind w:firstLine="2955"/>
        <w:rPr>
          <w:rFonts w:hint="eastAsia" w:ascii="新宋体" w:hAnsi="新宋体" w:eastAsia="新宋体" w:cs="新宋体"/>
          <w:color w:val="auto"/>
          <w:sz w:val="22"/>
          <w:szCs w:val="22"/>
          <w:highlight w:val="none"/>
        </w:rPr>
      </w:pPr>
    </w:p>
    <w:p>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pPr>
        <w:spacing w:line="460" w:lineRule="exact"/>
        <w:ind w:firstLine="4081" w:firstLineChars="18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签字或盖章</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t>
      </w:r>
    </w:p>
    <w:p>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磋商供应商全称（公章）：</w:t>
      </w:r>
    </w:p>
    <w:p>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  </w:t>
      </w:r>
    </w:p>
    <w:p>
      <w:pPr>
        <w:spacing w:line="380" w:lineRule="exact"/>
        <w:rPr>
          <w:rFonts w:hint="eastAsia" w:ascii="新宋体" w:hAnsi="新宋体" w:eastAsia="新宋体" w:cs="新宋体"/>
          <w:color w:val="auto"/>
          <w:sz w:val="22"/>
          <w:szCs w:val="22"/>
          <w:highlight w:val="none"/>
        </w:rPr>
      </w:pP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p>
      <w:pPr>
        <w:pStyle w:val="9"/>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9"/>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9"/>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9"/>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highlight w:val="none"/>
        </w:rPr>
      </w:pPr>
    </w:p>
    <w:p>
      <w:pPr>
        <w:pStyle w:val="9"/>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22"/>
        <w:ind w:left="440" w:hanging="440"/>
        <w:rPr>
          <w:rFonts w:hint="eastAsia" w:ascii="新宋体" w:hAnsi="新宋体" w:eastAsia="新宋体" w:cs="新宋体"/>
          <w:color w:val="auto"/>
          <w:sz w:val="22"/>
          <w:szCs w:val="22"/>
          <w:highlight w:val="none"/>
        </w:rPr>
      </w:pPr>
    </w:p>
    <w:p>
      <w:pPr>
        <w:pStyle w:val="22"/>
        <w:ind w:left="440" w:hanging="440"/>
        <w:rPr>
          <w:rFonts w:hint="eastAsia" w:ascii="新宋体" w:hAnsi="新宋体" w:eastAsia="新宋体" w:cs="新宋体"/>
          <w:color w:val="auto"/>
          <w:sz w:val="22"/>
          <w:szCs w:val="22"/>
          <w:highlight w:val="none"/>
        </w:rPr>
      </w:pPr>
    </w:p>
    <w:p>
      <w:pPr>
        <w:pStyle w:val="22"/>
        <w:ind w:left="440" w:hanging="440"/>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9"/>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9"/>
        <w:ind w:firstLine="0"/>
        <w:rPr>
          <w:rFonts w:hint="eastAsia" w:ascii="新宋体" w:hAnsi="新宋体" w:eastAsia="新宋体" w:cs="新宋体"/>
          <w:color w:val="auto"/>
          <w:highlight w:val="none"/>
        </w:rPr>
      </w:pPr>
    </w:p>
    <w:p>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1"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新宋体" w:hAnsi="新宋体" w:eastAsia="新宋体"/>
                                <w:sz w:val="22"/>
                                <w:szCs w:val="22"/>
                              </w:rPr>
                              <w:t xml:space="preserve">  法定代表人身份证（正反面）：</w:t>
                            </w:r>
                          </w:p>
                        </w:txbxContent>
                      </wps:txbx>
                      <wps:bodyPr wrap="square"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9wjaNgAAAAKAQAADwAAAAAAAAABACAAAAAiAAAAZHJz&#10;L2Rvd25yZXYueG1sUEsBAhQAFAAAAAgAh07iQL7uwAkEAgAARAQAAA4AAAAAAAAAAQAgAAAAJwEA&#10;AGRycy9lMm9Eb2MueG1sUEsFBgAAAAAGAAYAWQEAAJ0FA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2" name="文本框 25"/>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新宋体" w:hAnsi="新宋体" w:eastAsia="新宋体"/>
                                <w:sz w:val="22"/>
                                <w:szCs w:val="22"/>
                              </w:rPr>
                              <w:t xml:space="preserve">  授权代表身份证（正反面）：</w:t>
                            </w:r>
                          </w:p>
                        </w:txbxContent>
                      </wps:txbx>
                      <wps:bodyPr wrap="square" upright="1"/>
                    </wps:wsp>
                  </a:graphicData>
                </a:graphic>
              </wp:anchor>
            </w:drawing>
          </mc:Choice>
          <mc:Fallback>
            <w:pict>
              <v:shape id="文本框 25"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Yaotd2AAAAAoBAAAP&#10;AAAAAAAAAAEAIAAAACIAAABkcnMvZG93bnJldi54bWxQSwECFAAUAAAACACHTuJA+HsyPBgCAABG&#10;BAAADgAAAAAAAAABACAAAAAnAQAAZHJzL2Uyb0RvYy54bWxQSwUGAAAAAAYABgBZAQAAsQU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sectPr>
          <w:headerReference r:id="rId4" w:type="first"/>
          <w:headerReference r:id="rId3" w:type="default"/>
          <w:footerReference r:id="rId5" w:type="default"/>
          <w:pgSz w:w="11907" w:h="16840"/>
          <w:pgMar w:top="1134" w:right="1134" w:bottom="1134" w:left="1134" w:header="851" w:footer="992" w:gutter="0"/>
          <w:cols w:space="720" w:num="1"/>
          <w:titlePg/>
          <w:docGrid w:linePitch="312" w:charSpace="0"/>
        </w:sectPr>
      </w:pPr>
    </w:p>
    <w:p>
      <w:pPr>
        <w:spacing w:line="460" w:lineRule="exact"/>
        <w:jc w:val="center"/>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2、磋商供应商情况表</w:t>
      </w:r>
    </w:p>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项目名称：                                             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单位名称（盖章）</w:t>
            </w:r>
          </w:p>
        </w:tc>
        <w:tc>
          <w:tcPr>
            <w:tcW w:w="2804" w:type="dxa"/>
            <w:gridSpan w:val="2"/>
            <w:noWrap w:val="0"/>
            <w:vAlign w:val="top"/>
          </w:tcPr>
          <w:p>
            <w:pPr>
              <w:spacing w:line="480" w:lineRule="exact"/>
              <w:rPr>
                <w:rFonts w:hint="eastAsia" w:ascii="新宋体" w:hAnsi="新宋体" w:eastAsia="新宋体" w:cs="新宋体"/>
                <w:color w:val="auto"/>
                <w:sz w:val="22"/>
                <w:szCs w:val="22"/>
                <w:highlight w:val="none"/>
              </w:rPr>
            </w:pPr>
          </w:p>
        </w:tc>
        <w:tc>
          <w:tcPr>
            <w:tcW w:w="1115" w:type="dxa"/>
            <w:gridSpan w:val="2"/>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 话</w:t>
            </w:r>
          </w:p>
        </w:tc>
        <w:tc>
          <w:tcPr>
            <w:tcW w:w="2588" w:type="dxa"/>
            <w:gridSpan w:val="2"/>
            <w:noWrap w:val="0"/>
            <w:vAlign w:val="top"/>
          </w:tcPr>
          <w:p>
            <w:pPr>
              <w:spacing w:line="480" w:lineRule="exact"/>
              <w:rPr>
                <w:rFonts w:hint="eastAsia" w:ascii="新宋体" w:hAnsi="新宋体" w:eastAsia="新宋体" w:cs="新宋体"/>
                <w:color w:val="auto"/>
                <w:sz w:val="22"/>
                <w:szCs w:val="22"/>
                <w:highlight w:val="none"/>
              </w:rPr>
            </w:pPr>
          </w:p>
        </w:tc>
        <w:tc>
          <w:tcPr>
            <w:tcW w:w="1488" w:type="dxa"/>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主管部门</w:t>
            </w:r>
          </w:p>
        </w:tc>
        <w:tc>
          <w:tcPr>
            <w:tcW w:w="1502" w:type="dxa"/>
            <w:noWrap w:val="0"/>
            <w:vAlign w:val="top"/>
          </w:tcPr>
          <w:p>
            <w:pPr>
              <w:spacing w:line="480" w:lineRule="exact"/>
              <w:rPr>
                <w:rFonts w:hint="eastAsia" w:ascii="新宋体" w:hAnsi="新宋体" w:eastAsia="新宋体" w:cs="新宋体"/>
                <w:color w:val="auto"/>
                <w:sz w:val="22"/>
                <w:szCs w:val="22"/>
                <w:highlight w:val="none"/>
              </w:rPr>
            </w:pPr>
          </w:p>
        </w:tc>
        <w:tc>
          <w:tcPr>
            <w:tcW w:w="1488" w:type="dxa"/>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企业负责人</w:t>
            </w:r>
          </w:p>
        </w:tc>
        <w:tc>
          <w:tcPr>
            <w:tcW w:w="1115" w:type="dxa"/>
            <w:noWrap w:val="0"/>
            <w:vAlign w:val="top"/>
          </w:tcPr>
          <w:p>
            <w:pPr>
              <w:spacing w:line="480" w:lineRule="exact"/>
              <w:rPr>
                <w:rFonts w:hint="eastAsia" w:ascii="新宋体" w:hAnsi="新宋体" w:eastAsia="新宋体" w:cs="新宋体"/>
                <w:color w:val="auto"/>
                <w:sz w:val="22"/>
                <w:szCs w:val="22"/>
                <w:highlight w:val="none"/>
              </w:rPr>
            </w:pPr>
          </w:p>
        </w:tc>
        <w:tc>
          <w:tcPr>
            <w:tcW w:w="1461" w:type="dxa"/>
            <w:gridSpan w:val="2"/>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p>
        </w:tc>
        <w:tc>
          <w:tcPr>
            <w:tcW w:w="2804" w:type="dxa"/>
            <w:gridSpan w:val="2"/>
            <w:noWrap w:val="0"/>
            <w:vAlign w:val="top"/>
          </w:tcPr>
          <w:p>
            <w:pPr>
              <w:spacing w:line="480" w:lineRule="exact"/>
              <w:rPr>
                <w:rFonts w:hint="eastAsia" w:ascii="新宋体" w:hAnsi="新宋体" w:eastAsia="新宋体" w:cs="新宋体"/>
                <w:color w:val="auto"/>
                <w:sz w:val="22"/>
                <w:szCs w:val="22"/>
                <w:highlight w:val="none"/>
              </w:rPr>
            </w:pPr>
          </w:p>
        </w:tc>
        <w:tc>
          <w:tcPr>
            <w:tcW w:w="1115" w:type="dxa"/>
            <w:gridSpan w:val="2"/>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tc>
        <w:tc>
          <w:tcPr>
            <w:tcW w:w="2588" w:type="dxa"/>
            <w:gridSpan w:val="2"/>
            <w:noWrap w:val="0"/>
            <w:vAlign w:val="top"/>
          </w:tcPr>
          <w:p>
            <w:pPr>
              <w:spacing w:line="480" w:lineRule="exact"/>
              <w:rPr>
                <w:rFonts w:hint="eastAsia" w:ascii="新宋体" w:hAnsi="新宋体" w:eastAsia="新宋体" w:cs="新宋体"/>
                <w:color w:val="auto"/>
                <w:sz w:val="22"/>
                <w:szCs w:val="22"/>
                <w:highlight w:val="none"/>
              </w:rPr>
            </w:pPr>
          </w:p>
        </w:tc>
        <w:tc>
          <w:tcPr>
            <w:tcW w:w="1488" w:type="dxa"/>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企业性质</w:t>
            </w:r>
          </w:p>
        </w:tc>
        <w:tc>
          <w:tcPr>
            <w:tcW w:w="1502" w:type="dxa"/>
            <w:noWrap w:val="0"/>
            <w:vAlign w:val="top"/>
          </w:tcPr>
          <w:p>
            <w:pPr>
              <w:spacing w:line="480" w:lineRule="exact"/>
              <w:rPr>
                <w:rFonts w:hint="eastAsia" w:ascii="新宋体" w:hAnsi="新宋体" w:eastAsia="新宋体" w:cs="新宋体"/>
                <w:color w:val="auto"/>
                <w:sz w:val="22"/>
                <w:szCs w:val="22"/>
                <w:highlight w:val="none"/>
              </w:rPr>
            </w:pPr>
          </w:p>
        </w:tc>
        <w:tc>
          <w:tcPr>
            <w:tcW w:w="1488" w:type="dxa"/>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w:t>
            </w:r>
          </w:p>
        </w:tc>
        <w:tc>
          <w:tcPr>
            <w:tcW w:w="1115" w:type="dxa"/>
            <w:noWrap w:val="0"/>
            <w:vAlign w:val="top"/>
          </w:tcPr>
          <w:p>
            <w:pPr>
              <w:spacing w:line="480" w:lineRule="exact"/>
              <w:rPr>
                <w:rFonts w:hint="eastAsia" w:ascii="新宋体" w:hAnsi="新宋体" w:eastAsia="新宋体" w:cs="新宋体"/>
                <w:color w:val="auto"/>
                <w:sz w:val="22"/>
                <w:szCs w:val="22"/>
                <w:highlight w:val="none"/>
              </w:rPr>
            </w:pPr>
          </w:p>
        </w:tc>
        <w:tc>
          <w:tcPr>
            <w:tcW w:w="1461" w:type="dxa"/>
            <w:gridSpan w:val="2"/>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单位简介</w:t>
            </w:r>
          </w:p>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及机构</w:t>
            </w:r>
          </w:p>
        </w:tc>
        <w:tc>
          <w:tcPr>
            <w:tcW w:w="6507" w:type="dxa"/>
            <w:gridSpan w:val="6"/>
            <w:noWrap w:val="0"/>
            <w:vAlign w:val="center"/>
          </w:tcPr>
          <w:p>
            <w:pPr>
              <w:spacing w:line="480" w:lineRule="exact"/>
              <w:jc w:val="center"/>
              <w:rPr>
                <w:rFonts w:hint="eastAsia" w:ascii="新宋体" w:hAnsi="新宋体" w:eastAsia="新宋体" w:cs="新宋体"/>
                <w:color w:val="auto"/>
                <w:sz w:val="22"/>
                <w:szCs w:val="22"/>
                <w:highlight w:val="none"/>
              </w:rPr>
            </w:pPr>
          </w:p>
        </w:tc>
        <w:tc>
          <w:tcPr>
            <w:tcW w:w="1488" w:type="dxa"/>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单位优势</w:t>
            </w:r>
          </w:p>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及特长</w:t>
            </w:r>
          </w:p>
        </w:tc>
        <w:tc>
          <w:tcPr>
            <w:tcW w:w="5566" w:type="dxa"/>
            <w:gridSpan w:val="5"/>
            <w:noWrap w:val="0"/>
            <w:vAlign w:val="top"/>
          </w:tcPr>
          <w:p>
            <w:pPr>
              <w:spacing w:line="48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单位概况</w:t>
            </w:r>
          </w:p>
        </w:tc>
        <w:tc>
          <w:tcPr>
            <w:tcW w:w="1115" w:type="dxa"/>
            <w:vMerge w:val="restart"/>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职工总数</w:t>
            </w:r>
          </w:p>
        </w:tc>
        <w:tc>
          <w:tcPr>
            <w:tcW w:w="1689" w:type="dxa"/>
            <w:vMerge w:val="restart"/>
            <w:noWrap w:val="0"/>
            <w:vAlign w:val="top"/>
          </w:tcPr>
          <w:p>
            <w:pPr>
              <w:spacing w:line="480" w:lineRule="exact"/>
              <w:ind w:firstLine="1540" w:firstLineChars="700"/>
              <w:rPr>
                <w:rFonts w:hint="eastAsia" w:ascii="新宋体" w:hAnsi="新宋体" w:eastAsia="新宋体" w:cs="新宋体"/>
                <w:color w:val="auto"/>
                <w:sz w:val="22"/>
                <w:szCs w:val="22"/>
                <w:highlight w:val="none"/>
              </w:rPr>
            </w:pPr>
          </w:p>
        </w:tc>
        <w:tc>
          <w:tcPr>
            <w:tcW w:w="3703" w:type="dxa"/>
            <w:gridSpan w:val="4"/>
            <w:vMerge w:val="restart"/>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各人员构成情况</w:t>
            </w:r>
          </w:p>
        </w:tc>
        <w:tc>
          <w:tcPr>
            <w:tcW w:w="1488" w:type="dxa"/>
            <w:vMerge w:val="restart"/>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上一年主要  经济指标</w:t>
            </w:r>
          </w:p>
        </w:tc>
        <w:tc>
          <w:tcPr>
            <w:tcW w:w="1502" w:type="dxa"/>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指标名称</w:t>
            </w:r>
          </w:p>
        </w:tc>
        <w:tc>
          <w:tcPr>
            <w:tcW w:w="1488" w:type="dxa"/>
            <w:tcBorders>
              <w:tr2bl w:val="single" w:color="auto" w:sz="4" w:space="0"/>
            </w:tcBorders>
            <w:noWrap w:val="0"/>
            <w:vAlign w:val="center"/>
          </w:tcPr>
          <w:p>
            <w:pPr>
              <w:spacing w:line="480" w:lineRule="exact"/>
              <w:jc w:val="center"/>
              <w:rPr>
                <w:rFonts w:hint="eastAsia" w:ascii="新宋体" w:hAnsi="新宋体" w:eastAsia="新宋体" w:cs="新宋体"/>
                <w:color w:val="auto"/>
                <w:sz w:val="22"/>
                <w:szCs w:val="22"/>
                <w:highlight w:val="none"/>
              </w:rPr>
            </w:pPr>
          </w:p>
        </w:tc>
        <w:tc>
          <w:tcPr>
            <w:tcW w:w="1470" w:type="dxa"/>
            <w:gridSpan w:val="2"/>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实际完成</w:t>
            </w:r>
          </w:p>
        </w:tc>
        <w:tc>
          <w:tcPr>
            <w:tcW w:w="1106" w:type="dxa"/>
            <w:tcBorders>
              <w:tr2bl w:val="single" w:color="auto" w:sz="4" w:space="0"/>
            </w:tcBorders>
            <w:noWrap w:val="0"/>
            <w:vAlign w:val="center"/>
          </w:tcPr>
          <w:p>
            <w:pPr>
              <w:spacing w:line="48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115"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689"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3703" w:type="dxa"/>
            <w:gridSpan w:val="4"/>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488"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502" w:type="dxa"/>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488" w:type="dxa"/>
            <w:noWrap w:val="0"/>
            <w:vAlign w:val="center"/>
          </w:tcPr>
          <w:p>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106" w:type="dxa"/>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115" w:type="dxa"/>
            <w:vMerge w:val="restart"/>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w:t>
            </w:r>
          </w:p>
        </w:tc>
        <w:tc>
          <w:tcPr>
            <w:tcW w:w="1689" w:type="dxa"/>
            <w:vMerge w:val="restart"/>
            <w:noWrap w:val="0"/>
            <w:vAlign w:val="top"/>
          </w:tcPr>
          <w:p>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万元 </w:t>
            </w:r>
          </w:p>
        </w:tc>
        <w:tc>
          <w:tcPr>
            <w:tcW w:w="728" w:type="dxa"/>
            <w:vMerge w:val="restart"/>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资金来源</w:t>
            </w:r>
          </w:p>
        </w:tc>
        <w:tc>
          <w:tcPr>
            <w:tcW w:w="1487" w:type="dxa"/>
            <w:gridSpan w:val="2"/>
            <w:noWrap w:val="0"/>
            <w:vAlign w:val="center"/>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自有资金</w:t>
            </w:r>
          </w:p>
        </w:tc>
        <w:tc>
          <w:tcPr>
            <w:tcW w:w="1488" w:type="dxa"/>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502" w:type="dxa"/>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488" w:type="dxa"/>
            <w:noWrap w:val="0"/>
            <w:vAlign w:val="center"/>
          </w:tcPr>
          <w:p>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106" w:type="dxa"/>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noWrap w:val="0"/>
            <w:vAlign w:val="top"/>
          </w:tcPr>
          <w:p>
            <w:pPr>
              <w:spacing w:line="480" w:lineRule="exact"/>
              <w:rPr>
                <w:rFonts w:hint="eastAsia" w:ascii="新宋体" w:hAnsi="新宋体" w:eastAsia="新宋体" w:cs="新宋体"/>
                <w:color w:val="auto"/>
                <w:sz w:val="22"/>
                <w:szCs w:val="22"/>
                <w:highlight w:val="none"/>
              </w:rPr>
            </w:pPr>
          </w:p>
        </w:tc>
        <w:tc>
          <w:tcPr>
            <w:tcW w:w="1115" w:type="dxa"/>
            <w:vMerge w:val="continue"/>
            <w:tcBorders>
              <w:bottom w:val="single" w:color="auto" w:sz="4" w:space="0"/>
            </w:tcBorders>
            <w:noWrap w:val="0"/>
            <w:vAlign w:val="top"/>
          </w:tcPr>
          <w:p>
            <w:pPr>
              <w:spacing w:line="480" w:lineRule="exact"/>
              <w:rPr>
                <w:rFonts w:hint="eastAsia" w:ascii="新宋体" w:hAnsi="新宋体" w:eastAsia="新宋体" w:cs="新宋体"/>
                <w:color w:val="auto"/>
                <w:sz w:val="22"/>
                <w:szCs w:val="22"/>
                <w:highlight w:val="none"/>
              </w:rPr>
            </w:pPr>
          </w:p>
        </w:tc>
        <w:tc>
          <w:tcPr>
            <w:tcW w:w="1689" w:type="dxa"/>
            <w:vMerge w:val="continue"/>
            <w:tcBorders>
              <w:bottom w:val="single" w:color="auto" w:sz="4" w:space="0"/>
            </w:tcBorders>
            <w:noWrap w:val="0"/>
            <w:vAlign w:val="top"/>
          </w:tcPr>
          <w:p>
            <w:pPr>
              <w:spacing w:line="480" w:lineRule="exact"/>
              <w:rPr>
                <w:rFonts w:hint="eastAsia" w:ascii="新宋体" w:hAnsi="新宋体" w:eastAsia="新宋体" w:cs="新宋体"/>
                <w:color w:val="auto"/>
                <w:sz w:val="22"/>
                <w:szCs w:val="22"/>
                <w:highlight w:val="none"/>
              </w:rPr>
            </w:pPr>
          </w:p>
        </w:tc>
        <w:tc>
          <w:tcPr>
            <w:tcW w:w="728" w:type="dxa"/>
            <w:vMerge w:val="continue"/>
            <w:tcBorders>
              <w:bottom w:val="single" w:color="auto" w:sz="4" w:space="0"/>
            </w:tcBorders>
            <w:noWrap w:val="0"/>
            <w:vAlign w:val="top"/>
          </w:tcPr>
          <w:p>
            <w:pPr>
              <w:spacing w:line="480" w:lineRule="exact"/>
              <w:rPr>
                <w:rFonts w:hint="eastAsia" w:ascii="新宋体" w:hAnsi="新宋体" w:eastAsia="新宋体" w:cs="新宋体"/>
                <w:color w:val="auto"/>
                <w:sz w:val="22"/>
                <w:szCs w:val="22"/>
                <w:highlight w:val="none"/>
              </w:rPr>
            </w:pPr>
          </w:p>
        </w:tc>
        <w:tc>
          <w:tcPr>
            <w:tcW w:w="1487" w:type="dxa"/>
            <w:gridSpan w:val="2"/>
            <w:tcBorders>
              <w:bottom w:val="single" w:color="auto" w:sz="4" w:space="0"/>
            </w:tcBorders>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银行贷款</w:t>
            </w:r>
          </w:p>
        </w:tc>
        <w:tc>
          <w:tcPr>
            <w:tcW w:w="1488" w:type="dxa"/>
            <w:tcBorders>
              <w:bottom w:val="single" w:color="auto" w:sz="4" w:space="0"/>
            </w:tcBorders>
            <w:noWrap w:val="0"/>
            <w:vAlign w:val="top"/>
          </w:tcPr>
          <w:p>
            <w:pPr>
              <w:spacing w:line="48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Borders>
              <w:bottom w:val="single" w:color="auto" w:sz="4" w:space="0"/>
            </w:tcBorders>
            <w:noWrap w:val="0"/>
            <w:vAlign w:val="top"/>
          </w:tcPr>
          <w:p>
            <w:pPr>
              <w:spacing w:line="480" w:lineRule="exact"/>
              <w:rPr>
                <w:rFonts w:hint="eastAsia" w:ascii="新宋体" w:hAnsi="新宋体" w:eastAsia="新宋体" w:cs="新宋体"/>
                <w:color w:val="auto"/>
                <w:sz w:val="22"/>
                <w:szCs w:val="22"/>
                <w:highlight w:val="none"/>
              </w:rPr>
            </w:pPr>
          </w:p>
        </w:tc>
        <w:tc>
          <w:tcPr>
            <w:tcW w:w="1502" w:type="dxa"/>
            <w:vMerge w:val="restart"/>
            <w:tcBorders>
              <w:bottom w:val="single" w:color="auto" w:sz="4" w:space="0"/>
            </w:tcBorders>
            <w:noWrap w:val="0"/>
            <w:vAlign w:val="center"/>
          </w:tcPr>
          <w:p>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主要业绩</w:t>
            </w:r>
          </w:p>
        </w:tc>
        <w:tc>
          <w:tcPr>
            <w:tcW w:w="4064" w:type="dxa"/>
            <w:gridSpan w:val="4"/>
            <w:vMerge w:val="restart"/>
            <w:tcBorders>
              <w:bottom w:val="single" w:color="auto" w:sz="4" w:space="0"/>
            </w:tcBorders>
            <w:noWrap w:val="0"/>
            <w:vAlign w:val="center"/>
          </w:tcPr>
          <w:p>
            <w:pPr>
              <w:spacing w:line="48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115" w:type="dxa"/>
            <w:vMerge w:val="restart"/>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固定资产</w:t>
            </w:r>
          </w:p>
        </w:tc>
        <w:tc>
          <w:tcPr>
            <w:tcW w:w="1689" w:type="dxa"/>
            <w:vMerge w:val="restart"/>
            <w:noWrap w:val="0"/>
            <w:vAlign w:val="top"/>
          </w:tcPr>
          <w:p>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原值   万元</w:t>
            </w:r>
          </w:p>
          <w:p>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净值   万元</w:t>
            </w:r>
          </w:p>
        </w:tc>
        <w:tc>
          <w:tcPr>
            <w:tcW w:w="728" w:type="dxa"/>
            <w:vMerge w:val="restart"/>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资金性质</w:t>
            </w:r>
          </w:p>
        </w:tc>
        <w:tc>
          <w:tcPr>
            <w:tcW w:w="1487" w:type="dxa"/>
            <w:gridSpan w:val="2"/>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生产性</w:t>
            </w:r>
          </w:p>
        </w:tc>
        <w:tc>
          <w:tcPr>
            <w:tcW w:w="1488" w:type="dxa"/>
            <w:noWrap w:val="0"/>
            <w:vAlign w:val="top"/>
          </w:tcPr>
          <w:p>
            <w:pPr>
              <w:spacing w:line="480" w:lineRule="exact"/>
              <w:ind w:left="220" w:hanging="220" w:hanging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502"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4064" w:type="dxa"/>
            <w:gridSpan w:val="4"/>
            <w:vMerge w:val="continue"/>
            <w:noWrap w:val="0"/>
            <w:vAlign w:val="top"/>
          </w:tcPr>
          <w:p>
            <w:pPr>
              <w:spacing w:line="48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115"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689"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728"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487" w:type="dxa"/>
            <w:gridSpan w:val="2"/>
            <w:noWrap w:val="0"/>
            <w:vAlign w:val="top"/>
          </w:tcPr>
          <w:p>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非生产性</w:t>
            </w:r>
          </w:p>
        </w:tc>
        <w:tc>
          <w:tcPr>
            <w:tcW w:w="1488" w:type="dxa"/>
            <w:noWrap w:val="0"/>
            <w:vAlign w:val="top"/>
          </w:tcPr>
          <w:p>
            <w:pPr>
              <w:spacing w:line="480" w:lineRule="exact"/>
              <w:ind w:left="220" w:hanging="220" w:hanging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1502" w:type="dxa"/>
            <w:vMerge w:val="continue"/>
            <w:noWrap w:val="0"/>
            <w:vAlign w:val="top"/>
          </w:tcPr>
          <w:p>
            <w:pPr>
              <w:spacing w:line="480" w:lineRule="exact"/>
              <w:rPr>
                <w:rFonts w:hint="eastAsia" w:ascii="新宋体" w:hAnsi="新宋体" w:eastAsia="新宋体" w:cs="新宋体"/>
                <w:color w:val="auto"/>
                <w:sz w:val="22"/>
                <w:szCs w:val="22"/>
                <w:highlight w:val="none"/>
              </w:rPr>
            </w:pPr>
          </w:p>
        </w:tc>
        <w:tc>
          <w:tcPr>
            <w:tcW w:w="4064" w:type="dxa"/>
            <w:gridSpan w:val="4"/>
            <w:vMerge w:val="continue"/>
            <w:noWrap w:val="0"/>
            <w:vAlign w:val="top"/>
          </w:tcPr>
          <w:p>
            <w:pPr>
              <w:spacing w:line="480" w:lineRule="exact"/>
              <w:rPr>
                <w:rFonts w:hint="eastAsia" w:ascii="新宋体" w:hAnsi="新宋体" w:eastAsia="新宋体" w:cs="新宋体"/>
                <w:color w:val="auto"/>
                <w:sz w:val="22"/>
                <w:szCs w:val="22"/>
                <w:highlight w:val="none"/>
              </w:rPr>
            </w:pPr>
          </w:p>
        </w:tc>
      </w:tr>
    </w:tbl>
    <w:p>
      <w:pPr>
        <w:spacing w:line="460" w:lineRule="exact"/>
        <w:ind w:firstLine="541" w:firstLineChars="245"/>
        <w:rPr>
          <w:rFonts w:hint="eastAsia" w:ascii="新宋体" w:hAnsi="新宋体" w:eastAsia="新宋体" w:cs="新宋体"/>
          <w:b/>
          <w:bCs/>
          <w:color w:val="auto"/>
          <w:sz w:val="22"/>
          <w:szCs w:val="22"/>
          <w:highlight w:val="none"/>
        </w:rPr>
      </w:pPr>
    </w:p>
    <w:p>
      <w:pPr>
        <w:spacing w:line="460" w:lineRule="exact"/>
        <w:rPr>
          <w:rFonts w:hint="eastAsia" w:ascii="新宋体" w:hAnsi="新宋体" w:eastAsia="新宋体" w:cs="新宋体"/>
          <w:color w:val="auto"/>
          <w:sz w:val="22"/>
          <w:szCs w:val="22"/>
          <w:highlight w:val="none"/>
        </w:rPr>
        <w:sectPr>
          <w:headerReference r:id="rId7" w:type="first"/>
          <w:headerReference r:id="rId6" w:type="default"/>
          <w:pgSz w:w="16840" w:h="11907" w:orient="landscape"/>
          <w:pgMar w:top="1134" w:right="1134" w:bottom="1134" w:left="1134" w:header="851" w:footer="992" w:gutter="0"/>
          <w:cols w:space="720" w:num="1"/>
          <w:titlePg/>
          <w:docGrid w:linePitch="312" w:charSpace="0"/>
        </w:sectPr>
      </w:pPr>
    </w:p>
    <w:p>
      <w:pPr>
        <w:spacing w:line="460" w:lineRule="exact"/>
        <w:jc w:val="center"/>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8"/>
          <w:szCs w:val="28"/>
          <w:highlight w:val="none"/>
        </w:rPr>
        <w:t>3、偏离表</w:t>
      </w:r>
    </w:p>
    <w:p>
      <w:pPr>
        <w:spacing w:line="380" w:lineRule="exact"/>
        <w:rPr>
          <w:rFonts w:hint="eastAsia" w:ascii="新宋体" w:hAnsi="新宋体" w:eastAsia="新宋体" w:cs="新宋体"/>
          <w:b/>
          <w:bCs/>
          <w:color w:val="auto"/>
          <w:sz w:val="22"/>
          <w:szCs w:val="22"/>
          <w:highlight w:val="none"/>
        </w:rPr>
      </w:pPr>
    </w:p>
    <w:p>
      <w:pPr>
        <w:spacing w:line="360" w:lineRule="auto"/>
        <w:jc w:val="left"/>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项 目 编 号：</w:t>
      </w:r>
      <w:r>
        <w:rPr>
          <w:rFonts w:hint="eastAsia" w:ascii="新宋体" w:hAnsi="新宋体" w:eastAsia="新宋体" w:cs="新宋体"/>
          <w:bCs/>
          <w:color w:val="auto"/>
          <w:sz w:val="22"/>
          <w:szCs w:val="22"/>
          <w:highlight w:val="none"/>
          <w:lang w:eastAsia="zh-CN"/>
        </w:rPr>
        <w:t>DTCG20231213141</w:t>
      </w:r>
    </w:p>
    <w:p>
      <w:pPr>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项 目 名 称：</w:t>
      </w:r>
      <w:r>
        <w:rPr>
          <w:rFonts w:hint="eastAsia" w:ascii="新宋体" w:hAnsi="新宋体" w:eastAsia="新宋体" w:cs="新宋体"/>
          <w:bCs/>
          <w:color w:val="auto"/>
          <w:sz w:val="22"/>
          <w:szCs w:val="22"/>
          <w:highlight w:val="none"/>
          <w:lang w:eastAsia="zh-CN"/>
        </w:rPr>
        <w:t>洞头区个人住房白蚁灭治采购服务</w:t>
      </w:r>
    </w:p>
    <w:tbl>
      <w:tblPr>
        <w:tblStyle w:val="52"/>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587"/>
        <w:gridCol w:w="2348"/>
        <w:gridCol w:w="2741"/>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48" w:type="dxa"/>
            <w:shd w:val="clear" w:color="auto" w:fill="FFFFFF"/>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2587" w:type="dxa"/>
            <w:shd w:val="clear" w:color="auto" w:fill="FFFFFF"/>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磋商文件条目</w:t>
            </w:r>
          </w:p>
        </w:tc>
        <w:tc>
          <w:tcPr>
            <w:tcW w:w="2348" w:type="dxa"/>
            <w:shd w:val="clear" w:color="auto" w:fill="FFFFFF"/>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磋商文件规格要求</w:t>
            </w:r>
          </w:p>
        </w:tc>
        <w:tc>
          <w:tcPr>
            <w:tcW w:w="2741" w:type="dxa"/>
            <w:shd w:val="clear" w:color="auto" w:fill="FFFFFF"/>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磋商响应文件对应规格</w:t>
            </w:r>
          </w:p>
        </w:tc>
        <w:tc>
          <w:tcPr>
            <w:tcW w:w="1138" w:type="dxa"/>
            <w:shd w:val="clear" w:color="auto" w:fill="FFFFFF"/>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848" w:type="dxa"/>
            <w:noWrap w:val="0"/>
            <w:vAlign w:val="center"/>
          </w:tcPr>
          <w:p>
            <w:pPr>
              <w:ind w:firstLine="220" w:firstLineChars="100"/>
              <w:rPr>
                <w:rFonts w:hint="eastAsia" w:ascii="新宋体" w:hAnsi="新宋体" w:eastAsia="新宋体" w:cs="新宋体"/>
                <w:color w:val="auto"/>
                <w:sz w:val="22"/>
                <w:szCs w:val="22"/>
                <w:highlight w:val="none"/>
              </w:rPr>
            </w:pPr>
          </w:p>
        </w:tc>
        <w:tc>
          <w:tcPr>
            <w:tcW w:w="2587" w:type="dxa"/>
            <w:noWrap w:val="0"/>
            <w:vAlign w:val="center"/>
          </w:tcPr>
          <w:p>
            <w:pPr>
              <w:jc w:val="center"/>
              <w:rPr>
                <w:rFonts w:hint="eastAsia" w:ascii="新宋体" w:hAnsi="新宋体" w:eastAsia="新宋体" w:cs="新宋体"/>
                <w:color w:val="auto"/>
                <w:sz w:val="22"/>
                <w:szCs w:val="22"/>
                <w:highlight w:val="none"/>
              </w:rPr>
            </w:pPr>
          </w:p>
        </w:tc>
        <w:tc>
          <w:tcPr>
            <w:tcW w:w="2348" w:type="dxa"/>
            <w:noWrap w:val="0"/>
            <w:vAlign w:val="center"/>
          </w:tcPr>
          <w:p>
            <w:pPr>
              <w:jc w:val="center"/>
              <w:rPr>
                <w:rFonts w:hint="eastAsia" w:ascii="新宋体" w:hAnsi="新宋体" w:eastAsia="新宋体" w:cs="新宋体"/>
                <w:color w:val="auto"/>
                <w:sz w:val="22"/>
                <w:szCs w:val="22"/>
                <w:highlight w:val="none"/>
              </w:rPr>
            </w:pPr>
          </w:p>
        </w:tc>
        <w:tc>
          <w:tcPr>
            <w:tcW w:w="2741" w:type="dxa"/>
            <w:noWrap w:val="0"/>
            <w:vAlign w:val="center"/>
          </w:tcPr>
          <w:p>
            <w:pPr>
              <w:jc w:val="center"/>
              <w:rPr>
                <w:rFonts w:hint="eastAsia" w:ascii="新宋体" w:hAnsi="新宋体" w:eastAsia="新宋体" w:cs="新宋体"/>
                <w:color w:val="auto"/>
                <w:sz w:val="22"/>
                <w:szCs w:val="22"/>
                <w:highlight w:val="none"/>
              </w:rPr>
            </w:pPr>
          </w:p>
        </w:tc>
        <w:tc>
          <w:tcPr>
            <w:tcW w:w="1138"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noWrap w:val="0"/>
            <w:vAlign w:val="center"/>
          </w:tcPr>
          <w:p>
            <w:pPr>
              <w:jc w:val="center"/>
              <w:rPr>
                <w:rFonts w:hint="eastAsia" w:ascii="新宋体" w:hAnsi="新宋体" w:eastAsia="新宋体" w:cs="新宋体"/>
                <w:color w:val="auto"/>
                <w:sz w:val="22"/>
                <w:szCs w:val="22"/>
                <w:highlight w:val="none"/>
              </w:rPr>
            </w:pPr>
          </w:p>
        </w:tc>
        <w:tc>
          <w:tcPr>
            <w:tcW w:w="2587" w:type="dxa"/>
            <w:noWrap w:val="0"/>
            <w:vAlign w:val="center"/>
          </w:tcPr>
          <w:p>
            <w:pPr>
              <w:jc w:val="center"/>
              <w:rPr>
                <w:rFonts w:hint="eastAsia" w:ascii="新宋体" w:hAnsi="新宋体" w:eastAsia="新宋体" w:cs="新宋体"/>
                <w:color w:val="auto"/>
                <w:sz w:val="22"/>
                <w:szCs w:val="22"/>
                <w:highlight w:val="none"/>
              </w:rPr>
            </w:pPr>
          </w:p>
        </w:tc>
        <w:tc>
          <w:tcPr>
            <w:tcW w:w="2348" w:type="dxa"/>
            <w:noWrap w:val="0"/>
            <w:vAlign w:val="center"/>
          </w:tcPr>
          <w:p>
            <w:pPr>
              <w:jc w:val="center"/>
              <w:rPr>
                <w:rFonts w:hint="eastAsia" w:ascii="新宋体" w:hAnsi="新宋体" w:eastAsia="新宋体" w:cs="新宋体"/>
                <w:color w:val="auto"/>
                <w:sz w:val="22"/>
                <w:szCs w:val="22"/>
                <w:highlight w:val="none"/>
              </w:rPr>
            </w:pPr>
          </w:p>
        </w:tc>
        <w:tc>
          <w:tcPr>
            <w:tcW w:w="2741" w:type="dxa"/>
            <w:noWrap w:val="0"/>
            <w:vAlign w:val="center"/>
          </w:tcPr>
          <w:p>
            <w:pPr>
              <w:jc w:val="center"/>
              <w:rPr>
                <w:rFonts w:hint="eastAsia" w:ascii="新宋体" w:hAnsi="新宋体" w:eastAsia="新宋体" w:cs="新宋体"/>
                <w:color w:val="auto"/>
                <w:sz w:val="22"/>
                <w:szCs w:val="22"/>
                <w:highlight w:val="none"/>
              </w:rPr>
            </w:pPr>
          </w:p>
        </w:tc>
        <w:tc>
          <w:tcPr>
            <w:tcW w:w="1138"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noWrap w:val="0"/>
            <w:vAlign w:val="center"/>
          </w:tcPr>
          <w:p>
            <w:pPr>
              <w:jc w:val="center"/>
              <w:rPr>
                <w:rFonts w:hint="eastAsia" w:ascii="新宋体" w:hAnsi="新宋体" w:eastAsia="新宋体" w:cs="新宋体"/>
                <w:color w:val="auto"/>
                <w:sz w:val="22"/>
                <w:szCs w:val="22"/>
                <w:highlight w:val="none"/>
              </w:rPr>
            </w:pPr>
          </w:p>
        </w:tc>
        <w:tc>
          <w:tcPr>
            <w:tcW w:w="2587" w:type="dxa"/>
            <w:noWrap w:val="0"/>
            <w:vAlign w:val="center"/>
          </w:tcPr>
          <w:p>
            <w:pPr>
              <w:jc w:val="center"/>
              <w:rPr>
                <w:rFonts w:hint="eastAsia" w:ascii="新宋体" w:hAnsi="新宋体" w:eastAsia="新宋体" w:cs="新宋体"/>
                <w:color w:val="auto"/>
                <w:sz w:val="22"/>
                <w:szCs w:val="22"/>
                <w:highlight w:val="none"/>
              </w:rPr>
            </w:pPr>
          </w:p>
        </w:tc>
        <w:tc>
          <w:tcPr>
            <w:tcW w:w="2348" w:type="dxa"/>
            <w:noWrap w:val="0"/>
            <w:vAlign w:val="center"/>
          </w:tcPr>
          <w:p>
            <w:pPr>
              <w:jc w:val="center"/>
              <w:rPr>
                <w:rFonts w:hint="eastAsia" w:ascii="新宋体" w:hAnsi="新宋体" w:eastAsia="新宋体" w:cs="新宋体"/>
                <w:color w:val="auto"/>
                <w:sz w:val="22"/>
                <w:szCs w:val="22"/>
                <w:highlight w:val="none"/>
              </w:rPr>
            </w:pPr>
          </w:p>
        </w:tc>
        <w:tc>
          <w:tcPr>
            <w:tcW w:w="2741" w:type="dxa"/>
            <w:noWrap w:val="0"/>
            <w:vAlign w:val="center"/>
          </w:tcPr>
          <w:p>
            <w:pPr>
              <w:jc w:val="center"/>
              <w:rPr>
                <w:rFonts w:hint="eastAsia" w:ascii="新宋体" w:hAnsi="新宋体" w:eastAsia="新宋体" w:cs="新宋体"/>
                <w:color w:val="auto"/>
                <w:sz w:val="22"/>
                <w:szCs w:val="22"/>
                <w:highlight w:val="none"/>
              </w:rPr>
            </w:pPr>
          </w:p>
        </w:tc>
        <w:tc>
          <w:tcPr>
            <w:tcW w:w="1138"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noWrap w:val="0"/>
            <w:vAlign w:val="center"/>
          </w:tcPr>
          <w:p>
            <w:pPr>
              <w:jc w:val="center"/>
              <w:rPr>
                <w:rFonts w:hint="eastAsia" w:ascii="新宋体" w:hAnsi="新宋体" w:eastAsia="新宋体" w:cs="新宋体"/>
                <w:color w:val="auto"/>
                <w:sz w:val="22"/>
                <w:szCs w:val="22"/>
                <w:highlight w:val="none"/>
              </w:rPr>
            </w:pPr>
          </w:p>
        </w:tc>
        <w:tc>
          <w:tcPr>
            <w:tcW w:w="2587" w:type="dxa"/>
            <w:noWrap w:val="0"/>
            <w:vAlign w:val="center"/>
          </w:tcPr>
          <w:p>
            <w:pPr>
              <w:jc w:val="center"/>
              <w:rPr>
                <w:rFonts w:hint="eastAsia" w:ascii="新宋体" w:hAnsi="新宋体" w:eastAsia="新宋体" w:cs="新宋体"/>
                <w:color w:val="auto"/>
                <w:sz w:val="22"/>
                <w:szCs w:val="22"/>
                <w:highlight w:val="none"/>
              </w:rPr>
            </w:pPr>
          </w:p>
        </w:tc>
        <w:tc>
          <w:tcPr>
            <w:tcW w:w="2348" w:type="dxa"/>
            <w:noWrap w:val="0"/>
            <w:vAlign w:val="center"/>
          </w:tcPr>
          <w:p>
            <w:pPr>
              <w:jc w:val="center"/>
              <w:rPr>
                <w:rFonts w:hint="eastAsia" w:ascii="新宋体" w:hAnsi="新宋体" w:eastAsia="新宋体" w:cs="新宋体"/>
                <w:color w:val="auto"/>
                <w:sz w:val="22"/>
                <w:szCs w:val="22"/>
                <w:highlight w:val="none"/>
              </w:rPr>
            </w:pPr>
          </w:p>
        </w:tc>
        <w:tc>
          <w:tcPr>
            <w:tcW w:w="2741" w:type="dxa"/>
            <w:noWrap w:val="0"/>
            <w:vAlign w:val="center"/>
          </w:tcPr>
          <w:p>
            <w:pPr>
              <w:jc w:val="center"/>
              <w:rPr>
                <w:rFonts w:hint="eastAsia" w:ascii="新宋体" w:hAnsi="新宋体" w:eastAsia="新宋体" w:cs="新宋体"/>
                <w:color w:val="auto"/>
                <w:sz w:val="22"/>
                <w:szCs w:val="22"/>
                <w:highlight w:val="none"/>
              </w:rPr>
            </w:pPr>
          </w:p>
        </w:tc>
        <w:tc>
          <w:tcPr>
            <w:tcW w:w="1138"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noWrap w:val="0"/>
            <w:vAlign w:val="center"/>
          </w:tcPr>
          <w:p>
            <w:pPr>
              <w:jc w:val="center"/>
              <w:rPr>
                <w:rFonts w:hint="eastAsia" w:ascii="新宋体" w:hAnsi="新宋体" w:eastAsia="新宋体" w:cs="新宋体"/>
                <w:color w:val="auto"/>
                <w:sz w:val="22"/>
                <w:szCs w:val="22"/>
                <w:highlight w:val="none"/>
              </w:rPr>
            </w:pPr>
          </w:p>
        </w:tc>
        <w:tc>
          <w:tcPr>
            <w:tcW w:w="2587" w:type="dxa"/>
            <w:noWrap w:val="0"/>
            <w:vAlign w:val="center"/>
          </w:tcPr>
          <w:p>
            <w:pPr>
              <w:jc w:val="center"/>
              <w:rPr>
                <w:rFonts w:hint="eastAsia" w:ascii="新宋体" w:hAnsi="新宋体" w:eastAsia="新宋体" w:cs="新宋体"/>
                <w:color w:val="auto"/>
                <w:sz w:val="22"/>
                <w:szCs w:val="22"/>
                <w:highlight w:val="none"/>
              </w:rPr>
            </w:pPr>
          </w:p>
        </w:tc>
        <w:tc>
          <w:tcPr>
            <w:tcW w:w="2348" w:type="dxa"/>
            <w:noWrap w:val="0"/>
            <w:vAlign w:val="center"/>
          </w:tcPr>
          <w:p>
            <w:pPr>
              <w:jc w:val="center"/>
              <w:rPr>
                <w:rFonts w:hint="eastAsia" w:ascii="新宋体" w:hAnsi="新宋体" w:eastAsia="新宋体" w:cs="新宋体"/>
                <w:color w:val="auto"/>
                <w:sz w:val="22"/>
                <w:szCs w:val="22"/>
                <w:highlight w:val="none"/>
              </w:rPr>
            </w:pPr>
          </w:p>
        </w:tc>
        <w:tc>
          <w:tcPr>
            <w:tcW w:w="2741" w:type="dxa"/>
            <w:noWrap w:val="0"/>
            <w:vAlign w:val="center"/>
          </w:tcPr>
          <w:p>
            <w:pPr>
              <w:jc w:val="center"/>
              <w:rPr>
                <w:rFonts w:hint="eastAsia" w:ascii="新宋体" w:hAnsi="新宋体" w:eastAsia="新宋体" w:cs="新宋体"/>
                <w:color w:val="auto"/>
                <w:sz w:val="22"/>
                <w:szCs w:val="22"/>
                <w:highlight w:val="none"/>
              </w:rPr>
            </w:pPr>
          </w:p>
        </w:tc>
        <w:tc>
          <w:tcPr>
            <w:tcW w:w="1138"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noWrap w:val="0"/>
            <w:vAlign w:val="center"/>
          </w:tcPr>
          <w:p>
            <w:pPr>
              <w:ind w:firstLine="220" w:firstLineChars="100"/>
              <w:rPr>
                <w:rFonts w:hint="eastAsia" w:ascii="新宋体" w:hAnsi="新宋体" w:eastAsia="新宋体" w:cs="新宋体"/>
                <w:color w:val="auto"/>
                <w:sz w:val="22"/>
                <w:szCs w:val="22"/>
                <w:highlight w:val="none"/>
              </w:rPr>
            </w:pPr>
          </w:p>
        </w:tc>
        <w:tc>
          <w:tcPr>
            <w:tcW w:w="2587" w:type="dxa"/>
            <w:noWrap w:val="0"/>
            <w:vAlign w:val="center"/>
          </w:tcPr>
          <w:p>
            <w:pPr>
              <w:jc w:val="center"/>
              <w:rPr>
                <w:rFonts w:hint="eastAsia" w:ascii="新宋体" w:hAnsi="新宋体" w:eastAsia="新宋体" w:cs="新宋体"/>
                <w:color w:val="auto"/>
                <w:sz w:val="22"/>
                <w:szCs w:val="22"/>
                <w:highlight w:val="none"/>
              </w:rPr>
            </w:pPr>
          </w:p>
        </w:tc>
        <w:tc>
          <w:tcPr>
            <w:tcW w:w="2348" w:type="dxa"/>
            <w:noWrap w:val="0"/>
            <w:vAlign w:val="center"/>
          </w:tcPr>
          <w:p>
            <w:pPr>
              <w:jc w:val="center"/>
              <w:rPr>
                <w:rFonts w:hint="eastAsia" w:ascii="新宋体" w:hAnsi="新宋体" w:eastAsia="新宋体" w:cs="新宋体"/>
                <w:color w:val="auto"/>
                <w:sz w:val="22"/>
                <w:szCs w:val="22"/>
                <w:highlight w:val="none"/>
              </w:rPr>
            </w:pPr>
          </w:p>
        </w:tc>
        <w:tc>
          <w:tcPr>
            <w:tcW w:w="2741" w:type="dxa"/>
            <w:noWrap w:val="0"/>
            <w:vAlign w:val="center"/>
          </w:tcPr>
          <w:p>
            <w:pPr>
              <w:jc w:val="center"/>
              <w:rPr>
                <w:rFonts w:hint="eastAsia" w:ascii="新宋体" w:hAnsi="新宋体" w:eastAsia="新宋体" w:cs="新宋体"/>
                <w:color w:val="auto"/>
                <w:sz w:val="22"/>
                <w:szCs w:val="22"/>
                <w:highlight w:val="none"/>
              </w:rPr>
            </w:pPr>
          </w:p>
        </w:tc>
        <w:tc>
          <w:tcPr>
            <w:tcW w:w="1138"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noWrap w:val="0"/>
            <w:vAlign w:val="center"/>
          </w:tcPr>
          <w:p>
            <w:pPr>
              <w:jc w:val="center"/>
              <w:rPr>
                <w:rFonts w:hint="eastAsia" w:ascii="新宋体" w:hAnsi="新宋体" w:eastAsia="新宋体" w:cs="新宋体"/>
                <w:color w:val="auto"/>
                <w:sz w:val="22"/>
                <w:szCs w:val="22"/>
                <w:highlight w:val="none"/>
              </w:rPr>
            </w:pPr>
          </w:p>
        </w:tc>
        <w:tc>
          <w:tcPr>
            <w:tcW w:w="2587" w:type="dxa"/>
            <w:noWrap w:val="0"/>
            <w:vAlign w:val="center"/>
          </w:tcPr>
          <w:p>
            <w:pPr>
              <w:jc w:val="center"/>
              <w:rPr>
                <w:rFonts w:hint="eastAsia" w:ascii="新宋体" w:hAnsi="新宋体" w:eastAsia="新宋体" w:cs="新宋体"/>
                <w:color w:val="auto"/>
                <w:sz w:val="22"/>
                <w:szCs w:val="22"/>
                <w:highlight w:val="none"/>
              </w:rPr>
            </w:pPr>
          </w:p>
        </w:tc>
        <w:tc>
          <w:tcPr>
            <w:tcW w:w="2348" w:type="dxa"/>
            <w:noWrap w:val="0"/>
            <w:vAlign w:val="center"/>
          </w:tcPr>
          <w:p>
            <w:pPr>
              <w:jc w:val="center"/>
              <w:rPr>
                <w:rFonts w:hint="eastAsia" w:ascii="新宋体" w:hAnsi="新宋体" w:eastAsia="新宋体" w:cs="新宋体"/>
                <w:color w:val="auto"/>
                <w:sz w:val="22"/>
                <w:szCs w:val="22"/>
                <w:highlight w:val="none"/>
              </w:rPr>
            </w:pPr>
          </w:p>
        </w:tc>
        <w:tc>
          <w:tcPr>
            <w:tcW w:w="2741" w:type="dxa"/>
            <w:noWrap w:val="0"/>
            <w:vAlign w:val="center"/>
          </w:tcPr>
          <w:p>
            <w:pPr>
              <w:jc w:val="center"/>
              <w:rPr>
                <w:rFonts w:hint="eastAsia" w:ascii="新宋体" w:hAnsi="新宋体" w:eastAsia="新宋体" w:cs="新宋体"/>
                <w:color w:val="auto"/>
                <w:sz w:val="22"/>
                <w:szCs w:val="22"/>
                <w:highlight w:val="none"/>
              </w:rPr>
            </w:pPr>
          </w:p>
        </w:tc>
        <w:tc>
          <w:tcPr>
            <w:tcW w:w="1138"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noWrap w:val="0"/>
            <w:vAlign w:val="center"/>
          </w:tcPr>
          <w:p>
            <w:pPr>
              <w:jc w:val="center"/>
              <w:rPr>
                <w:rFonts w:hint="eastAsia" w:ascii="新宋体" w:hAnsi="新宋体" w:eastAsia="新宋体" w:cs="新宋体"/>
                <w:color w:val="auto"/>
                <w:sz w:val="22"/>
                <w:szCs w:val="22"/>
                <w:highlight w:val="none"/>
              </w:rPr>
            </w:pPr>
          </w:p>
        </w:tc>
        <w:tc>
          <w:tcPr>
            <w:tcW w:w="2587" w:type="dxa"/>
            <w:noWrap w:val="0"/>
            <w:vAlign w:val="center"/>
          </w:tcPr>
          <w:p>
            <w:pPr>
              <w:jc w:val="center"/>
              <w:rPr>
                <w:rFonts w:hint="eastAsia" w:ascii="新宋体" w:hAnsi="新宋体" w:eastAsia="新宋体" w:cs="新宋体"/>
                <w:color w:val="auto"/>
                <w:sz w:val="22"/>
                <w:szCs w:val="22"/>
                <w:highlight w:val="none"/>
              </w:rPr>
            </w:pPr>
          </w:p>
        </w:tc>
        <w:tc>
          <w:tcPr>
            <w:tcW w:w="2348" w:type="dxa"/>
            <w:noWrap w:val="0"/>
            <w:vAlign w:val="center"/>
          </w:tcPr>
          <w:p>
            <w:pPr>
              <w:jc w:val="center"/>
              <w:rPr>
                <w:rFonts w:hint="eastAsia" w:ascii="新宋体" w:hAnsi="新宋体" w:eastAsia="新宋体" w:cs="新宋体"/>
                <w:color w:val="auto"/>
                <w:sz w:val="22"/>
                <w:szCs w:val="22"/>
                <w:highlight w:val="none"/>
              </w:rPr>
            </w:pPr>
          </w:p>
        </w:tc>
        <w:tc>
          <w:tcPr>
            <w:tcW w:w="2741" w:type="dxa"/>
            <w:noWrap w:val="0"/>
            <w:vAlign w:val="center"/>
          </w:tcPr>
          <w:p>
            <w:pPr>
              <w:jc w:val="center"/>
              <w:rPr>
                <w:rFonts w:hint="eastAsia" w:ascii="新宋体" w:hAnsi="新宋体" w:eastAsia="新宋体" w:cs="新宋体"/>
                <w:color w:val="auto"/>
                <w:sz w:val="22"/>
                <w:szCs w:val="22"/>
                <w:highlight w:val="none"/>
              </w:rPr>
            </w:pPr>
          </w:p>
        </w:tc>
        <w:tc>
          <w:tcPr>
            <w:tcW w:w="1138"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noWrap w:val="0"/>
            <w:vAlign w:val="center"/>
          </w:tcPr>
          <w:p>
            <w:pPr>
              <w:jc w:val="center"/>
              <w:rPr>
                <w:rFonts w:hint="eastAsia" w:ascii="新宋体" w:hAnsi="新宋体" w:eastAsia="新宋体" w:cs="新宋体"/>
                <w:color w:val="auto"/>
                <w:sz w:val="22"/>
                <w:szCs w:val="22"/>
                <w:highlight w:val="none"/>
              </w:rPr>
            </w:pPr>
          </w:p>
        </w:tc>
        <w:tc>
          <w:tcPr>
            <w:tcW w:w="2587" w:type="dxa"/>
            <w:noWrap w:val="0"/>
            <w:vAlign w:val="center"/>
          </w:tcPr>
          <w:p>
            <w:pPr>
              <w:jc w:val="center"/>
              <w:rPr>
                <w:rFonts w:hint="eastAsia" w:ascii="新宋体" w:hAnsi="新宋体" w:eastAsia="新宋体" w:cs="新宋体"/>
                <w:color w:val="auto"/>
                <w:sz w:val="22"/>
                <w:szCs w:val="22"/>
                <w:highlight w:val="none"/>
              </w:rPr>
            </w:pPr>
          </w:p>
        </w:tc>
        <w:tc>
          <w:tcPr>
            <w:tcW w:w="2348" w:type="dxa"/>
            <w:noWrap w:val="0"/>
            <w:vAlign w:val="center"/>
          </w:tcPr>
          <w:p>
            <w:pPr>
              <w:jc w:val="center"/>
              <w:rPr>
                <w:rFonts w:hint="eastAsia" w:ascii="新宋体" w:hAnsi="新宋体" w:eastAsia="新宋体" w:cs="新宋体"/>
                <w:color w:val="auto"/>
                <w:sz w:val="22"/>
                <w:szCs w:val="22"/>
                <w:highlight w:val="none"/>
              </w:rPr>
            </w:pPr>
          </w:p>
        </w:tc>
        <w:tc>
          <w:tcPr>
            <w:tcW w:w="2741" w:type="dxa"/>
            <w:noWrap w:val="0"/>
            <w:vAlign w:val="center"/>
          </w:tcPr>
          <w:p>
            <w:pPr>
              <w:jc w:val="center"/>
              <w:rPr>
                <w:rFonts w:hint="eastAsia" w:ascii="新宋体" w:hAnsi="新宋体" w:eastAsia="新宋体" w:cs="新宋体"/>
                <w:color w:val="auto"/>
                <w:sz w:val="22"/>
                <w:szCs w:val="22"/>
                <w:highlight w:val="none"/>
              </w:rPr>
            </w:pPr>
          </w:p>
        </w:tc>
        <w:tc>
          <w:tcPr>
            <w:tcW w:w="1138"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noWrap w:val="0"/>
            <w:vAlign w:val="center"/>
          </w:tcPr>
          <w:p>
            <w:pPr>
              <w:jc w:val="center"/>
              <w:rPr>
                <w:rFonts w:hint="eastAsia" w:ascii="新宋体" w:hAnsi="新宋体" w:eastAsia="新宋体" w:cs="新宋体"/>
                <w:color w:val="auto"/>
                <w:sz w:val="22"/>
                <w:szCs w:val="22"/>
                <w:highlight w:val="none"/>
              </w:rPr>
            </w:pPr>
          </w:p>
        </w:tc>
        <w:tc>
          <w:tcPr>
            <w:tcW w:w="2587" w:type="dxa"/>
            <w:noWrap w:val="0"/>
            <w:vAlign w:val="center"/>
          </w:tcPr>
          <w:p>
            <w:pPr>
              <w:jc w:val="center"/>
              <w:rPr>
                <w:rFonts w:hint="eastAsia" w:ascii="新宋体" w:hAnsi="新宋体" w:eastAsia="新宋体" w:cs="新宋体"/>
                <w:color w:val="auto"/>
                <w:sz w:val="22"/>
                <w:szCs w:val="22"/>
                <w:highlight w:val="none"/>
              </w:rPr>
            </w:pPr>
          </w:p>
        </w:tc>
        <w:tc>
          <w:tcPr>
            <w:tcW w:w="2348" w:type="dxa"/>
            <w:noWrap w:val="0"/>
            <w:vAlign w:val="center"/>
          </w:tcPr>
          <w:p>
            <w:pPr>
              <w:jc w:val="center"/>
              <w:rPr>
                <w:rFonts w:hint="eastAsia" w:ascii="新宋体" w:hAnsi="新宋体" w:eastAsia="新宋体" w:cs="新宋体"/>
                <w:color w:val="auto"/>
                <w:sz w:val="22"/>
                <w:szCs w:val="22"/>
                <w:highlight w:val="none"/>
              </w:rPr>
            </w:pPr>
          </w:p>
        </w:tc>
        <w:tc>
          <w:tcPr>
            <w:tcW w:w="2741" w:type="dxa"/>
            <w:noWrap w:val="0"/>
            <w:vAlign w:val="center"/>
          </w:tcPr>
          <w:p>
            <w:pPr>
              <w:jc w:val="center"/>
              <w:rPr>
                <w:rFonts w:hint="eastAsia" w:ascii="新宋体" w:hAnsi="新宋体" w:eastAsia="新宋体" w:cs="新宋体"/>
                <w:color w:val="auto"/>
                <w:sz w:val="22"/>
                <w:szCs w:val="22"/>
                <w:highlight w:val="none"/>
              </w:rPr>
            </w:pPr>
          </w:p>
        </w:tc>
        <w:tc>
          <w:tcPr>
            <w:tcW w:w="1138"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noWrap w:val="0"/>
            <w:vAlign w:val="center"/>
          </w:tcPr>
          <w:p>
            <w:pPr>
              <w:jc w:val="center"/>
              <w:rPr>
                <w:rFonts w:hint="eastAsia" w:ascii="新宋体" w:hAnsi="新宋体" w:eastAsia="新宋体" w:cs="新宋体"/>
                <w:color w:val="auto"/>
                <w:sz w:val="22"/>
                <w:szCs w:val="22"/>
                <w:highlight w:val="none"/>
              </w:rPr>
            </w:pPr>
          </w:p>
        </w:tc>
        <w:tc>
          <w:tcPr>
            <w:tcW w:w="2587" w:type="dxa"/>
            <w:noWrap w:val="0"/>
            <w:vAlign w:val="center"/>
          </w:tcPr>
          <w:p>
            <w:pPr>
              <w:jc w:val="center"/>
              <w:rPr>
                <w:rFonts w:hint="eastAsia" w:ascii="新宋体" w:hAnsi="新宋体" w:eastAsia="新宋体" w:cs="新宋体"/>
                <w:color w:val="auto"/>
                <w:sz w:val="22"/>
                <w:szCs w:val="22"/>
                <w:highlight w:val="none"/>
              </w:rPr>
            </w:pPr>
          </w:p>
        </w:tc>
        <w:tc>
          <w:tcPr>
            <w:tcW w:w="2348" w:type="dxa"/>
            <w:noWrap w:val="0"/>
            <w:vAlign w:val="center"/>
          </w:tcPr>
          <w:p>
            <w:pPr>
              <w:jc w:val="center"/>
              <w:rPr>
                <w:rFonts w:hint="eastAsia" w:ascii="新宋体" w:hAnsi="新宋体" w:eastAsia="新宋体" w:cs="新宋体"/>
                <w:color w:val="auto"/>
                <w:sz w:val="22"/>
                <w:szCs w:val="22"/>
                <w:highlight w:val="none"/>
              </w:rPr>
            </w:pPr>
          </w:p>
        </w:tc>
        <w:tc>
          <w:tcPr>
            <w:tcW w:w="2741" w:type="dxa"/>
            <w:noWrap w:val="0"/>
            <w:vAlign w:val="center"/>
          </w:tcPr>
          <w:p>
            <w:pPr>
              <w:jc w:val="center"/>
              <w:rPr>
                <w:rFonts w:hint="eastAsia" w:ascii="新宋体" w:hAnsi="新宋体" w:eastAsia="新宋体" w:cs="新宋体"/>
                <w:color w:val="auto"/>
                <w:sz w:val="22"/>
                <w:szCs w:val="22"/>
                <w:highlight w:val="none"/>
              </w:rPr>
            </w:pPr>
          </w:p>
        </w:tc>
        <w:tc>
          <w:tcPr>
            <w:tcW w:w="1138" w:type="dxa"/>
            <w:noWrap w:val="0"/>
            <w:vAlign w:val="center"/>
          </w:tcPr>
          <w:p>
            <w:pPr>
              <w:jc w:val="center"/>
              <w:rPr>
                <w:rFonts w:hint="eastAsia" w:ascii="新宋体" w:hAnsi="新宋体" w:eastAsia="新宋体" w:cs="新宋体"/>
                <w:color w:val="auto"/>
                <w:sz w:val="22"/>
                <w:szCs w:val="22"/>
                <w:highlight w:val="none"/>
              </w:rPr>
            </w:pPr>
          </w:p>
        </w:tc>
      </w:tr>
    </w:tbl>
    <w:p>
      <w:pPr>
        <w:pStyle w:val="29"/>
        <w:spacing w:line="400" w:lineRule="atLeast"/>
        <w:ind w:left="537" w:hanging="537" w:hangingChars="24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注：如有偏离，必须在偏离表中进行详细对比说明并注明正偏离（负偏离），如不说明偏离情况，视为完全响应磋商文件要求无偏离。</w:t>
      </w:r>
    </w:p>
    <w:p>
      <w:pPr>
        <w:rPr>
          <w:rFonts w:hint="eastAsia" w:ascii="新宋体" w:hAnsi="新宋体" w:eastAsia="新宋体" w:cs="新宋体"/>
          <w:color w:val="auto"/>
          <w:sz w:val="22"/>
          <w:szCs w:val="22"/>
          <w:highlight w:val="none"/>
        </w:rPr>
      </w:pPr>
    </w:p>
    <w:p>
      <w:pPr>
        <w:pStyle w:val="29"/>
        <w:spacing w:line="360" w:lineRule="auto"/>
        <w:ind w:firstLine="5940" w:firstLineChars="27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磋商供应商全称（盖章）：</w:t>
      </w:r>
    </w:p>
    <w:p>
      <w:pPr>
        <w:spacing w:line="360" w:lineRule="auto"/>
        <w:ind w:firstLine="5940" w:firstLineChars="27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磋商供应商代表（签字）：</w:t>
      </w:r>
    </w:p>
    <w:p>
      <w:pPr>
        <w:spacing w:line="360" w:lineRule="auto"/>
        <w:ind w:firstLine="5940" w:firstLineChars="27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日    期：</w:t>
      </w:r>
    </w:p>
    <w:p>
      <w:pPr>
        <w:spacing w:line="40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en-US" w:eastAsia="zh-CN"/>
        </w:rPr>
        <w:t>4、同类项目业绩</w:t>
      </w:r>
    </w:p>
    <w:p>
      <w:pPr>
        <w:spacing w:line="380" w:lineRule="exact"/>
        <w:rPr>
          <w:rFonts w:hint="eastAsia" w:ascii="新宋体" w:hAnsi="新宋体" w:eastAsia="新宋体" w:cs="新宋体"/>
          <w:b/>
          <w:bCs/>
          <w:color w:val="auto"/>
          <w:sz w:val="22"/>
          <w:szCs w:val="22"/>
          <w:highlight w:val="none"/>
        </w:rPr>
      </w:pPr>
    </w:p>
    <w:p>
      <w:pPr>
        <w:spacing w:line="360" w:lineRule="auto"/>
        <w:jc w:val="left"/>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项 目 编 号：</w:t>
      </w:r>
      <w:r>
        <w:rPr>
          <w:rFonts w:hint="eastAsia" w:ascii="新宋体" w:hAnsi="新宋体" w:eastAsia="新宋体" w:cs="新宋体"/>
          <w:bCs/>
          <w:color w:val="auto"/>
          <w:sz w:val="22"/>
          <w:szCs w:val="22"/>
          <w:highlight w:val="none"/>
          <w:lang w:eastAsia="zh-CN"/>
        </w:rPr>
        <w:t>DTCG20231213141</w:t>
      </w:r>
    </w:p>
    <w:p>
      <w:pPr>
        <w:spacing w:line="360" w:lineRule="auto"/>
        <w:jc w:val="left"/>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Cs/>
          <w:color w:val="auto"/>
          <w:sz w:val="22"/>
          <w:szCs w:val="22"/>
          <w:highlight w:val="none"/>
        </w:rPr>
        <w:t>项 目 名 称：</w:t>
      </w:r>
      <w:r>
        <w:rPr>
          <w:rFonts w:hint="eastAsia" w:ascii="新宋体" w:hAnsi="新宋体" w:eastAsia="新宋体" w:cs="新宋体"/>
          <w:bCs/>
          <w:color w:val="auto"/>
          <w:sz w:val="22"/>
          <w:szCs w:val="22"/>
          <w:highlight w:val="none"/>
          <w:lang w:eastAsia="zh-CN"/>
        </w:rPr>
        <w:t>洞头区个人住房白蚁灭治采购服务</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069"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用户名称</w:t>
            </w:r>
          </w:p>
        </w:tc>
        <w:tc>
          <w:tcPr>
            <w:tcW w:w="24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项目名称</w:t>
            </w: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合同金额</w:t>
            </w: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联系方式</w:t>
            </w:r>
          </w:p>
        </w:tc>
        <w:tc>
          <w:tcPr>
            <w:tcW w:w="926"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新宋体" w:hAnsi="新宋体" w:eastAsia="新宋体" w:cs="新宋体"/>
                <w:b/>
                <w:bCs/>
                <w:color w:val="auto"/>
                <w:sz w:val="22"/>
                <w:szCs w:val="22"/>
                <w:highlight w:val="none"/>
              </w:rPr>
            </w:pPr>
          </w:p>
        </w:tc>
      </w:tr>
    </w:tbl>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pPr>
        <w:pStyle w:val="29"/>
        <w:spacing w:line="360" w:lineRule="auto"/>
        <w:ind w:firstLine="5940" w:firstLineChars="27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磋商供应商全称（盖章）：</w:t>
      </w:r>
    </w:p>
    <w:p>
      <w:pPr>
        <w:spacing w:line="360" w:lineRule="auto"/>
        <w:ind w:firstLine="5940" w:firstLineChars="27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磋商供应商代表（签字）：</w:t>
      </w:r>
    </w:p>
    <w:p>
      <w:pPr>
        <w:spacing w:line="360" w:lineRule="auto"/>
        <w:ind w:firstLine="5940" w:firstLineChars="27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日    期：</w:t>
      </w:r>
    </w:p>
    <w:p>
      <w:pPr>
        <w:bidi w:val="0"/>
        <w:rPr>
          <w:rFonts w:hint="eastAsia"/>
          <w:color w:val="auto"/>
          <w:highlight w:val="none"/>
          <w:lang w:val="en-US" w:eastAsia="zh-CN"/>
        </w:rPr>
      </w:pPr>
    </w:p>
    <w:p>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r>
        <w:rPr>
          <w:rFonts w:hint="eastAsia" w:ascii="新宋体" w:hAnsi="新宋体" w:eastAsia="新宋体" w:cs="新宋体"/>
          <w:b/>
          <w:bCs/>
          <w:color w:val="auto"/>
          <w:sz w:val="28"/>
          <w:szCs w:val="28"/>
          <w:highlight w:val="none"/>
          <w:lang w:val="en-US" w:eastAsia="zh-CN"/>
        </w:rPr>
        <w:t>5、投入本项目人员情况</w:t>
      </w:r>
    </w:p>
    <w:p>
      <w:pPr>
        <w:spacing w:line="460" w:lineRule="exact"/>
        <w:jc w:val="center"/>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（1）项目负责人情况表</w:t>
      </w:r>
    </w:p>
    <w:p>
      <w:pPr>
        <w:spacing w:line="380" w:lineRule="exact"/>
        <w:rPr>
          <w:rFonts w:hint="eastAsia" w:ascii="新宋体" w:hAnsi="新宋体" w:eastAsia="新宋体" w:cs="新宋体"/>
          <w:b/>
          <w:bCs/>
          <w:color w:val="auto"/>
          <w:sz w:val="22"/>
          <w:szCs w:val="22"/>
          <w:highlight w:val="none"/>
        </w:rPr>
      </w:pPr>
    </w:p>
    <w:p>
      <w:pPr>
        <w:spacing w:line="360" w:lineRule="auto"/>
        <w:jc w:val="left"/>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项 目 编 号：</w:t>
      </w:r>
      <w:r>
        <w:rPr>
          <w:rFonts w:hint="eastAsia" w:ascii="新宋体" w:hAnsi="新宋体" w:eastAsia="新宋体" w:cs="新宋体"/>
          <w:bCs/>
          <w:color w:val="auto"/>
          <w:sz w:val="22"/>
          <w:szCs w:val="22"/>
          <w:highlight w:val="none"/>
          <w:lang w:eastAsia="zh-CN"/>
        </w:rPr>
        <w:t>DTCG20231213141</w:t>
      </w:r>
    </w:p>
    <w:p>
      <w:pPr>
        <w:spacing w:line="360" w:lineRule="auto"/>
        <w:jc w:val="left"/>
        <w:rPr>
          <w:rFonts w:hint="eastAsia" w:ascii="新宋体" w:hAnsi="新宋体" w:eastAsia="新宋体" w:cs="新宋体"/>
          <w:b/>
          <w:bCs/>
          <w:color w:val="auto"/>
          <w:sz w:val="32"/>
          <w:highlight w:val="none"/>
        </w:rPr>
      </w:pPr>
      <w:r>
        <w:rPr>
          <w:rFonts w:hint="eastAsia" w:ascii="新宋体" w:hAnsi="新宋体" w:eastAsia="新宋体" w:cs="新宋体"/>
          <w:bCs/>
          <w:color w:val="auto"/>
          <w:sz w:val="22"/>
          <w:szCs w:val="22"/>
          <w:highlight w:val="none"/>
        </w:rPr>
        <w:t>项 目 名 称：</w:t>
      </w:r>
      <w:r>
        <w:rPr>
          <w:rFonts w:hint="eastAsia" w:ascii="新宋体" w:hAnsi="新宋体" w:eastAsia="新宋体" w:cs="新宋体"/>
          <w:bCs/>
          <w:color w:val="auto"/>
          <w:sz w:val="22"/>
          <w:szCs w:val="22"/>
          <w:highlight w:val="none"/>
          <w:lang w:eastAsia="zh-CN"/>
        </w:rPr>
        <w:t>洞头区个人住房白蚁灭治采购服务</w:t>
      </w:r>
    </w:p>
    <w:tbl>
      <w:tblPr>
        <w:tblStyle w:val="52"/>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833"/>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027" w:type="dxa"/>
            <w:noWrap w:val="0"/>
            <w:vAlign w:val="center"/>
          </w:tcPr>
          <w:p>
            <w:pPr>
              <w:pStyle w:val="282"/>
              <w:autoSpaceDE w:val="0"/>
              <w:autoSpaceDN w:val="0"/>
              <w:adjustRightInd w:val="0"/>
              <w:spacing w:line="240" w:lineRule="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姓名</w:t>
            </w:r>
          </w:p>
        </w:tc>
        <w:tc>
          <w:tcPr>
            <w:tcW w:w="1833" w:type="dxa"/>
            <w:noWrap w:val="0"/>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c>
          <w:tcPr>
            <w:tcW w:w="5880" w:type="dxa"/>
            <w:noWrap w:val="0"/>
            <w:vAlign w:val="center"/>
          </w:tcPr>
          <w:p>
            <w:pPr>
              <w:pStyle w:val="282"/>
              <w:autoSpaceDE w:val="0"/>
              <w:autoSpaceDN w:val="0"/>
              <w:adjustRightInd w:val="0"/>
              <w:spacing w:line="360" w:lineRule="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kern w:val="0"/>
                <w:sz w:val="22"/>
                <w:szCs w:val="22"/>
                <w:highlight w:val="none"/>
              </w:rPr>
              <w:t>自</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年</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日以来负责的相关项目经验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2027" w:type="dxa"/>
            <w:noWrap w:val="0"/>
            <w:vAlign w:val="center"/>
          </w:tcPr>
          <w:p>
            <w:pPr>
              <w:pStyle w:val="282"/>
              <w:autoSpaceDE w:val="0"/>
              <w:autoSpaceDN w:val="0"/>
              <w:adjustRightInd w:val="0"/>
              <w:spacing w:line="240" w:lineRule="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1寸免冠照片</w:t>
            </w:r>
          </w:p>
        </w:tc>
        <w:tc>
          <w:tcPr>
            <w:tcW w:w="1833" w:type="dxa"/>
            <w:noWrap w:val="0"/>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c>
          <w:tcPr>
            <w:tcW w:w="5880" w:type="dxa"/>
            <w:vMerge w:val="restart"/>
            <w:noWrap w:val="0"/>
            <w:vAlign w:val="center"/>
          </w:tcPr>
          <w:p>
            <w:pPr>
              <w:pStyle w:val="254"/>
              <w:widowControl w:val="0"/>
              <w:autoSpaceDE w:val="0"/>
              <w:autoSpaceDN w:val="0"/>
              <w:adjustRightInd w:val="0"/>
              <w:spacing w:before="0" w:beforeAutospacing="0" w:after="0" w:afterAutospacing="0" w:line="360"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2"/>
                <w:sz w:val="22"/>
                <w:szCs w:val="22"/>
                <w:highlight w:val="none"/>
              </w:rPr>
              <w:t>注：相关项目经验应提供旁证材料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27" w:type="dxa"/>
            <w:noWrap w:val="0"/>
            <w:vAlign w:val="center"/>
          </w:tcPr>
          <w:p>
            <w:pPr>
              <w:autoSpaceDE w:val="0"/>
              <w:autoSpaceDN w:val="0"/>
              <w:adjustRightInd w:val="0"/>
              <w:jc w:val="center"/>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性别</w:t>
            </w:r>
          </w:p>
        </w:tc>
        <w:tc>
          <w:tcPr>
            <w:tcW w:w="1833" w:type="dxa"/>
            <w:noWrap w:val="0"/>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c>
          <w:tcPr>
            <w:tcW w:w="5880" w:type="dxa"/>
            <w:vMerge w:val="continue"/>
            <w:noWrap w:val="0"/>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27" w:type="dxa"/>
            <w:noWrap w:val="0"/>
            <w:vAlign w:val="center"/>
          </w:tcPr>
          <w:p>
            <w:pPr>
              <w:autoSpaceDE w:val="0"/>
              <w:autoSpaceDN w:val="0"/>
              <w:adjustRightInd w:val="0"/>
              <w:jc w:val="center"/>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年龄</w:t>
            </w:r>
          </w:p>
        </w:tc>
        <w:tc>
          <w:tcPr>
            <w:tcW w:w="1833" w:type="dxa"/>
            <w:noWrap w:val="0"/>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c>
          <w:tcPr>
            <w:tcW w:w="5880" w:type="dxa"/>
            <w:vMerge w:val="continue"/>
            <w:noWrap w:val="0"/>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27" w:type="dxa"/>
            <w:noWrap w:val="0"/>
            <w:vAlign w:val="center"/>
          </w:tcPr>
          <w:p>
            <w:pPr>
              <w:autoSpaceDE w:val="0"/>
              <w:autoSpaceDN w:val="0"/>
              <w:adjustRightInd w:val="0"/>
              <w:jc w:val="center"/>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职称</w:t>
            </w:r>
          </w:p>
        </w:tc>
        <w:tc>
          <w:tcPr>
            <w:tcW w:w="1833" w:type="dxa"/>
            <w:noWrap w:val="0"/>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c>
          <w:tcPr>
            <w:tcW w:w="5880" w:type="dxa"/>
            <w:vMerge w:val="continue"/>
            <w:noWrap w:val="0"/>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2027" w:type="dxa"/>
            <w:noWrap w:val="0"/>
            <w:vAlign w:val="center"/>
          </w:tcPr>
          <w:p>
            <w:pPr>
              <w:autoSpaceDE w:val="0"/>
              <w:autoSpaceDN w:val="0"/>
              <w:adjustRightInd w:val="0"/>
              <w:jc w:val="center"/>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毕业院校系及专业</w:t>
            </w:r>
          </w:p>
        </w:tc>
        <w:tc>
          <w:tcPr>
            <w:tcW w:w="1833" w:type="dxa"/>
            <w:noWrap w:val="0"/>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c>
          <w:tcPr>
            <w:tcW w:w="5880" w:type="dxa"/>
            <w:vMerge w:val="continue"/>
            <w:noWrap w:val="0"/>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2027" w:type="dxa"/>
            <w:noWrap w:val="0"/>
            <w:vAlign w:val="center"/>
          </w:tcPr>
          <w:p>
            <w:pPr>
              <w:autoSpaceDE w:val="0"/>
              <w:autoSpaceDN w:val="0"/>
              <w:adjustRightInd w:val="0"/>
              <w:jc w:val="center"/>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毕业时间</w:t>
            </w:r>
          </w:p>
        </w:tc>
        <w:tc>
          <w:tcPr>
            <w:tcW w:w="1833" w:type="dxa"/>
            <w:noWrap w:val="0"/>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c>
          <w:tcPr>
            <w:tcW w:w="5880" w:type="dxa"/>
            <w:vMerge w:val="continue"/>
            <w:noWrap w:val="0"/>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2027" w:type="dxa"/>
            <w:noWrap w:val="0"/>
            <w:vAlign w:val="center"/>
          </w:tcPr>
          <w:p>
            <w:pPr>
              <w:autoSpaceDE w:val="0"/>
              <w:autoSpaceDN w:val="0"/>
              <w:adjustRightInd w:val="0"/>
              <w:jc w:val="center"/>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最高学历</w:t>
            </w:r>
          </w:p>
        </w:tc>
        <w:tc>
          <w:tcPr>
            <w:tcW w:w="1833" w:type="dxa"/>
            <w:noWrap w:val="0"/>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c>
          <w:tcPr>
            <w:tcW w:w="5880" w:type="dxa"/>
            <w:vMerge w:val="continue"/>
            <w:noWrap w:val="0"/>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027" w:type="dxa"/>
            <w:noWrap w:val="0"/>
            <w:vAlign w:val="center"/>
          </w:tcPr>
          <w:p>
            <w:pPr>
              <w:autoSpaceDE w:val="0"/>
              <w:autoSpaceDN w:val="0"/>
              <w:adjustRightInd w:val="0"/>
              <w:jc w:val="center"/>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联系电话</w:t>
            </w:r>
          </w:p>
        </w:tc>
        <w:tc>
          <w:tcPr>
            <w:tcW w:w="1833" w:type="dxa"/>
            <w:noWrap w:val="0"/>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c>
          <w:tcPr>
            <w:tcW w:w="5880" w:type="dxa"/>
            <w:vMerge w:val="continue"/>
            <w:noWrap w:val="0"/>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2027" w:type="dxa"/>
            <w:noWrap w:val="0"/>
            <w:vAlign w:val="center"/>
          </w:tcPr>
          <w:p>
            <w:pPr>
              <w:autoSpaceDE w:val="0"/>
              <w:autoSpaceDN w:val="0"/>
              <w:adjustRightInd w:val="0"/>
              <w:jc w:val="center"/>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rPr>
              <w:t>最近一年工作单位</w:t>
            </w:r>
          </w:p>
        </w:tc>
        <w:tc>
          <w:tcPr>
            <w:tcW w:w="1833" w:type="dxa"/>
            <w:noWrap w:val="0"/>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c>
          <w:tcPr>
            <w:tcW w:w="5880" w:type="dxa"/>
            <w:vMerge w:val="continue"/>
            <w:noWrap w:val="0"/>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27" w:type="dxa"/>
            <w:noWrap w:val="0"/>
            <w:vAlign w:val="center"/>
          </w:tcPr>
          <w:p>
            <w:pPr>
              <w:autoSpaceDE w:val="0"/>
              <w:autoSpaceDN w:val="0"/>
              <w:adjustRightInd w:val="0"/>
              <w:jc w:val="center"/>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拟在本项目中担任主要工作</w:t>
            </w:r>
          </w:p>
        </w:tc>
        <w:tc>
          <w:tcPr>
            <w:tcW w:w="7713" w:type="dxa"/>
            <w:gridSpan w:val="2"/>
            <w:noWrap w:val="0"/>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lang w:val="zh-CN"/>
              </w:rPr>
            </w:pPr>
          </w:p>
        </w:tc>
      </w:tr>
    </w:tbl>
    <w:p>
      <w:pPr>
        <w:spacing w:line="460" w:lineRule="exact"/>
        <w:rPr>
          <w:rFonts w:hint="eastAsia" w:ascii="新宋体" w:hAnsi="新宋体" w:eastAsia="新宋体" w:cs="新宋体"/>
          <w:color w:val="auto"/>
          <w:sz w:val="22"/>
          <w:szCs w:val="22"/>
          <w:highlight w:val="none"/>
        </w:rPr>
      </w:pP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w:t>
      </w:r>
    </w:p>
    <w:p>
      <w:pPr>
        <w:rPr>
          <w:rFonts w:hint="eastAsia" w:ascii="新宋体" w:hAnsi="新宋体" w:eastAsia="新宋体" w:cs="新宋体"/>
          <w:b/>
          <w:bCs/>
          <w:color w:val="auto"/>
          <w:sz w:val="22"/>
          <w:szCs w:val="22"/>
          <w:highlight w:val="none"/>
        </w:rPr>
      </w:pPr>
    </w:p>
    <w:p>
      <w:pPr>
        <w:spacing w:line="460" w:lineRule="exact"/>
        <w:jc w:val="center"/>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br w:type="page"/>
      </w:r>
      <w:r>
        <w:rPr>
          <w:rFonts w:hint="eastAsia" w:ascii="新宋体" w:hAnsi="新宋体" w:eastAsia="新宋体" w:cs="新宋体"/>
          <w:b/>
          <w:bCs/>
          <w:color w:val="auto"/>
          <w:sz w:val="24"/>
          <w:szCs w:val="24"/>
          <w:highlight w:val="none"/>
        </w:rPr>
        <w:t>（2）项目服务人员汇总表</w:t>
      </w:r>
    </w:p>
    <w:p>
      <w:pPr>
        <w:spacing w:line="380" w:lineRule="exact"/>
        <w:rPr>
          <w:rFonts w:hint="eastAsia" w:ascii="新宋体" w:hAnsi="新宋体" w:eastAsia="新宋体" w:cs="新宋体"/>
          <w:b/>
          <w:bCs/>
          <w:color w:val="auto"/>
          <w:sz w:val="22"/>
          <w:szCs w:val="22"/>
          <w:highlight w:val="none"/>
        </w:rPr>
      </w:pPr>
    </w:p>
    <w:p>
      <w:pPr>
        <w:spacing w:line="360" w:lineRule="auto"/>
        <w:jc w:val="left"/>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项 目 编 号：</w:t>
      </w:r>
      <w:r>
        <w:rPr>
          <w:rFonts w:hint="eastAsia" w:ascii="新宋体" w:hAnsi="新宋体" w:eastAsia="新宋体" w:cs="新宋体"/>
          <w:bCs/>
          <w:color w:val="auto"/>
          <w:sz w:val="22"/>
          <w:szCs w:val="22"/>
          <w:highlight w:val="none"/>
          <w:lang w:eastAsia="zh-CN"/>
        </w:rPr>
        <w:t>DTCG20231213141</w:t>
      </w:r>
    </w:p>
    <w:p>
      <w:pPr>
        <w:spacing w:line="360" w:lineRule="auto"/>
        <w:jc w:val="left"/>
        <w:rPr>
          <w:rFonts w:hint="eastAsia" w:ascii="新宋体" w:hAnsi="新宋体" w:eastAsia="新宋体" w:cs="新宋体"/>
          <w:bCs/>
          <w:color w:val="auto"/>
          <w:highlight w:val="none"/>
        </w:rPr>
      </w:pPr>
      <w:r>
        <w:rPr>
          <w:rFonts w:hint="eastAsia" w:ascii="新宋体" w:hAnsi="新宋体" w:eastAsia="新宋体" w:cs="新宋体"/>
          <w:bCs/>
          <w:color w:val="auto"/>
          <w:sz w:val="22"/>
          <w:szCs w:val="22"/>
          <w:highlight w:val="none"/>
        </w:rPr>
        <w:t>项 目 名 称：</w:t>
      </w:r>
      <w:r>
        <w:rPr>
          <w:rFonts w:hint="eastAsia" w:ascii="新宋体" w:hAnsi="新宋体" w:eastAsia="新宋体" w:cs="新宋体"/>
          <w:bCs/>
          <w:color w:val="auto"/>
          <w:sz w:val="22"/>
          <w:szCs w:val="22"/>
          <w:highlight w:val="none"/>
          <w:lang w:eastAsia="zh-CN"/>
        </w:rPr>
        <w:t>洞头区个人住房白蚁灭治采购服务</w:t>
      </w:r>
    </w:p>
    <w:tbl>
      <w:tblPr>
        <w:tblStyle w:val="52"/>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351"/>
        <w:gridCol w:w="720"/>
        <w:gridCol w:w="720"/>
        <w:gridCol w:w="720"/>
        <w:gridCol w:w="1080"/>
        <w:gridCol w:w="1458"/>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pPr>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姓名</w:t>
            </w:r>
          </w:p>
        </w:tc>
        <w:tc>
          <w:tcPr>
            <w:tcW w:w="2351" w:type="dxa"/>
            <w:noWrap w:val="0"/>
            <w:vAlign w:val="center"/>
          </w:tcPr>
          <w:p>
            <w:pPr>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本项目主要工作</w:t>
            </w:r>
          </w:p>
        </w:tc>
        <w:tc>
          <w:tcPr>
            <w:tcW w:w="720" w:type="dxa"/>
            <w:noWrap w:val="0"/>
            <w:vAlign w:val="center"/>
          </w:tcPr>
          <w:p>
            <w:pPr>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年龄</w:t>
            </w:r>
          </w:p>
        </w:tc>
        <w:tc>
          <w:tcPr>
            <w:tcW w:w="720" w:type="dxa"/>
            <w:noWrap w:val="0"/>
            <w:vAlign w:val="center"/>
          </w:tcPr>
          <w:p>
            <w:pPr>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性别</w:t>
            </w:r>
          </w:p>
        </w:tc>
        <w:tc>
          <w:tcPr>
            <w:tcW w:w="720" w:type="dxa"/>
            <w:noWrap w:val="0"/>
            <w:vAlign w:val="center"/>
          </w:tcPr>
          <w:p>
            <w:pPr>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专业</w:t>
            </w:r>
          </w:p>
        </w:tc>
        <w:tc>
          <w:tcPr>
            <w:tcW w:w="1080" w:type="dxa"/>
            <w:noWrap w:val="0"/>
            <w:vAlign w:val="center"/>
          </w:tcPr>
          <w:p>
            <w:pPr>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专业</w:t>
            </w:r>
          </w:p>
          <w:p>
            <w:pPr>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年限</w:t>
            </w:r>
          </w:p>
        </w:tc>
        <w:tc>
          <w:tcPr>
            <w:tcW w:w="1458" w:type="dxa"/>
            <w:noWrap w:val="0"/>
            <w:vAlign w:val="center"/>
          </w:tcPr>
          <w:p>
            <w:pPr>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职务</w:t>
            </w:r>
          </w:p>
          <w:p>
            <w:pPr>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和职称/认证</w:t>
            </w:r>
          </w:p>
        </w:tc>
        <w:tc>
          <w:tcPr>
            <w:tcW w:w="1422" w:type="dxa"/>
            <w:noWrap w:val="0"/>
            <w:vAlign w:val="center"/>
          </w:tcPr>
          <w:p>
            <w:pPr>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到现场服务</w:t>
            </w:r>
          </w:p>
          <w:p>
            <w:pPr>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pPr>
              <w:spacing w:line="360" w:lineRule="auto"/>
              <w:rPr>
                <w:rFonts w:hint="eastAsia" w:ascii="新宋体" w:hAnsi="新宋体" w:eastAsia="新宋体" w:cs="新宋体"/>
                <w:b w:val="0"/>
                <w:bCs w:val="0"/>
                <w:color w:val="auto"/>
                <w:sz w:val="22"/>
                <w:szCs w:val="22"/>
                <w:highlight w:val="none"/>
              </w:rPr>
            </w:pPr>
          </w:p>
        </w:tc>
        <w:tc>
          <w:tcPr>
            <w:tcW w:w="2351" w:type="dxa"/>
            <w:noWrap w:val="0"/>
            <w:vAlign w:val="center"/>
          </w:tcPr>
          <w:p>
            <w:pPr>
              <w:spacing w:line="360" w:lineRule="auto"/>
              <w:rPr>
                <w:rFonts w:hint="eastAsia" w:ascii="新宋体" w:hAnsi="新宋体" w:eastAsia="新宋体" w:cs="新宋体"/>
                <w:b w:val="0"/>
                <w:bCs w:val="0"/>
                <w:color w:val="auto"/>
                <w:sz w:val="22"/>
                <w:szCs w:val="22"/>
                <w:highlight w:val="none"/>
              </w:rPr>
            </w:pPr>
          </w:p>
        </w:tc>
        <w:tc>
          <w:tcPr>
            <w:tcW w:w="720" w:type="dxa"/>
            <w:noWrap w:val="0"/>
            <w:vAlign w:val="center"/>
          </w:tcPr>
          <w:p>
            <w:pPr>
              <w:spacing w:line="360" w:lineRule="auto"/>
              <w:rPr>
                <w:rFonts w:hint="eastAsia" w:ascii="新宋体" w:hAnsi="新宋体" w:eastAsia="新宋体" w:cs="新宋体"/>
                <w:b w:val="0"/>
                <w:bCs w:val="0"/>
                <w:color w:val="auto"/>
                <w:sz w:val="22"/>
                <w:szCs w:val="22"/>
                <w:highlight w:val="none"/>
              </w:rPr>
            </w:pPr>
          </w:p>
        </w:tc>
        <w:tc>
          <w:tcPr>
            <w:tcW w:w="720" w:type="dxa"/>
            <w:noWrap w:val="0"/>
            <w:vAlign w:val="center"/>
          </w:tcPr>
          <w:p>
            <w:pPr>
              <w:spacing w:line="360" w:lineRule="auto"/>
              <w:rPr>
                <w:rFonts w:hint="eastAsia" w:ascii="新宋体" w:hAnsi="新宋体" w:eastAsia="新宋体" w:cs="新宋体"/>
                <w:b w:val="0"/>
                <w:bCs w:val="0"/>
                <w:color w:val="auto"/>
                <w:sz w:val="22"/>
                <w:szCs w:val="22"/>
                <w:highlight w:val="none"/>
              </w:rPr>
            </w:pPr>
          </w:p>
        </w:tc>
        <w:tc>
          <w:tcPr>
            <w:tcW w:w="720" w:type="dxa"/>
            <w:noWrap w:val="0"/>
            <w:vAlign w:val="center"/>
          </w:tcPr>
          <w:p>
            <w:pPr>
              <w:spacing w:line="360" w:lineRule="auto"/>
              <w:rPr>
                <w:rFonts w:hint="eastAsia" w:ascii="新宋体" w:hAnsi="新宋体" w:eastAsia="新宋体" w:cs="新宋体"/>
                <w:b w:val="0"/>
                <w:bCs w:val="0"/>
                <w:color w:val="auto"/>
                <w:sz w:val="22"/>
                <w:szCs w:val="22"/>
                <w:highlight w:val="none"/>
              </w:rPr>
            </w:pPr>
          </w:p>
        </w:tc>
        <w:tc>
          <w:tcPr>
            <w:tcW w:w="1080" w:type="dxa"/>
            <w:noWrap w:val="0"/>
            <w:vAlign w:val="center"/>
          </w:tcPr>
          <w:p>
            <w:pPr>
              <w:spacing w:line="360" w:lineRule="auto"/>
              <w:rPr>
                <w:rFonts w:hint="eastAsia" w:ascii="新宋体" w:hAnsi="新宋体" w:eastAsia="新宋体" w:cs="新宋体"/>
                <w:b w:val="0"/>
                <w:bCs w:val="0"/>
                <w:color w:val="auto"/>
                <w:sz w:val="22"/>
                <w:szCs w:val="22"/>
                <w:highlight w:val="none"/>
              </w:rPr>
            </w:pPr>
          </w:p>
        </w:tc>
        <w:tc>
          <w:tcPr>
            <w:tcW w:w="1458" w:type="dxa"/>
            <w:noWrap w:val="0"/>
            <w:vAlign w:val="center"/>
          </w:tcPr>
          <w:p>
            <w:pPr>
              <w:spacing w:line="360" w:lineRule="auto"/>
              <w:ind w:left="5250"/>
              <w:rPr>
                <w:rFonts w:hint="eastAsia" w:ascii="新宋体" w:hAnsi="新宋体" w:eastAsia="新宋体" w:cs="新宋体"/>
                <w:b w:val="0"/>
                <w:bCs w:val="0"/>
                <w:color w:val="auto"/>
                <w:spacing w:val="12"/>
                <w:sz w:val="22"/>
                <w:szCs w:val="22"/>
                <w:highlight w:val="none"/>
              </w:rPr>
            </w:pPr>
          </w:p>
        </w:tc>
        <w:tc>
          <w:tcPr>
            <w:tcW w:w="1422" w:type="dxa"/>
            <w:noWrap w:val="0"/>
            <w:vAlign w:val="center"/>
          </w:tcPr>
          <w:p>
            <w:pPr>
              <w:spacing w:line="360" w:lineRule="auto"/>
              <w:rPr>
                <w:rFonts w:hint="eastAsia" w:ascii="新宋体" w:hAnsi="新宋体" w:eastAsia="新宋体" w:cs="新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pPr>
              <w:spacing w:line="360" w:lineRule="auto"/>
              <w:ind w:left="5250"/>
              <w:rPr>
                <w:rFonts w:hint="eastAsia" w:ascii="新宋体" w:hAnsi="新宋体" w:eastAsia="新宋体" w:cs="新宋体"/>
                <w:color w:val="auto"/>
                <w:spacing w:val="1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pPr>
              <w:spacing w:line="360" w:lineRule="auto"/>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pPr>
              <w:spacing w:line="360" w:lineRule="auto"/>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pPr>
              <w:spacing w:line="360" w:lineRule="auto"/>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pPr>
              <w:spacing w:line="360" w:lineRule="auto"/>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pPr>
              <w:spacing w:line="360" w:lineRule="auto"/>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pPr>
              <w:spacing w:line="360" w:lineRule="auto"/>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pPr>
              <w:spacing w:line="360" w:lineRule="auto"/>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pPr>
              <w:spacing w:line="360" w:lineRule="auto"/>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pPr>
              <w:spacing w:line="360" w:lineRule="auto"/>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pPr>
              <w:spacing w:line="360" w:lineRule="auto"/>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pPr>
              <w:spacing w:line="360" w:lineRule="auto"/>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pPr>
              <w:spacing w:line="360" w:lineRule="auto"/>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pPr>
              <w:spacing w:line="360" w:lineRule="auto"/>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pPr>
              <w:spacing w:line="360" w:lineRule="auto"/>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pPr>
              <w:spacing w:line="360" w:lineRule="auto"/>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pPr>
              <w:spacing w:line="360" w:lineRule="auto"/>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noWrap w:val="0"/>
            <w:vAlign w:val="center"/>
          </w:tcPr>
          <w:p>
            <w:pPr>
              <w:spacing w:line="360" w:lineRule="auto"/>
              <w:rPr>
                <w:rFonts w:hint="eastAsia" w:ascii="新宋体" w:hAnsi="新宋体" w:eastAsia="新宋体" w:cs="新宋体"/>
                <w:color w:val="auto"/>
                <w:sz w:val="22"/>
                <w:szCs w:val="22"/>
                <w:highlight w:val="none"/>
              </w:rPr>
            </w:pPr>
          </w:p>
        </w:tc>
        <w:tc>
          <w:tcPr>
            <w:tcW w:w="2351"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720" w:type="dxa"/>
            <w:noWrap w:val="0"/>
            <w:vAlign w:val="center"/>
          </w:tcPr>
          <w:p>
            <w:pPr>
              <w:spacing w:line="360" w:lineRule="auto"/>
              <w:rPr>
                <w:rFonts w:hint="eastAsia" w:ascii="新宋体" w:hAnsi="新宋体" w:eastAsia="新宋体" w:cs="新宋体"/>
                <w:color w:val="auto"/>
                <w:sz w:val="22"/>
                <w:szCs w:val="22"/>
                <w:highlight w:val="none"/>
              </w:rPr>
            </w:pPr>
          </w:p>
        </w:tc>
        <w:tc>
          <w:tcPr>
            <w:tcW w:w="1080" w:type="dxa"/>
            <w:noWrap w:val="0"/>
            <w:vAlign w:val="center"/>
          </w:tcPr>
          <w:p>
            <w:pPr>
              <w:spacing w:line="360" w:lineRule="auto"/>
              <w:rPr>
                <w:rFonts w:hint="eastAsia" w:ascii="新宋体" w:hAnsi="新宋体" w:eastAsia="新宋体" w:cs="新宋体"/>
                <w:color w:val="auto"/>
                <w:sz w:val="22"/>
                <w:szCs w:val="22"/>
                <w:highlight w:val="none"/>
              </w:rPr>
            </w:pPr>
          </w:p>
        </w:tc>
        <w:tc>
          <w:tcPr>
            <w:tcW w:w="1458" w:type="dxa"/>
            <w:noWrap w:val="0"/>
            <w:vAlign w:val="center"/>
          </w:tcPr>
          <w:p>
            <w:pPr>
              <w:spacing w:line="360" w:lineRule="auto"/>
              <w:rPr>
                <w:rFonts w:hint="eastAsia" w:ascii="新宋体" w:hAnsi="新宋体" w:eastAsia="新宋体" w:cs="新宋体"/>
                <w:color w:val="auto"/>
                <w:sz w:val="22"/>
                <w:szCs w:val="22"/>
                <w:highlight w:val="none"/>
              </w:rPr>
            </w:pPr>
          </w:p>
        </w:tc>
        <w:tc>
          <w:tcPr>
            <w:tcW w:w="1422" w:type="dxa"/>
            <w:noWrap w:val="0"/>
            <w:vAlign w:val="center"/>
          </w:tcPr>
          <w:p>
            <w:pPr>
              <w:spacing w:line="360" w:lineRule="auto"/>
              <w:rPr>
                <w:rFonts w:hint="eastAsia" w:ascii="新宋体" w:hAnsi="新宋体" w:eastAsia="新宋体" w:cs="新宋体"/>
                <w:color w:val="auto"/>
                <w:sz w:val="22"/>
                <w:szCs w:val="22"/>
                <w:highlight w:val="none"/>
              </w:rPr>
            </w:pPr>
          </w:p>
        </w:tc>
      </w:tr>
    </w:tbl>
    <w:p>
      <w:pPr>
        <w:spacing w:line="360" w:lineRule="exact"/>
        <w:ind w:left="968" w:hanging="968" w:hangingChars="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附注：1、列入本表人员如要更换，需经采购人同意，擅自更换或不到位属违约行为；</w:t>
      </w:r>
    </w:p>
    <w:p>
      <w:pPr>
        <w:spacing w:line="360" w:lineRule="exact"/>
        <w:ind w:firstLine="660" w:firstLine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2、职称/认证证书复印件附后。</w:t>
      </w:r>
    </w:p>
    <w:p>
      <w:pPr>
        <w:pStyle w:val="29"/>
        <w:spacing w:line="360" w:lineRule="auto"/>
        <w:ind w:firstLine="5940" w:firstLineChars="27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磋商供应商全称（盖章）：</w:t>
      </w:r>
    </w:p>
    <w:p>
      <w:pPr>
        <w:spacing w:line="360" w:lineRule="auto"/>
        <w:ind w:firstLine="5940" w:firstLineChars="27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磋商供应商代表（签字）：</w:t>
      </w:r>
    </w:p>
    <w:p>
      <w:pPr>
        <w:spacing w:line="360" w:lineRule="auto"/>
        <w:ind w:firstLine="5940" w:firstLineChars="27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日    期：</w:t>
      </w:r>
    </w:p>
    <w:p>
      <w:pPr>
        <w:rPr>
          <w:rFonts w:hint="eastAsia" w:ascii="新宋体" w:hAnsi="新宋体" w:eastAsia="新宋体" w:cs="新宋体"/>
          <w:b/>
          <w:color w:val="auto"/>
          <w:sz w:val="24"/>
          <w:highlight w:val="none"/>
        </w:rPr>
      </w:pPr>
    </w:p>
    <w:p>
      <w:pPr>
        <w:pStyle w:val="63"/>
        <w:rPr>
          <w:rFonts w:hint="eastAsia" w:ascii="新宋体" w:hAnsi="新宋体" w:eastAsia="新宋体" w:cs="新宋体"/>
          <w:b/>
          <w:color w:val="auto"/>
          <w:sz w:val="24"/>
          <w:highlight w:val="none"/>
        </w:rPr>
      </w:pPr>
    </w:p>
    <w:p>
      <w:pPr>
        <w:pStyle w:val="21"/>
        <w:rPr>
          <w:rFonts w:hint="eastAsia" w:ascii="新宋体" w:hAnsi="新宋体" w:eastAsia="新宋体" w:cs="新宋体"/>
          <w:b/>
          <w:color w:val="auto"/>
          <w:sz w:val="24"/>
          <w:highlight w:val="none"/>
        </w:rPr>
      </w:pPr>
    </w:p>
    <w:p>
      <w:pPr>
        <w:pStyle w:val="51"/>
        <w:rPr>
          <w:rFonts w:hint="eastAsia" w:ascii="新宋体" w:hAnsi="新宋体" w:eastAsia="新宋体" w:cs="新宋体"/>
          <w:b/>
          <w:color w:val="auto"/>
          <w:sz w:val="24"/>
          <w:highlight w:val="none"/>
        </w:rPr>
      </w:pPr>
    </w:p>
    <w:p>
      <w:pPr>
        <w:spacing w:line="40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en-US" w:eastAsia="zh-CN"/>
        </w:rPr>
        <w:t>6、其他必要提供的资料</w:t>
      </w:r>
    </w:p>
    <w:p>
      <w:pPr>
        <w:spacing w:line="380" w:lineRule="exact"/>
        <w:rPr>
          <w:rFonts w:hint="eastAsia" w:ascii="新宋体" w:hAnsi="新宋体" w:eastAsia="新宋体" w:cs="新宋体"/>
          <w:b/>
          <w:bCs/>
          <w:color w:val="auto"/>
          <w:sz w:val="22"/>
          <w:szCs w:val="22"/>
          <w:highlight w:val="none"/>
        </w:rPr>
      </w:pPr>
    </w:p>
    <w:p>
      <w:pPr>
        <w:spacing w:line="360" w:lineRule="auto"/>
        <w:jc w:val="left"/>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项 目 编 号：</w:t>
      </w:r>
      <w:r>
        <w:rPr>
          <w:rFonts w:hint="eastAsia" w:ascii="新宋体" w:hAnsi="新宋体" w:eastAsia="新宋体" w:cs="新宋体"/>
          <w:bCs/>
          <w:color w:val="auto"/>
          <w:sz w:val="22"/>
          <w:szCs w:val="22"/>
          <w:highlight w:val="none"/>
          <w:lang w:eastAsia="zh-CN"/>
        </w:rPr>
        <w:t>DTCG20231213141</w:t>
      </w:r>
    </w:p>
    <w:p>
      <w:pPr>
        <w:spacing w:line="360" w:lineRule="auto"/>
        <w:jc w:val="left"/>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 目 名 称：</w:t>
      </w:r>
      <w:r>
        <w:rPr>
          <w:rFonts w:hint="eastAsia" w:ascii="新宋体" w:hAnsi="新宋体" w:eastAsia="新宋体" w:cs="新宋体"/>
          <w:bCs/>
          <w:color w:val="auto"/>
          <w:sz w:val="22"/>
          <w:szCs w:val="22"/>
          <w:highlight w:val="none"/>
          <w:lang w:eastAsia="zh-CN"/>
        </w:rPr>
        <w:t>洞头区个人住房白蚁灭治采购服务</w:t>
      </w:r>
    </w:p>
    <w:tbl>
      <w:tblPr>
        <w:tblStyle w:val="52"/>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top"/>
          </w:tcPr>
          <w:p>
            <w:pPr>
              <w:pStyle w:val="207"/>
              <w:spacing w:after="0" w:line="460" w:lineRule="exact"/>
              <w:jc w:val="center"/>
              <w:rPr>
                <w:rFonts w:hint="eastAsia" w:ascii="新宋体" w:hAnsi="新宋体" w:eastAsia="新宋体" w:cs="新宋体"/>
                <w:color w:val="auto"/>
                <w:highlight w:val="none"/>
              </w:rPr>
            </w:pPr>
            <w:r>
              <w:rPr>
                <w:rFonts w:hint="eastAsia" w:ascii="宋体" w:hAnsi="宋体" w:cs="宋体"/>
                <w:b/>
                <w:bCs/>
                <w:color w:val="auto"/>
                <w:sz w:val="22"/>
                <w:szCs w:val="22"/>
                <w:highlight w:val="none"/>
                <w:u w:val="single"/>
                <w:lang w:val="en-US" w:eastAsia="zh-CN"/>
              </w:rPr>
              <w:t>根据</w:t>
            </w:r>
            <w:r>
              <w:rPr>
                <w:rFonts w:hint="eastAsia" w:ascii="新宋体" w:hAnsi="新宋体" w:eastAsia="新宋体" w:cs="新宋体"/>
                <w:b/>
                <w:bCs/>
                <w:color w:val="auto"/>
                <w:sz w:val="22"/>
                <w:szCs w:val="22"/>
                <w:highlight w:val="none"/>
                <w:u w:val="single"/>
              </w:rPr>
              <w:t>评标标准</w:t>
            </w:r>
            <w:r>
              <w:rPr>
                <w:rFonts w:hint="eastAsia" w:ascii="新宋体" w:hAnsi="新宋体" w:eastAsia="新宋体" w:cs="新宋体"/>
                <w:b/>
                <w:bCs/>
                <w:color w:val="auto"/>
                <w:sz w:val="22"/>
                <w:szCs w:val="22"/>
                <w:highlight w:val="none"/>
                <w:u w:val="single"/>
                <w:lang w:val="en-US" w:eastAsia="zh-CN"/>
              </w:rPr>
              <w:t>自行提供</w:t>
            </w:r>
          </w:p>
        </w:tc>
      </w:tr>
    </w:tbl>
    <w:p>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pPr>
        <w:pStyle w:val="29"/>
        <w:spacing w:line="360" w:lineRule="auto"/>
        <w:ind w:firstLine="5940" w:firstLineChars="27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磋商供应商全称（盖章）：</w:t>
      </w:r>
    </w:p>
    <w:p>
      <w:pPr>
        <w:spacing w:line="360" w:lineRule="auto"/>
        <w:ind w:firstLine="5940" w:firstLineChars="27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磋商供应商代表（签字）：</w:t>
      </w:r>
    </w:p>
    <w:p>
      <w:pPr>
        <w:spacing w:line="360" w:lineRule="auto"/>
        <w:ind w:firstLine="5940" w:firstLineChars="27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日    期：</w:t>
      </w:r>
    </w:p>
    <w:p>
      <w:pPr>
        <w:rPr>
          <w:rFonts w:hint="eastAsia" w:ascii="新宋体" w:hAnsi="新宋体" w:eastAsia="新宋体" w:cs="新宋体"/>
          <w:b/>
          <w:color w:val="auto"/>
          <w:sz w:val="24"/>
          <w:highlight w:val="none"/>
        </w:rPr>
      </w:pPr>
    </w:p>
    <w:p>
      <w:pPr>
        <w:pStyle w:val="63"/>
        <w:rPr>
          <w:rFonts w:hint="eastAsia"/>
          <w:color w:val="auto"/>
          <w:highlight w:val="none"/>
        </w:rPr>
      </w:pPr>
    </w:p>
    <w:p>
      <w:pPr>
        <w:pStyle w:val="2"/>
        <w:bidi w:val="0"/>
        <w:rPr>
          <w:rFonts w:hint="eastAsia" w:ascii="新宋体" w:hAnsi="新宋体" w:eastAsia="新宋体" w:cs="新宋体"/>
          <w:color w:val="auto"/>
          <w:highlight w:val="none"/>
        </w:rPr>
      </w:pPr>
      <w:bookmarkStart w:id="24" w:name="_Toc19012"/>
      <w:r>
        <w:rPr>
          <w:rFonts w:hint="eastAsia" w:ascii="新宋体" w:hAnsi="新宋体" w:eastAsia="新宋体" w:cs="新宋体"/>
          <w:color w:val="auto"/>
          <w:highlight w:val="none"/>
        </w:rPr>
        <w:br w:type="page"/>
      </w:r>
      <w:r>
        <w:rPr>
          <w:rFonts w:hint="eastAsia" w:ascii="新宋体" w:hAnsi="新宋体" w:eastAsia="新宋体" w:cs="新宋体"/>
          <w:color w:val="auto"/>
          <w:highlight w:val="none"/>
        </w:rPr>
        <w:t xml:space="preserve">第四部分   </w:t>
      </w:r>
      <w:bookmarkStart w:id="25" w:name="_Toc221356958"/>
      <w:bookmarkStart w:id="26" w:name="_Toc221356895"/>
      <w:r>
        <w:rPr>
          <w:rFonts w:hint="eastAsia" w:ascii="新宋体" w:hAnsi="新宋体" w:eastAsia="新宋体" w:cs="新宋体"/>
          <w:color w:val="auto"/>
          <w:highlight w:val="none"/>
        </w:rPr>
        <w:t>项目技术规范和服务要求</w:t>
      </w:r>
      <w:bookmarkEnd w:id="24"/>
      <w:bookmarkEnd w:id="25"/>
      <w:bookmarkEnd w:id="26"/>
      <w:bookmarkStart w:id="27" w:name="_Toc202085298"/>
      <w:bookmarkStart w:id="28" w:name="_Toc195502588"/>
      <w:bookmarkStart w:id="29" w:name="_Toc195502498"/>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一、项目概况：洞头区住建局下辖6个街道（乡、镇）（北岙街道、大门街道、霓屿街道、鹿西乡等），建筑面积约15万㎡，进行白蚁灭治工作。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二、服务期：白蚁灭治工作服务期：合同签订之日起2年（灭治期1年，包治期1年）。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三、服务要求：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1、白蚁灭治要求：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1）白蚁灭治以“户”为单位进行施工，对散白蚁的灭治原则上采用液剂毒杀法处理，其中室内地坪应采用钻孔并将药液注入地坪下方回填土中的处理方式。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乙方在接到甲方通知之日起2个工作日内，组织人员到现场进行灭治处理。由上级部门交办、紧急督办等需开绿色通道的，须在接到甲方通知后1个工作日内完成。白蚁灭治上门及时率不得低于98%（含白蚁活动高峰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3）因乙方服务时效、服务质量或服务态度等问题，被甲方查处或造成客户投诉超过12户的，超出部分每户扣罚2000元。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4）乙方应提供自完成灭治处理之日起1年的包治期，包治期内如发现白蚁复发，由乙方负责无偿灭治。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5）不得向服务对象收取任何费用。发现一次扣罚5000元。</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2、人员配备要求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1）项目负责人1人。拟派遣项目负责人应具有从事白蚁行业相关经验，持有白蚁行业相关专业技能职业资格证书。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2）施工技术人员5人（含）以上，白蚁活动高峰期应随时增配施工技术人员。拟派施工技术人员应持有白蚁行业相关专业技能职业资格证书或技能培训与考核鉴定合格证书。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3、项目实施要求：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场地及仓库要求：在洞头区行政区域内设有固定场所（证明材料提供房产证或租赁合同）或承诺成交通知书领取后30天内设置。仓库配置不小于20㎡的药物专储仓库一个。所使用的灭治药物须存放在专用仓库内，仓库不得设置于普通居民楼内，须由专人严格管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2）设备配备要求：拟投入本项目的施工车辆不少于2辆，用于药物屏障技术的喷洒设备不少于1套。</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3）管理制度要求：具有健全的管理责任制度、施工安全管理制度、工程质量管理制度、药物管理制度以及档案管理制度。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4）配备必要的电脑、打印机、扫描仪等。</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乙方必须在施工时采取安全保障措施，保证安全施工，同时必须给项目所有施工人员购买人身意外保险，费用包含在报价中，不单独计列。施工过程中产生的所有安全事故及责任均由乙方自行承担，甲方不负任何责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4、项目服务时间安排：</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以采购人根据白蚁纷飞的实际情况安排灭治时间为准，原则上为2024年上半年。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五、报价方式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1、采购预算：47万元。</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2、超过最高单价的报价将被认定为无效报价（按无效标处理）。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单户100㎡（含）以下最高单价：305元</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单户100㎡-200㎡（含）最高单价：610元</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单户200㎡以上最高单价：915元</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最终结算按实际灭治户数结算，最终结算价不得超过47万。</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3、报价包含提供服务所需的人工费、维护、培训、售后服务、利润、不可预见费、税金、劳动保险费、技术培训费、招标代理费、第三方验收费用等全部费用。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六、付款方式：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1、本项目付款分期进行结算，</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合同生效及具备实施条件后</w:t>
      </w:r>
      <w:r>
        <w:rPr>
          <w:rFonts w:hint="eastAsia" w:ascii="新宋体" w:hAnsi="新宋体" w:eastAsia="新宋体" w:cs="新宋体"/>
          <w:color w:val="auto"/>
          <w:sz w:val="22"/>
          <w:szCs w:val="22"/>
          <w:highlight w:val="none"/>
          <w:lang w:val="en-US" w:eastAsia="zh-CN"/>
        </w:rPr>
        <w:t>7个工作日</w:t>
      </w:r>
      <w:r>
        <w:rPr>
          <w:rFonts w:hint="eastAsia" w:ascii="新宋体" w:hAnsi="新宋体" w:eastAsia="新宋体" w:cs="新宋体"/>
          <w:color w:val="auto"/>
          <w:sz w:val="22"/>
          <w:szCs w:val="22"/>
          <w:highlight w:val="none"/>
        </w:rPr>
        <w:t>内</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采购人向成交供应商</w:t>
      </w:r>
      <w:r>
        <w:rPr>
          <w:rFonts w:hint="eastAsia" w:ascii="新宋体" w:hAnsi="新宋体" w:eastAsia="新宋体" w:cs="新宋体"/>
          <w:color w:val="auto"/>
          <w:sz w:val="22"/>
          <w:szCs w:val="22"/>
          <w:highlight w:val="none"/>
        </w:rPr>
        <w:t>支付</w:t>
      </w:r>
      <w:r>
        <w:rPr>
          <w:rFonts w:hint="eastAsia" w:ascii="新宋体" w:hAnsi="新宋体" w:eastAsia="新宋体" w:cs="新宋体"/>
          <w:color w:val="auto"/>
          <w:sz w:val="22"/>
          <w:szCs w:val="22"/>
          <w:highlight w:val="none"/>
          <w:lang w:val="en-US" w:eastAsia="zh-CN"/>
        </w:rPr>
        <w:t>合同价款</w:t>
      </w:r>
      <w:r>
        <w:rPr>
          <w:rFonts w:hint="eastAsia" w:ascii="新宋体" w:hAnsi="新宋体" w:eastAsia="新宋体" w:cs="新宋体"/>
          <w:color w:val="auto"/>
          <w:sz w:val="22"/>
          <w:szCs w:val="22"/>
          <w:highlight w:val="none"/>
        </w:rPr>
        <w:t>的</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0%为预付款</w:t>
      </w:r>
      <w:r>
        <w:rPr>
          <w:rFonts w:hint="eastAsia" w:ascii="新宋体" w:hAnsi="新宋体" w:eastAsia="新宋体" w:cs="新宋体"/>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灭治</w:t>
      </w:r>
      <w:r>
        <w:rPr>
          <w:rFonts w:hint="eastAsia" w:ascii="新宋体" w:hAnsi="新宋体" w:eastAsia="新宋体" w:cs="新宋体"/>
          <w:color w:val="auto"/>
          <w:sz w:val="22"/>
          <w:szCs w:val="22"/>
          <w:highlight w:val="none"/>
          <w:lang w:val="en-US" w:eastAsia="zh-CN"/>
        </w:rPr>
        <w:t>期</w:t>
      </w:r>
      <w:r>
        <w:rPr>
          <w:rFonts w:hint="eastAsia" w:ascii="新宋体" w:hAnsi="新宋体" w:eastAsia="新宋体" w:cs="新宋体"/>
          <w:color w:val="auto"/>
          <w:sz w:val="22"/>
          <w:szCs w:val="22"/>
          <w:highlight w:val="none"/>
        </w:rPr>
        <w:t>完成后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采购人向成交供应商</w:t>
      </w:r>
      <w:r>
        <w:rPr>
          <w:rFonts w:hint="eastAsia" w:ascii="新宋体" w:hAnsi="新宋体" w:eastAsia="新宋体" w:cs="新宋体"/>
          <w:color w:val="auto"/>
          <w:sz w:val="22"/>
          <w:szCs w:val="22"/>
          <w:highlight w:val="none"/>
        </w:rPr>
        <w:t>支付</w:t>
      </w:r>
      <w:r>
        <w:rPr>
          <w:rFonts w:hint="eastAsia" w:ascii="新宋体" w:hAnsi="新宋体" w:eastAsia="新宋体" w:cs="新宋体"/>
          <w:color w:val="auto"/>
          <w:sz w:val="22"/>
          <w:szCs w:val="22"/>
          <w:highlight w:val="none"/>
          <w:lang w:val="en-US" w:eastAsia="zh-CN"/>
        </w:rPr>
        <w:t>合同价款</w:t>
      </w:r>
      <w:r>
        <w:rPr>
          <w:rFonts w:hint="eastAsia" w:ascii="新宋体" w:hAnsi="新宋体" w:eastAsia="新宋体" w:cs="新宋体"/>
          <w:color w:val="auto"/>
          <w:sz w:val="22"/>
          <w:szCs w:val="22"/>
          <w:highlight w:val="none"/>
        </w:rPr>
        <w:t>的</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0%</w:t>
      </w:r>
      <w:r>
        <w:rPr>
          <w:rFonts w:hint="eastAsia" w:ascii="新宋体" w:hAnsi="新宋体" w:eastAsia="新宋体" w:cs="新宋体"/>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3）包治期完成后，</w:t>
      </w:r>
      <w:r>
        <w:rPr>
          <w:rFonts w:hint="eastAsia" w:ascii="新宋体" w:hAnsi="新宋体" w:eastAsia="新宋体" w:cs="新宋体"/>
          <w:color w:val="auto"/>
          <w:sz w:val="22"/>
          <w:szCs w:val="22"/>
          <w:highlight w:val="none"/>
        </w:rPr>
        <w:t>完成工程量经</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单位确认</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项目经第三方验收合格（费用由成交供应商负责），出具验收报告后，</w:t>
      </w:r>
      <w:r>
        <w:rPr>
          <w:rFonts w:hint="eastAsia" w:ascii="新宋体" w:hAnsi="新宋体" w:eastAsia="新宋体" w:cs="新宋体"/>
          <w:color w:val="auto"/>
          <w:sz w:val="22"/>
          <w:szCs w:val="22"/>
          <w:highlight w:val="none"/>
        </w:rPr>
        <w:t>按实际</w:t>
      </w:r>
      <w:r>
        <w:rPr>
          <w:rFonts w:hint="eastAsia" w:ascii="新宋体" w:hAnsi="新宋体" w:eastAsia="新宋体" w:cs="新宋体"/>
          <w:color w:val="auto"/>
          <w:sz w:val="22"/>
          <w:szCs w:val="22"/>
          <w:highlight w:val="none"/>
          <w:lang w:val="en-US" w:eastAsia="zh-CN"/>
        </w:rPr>
        <w:t>灭治户数</w:t>
      </w:r>
      <w:r>
        <w:rPr>
          <w:rFonts w:hint="eastAsia" w:ascii="新宋体" w:hAnsi="新宋体" w:eastAsia="新宋体" w:cs="新宋体"/>
          <w:color w:val="auto"/>
          <w:sz w:val="22"/>
          <w:szCs w:val="22"/>
          <w:highlight w:val="none"/>
        </w:rPr>
        <w:t>进行结算</w:t>
      </w:r>
      <w:r>
        <w:rPr>
          <w:rFonts w:hint="eastAsia" w:ascii="新宋体" w:hAnsi="新宋体" w:eastAsia="新宋体" w:cs="新宋体"/>
          <w:color w:val="auto"/>
          <w:sz w:val="22"/>
          <w:szCs w:val="22"/>
          <w:highlight w:val="none"/>
          <w:lang w:val="en-US" w:eastAsia="zh-CN"/>
        </w:rPr>
        <w:t>支付剩余的款项（结算价不得超过采购预算</w:t>
      </w:r>
      <w:bookmarkStart w:id="38" w:name="_GoBack"/>
      <w:bookmarkEnd w:id="38"/>
      <w:r>
        <w:rPr>
          <w:rFonts w:hint="eastAsia" w:ascii="新宋体" w:hAnsi="新宋体" w:eastAsia="新宋体" w:cs="新宋体"/>
          <w:color w:val="auto"/>
          <w:sz w:val="22"/>
          <w:szCs w:val="22"/>
          <w:highlight w:val="none"/>
          <w:lang w:val="en-US" w:eastAsia="zh-CN"/>
        </w:rPr>
        <w:t>47万元）</w:t>
      </w:r>
      <w:r>
        <w:rPr>
          <w:rFonts w:hint="eastAsia" w:ascii="新宋体" w:hAnsi="新宋体" w:eastAsia="新宋体" w:cs="新宋体"/>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2、每次付款前，成交供应商需提供等额发票，采购人收到发票后7个工作日内支付款项。</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注：若</w:t>
      </w:r>
      <w:r>
        <w:rPr>
          <w:rFonts w:hint="eastAsia" w:ascii="新宋体" w:hAnsi="新宋体" w:eastAsia="新宋体" w:cs="新宋体"/>
          <w:color w:val="auto"/>
          <w:sz w:val="22"/>
          <w:szCs w:val="22"/>
          <w:highlight w:val="none"/>
          <w:lang w:val="en-US" w:eastAsia="zh-CN"/>
        </w:rPr>
        <w:t>成交</w:t>
      </w:r>
      <w:r>
        <w:rPr>
          <w:rFonts w:hint="eastAsia" w:ascii="新宋体" w:hAnsi="新宋体" w:eastAsia="新宋体" w:cs="新宋体"/>
          <w:color w:val="auto"/>
          <w:sz w:val="22"/>
          <w:szCs w:val="22"/>
          <w:highlight w:val="none"/>
        </w:rPr>
        <w:t>供应商明确表示无需预付款或主动要求降低预付款比例的，采购人可不适用前述规定。本服务执行中相关的一切税费均由</w:t>
      </w:r>
      <w:r>
        <w:rPr>
          <w:rFonts w:hint="eastAsia" w:ascii="新宋体" w:hAnsi="新宋体" w:eastAsia="新宋体" w:cs="新宋体"/>
          <w:color w:val="auto"/>
          <w:sz w:val="22"/>
          <w:szCs w:val="22"/>
          <w:highlight w:val="none"/>
          <w:lang w:val="en-US" w:eastAsia="zh-CN"/>
        </w:rPr>
        <w:t>成交</w:t>
      </w:r>
      <w:r>
        <w:rPr>
          <w:rFonts w:hint="eastAsia" w:ascii="新宋体" w:hAnsi="新宋体" w:eastAsia="新宋体" w:cs="新宋体"/>
          <w:color w:val="auto"/>
          <w:sz w:val="22"/>
          <w:szCs w:val="22"/>
          <w:highlight w:val="none"/>
        </w:rPr>
        <w:t>供应商负担。</w:t>
      </w:r>
    </w:p>
    <w:p>
      <w:pPr>
        <w:pStyle w:val="94"/>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pStyle w:val="94"/>
        <w:rPr>
          <w:rFonts w:hint="eastAsia" w:ascii="新宋体" w:hAnsi="新宋体" w:eastAsia="新宋体" w:cs="新宋体"/>
          <w:color w:val="auto"/>
          <w:highlight w:val="none"/>
        </w:rPr>
      </w:pPr>
    </w:p>
    <w:bookmarkEnd w:id="27"/>
    <w:bookmarkEnd w:id="28"/>
    <w:bookmarkEnd w:id="29"/>
    <w:p>
      <w:pPr>
        <w:pStyle w:val="2"/>
        <w:bidi w:val="0"/>
        <w:jc w:val="center"/>
        <w:rPr>
          <w:rStyle w:val="67"/>
          <w:rFonts w:hint="eastAsia" w:ascii="新宋体" w:hAnsi="新宋体" w:eastAsia="新宋体" w:cs="新宋体"/>
          <w:b/>
          <w:color w:val="auto"/>
          <w:highlight w:val="none"/>
        </w:rPr>
      </w:pPr>
      <w:r>
        <w:rPr>
          <w:rFonts w:hint="eastAsia" w:ascii="新宋体" w:hAnsi="新宋体" w:eastAsia="新宋体" w:cs="新宋体"/>
          <w:b w:val="0"/>
          <w:color w:val="auto"/>
          <w:sz w:val="30"/>
          <w:highlight w:val="none"/>
        </w:rPr>
        <w:br w:type="page"/>
      </w:r>
      <w:bookmarkStart w:id="30" w:name="_Toc9439"/>
      <w:r>
        <w:rPr>
          <w:rStyle w:val="67"/>
          <w:rFonts w:hint="eastAsia" w:ascii="新宋体" w:hAnsi="新宋体" w:eastAsia="新宋体" w:cs="新宋体"/>
          <w:b/>
          <w:color w:val="auto"/>
          <w:highlight w:val="none"/>
        </w:rPr>
        <w:t>第五部分   磋商原则及方法</w:t>
      </w:r>
    </w:p>
    <w:bookmarkEnd w:id="30"/>
    <w:p>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根据《中华人民共和国政府采购法》、《政府采购货物和服务招标投标管理办法》、《中华人民共和国政府采购法实施条例》和《政府采购竞争性磋商采购方式管理暂行办法》等相关法规特制定以下评审办法。</w:t>
      </w:r>
    </w:p>
    <w:p>
      <w:pPr>
        <w:spacing w:line="460" w:lineRule="exact"/>
        <w:ind w:firstLine="442" w:firstLineChars="200"/>
        <w:outlineLvl w:val="1"/>
        <w:rPr>
          <w:rFonts w:hint="eastAsia" w:ascii="新宋体" w:hAnsi="新宋体" w:eastAsia="新宋体" w:cs="新宋体"/>
          <w:b/>
          <w:color w:val="auto"/>
          <w:sz w:val="22"/>
          <w:szCs w:val="22"/>
          <w:highlight w:val="none"/>
        </w:rPr>
      </w:pPr>
      <w:bookmarkStart w:id="31" w:name="_Toc7019"/>
      <w:r>
        <w:rPr>
          <w:rFonts w:hint="eastAsia" w:ascii="新宋体" w:hAnsi="新宋体" w:eastAsia="新宋体" w:cs="新宋体"/>
          <w:b/>
          <w:color w:val="auto"/>
          <w:sz w:val="22"/>
          <w:szCs w:val="22"/>
          <w:highlight w:val="none"/>
        </w:rPr>
        <w:t>一、总 则</w:t>
      </w:r>
      <w:bookmarkEnd w:id="31"/>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审工作遵循“公平、公正、科学、择优”原则和“诚实、信誉、效率”的服务原则。最大限度的保护采购人权益，严格按照磋商文件的要求，对磋商响应文件进行综合评审。磋商供应商不得以任何方式干扰政府采购工作的进行，一经发现其磋商响应文件将被拒绝。</w:t>
      </w:r>
    </w:p>
    <w:p>
      <w:pPr>
        <w:spacing w:line="460" w:lineRule="exact"/>
        <w:ind w:firstLine="442" w:firstLineChars="200"/>
        <w:outlineLvl w:val="1"/>
        <w:rPr>
          <w:rFonts w:hint="eastAsia" w:ascii="新宋体" w:hAnsi="新宋体" w:eastAsia="新宋体" w:cs="新宋体"/>
          <w:b/>
          <w:color w:val="auto"/>
          <w:sz w:val="22"/>
          <w:szCs w:val="22"/>
          <w:highlight w:val="none"/>
        </w:rPr>
      </w:pPr>
      <w:bookmarkStart w:id="32" w:name="_Toc14043"/>
      <w:r>
        <w:rPr>
          <w:rFonts w:hint="eastAsia" w:ascii="新宋体" w:hAnsi="新宋体" w:eastAsia="新宋体" w:cs="新宋体"/>
          <w:b/>
          <w:color w:val="auto"/>
          <w:sz w:val="22"/>
          <w:szCs w:val="22"/>
          <w:highlight w:val="none"/>
        </w:rPr>
        <w:t>二、磋商组织</w:t>
      </w:r>
      <w:bookmarkEnd w:id="32"/>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磋商工作由采购人组建的磋商小组负责，磋商全过程由有关部门指导监督。</w:t>
      </w:r>
    </w:p>
    <w:p>
      <w:pPr>
        <w:spacing w:line="460" w:lineRule="exact"/>
        <w:ind w:firstLine="442" w:firstLineChars="200"/>
        <w:outlineLvl w:val="1"/>
        <w:rPr>
          <w:rFonts w:hint="eastAsia" w:ascii="新宋体" w:hAnsi="新宋体" w:eastAsia="新宋体" w:cs="新宋体"/>
          <w:b/>
          <w:color w:val="auto"/>
          <w:sz w:val="22"/>
          <w:szCs w:val="22"/>
          <w:highlight w:val="none"/>
        </w:rPr>
      </w:pPr>
      <w:bookmarkStart w:id="33" w:name="_Toc28866"/>
      <w:r>
        <w:rPr>
          <w:rFonts w:hint="eastAsia" w:ascii="新宋体" w:hAnsi="新宋体" w:eastAsia="新宋体" w:cs="新宋体"/>
          <w:b/>
          <w:color w:val="auto"/>
          <w:sz w:val="22"/>
          <w:szCs w:val="22"/>
          <w:highlight w:val="none"/>
        </w:rPr>
        <w:t>三、评审程序</w:t>
      </w:r>
      <w:bookmarkEnd w:id="33"/>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1、熟悉竞争性磋商文件和评审磋商办法；</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2、开启磋商响应文件（一次报价不公布）；</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3、资格审查；</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4、磋商、询标（需要时）；</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5、磋商响应文件商务技术标评分；</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6、磋商二次报价或最终报价；</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7、磋商小组根据评审结果，提交评审报告。</w:t>
      </w:r>
    </w:p>
    <w:p>
      <w:pPr>
        <w:spacing w:line="460" w:lineRule="exact"/>
        <w:ind w:firstLine="442" w:firstLineChars="200"/>
        <w:outlineLvl w:val="1"/>
        <w:rPr>
          <w:rFonts w:hint="eastAsia" w:ascii="新宋体" w:hAnsi="新宋体" w:eastAsia="新宋体" w:cs="新宋体"/>
          <w:b/>
          <w:color w:val="auto"/>
          <w:sz w:val="22"/>
          <w:szCs w:val="22"/>
          <w:highlight w:val="none"/>
        </w:rPr>
      </w:pPr>
      <w:bookmarkStart w:id="34" w:name="_Toc16925"/>
      <w:r>
        <w:rPr>
          <w:rFonts w:hint="eastAsia" w:ascii="新宋体" w:hAnsi="新宋体" w:eastAsia="新宋体" w:cs="新宋体"/>
          <w:b/>
          <w:color w:val="auto"/>
          <w:sz w:val="22"/>
          <w:szCs w:val="22"/>
          <w:highlight w:val="none"/>
        </w:rPr>
        <w:t>四、综合评审</w:t>
      </w:r>
      <w:bookmarkEnd w:id="34"/>
    </w:p>
    <w:p>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1、本次评审采用综合评分法，即最大限度地满足竞争性磋商文件实质性要求前提下，按照竞争性磋商文件中规定的各项评分内容评审后，以评审总得分最高的磋商供应商，作为成交候选供应商。</w:t>
      </w:r>
    </w:p>
    <w:p>
      <w:pPr>
        <w:spacing w:line="460" w:lineRule="exact"/>
        <w:ind w:firstLine="442" w:firstLineChars="200"/>
        <w:outlineLvl w:val="1"/>
        <w:rPr>
          <w:rFonts w:hint="eastAsia" w:ascii="新宋体" w:hAnsi="新宋体" w:eastAsia="新宋体" w:cs="新宋体"/>
          <w:b/>
          <w:color w:val="auto"/>
          <w:sz w:val="22"/>
          <w:szCs w:val="22"/>
          <w:highlight w:val="none"/>
        </w:rPr>
      </w:pPr>
      <w:bookmarkStart w:id="35" w:name="_Toc9675"/>
      <w:r>
        <w:rPr>
          <w:rFonts w:hint="eastAsia" w:ascii="新宋体" w:hAnsi="新宋体" w:eastAsia="新宋体" w:cs="新宋体"/>
          <w:b/>
          <w:color w:val="auto"/>
          <w:sz w:val="22"/>
          <w:szCs w:val="22"/>
          <w:highlight w:val="none"/>
        </w:rPr>
        <w:t>五、</w:t>
      </w:r>
      <w:r>
        <w:rPr>
          <w:rFonts w:hint="eastAsia" w:ascii="新宋体" w:hAnsi="新宋体" w:eastAsia="新宋体" w:cs="新宋体"/>
          <w:b/>
          <w:bCs/>
          <w:color w:val="auto"/>
          <w:sz w:val="22"/>
          <w:szCs w:val="22"/>
          <w:highlight w:val="none"/>
        </w:rPr>
        <w:t>评分</w:t>
      </w:r>
      <w:r>
        <w:rPr>
          <w:rFonts w:hint="eastAsia" w:ascii="新宋体" w:hAnsi="新宋体" w:eastAsia="新宋体" w:cs="新宋体"/>
          <w:b/>
          <w:color w:val="auto"/>
          <w:sz w:val="22"/>
          <w:szCs w:val="22"/>
          <w:highlight w:val="none"/>
        </w:rPr>
        <w:t>细则</w:t>
      </w:r>
      <w:bookmarkEnd w:id="35"/>
    </w:p>
    <w:p>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总分设定为100分</w:t>
      </w:r>
      <w:r>
        <w:rPr>
          <w:rFonts w:hint="eastAsia" w:ascii="新宋体" w:hAnsi="新宋体" w:eastAsia="新宋体" w:cs="新宋体"/>
          <w:b/>
          <w:bCs/>
          <w:color w:val="auto"/>
          <w:sz w:val="22"/>
          <w:szCs w:val="22"/>
          <w:highlight w:val="none"/>
        </w:rPr>
        <w:t>，其中</w:t>
      </w:r>
      <w:r>
        <w:rPr>
          <w:rFonts w:hint="eastAsia" w:ascii="新宋体" w:hAnsi="新宋体" w:eastAsia="新宋体" w:cs="新宋体"/>
          <w:b/>
          <w:color w:val="auto"/>
          <w:sz w:val="22"/>
          <w:szCs w:val="22"/>
          <w:highlight w:val="none"/>
        </w:rPr>
        <w:t>商务技术</w:t>
      </w:r>
      <w:r>
        <w:rPr>
          <w:rFonts w:hint="eastAsia" w:ascii="新宋体" w:hAnsi="新宋体" w:eastAsia="新宋体" w:cs="新宋体"/>
          <w:b/>
          <w:bCs/>
          <w:color w:val="auto"/>
          <w:sz w:val="22"/>
          <w:szCs w:val="22"/>
          <w:highlight w:val="none"/>
          <w:lang w:val="en-US" w:eastAsia="zh-CN"/>
        </w:rPr>
        <w:t>85</w:t>
      </w:r>
      <w:r>
        <w:rPr>
          <w:rFonts w:hint="eastAsia" w:ascii="新宋体" w:hAnsi="新宋体" w:eastAsia="新宋体" w:cs="新宋体"/>
          <w:b/>
          <w:bCs/>
          <w:color w:val="auto"/>
          <w:sz w:val="22"/>
          <w:szCs w:val="22"/>
          <w:highlight w:val="none"/>
        </w:rPr>
        <w:t>分（</w:t>
      </w:r>
      <w:r>
        <w:rPr>
          <w:rFonts w:hint="eastAsia" w:ascii="新宋体" w:hAnsi="新宋体" w:eastAsia="新宋体" w:cs="新宋体"/>
          <w:b/>
          <w:color w:val="auto"/>
          <w:sz w:val="22"/>
          <w:szCs w:val="22"/>
          <w:highlight w:val="none"/>
        </w:rPr>
        <w:t>商务技术</w:t>
      </w:r>
      <w:r>
        <w:rPr>
          <w:rFonts w:hint="eastAsia" w:ascii="新宋体" w:hAnsi="新宋体" w:eastAsia="新宋体" w:cs="新宋体"/>
          <w:b/>
          <w:bCs/>
          <w:color w:val="auto"/>
          <w:sz w:val="22"/>
          <w:szCs w:val="22"/>
          <w:highlight w:val="none"/>
        </w:rPr>
        <w:t>权值</w:t>
      </w:r>
      <w:r>
        <w:rPr>
          <w:rFonts w:hint="eastAsia" w:ascii="新宋体" w:hAnsi="新宋体" w:eastAsia="新宋体" w:cs="新宋体"/>
          <w:b/>
          <w:bCs/>
          <w:color w:val="auto"/>
          <w:sz w:val="22"/>
          <w:szCs w:val="22"/>
          <w:highlight w:val="none"/>
          <w:lang w:val="en-US" w:eastAsia="zh-CN"/>
        </w:rPr>
        <w:t>85</w:t>
      </w:r>
      <w:r>
        <w:rPr>
          <w:rFonts w:hint="eastAsia" w:ascii="新宋体" w:hAnsi="新宋体" w:eastAsia="新宋体" w:cs="新宋体"/>
          <w:b/>
          <w:bCs/>
          <w:color w:val="auto"/>
          <w:sz w:val="22"/>
          <w:szCs w:val="22"/>
          <w:highlight w:val="none"/>
        </w:rPr>
        <w:t>%），价格</w:t>
      </w:r>
      <w:r>
        <w:rPr>
          <w:rFonts w:hint="eastAsia" w:ascii="新宋体" w:hAnsi="新宋体" w:eastAsia="新宋体" w:cs="新宋体"/>
          <w:b/>
          <w:bCs/>
          <w:color w:val="auto"/>
          <w:sz w:val="22"/>
          <w:szCs w:val="22"/>
          <w:highlight w:val="none"/>
          <w:lang w:val="en-US" w:eastAsia="zh-CN"/>
        </w:rPr>
        <w:t>15</w:t>
      </w:r>
      <w:r>
        <w:rPr>
          <w:rFonts w:hint="eastAsia" w:ascii="新宋体" w:hAnsi="新宋体" w:eastAsia="新宋体" w:cs="新宋体"/>
          <w:b/>
          <w:bCs/>
          <w:color w:val="auto"/>
          <w:sz w:val="22"/>
          <w:szCs w:val="22"/>
          <w:highlight w:val="none"/>
        </w:rPr>
        <w:t>分（价格权值</w:t>
      </w:r>
      <w:r>
        <w:rPr>
          <w:rFonts w:hint="eastAsia" w:ascii="新宋体" w:hAnsi="新宋体" w:eastAsia="新宋体" w:cs="新宋体"/>
          <w:b/>
          <w:bCs/>
          <w:color w:val="auto"/>
          <w:sz w:val="22"/>
          <w:szCs w:val="22"/>
          <w:highlight w:val="none"/>
          <w:lang w:val="en-US" w:eastAsia="zh-CN"/>
        </w:rPr>
        <w:t>15</w:t>
      </w:r>
      <w:r>
        <w:rPr>
          <w:rFonts w:hint="eastAsia" w:ascii="新宋体" w:hAnsi="新宋体" w:eastAsia="新宋体" w:cs="新宋体"/>
          <w:b/>
          <w:bCs/>
          <w:color w:val="auto"/>
          <w:sz w:val="22"/>
          <w:szCs w:val="22"/>
          <w:highlight w:val="none"/>
        </w:rPr>
        <w:t>%）</w:t>
      </w:r>
    </w:p>
    <w:p>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1、商务技术分的评定：商务技术</w:t>
      </w:r>
      <w:r>
        <w:rPr>
          <w:rFonts w:hint="eastAsia" w:ascii="新宋体" w:hAnsi="新宋体" w:eastAsia="新宋体" w:cs="新宋体"/>
          <w:b/>
          <w:bCs/>
          <w:color w:val="auto"/>
          <w:sz w:val="22"/>
          <w:szCs w:val="22"/>
          <w:highlight w:val="none"/>
          <w:lang w:val="en-US" w:eastAsia="zh-CN"/>
        </w:rPr>
        <w:t>85</w:t>
      </w:r>
      <w:r>
        <w:rPr>
          <w:rFonts w:hint="eastAsia" w:ascii="新宋体" w:hAnsi="新宋体" w:eastAsia="新宋体" w:cs="新宋体"/>
          <w:b/>
          <w:bCs/>
          <w:color w:val="auto"/>
          <w:sz w:val="22"/>
          <w:szCs w:val="22"/>
          <w:highlight w:val="none"/>
        </w:rPr>
        <w:t>分（</w:t>
      </w:r>
      <w:r>
        <w:rPr>
          <w:rFonts w:hint="eastAsia" w:ascii="新宋体" w:hAnsi="新宋体" w:eastAsia="新宋体" w:cs="新宋体"/>
          <w:b/>
          <w:color w:val="auto"/>
          <w:sz w:val="22"/>
          <w:szCs w:val="22"/>
          <w:highlight w:val="none"/>
        </w:rPr>
        <w:t>商务技术</w:t>
      </w:r>
      <w:r>
        <w:rPr>
          <w:rFonts w:hint="eastAsia" w:ascii="新宋体" w:hAnsi="新宋体" w:eastAsia="新宋体" w:cs="新宋体"/>
          <w:b/>
          <w:bCs/>
          <w:color w:val="auto"/>
          <w:sz w:val="22"/>
          <w:szCs w:val="22"/>
          <w:highlight w:val="none"/>
        </w:rPr>
        <w:t>权值</w:t>
      </w:r>
      <w:r>
        <w:rPr>
          <w:rFonts w:hint="eastAsia" w:ascii="新宋体" w:hAnsi="新宋体" w:eastAsia="新宋体" w:cs="新宋体"/>
          <w:b/>
          <w:bCs/>
          <w:color w:val="auto"/>
          <w:sz w:val="22"/>
          <w:szCs w:val="22"/>
          <w:highlight w:val="none"/>
          <w:lang w:val="en-US" w:eastAsia="zh-CN"/>
        </w:rPr>
        <w:t>85</w:t>
      </w:r>
      <w:r>
        <w:rPr>
          <w:rFonts w:hint="eastAsia" w:ascii="新宋体" w:hAnsi="新宋体" w:eastAsia="新宋体" w:cs="新宋体"/>
          <w:b/>
          <w:bCs/>
          <w:color w:val="auto"/>
          <w:sz w:val="22"/>
          <w:szCs w:val="22"/>
          <w:highlight w:val="none"/>
        </w:rPr>
        <w:t>%）</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各磋商小组按下列评分项目进行评判，每人一张评分计算票，并记名。磋商响应文件各项评分内容由磋商小组成员各自评分，如某张票的一个因素项目超过规定的范围，则该张票无效。</w:t>
      </w:r>
      <w:r>
        <w:rPr>
          <w:rFonts w:hint="eastAsia" w:ascii="新宋体" w:hAnsi="新宋体" w:eastAsia="新宋体" w:cs="新宋体"/>
          <w:color w:val="auto"/>
          <w:sz w:val="22"/>
          <w:highlight w:val="none"/>
        </w:rPr>
        <w:t>各磋商小组成员对各磋商供应商的各项评分内容评分的算术平均值为各磋商供应商技术分得分</w:t>
      </w:r>
      <w:r>
        <w:rPr>
          <w:rFonts w:hint="eastAsia" w:ascii="新宋体" w:hAnsi="新宋体" w:eastAsia="新宋体" w:cs="新宋体"/>
          <w:color w:val="auto"/>
          <w:sz w:val="22"/>
          <w:szCs w:val="22"/>
          <w:highlight w:val="none"/>
        </w:rPr>
        <w:t>（小数点后按四舍五入保留2位）。</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369"/>
        <w:gridCol w:w="6960"/>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序号</w:t>
            </w:r>
          </w:p>
        </w:tc>
        <w:tc>
          <w:tcPr>
            <w:tcW w:w="694"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评分内容</w:t>
            </w:r>
          </w:p>
        </w:tc>
        <w:tc>
          <w:tcPr>
            <w:tcW w:w="3531"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评分标准</w:t>
            </w:r>
          </w:p>
        </w:tc>
        <w:tc>
          <w:tcPr>
            <w:tcW w:w="419"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355"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1</w:t>
            </w:r>
          </w:p>
        </w:tc>
        <w:tc>
          <w:tcPr>
            <w:tcW w:w="694"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同类业绩</w:t>
            </w:r>
          </w:p>
        </w:tc>
        <w:tc>
          <w:tcPr>
            <w:tcW w:w="3531"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lang w:eastAsia="zh-CN"/>
              </w:rPr>
            </w:pPr>
            <w:r>
              <w:rPr>
                <w:rFonts w:hint="eastAsia" w:ascii="新宋体" w:hAnsi="新宋体" w:eastAsia="新宋体" w:cs="新宋体"/>
                <w:b w:val="0"/>
                <w:bCs w:val="0"/>
                <w:color w:val="auto"/>
                <w:kern w:val="0"/>
                <w:sz w:val="22"/>
                <w:szCs w:val="22"/>
                <w:highlight w:val="none"/>
                <w:lang w:eastAsia="zh-CN"/>
              </w:rPr>
              <w:t>投标人自20</w:t>
            </w:r>
            <w:r>
              <w:rPr>
                <w:rFonts w:hint="eastAsia" w:ascii="新宋体" w:hAnsi="新宋体" w:eastAsia="新宋体" w:cs="新宋体"/>
                <w:b w:val="0"/>
                <w:bCs w:val="0"/>
                <w:color w:val="auto"/>
                <w:kern w:val="0"/>
                <w:sz w:val="22"/>
                <w:szCs w:val="22"/>
                <w:highlight w:val="none"/>
                <w:lang w:val="en-US" w:eastAsia="zh-CN"/>
              </w:rPr>
              <w:t>21</w:t>
            </w:r>
            <w:r>
              <w:rPr>
                <w:rFonts w:hint="eastAsia" w:ascii="新宋体" w:hAnsi="新宋体" w:eastAsia="新宋体" w:cs="新宋体"/>
                <w:b w:val="0"/>
                <w:bCs w:val="0"/>
                <w:color w:val="auto"/>
                <w:kern w:val="0"/>
                <w:sz w:val="22"/>
                <w:szCs w:val="22"/>
                <w:highlight w:val="none"/>
                <w:lang w:eastAsia="zh-CN"/>
              </w:rPr>
              <w:t>年1月1日以来（以合同签订时间为准）承担过同类项目业绩的，每提供一份得</w:t>
            </w:r>
            <w:r>
              <w:rPr>
                <w:rFonts w:hint="eastAsia" w:ascii="新宋体" w:hAnsi="新宋体" w:eastAsia="新宋体" w:cs="新宋体"/>
                <w:b w:val="0"/>
                <w:bCs w:val="0"/>
                <w:color w:val="auto"/>
                <w:kern w:val="0"/>
                <w:sz w:val="22"/>
                <w:szCs w:val="22"/>
                <w:highlight w:val="none"/>
                <w:lang w:val="en-US" w:eastAsia="zh-CN"/>
              </w:rPr>
              <w:t>0.5</w:t>
            </w:r>
            <w:r>
              <w:rPr>
                <w:rFonts w:hint="eastAsia" w:ascii="新宋体" w:hAnsi="新宋体" w:eastAsia="新宋体" w:cs="新宋体"/>
                <w:b w:val="0"/>
                <w:bCs w:val="0"/>
                <w:color w:val="auto"/>
                <w:kern w:val="0"/>
                <w:sz w:val="22"/>
                <w:szCs w:val="22"/>
                <w:highlight w:val="none"/>
                <w:lang w:eastAsia="zh-CN"/>
              </w:rPr>
              <w:t>分，最多得</w:t>
            </w:r>
            <w:r>
              <w:rPr>
                <w:rFonts w:hint="eastAsia" w:ascii="新宋体" w:hAnsi="新宋体" w:eastAsia="新宋体" w:cs="新宋体"/>
                <w:b w:val="0"/>
                <w:bCs w:val="0"/>
                <w:color w:val="auto"/>
                <w:kern w:val="0"/>
                <w:sz w:val="22"/>
                <w:szCs w:val="22"/>
                <w:highlight w:val="none"/>
                <w:lang w:val="en-US" w:eastAsia="zh-CN"/>
              </w:rPr>
              <w:t>1</w:t>
            </w:r>
            <w:r>
              <w:rPr>
                <w:rFonts w:hint="eastAsia" w:ascii="新宋体" w:hAnsi="新宋体" w:eastAsia="新宋体" w:cs="新宋体"/>
                <w:b w:val="0"/>
                <w:bCs w:val="0"/>
                <w:color w:val="auto"/>
                <w:kern w:val="0"/>
                <w:sz w:val="22"/>
                <w:szCs w:val="22"/>
                <w:highlight w:val="none"/>
                <w:lang w:eastAsia="zh-CN"/>
              </w:rPr>
              <w:t>分。</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lang w:eastAsia="zh-CN"/>
              </w:rPr>
            </w:pPr>
            <w:r>
              <w:rPr>
                <w:rFonts w:hint="eastAsia" w:ascii="新宋体" w:hAnsi="新宋体" w:eastAsia="新宋体" w:cs="新宋体"/>
                <w:b w:val="0"/>
                <w:bCs w:val="0"/>
                <w:color w:val="auto"/>
                <w:kern w:val="0"/>
                <w:sz w:val="22"/>
                <w:szCs w:val="22"/>
                <w:highlight w:val="none"/>
                <w:lang w:eastAsia="zh-CN"/>
              </w:rPr>
              <w:t>注：要求提供原件的扫描件并加盖公章，否则不得分</w:t>
            </w:r>
          </w:p>
        </w:tc>
        <w:tc>
          <w:tcPr>
            <w:tcW w:w="419"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355"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2</w:t>
            </w:r>
          </w:p>
        </w:tc>
        <w:tc>
          <w:tcPr>
            <w:tcW w:w="694"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sz w:val="22"/>
                <w:szCs w:val="22"/>
                <w:highlight w:val="none"/>
                <w:lang w:eastAsia="zh-CN"/>
              </w:rPr>
              <w:t>投入本</w:t>
            </w:r>
            <w:r>
              <w:rPr>
                <w:rFonts w:hint="eastAsia" w:ascii="新宋体" w:hAnsi="新宋体" w:eastAsia="新宋体" w:cs="新宋体"/>
                <w:b w:val="0"/>
                <w:bCs w:val="0"/>
                <w:color w:val="auto"/>
                <w:sz w:val="22"/>
                <w:szCs w:val="22"/>
                <w:highlight w:val="none"/>
              </w:rPr>
              <w:t>项目</w:t>
            </w:r>
            <w:r>
              <w:rPr>
                <w:rFonts w:hint="eastAsia" w:ascii="新宋体" w:hAnsi="新宋体" w:eastAsia="新宋体" w:cs="新宋体"/>
                <w:b w:val="0"/>
                <w:bCs w:val="0"/>
                <w:color w:val="auto"/>
                <w:sz w:val="22"/>
                <w:szCs w:val="22"/>
                <w:highlight w:val="none"/>
                <w:lang w:eastAsia="zh-CN"/>
              </w:rPr>
              <w:t>人员情况</w:t>
            </w:r>
          </w:p>
        </w:tc>
        <w:tc>
          <w:tcPr>
            <w:tcW w:w="3531" w:type="pct"/>
            <w:noWrap/>
            <w:vAlign w:val="center"/>
          </w:tcPr>
          <w:p>
            <w:pPr>
              <w:pStyle w:val="29"/>
              <w:keepNext w:val="0"/>
              <w:keepLines w:val="0"/>
              <w:pageBreakBefore w:val="0"/>
              <w:numPr>
                <w:ilvl w:val="0"/>
                <w:numId w:val="0"/>
              </w:numPr>
              <w:kinsoku/>
              <w:wordWrap/>
              <w:topLinePunct w:val="0"/>
              <w:bidi w:val="0"/>
              <w:adjustRightInd w:val="0"/>
              <w:snapToGrid w:val="0"/>
              <w:spacing w:line="460" w:lineRule="exact"/>
              <w:jc w:val="left"/>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lang w:val="en-US" w:eastAsia="zh-CN"/>
              </w:rPr>
              <w:t>1、</w:t>
            </w:r>
            <w:r>
              <w:rPr>
                <w:rFonts w:hint="eastAsia" w:ascii="新宋体" w:hAnsi="新宋体" w:eastAsia="新宋体" w:cs="新宋体"/>
                <w:b w:val="0"/>
                <w:bCs w:val="0"/>
                <w:color w:val="auto"/>
                <w:sz w:val="22"/>
                <w:szCs w:val="22"/>
                <w:highlight w:val="none"/>
                <w:lang w:eastAsia="zh-CN"/>
              </w:rPr>
              <w:t>项目负责人</w:t>
            </w:r>
            <w:r>
              <w:rPr>
                <w:rFonts w:hint="eastAsia" w:ascii="新宋体" w:hAnsi="新宋体" w:eastAsia="新宋体" w:cs="新宋体"/>
                <w:b w:val="0"/>
                <w:bCs w:val="0"/>
                <w:color w:val="auto"/>
                <w:sz w:val="22"/>
                <w:szCs w:val="22"/>
                <w:highlight w:val="none"/>
              </w:rPr>
              <w:t>持有全国白蚁防治中心或人社部门颁发的</w:t>
            </w:r>
            <w:r>
              <w:rPr>
                <w:rFonts w:hint="eastAsia" w:ascii="新宋体" w:hAnsi="新宋体" w:eastAsia="新宋体" w:cs="新宋体"/>
                <w:b w:val="0"/>
                <w:bCs w:val="0"/>
                <w:color w:val="auto"/>
                <w:sz w:val="22"/>
                <w:szCs w:val="22"/>
                <w:highlight w:val="none"/>
                <w:lang w:eastAsia="zh-CN"/>
              </w:rPr>
              <w:t>白蚁防治</w:t>
            </w:r>
            <w:r>
              <w:rPr>
                <w:rFonts w:hint="eastAsia" w:ascii="新宋体" w:hAnsi="新宋体" w:eastAsia="新宋体" w:cs="新宋体"/>
                <w:b w:val="0"/>
                <w:bCs w:val="0"/>
                <w:color w:val="auto"/>
                <w:sz w:val="22"/>
                <w:szCs w:val="22"/>
                <w:highlight w:val="none"/>
              </w:rPr>
              <w:t>职业资格等级证书</w:t>
            </w:r>
            <w:r>
              <w:rPr>
                <w:rFonts w:hint="eastAsia" w:ascii="新宋体" w:hAnsi="新宋体" w:eastAsia="新宋体" w:cs="新宋体"/>
                <w:b w:val="0"/>
                <w:bCs w:val="0"/>
                <w:color w:val="auto"/>
                <w:sz w:val="22"/>
                <w:szCs w:val="22"/>
                <w:highlight w:val="none"/>
                <w:lang w:eastAsia="zh-CN"/>
              </w:rPr>
              <w:t>三</w:t>
            </w:r>
            <w:r>
              <w:rPr>
                <w:rFonts w:hint="eastAsia" w:ascii="新宋体" w:hAnsi="新宋体" w:eastAsia="新宋体" w:cs="新宋体"/>
                <w:b w:val="0"/>
                <w:bCs w:val="0"/>
                <w:color w:val="auto"/>
                <w:sz w:val="22"/>
                <w:szCs w:val="22"/>
                <w:highlight w:val="none"/>
              </w:rPr>
              <w:t>级及以上</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或白蚁防治、生物、</w:t>
            </w:r>
            <w:r>
              <w:rPr>
                <w:rFonts w:hint="eastAsia" w:ascii="新宋体" w:hAnsi="新宋体" w:eastAsia="新宋体" w:cs="新宋体"/>
                <w:b w:val="0"/>
                <w:bCs w:val="0"/>
                <w:color w:val="auto"/>
                <w:sz w:val="22"/>
                <w:szCs w:val="22"/>
                <w:highlight w:val="none"/>
                <w:lang w:eastAsia="zh-CN"/>
              </w:rPr>
              <w:t>昆虫、植保、</w:t>
            </w:r>
            <w:r>
              <w:rPr>
                <w:rFonts w:hint="eastAsia" w:ascii="新宋体" w:hAnsi="新宋体" w:eastAsia="新宋体" w:cs="新宋体"/>
                <w:b w:val="0"/>
                <w:bCs w:val="0"/>
                <w:color w:val="auto"/>
                <w:sz w:val="22"/>
                <w:szCs w:val="22"/>
                <w:highlight w:val="none"/>
              </w:rPr>
              <w:t>药物检测和建筑工程等专业</w:t>
            </w:r>
            <w:r>
              <w:rPr>
                <w:rFonts w:hint="eastAsia" w:ascii="新宋体" w:hAnsi="新宋体" w:eastAsia="新宋体" w:cs="新宋体"/>
                <w:b w:val="0"/>
                <w:bCs w:val="0"/>
                <w:color w:val="auto"/>
                <w:sz w:val="22"/>
                <w:szCs w:val="22"/>
                <w:highlight w:val="none"/>
                <w:lang w:eastAsia="zh-CN"/>
              </w:rPr>
              <w:t>助理</w:t>
            </w:r>
            <w:r>
              <w:rPr>
                <w:rFonts w:hint="eastAsia" w:ascii="新宋体" w:hAnsi="新宋体" w:eastAsia="新宋体" w:cs="新宋体"/>
                <w:b w:val="0"/>
                <w:bCs w:val="0"/>
                <w:color w:val="auto"/>
                <w:sz w:val="22"/>
                <w:szCs w:val="22"/>
                <w:highlight w:val="none"/>
              </w:rPr>
              <w:t>工程师及以上的得2分</w:t>
            </w:r>
            <w:r>
              <w:rPr>
                <w:rFonts w:hint="eastAsia" w:ascii="新宋体" w:hAnsi="新宋体" w:eastAsia="新宋体" w:cs="新宋体"/>
                <w:b w:val="0"/>
                <w:bCs w:val="0"/>
                <w:color w:val="auto"/>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lang w:val="en-US" w:eastAsia="zh-CN"/>
              </w:rPr>
              <w:t>2、</w:t>
            </w:r>
            <w:r>
              <w:rPr>
                <w:rFonts w:hint="eastAsia" w:ascii="新宋体" w:hAnsi="新宋体" w:eastAsia="新宋体" w:cs="新宋体"/>
                <w:b w:val="0"/>
                <w:bCs w:val="0"/>
                <w:color w:val="auto"/>
                <w:kern w:val="0"/>
                <w:sz w:val="22"/>
                <w:szCs w:val="22"/>
                <w:highlight w:val="none"/>
              </w:rPr>
              <w:t>白蚁防治专职人员（项目负责人除外）中具有白蚁防治类或相关专业中级及以上职称的每个得2分，最多得</w:t>
            </w:r>
            <w:r>
              <w:rPr>
                <w:rFonts w:hint="eastAsia" w:ascii="新宋体" w:hAnsi="新宋体" w:eastAsia="新宋体" w:cs="新宋体"/>
                <w:b w:val="0"/>
                <w:bCs w:val="0"/>
                <w:color w:val="auto"/>
                <w:kern w:val="0"/>
                <w:sz w:val="22"/>
                <w:szCs w:val="22"/>
                <w:highlight w:val="none"/>
                <w:lang w:val="en-US" w:eastAsia="zh-CN"/>
              </w:rPr>
              <w:t>6</w:t>
            </w:r>
            <w:r>
              <w:rPr>
                <w:rFonts w:hint="eastAsia" w:ascii="新宋体" w:hAnsi="新宋体" w:eastAsia="新宋体" w:cs="新宋体"/>
                <w:b w:val="0"/>
                <w:bCs w:val="0"/>
                <w:color w:val="auto"/>
                <w:kern w:val="0"/>
                <w:sz w:val="22"/>
                <w:szCs w:val="22"/>
                <w:highlight w:val="none"/>
              </w:rPr>
              <w:t>分。</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lang w:eastAsia="zh-CN"/>
              </w:rPr>
            </w:pPr>
            <w:r>
              <w:rPr>
                <w:rFonts w:hint="eastAsia" w:ascii="新宋体" w:hAnsi="新宋体" w:eastAsia="新宋体" w:cs="新宋体"/>
                <w:b w:val="0"/>
                <w:bCs w:val="0"/>
                <w:color w:val="auto"/>
                <w:kern w:val="0"/>
                <w:sz w:val="22"/>
                <w:szCs w:val="22"/>
                <w:highlight w:val="none"/>
              </w:rPr>
              <w:t>注：相关专业包括生物，药物检测等。以上人员须提供相关证书和社保证明。</w:t>
            </w:r>
          </w:p>
        </w:tc>
        <w:tc>
          <w:tcPr>
            <w:tcW w:w="419"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355" w:type="pct"/>
            <w:vMerge w:val="restar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3</w:t>
            </w:r>
          </w:p>
        </w:tc>
        <w:tc>
          <w:tcPr>
            <w:tcW w:w="694" w:type="pct"/>
            <w:vMerge w:val="restar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kern w:val="0"/>
                <w:sz w:val="22"/>
                <w:szCs w:val="22"/>
                <w:highlight w:val="none"/>
                <w:lang w:val="en-US" w:eastAsia="zh-CN"/>
              </w:rPr>
              <w:t>供应商综合情况</w:t>
            </w:r>
          </w:p>
        </w:tc>
        <w:tc>
          <w:tcPr>
            <w:tcW w:w="3531"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根据供应商提供的企业诚信管理、履约服务能力、技术研究水平、企业知名度等综合评分。</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综合情况强、知名度高的得5-6分，</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综合情况、知名度等较高的得3-4分，</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lang w:val="en-US" w:eastAsia="zh-CN"/>
              </w:rPr>
              <w:t>综合情况、知名度一般的得1-2分。</w:t>
            </w:r>
          </w:p>
        </w:tc>
        <w:tc>
          <w:tcPr>
            <w:tcW w:w="419"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355" w:type="pct"/>
            <w:vMerge w:val="continue"/>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lang w:val="en-US" w:eastAsia="zh-CN"/>
              </w:rPr>
            </w:pPr>
          </w:p>
        </w:tc>
        <w:tc>
          <w:tcPr>
            <w:tcW w:w="694" w:type="pct"/>
            <w:vMerge w:val="continue"/>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eastAsia="zh-CN"/>
              </w:rPr>
            </w:pPr>
          </w:p>
        </w:tc>
        <w:tc>
          <w:tcPr>
            <w:tcW w:w="3531"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lang w:val="en-US" w:eastAsia="zh-CN"/>
              </w:rPr>
              <w:t>供应商</w:t>
            </w:r>
            <w:r>
              <w:rPr>
                <w:rFonts w:hint="eastAsia" w:ascii="新宋体" w:hAnsi="新宋体" w:eastAsia="新宋体" w:cs="新宋体"/>
                <w:b w:val="0"/>
                <w:bCs w:val="0"/>
                <w:color w:val="auto"/>
                <w:kern w:val="0"/>
                <w:sz w:val="22"/>
                <w:szCs w:val="22"/>
                <w:highlight w:val="none"/>
              </w:rPr>
              <w:t>具有质量管理体系认证证书、环境管理体系认证证书、职业健康安全管理体系证书的，每个得</w:t>
            </w:r>
            <w:r>
              <w:rPr>
                <w:rFonts w:hint="eastAsia" w:ascii="新宋体" w:hAnsi="新宋体" w:eastAsia="新宋体" w:cs="新宋体"/>
                <w:b w:val="0"/>
                <w:bCs w:val="0"/>
                <w:color w:val="auto"/>
                <w:kern w:val="0"/>
                <w:sz w:val="22"/>
                <w:szCs w:val="22"/>
                <w:highlight w:val="none"/>
                <w:lang w:val="en-US" w:eastAsia="zh-CN"/>
              </w:rPr>
              <w:t>2</w:t>
            </w:r>
            <w:r>
              <w:rPr>
                <w:rFonts w:hint="eastAsia" w:ascii="新宋体" w:hAnsi="新宋体" w:eastAsia="新宋体" w:cs="新宋体"/>
                <w:b w:val="0"/>
                <w:bCs w:val="0"/>
                <w:color w:val="auto"/>
                <w:kern w:val="0"/>
                <w:sz w:val="22"/>
                <w:szCs w:val="22"/>
                <w:highlight w:val="none"/>
              </w:rPr>
              <w:t>分，最多得</w:t>
            </w:r>
            <w:r>
              <w:rPr>
                <w:rFonts w:hint="eastAsia" w:ascii="新宋体" w:hAnsi="新宋体" w:eastAsia="新宋体" w:cs="新宋体"/>
                <w:b w:val="0"/>
                <w:bCs w:val="0"/>
                <w:color w:val="auto"/>
                <w:kern w:val="0"/>
                <w:sz w:val="22"/>
                <w:szCs w:val="22"/>
                <w:highlight w:val="none"/>
                <w:lang w:val="en-US" w:eastAsia="zh-CN"/>
              </w:rPr>
              <w:t>6</w:t>
            </w:r>
            <w:r>
              <w:rPr>
                <w:rFonts w:hint="eastAsia" w:ascii="新宋体" w:hAnsi="新宋体" w:eastAsia="新宋体" w:cs="新宋体"/>
                <w:b w:val="0"/>
                <w:bCs w:val="0"/>
                <w:color w:val="auto"/>
                <w:kern w:val="0"/>
                <w:sz w:val="22"/>
                <w:szCs w:val="22"/>
                <w:highlight w:val="none"/>
              </w:rPr>
              <w:t>分。（提供在有效期内的证书原件的扫描件</w:t>
            </w:r>
            <w:r>
              <w:rPr>
                <w:rFonts w:hint="eastAsia" w:ascii="新宋体" w:hAnsi="新宋体" w:eastAsia="新宋体" w:cs="新宋体"/>
                <w:b w:val="0"/>
                <w:bCs w:val="0"/>
                <w:color w:val="auto"/>
                <w:kern w:val="0"/>
                <w:sz w:val="22"/>
                <w:szCs w:val="22"/>
                <w:highlight w:val="none"/>
                <w:lang w:eastAsia="zh-CN"/>
              </w:rPr>
              <w:t>和</w:t>
            </w:r>
            <w:r>
              <w:rPr>
                <w:rFonts w:hint="eastAsia" w:ascii="新宋体" w:hAnsi="新宋体" w:eastAsia="新宋体" w:cs="新宋体"/>
                <w:b w:val="0"/>
                <w:bCs w:val="0"/>
                <w:color w:val="auto"/>
                <w:kern w:val="0"/>
                <w:sz w:val="22"/>
                <w:szCs w:val="22"/>
                <w:highlight w:val="none"/>
              </w:rPr>
              <w:t>国家认监委官网（www.cnca.gov.cn）查询</w:t>
            </w:r>
            <w:r>
              <w:rPr>
                <w:rFonts w:hint="eastAsia" w:ascii="新宋体" w:hAnsi="新宋体" w:eastAsia="新宋体" w:cs="新宋体"/>
                <w:b w:val="0"/>
                <w:bCs w:val="0"/>
                <w:color w:val="auto"/>
                <w:kern w:val="0"/>
                <w:sz w:val="22"/>
                <w:szCs w:val="22"/>
                <w:highlight w:val="none"/>
                <w:lang w:eastAsia="zh-CN"/>
              </w:rPr>
              <w:t>页面网页截图</w:t>
            </w:r>
            <w:r>
              <w:rPr>
                <w:rFonts w:hint="eastAsia" w:ascii="新宋体" w:hAnsi="新宋体" w:eastAsia="新宋体" w:cs="新宋体"/>
                <w:b w:val="0"/>
                <w:bCs w:val="0"/>
                <w:color w:val="auto"/>
                <w:kern w:val="0"/>
                <w:sz w:val="22"/>
                <w:szCs w:val="22"/>
                <w:highlight w:val="none"/>
              </w:rPr>
              <w:t>，并加盖公章，否则不得分。）</w:t>
            </w:r>
          </w:p>
        </w:tc>
        <w:tc>
          <w:tcPr>
            <w:tcW w:w="419"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355"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4</w:t>
            </w:r>
          </w:p>
        </w:tc>
        <w:tc>
          <w:tcPr>
            <w:tcW w:w="694"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lang w:eastAsia="zh-CN"/>
              </w:rPr>
              <w:t>投入本项目设备、药械情况</w:t>
            </w:r>
          </w:p>
        </w:tc>
        <w:tc>
          <w:tcPr>
            <w:tcW w:w="3531"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lang w:eastAsia="zh-CN"/>
              </w:rPr>
            </w:pPr>
            <w:r>
              <w:rPr>
                <w:rFonts w:hint="eastAsia" w:ascii="新宋体" w:hAnsi="新宋体" w:eastAsia="新宋体" w:cs="新宋体"/>
                <w:b w:val="0"/>
                <w:bCs w:val="0"/>
                <w:color w:val="auto"/>
                <w:kern w:val="0"/>
                <w:sz w:val="22"/>
                <w:szCs w:val="22"/>
                <w:highlight w:val="none"/>
                <w:lang w:val="en-US" w:eastAsia="zh-CN"/>
              </w:rPr>
              <w:t>1、</w:t>
            </w:r>
            <w:r>
              <w:rPr>
                <w:rFonts w:hint="eastAsia" w:ascii="新宋体" w:hAnsi="新宋体" w:eastAsia="新宋体" w:cs="新宋体"/>
                <w:b w:val="0"/>
                <w:bCs w:val="0"/>
                <w:color w:val="auto"/>
                <w:kern w:val="0"/>
                <w:sz w:val="22"/>
                <w:szCs w:val="22"/>
                <w:highlight w:val="none"/>
              </w:rPr>
              <w:t>供应商针对本项目拟投入专用交通工具，每具有1辆车的得</w:t>
            </w:r>
            <w:r>
              <w:rPr>
                <w:rFonts w:hint="eastAsia" w:ascii="新宋体" w:hAnsi="新宋体" w:eastAsia="新宋体" w:cs="新宋体"/>
                <w:b w:val="0"/>
                <w:bCs w:val="0"/>
                <w:color w:val="auto"/>
                <w:kern w:val="0"/>
                <w:sz w:val="22"/>
                <w:szCs w:val="22"/>
                <w:highlight w:val="none"/>
                <w:lang w:val="en-US" w:eastAsia="zh-CN"/>
              </w:rPr>
              <w:t>1</w:t>
            </w:r>
            <w:r>
              <w:rPr>
                <w:rFonts w:hint="eastAsia" w:ascii="新宋体" w:hAnsi="新宋体" w:eastAsia="新宋体" w:cs="新宋体"/>
                <w:b w:val="0"/>
                <w:bCs w:val="0"/>
                <w:color w:val="auto"/>
                <w:kern w:val="0"/>
                <w:sz w:val="22"/>
                <w:szCs w:val="22"/>
                <w:highlight w:val="none"/>
              </w:rPr>
              <w:t>分，本项最多得</w:t>
            </w:r>
            <w:r>
              <w:rPr>
                <w:rFonts w:hint="eastAsia" w:ascii="新宋体" w:hAnsi="新宋体" w:eastAsia="新宋体" w:cs="新宋体"/>
                <w:b w:val="0"/>
                <w:bCs w:val="0"/>
                <w:color w:val="auto"/>
                <w:kern w:val="0"/>
                <w:sz w:val="22"/>
                <w:szCs w:val="22"/>
                <w:highlight w:val="none"/>
                <w:lang w:val="en-US" w:eastAsia="zh-CN"/>
              </w:rPr>
              <w:t>2</w:t>
            </w:r>
            <w:r>
              <w:rPr>
                <w:rFonts w:hint="eastAsia" w:ascii="新宋体" w:hAnsi="新宋体" w:eastAsia="新宋体" w:cs="新宋体"/>
                <w:b w:val="0"/>
                <w:bCs w:val="0"/>
                <w:color w:val="auto"/>
                <w:kern w:val="0"/>
                <w:sz w:val="22"/>
                <w:szCs w:val="22"/>
                <w:highlight w:val="none"/>
              </w:rPr>
              <w:t>分（</w:t>
            </w:r>
            <w:r>
              <w:rPr>
                <w:rFonts w:hint="eastAsia" w:ascii="新宋体" w:hAnsi="新宋体" w:eastAsia="新宋体" w:cs="新宋体"/>
                <w:b w:val="0"/>
                <w:bCs w:val="0"/>
                <w:color w:val="auto"/>
                <w:kern w:val="0"/>
                <w:sz w:val="22"/>
                <w:szCs w:val="22"/>
                <w:highlight w:val="none"/>
                <w:lang w:val="en-US" w:eastAsia="zh-CN"/>
              </w:rPr>
              <w:t>自有车辆提供行驶证或购置发票，租赁车辆的提供行驶证及租赁合同</w:t>
            </w:r>
            <w:r>
              <w:rPr>
                <w:rFonts w:hint="eastAsia" w:ascii="新宋体" w:hAnsi="新宋体" w:eastAsia="新宋体" w:cs="新宋体"/>
                <w:b w:val="0"/>
                <w:bCs w:val="0"/>
                <w:color w:val="auto"/>
                <w:kern w:val="0"/>
                <w:sz w:val="22"/>
                <w:szCs w:val="22"/>
                <w:highlight w:val="none"/>
              </w:rPr>
              <w:t>）</w:t>
            </w:r>
            <w:r>
              <w:rPr>
                <w:rFonts w:hint="eastAsia" w:ascii="新宋体" w:hAnsi="新宋体" w:eastAsia="新宋体" w:cs="新宋体"/>
                <w:b w:val="0"/>
                <w:bCs w:val="0"/>
                <w:color w:val="auto"/>
                <w:kern w:val="0"/>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color w:val="auto"/>
                <w:sz w:val="22"/>
                <w:szCs w:val="22"/>
                <w:highlight w:val="none"/>
                <w:lang w:val="en-US" w:eastAsia="zh-CN"/>
              </w:rPr>
              <w:t>2、药物屏障技术的喷洒设备不少于1套，得2分（提供实物图片及购置发票）；</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lang w:val="en-US" w:eastAsia="zh-CN"/>
              </w:rPr>
              <w:t>3、</w:t>
            </w:r>
            <w:r>
              <w:rPr>
                <w:rFonts w:hint="eastAsia" w:ascii="新宋体" w:hAnsi="新宋体" w:eastAsia="新宋体" w:cs="新宋体"/>
                <w:b w:val="0"/>
                <w:bCs w:val="0"/>
                <w:color w:val="auto"/>
                <w:kern w:val="0"/>
                <w:sz w:val="22"/>
                <w:szCs w:val="22"/>
                <w:highlight w:val="none"/>
              </w:rPr>
              <w:t>供应商针对本项目拟投入白蚁</w:t>
            </w:r>
            <w:r>
              <w:rPr>
                <w:rFonts w:hint="eastAsia" w:ascii="新宋体" w:hAnsi="新宋体" w:eastAsia="新宋体" w:cs="新宋体"/>
                <w:b w:val="0"/>
                <w:bCs w:val="0"/>
                <w:color w:val="auto"/>
                <w:kern w:val="0"/>
                <w:sz w:val="22"/>
                <w:szCs w:val="22"/>
                <w:highlight w:val="none"/>
                <w:lang w:eastAsia="zh-CN"/>
              </w:rPr>
              <w:t>防治</w:t>
            </w:r>
            <w:r>
              <w:rPr>
                <w:rFonts w:hint="eastAsia" w:ascii="新宋体" w:hAnsi="新宋体" w:eastAsia="新宋体" w:cs="新宋体"/>
                <w:b w:val="0"/>
                <w:bCs w:val="0"/>
                <w:color w:val="auto"/>
                <w:kern w:val="0"/>
                <w:sz w:val="22"/>
                <w:szCs w:val="22"/>
                <w:highlight w:val="none"/>
              </w:rPr>
              <w:t>药物</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rPr>
              <w:t>使用具“三证”白蚁</w:t>
            </w:r>
            <w:r>
              <w:rPr>
                <w:rFonts w:hint="eastAsia" w:ascii="新宋体" w:hAnsi="新宋体" w:eastAsia="新宋体" w:cs="新宋体"/>
                <w:b w:val="0"/>
                <w:bCs w:val="0"/>
                <w:color w:val="auto"/>
                <w:kern w:val="0"/>
                <w:sz w:val="22"/>
                <w:szCs w:val="22"/>
                <w:highlight w:val="none"/>
                <w:lang w:eastAsia="zh-CN"/>
              </w:rPr>
              <w:t>防治环保</w:t>
            </w:r>
            <w:r>
              <w:rPr>
                <w:rFonts w:hint="eastAsia" w:ascii="新宋体" w:hAnsi="新宋体" w:eastAsia="新宋体" w:cs="新宋体"/>
                <w:b w:val="0"/>
                <w:bCs w:val="0"/>
                <w:color w:val="auto"/>
                <w:kern w:val="0"/>
                <w:sz w:val="22"/>
                <w:szCs w:val="22"/>
                <w:highlight w:val="none"/>
              </w:rPr>
              <w:t>药</w:t>
            </w:r>
            <w:r>
              <w:rPr>
                <w:rFonts w:hint="eastAsia" w:ascii="新宋体" w:hAnsi="新宋体" w:eastAsia="新宋体" w:cs="新宋体"/>
                <w:b w:val="0"/>
                <w:bCs w:val="0"/>
                <w:color w:val="auto"/>
                <w:kern w:val="0"/>
                <w:sz w:val="22"/>
                <w:szCs w:val="22"/>
                <w:highlight w:val="none"/>
                <w:lang w:eastAsia="zh-CN"/>
              </w:rPr>
              <w:t>剂</w:t>
            </w:r>
            <w:r>
              <w:rPr>
                <w:rFonts w:hint="eastAsia" w:ascii="新宋体" w:hAnsi="新宋体" w:eastAsia="新宋体" w:cs="新宋体"/>
                <w:b w:val="0"/>
                <w:bCs w:val="0"/>
                <w:color w:val="auto"/>
                <w:kern w:val="0"/>
                <w:sz w:val="22"/>
                <w:szCs w:val="22"/>
                <w:highlight w:val="none"/>
              </w:rPr>
              <w:t>的得2分</w:t>
            </w:r>
            <w:r>
              <w:rPr>
                <w:rFonts w:hint="eastAsia" w:ascii="新宋体" w:hAnsi="新宋体" w:eastAsia="新宋体" w:cs="新宋体"/>
                <w:b w:val="0"/>
                <w:bCs w:val="0"/>
                <w:color w:val="auto"/>
                <w:kern w:val="0"/>
                <w:sz w:val="22"/>
                <w:szCs w:val="22"/>
                <w:highlight w:val="none"/>
                <w:lang w:eastAsia="zh-CN"/>
              </w:rPr>
              <w:t>，否则不得分；</w:t>
            </w:r>
          </w:p>
        </w:tc>
        <w:tc>
          <w:tcPr>
            <w:tcW w:w="419"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355" w:type="pct"/>
            <w:vMerge w:val="restar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5</w:t>
            </w:r>
          </w:p>
        </w:tc>
        <w:tc>
          <w:tcPr>
            <w:tcW w:w="69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白蚁灭治</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实施方案</w:t>
            </w:r>
          </w:p>
        </w:tc>
        <w:tc>
          <w:tcPr>
            <w:tcW w:w="3531"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lang w:eastAsia="zh-CN"/>
              </w:rPr>
            </w:pPr>
            <w:r>
              <w:rPr>
                <w:rFonts w:hint="eastAsia" w:ascii="新宋体" w:hAnsi="新宋体" w:eastAsia="新宋体" w:cs="新宋体"/>
                <w:b w:val="0"/>
                <w:bCs w:val="0"/>
                <w:color w:val="auto"/>
                <w:kern w:val="0"/>
                <w:sz w:val="22"/>
                <w:szCs w:val="22"/>
                <w:highlight w:val="none"/>
              </w:rPr>
              <w:t>组织保障措施</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rPr>
              <w:t>包括人员交通设施安排、</w:t>
            </w:r>
            <w:r>
              <w:rPr>
                <w:rFonts w:hint="eastAsia" w:ascii="新宋体" w:hAnsi="新宋体" w:eastAsia="新宋体" w:cs="新宋体"/>
                <w:b w:val="0"/>
                <w:bCs w:val="0"/>
                <w:color w:val="auto"/>
                <w:kern w:val="0"/>
                <w:sz w:val="22"/>
                <w:szCs w:val="22"/>
                <w:highlight w:val="none"/>
                <w:lang w:eastAsia="zh-CN"/>
              </w:rPr>
              <w:t>灭治</w:t>
            </w:r>
            <w:r>
              <w:rPr>
                <w:rFonts w:hint="eastAsia" w:ascii="新宋体" w:hAnsi="新宋体" w:eastAsia="新宋体" w:cs="新宋体"/>
                <w:b w:val="0"/>
                <w:bCs w:val="0"/>
                <w:color w:val="auto"/>
                <w:kern w:val="0"/>
                <w:sz w:val="22"/>
                <w:szCs w:val="22"/>
                <w:highlight w:val="none"/>
              </w:rPr>
              <w:t>路线时间、</w:t>
            </w:r>
            <w:r>
              <w:rPr>
                <w:rFonts w:hint="eastAsia" w:ascii="新宋体" w:hAnsi="新宋体" w:eastAsia="新宋体" w:cs="新宋体"/>
                <w:b w:val="0"/>
                <w:bCs w:val="0"/>
                <w:color w:val="auto"/>
                <w:kern w:val="0"/>
                <w:sz w:val="22"/>
                <w:szCs w:val="22"/>
                <w:highlight w:val="none"/>
                <w:lang w:eastAsia="zh-CN"/>
              </w:rPr>
              <w:t>灭治</w:t>
            </w:r>
            <w:r>
              <w:rPr>
                <w:rFonts w:hint="eastAsia" w:ascii="新宋体" w:hAnsi="新宋体" w:eastAsia="新宋体" w:cs="新宋体"/>
                <w:b w:val="0"/>
                <w:bCs w:val="0"/>
                <w:color w:val="auto"/>
                <w:kern w:val="0"/>
                <w:sz w:val="22"/>
                <w:szCs w:val="22"/>
                <w:highlight w:val="none"/>
              </w:rPr>
              <w:t>内容等</w:t>
            </w:r>
            <w:r>
              <w:rPr>
                <w:rFonts w:hint="eastAsia" w:ascii="新宋体" w:hAnsi="新宋体" w:eastAsia="新宋体" w:cs="新宋体"/>
                <w:b w:val="0"/>
                <w:bCs w:val="0"/>
                <w:color w:val="auto"/>
                <w:kern w:val="0"/>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eastAsia="zh-CN"/>
              </w:rPr>
              <w:t>措施合理，符合本项目实际情况的得</w:t>
            </w:r>
            <w:r>
              <w:rPr>
                <w:rFonts w:hint="eastAsia" w:ascii="新宋体" w:hAnsi="新宋体" w:eastAsia="新宋体" w:cs="新宋体"/>
                <w:b w:val="0"/>
                <w:bCs w:val="0"/>
                <w:color w:val="auto"/>
                <w:kern w:val="0"/>
                <w:sz w:val="22"/>
                <w:szCs w:val="22"/>
                <w:highlight w:val="none"/>
                <w:lang w:val="en-US" w:eastAsia="zh-CN"/>
              </w:rPr>
              <w:t>6-8分；</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措施</w:t>
            </w:r>
            <w:r>
              <w:rPr>
                <w:rFonts w:hint="eastAsia" w:ascii="新宋体" w:hAnsi="新宋体" w:eastAsia="新宋体" w:cs="新宋体"/>
                <w:b w:val="0"/>
                <w:bCs w:val="0"/>
                <w:color w:val="auto"/>
                <w:kern w:val="0"/>
                <w:sz w:val="22"/>
                <w:szCs w:val="22"/>
                <w:highlight w:val="none"/>
                <w:lang w:val="en-US" w:eastAsia="zh-CN"/>
              </w:rPr>
              <w:t>一般的得3-5分</w:t>
            </w:r>
            <w:r>
              <w:rPr>
                <w:rFonts w:hint="eastAsia" w:ascii="新宋体" w:hAnsi="新宋体" w:eastAsia="新宋体" w:cs="新宋体"/>
                <w:b w:val="0"/>
                <w:bCs w:val="0"/>
                <w:color w:val="auto"/>
                <w:kern w:val="0"/>
                <w:sz w:val="22"/>
                <w:szCs w:val="22"/>
                <w:highlight w:val="none"/>
              </w:rPr>
              <w:t>；</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措施</w:t>
            </w:r>
            <w:r>
              <w:rPr>
                <w:rFonts w:hint="eastAsia" w:ascii="新宋体" w:hAnsi="新宋体" w:eastAsia="新宋体" w:cs="新宋体"/>
                <w:b w:val="0"/>
                <w:bCs w:val="0"/>
                <w:color w:val="auto"/>
                <w:kern w:val="0"/>
                <w:sz w:val="22"/>
                <w:szCs w:val="22"/>
                <w:highlight w:val="none"/>
                <w:lang w:val="en-US" w:eastAsia="zh-CN"/>
              </w:rPr>
              <w:t>有缺陷、不合理的得1-2分，</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lang w:val="en-US" w:eastAsia="zh-CN"/>
              </w:rPr>
              <w:t>未提供不得分。</w:t>
            </w:r>
          </w:p>
        </w:tc>
        <w:tc>
          <w:tcPr>
            <w:tcW w:w="419"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 w:type="pct"/>
            <w:vMerge w:val="continue"/>
            <w:noWrap/>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highlight w:val="none"/>
              </w:rPr>
            </w:pPr>
          </w:p>
        </w:tc>
        <w:tc>
          <w:tcPr>
            <w:tcW w:w="69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highlight w:val="none"/>
              </w:rPr>
            </w:pPr>
          </w:p>
        </w:tc>
        <w:tc>
          <w:tcPr>
            <w:tcW w:w="3531"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lang w:eastAsia="zh-CN"/>
              </w:rPr>
            </w:pPr>
            <w:r>
              <w:rPr>
                <w:rFonts w:hint="eastAsia" w:ascii="新宋体" w:hAnsi="新宋体" w:eastAsia="新宋体" w:cs="新宋体"/>
                <w:b w:val="0"/>
                <w:bCs w:val="0"/>
                <w:color w:val="auto"/>
                <w:kern w:val="0"/>
                <w:sz w:val="22"/>
                <w:szCs w:val="22"/>
                <w:highlight w:val="none"/>
                <w:lang w:eastAsia="zh-CN"/>
              </w:rPr>
              <w:t>灭治</w:t>
            </w:r>
            <w:r>
              <w:rPr>
                <w:rFonts w:hint="eastAsia" w:ascii="新宋体" w:hAnsi="新宋体" w:eastAsia="新宋体" w:cs="新宋体"/>
                <w:b w:val="0"/>
                <w:bCs w:val="0"/>
                <w:color w:val="auto"/>
                <w:kern w:val="0"/>
                <w:sz w:val="22"/>
                <w:szCs w:val="22"/>
                <w:highlight w:val="none"/>
              </w:rPr>
              <w:t>重点难点分析</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rPr>
              <w:t>包括</w:t>
            </w:r>
            <w:r>
              <w:rPr>
                <w:rFonts w:hint="eastAsia" w:ascii="新宋体" w:hAnsi="新宋体" w:eastAsia="新宋体" w:cs="新宋体"/>
                <w:b w:val="0"/>
                <w:bCs w:val="0"/>
                <w:color w:val="auto"/>
                <w:kern w:val="0"/>
                <w:sz w:val="22"/>
                <w:szCs w:val="22"/>
                <w:highlight w:val="none"/>
                <w:lang w:eastAsia="zh-CN"/>
              </w:rPr>
              <w:t>灭治</w:t>
            </w:r>
            <w:r>
              <w:rPr>
                <w:rFonts w:hint="eastAsia" w:ascii="新宋体" w:hAnsi="新宋体" w:eastAsia="新宋体" w:cs="新宋体"/>
                <w:b w:val="0"/>
                <w:bCs w:val="0"/>
                <w:color w:val="auto"/>
                <w:kern w:val="0"/>
                <w:sz w:val="22"/>
                <w:szCs w:val="22"/>
                <w:highlight w:val="none"/>
              </w:rPr>
              <w:t>线路时间以及碰到的问题等</w:t>
            </w:r>
            <w:r>
              <w:rPr>
                <w:rFonts w:hint="eastAsia" w:ascii="新宋体" w:hAnsi="新宋体" w:eastAsia="新宋体" w:cs="新宋体"/>
                <w:b w:val="0"/>
                <w:bCs w:val="0"/>
                <w:color w:val="auto"/>
                <w:kern w:val="0"/>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eastAsia="zh-CN"/>
              </w:rPr>
              <w:t>分析合理，符合本项目实际情况的得</w:t>
            </w:r>
            <w:r>
              <w:rPr>
                <w:rFonts w:hint="eastAsia" w:ascii="新宋体" w:hAnsi="新宋体" w:eastAsia="新宋体" w:cs="新宋体"/>
                <w:b w:val="0"/>
                <w:bCs w:val="0"/>
                <w:color w:val="auto"/>
                <w:kern w:val="0"/>
                <w:sz w:val="22"/>
                <w:szCs w:val="22"/>
                <w:highlight w:val="none"/>
                <w:lang w:val="en-US" w:eastAsia="zh-CN"/>
              </w:rPr>
              <w:t>6-8分；</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重点难点</w:t>
            </w:r>
            <w:r>
              <w:rPr>
                <w:rFonts w:hint="eastAsia" w:ascii="新宋体" w:hAnsi="新宋体" w:eastAsia="新宋体" w:cs="新宋体"/>
                <w:b w:val="0"/>
                <w:bCs w:val="0"/>
                <w:color w:val="auto"/>
                <w:kern w:val="0"/>
                <w:sz w:val="22"/>
                <w:szCs w:val="22"/>
                <w:highlight w:val="none"/>
                <w:lang w:eastAsia="zh-CN"/>
              </w:rPr>
              <w:t>分析</w:t>
            </w:r>
            <w:r>
              <w:rPr>
                <w:rFonts w:hint="eastAsia" w:ascii="新宋体" w:hAnsi="新宋体" w:eastAsia="新宋体" w:cs="新宋体"/>
                <w:b w:val="0"/>
                <w:bCs w:val="0"/>
                <w:color w:val="auto"/>
                <w:kern w:val="0"/>
                <w:sz w:val="22"/>
                <w:szCs w:val="22"/>
                <w:highlight w:val="none"/>
                <w:lang w:val="en-US" w:eastAsia="zh-CN"/>
              </w:rPr>
              <w:t>一般的得3-5分；</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分析有缺陷或者描述不符合本项目需求的</w:t>
            </w:r>
            <w:r>
              <w:rPr>
                <w:rFonts w:hint="eastAsia" w:ascii="新宋体" w:hAnsi="新宋体" w:eastAsia="新宋体" w:cs="新宋体"/>
                <w:b w:val="0"/>
                <w:bCs w:val="0"/>
                <w:color w:val="auto"/>
                <w:kern w:val="0"/>
                <w:sz w:val="22"/>
                <w:szCs w:val="22"/>
                <w:highlight w:val="none"/>
                <w:lang w:val="en-US" w:eastAsia="zh-CN"/>
              </w:rPr>
              <w:t>得1-2分</w:t>
            </w:r>
            <w:r>
              <w:rPr>
                <w:rFonts w:hint="eastAsia" w:ascii="新宋体" w:hAnsi="新宋体" w:eastAsia="新宋体" w:cs="新宋体"/>
                <w:b w:val="0"/>
                <w:bCs w:val="0"/>
                <w:color w:val="auto"/>
                <w:kern w:val="0"/>
                <w:sz w:val="22"/>
                <w:szCs w:val="22"/>
                <w:highlight w:val="none"/>
              </w:rPr>
              <w:t>；</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lang w:val="en-US" w:eastAsia="zh-CN"/>
              </w:rPr>
              <w:t>未提供不得分。</w:t>
            </w:r>
          </w:p>
        </w:tc>
        <w:tc>
          <w:tcPr>
            <w:tcW w:w="419"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355" w:type="pct"/>
            <w:vMerge w:val="continue"/>
            <w:noWrap/>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p>
        </w:tc>
        <w:tc>
          <w:tcPr>
            <w:tcW w:w="69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p>
        </w:tc>
        <w:tc>
          <w:tcPr>
            <w:tcW w:w="3531"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lang w:eastAsia="zh-CN"/>
              </w:rPr>
            </w:pPr>
            <w:r>
              <w:rPr>
                <w:rFonts w:hint="eastAsia" w:ascii="新宋体" w:hAnsi="新宋体" w:eastAsia="新宋体" w:cs="新宋体"/>
                <w:b w:val="0"/>
                <w:bCs w:val="0"/>
                <w:color w:val="auto"/>
                <w:kern w:val="0"/>
                <w:sz w:val="22"/>
                <w:szCs w:val="22"/>
                <w:highlight w:val="none"/>
                <w:lang w:eastAsia="zh-CN"/>
              </w:rPr>
              <w:t>灭治</w:t>
            </w:r>
            <w:r>
              <w:rPr>
                <w:rFonts w:hint="eastAsia" w:ascii="新宋体" w:hAnsi="新宋体" w:eastAsia="新宋体" w:cs="新宋体"/>
                <w:b w:val="0"/>
                <w:bCs w:val="0"/>
                <w:color w:val="auto"/>
                <w:kern w:val="0"/>
                <w:sz w:val="22"/>
                <w:szCs w:val="22"/>
                <w:highlight w:val="none"/>
              </w:rPr>
              <w:t>重点难点解决方案</w:t>
            </w:r>
            <w:r>
              <w:rPr>
                <w:rFonts w:hint="eastAsia" w:ascii="新宋体" w:hAnsi="新宋体" w:eastAsia="新宋体" w:cs="新宋体"/>
                <w:b w:val="0"/>
                <w:bCs w:val="0"/>
                <w:color w:val="auto"/>
                <w:kern w:val="0"/>
                <w:sz w:val="22"/>
                <w:szCs w:val="22"/>
                <w:highlight w:val="none"/>
                <w:lang w:eastAsia="zh-CN"/>
              </w:rPr>
              <w:t>：灭治</w:t>
            </w:r>
            <w:r>
              <w:rPr>
                <w:rFonts w:hint="eastAsia" w:ascii="新宋体" w:hAnsi="新宋体" w:eastAsia="新宋体" w:cs="新宋体"/>
                <w:b w:val="0"/>
                <w:bCs w:val="0"/>
                <w:color w:val="auto"/>
                <w:kern w:val="0"/>
                <w:sz w:val="22"/>
                <w:szCs w:val="22"/>
                <w:highlight w:val="none"/>
              </w:rPr>
              <w:t>线路时间以及碰到的问题解决</w:t>
            </w:r>
            <w:r>
              <w:rPr>
                <w:rFonts w:hint="eastAsia" w:ascii="新宋体" w:hAnsi="新宋体" w:eastAsia="新宋体" w:cs="新宋体"/>
                <w:b w:val="0"/>
                <w:bCs w:val="0"/>
                <w:color w:val="auto"/>
                <w:kern w:val="0"/>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eastAsia="zh-CN"/>
              </w:rPr>
              <w:t>解决方案合理，符合本项目实际情况的得</w:t>
            </w:r>
            <w:r>
              <w:rPr>
                <w:rFonts w:hint="eastAsia" w:ascii="新宋体" w:hAnsi="新宋体" w:eastAsia="新宋体" w:cs="新宋体"/>
                <w:b w:val="0"/>
                <w:bCs w:val="0"/>
                <w:color w:val="auto"/>
                <w:kern w:val="0"/>
                <w:sz w:val="22"/>
                <w:szCs w:val="22"/>
                <w:highlight w:val="none"/>
                <w:lang w:val="en-US" w:eastAsia="zh-CN"/>
              </w:rPr>
              <w:t>6-8分；</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lang w:eastAsia="zh-CN"/>
              </w:rPr>
              <w:t>解决方案</w:t>
            </w:r>
            <w:r>
              <w:rPr>
                <w:rFonts w:hint="eastAsia" w:ascii="新宋体" w:hAnsi="新宋体" w:eastAsia="新宋体" w:cs="新宋体"/>
                <w:b w:val="0"/>
                <w:bCs w:val="0"/>
                <w:color w:val="auto"/>
                <w:kern w:val="0"/>
                <w:sz w:val="22"/>
                <w:szCs w:val="22"/>
                <w:highlight w:val="none"/>
                <w:lang w:val="en-US" w:eastAsia="zh-CN"/>
              </w:rPr>
              <w:t>一般的得3-5分；</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方案存在缺陷的</w:t>
            </w:r>
            <w:r>
              <w:rPr>
                <w:rFonts w:hint="eastAsia" w:ascii="新宋体" w:hAnsi="新宋体" w:eastAsia="新宋体" w:cs="新宋体"/>
                <w:b w:val="0"/>
                <w:bCs w:val="0"/>
                <w:color w:val="auto"/>
                <w:kern w:val="0"/>
                <w:sz w:val="22"/>
                <w:szCs w:val="22"/>
                <w:highlight w:val="none"/>
                <w:lang w:val="en-US" w:eastAsia="zh-CN"/>
              </w:rPr>
              <w:t>得1-2分</w:t>
            </w:r>
            <w:r>
              <w:rPr>
                <w:rFonts w:hint="eastAsia" w:ascii="新宋体" w:hAnsi="新宋体" w:eastAsia="新宋体" w:cs="新宋体"/>
                <w:b w:val="0"/>
                <w:bCs w:val="0"/>
                <w:color w:val="auto"/>
                <w:kern w:val="0"/>
                <w:sz w:val="22"/>
                <w:szCs w:val="22"/>
                <w:highlight w:val="none"/>
              </w:rPr>
              <w:t>；</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lang w:val="en-US" w:eastAsia="zh-CN"/>
              </w:rPr>
              <w:t>未提供不得分。</w:t>
            </w:r>
          </w:p>
        </w:tc>
        <w:tc>
          <w:tcPr>
            <w:tcW w:w="419"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355" w:type="pct"/>
            <w:vMerge w:val="continue"/>
            <w:noWrap/>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p>
        </w:tc>
        <w:tc>
          <w:tcPr>
            <w:tcW w:w="69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p>
        </w:tc>
        <w:tc>
          <w:tcPr>
            <w:tcW w:w="3531"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lang w:eastAsia="zh-CN"/>
              </w:rPr>
            </w:pPr>
            <w:r>
              <w:rPr>
                <w:rFonts w:hint="eastAsia" w:ascii="新宋体" w:hAnsi="新宋体" w:eastAsia="新宋体" w:cs="新宋体"/>
                <w:b w:val="0"/>
                <w:bCs w:val="0"/>
                <w:color w:val="auto"/>
                <w:kern w:val="0"/>
                <w:sz w:val="22"/>
                <w:szCs w:val="22"/>
                <w:highlight w:val="none"/>
                <w:lang w:eastAsia="zh-CN"/>
              </w:rPr>
              <w:t>灭治</w:t>
            </w:r>
            <w:r>
              <w:rPr>
                <w:rFonts w:hint="eastAsia" w:ascii="新宋体" w:hAnsi="新宋体" w:eastAsia="新宋体" w:cs="新宋体"/>
                <w:b w:val="0"/>
                <w:bCs w:val="0"/>
                <w:color w:val="auto"/>
                <w:kern w:val="0"/>
                <w:sz w:val="22"/>
                <w:szCs w:val="22"/>
                <w:highlight w:val="none"/>
              </w:rPr>
              <w:t>质量保证措施</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rPr>
              <w:t>包括携带的检查工具、</w:t>
            </w:r>
            <w:r>
              <w:rPr>
                <w:rFonts w:hint="eastAsia" w:ascii="新宋体" w:hAnsi="新宋体" w:eastAsia="新宋体" w:cs="新宋体"/>
                <w:b w:val="0"/>
                <w:bCs w:val="0"/>
                <w:color w:val="auto"/>
                <w:kern w:val="0"/>
                <w:sz w:val="22"/>
                <w:szCs w:val="22"/>
                <w:highlight w:val="none"/>
                <w:lang w:eastAsia="zh-CN"/>
              </w:rPr>
              <w:t>质量保证措施、灭治情况确认</w:t>
            </w:r>
            <w:r>
              <w:rPr>
                <w:rFonts w:hint="eastAsia" w:ascii="新宋体" w:hAnsi="新宋体" w:eastAsia="新宋体" w:cs="新宋体"/>
                <w:b w:val="0"/>
                <w:bCs w:val="0"/>
                <w:color w:val="auto"/>
                <w:kern w:val="0"/>
                <w:sz w:val="22"/>
                <w:szCs w:val="22"/>
                <w:highlight w:val="none"/>
                <w:lang w:val="en-US" w:eastAsia="zh-CN"/>
              </w:rPr>
              <w:t>及包治期方案</w:t>
            </w:r>
            <w:r>
              <w:rPr>
                <w:rFonts w:hint="eastAsia" w:ascii="新宋体" w:hAnsi="新宋体" w:eastAsia="新宋体" w:cs="新宋体"/>
                <w:b w:val="0"/>
                <w:bCs w:val="0"/>
                <w:color w:val="auto"/>
                <w:kern w:val="0"/>
                <w:sz w:val="22"/>
                <w:szCs w:val="22"/>
                <w:highlight w:val="none"/>
              </w:rPr>
              <w:t>等</w:t>
            </w:r>
            <w:r>
              <w:rPr>
                <w:rFonts w:hint="eastAsia" w:ascii="新宋体" w:hAnsi="新宋体" w:eastAsia="新宋体" w:cs="新宋体"/>
                <w:b w:val="0"/>
                <w:bCs w:val="0"/>
                <w:color w:val="auto"/>
                <w:kern w:val="0"/>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eastAsia="zh-CN"/>
              </w:rPr>
              <w:t>措施合理，符合本项目实际情况的得</w:t>
            </w:r>
            <w:r>
              <w:rPr>
                <w:rFonts w:hint="eastAsia" w:ascii="新宋体" w:hAnsi="新宋体" w:eastAsia="新宋体" w:cs="新宋体"/>
                <w:b w:val="0"/>
                <w:bCs w:val="0"/>
                <w:color w:val="auto"/>
                <w:kern w:val="0"/>
                <w:sz w:val="22"/>
                <w:szCs w:val="22"/>
                <w:highlight w:val="none"/>
                <w:lang w:val="en-US" w:eastAsia="zh-CN"/>
              </w:rPr>
              <w:t>6-8分；</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rPr>
              <w:t>措施</w:t>
            </w:r>
            <w:r>
              <w:rPr>
                <w:rFonts w:hint="eastAsia" w:ascii="新宋体" w:hAnsi="新宋体" w:eastAsia="新宋体" w:cs="新宋体"/>
                <w:b w:val="0"/>
                <w:bCs w:val="0"/>
                <w:color w:val="auto"/>
                <w:kern w:val="0"/>
                <w:sz w:val="22"/>
                <w:szCs w:val="22"/>
                <w:highlight w:val="none"/>
                <w:lang w:val="en-US" w:eastAsia="zh-CN"/>
              </w:rPr>
              <w:t>一般的得3-5分</w:t>
            </w:r>
            <w:r>
              <w:rPr>
                <w:rFonts w:hint="eastAsia" w:ascii="新宋体" w:hAnsi="新宋体" w:eastAsia="新宋体" w:cs="新宋体"/>
                <w:b w:val="0"/>
                <w:bCs w:val="0"/>
                <w:color w:val="auto"/>
                <w:kern w:val="0"/>
                <w:sz w:val="22"/>
                <w:szCs w:val="22"/>
                <w:highlight w:val="none"/>
              </w:rPr>
              <w:t>；</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措施存在缺陷的</w:t>
            </w:r>
            <w:r>
              <w:rPr>
                <w:rFonts w:hint="eastAsia" w:ascii="新宋体" w:hAnsi="新宋体" w:eastAsia="新宋体" w:cs="新宋体"/>
                <w:b w:val="0"/>
                <w:bCs w:val="0"/>
                <w:color w:val="auto"/>
                <w:kern w:val="0"/>
                <w:sz w:val="22"/>
                <w:szCs w:val="22"/>
                <w:highlight w:val="none"/>
                <w:lang w:val="en-US" w:eastAsia="zh-CN"/>
              </w:rPr>
              <w:t>得1-2分</w:t>
            </w:r>
            <w:r>
              <w:rPr>
                <w:rFonts w:hint="eastAsia" w:ascii="新宋体" w:hAnsi="新宋体" w:eastAsia="新宋体" w:cs="新宋体"/>
                <w:b w:val="0"/>
                <w:bCs w:val="0"/>
                <w:color w:val="auto"/>
                <w:kern w:val="0"/>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lang w:val="en-US" w:eastAsia="zh-CN"/>
              </w:rPr>
              <w:t>未提供不得分。</w:t>
            </w:r>
          </w:p>
        </w:tc>
        <w:tc>
          <w:tcPr>
            <w:tcW w:w="419"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355" w:type="pct"/>
            <w:vMerge w:val="restar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6</w:t>
            </w:r>
          </w:p>
        </w:tc>
        <w:tc>
          <w:tcPr>
            <w:tcW w:w="69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lang w:val="en-US" w:eastAsia="zh-CN"/>
              </w:rPr>
              <w:t>灭治工程</w:t>
            </w:r>
            <w:r>
              <w:rPr>
                <w:rFonts w:hint="eastAsia" w:ascii="新宋体" w:hAnsi="新宋体" w:eastAsia="新宋体" w:cs="新宋体"/>
                <w:b w:val="0"/>
                <w:bCs w:val="0"/>
                <w:color w:val="auto"/>
                <w:kern w:val="0"/>
                <w:sz w:val="22"/>
                <w:szCs w:val="22"/>
                <w:highlight w:val="none"/>
              </w:rPr>
              <w:t>安全生产、文明施工、环境保护措施</w:t>
            </w:r>
          </w:p>
        </w:tc>
        <w:tc>
          <w:tcPr>
            <w:tcW w:w="3531"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lang w:val="en-US" w:eastAsia="zh-CN"/>
              </w:rPr>
              <w:t>灭治工程</w:t>
            </w:r>
            <w:r>
              <w:rPr>
                <w:rFonts w:hint="eastAsia" w:ascii="新宋体" w:hAnsi="新宋体" w:eastAsia="新宋体" w:cs="新宋体"/>
                <w:b w:val="0"/>
                <w:bCs w:val="0"/>
                <w:color w:val="auto"/>
                <w:kern w:val="0"/>
                <w:sz w:val="22"/>
                <w:szCs w:val="22"/>
                <w:highlight w:val="none"/>
              </w:rPr>
              <w:t>安全生产措施</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rPr>
              <w:t xml:space="preserve"> </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安全生产措施</w:t>
            </w:r>
            <w:r>
              <w:rPr>
                <w:rFonts w:hint="eastAsia" w:ascii="新宋体" w:hAnsi="新宋体" w:eastAsia="新宋体" w:cs="新宋体"/>
                <w:b w:val="0"/>
                <w:bCs w:val="0"/>
                <w:color w:val="auto"/>
                <w:kern w:val="0"/>
                <w:sz w:val="22"/>
                <w:szCs w:val="22"/>
                <w:highlight w:val="none"/>
                <w:lang w:val="en-US" w:eastAsia="zh-CN"/>
              </w:rPr>
              <w:t>明确、合理的得3-5分；</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安全生产措施</w:t>
            </w:r>
            <w:r>
              <w:rPr>
                <w:rFonts w:hint="eastAsia" w:ascii="新宋体" w:hAnsi="新宋体" w:eastAsia="新宋体" w:cs="新宋体"/>
                <w:b w:val="0"/>
                <w:bCs w:val="0"/>
                <w:color w:val="auto"/>
                <w:kern w:val="0"/>
                <w:sz w:val="22"/>
                <w:szCs w:val="22"/>
                <w:highlight w:val="none"/>
                <w:lang w:val="en-US" w:eastAsia="zh-CN"/>
              </w:rPr>
              <w:t>合理性一般的得1-2分；</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未提供不得分。</w:t>
            </w:r>
          </w:p>
        </w:tc>
        <w:tc>
          <w:tcPr>
            <w:tcW w:w="419"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355" w:type="pct"/>
            <w:vMerge w:val="continue"/>
            <w:noWrap/>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highlight w:val="none"/>
              </w:rPr>
            </w:pPr>
          </w:p>
        </w:tc>
        <w:tc>
          <w:tcPr>
            <w:tcW w:w="69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highlight w:val="none"/>
              </w:rPr>
            </w:pPr>
          </w:p>
        </w:tc>
        <w:tc>
          <w:tcPr>
            <w:tcW w:w="3531"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文明施工措施</w:t>
            </w:r>
            <w:r>
              <w:rPr>
                <w:rFonts w:hint="eastAsia" w:ascii="新宋体" w:hAnsi="新宋体" w:eastAsia="新宋体" w:cs="新宋体"/>
                <w:b w:val="0"/>
                <w:bCs w:val="0"/>
                <w:color w:val="auto"/>
                <w:kern w:val="0"/>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rPr>
              <w:t>文明施工措施明确</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lang w:val="en-US" w:eastAsia="zh-CN"/>
              </w:rPr>
              <w:t>合理的得3-5分；</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文明施工措施</w:t>
            </w:r>
            <w:r>
              <w:rPr>
                <w:rFonts w:hint="eastAsia" w:ascii="新宋体" w:hAnsi="新宋体" w:eastAsia="新宋体" w:cs="新宋体"/>
                <w:b w:val="0"/>
                <w:bCs w:val="0"/>
                <w:color w:val="auto"/>
                <w:kern w:val="0"/>
                <w:sz w:val="22"/>
                <w:szCs w:val="22"/>
                <w:highlight w:val="none"/>
                <w:lang w:val="en-US" w:eastAsia="zh-CN"/>
              </w:rPr>
              <w:t>合理性一般的得1-2分；</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lang w:val="en-US" w:eastAsia="zh-CN"/>
              </w:rPr>
              <w:t>未提供不得分。</w:t>
            </w:r>
          </w:p>
        </w:tc>
        <w:tc>
          <w:tcPr>
            <w:tcW w:w="419"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355" w:type="pct"/>
            <w:vMerge w:val="continue"/>
            <w:noWrap/>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p>
        </w:tc>
        <w:tc>
          <w:tcPr>
            <w:tcW w:w="69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p>
        </w:tc>
        <w:tc>
          <w:tcPr>
            <w:tcW w:w="3531"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环境保护措施</w:t>
            </w:r>
            <w:r>
              <w:rPr>
                <w:rFonts w:hint="eastAsia" w:ascii="新宋体" w:hAnsi="新宋体" w:eastAsia="新宋体" w:cs="新宋体"/>
                <w:b w:val="0"/>
                <w:bCs w:val="0"/>
                <w:color w:val="auto"/>
                <w:kern w:val="0"/>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rPr>
              <w:t>环境保护措施明确完善</w:t>
            </w:r>
            <w:r>
              <w:rPr>
                <w:rFonts w:hint="eastAsia" w:ascii="新宋体" w:hAnsi="新宋体" w:eastAsia="新宋体" w:cs="新宋体"/>
                <w:b w:val="0"/>
                <w:bCs w:val="0"/>
                <w:color w:val="auto"/>
                <w:kern w:val="0"/>
                <w:sz w:val="22"/>
                <w:szCs w:val="22"/>
                <w:highlight w:val="none"/>
                <w:lang w:eastAsia="zh-CN"/>
              </w:rPr>
              <w:t>的</w:t>
            </w:r>
            <w:r>
              <w:rPr>
                <w:rFonts w:hint="eastAsia" w:ascii="新宋体" w:hAnsi="新宋体" w:eastAsia="新宋体" w:cs="新宋体"/>
                <w:b w:val="0"/>
                <w:bCs w:val="0"/>
                <w:color w:val="auto"/>
                <w:kern w:val="0"/>
                <w:sz w:val="22"/>
                <w:szCs w:val="22"/>
                <w:highlight w:val="none"/>
                <w:lang w:val="en-US" w:eastAsia="zh-CN"/>
              </w:rPr>
              <w:t>得3-5分；</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环境保护措施</w:t>
            </w:r>
            <w:r>
              <w:rPr>
                <w:rFonts w:hint="eastAsia" w:ascii="新宋体" w:hAnsi="新宋体" w:eastAsia="新宋体" w:cs="新宋体"/>
                <w:b w:val="0"/>
                <w:bCs w:val="0"/>
                <w:color w:val="auto"/>
                <w:kern w:val="0"/>
                <w:sz w:val="22"/>
                <w:szCs w:val="22"/>
                <w:highlight w:val="none"/>
                <w:lang w:val="en-US" w:eastAsia="zh-CN"/>
              </w:rPr>
              <w:t>一般的得1-2分</w:t>
            </w:r>
            <w:r>
              <w:rPr>
                <w:rFonts w:hint="eastAsia" w:ascii="新宋体" w:hAnsi="新宋体" w:eastAsia="新宋体" w:cs="新宋体"/>
                <w:b w:val="0"/>
                <w:bCs w:val="0"/>
                <w:color w:val="auto"/>
                <w:kern w:val="0"/>
                <w:sz w:val="22"/>
                <w:szCs w:val="22"/>
                <w:highlight w:val="none"/>
              </w:rPr>
              <w:t>；</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lang w:val="en-US" w:eastAsia="zh-CN"/>
              </w:rPr>
              <w:t>未提供不得分。</w:t>
            </w:r>
          </w:p>
        </w:tc>
        <w:tc>
          <w:tcPr>
            <w:tcW w:w="419"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7</w:t>
            </w:r>
          </w:p>
        </w:tc>
        <w:tc>
          <w:tcPr>
            <w:tcW w:w="694"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配合方案</w:t>
            </w:r>
          </w:p>
        </w:tc>
        <w:tc>
          <w:tcPr>
            <w:tcW w:w="3531"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与采购单位的配合工作方案：</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lang w:eastAsia="zh-CN"/>
              </w:rPr>
            </w:pPr>
            <w:r>
              <w:rPr>
                <w:rFonts w:hint="eastAsia" w:ascii="新宋体" w:hAnsi="新宋体" w:eastAsia="新宋体" w:cs="新宋体"/>
                <w:b w:val="0"/>
                <w:bCs w:val="0"/>
                <w:color w:val="auto"/>
                <w:kern w:val="0"/>
                <w:sz w:val="22"/>
                <w:szCs w:val="22"/>
                <w:highlight w:val="none"/>
              </w:rPr>
              <w:t>方案细致周到，可操作性强得</w:t>
            </w:r>
            <w:r>
              <w:rPr>
                <w:rFonts w:hint="eastAsia" w:ascii="新宋体" w:hAnsi="新宋体" w:eastAsia="新宋体" w:cs="新宋体"/>
                <w:b w:val="0"/>
                <w:bCs w:val="0"/>
                <w:color w:val="auto"/>
                <w:kern w:val="0"/>
                <w:sz w:val="22"/>
                <w:szCs w:val="22"/>
                <w:highlight w:val="none"/>
                <w:lang w:val="en-US" w:eastAsia="zh-CN"/>
              </w:rPr>
              <w:t>3-5</w:t>
            </w:r>
            <w:r>
              <w:rPr>
                <w:rFonts w:hint="eastAsia" w:ascii="新宋体" w:hAnsi="新宋体" w:eastAsia="新宋体" w:cs="新宋体"/>
                <w:b w:val="0"/>
                <w:bCs w:val="0"/>
                <w:color w:val="auto"/>
                <w:kern w:val="0"/>
                <w:sz w:val="22"/>
                <w:szCs w:val="22"/>
                <w:highlight w:val="none"/>
              </w:rPr>
              <w:t>分</w:t>
            </w:r>
            <w:r>
              <w:rPr>
                <w:rFonts w:hint="eastAsia" w:ascii="新宋体" w:hAnsi="新宋体" w:eastAsia="新宋体" w:cs="新宋体"/>
                <w:b w:val="0"/>
                <w:bCs w:val="0"/>
                <w:color w:val="auto"/>
                <w:kern w:val="0"/>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rPr>
              <w:t>方案</w:t>
            </w:r>
            <w:r>
              <w:rPr>
                <w:rFonts w:hint="eastAsia" w:ascii="新宋体" w:hAnsi="新宋体" w:eastAsia="新宋体" w:cs="新宋体"/>
                <w:b w:val="0"/>
                <w:bCs w:val="0"/>
                <w:color w:val="auto"/>
                <w:kern w:val="0"/>
                <w:sz w:val="22"/>
                <w:szCs w:val="22"/>
                <w:highlight w:val="none"/>
                <w:lang w:val="en-US" w:eastAsia="zh-CN"/>
              </w:rPr>
              <w:t>一般</w:t>
            </w:r>
            <w:r>
              <w:rPr>
                <w:rFonts w:hint="eastAsia" w:ascii="新宋体" w:hAnsi="新宋体" w:eastAsia="新宋体" w:cs="新宋体"/>
                <w:b w:val="0"/>
                <w:bCs w:val="0"/>
                <w:color w:val="auto"/>
                <w:kern w:val="0"/>
                <w:sz w:val="22"/>
                <w:szCs w:val="22"/>
                <w:highlight w:val="none"/>
              </w:rPr>
              <w:t>，可操作性</w:t>
            </w:r>
            <w:r>
              <w:rPr>
                <w:rFonts w:hint="eastAsia" w:ascii="新宋体" w:hAnsi="新宋体" w:eastAsia="新宋体" w:cs="新宋体"/>
                <w:b w:val="0"/>
                <w:bCs w:val="0"/>
                <w:color w:val="auto"/>
                <w:kern w:val="0"/>
                <w:sz w:val="22"/>
                <w:szCs w:val="22"/>
                <w:highlight w:val="none"/>
                <w:lang w:val="en-US" w:eastAsia="zh-CN"/>
              </w:rPr>
              <w:t>一般</w:t>
            </w:r>
            <w:r>
              <w:rPr>
                <w:rFonts w:hint="eastAsia" w:ascii="新宋体" w:hAnsi="新宋体" w:eastAsia="新宋体" w:cs="新宋体"/>
                <w:b w:val="0"/>
                <w:bCs w:val="0"/>
                <w:color w:val="auto"/>
                <w:kern w:val="0"/>
                <w:sz w:val="22"/>
                <w:szCs w:val="22"/>
                <w:highlight w:val="none"/>
              </w:rPr>
              <w:t>的</w:t>
            </w:r>
            <w:r>
              <w:rPr>
                <w:rFonts w:hint="eastAsia" w:ascii="新宋体" w:hAnsi="新宋体" w:eastAsia="新宋体" w:cs="新宋体"/>
                <w:b w:val="0"/>
                <w:bCs w:val="0"/>
                <w:color w:val="auto"/>
                <w:kern w:val="0"/>
                <w:sz w:val="22"/>
                <w:szCs w:val="22"/>
                <w:highlight w:val="none"/>
                <w:lang w:val="en-US" w:eastAsia="zh-CN"/>
              </w:rPr>
              <w:t>得1-2分；</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lang w:val="en-US" w:eastAsia="zh-CN"/>
              </w:rPr>
              <w:t>未提供不得分。</w:t>
            </w:r>
          </w:p>
        </w:tc>
        <w:tc>
          <w:tcPr>
            <w:tcW w:w="419"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55" w:type="pct"/>
            <w:vMerge w:val="restar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8</w:t>
            </w:r>
          </w:p>
        </w:tc>
        <w:tc>
          <w:tcPr>
            <w:tcW w:w="694"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服务响应承诺</w:t>
            </w:r>
          </w:p>
        </w:tc>
        <w:tc>
          <w:tcPr>
            <w:tcW w:w="3531"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color w:val="auto"/>
                <w:sz w:val="22"/>
                <w:szCs w:val="22"/>
                <w:highlight w:val="none"/>
                <w:lang w:val="en-US" w:eastAsia="zh-CN"/>
              </w:rPr>
              <w:t>在洞头区行政区域内设有固定</w:t>
            </w:r>
            <w:r>
              <w:rPr>
                <w:rFonts w:hint="eastAsia" w:ascii="新宋体" w:hAnsi="新宋体" w:eastAsia="新宋体" w:cs="新宋体"/>
                <w:b w:val="0"/>
                <w:bCs/>
                <w:color w:val="auto"/>
                <w:sz w:val="22"/>
                <w:szCs w:val="22"/>
                <w:highlight w:val="none"/>
                <w:lang w:val="en-US" w:eastAsia="zh-CN"/>
              </w:rPr>
              <w:t>服务网点的得3分</w:t>
            </w:r>
            <w:r>
              <w:rPr>
                <w:rFonts w:hint="eastAsia" w:ascii="新宋体" w:hAnsi="新宋体" w:eastAsia="新宋体" w:cs="新宋体"/>
                <w:color w:val="auto"/>
                <w:sz w:val="22"/>
                <w:szCs w:val="22"/>
                <w:highlight w:val="none"/>
                <w:lang w:val="en-US" w:eastAsia="zh-CN"/>
              </w:rPr>
              <w:t>（证明材料提供房产证或租赁合同；</w:t>
            </w:r>
            <w:r>
              <w:rPr>
                <w:rFonts w:hint="eastAsia" w:ascii="新宋体" w:hAnsi="新宋体" w:eastAsia="新宋体" w:cs="新宋体"/>
                <w:b w:val="0"/>
                <w:bCs/>
                <w:color w:val="auto"/>
                <w:sz w:val="22"/>
                <w:szCs w:val="22"/>
                <w:highlight w:val="none"/>
                <w:lang w:val="en-US" w:eastAsia="zh-CN"/>
              </w:rPr>
              <w:t>外地企业未有服务网点需提供承诺书，</w:t>
            </w:r>
            <w:r>
              <w:rPr>
                <w:rFonts w:hint="eastAsia" w:ascii="新宋体" w:hAnsi="新宋体" w:eastAsia="新宋体" w:cs="新宋体"/>
                <w:color w:val="auto"/>
                <w:sz w:val="22"/>
                <w:szCs w:val="22"/>
                <w:highlight w:val="none"/>
                <w:lang w:val="en-US" w:eastAsia="zh-CN"/>
              </w:rPr>
              <w:t>承诺成交通知书领取后30天内设置</w:t>
            </w:r>
            <w:r>
              <w:rPr>
                <w:rFonts w:hint="eastAsia" w:ascii="新宋体" w:hAnsi="新宋体" w:eastAsia="新宋体" w:cs="新宋体"/>
                <w:b w:val="0"/>
                <w:bCs/>
                <w:color w:val="auto"/>
                <w:sz w:val="22"/>
                <w:szCs w:val="22"/>
                <w:highlight w:val="none"/>
                <w:lang w:val="en-US" w:eastAsia="zh-CN"/>
              </w:rPr>
              <w:t>服务网点</w:t>
            </w:r>
            <w:r>
              <w:rPr>
                <w:rFonts w:hint="eastAsia" w:ascii="新宋体" w:hAnsi="新宋体" w:eastAsia="新宋体" w:cs="新宋体"/>
                <w:color w:val="auto"/>
                <w:sz w:val="22"/>
                <w:szCs w:val="22"/>
                <w:highlight w:val="none"/>
                <w:lang w:val="en-US" w:eastAsia="zh-CN"/>
              </w:rPr>
              <w:t>）。</w:t>
            </w:r>
          </w:p>
        </w:tc>
        <w:tc>
          <w:tcPr>
            <w:tcW w:w="419"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355" w:type="pct"/>
            <w:vMerge w:val="continue"/>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lang w:val="en-US" w:eastAsia="zh-CN"/>
              </w:rPr>
            </w:pPr>
          </w:p>
        </w:tc>
        <w:tc>
          <w:tcPr>
            <w:tcW w:w="69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kern w:val="0"/>
                <w:sz w:val="22"/>
                <w:szCs w:val="22"/>
                <w:highlight w:val="none"/>
                <w:lang w:val="en-US" w:eastAsia="zh-CN"/>
              </w:rPr>
            </w:pPr>
          </w:p>
        </w:tc>
        <w:tc>
          <w:tcPr>
            <w:tcW w:w="3531" w:type="pc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b w:val="0"/>
                <w:bCs/>
                <w:color w:val="auto"/>
                <w:sz w:val="22"/>
                <w:szCs w:val="22"/>
                <w:highlight w:val="none"/>
                <w:lang w:val="en-US" w:eastAsia="zh-CN"/>
              </w:rPr>
            </w:pPr>
            <w:r>
              <w:rPr>
                <w:rFonts w:hint="default" w:ascii="新宋体" w:hAnsi="新宋体" w:eastAsia="新宋体" w:cs="新宋体"/>
                <w:color w:val="auto"/>
                <w:sz w:val="22"/>
                <w:szCs w:val="22"/>
                <w:highlight w:val="none"/>
                <w:lang w:val="en-US" w:eastAsia="zh-CN"/>
              </w:rPr>
              <w:t>应急响应能力：</w:t>
            </w:r>
            <w:r>
              <w:rPr>
                <w:rFonts w:hint="eastAsia" w:ascii="新宋体" w:hAnsi="新宋体" w:eastAsia="新宋体" w:cs="新宋体"/>
                <w:color w:val="auto"/>
                <w:sz w:val="22"/>
                <w:szCs w:val="22"/>
                <w:highlight w:val="none"/>
                <w:lang w:val="en-US" w:eastAsia="zh-CN"/>
              </w:rPr>
              <w:t>采购</w:t>
            </w:r>
            <w:r>
              <w:rPr>
                <w:rFonts w:hint="default" w:ascii="新宋体" w:hAnsi="新宋体" w:eastAsia="新宋体" w:cs="新宋体"/>
                <w:color w:val="auto"/>
                <w:sz w:val="22"/>
                <w:szCs w:val="22"/>
                <w:highlight w:val="none"/>
                <w:lang w:val="en-US" w:eastAsia="zh-CN"/>
              </w:rPr>
              <w:t>人若有应急需求，能在1小时内做出实质性应急响应的得3分；2小时内做出实质性应急响应的得2分；4小时内做出实质性应急响应的得1分；超过4小时响应的不得分。（须提供承诺书，否则不得分）</w:t>
            </w:r>
          </w:p>
        </w:tc>
        <w:tc>
          <w:tcPr>
            <w:tcW w:w="419" w:type="pct"/>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3分</w:t>
            </w:r>
          </w:p>
        </w:tc>
      </w:tr>
    </w:tbl>
    <w:p>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w:t>
      </w:r>
      <w:r>
        <w:rPr>
          <w:rFonts w:hint="eastAsia" w:ascii="新宋体" w:hAnsi="新宋体" w:eastAsia="新宋体" w:cs="新宋体"/>
          <w:b/>
          <w:color w:val="auto"/>
          <w:sz w:val="22"/>
          <w:szCs w:val="22"/>
          <w:highlight w:val="none"/>
          <w:lang w:val="en-US" w:eastAsia="zh-CN"/>
        </w:rPr>
        <w:t>价格</w:t>
      </w:r>
      <w:r>
        <w:rPr>
          <w:rFonts w:hint="eastAsia" w:ascii="新宋体" w:hAnsi="新宋体" w:eastAsia="新宋体" w:cs="新宋体"/>
          <w:b/>
          <w:color w:val="auto"/>
          <w:sz w:val="22"/>
          <w:szCs w:val="22"/>
          <w:highlight w:val="none"/>
        </w:rPr>
        <w:t>分的评定</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bCs/>
          <w:color w:val="auto"/>
          <w:sz w:val="22"/>
          <w:szCs w:val="22"/>
          <w:highlight w:val="none"/>
        </w:rPr>
        <w:t>价格</w:t>
      </w:r>
      <w:r>
        <w:rPr>
          <w:rFonts w:hint="eastAsia" w:ascii="新宋体" w:hAnsi="新宋体" w:eastAsia="新宋体" w:cs="新宋体"/>
          <w:b/>
          <w:bCs/>
          <w:color w:val="auto"/>
          <w:sz w:val="22"/>
          <w:szCs w:val="22"/>
          <w:highlight w:val="none"/>
          <w:lang w:val="en-US" w:eastAsia="zh-CN"/>
        </w:rPr>
        <w:t>15</w:t>
      </w:r>
      <w:r>
        <w:rPr>
          <w:rFonts w:hint="eastAsia" w:ascii="新宋体" w:hAnsi="新宋体" w:eastAsia="新宋体" w:cs="新宋体"/>
          <w:b/>
          <w:bCs/>
          <w:color w:val="auto"/>
          <w:sz w:val="22"/>
          <w:szCs w:val="22"/>
          <w:highlight w:val="none"/>
        </w:rPr>
        <w:t>分（价格权值</w:t>
      </w:r>
      <w:r>
        <w:rPr>
          <w:rFonts w:hint="eastAsia" w:ascii="新宋体" w:hAnsi="新宋体" w:eastAsia="新宋体" w:cs="新宋体"/>
          <w:b/>
          <w:bCs/>
          <w:color w:val="auto"/>
          <w:sz w:val="22"/>
          <w:szCs w:val="22"/>
          <w:highlight w:val="none"/>
          <w:lang w:val="en-US" w:eastAsia="zh-CN"/>
        </w:rPr>
        <w:t>15</w:t>
      </w:r>
      <w:r>
        <w:rPr>
          <w:rFonts w:hint="eastAsia" w:ascii="新宋体" w:hAnsi="新宋体" w:eastAsia="新宋体" w:cs="新宋体"/>
          <w:b/>
          <w:bCs/>
          <w:color w:val="auto"/>
          <w:sz w:val="22"/>
          <w:szCs w:val="22"/>
          <w:highlight w:val="none"/>
        </w:rPr>
        <w:t>%）</w:t>
      </w:r>
      <w:r>
        <w:rPr>
          <w:rFonts w:hint="eastAsia" w:ascii="新宋体" w:hAnsi="新宋体" w:eastAsia="新宋体" w:cs="新宋体"/>
          <w:b/>
          <w:color w:val="auto"/>
          <w:sz w:val="22"/>
          <w:szCs w:val="22"/>
          <w:highlight w:val="none"/>
        </w:rPr>
        <w:t>：</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满足竞争性磋商文件要求且最后报价最低的报价</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 w:val="0"/>
          <w:bCs w:val="0"/>
          <w:color w:val="auto"/>
          <w:sz w:val="22"/>
          <w:szCs w:val="18"/>
          <w:highlight w:val="none"/>
          <w:lang w:val="en-US" w:eastAsia="zh-CN"/>
        </w:rPr>
        <w:t>综合单价</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为评审基准价。</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1）有效磋商供应商的磋商报价</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 w:val="0"/>
          <w:bCs w:val="0"/>
          <w:color w:val="auto"/>
          <w:sz w:val="22"/>
          <w:szCs w:val="18"/>
          <w:highlight w:val="none"/>
          <w:lang w:val="en-US" w:eastAsia="zh-CN"/>
        </w:rPr>
        <w:t>综合单价</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等于评审基准价时其价格分为满分</w:t>
      </w:r>
      <w:r>
        <w:rPr>
          <w:rFonts w:hint="eastAsia" w:ascii="新宋体" w:hAnsi="新宋体" w:eastAsia="新宋体" w:cs="新宋体"/>
          <w:color w:val="auto"/>
          <w:sz w:val="22"/>
          <w:szCs w:val="22"/>
          <w:highlight w:val="none"/>
          <w:lang w:val="en-US" w:eastAsia="zh-CN"/>
        </w:rPr>
        <w:t>15</w:t>
      </w:r>
      <w:r>
        <w:rPr>
          <w:rFonts w:hint="eastAsia" w:ascii="新宋体" w:hAnsi="新宋体" w:eastAsia="新宋体" w:cs="新宋体"/>
          <w:color w:val="auto"/>
          <w:sz w:val="22"/>
          <w:szCs w:val="22"/>
          <w:highlight w:val="none"/>
        </w:rPr>
        <w:t>分；</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2）其他磋商供应商的价格分按以下公式计算：</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价格得分=（评审基准价/磋商供应商磋商报价）× 价格权值 ×100（四舍五入，保留小数点后2位）</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3、有效磋商供应商的综合得分为商务技术分和价格分的总和。</w:t>
      </w:r>
    </w:p>
    <w:p>
      <w:pPr>
        <w:spacing w:line="460" w:lineRule="exact"/>
        <w:ind w:firstLine="440" w:firstLineChars="200"/>
        <w:rPr>
          <w:rFonts w:hint="eastAsia" w:ascii="新宋体" w:hAnsi="新宋体" w:eastAsia="新宋体" w:cs="新宋体"/>
          <w:b w:val="0"/>
          <w:bCs w:val="0"/>
          <w:color w:val="auto"/>
          <w:kern w:val="0"/>
          <w:sz w:val="22"/>
          <w:szCs w:val="22"/>
          <w:highlight w:val="none"/>
          <w:lang w:val="en-US" w:eastAsia="zh-CN" w:bidi="ar-SA"/>
        </w:rPr>
      </w:pPr>
      <w:r>
        <w:rPr>
          <w:rFonts w:hint="eastAsia" w:ascii="新宋体" w:hAnsi="新宋体" w:eastAsia="新宋体" w:cs="新宋体"/>
          <w:b w:val="0"/>
          <w:bCs w:val="0"/>
          <w:color w:val="auto"/>
          <w:kern w:val="0"/>
          <w:sz w:val="22"/>
          <w:szCs w:val="22"/>
          <w:highlight w:val="none"/>
          <w:lang w:val="en-US" w:eastAsia="zh-CN" w:bidi="ar-SA"/>
        </w:rPr>
        <w:t>4、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pPr>
        <w:spacing w:line="460" w:lineRule="exact"/>
        <w:ind w:firstLine="440" w:firstLineChars="200"/>
        <w:rPr>
          <w:rFonts w:hint="eastAsia" w:ascii="新宋体" w:hAnsi="新宋体" w:eastAsia="新宋体" w:cs="新宋体"/>
          <w:b w:val="0"/>
          <w:bCs w:val="0"/>
          <w:color w:val="auto"/>
          <w:kern w:val="0"/>
          <w:sz w:val="22"/>
          <w:szCs w:val="22"/>
          <w:highlight w:val="none"/>
          <w:lang w:val="en-US" w:eastAsia="zh-CN" w:bidi="ar-SA"/>
        </w:rPr>
      </w:pPr>
      <w:r>
        <w:rPr>
          <w:rFonts w:hint="eastAsia" w:ascii="新宋体" w:hAnsi="新宋体" w:eastAsia="新宋体" w:cs="新宋体"/>
          <w:b w:val="0"/>
          <w:bCs w:val="0"/>
          <w:color w:val="auto"/>
          <w:kern w:val="0"/>
          <w:sz w:val="22"/>
          <w:szCs w:val="22"/>
          <w:highlight w:val="none"/>
          <w:lang w:val="en-US" w:eastAsia="zh-CN" w:bidi="ar-SA"/>
        </w:rPr>
        <w:t>5、磋商小组认为磋商供应商的报价明显低于其他通过符合性审查磋商供应商的报价，有可能影响产品质量或者不能诚信履约的，应当要求其在评审现场合理的时间内提供书面说明，必要时提交相关证明材料；磋商供应商不能证明其报价合理性的，磋商小组应当将其作为无效处理。</w:t>
      </w:r>
    </w:p>
    <w:p>
      <w:pPr>
        <w:spacing w:line="460" w:lineRule="exact"/>
        <w:ind w:firstLine="442" w:firstLineChars="200"/>
        <w:outlineLvl w:val="1"/>
        <w:rPr>
          <w:rFonts w:hint="eastAsia" w:ascii="新宋体" w:hAnsi="新宋体" w:eastAsia="新宋体" w:cs="新宋体"/>
          <w:b/>
          <w:color w:val="auto"/>
          <w:sz w:val="22"/>
          <w:szCs w:val="22"/>
          <w:highlight w:val="none"/>
        </w:rPr>
      </w:pPr>
      <w:bookmarkStart w:id="36" w:name="_Toc13493"/>
      <w:r>
        <w:rPr>
          <w:rFonts w:hint="eastAsia" w:ascii="新宋体" w:hAnsi="新宋体" w:eastAsia="新宋体" w:cs="新宋体"/>
          <w:b/>
          <w:color w:val="auto"/>
          <w:sz w:val="22"/>
          <w:szCs w:val="22"/>
          <w:highlight w:val="none"/>
        </w:rPr>
        <w:t>六、定标办法</w:t>
      </w:r>
      <w:bookmarkEnd w:id="36"/>
    </w:p>
    <w:p>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确定成交候选人</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1.1由磋商小组确定成交候选人。</w:t>
      </w:r>
    </w:p>
    <w:p>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1.2磋商小组依据法律、法规及磋商文件有关规定按评审后得分（即商务技术分与价格分之和）由高到低顺序排序，得分前三名的磋商供应商确定为该项目的第一、第二和第三成交候选人（得分相同的，按报价由低到高顺序排列。得分且报价相同的并列。）向采购人推荐。</w:t>
      </w:r>
    </w:p>
    <w:p>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2、确定成交供应商</w:t>
      </w:r>
    </w:p>
    <w:p>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2.1采购人按照评审报告中推荐的成交候选供应商顺序确定成交供应商；也可以事先授权磋商小组按照推荐的成交候选供应商顺序直接确定成交供应商。成交候选人并列的，由磋商小组全体成员记名投票按少数服从多数的原则确定排名。</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2.2如成交供应商放弃成交；或未能在规定时间内与采购单位签订合同的；或者经质疑，采购人审查后，确因排名第一的候选人在本次采购活动中存在违法违规行为或其他原因使质疑成立的，采购人可以</w:t>
      </w:r>
      <w:r>
        <w:rPr>
          <w:rFonts w:hint="eastAsia" w:ascii="新宋体" w:hAnsi="新宋体" w:eastAsia="新宋体" w:cs="新宋体"/>
          <w:color w:val="auto"/>
          <w:sz w:val="22"/>
          <w:szCs w:val="22"/>
          <w:highlight w:val="none"/>
          <w:lang w:val="en-US" w:eastAsia="zh-CN"/>
        </w:rPr>
        <w:t>依法</w:t>
      </w:r>
      <w:r>
        <w:rPr>
          <w:rFonts w:hint="eastAsia" w:ascii="新宋体" w:hAnsi="新宋体" w:eastAsia="新宋体" w:cs="新宋体"/>
          <w:color w:val="auto"/>
          <w:sz w:val="22"/>
          <w:szCs w:val="22"/>
          <w:highlight w:val="none"/>
        </w:rPr>
        <w:t>视情况直接确定排名第二的候选人为成交供应商（以此类推</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或重新组织采购。</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成交供应商确定后，采购人将在指定媒体公告成交结果，采购人向成交供应商发出成交通知书。</w:t>
      </w:r>
    </w:p>
    <w:p>
      <w:pPr>
        <w:spacing w:line="460" w:lineRule="exact"/>
        <w:ind w:firstLine="442" w:firstLineChars="200"/>
        <w:outlineLvl w:val="1"/>
        <w:rPr>
          <w:rFonts w:hint="eastAsia" w:ascii="新宋体" w:hAnsi="新宋体" w:eastAsia="新宋体" w:cs="新宋体"/>
          <w:b/>
          <w:color w:val="auto"/>
          <w:sz w:val="22"/>
          <w:szCs w:val="22"/>
          <w:highlight w:val="none"/>
        </w:rPr>
      </w:pPr>
      <w:bookmarkStart w:id="37" w:name="_Toc22152"/>
      <w:r>
        <w:rPr>
          <w:rFonts w:hint="eastAsia" w:ascii="新宋体" w:hAnsi="新宋体" w:eastAsia="新宋体" w:cs="新宋体"/>
          <w:b/>
          <w:color w:val="auto"/>
          <w:sz w:val="22"/>
          <w:szCs w:val="22"/>
          <w:highlight w:val="none"/>
        </w:rPr>
        <w:t>七、磋商供应商义务</w:t>
      </w:r>
      <w:bookmarkEnd w:id="37"/>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磋商供应商应随时接受磋商小组的询标，解答包括有关的商务技术、报价问题等。评审结束，所有评审资料存采购代理机构备查。</w:t>
      </w:r>
    </w:p>
    <w:p>
      <w:pPr>
        <w:spacing w:line="460" w:lineRule="exact"/>
        <w:ind w:firstLine="442" w:firstLineChars="200"/>
        <w:rPr>
          <w:rFonts w:hint="eastAsia" w:ascii="新宋体" w:hAnsi="新宋体" w:eastAsia="新宋体" w:cs="新宋体"/>
          <w:b/>
          <w:bCs/>
          <w:color w:val="auto"/>
          <w:kern w:val="0"/>
          <w:sz w:val="36"/>
          <w:szCs w:val="36"/>
          <w:highlight w:val="none"/>
          <w:lang w:bidi="ar"/>
        </w:rPr>
      </w:pPr>
      <w:r>
        <w:rPr>
          <w:rFonts w:hint="eastAsia" w:ascii="新宋体" w:hAnsi="新宋体" w:eastAsia="新宋体" w:cs="新宋体"/>
          <w:b/>
          <w:bCs/>
          <w:color w:val="auto"/>
          <w:sz w:val="22"/>
          <w:szCs w:val="22"/>
          <w:highlight w:val="none"/>
          <w:lang w:val="en-US" w:eastAsia="zh-CN" w:bidi="ar"/>
        </w:rPr>
        <w:t>2、成交单位须提供纸质磋商响应文件并加盖单位公章一份，送至代理公司</w:t>
      </w:r>
    </w:p>
    <w:sectPr>
      <w:headerReference r:id="rId8" w:type="default"/>
      <w:footerReference r:id="rId9" w:type="default"/>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entury Gothic">
    <w:altName w:val="Yu Gothic UI"/>
    <w:panose1 w:val="020B0502020202020204"/>
    <w:charset w:val="00"/>
    <w:family w:val="swiss"/>
    <w:pitch w:val="default"/>
    <w:sig w:usb0="00000000" w:usb1="00000000" w:usb2="00000000" w:usb3="00000000" w:csb0="2000009F" w:csb1="DFD70000"/>
  </w:font>
  <w:font w:name="楷体_GB2312">
    <w:altName w:val="楷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firstLine="4500" w:firstLineChars="250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6"/>
                            <w:rPr>
                              <w:rStyle w:val="56"/>
                              <w:rFonts w:hint="eastAsia"/>
                            </w:rPr>
                          </w:pPr>
                          <w:r>
                            <w:fldChar w:fldCharType="begin"/>
                          </w:r>
                          <w:r>
                            <w:rPr>
                              <w:rStyle w:val="56"/>
                            </w:rPr>
                            <w:instrText xml:space="preserve">PAGE  </w:instrText>
                          </w:r>
                          <w:r>
                            <w:fldChar w:fldCharType="separate"/>
                          </w:r>
                          <w:r>
                            <w:rPr>
                              <w:rStyle w:val="56"/>
                            </w:rPr>
                            <w:t>76</w:t>
                          </w:r>
                          <w:r>
                            <w:fldChar w:fldCharType="end"/>
                          </w:r>
                        </w:p>
                      </w:txbxContent>
                    </wps:txbx>
                    <wps:bodyPr wrap="none" lIns="0" tIns="0" rIns="0" bIns="0" upright="0">
                      <a:spAutoFit/>
                    </wps:bodyPr>
                  </wps:wsp>
                </a:graphicData>
              </a:graphic>
            </wp:anchor>
          </w:drawing>
        </mc:Choice>
        <mc:Fallback>
          <w:pict>
            <v:shape id="文本框 307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qUtxiNUBAACmAwAADgAAAAAAAAABACAA&#10;AAAiAQAAZHJzL2Uyb0RvYy54bWxQSwUGAAAAAAYABgBZAQAAaQUAAAAA&#10;">
              <v:fill on="f" focussize="0,0"/>
              <v:stroke on="f" weight="1.25pt"/>
              <v:imagedata o:title=""/>
              <o:lock v:ext="edit" aspectratio="f"/>
              <v:textbox inset="0mm,0mm,0mm,0mm" style="mso-fit-shape-to-text:t;">
                <w:txbxContent>
                  <w:p>
                    <w:pPr>
                      <w:pStyle w:val="36"/>
                      <w:rPr>
                        <w:rStyle w:val="56"/>
                        <w:rFonts w:hint="eastAsia"/>
                      </w:rPr>
                    </w:pPr>
                    <w:r>
                      <w:fldChar w:fldCharType="begin"/>
                    </w:r>
                    <w:r>
                      <w:rPr>
                        <w:rStyle w:val="56"/>
                      </w:rPr>
                      <w:instrText xml:space="preserve">PAGE  </w:instrText>
                    </w:r>
                    <w:r>
                      <w:fldChar w:fldCharType="separate"/>
                    </w:r>
                    <w:r>
                      <w:rPr>
                        <w:rStyle w:val="56"/>
                      </w:rPr>
                      <w:t>76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6"/>
                            <w:jc w:val="both"/>
                            <w:rPr>
                              <w:rStyle w:val="56"/>
                            </w:rPr>
                          </w:pPr>
                          <w:r>
                            <w:fldChar w:fldCharType="begin"/>
                          </w:r>
                          <w:r>
                            <w:rPr>
                              <w:rStyle w:val="56"/>
                            </w:rPr>
                            <w:instrText xml:space="preserve">PAGE  </w:instrText>
                          </w:r>
                          <w:r>
                            <w:fldChar w:fldCharType="separate"/>
                          </w:r>
                          <w:r>
                            <w:rPr>
                              <w:rStyle w:val="56"/>
                            </w:rPr>
                            <w:t>109</w:t>
                          </w:r>
                          <w:r>
                            <w:fldChar w:fldCharType="end"/>
                          </w:r>
                        </w:p>
                      </w:txbxContent>
                    </wps:txbx>
                    <wps:bodyPr wrap="none" lIns="0" tIns="0" rIns="0" bIns="0" upright="0">
                      <a:spAutoFit/>
                    </wps:bodyPr>
                  </wps:wsp>
                </a:graphicData>
              </a:graphic>
            </wp:anchor>
          </w:drawing>
        </mc:Choice>
        <mc:Fallback>
          <w:pict>
            <v:shape id="文本框 307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TE83fTAQAApgMAAA4AAAAAAAAAAQAgAAAA&#10;IgEAAGRycy9lMm9Eb2MueG1sUEsFBgAAAAAGAAYAWQEAAGcFAAAAAA==&#10;">
              <v:fill on="f" focussize="0,0"/>
              <v:stroke on="f" weight="1.25pt"/>
              <v:imagedata o:title=""/>
              <o:lock v:ext="edit" aspectratio="f"/>
              <v:textbox inset="0mm,0mm,0mm,0mm" style="mso-fit-shape-to-text:t;">
                <w:txbxContent>
                  <w:p>
                    <w:pPr>
                      <w:pStyle w:val="36"/>
                      <w:jc w:val="both"/>
                      <w:rPr>
                        <w:rStyle w:val="56"/>
                      </w:rPr>
                    </w:pPr>
                    <w:r>
                      <w:fldChar w:fldCharType="begin"/>
                    </w:r>
                    <w:r>
                      <w:rPr>
                        <w:rStyle w:val="56"/>
                      </w:rPr>
                      <w:instrText xml:space="preserve">PAGE  </w:instrText>
                    </w:r>
                    <w:r>
                      <w:fldChar w:fldCharType="separate"/>
                    </w:r>
                    <w:r>
                      <w:rPr>
                        <w:rStyle w:val="56"/>
                      </w:rPr>
                      <w:t>109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6" w:space="0"/>
      </w:pBdr>
      <w:jc w:val="both"/>
      <w:rPr>
        <w:rFonts w:hint="eastAsia"/>
      </w:rPr>
    </w:pPr>
    <w:r>
      <w:rPr>
        <w:rFonts w:hint="eastAsia" w:ascii="新宋体" w:hAnsi="新宋体" w:eastAsia="新宋体" w:cs="新宋体"/>
        <w:lang w:eastAsia="zh-CN"/>
      </w:rPr>
      <w:t>温州市洞头区政府采购磋商文件</w:t>
    </w:r>
    <w:r>
      <w:rPr>
        <w:rFonts w:hint="eastAsia" w:ascii="新宋体" w:hAnsi="新宋体" w:eastAsia="新宋体" w:cs="新宋体"/>
      </w:rPr>
      <w:t xml:space="preserve">                                         项目编号：</w:t>
    </w:r>
    <w:r>
      <w:rPr>
        <w:rFonts w:hint="eastAsia" w:ascii="新宋体" w:hAnsi="新宋体" w:eastAsia="新宋体" w:cs="新宋体"/>
        <w:lang w:eastAsia="zh-CN"/>
      </w:rPr>
      <w:t>DTCG20231213141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6" w:space="0"/>
      </w:pBdr>
      <w:jc w:val="both"/>
      <w:rPr>
        <w:rFonts w:hint="eastAsia"/>
      </w:rPr>
    </w:pPr>
    <w:r>
      <w:rPr>
        <w:rFonts w:hint="eastAsia" w:ascii="新宋体" w:hAnsi="新宋体" w:eastAsia="新宋体" w:cs="新宋体"/>
        <w:lang w:eastAsia="zh-CN"/>
      </w:rPr>
      <w:t>温州市洞头区政府采购磋商文件</w:t>
    </w:r>
    <w:r>
      <w:rPr>
        <w:rFonts w:hint="eastAsia" w:ascii="新宋体" w:hAnsi="新宋体" w:eastAsia="新宋体" w:cs="新宋体"/>
      </w:rPr>
      <w:t xml:space="preserve">                                         项目编号：</w:t>
    </w:r>
    <w:r>
      <w:rPr>
        <w:rFonts w:hint="eastAsia" w:ascii="新宋体" w:hAnsi="新宋体" w:eastAsia="新宋体" w:cs="新宋体"/>
        <w:lang w:eastAsia="zh-CN"/>
      </w:rPr>
      <w:t>DTCG20231213141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4" w:space="1"/>
      </w:pBdr>
      <w:jc w:val="both"/>
    </w:pPr>
    <w:r>
      <w:rPr>
        <w:rFonts w:hint="eastAsia" w:ascii="新宋体" w:hAnsi="新宋体" w:eastAsia="新宋体" w:cs="新宋体"/>
        <w:lang w:eastAsia="zh-CN"/>
      </w:rPr>
      <w:t>温州市洞头区政府采购磋商文件</w:t>
    </w:r>
    <w:r>
      <w:rPr>
        <w:rFonts w:hint="eastAsia" w:ascii="新宋体" w:hAnsi="新宋体" w:eastAsia="新宋体" w:cs="新宋体"/>
      </w:rPr>
      <w:t xml:space="preserve">                                         项目编号：</w:t>
    </w:r>
    <w:r>
      <w:rPr>
        <w:rFonts w:hint="eastAsia" w:ascii="新宋体" w:hAnsi="新宋体" w:eastAsia="新宋体" w:cs="新宋体"/>
        <w:lang w:eastAsia="zh-CN"/>
      </w:rPr>
      <w:t>DTCG20231213141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6" w:space="0"/>
      </w:pBdr>
      <w:jc w:val="both"/>
      <w:rPr>
        <w:rFonts w:hint="eastAsia"/>
      </w:rPr>
    </w:pPr>
    <w:r>
      <w:rPr>
        <w:rFonts w:hint="eastAsia" w:ascii="新宋体" w:hAnsi="新宋体" w:eastAsia="新宋体" w:cs="新宋体"/>
        <w:lang w:eastAsia="zh-CN"/>
      </w:rPr>
      <w:t>温州市洞头区政府采购磋商文件</w:t>
    </w:r>
    <w:r>
      <w:rPr>
        <w:rFonts w:hint="eastAsia" w:ascii="新宋体" w:hAnsi="新宋体" w:eastAsia="新宋体" w:cs="新宋体"/>
      </w:rPr>
      <w:t xml:space="preserve">                                         项目编号：</w:t>
    </w:r>
    <w:r>
      <w:rPr>
        <w:rFonts w:hint="eastAsia" w:ascii="新宋体" w:hAnsi="新宋体" w:eastAsia="新宋体" w:cs="新宋体"/>
        <w:lang w:eastAsia="zh-CN"/>
      </w:rPr>
      <w:t>DTCG20231213141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9EC89"/>
    <w:multiLevelType w:val="singleLevel"/>
    <w:tmpl w:val="BAF9EC8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4,5"/>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YTVjYmYwZTlkYjdhYjA2YzdkM2U2ZmIwODI4MDcifQ=="/>
  </w:docVars>
  <w:rsids>
    <w:rsidRoot w:val="00172A27"/>
    <w:rsid w:val="0002229F"/>
    <w:rsid w:val="00025DC7"/>
    <w:rsid w:val="001330A2"/>
    <w:rsid w:val="0019455F"/>
    <w:rsid w:val="001D7D7C"/>
    <w:rsid w:val="003033AF"/>
    <w:rsid w:val="003A2A47"/>
    <w:rsid w:val="003B1E8D"/>
    <w:rsid w:val="003E6FB1"/>
    <w:rsid w:val="00467882"/>
    <w:rsid w:val="00475AAE"/>
    <w:rsid w:val="005736BA"/>
    <w:rsid w:val="0057485A"/>
    <w:rsid w:val="005978B8"/>
    <w:rsid w:val="005F0A4C"/>
    <w:rsid w:val="00605459"/>
    <w:rsid w:val="006F0BE0"/>
    <w:rsid w:val="0074694C"/>
    <w:rsid w:val="0075479D"/>
    <w:rsid w:val="00767F98"/>
    <w:rsid w:val="0077607E"/>
    <w:rsid w:val="007953A3"/>
    <w:rsid w:val="007A5A00"/>
    <w:rsid w:val="008011C5"/>
    <w:rsid w:val="00824181"/>
    <w:rsid w:val="00872009"/>
    <w:rsid w:val="008C715B"/>
    <w:rsid w:val="008E3815"/>
    <w:rsid w:val="00944BC5"/>
    <w:rsid w:val="009D6EF6"/>
    <w:rsid w:val="009E4FBA"/>
    <w:rsid w:val="009F445E"/>
    <w:rsid w:val="00B61CE5"/>
    <w:rsid w:val="00B72974"/>
    <w:rsid w:val="00B75F10"/>
    <w:rsid w:val="00B90220"/>
    <w:rsid w:val="00BE7C5D"/>
    <w:rsid w:val="00C85187"/>
    <w:rsid w:val="00CA35F5"/>
    <w:rsid w:val="00CE261F"/>
    <w:rsid w:val="00D14C34"/>
    <w:rsid w:val="00D202C2"/>
    <w:rsid w:val="00D31581"/>
    <w:rsid w:val="00D912EB"/>
    <w:rsid w:val="00D95FAF"/>
    <w:rsid w:val="00DA24F1"/>
    <w:rsid w:val="00DB6D78"/>
    <w:rsid w:val="00DD141F"/>
    <w:rsid w:val="00DF49CA"/>
    <w:rsid w:val="00E348BC"/>
    <w:rsid w:val="00EC2597"/>
    <w:rsid w:val="00F42E54"/>
    <w:rsid w:val="00F505AC"/>
    <w:rsid w:val="00FA24F1"/>
    <w:rsid w:val="00FB7D84"/>
    <w:rsid w:val="00FC4656"/>
    <w:rsid w:val="01372171"/>
    <w:rsid w:val="013F27ED"/>
    <w:rsid w:val="01444FC2"/>
    <w:rsid w:val="01510A39"/>
    <w:rsid w:val="015277DC"/>
    <w:rsid w:val="017973E5"/>
    <w:rsid w:val="01BB610E"/>
    <w:rsid w:val="01F15D70"/>
    <w:rsid w:val="01F47F99"/>
    <w:rsid w:val="020E0E62"/>
    <w:rsid w:val="02241550"/>
    <w:rsid w:val="02437BF2"/>
    <w:rsid w:val="024A13AC"/>
    <w:rsid w:val="02614B1A"/>
    <w:rsid w:val="02974AC8"/>
    <w:rsid w:val="03002925"/>
    <w:rsid w:val="030771E5"/>
    <w:rsid w:val="034C70E3"/>
    <w:rsid w:val="03541CD8"/>
    <w:rsid w:val="035449CF"/>
    <w:rsid w:val="035E4655"/>
    <w:rsid w:val="03601F25"/>
    <w:rsid w:val="03756184"/>
    <w:rsid w:val="03973EA6"/>
    <w:rsid w:val="03E3512A"/>
    <w:rsid w:val="04113D07"/>
    <w:rsid w:val="043053DA"/>
    <w:rsid w:val="044F4C88"/>
    <w:rsid w:val="04652426"/>
    <w:rsid w:val="04A51BAC"/>
    <w:rsid w:val="04B539BC"/>
    <w:rsid w:val="04CB22A6"/>
    <w:rsid w:val="05011E4D"/>
    <w:rsid w:val="050D4A5F"/>
    <w:rsid w:val="05241C5C"/>
    <w:rsid w:val="054D23D8"/>
    <w:rsid w:val="057C6E97"/>
    <w:rsid w:val="05B54827"/>
    <w:rsid w:val="05E2749C"/>
    <w:rsid w:val="05E9329B"/>
    <w:rsid w:val="05F067CB"/>
    <w:rsid w:val="06163BD1"/>
    <w:rsid w:val="062A2873"/>
    <w:rsid w:val="06402525"/>
    <w:rsid w:val="070545E2"/>
    <w:rsid w:val="0705724E"/>
    <w:rsid w:val="073564AA"/>
    <w:rsid w:val="073E3690"/>
    <w:rsid w:val="07453BEF"/>
    <w:rsid w:val="0747552D"/>
    <w:rsid w:val="07544F67"/>
    <w:rsid w:val="076E786E"/>
    <w:rsid w:val="07AA128D"/>
    <w:rsid w:val="07B16BEF"/>
    <w:rsid w:val="07C30E4D"/>
    <w:rsid w:val="07EF6B7E"/>
    <w:rsid w:val="07F43B72"/>
    <w:rsid w:val="07FF20A7"/>
    <w:rsid w:val="082E6AED"/>
    <w:rsid w:val="08301451"/>
    <w:rsid w:val="087972CF"/>
    <w:rsid w:val="08805ACF"/>
    <w:rsid w:val="089A0148"/>
    <w:rsid w:val="08A072E6"/>
    <w:rsid w:val="0908668B"/>
    <w:rsid w:val="09387F7D"/>
    <w:rsid w:val="09405F6A"/>
    <w:rsid w:val="096B25B6"/>
    <w:rsid w:val="096D3384"/>
    <w:rsid w:val="098C12EA"/>
    <w:rsid w:val="09C073F6"/>
    <w:rsid w:val="0A2A19F9"/>
    <w:rsid w:val="0A2A628A"/>
    <w:rsid w:val="0A4A4820"/>
    <w:rsid w:val="0A7022A3"/>
    <w:rsid w:val="0A97481C"/>
    <w:rsid w:val="0AA85CD1"/>
    <w:rsid w:val="0AE3391E"/>
    <w:rsid w:val="0AEB0F5B"/>
    <w:rsid w:val="0AEB534A"/>
    <w:rsid w:val="0AEC0A73"/>
    <w:rsid w:val="0B08561C"/>
    <w:rsid w:val="0B0F3B3C"/>
    <w:rsid w:val="0B1A73CC"/>
    <w:rsid w:val="0B390717"/>
    <w:rsid w:val="0B3C7418"/>
    <w:rsid w:val="0B793B03"/>
    <w:rsid w:val="0B7D2716"/>
    <w:rsid w:val="0B7D6DAE"/>
    <w:rsid w:val="0BBF3BC6"/>
    <w:rsid w:val="0BCB14A3"/>
    <w:rsid w:val="0BD66F7F"/>
    <w:rsid w:val="0C015C4E"/>
    <w:rsid w:val="0C262886"/>
    <w:rsid w:val="0C272E0B"/>
    <w:rsid w:val="0C331F58"/>
    <w:rsid w:val="0C3A18FA"/>
    <w:rsid w:val="0C55046C"/>
    <w:rsid w:val="0C710F12"/>
    <w:rsid w:val="0C8D5356"/>
    <w:rsid w:val="0C935463"/>
    <w:rsid w:val="0CBB2740"/>
    <w:rsid w:val="0CFD7670"/>
    <w:rsid w:val="0CFF7854"/>
    <w:rsid w:val="0D131EEF"/>
    <w:rsid w:val="0D1E6764"/>
    <w:rsid w:val="0D217569"/>
    <w:rsid w:val="0D3F34E2"/>
    <w:rsid w:val="0D452BE9"/>
    <w:rsid w:val="0D545189"/>
    <w:rsid w:val="0D677729"/>
    <w:rsid w:val="0D6B6185"/>
    <w:rsid w:val="0D7553C0"/>
    <w:rsid w:val="0D9715BA"/>
    <w:rsid w:val="0DA32347"/>
    <w:rsid w:val="0DB84DC7"/>
    <w:rsid w:val="0DE934ED"/>
    <w:rsid w:val="0DFC74A1"/>
    <w:rsid w:val="0E053600"/>
    <w:rsid w:val="0E48055A"/>
    <w:rsid w:val="0E892B37"/>
    <w:rsid w:val="0EB95367"/>
    <w:rsid w:val="0ECA1221"/>
    <w:rsid w:val="0ED10E9D"/>
    <w:rsid w:val="0EDE7AD9"/>
    <w:rsid w:val="0F2261B2"/>
    <w:rsid w:val="0F3A4857"/>
    <w:rsid w:val="0F5D2358"/>
    <w:rsid w:val="0F762C4A"/>
    <w:rsid w:val="0F79019B"/>
    <w:rsid w:val="0FA74B23"/>
    <w:rsid w:val="0FBE1ECE"/>
    <w:rsid w:val="0FD36534"/>
    <w:rsid w:val="0FDF2AA2"/>
    <w:rsid w:val="0FE20A73"/>
    <w:rsid w:val="10003DE9"/>
    <w:rsid w:val="100376D9"/>
    <w:rsid w:val="1006133A"/>
    <w:rsid w:val="104211F7"/>
    <w:rsid w:val="106F71AB"/>
    <w:rsid w:val="10C12337"/>
    <w:rsid w:val="10C47A4A"/>
    <w:rsid w:val="10C928E0"/>
    <w:rsid w:val="10D90315"/>
    <w:rsid w:val="10E536D5"/>
    <w:rsid w:val="1126516A"/>
    <w:rsid w:val="11C43551"/>
    <w:rsid w:val="11DF71C9"/>
    <w:rsid w:val="120D4517"/>
    <w:rsid w:val="122311E2"/>
    <w:rsid w:val="125257CA"/>
    <w:rsid w:val="12AF7CF6"/>
    <w:rsid w:val="12B60843"/>
    <w:rsid w:val="12BB3B36"/>
    <w:rsid w:val="12D637BE"/>
    <w:rsid w:val="12DA4BE2"/>
    <w:rsid w:val="12F01674"/>
    <w:rsid w:val="12FA6151"/>
    <w:rsid w:val="131266F0"/>
    <w:rsid w:val="13580201"/>
    <w:rsid w:val="13635613"/>
    <w:rsid w:val="13A90F03"/>
    <w:rsid w:val="13BE6268"/>
    <w:rsid w:val="13C93111"/>
    <w:rsid w:val="1407509A"/>
    <w:rsid w:val="143652C2"/>
    <w:rsid w:val="144012B7"/>
    <w:rsid w:val="14842E95"/>
    <w:rsid w:val="148630D9"/>
    <w:rsid w:val="14F95557"/>
    <w:rsid w:val="150B2E49"/>
    <w:rsid w:val="1585042C"/>
    <w:rsid w:val="158774D0"/>
    <w:rsid w:val="159E4E04"/>
    <w:rsid w:val="15B801E1"/>
    <w:rsid w:val="15E94B40"/>
    <w:rsid w:val="15E96100"/>
    <w:rsid w:val="15F3003D"/>
    <w:rsid w:val="16075434"/>
    <w:rsid w:val="161A56A4"/>
    <w:rsid w:val="162B27E6"/>
    <w:rsid w:val="163004AD"/>
    <w:rsid w:val="165565E3"/>
    <w:rsid w:val="16630751"/>
    <w:rsid w:val="166E0962"/>
    <w:rsid w:val="167F5567"/>
    <w:rsid w:val="16805BE4"/>
    <w:rsid w:val="1693619A"/>
    <w:rsid w:val="16A63BA0"/>
    <w:rsid w:val="16AA3642"/>
    <w:rsid w:val="16F94DEE"/>
    <w:rsid w:val="171B618B"/>
    <w:rsid w:val="17505412"/>
    <w:rsid w:val="175F4275"/>
    <w:rsid w:val="178779AC"/>
    <w:rsid w:val="17981ED7"/>
    <w:rsid w:val="17B9696A"/>
    <w:rsid w:val="17D66CEA"/>
    <w:rsid w:val="1826131F"/>
    <w:rsid w:val="18271D4B"/>
    <w:rsid w:val="184673D4"/>
    <w:rsid w:val="18642035"/>
    <w:rsid w:val="1877210B"/>
    <w:rsid w:val="18DA5364"/>
    <w:rsid w:val="18E109AB"/>
    <w:rsid w:val="18E64FD6"/>
    <w:rsid w:val="19455539"/>
    <w:rsid w:val="194B0024"/>
    <w:rsid w:val="194D1E03"/>
    <w:rsid w:val="196210F5"/>
    <w:rsid w:val="196868F5"/>
    <w:rsid w:val="196E79CE"/>
    <w:rsid w:val="19EC27FE"/>
    <w:rsid w:val="1A1071C9"/>
    <w:rsid w:val="1A340690"/>
    <w:rsid w:val="1A8861D5"/>
    <w:rsid w:val="1A8E4AD8"/>
    <w:rsid w:val="1A9B5DE8"/>
    <w:rsid w:val="1AF759DC"/>
    <w:rsid w:val="1B2077BF"/>
    <w:rsid w:val="1B4643E1"/>
    <w:rsid w:val="1B545937"/>
    <w:rsid w:val="1BBB665B"/>
    <w:rsid w:val="1BF57F17"/>
    <w:rsid w:val="1C085913"/>
    <w:rsid w:val="1C2568C9"/>
    <w:rsid w:val="1C32098C"/>
    <w:rsid w:val="1C3705CD"/>
    <w:rsid w:val="1C420BEA"/>
    <w:rsid w:val="1C760ACE"/>
    <w:rsid w:val="1C794E77"/>
    <w:rsid w:val="1C9660BA"/>
    <w:rsid w:val="1CBE4C52"/>
    <w:rsid w:val="1CDA36AB"/>
    <w:rsid w:val="1CE16994"/>
    <w:rsid w:val="1D042D5C"/>
    <w:rsid w:val="1D07422E"/>
    <w:rsid w:val="1D2031B4"/>
    <w:rsid w:val="1D31465B"/>
    <w:rsid w:val="1D4D4E89"/>
    <w:rsid w:val="1D934B33"/>
    <w:rsid w:val="1D984AA7"/>
    <w:rsid w:val="1DC96A5B"/>
    <w:rsid w:val="1DCC2305"/>
    <w:rsid w:val="1DE72054"/>
    <w:rsid w:val="1DE8273A"/>
    <w:rsid w:val="1E4235E0"/>
    <w:rsid w:val="1E694D77"/>
    <w:rsid w:val="1E733517"/>
    <w:rsid w:val="1EA0401F"/>
    <w:rsid w:val="1EB25A2D"/>
    <w:rsid w:val="1EC1289C"/>
    <w:rsid w:val="1EC85D86"/>
    <w:rsid w:val="1ED406AD"/>
    <w:rsid w:val="1EDF5DFF"/>
    <w:rsid w:val="1F0115E6"/>
    <w:rsid w:val="1F400D45"/>
    <w:rsid w:val="1F5B0E3C"/>
    <w:rsid w:val="1F812736"/>
    <w:rsid w:val="1F997D08"/>
    <w:rsid w:val="1F9A0B7D"/>
    <w:rsid w:val="1FA761CE"/>
    <w:rsid w:val="1FAD00B8"/>
    <w:rsid w:val="1FC638E1"/>
    <w:rsid w:val="1FC740F3"/>
    <w:rsid w:val="1FD32D30"/>
    <w:rsid w:val="1FDA6A1D"/>
    <w:rsid w:val="1FE57748"/>
    <w:rsid w:val="20077099"/>
    <w:rsid w:val="200D6F47"/>
    <w:rsid w:val="20125A90"/>
    <w:rsid w:val="201E17F0"/>
    <w:rsid w:val="2028604D"/>
    <w:rsid w:val="203C74A5"/>
    <w:rsid w:val="2053359A"/>
    <w:rsid w:val="210407C2"/>
    <w:rsid w:val="21365423"/>
    <w:rsid w:val="213A4458"/>
    <w:rsid w:val="213D35C4"/>
    <w:rsid w:val="219465A8"/>
    <w:rsid w:val="21A572BA"/>
    <w:rsid w:val="21C72E96"/>
    <w:rsid w:val="22273C78"/>
    <w:rsid w:val="22611515"/>
    <w:rsid w:val="227472EC"/>
    <w:rsid w:val="22953CD1"/>
    <w:rsid w:val="22BC2FE9"/>
    <w:rsid w:val="23093AA8"/>
    <w:rsid w:val="238610A7"/>
    <w:rsid w:val="2387736F"/>
    <w:rsid w:val="23A07A94"/>
    <w:rsid w:val="24327716"/>
    <w:rsid w:val="244A4713"/>
    <w:rsid w:val="244E0E93"/>
    <w:rsid w:val="24C10CA1"/>
    <w:rsid w:val="25001CA1"/>
    <w:rsid w:val="25007996"/>
    <w:rsid w:val="25133EC3"/>
    <w:rsid w:val="253F1B87"/>
    <w:rsid w:val="25831E3A"/>
    <w:rsid w:val="25BC27B3"/>
    <w:rsid w:val="25C15516"/>
    <w:rsid w:val="25D961F9"/>
    <w:rsid w:val="25DC45DF"/>
    <w:rsid w:val="26067BCA"/>
    <w:rsid w:val="26245372"/>
    <w:rsid w:val="264B1EE2"/>
    <w:rsid w:val="264B6355"/>
    <w:rsid w:val="265F16DD"/>
    <w:rsid w:val="26627459"/>
    <w:rsid w:val="26BB5760"/>
    <w:rsid w:val="26C413CE"/>
    <w:rsid w:val="26D15A67"/>
    <w:rsid w:val="26F84ED3"/>
    <w:rsid w:val="26FD49E5"/>
    <w:rsid w:val="27177B5F"/>
    <w:rsid w:val="27215E15"/>
    <w:rsid w:val="273374C3"/>
    <w:rsid w:val="27352E0C"/>
    <w:rsid w:val="27691FEB"/>
    <w:rsid w:val="276C2A47"/>
    <w:rsid w:val="27995126"/>
    <w:rsid w:val="27D822AE"/>
    <w:rsid w:val="27FB6EF7"/>
    <w:rsid w:val="280B7BBA"/>
    <w:rsid w:val="280F5A57"/>
    <w:rsid w:val="286607D4"/>
    <w:rsid w:val="28AB52FD"/>
    <w:rsid w:val="28B700EB"/>
    <w:rsid w:val="28BB1CFA"/>
    <w:rsid w:val="28C93469"/>
    <w:rsid w:val="29007903"/>
    <w:rsid w:val="291E3312"/>
    <w:rsid w:val="294C745E"/>
    <w:rsid w:val="299A46A2"/>
    <w:rsid w:val="29C05EFF"/>
    <w:rsid w:val="29C1387D"/>
    <w:rsid w:val="2A0540EB"/>
    <w:rsid w:val="2A450970"/>
    <w:rsid w:val="2A4B75E1"/>
    <w:rsid w:val="2A8F75F4"/>
    <w:rsid w:val="2A9A167B"/>
    <w:rsid w:val="2AEC78EA"/>
    <w:rsid w:val="2AF00FDF"/>
    <w:rsid w:val="2B165412"/>
    <w:rsid w:val="2B536385"/>
    <w:rsid w:val="2B60509A"/>
    <w:rsid w:val="2B955CE5"/>
    <w:rsid w:val="2BA43086"/>
    <w:rsid w:val="2BA44C1F"/>
    <w:rsid w:val="2BBD0A52"/>
    <w:rsid w:val="2BC479C2"/>
    <w:rsid w:val="2BC76B01"/>
    <w:rsid w:val="2BD42700"/>
    <w:rsid w:val="2BEC7E2C"/>
    <w:rsid w:val="2C1D7843"/>
    <w:rsid w:val="2C242D48"/>
    <w:rsid w:val="2C294F8C"/>
    <w:rsid w:val="2C345177"/>
    <w:rsid w:val="2C4C6FDD"/>
    <w:rsid w:val="2C6B6A7F"/>
    <w:rsid w:val="2CAA6184"/>
    <w:rsid w:val="2CAE3665"/>
    <w:rsid w:val="2D067826"/>
    <w:rsid w:val="2D317999"/>
    <w:rsid w:val="2D4E6221"/>
    <w:rsid w:val="2D6B4B28"/>
    <w:rsid w:val="2DAD44BA"/>
    <w:rsid w:val="2DAF14C1"/>
    <w:rsid w:val="2DFF4A83"/>
    <w:rsid w:val="2E122008"/>
    <w:rsid w:val="2E2E2168"/>
    <w:rsid w:val="2E40448B"/>
    <w:rsid w:val="2E6F4D13"/>
    <w:rsid w:val="2E8779E7"/>
    <w:rsid w:val="2EC861BD"/>
    <w:rsid w:val="2EE20276"/>
    <w:rsid w:val="2F025B51"/>
    <w:rsid w:val="2F032CD9"/>
    <w:rsid w:val="2F467B91"/>
    <w:rsid w:val="2F5479BA"/>
    <w:rsid w:val="2F652DBB"/>
    <w:rsid w:val="2F6C589B"/>
    <w:rsid w:val="2FC87C04"/>
    <w:rsid w:val="30253D18"/>
    <w:rsid w:val="304618DE"/>
    <w:rsid w:val="304E56F7"/>
    <w:rsid w:val="306B04F2"/>
    <w:rsid w:val="30D00A85"/>
    <w:rsid w:val="311F6DD1"/>
    <w:rsid w:val="31280E5F"/>
    <w:rsid w:val="315328B2"/>
    <w:rsid w:val="315C0464"/>
    <w:rsid w:val="317E778D"/>
    <w:rsid w:val="31A729C5"/>
    <w:rsid w:val="31AC33EA"/>
    <w:rsid w:val="31C730E6"/>
    <w:rsid w:val="32314873"/>
    <w:rsid w:val="32556035"/>
    <w:rsid w:val="32572E2A"/>
    <w:rsid w:val="329125B9"/>
    <w:rsid w:val="32A06764"/>
    <w:rsid w:val="32B42BC5"/>
    <w:rsid w:val="32B703C5"/>
    <w:rsid w:val="32D5578E"/>
    <w:rsid w:val="331B051A"/>
    <w:rsid w:val="332A470C"/>
    <w:rsid w:val="333E0AA9"/>
    <w:rsid w:val="33492157"/>
    <w:rsid w:val="334D54A5"/>
    <w:rsid w:val="338C350C"/>
    <w:rsid w:val="33A725A4"/>
    <w:rsid w:val="33DF5176"/>
    <w:rsid w:val="33E96E13"/>
    <w:rsid w:val="34104E5F"/>
    <w:rsid w:val="341C76D3"/>
    <w:rsid w:val="34294B27"/>
    <w:rsid w:val="342F1C9A"/>
    <w:rsid w:val="343A07D4"/>
    <w:rsid w:val="34454660"/>
    <w:rsid w:val="346F0C7C"/>
    <w:rsid w:val="3472746F"/>
    <w:rsid w:val="34AB08B2"/>
    <w:rsid w:val="34CD2882"/>
    <w:rsid w:val="34F7608F"/>
    <w:rsid w:val="35131158"/>
    <w:rsid w:val="352441F3"/>
    <w:rsid w:val="352F238C"/>
    <w:rsid w:val="354E6AA6"/>
    <w:rsid w:val="3561697A"/>
    <w:rsid w:val="359039E0"/>
    <w:rsid w:val="35930319"/>
    <w:rsid w:val="35E64754"/>
    <w:rsid w:val="360C55AE"/>
    <w:rsid w:val="361B6F0C"/>
    <w:rsid w:val="366E2AEA"/>
    <w:rsid w:val="367F3CF4"/>
    <w:rsid w:val="3693324F"/>
    <w:rsid w:val="36AC2B1C"/>
    <w:rsid w:val="36B81822"/>
    <w:rsid w:val="36DD4630"/>
    <w:rsid w:val="36EC2369"/>
    <w:rsid w:val="36FF319C"/>
    <w:rsid w:val="375F7D75"/>
    <w:rsid w:val="377E549D"/>
    <w:rsid w:val="3790271A"/>
    <w:rsid w:val="37A42FCE"/>
    <w:rsid w:val="37AC2C61"/>
    <w:rsid w:val="37BF3380"/>
    <w:rsid w:val="380E4F1F"/>
    <w:rsid w:val="3811327A"/>
    <w:rsid w:val="3820632F"/>
    <w:rsid w:val="38262013"/>
    <w:rsid w:val="383662C7"/>
    <w:rsid w:val="38432EAC"/>
    <w:rsid w:val="384A0536"/>
    <w:rsid w:val="38930D40"/>
    <w:rsid w:val="38FB2756"/>
    <w:rsid w:val="39213268"/>
    <w:rsid w:val="39617AB4"/>
    <w:rsid w:val="39643619"/>
    <w:rsid w:val="39CD32B0"/>
    <w:rsid w:val="3A9C4BBA"/>
    <w:rsid w:val="3A9F2513"/>
    <w:rsid w:val="3AB07AF3"/>
    <w:rsid w:val="3AC72086"/>
    <w:rsid w:val="3AC751D2"/>
    <w:rsid w:val="3AFF6E61"/>
    <w:rsid w:val="3B3E6753"/>
    <w:rsid w:val="3B5C2617"/>
    <w:rsid w:val="3B8F3278"/>
    <w:rsid w:val="3BEF0CF0"/>
    <w:rsid w:val="3BF93AB6"/>
    <w:rsid w:val="3C0C7345"/>
    <w:rsid w:val="3C1425E4"/>
    <w:rsid w:val="3C3E6F24"/>
    <w:rsid w:val="3C7D7C99"/>
    <w:rsid w:val="3C9B1352"/>
    <w:rsid w:val="3CAC6DBA"/>
    <w:rsid w:val="3CC5239C"/>
    <w:rsid w:val="3D045191"/>
    <w:rsid w:val="3D380096"/>
    <w:rsid w:val="3D4C0BB6"/>
    <w:rsid w:val="3D507557"/>
    <w:rsid w:val="3D585B11"/>
    <w:rsid w:val="3D6669E6"/>
    <w:rsid w:val="3D7409E0"/>
    <w:rsid w:val="3D755F99"/>
    <w:rsid w:val="3D7A2502"/>
    <w:rsid w:val="3DD35929"/>
    <w:rsid w:val="3DD50953"/>
    <w:rsid w:val="3DD705A5"/>
    <w:rsid w:val="3E0A6B94"/>
    <w:rsid w:val="3E4C63DD"/>
    <w:rsid w:val="3E59117D"/>
    <w:rsid w:val="3EC12A78"/>
    <w:rsid w:val="3EDD4A14"/>
    <w:rsid w:val="3EFD35FC"/>
    <w:rsid w:val="3F1C67B3"/>
    <w:rsid w:val="3F4E0AF4"/>
    <w:rsid w:val="3F6131BF"/>
    <w:rsid w:val="3F87161D"/>
    <w:rsid w:val="3FC245C5"/>
    <w:rsid w:val="3FCB1275"/>
    <w:rsid w:val="3FF43235"/>
    <w:rsid w:val="3FF45099"/>
    <w:rsid w:val="401D6D4D"/>
    <w:rsid w:val="40254781"/>
    <w:rsid w:val="403060F0"/>
    <w:rsid w:val="40336A17"/>
    <w:rsid w:val="409B372F"/>
    <w:rsid w:val="40A065BD"/>
    <w:rsid w:val="40AB39E0"/>
    <w:rsid w:val="40B3401B"/>
    <w:rsid w:val="40BC5D48"/>
    <w:rsid w:val="40FF1F62"/>
    <w:rsid w:val="4197782B"/>
    <w:rsid w:val="41A535AA"/>
    <w:rsid w:val="41E16A27"/>
    <w:rsid w:val="4237178D"/>
    <w:rsid w:val="4241137D"/>
    <w:rsid w:val="429C1435"/>
    <w:rsid w:val="42A15FF5"/>
    <w:rsid w:val="42E16EB3"/>
    <w:rsid w:val="42E34762"/>
    <w:rsid w:val="42E47207"/>
    <w:rsid w:val="42E94B51"/>
    <w:rsid w:val="4314169A"/>
    <w:rsid w:val="432705CC"/>
    <w:rsid w:val="434004A6"/>
    <w:rsid w:val="43470FC4"/>
    <w:rsid w:val="435A06C4"/>
    <w:rsid w:val="43665A5C"/>
    <w:rsid w:val="439F1B8F"/>
    <w:rsid w:val="43B8313D"/>
    <w:rsid w:val="4431337C"/>
    <w:rsid w:val="443644DA"/>
    <w:rsid w:val="444730A2"/>
    <w:rsid w:val="44473503"/>
    <w:rsid w:val="444A72BB"/>
    <w:rsid w:val="44587DBF"/>
    <w:rsid w:val="449F563D"/>
    <w:rsid w:val="44BB1973"/>
    <w:rsid w:val="44E57F64"/>
    <w:rsid w:val="44EB0D5C"/>
    <w:rsid w:val="44FE278B"/>
    <w:rsid w:val="456C41D2"/>
    <w:rsid w:val="45714C61"/>
    <w:rsid w:val="458F25B2"/>
    <w:rsid w:val="45926E86"/>
    <w:rsid w:val="45AE7BDE"/>
    <w:rsid w:val="45BB4E97"/>
    <w:rsid w:val="45EE76B2"/>
    <w:rsid w:val="46544D63"/>
    <w:rsid w:val="46840369"/>
    <w:rsid w:val="469461AE"/>
    <w:rsid w:val="46990B0B"/>
    <w:rsid w:val="46C96D69"/>
    <w:rsid w:val="46CD560B"/>
    <w:rsid w:val="46CD7FE0"/>
    <w:rsid w:val="470671AC"/>
    <w:rsid w:val="47156ABE"/>
    <w:rsid w:val="47166DC7"/>
    <w:rsid w:val="472D6924"/>
    <w:rsid w:val="47AB6627"/>
    <w:rsid w:val="47AC2748"/>
    <w:rsid w:val="47AF1047"/>
    <w:rsid w:val="47C05CA9"/>
    <w:rsid w:val="47F354E7"/>
    <w:rsid w:val="48392FEA"/>
    <w:rsid w:val="48690867"/>
    <w:rsid w:val="488C61D2"/>
    <w:rsid w:val="48991014"/>
    <w:rsid w:val="48D00E58"/>
    <w:rsid w:val="48DF1DC3"/>
    <w:rsid w:val="48EF319B"/>
    <w:rsid w:val="48EF714D"/>
    <w:rsid w:val="4924281B"/>
    <w:rsid w:val="49321AAF"/>
    <w:rsid w:val="49357497"/>
    <w:rsid w:val="494F75D6"/>
    <w:rsid w:val="495F69C1"/>
    <w:rsid w:val="49604C7E"/>
    <w:rsid w:val="496770E4"/>
    <w:rsid w:val="4981769A"/>
    <w:rsid w:val="49AC2396"/>
    <w:rsid w:val="49AD3D5C"/>
    <w:rsid w:val="49C56596"/>
    <w:rsid w:val="4A2138A6"/>
    <w:rsid w:val="4A48022F"/>
    <w:rsid w:val="4A5E6550"/>
    <w:rsid w:val="4A7103C0"/>
    <w:rsid w:val="4A7D7970"/>
    <w:rsid w:val="4ABF2E3F"/>
    <w:rsid w:val="4AE36565"/>
    <w:rsid w:val="4AE419A1"/>
    <w:rsid w:val="4AEC71C1"/>
    <w:rsid w:val="4AFF0413"/>
    <w:rsid w:val="4B066AD1"/>
    <w:rsid w:val="4B6141D4"/>
    <w:rsid w:val="4C227943"/>
    <w:rsid w:val="4C9778E8"/>
    <w:rsid w:val="4C9F2852"/>
    <w:rsid w:val="4CB27F58"/>
    <w:rsid w:val="4CB92ABE"/>
    <w:rsid w:val="4CCC6242"/>
    <w:rsid w:val="4D0900C6"/>
    <w:rsid w:val="4D096E8F"/>
    <w:rsid w:val="4D2E10C3"/>
    <w:rsid w:val="4D2E48C1"/>
    <w:rsid w:val="4D3413B0"/>
    <w:rsid w:val="4D653CC4"/>
    <w:rsid w:val="4D6F4EDD"/>
    <w:rsid w:val="4D854E1E"/>
    <w:rsid w:val="4D896C70"/>
    <w:rsid w:val="4DA145FE"/>
    <w:rsid w:val="4DCF60C5"/>
    <w:rsid w:val="4E103A51"/>
    <w:rsid w:val="4E1C751D"/>
    <w:rsid w:val="4E2A36E9"/>
    <w:rsid w:val="4E2C41C7"/>
    <w:rsid w:val="4E4671B8"/>
    <w:rsid w:val="4E522D0C"/>
    <w:rsid w:val="4E5C62DB"/>
    <w:rsid w:val="4EB44BE7"/>
    <w:rsid w:val="4F105740"/>
    <w:rsid w:val="4F161CB3"/>
    <w:rsid w:val="4F3717BD"/>
    <w:rsid w:val="4F5F021D"/>
    <w:rsid w:val="4F610FB8"/>
    <w:rsid w:val="4F933017"/>
    <w:rsid w:val="4FB575BC"/>
    <w:rsid w:val="4FD84E79"/>
    <w:rsid w:val="4FDF2870"/>
    <w:rsid w:val="50132220"/>
    <w:rsid w:val="5026426A"/>
    <w:rsid w:val="50445F58"/>
    <w:rsid w:val="504A26F6"/>
    <w:rsid w:val="504F2B7C"/>
    <w:rsid w:val="50750D8C"/>
    <w:rsid w:val="50A456F9"/>
    <w:rsid w:val="50E50AC2"/>
    <w:rsid w:val="50F37CB3"/>
    <w:rsid w:val="510961FA"/>
    <w:rsid w:val="51256C9D"/>
    <w:rsid w:val="514915AE"/>
    <w:rsid w:val="51622499"/>
    <w:rsid w:val="51851CDF"/>
    <w:rsid w:val="519A7D87"/>
    <w:rsid w:val="51AC33C5"/>
    <w:rsid w:val="51AF57C6"/>
    <w:rsid w:val="51D91B03"/>
    <w:rsid w:val="523562A6"/>
    <w:rsid w:val="524A562E"/>
    <w:rsid w:val="524F15CA"/>
    <w:rsid w:val="52601278"/>
    <w:rsid w:val="5288376A"/>
    <w:rsid w:val="52C32C39"/>
    <w:rsid w:val="52D474B8"/>
    <w:rsid w:val="52DD1C78"/>
    <w:rsid w:val="52ED05BC"/>
    <w:rsid w:val="5319496F"/>
    <w:rsid w:val="533711EA"/>
    <w:rsid w:val="53567BEF"/>
    <w:rsid w:val="53576E60"/>
    <w:rsid w:val="53816B21"/>
    <w:rsid w:val="538610B8"/>
    <w:rsid w:val="53B319B5"/>
    <w:rsid w:val="54421A1B"/>
    <w:rsid w:val="5449107B"/>
    <w:rsid w:val="544B29D0"/>
    <w:rsid w:val="544C52F5"/>
    <w:rsid w:val="54E95147"/>
    <w:rsid w:val="550D2648"/>
    <w:rsid w:val="559E2EBF"/>
    <w:rsid w:val="55CA584F"/>
    <w:rsid w:val="55E97EAE"/>
    <w:rsid w:val="55EB6283"/>
    <w:rsid w:val="55FD7B2E"/>
    <w:rsid w:val="560517F8"/>
    <w:rsid w:val="560E37B5"/>
    <w:rsid w:val="561305EC"/>
    <w:rsid w:val="56241695"/>
    <w:rsid w:val="562B0B73"/>
    <w:rsid w:val="562B1343"/>
    <w:rsid w:val="5651208F"/>
    <w:rsid w:val="568D74DA"/>
    <w:rsid w:val="56A27FBD"/>
    <w:rsid w:val="56B8479E"/>
    <w:rsid w:val="56BB2D2F"/>
    <w:rsid w:val="56C3708C"/>
    <w:rsid w:val="56ED629A"/>
    <w:rsid w:val="57071F43"/>
    <w:rsid w:val="571461C4"/>
    <w:rsid w:val="57225A2C"/>
    <w:rsid w:val="572A6162"/>
    <w:rsid w:val="572B4892"/>
    <w:rsid w:val="574E06BD"/>
    <w:rsid w:val="575801D6"/>
    <w:rsid w:val="57616002"/>
    <w:rsid w:val="578B0492"/>
    <w:rsid w:val="578E25D7"/>
    <w:rsid w:val="57C26B2D"/>
    <w:rsid w:val="57E66D1D"/>
    <w:rsid w:val="57F83669"/>
    <w:rsid w:val="5841719C"/>
    <w:rsid w:val="58AE15EB"/>
    <w:rsid w:val="58B303D9"/>
    <w:rsid w:val="58DE757B"/>
    <w:rsid w:val="5921150F"/>
    <w:rsid w:val="59943DE5"/>
    <w:rsid w:val="59967DAE"/>
    <w:rsid w:val="59B20F9F"/>
    <w:rsid w:val="59B35B4B"/>
    <w:rsid w:val="59B67BE2"/>
    <w:rsid w:val="59B819C2"/>
    <w:rsid w:val="59C6038E"/>
    <w:rsid w:val="59E65EB2"/>
    <w:rsid w:val="59E94E4A"/>
    <w:rsid w:val="5A1C00B8"/>
    <w:rsid w:val="5A6E1159"/>
    <w:rsid w:val="5A7066E6"/>
    <w:rsid w:val="5A9F6BD3"/>
    <w:rsid w:val="5AB920FA"/>
    <w:rsid w:val="5ADF613B"/>
    <w:rsid w:val="5AED215F"/>
    <w:rsid w:val="5AFD02AF"/>
    <w:rsid w:val="5B021445"/>
    <w:rsid w:val="5B076E4A"/>
    <w:rsid w:val="5B112FE6"/>
    <w:rsid w:val="5B13747C"/>
    <w:rsid w:val="5B1B2537"/>
    <w:rsid w:val="5B204573"/>
    <w:rsid w:val="5B58368C"/>
    <w:rsid w:val="5BA674C0"/>
    <w:rsid w:val="5BE45C80"/>
    <w:rsid w:val="5BEE69DD"/>
    <w:rsid w:val="5C0F17BB"/>
    <w:rsid w:val="5C3F1579"/>
    <w:rsid w:val="5C861647"/>
    <w:rsid w:val="5C942F44"/>
    <w:rsid w:val="5C964DBE"/>
    <w:rsid w:val="5C9B11E3"/>
    <w:rsid w:val="5CB42CBE"/>
    <w:rsid w:val="5CBB1864"/>
    <w:rsid w:val="5CBD3460"/>
    <w:rsid w:val="5CF94831"/>
    <w:rsid w:val="5D1C12A9"/>
    <w:rsid w:val="5D6A3D29"/>
    <w:rsid w:val="5D801BEA"/>
    <w:rsid w:val="5D9F77DE"/>
    <w:rsid w:val="5DA83D4F"/>
    <w:rsid w:val="5DB252C1"/>
    <w:rsid w:val="5DB67000"/>
    <w:rsid w:val="5DB93E54"/>
    <w:rsid w:val="5DE577D1"/>
    <w:rsid w:val="5DE70C7D"/>
    <w:rsid w:val="5E0C2497"/>
    <w:rsid w:val="5E1223FD"/>
    <w:rsid w:val="5E132999"/>
    <w:rsid w:val="5E473B1C"/>
    <w:rsid w:val="5E5E46FC"/>
    <w:rsid w:val="5E643B09"/>
    <w:rsid w:val="5E7D5A9F"/>
    <w:rsid w:val="5EC400A3"/>
    <w:rsid w:val="5F042E24"/>
    <w:rsid w:val="5F2356CA"/>
    <w:rsid w:val="5F3E2B5F"/>
    <w:rsid w:val="5F522D7B"/>
    <w:rsid w:val="5F535EE5"/>
    <w:rsid w:val="5F644FE3"/>
    <w:rsid w:val="5F6E7AEA"/>
    <w:rsid w:val="5FA410D6"/>
    <w:rsid w:val="5FAB282F"/>
    <w:rsid w:val="5FBD1EB2"/>
    <w:rsid w:val="5FC25F15"/>
    <w:rsid w:val="5FC43550"/>
    <w:rsid w:val="5FCB6A79"/>
    <w:rsid w:val="5FE71F50"/>
    <w:rsid w:val="5FF511BE"/>
    <w:rsid w:val="5FFF2396"/>
    <w:rsid w:val="6007755F"/>
    <w:rsid w:val="60231955"/>
    <w:rsid w:val="604A14EE"/>
    <w:rsid w:val="60817E51"/>
    <w:rsid w:val="60B542AD"/>
    <w:rsid w:val="60DD7457"/>
    <w:rsid w:val="61053D86"/>
    <w:rsid w:val="615B1AFB"/>
    <w:rsid w:val="617D0161"/>
    <w:rsid w:val="61DE2370"/>
    <w:rsid w:val="61DF78F6"/>
    <w:rsid w:val="622F7629"/>
    <w:rsid w:val="623A7D7A"/>
    <w:rsid w:val="626E4109"/>
    <w:rsid w:val="62804DB9"/>
    <w:rsid w:val="628B6EC4"/>
    <w:rsid w:val="62980D9A"/>
    <w:rsid w:val="629F55E2"/>
    <w:rsid w:val="62CD53DB"/>
    <w:rsid w:val="62F616C7"/>
    <w:rsid w:val="63544BD1"/>
    <w:rsid w:val="635A423F"/>
    <w:rsid w:val="638527C3"/>
    <w:rsid w:val="63F8673F"/>
    <w:rsid w:val="63FF6967"/>
    <w:rsid w:val="6407452F"/>
    <w:rsid w:val="640E63DB"/>
    <w:rsid w:val="645737BC"/>
    <w:rsid w:val="645F5DC9"/>
    <w:rsid w:val="646E3CB5"/>
    <w:rsid w:val="64E51842"/>
    <w:rsid w:val="64F953C5"/>
    <w:rsid w:val="657C36B8"/>
    <w:rsid w:val="658441C5"/>
    <w:rsid w:val="65946937"/>
    <w:rsid w:val="65EB1A66"/>
    <w:rsid w:val="65F430E2"/>
    <w:rsid w:val="66117811"/>
    <w:rsid w:val="666E2046"/>
    <w:rsid w:val="669323DE"/>
    <w:rsid w:val="66A74A52"/>
    <w:rsid w:val="66AA37C4"/>
    <w:rsid w:val="66C04514"/>
    <w:rsid w:val="66D22371"/>
    <w:rsid w:val="66E11E63"/>
    <w:rsid w:val="67371992"/>
    <w:rsid w:val="673A3D9F"/>
    <w:rsid w:val="673A4648"/>
    <w:rsid w:val="6741323A"/>
    <w:rsid w:val="67580D25"/>
    <w:rsid w:val="67701028"/>
    <w:rsid w:val="677F598A"/>
    <w:rsid w:val="678A05F9"/>
    <w:rsid w:val="678A0690"/>
    <w:rsid w:val="67A75387"/>
    <w:rsid w:val="68100B7A"/>
    <w:rsid w:val="6819737B"/>
    <w:rsid w:val="68201E16"/>
    <w:rsid w:val="68644F00"/>
    <w:rsid w:val="687D3617"/>
    <w:rsid w:val="68A443E5"/>
    <w:rsid w:val="68F240C7"/>
    <w:rsid w:val="692B759D"/>
    <w:rsid w:val="693518F9"/>
    <w:rsid w:val="69412846"/>
    <w:rsid w:val="69694CF5"/>
    <w:rsid w:val="696B7731"/>
    <w:rsid w:val="69A06439"/>
    <w:rsid w:val="69B8614D"/>
    <w:rsid w:val="69C824A0"/>
    <w:rsid w:val="69D229D3"/>
    <w:rsid w:val="69D84081"/>
    <w:rsid w:val="69FD46DC"/>
    <w:rsid w:val="6A147F71"/>
    <w:rsid w:val="6A384C5A"/>
    <w:rsid w:val="6A726123"/>
    <w:rsid w:val="6A9B699A"/>
    <w:rsid w:val="6AC02C0D"/>
    <w:rsid w:val="6AE9755F"/>
    <w:rsid w:val="6AF763A4"/>
    <w:rsid w:val="6B0C0BEA"/>
    <w:rsid w:val="6B693A29"/>
    <w:rsid w:val="6B7F5533"/>
    <w:rsid w:val="6B93280A"/>
    <w:rsid w:val="6C1B1900"/>
    <w:rsid w:val="6C391476"/>
    <w:rsid w:val="6C4D0633"/>
    <w:rsid w:val="6C954F10"/>
    <w:rsid w:val="6CA13AB4"/>
    <w:rsid w:val="6CAC1CBF"/>
    <w:rsid w:val="6CFC1EF7"/>
    <w:rsid w:val="6CFF695D"/>
    <w:rsid w:val="6D032D5E"/>
    <w:rsid w:val="6D0675E3"/>
    <w:rsid w:val="6D4C14BC"/>
    <w:rsid w:val="6DA76323"/>
    <w:rsid w:val="6DDE7D58"/>
    <w:rsid w:val="6DE30B59"/>
    <w:rsid w:val="6DF35192"/>
    <w:rsid w:val="6E074888"/>
    <w:rsid w:val="6E12150B"/>
    <w:rsid w:val="6E1B0232"/>
    <w:rsid w:val="6E4101E5"/>
    <w:rsid w:val="6E835256"/>
    <w:rsid w:val="6EB74809"/>
    <w:rsid w:val="6EB90F5C"/>
    <w:rsid w:val="6EDF1252"/>
    <w:rsid w:val="6EF963B0"/>
    <w:rsid w:val="6EFD3C1A"/>
    <w:rsid w:val="6F0A071A"/>
    <w:rsid w:val="6F194CCB"/>
    <w:rsid w:val="6F310257"/>
    <w:rsid w:val="6F366286"/>
    <w:rsid w:val="6F49026C"/>
    <w:rsid w:val="6F50716D"/>
    <w:rsid w:val="6F644F21"/>
    <w:rsid w:val="6F7B2B4B"/>
    <w:rsid w:val="6F802AE9"/>
    <w:rsid w:val="6F837F46"/>
    <w:rsid w:val="6F98233C"/>
    <w:rsid w:val="6FE74D84"/>
    <w:rsid w:val="6FEF0BFC"/>
    <w:rsid w:val="70140259"/>
    <w:rsid w:val="701F5075"/>
    <w:rsid w:val="70402F20"/>
    <w:rsid w:val="70441C8E"/>
    <w:rsid w:val="70524D90"/>
    <w:rsid w:val="70BA2FA5"/>
    <w:rsid w:val="70BD378A"/>
    <w:rsid w:val="712E47F6"/>
    <w:rsid w:val="7134474E"/>
    <w:rsid w:val="715A415B"/>
    <w:rsid w:val="7161483B"/>
    <w:rsid w:val="717363AB"/>
    <w:rsid w:val="71870707"/>
    <w:rsid w:val="71D40552"/>
    <w:rsid w:val="71E1094E"/>
    <w:rsid w:val="720D678D"/>
    <w:rsid w:val="721F290F"/>
    <w:rsid w:val="7249538F"/>
    <w:rsid w:val="725F6BE2"/>
    <w:rsid w:val="72762278"/>
    <w:rsid w:val="73251E72"/>
    <w:rsid w:val="733E62E4"/>
    <w:rsid w:val="73915317"/>
    <w:rsid w:val="73AD51C2"/>
    <w:rsid w:val="73C746E7"/>
    <w:rsid w:val="73CA79D7"/>
    <w:rsid w:val="73E350DB"/>
    <w:rsid w:val="741218FE"/>
    <w:rsid w:val="745C3B28"/>
    <w:rsid w:val="747221FB"/>
    <w:rsid w:val="748E7375"/>
    <w:rsid w:val="74D156FD"/>
    <w:rsid w:val="74E840FD"/>
    <w:rsid w:val="751F640F"/>
    <w:rsid w:val="752407A4"/>
    <w:rsid w:val="75526983"/>
    <w:rsid w:val="75A33669"/>
    <w:rsid w:val="75A716C4"/>
    <w:rsid w:val="75A96327"/>
    <w:rsid w:val="75AD3CB7"/>
    <w:rsid w:val="76142AA0"/>
    <w:rsid w:val="7615746B"/>
    <w:rsid w:val="76240449"/>
    <w:rsid w:val="76414119"/>
    <w:rsid w:val="766D7A52"/>
    <w:rsid w:val="769A6FFB"/>
    <w:rsid w:val="76BF7C12"/>
    <w:rsid w:val="76C030CD"/>
    <w:rsid w:val="76EA2099"/>
    <w:rsid w:val="77147D59"/>
    <w:rsid w:val="77234FCF"/>
    <w:rsid w:val="77866F8C"/>
    <w:rsid w:val="7795168F"/>
    <w:rsid w:val="77C5082F"/>
    <w:rsid w:val="78122985"/>
    <w:rsid w:val="78926E68"/>
    <w:rsid w:val="789B791D"/>
    <w:rsid w:val="78B617B4"/>
    <w:rsid w:val="78C52B6C"/>
    <w:rsid w:val="78CD0527"/>
    <w:rsid w:val="78FE24A2"/>
    <w:rsid w:val="79045905"/>
    <w:rsid w:val="79152FEB"/>
    <w:rsid w:val="797A63CF"/>
    <w:rsid w:val="79817742"/>
    <w:rsid w:val="79842ABB"/>
    <w:rsid w:val="79D1132C"/>
    <w:rsid w:val="79D234B5"/>
    <w:rsid w:val="79D84C43"/>
    <w:rsid w:val="79DA2354"/>
    <w:rsid w:val="79EC63BA"/>
    <w:rsid w:val="79EF0BE0"/>
    <w:rsid w:val="7A687001"/>
    <w:rsid w:val="7A6B02BC"/>
    <w:rsid w:val="7A893971"/>
    <w:rsid w:val="7AA96EB5"/>
    <w:rsid w:val="7ABC3697"/>
    <w:rsid w:val="7AD45005"/>
    <w:rsid w:val="7AE4462C"/>
    <w:rsid w:val="7B244303"/>
    <w:rsid w:val="7B486A4D"/>
    <w:rsid w:val="7B6018A2"/>
    <w:rsid w:val="7B751FD5"/>
    <w:rsid w:val="7B9E3ADC"/>
    <w:rsid w:val="7BAD6EB9"/>
    <w:rsid w:val="7BBC2008"/>
    <w:rsid w:val="7BC040B8"/>
    <w:rsid w:val="7BD96D1A"/>
    <w:rsid w:val="7C116E57"/>
    <w:rsid w:val="7C3E5A74"/>
    <w:rsid w:val="7C43783F"/>
    <w:rsid w:val="7C592AD4"/>
    <w:rsid w:val="7C6341CC"/>
    <w:rsid w:val="7CB7798D"/>
    <w:rsid w:val="7CCF79B4"/>
    <w:rsid w:val="7CD478E4"/>
    <w:rsid w:val="7CDE3370"/>
    <w:rsid w:val="7CE439ED"/>
    <w:rsid w:val="7CF53A15"/>
    <w:rsid w:val="7CF85706"/>
    <w:rsid w:val="7DA01B79"/>
    <w:rsid w:val="7DBC288E"/>
    <w:rsid w:val="7DF62DC9"/>
    <w:rsid w:val="7E264AD2"/>
    <w:rsid w:val="7E2F7CEC"/>
    <w:rsid w:val="7E3E70A5"/>
    <w:rsid w:val="7EA426CC"/>
    <w:rsid w:val="7EBD4CC0"/>
    <w:rsid w:val="7EC035FD"/>
    <w:rsid w:val="7EC40A24"/>
    <w:rsid w:val="7F2733BE"/>
    <w:rsid w:val="7F283120"/>
    <w:rsid w:val="7F313771"/>
    <w:rsid w:val="7F525EB9"/>
    <w:rsid w:val="7F540119"/>
    <w:rsid w:val="7F6337BD"/>
    <w:rsid w:val="7F846908"/>
    <w:rsid w:val="7FB551BC"/>
    <w:rsid w:val="7FF847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7"/>
    <w:qFormat/>
    <w:uiPriority w:val="0"/>
    <w:pPr>
      <w:keepNext/>
      <w:jc w:val="center"/>
      <w:outlineLvl w:val="0"/>
    </w:pPr>
    <w:rPr>
      <w:rFonts w:eastAsia="黑体"/>
      <w:b/>
      <w:sz w:val="32"/>
      <w:szCs w:val="20"/>
    </w:rPr>
  </w:style>
  <w:style w:type="paragraph" w:styleId="4">
    <w:name w:val="heading 2"/>
    <w:basedOn w:val="1"/>
    <w:next w:val="1"/>
    <w:link w:val="68"/>
    <w:qFormat/>
    <w:uiPriority w:val="0"/>
    <w:pPr>
      <w:keepNext/>
      <w:outlineLvl w:val="1"/>
    </w:pPr>
    <w:rPr>
      <w:rFonts w:ascii="仿宋_GB2312"/>
      <w:b/>
      <w:sz w:val="28"/>
      <w:szCs w:val="32"/>
    </w:rPr>
  </w:style>
  <w:style w:type="paragraph" w:styleId="5">
    <w:name w:val="heading 3"/>
    <w:basedOn w:val="1"/>
    <w:next w:val="1"/>
    <w:link w:val="69"/>
    <w:qFormat/>
    <w:uiPriority w:val="0"/>
    <w:pPr>
      <w:keepNext/>
      <w:keepLines/>
      <w:spacing w:line="540" w:lineRule="atLeast"/>
      <w:outlineLvl w:val="2"/>
    </w:pPr>
    <w:rPr>
      <w:rFonts w:eastAsia="黑体"/>
      <w:b/>
      <w:sz w:val="28"/>
      <w:szCs w:val="20"/>
    </w:rPr>
  </w:style>
  <w:style w:type="paragraph" w:styleId="6">
    <w:name w:val="heading 4"/>
    <w:basedOn w:val="1"/>
    <w:next w:val="1"/>
    <w:link w:val="70"/>
    <w:qFormat/>
    <w:uiPriority w:val="0"/>
    <w:pPr>
      <w:keepNext/>
      <w:keepLines/>
      <w:spacing w:line="540" w:lineRule="atLeast"/>
      <w:outlineLvl w:val="3"/>
    </w:pPr>
    <w:rPr>
      <w:sz w:val="28"/>
      <w:szCs w:val="28"/>
    </w:rPr>
  </w:style>
  <w:style w:type="paragraph" w:styleId="7">
    <w:name w:val="heading 5"/>
    <w:basedOn w:val="1"/>
    <w:next w:val="1"/>
    <w:link w:val="71"/>
    <w:qFormat/>
    <w:uiPriority w:val="0"/>
    <w:pPr>
      <w:keepNext/>
      <w:keepLines/>
      <w:spacing w:before="280" w:beforeLines="0" w:after="290" w:afterLines="0" w:line="372" w:lineRule="auto"/>
      <w:outlineLvl w:val="4"/>
    </w:pPr>
    <w:rPr>
      <w:b/>
      <w:bCs/>
      <w:kern w:val="0"/>
      <w:sz w:val="28"/>
      <w:szCs w:val="28"/>
    </w:rPr>
  </w:style>
  <w:style w:type="paragraph" w:styleId="8">
    <w:name w:val="heading 6"/>
    <w:basedOn w:val="1"/>
    <w:next w:val="9"/>
    <w:link w:val="72"/>
    <w:qFormat/>
    <w:uiPriority w:val="0"/>
    <w:pPr>
      <w:keepNext/>
      <w:keepLines/>
      <w:spacing w:before="240" w:beforeLines="0" w:after="64" w:afterLines="0" w:line="317" w:lineRule="auto"/>
      <w:outlineLvl w:val="5"/>
    </w:pPr>
    <w:rPr>
      <w:rFonts w:ascii="Arial" w:hAnsi="Arial" w:eastAsia="黑体"/>
      <w:b/>
      <w:sz w:val="24"/>
      <w:szCs w:val="20"/>
    </w:rPr>
  </w:style>
  <w:style w:type="paragraph" w:styleId="10">
    <w:name w:val="heading 7"/>
    <w:basedOn w:val="1"/>
    <w:next w:val="9"/>
    <w:link w:val="74"/>
    <w:qFormat/>
    <w:uiPriority w:val="0"/>
    <w:pPr>
      <w:keepNext/>
      <w:keepLines/>
      <w:spacing w:before="240" w:beforeLines="0" w:after="64" w:afterLines="0" w:line="317" w:lineRule="auto"/>
      <w:outlineLvl w:val="6"/>
    </w:pPr>
    <w:rPr>
      <w:b/>
      <w:sz w:val="24"/>
      <w:szCs w:val="20"/>
    </w:rPr>
  </w:style>
  <w:style w:type="paragraph" w:styleId="11">
    <w:name w:val="heading 8"/>
    <w:basedOn w:val="1"/>
    <w:next w:val="9"/>
    <w:link w:val="75"/>
    <w:qFormat/>
    <w:uiPriority w:val="0"/>
    <w:pPr>
      <w:keepNext/>
      <w:keepLines/>
      <w:spacing w:before="240" w:beforeLines="0" w:after="64" w:afterLines="0" w:line="317" w:lineRule="auto"/>
      <w:outlineLvl w:val="7"/>
    </w:pPr>
    <w:rPr>
      <w:rFonts w:ascii="Arial" w:hAnsi="Arial" w:eastAsia="黑体"/>
      <w:sz w:val="24"/>
      <w:szCs w:val="20"/>
    </w:rPr>
  </w:style>
  <w:style w:type="paragraph" w:styleId="12">
    <w:name w:val="heading 9"/>
    <w:basedOn w:val="1"/>
    <w:next w:val="9"/>
    <w:link w:val="76"/>
    <w:qFormat/>
    <w:uiPriority w:val="0"/>
    <w:pPr>
      <w:keepNext/>
      <w:keepLines/>
      <w:spacing w:before="240" w:beforeLines="0" w:after="64" w:afterLines="0" w:line="317" w:lineRule="auto"/>
      <w:outlineLvl w:val="8"/>
    </w:pPr>
    <w:rPr>
      <w:rFonts w:ascii="Arial" w:hAnsi="Arial" w:eastAsia="黑体"/>
      <w:szCs w:val="20"/>
    </w:rPr>
  </w:style>
  <w:style w:type="character" w:default="1" w:styleId="54">
    <w:name w:val="Default Paragraph Font"/>
    <w:qFormat/>
    <w:uiPriority w:val="0"/>
  </w:style>
  <w:style w:type="table" w:default="1" w:styleId="52">
    <w:name w:val="Normal Table"/>
    <w:semiHidden/>
    <w:qFormat/>
    <w:uiPriority w:val="0"/>
    <w:tblPr>
      <w:tblCellMar>
        <w:top w:w="0" w:type="dxa"/>
        <w:left w:w="108" w:type="dxa"/>
        <w:bottom w:w="0" w:type="dxa"/>
        <w:right w:w="108" w:type="dxa"/>
      </w:tblCellMar>
    </w:tblPr>
  </w:style>
  <w:style w:type="paragraph" w:styleId="3">
    <w:name w:val="macro"/>
    <w:link w:val="6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73"/>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77"/>
    <w:qFormat/>
    <w:uiPriority w:val="0"/>
    <w:pPr>
      <w:shd w:val="clear" w:color="auto" w:fill="000080"/>
    </w:pPr>
  </w:style>
  <w:style w:type="paragraph" w:styleId="18">
    <w:name w:val="annotation text"/>
    <w:basedOn w:val="1"/>
    <w:link w:val="78"/>
    <w:qFormat/>
    <w:uiPriority w:val="0"/>
    <w:pPr>
      <w:jc w:val="left"/>
    </w:pPr>
  </w:style>
  <w:style w:type="paragraph" w:styleId="19">
    <w:name w:val="Salutation"/>
    <w:basedOn w:val="1"/>
    <w:next w:val="1"/>
    <w:link w:val="79"/>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80"/>
    <w:qFormat/>
    <w:uiPriority w:val="0"/>
    <w:pPr>
      <w:autoSpaceDE w:val="0"/>
      <w:autoSpaceDN w:val="0"/>
      <w:adjustRightInd w:val="0"/>
      <w:jc w:val="center"/>
    </w:pPr>
  </w:style>
  <w:style w:type="paragraph" w:styleId="21">
    <w:name w:val="Body Text"/>
    <w:basedOn w:val="1"/>
    <w:link w:val="64"/>
    <w:qFormat/>
    <w:uiPriority w:val="0"/>
    <w:pPr>
      <w:spacing w:after="120" w:afterLines="0"/>
    </w:pPr>
    <w:rPr>
      <w:rFonts w:ascii="仿宋_GB2312"/>
      <w:b/>
    </w:rPr>
  </w:style>
  <w:style w:type="paragraph" w:styleId="22">
    <w:name w:val="Body Text Indent"/>
    <w:basedOn w:val="1"/>
    <w:next w:val="23"/>
    <w:link w:val="81"/>
    <w:qFormat/>
    <w:uiPriority w:val="0"/>
    <w:pPr>
      <w:ind w:left="480" w:hanging="480" w:hangingChars="200"/>
    </w:pPr>
    <w:rPr>
      <w:sz w:val="24"/>
    </w:rPr>
  </w:style>
  <w:style w:type="paragraph" w:styleId="23">
    <w:name w:val="Body Text First Indent 2"/>
    <w:basedOn w:val="22"/>
    <w:qFormat/>
    <w:uiPriority w:val="0"/>
    <w:pPr>
      <w:spacing w:after="120"/>
      <w:ind w:left="420" w:leftChars="200" w:firstLine="420"/>
    </w:pPr>
    <w:rPr>
      <w:rFonts w:cs="宋体"/>
      <w:sz w:val="21"/>
      <w:szCs w:val="21"/>
    </w:r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0"/>
    <w:pPr>
      <w:spacing w:line="520" w:lineRule="exact"/>
      <w:ind w:left="540" w:leftChars="257" w:right="-514"/>
    </w:pPr>
    <w:rPr>
      <w:rFonts w:ascii="宋体" w:hAnsi="宋体"/>
      <w:sz w:val="24"/>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0"/>
    <w:pPr>
      <w:autoSpaceDE w:val="0"/>
      <w:autoSpaceDN w:val="0"/>
      <w:adjustRightInd w:val="0"/>
      <w:ind w:left="1680" w:leftChars="800"/>
      <w:jc w:val="left"/>
    </w:pPr>
    <w:rPr>
      <w:kern w:val="0"/>
      <w:sz w:val="20"/>
      <w:szCs w:val="20"/>
    </w:rPr>
  </w:style>
  <w:style w:type="paragraph" w:styleId="28">
    <w:name w:val="toc 3"/>
    <w:basedOn w:val="1"/>
    <w:next w:val="1"/>
    <w:qFormat/>
    <w:uiPriority w:val="0"/>
    <w:pPr>
      <w:ind w:left="840" w:leftChars="400"/>
    </w:pPr>
  </w:style>
  <w:style w:type="paragraph" w:styleId="29">
    <w:name w:val="Plain Text"/>
    <w:basedOn w:val="1"/>
    <w:next w:val="30"/>
    <w:link w:val="8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0">
    <w:name w:val="toc 2"/>
    <w:basedOn w:val="1"/>
    <w:next w:val="1"/>
    <w:qFormat/>
    <w:uiPriority w:val="0"/>
    <w:pPr>
      <w:ind w:left="420" w:leftChars="200"/>
    </w:p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83"/>
    <w:qFormat/>
    <w:uiPriority w:val="0"/>
    <w:pPr>
      <w:ind w:left="100" w:leftChars="2500"/>
    </w:pPr>
  </w:style>
  <w:style w:type="paragraph" w:styleId="34">
    <w:name w:val="Body Text Indent 2"/>
    <w:basedOn w:val="1"/>
    <w:link w:val="84"/>
    <w:qFormat/>
    <w:uiPriority w:val="0"/>
    <w:pPr>
      <w:spacing w:line="500" w:lineRule="exact"/>
      <w:ind w:firstLine="511" w:firstLineChars="213"/>
    </w:pPr>
    <w:rPr>
      <w:sz w:val="24"/>
    </w:rPr>
  </w:style>
  <w:style w:type="paragraph" w:styleId="35">
    <w:name w:val="Balloon Text"/>
    <w:basedOn w:val="1"/>
    <w:link w:val="85"/>
    <w:qFormat/>
    <w:uiPriority w:val="0"/>
    <w:rPr>
      <w:sz w:val="18"/>
      <w:szCs w:val="18"/>
    </w:rPr>
  </w:style>
  <w:style w:type="paragraph" w:styleId="36">
    <w:name w:val="footer"/>
    <w:basedOn w:val="1"/>
    <w:link w:val="86"/>
    <w:qFormat/>
    <w:uiPriority w:val="0"/>
    <w:pPr>
      <w:tabs>
        <w:tab w:val="center" w:pos="4153"/>
        <w:tab w:val="right" w:pos="8306"/>
      </w:tabs>
      <w:snapToGrid w:val="0"/>
      <w:jc w:val="left"/>
    </w:pPr>
    <w:rPr>
      <w:sz w:val="18"/>
      <w:szCs w:val="18"/>
    </w:rPr>
  </w:style>
  <w:style w:type="paragraph" w:styleId="37">
    <w:name w:val="header"/>
    <w:basedOn w:val="1"/>
    <w:link w:val="87"/>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88"/>
    <w:qFormat/>
    <w:uiPriority w:val="0"/>
    <w:pPr>
      <w:autoSpaceDE w:val="0"/>
      <w:autoSpaceDN w:val="0"/>
      <w:adjustRightInd w:val="0"/>
      <w:spacing w:after="600" w:afterLines="0" w:line="312" w:lineRule="atLeast"/>
      <w:jc w:val="center"/>
      <w:textAlignment w:val="baseline"/>
    </w:pPr>
    <w:rPr>
      <w:rFonts w:ascii="仿宋_GB2312" w:eastAsia="仿宋_GB2312"/>
      <w:b/>
      <w:kern w:val="0"/>
      <w:sz w:val="24"/>
      <w:szCs w:val="32"/>
    </w:rPr>
  </w:style>
  <w:style w:type="paragraph" w:styleId="39">
    <w:name w:val="toc 1"/>
    <w:basedOn w:val="1"/>
    <w:next w:val="1"/>
    <w:qFormat/>
    <w:uiPriority w:val="0"/>
  </w:style>
  <w:style w:type="paragraph" w:styleId="40">
    <w:name w:val="toc 4"/>
    <w:basedOn w:val="1"/>
    <w:next w:val="1"/>
    <w:qFormat/>
    <w:uiPriority w:val="0"/>
    <w:pPr>
      <w:autoSpaceDE w:val="0"/>
      <w:autoSpaceDN w:val="0"/>
      <w:adjustRightInd w:val="0"/>
      <w:ind w:left="1260" w:leftChars="600"/>
      <w:jc w:val="left"/>
    </w:pPr>
    <w:rPr>
      <w:kern w:val="0"/>
      <w:sz w:val="20"/>
      <w:szCs w:val="20"/>
    </w:rPr>
  </w:style>
  <w:style w:type="paragraph" w:styleId="41">
    <w:name w:val="Subtitle"/>
    <w:basedOn w:val="1"/>
    <w:next w:val="1"/>
    <w:link w:val="89"/>
    <w:qFormat/>
    <w:uiPriority w:val="0"/>
    <w:pPr>
      <w:spacing w:before="240" w:beforeLines="0" w:after="60" w:afterLines="0" w:line="312" w:lineRule="auto"/>
      <w:jc w:val="center"/>
      <w:outlineLvl w:val="1"/>
    </w:pPr>
    <w:rPr>
      <w:rFonts w:ascii="Cambria" w:hAnsi="Cambria"/>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qFormat/>
    <w:uiPriority w:val="0"/>
    <w:pPr>
      <w:spacing w:line="240" w:lineRule="auto"/>
      <w:ind w:left="200" w:hanging="200" w:hangingChars="200"/>
      <w:jc w:val="both"/>
    </w:pPr>
    <w:rPr>
      <w:rFonts w:ascii="Times New Roman" w:hAnsi="Times New Roman" w:eastAsia="宋体" w:cs="Times New Roman"/>
      <w:sz w:val="21"/>
      <w:szCs w:val="24"/>
    </w:rPr>
  </w:style>
  <w:style w:type="paragraph" w:styleId="44">
    <w:name w:val="toc 6"/>
    <w:basedOn w:val="1"/>
    <w:next w:val="1"/>
    <w:qFormat/>
    <w:uiPriority w:val="0"/>
    <w:pPr>
      <w:autoSpaceDE w:val="0"/>
      <w:autoSpaceDN w:val="0"/>
      <w:adjustRightInd w:val="0"/>
      <w:ind w:left="2100" w:leftChars="1000"/>
      <w:jc w:val="left"/>
    </w:pPr>
    <w:rPr>
      <w:kern w:val="0"/>
      <w:sz w:val="20"/>
      <w:szCs w:val="20"/>
    </w:rPr>
  </w:style>
  <w:style w:type="paragraph" w:styleId="45">
    <w:name w:val="Body Text Indent 3"/>
    <w:basedOn w:val="1"/>
    <w:link w:val="90"/>
    <w:qFormat/>
    <w:uiPriority w:val="0"/>
    <w:pPr>
      <w:spacing w:line="500" w:lineRule="exact"/>
      <w:ind w:left="511" w:hanging="511" w:hangingChars="213"/>
    </w:pPr>
    <w:rPr>
      <w:sz w:val="24"/>
    </w:rPr>
  </w:style>
  <w:style w:type="paragraph" w:styleId="46">
    <w:name w:val="toc 9"/>
    <w:basedOn w:val="1"/>
    <w:next w:val="1"/>
    <w:qFormat/>
    <w:uiPriority w:val="0"/>
    <w:pPr>
      <w:autoSpaceDE w:val="0"/>
      <w:autoSpaceDN w:val="0"/>
      <w:adjustRightInd w:val="0"/>
      <w:ind w:left="3360" w:leftChars="1600"/>
      <w:jc w:val="left"/>
    </w:pPr>
    <w:rPr>
      <w:kern w:val="0"/>
      <w:sz w:val="20"/>
      <w:szCs w:val="20"/>
    </w:rPr>
  </w:style>
  <w:style w:type="paragraph" w:styleId="47">
    <w:name w:val="Body Text 2"/>
    <w:basedOn w:val="1"/>
    <w:link w:val="91"/>
    <w:qFormat/>
    <w:uiPriority w:val="0"/>
    <w:pPr>
      <w:autoSpaceDE w:val="0"/>
      <w:autoSpaceDN w:val="0"/>
      <w:adjustRightInd w:val="0"/>
      <w:spacing w:after="120" w:afterLines="0" w:line="480" w:lineRule="auto"/>
      <w:jc w:val="left"/>
    </w:pPr>
  </w:style>
  <w:style w:type="paragraph" w:styleId="4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49">
    <w:name w:val="Title"/>
    <w:basedOn w:val="1"/>
    <w:next w:val="1"/>
    <w:link w:val="92"/>
    <w:qFormat/>
    <w:uiPriority w:val="0"/>
    <w:pPr>
      <w:spacing w:before="240" w:beforeLines="0" w:after="60" w:afterLines="0"/>
      <w:jc w:val="center"/>
      <w:outlineLvl w:val="0"/>
    </w:pPr>
    <w:rPr>
      <w:rFonts w:ascii="Cambria" w:hAnsi="Cambria"/>
      <w:b/>
      <w:bCs/>
      <w:sz w:val="32"/>
      <w:szCs w:val="32"/>
    </w:rPr>
  </w:style>
  <w:style w:type="paragraph" w:styleId="50">
    <w:name w:val="annotation subject"/>
    <w:basedOn w:val="18"/>
    <w:next w:val="18"/>
    <w:link w:val="93"/>
    <w:qFormat/>
    <w:uiPriority w:val="0"/>
    <w:rPr>
      <w:b/>
      <w:bCs/>
    </w:rPr>
  </w:style>
  <w:style w:type="paragraph" w:styleId="51">
    <w:name w:val="Body Text First Indent"/>
    <w:basedOn w:val="21"/>
    <w:next w:val="44"/>
    <w:link w:val="65"/>
    <w:qFormat/>
    <w:uiPriority w:val="0"/>
    <w:pPr>
      <w:autoSpaceDE w:val="0"/>
      <w:autoSpaceDN w:val="0"/>
      <w:adjustRightInd w:val="0"/>
      <w:ind w:firstLine="420" w:firstLineChars="100"/>
      <w:jc w:val="left"/>
    </w:pPr>
    <w:rPr>
      <w:rFonts w:ascii="Calibri"/>
      <w:b w:val="0"/>
      <w:kern w:val="0"/>
      <w:sz w:val="20"/>
      <w:szCs w:val="20"/>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rFonts w:ascii="仿宋_GB2312" w:eastAsia="仿宋_GB2312"/>
      <w:bCs/>
      <w:sz w:val="32"/>
      <w:szCs w:val="32"/>
    </w:rPr>
  </w:style>
  <w:style w:type="character" w:styleId="56">
    <w:name w:val="page number"/>
    <w:basedOn w:val="54"/>
    <w:qFormat/>
    <w:uiPriority w:val="0"/>
  </w:style>
  <w:style w:type="character" w:styleId="57">
    <w:name w:val="FollowedHyperlink"/>
    <w:qFormat/>
    <w:uiPriority w:val="0"/>
    <w:rPr>
      <w:rFonts w:ascii="仿宋_GB2312" w:eastAsia="仿宋_GB2312"/>
      <w:b/>
      <w:color w:val="800080"/>
      <w:sz w:val="32"/>
      <w:szCs w:val="32"/>
      <w:u w:val="none"/>
    </w:rPr>
  </w:style>
  <w:style w:type="character" w:styleId="58">
    <w:name w:val="Emphasis"/>
    <w:qFormat/>
    <w:uiPriority w:val="0"/>
    <w:rPr>
      <w:i/>
      <w:iCs/>
    </w:rPr>
  </w:style>
  <w:style w:type="character" w:styleId="59">
    <w:name w:val="line number"/>
    <w:basedOn w:val="54"/>
    <w:qFormat/>
    <w:uiPriority w:val="0"/>
  </w:style>
  <w:style w:type="character" w:styleId="60">
    <w:name w:val="Hyperlink"/>
    <w:qFormat/>
    <w:uiPriority w:val="0"/>
    <w:rPr>
      <w:rFonts w:ascii="仿宋_GB2312" w:eastAsia="仿宋_GB2312"/>
      <w:b/>
      <w:color w:val="0000FF"/>
      <w:sz w:val="32"/>
      <w:szCs w:val="32"/>
      <w:u w:val="none"/>
    </w:rPr>
  </w:style>
  <w:style w:type="character" w:styleId="61">
    <w:name w:val="annotation reference"/>
    <w:qFormat/>
    <w:uiPriority w:val="0"/>
    <w:rPr>
      <w:sz w:val="21"/>
      <w:szCs w:val="21"/>
    </w:rPr>
  </w:style>
  <w:style w:type="character" w:styleId="62">
    <w:name w:val="HTML Cite"/>
    <w:qFormat/>
    <w:uiPriority w:val="0"/>
    <w:rPr>
      <w:color w:val="008000"/>
    </w:rPr>
  </w:style>
  <w:style w:type="paragraph" w:customStyle="1" w:styleId="63">
    <w:name w:val="表格文字"/>
    <w:basedOn w:val="1"/>
    <w:next w:val="21"/>
    <w:qFormat/>
    <w:uiPriority w:val="0"/>
    <w:pPr>
      <w:adjustRightInd w:val="0"/>
      <w:spacing w:line="420" w:lineRule="atLeast"/>
      <w:jc w:val="left"/>
      <w:textAlignment w:val="baseline"/>
    </w:pPr>
    <w:rPr>
      <w:kern w:val="0"/>
    </w:rPr>
  </w:style>
  <w:style w:type="character" w:customStyle="1" w:styleId="64">
    <w:name w:val="正文文本 字符"/>
    <w:link w:val="21"/>
    <w:qFormat/>
    <w:uiPriority w:val="0"/>
    <w:rPr>
      <w:rFonts w:ascii="仿宋_GB2312" w:eastAsia="宋体"/>
      <w:b/>
      <w:kern w:val="2"/>
      <w:sz w:val="21"/>
      <w:szCs w:val="24"/>
      <w:lang w:val="en-US" w:eastAsia="zh-CN" w:bidi="ar-SA"/>
    </w:rPr>
  </w:style>
  <w:style w:type="character" w:customStyle="1" w:styleId="65">
    <w:name w:val="正文文本首行缩进 字符"/>
    <w:link w:val="51"/>
    <w:qFormat/>
    <w:uiPriority w:val="0"/>
    <w:rPr>
      <w:rFonts w:eastAsia="宋体"/>
      <w:lang w:val="en-US" w:eastAsia="zh-CN" w:bidi="ar-SA"/>
    </w:rPr>
  </w:style>
  <w:style w:type="character" w:customStyle="1" w:styleId="66">
    <w:name w:val="宏文本 字符"/>
    <w:link w:val="3"/>
    <w:qFormat/>
    <w:uiPriority w:val="0"/>
    <w:rPr>
      <w:rFonts w:ascii="Courier New" w:hAnsi="Courier New" w:eastAsia="Times New Roman"/>
      <w:kern w:val="2"/>
      <w:sz w:val="24"/>
      <w:szCs w:val="24"/>
      <w:lang w:val="en-US" w:eastAsia="zh-CN" w:bidi="ar-SA"/>
    </w:rPr>
  </w:style>
  <w:style w:type="character" w:customStyle="1" w:styleId="67">
    <w:name w:val="标题 1 字符"/>
    <w:link w:val="2"/>
    <w:qFormat/>
    <w:uiPriority w:val="0"/>
    <w:rPr>
      <w:rFonts w:eastAsia="黑体"/>
      <w:b/>
      <w:kern w:val="2"/>
      <w:sz w:val="32"/>
      <w:lang w:val="en-US" w:eastAsia="zh-CN" w:bidi="ar-SA"/>
    </w:rPr>
  </w:style>
  <w:style w:type="character" w:customStyle="1" w:styleId="68">
    <w:name w:val="标题 2 字符"/>
    <w:link w:val="4"/>
    <w:qFormat/>
    <w:uiPriority w:val="0"/>
    <w:rPr>
      <w:rFonts w:ascii="仿宋_GB2312" w:eastAsia="宋体"/>
      <w:b/>
      <w:kern w:val="2"/>
      <w:sz w:val="28"/>
      <w:szCs w:val="32"/>
      <w:lang w:val="en-US" w:eastAsia="zh-CN" w:bidi="ar-SA"/>
    </w:rPr>
  </w:style>
  <w:style w:type="character" w:customStyle="1" w:styleId="69">
    <w:name w:val="标题 3 字符"/>
    <w:link w:val="5"/>
    <w:qFormat/>
    <w:uiPriority w:val="0"/>
    <w:rPr>
      <w:rFonts w:eastAsia="黑体"/>
      <w:b/>
      <w:kern w:val="2"/>
      <w:sz w:val="28"/>
      <w:lang w:val="en-US" w:eastAsia="zh-CN" w:bidi="ar-SA"/>
    </w:rPr>
  </w:style>
  <w:style w:type="character" w:customStyle="1" w:styleId="70">
    <w:name w:val="标题 4 字符"/>
    <w:link w:val="6"/>
    <w:qFormat/>
    <w:uiPriority w:val="0"/>
    <w:rPr>
      <w:rFonts w:eastAsia="宋体"/>
      <w:kern w:val="2"/>
      <w:sz w:val="28"/>
      <w:szCs w:val="28"/>
      <w:lang w:val="en-US" w:eastAsia="zh-CN" w:bidi="ar-SA"/>
    </w:rPr>
  </w:style>
  <w:style w:type="character" w:customStyle="1" w:styleId="71">
    <w:name w:val="标题 5 字符"/>
    <w:link w:val="7"/>
    <w:qFormat/>
    <w:uiPriority w:val="0"/>
    <w:rPr>
      <w:rFonts w:eastAsia="宋体"/>
      <w:b/>
      <w:bCs/>
      <w:sz w:val="28"/>
      <w:szCs w:val="28"/>
      <w:lang w:bidi="ar-SA"/>
    </w:rPr>
  </w:style>
  <w:style w:type="character" w:customStyle="1" w:styleId="72">
    <w:name w:val="标题 6 字符"/>
    <w:link w:val="8"/>
    <w:qFormat/>
    <w:uiPriority w:val="0"/>
    <w:rPr>
      <w:rFonts w:ascii="Arial" w:hAnsi="Arial" w:eastAsia="黑体"/>
      <w:b/>
      <w:kern w:val="2"/>
      <w:sz w:val="24"/>
      <w:lang w:val="en-US" w:eastAsia="zh-CN" w:bidi="ar-SA"/>
    </w:rPr>
  </w:style>
  <w:style w:type="character" w:customStyle="1" w:styleId="73">
    <w:name w:val="正文缩进 字符"/>
    <w:link w:val="9"/>
    <w:qFormat/>
    <w:uiPriority w:val="0"/>
    <w:rPr>
      <w:rFonts w:ascii="仿宋_GB2312" w:eastAsia="宋体"/>
      <w:b/>
      <w:sz w:val="21"/>
      <w:szCs w:val="32"/>
      <w:lang w:val="en-US" w:eastAsia="zh-CN" w:bidi="ar-SA"/>
    </w:rPr>
  </w:style>
  <w:style w:type="character" w:customStyle="1" w:styleId="74">
    <w:name w:val="标题 7 字符"/>
    <w:link w:val="10"/>
    <w:qFormat/>
    <w:uiPriority w:val="0"/>
    <w:rPr>
      <w:rFonts w:eastAsia="宋体"/>
      <w:b/>
      <w:kern w:val="2"/>
      <w:sz w:val="24"/>
      <w:lang w:val="en-US" w:eastAsia="zh-CN" w:bidi="ar-SA"/>
    </w:rPr>
  </w:style>
  <w:style w:type="character" w:customStyle="1" w:styleId="75">
    <w:name w:val="标题 8 字符"/>
    <w:link w:val="11"/>
    <w:qFormat/>
    <w:uiPriority w:val="0"/>
    <w:rPr>
      <w:rFonts w:ascii="Arial" w:hAnsi="Arial" w:eastAsia="黑体"/>
      <w:kern w:val="2"/>
      <w:sz w:val="24"/>
      <w:lang w:val="en-US" w:eastAsia="zh-CN" w:bidi="ar-SA"/>
    </w:rPr>
  </w:style>
  <w:style w:type="character" w:customStyle="1" w:styleId="76">
    <w:name w:val="标题 9 字符"/>
    <w:link w:val="12"/>
    <w:qFormat/>
    <w:uiPriority w:val="0"/>
    <w:rPr>
      <w:rFonts w:ascii="Arial" w:hAnsi="Arial" w:eastAsia="黑体"/>
      <w:kern w:val="2"/>
      <w:sz w:val="21"/>
      <w:lang w:val="en-US" w:eastAsia="zh-CN" w:bidi="ar-SA"/>
    </w:rPr>
  </w:style>
  <w:style w:type="character" w:customStyle="1" w:styleId="77">
    <w:name w:val="文档结构图 字符"/>
    <w:link w:val="17"/>
    <w:qFormat/>
    <w:uiPriority w:val="0"/>
    <w:rPr>
      <w:rFonts w:eastAsia="宋体"/>
      <w:kern w:val="2"/>
      <w:sz w:val="21"/>
      <w:szCs w:val="24"/>
      <w:lang w:val="en-US" w:eastAsia="zh-CN" w:bidi="ar-SA"/>
    </w:rPr>
  </w:style>
  <w:style w:type="character" w:customStyle="1" w:styleId="78">
    <w:name w:val="批注文字 字符"/>
    <w:link w:val="18"/>
    <w:qFormat/>
    <w:uiPriority w:val="0"/>
    <w:rPr>
      <w:rFonts w:eastAsia="宋体"/>
      <w:kern w:val="2"/>
      <w:sz w:val="21"/>
      <w:szCs w:val="24"/>
      <w:lang w:val="en-US" w:eastAsia="zh-CN" w:bidi="ar-SA"/>
    </w:rPr>
  </w:style>
  <w:style w:type="character" w:customStyle="1" w:styleId="79">
    <w:name w:val="称呼 字符"/>
    <w:link w:val="19"/>
    <w:qFormat/>
    <w:uiPriority w:val="0"/>
    <w:rPr>
      <w:rFonts w:ascii="仿宋_GB2312" w:eastAsia="仿宋_GB2312"/>
      <w:b/>
      <w:sz w:val="24"/>
      <w:szCs w:val="32"/>
    </w:rPr>
  </w:style>
  <w:style w:type="character" w:customStyle="1" w:styleId="80">
    <w:name w:val="正文文本 3 字符"/>
    <w:basedOn w:val="54"/>
    <w:link w:val="20"/>
    <w:qFormat/>
    <w:uiPriority w:val="0"/>
  </w:style>
  <w:style w:type="character" w:customStyle="1" w:styleId="81">
    <w:name w:val="正文文本缩进 字符"/>
    <w:link w:val="22"/>
    <w:qFormat/>
    <w:uiPriority w:val="0"/>
    <w:rPr>
      <w:rFonts w:eastAsia="宋体"/>
      <w:kern w:val="2"/>
      <w:sz w:val="24"/>
      <w:szCs w:val="24"/>
      <w:lang w:val="en-US" w:eastAsia="zh-CN" w:bidi="ar-SA"/>
    </w:rPr>
  </w:style>
  <w:style w:type="character" w:customStyle="1" w:styleId="82">
    <w:name w:val="纯文本 字符"/>
    <w:link w:val="29"/>
    <w:qFormat/>
    <w:uiPriority w:val="0"/>
    <w:rPr>
      <w:rFonts w:ascii="宋体" w:hAnsi="Courier New" w:eastAsia="宋体"/>
      <w:b/>
      <w:sz w:val="21"/>
      <w:szCs w:val="21"/>
      <w:lang w:val="en-US" w:eastAsia="zh-CN" w:bidi="ar-SA"/>
    </w:rPr>
  </w:style>
  <w:style w:type="character" w:customStyle="1" w:styleId="83">
    <w:name w:val="日期 字符"/>
    <w:link w:val="33"/>
    <w:qFormat/>
    <w:uiPriority w:val="0"/>
    <w:rPr>
      <w:rFonts w:eastAsia="宋体"/>
      <w:kern w:val="2"/>
      <w:sz w:val="21"/>
      <w:szCs w:val="24"/>
      <w:lang w:val="en-US" w:eastAsia="zh-CN" w:bidi="ar-SA"/>
    </w:rPr>
  </w:style>
  <w:style w:type="character" w:customStyle="1" w:styleId="84">
    <w:name w:val="正文文本缩进 2 字符"/>
    <w:link w:val="34"/>
    <w:qFormat/>
    <w:uiPriority w:val="0"/>
    <w:rPr>
      <w:rFonts w:eastAsia="宋体"/>
      <w:kern w:val="2"/>
      <w:sz w:val="24"/>
      <w:szCs w:val="24"/>
      <w:lang w:val="en-US" w:eastAsia="zh-CN" w:bidi="ar-SA"/>
    </w:rPr>
  </w:style>
  <w:style w:type="character" w:customStyle="1" w:styleId="85">
    <w:name w:val="批注框文本 字符"/>
    <w:link w:val="35"/>
    <w:qFormat/>
    <w:uiPriority w:val="0"/>
    <w:rPr>
      <w:rFonts w:eastAsia="宋体"/>
      <w:kern w:val="2"/>
      <w:sz w:val="18"/>
      <w:szCs w:val="18"/>
      <w:lang w:val="en-US" w:eastAsia="zh-CN" w:bidi="ar-SA"/>
    </w:rPr>
  </w:style>
  <w:style w:type="character" w:customStyle="1" w:styleId="86">
    <w:name w:val="页脚 字符"/>
    <w:link w:val="36"/>
    <w:qFormat/>
    <w:uiPriority w:val="0"/>
    <w:rPr>
      <w:rFonts w:eastAsia="宋体"/>
      <w:kern w:val="2"/>
      <w:sz w:val="18"/>
      <w:szCs w:val="18"/>
      <w:lang w:val="en-US" w:eastAsia="zh-CN" w:bidi="ar-SA"/>
    </w:rPr>
  </w:style>
  <w:style w:type="character" w:customStyle="1" w:styleId="87">
    <w:name w:val="页眉 字符"/>
    <w:link w:val="37"/>
    <w:qFormat/>
    <w:uiPriority w:val="0"/>
    <w:rPr>
      <w:rFonts w:eastAsia="宋体"/>
      <w:kern w:val="2"/>
      <w:sz w:val="18"/>
      <w:szCs w:val="18"/>
      <w:lang w:val="en-US" w:eastAsia="zh-CN" w:bidi="ar-SA"/>
    </w:rPr>
  </w:style>
  <w:style w:type="character" w:customStyle="1" w:styleId="88">
    <w:name w:val="签名 字符"/>
    <w:link w:val="38"/>
    <w:qFormat/>
    <w:uiPriority w:val="0"/>
    <w:rPr>
      <w:rFonts w:ascii="仿宋_GB2312" w:eastAsia="仿宋_GB2312"/>
      <w:b/>
      <w:sz w:val="24"/>
      <w:szCs w:val="32"/>
    </w:rPr>
  </w:style>
  <w:style w:type="character" w:customStyle="1" w:styleId="89">
    <w:name w:val="副标题 字符"/>
    <w:link w:val="41"/>
    <w:qFormat/>
    <w:uiPriority w:val="0"/>
    <w:rPr>
      <w:rFonts w:ascii="Cambria" w:hAnsi="Cambria" w:eastAsia="宋体"/>
      <w:b/>
      <w:bCs/>
      <w:kern w:val="28"/>
      <w:sz w:val="32"/>
      <w:szCs w:val="32"/>
      <w:lang w:val="en-US" w:eastAsia="zh-CN" w:bidi="ar-SA"/>
    </w:rPr>
  </w:style>
  <w:style w:type="character" w:customStyle="1" w:styleId="90">
    <w:name w:val="正文文本缩进 3 字符"/>
    <w:link w:val="45"/>
    <w:qFormat/>
    <w:uiPriority w:val="0"/>
    <w:rPr>
      <w:rFonts w:eastAsia="宋体"/>
      <w:kern w:val="2"/>
      <w:sz w:val="24"/>
      <w:szCs w:val="24"/>
      <w:lang w:val="en-US" w:eastAsia="zh-CN" w:bidi="ar-SA"/>
    </w:rPr>
  </w:style>
  <w:style w:type="character" w:customStyle="1" w:styleId="91">
    <w:name w:val="正文文本 2 字符"/>
    <w:basedOn w:val="54"/>
    <w:link w:val="47"/>
    <w:qFormat/>
    <w:uiPriority w:val="0"/>
  </w:style>
  <w:style w:type="character" w:customStyle="1" w:styleId="92">
    <w:name w:val="标题 字符"/>
    <w:link w:val="49"/>
    <w:qFormat/>
    <w:uiPriority w:val="0"/>
    <w:rPr>
      <w:rFonts w:ascii="Cambria" w:hAnsi="Cambria" w:eastAsia="宋体"/>
      <w:b/>
      <w:bCs/>
      <w:kern w:val="2"/>
      <w:sz w:val="32"/>
      <w:szCs w:val="32"/>
      <w:lang w:val="en-US" w:eastAsia="zh-CN" w:bidi="ar-SA"/>
    </w:rPr>
  </w:style>
  <w:style w:type="character" w:customStyle="1" w:styleId="93">
    <w:name w:val="批注主题 字符"/>
    <w:link w:val="50"/>
    <w:uiPriority w:val="0"/>
    <w:rPr>
      <w:rFonts w:eastAsia="宋体"/>
      <w:b/>
      <w:bCs/>
      <w:kern w:val="2"/>
      <w:sz w:val="21"/>
      <w:szCs w:val="24"/>
      <w:lang w:val="en-US" w:eastAsia="zh-CN" w:bidi="ar-SA"/>
    </w:rPr>
  </w:style>
  <w:style w:type="paragraph" w:customStyle="1" w:styleId="94">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01 正文-首行缩进2字符"/>
    <w:basedOn w:val="1"/>
    <w:qFormat/>
    <w:uiPriority w:val="0"/>
    <w:pPr>
      <w:spacing w:before="50" w:beforeLines="50" w:after="50" w:afterLines="50"/>
      <w:ind w:firstLine="200" w:firstLineChars="200"/>
    </w:pPr>
    <w:rPr>
      <w:rFonts w:ascii="Arial" w:hAnsi="Arial"/>
      <w:color w:val="000000"/>
    </w:rPr>
  </w:style>
  <w:style w:type="character" w:customStyle="1" w:styleId="96">
    <w:name w:val="font21"/>
    <w:basedOn w:val="54"/>
    <w:qFormat/>
    <w:uiPriority w:val="0"/>
    <w:rPr>
      <w:rFonts w:ascii="Wingdings 2" w:hAnsi="Wingdings 2" w:eastAsia="Wingdings 2" w:cs="Wingdings 2"/>
      <w:b/>
      <w:color w:val="000000"/>
      <w:sz w:val="20"/>
      <w:szCs w:val="20"/>
      <w:u w:val="none"/>
    </w:rPr>
  </w:style>
  <w:style w:type="character" w:customStyle="1" w:styleId="97">
    <w:name w:val="Footer-Even Char2"/>
    <w:qFormat/>
    <w:uiPriority w:val="0"/>
    <w:rPr>
      <w:kern w:val="2"/>
      <w:sz w:val="18"/>
      <w:szCs w:val="18"/>
    </w:rPr>
  </w:style>
  <w:style w:type="character" w:customStyle="1" w:styleId="98">
    <w:name w:val="Style5"/>
    <w:qFormat/>
    <w:uiPriority w:val="0"/>
    <w:rPr>
      <w:rFonts w:ascii="Calibri" w:hAnsi="宋体" w:eastAsia="宋体" w:cs="Times New Roman"/>
      <w:sz w:val="22"/>
      <w:szCs w:val="22"/>
      <w:lang w:eastAsia="zh-CN"/>
    </w:rPr>
  </w:style>
  <w:style w:type="character" w:customStyle="1" w:styleId="99">
    <w:name w:val="正文1 Char Char"/>
    <w:link w:val="100"/>
    <w:qFormat/>
    <w:uiPriority w:val="0"/>
    <w:rPr>
      <w:rFonts w:ascii="宋体" w:hAnsi="宋体" w:eastAsia="宋体" w:cs="宋体"/>
      <w:sz w:val="21"/>
      <w:lang w:val="en-US" w:eastAsia="zh-CN" w:bidi="ar-SA"/>
    </w:rPr>
  </w:style>
  <w:style w:type="paragraph" w:customStyle="1" w:styleId="100">
    <w:name w:val="正文1"/>
    <w:basedOn w:val="1"/>
    <w:link w:val="99"/>
    <w:qFormat/>
    <w:uiPriority w:val="0"/>
    <w:pPr>
      <w:widowControl/>
      <w:spacing w:line="360" w:lineRule="auto"/>
      <w:ind w:left="360" w:firstLine="420"/>
      <w:jc w:val="left"/>
    </w:pPr>
    <w:rPr>
      <w:rFonts w:ascii="宋体" w:hAnsi="宋体" w:cs="宋体"/>
      <w:kern w:val="0"/>
      <w:szCs w:val="20"/>
    </w:rPr>
  </w:style>
  <w:style w:type="character" w:customStyle="1" w:styleId="101">
    <w:name w:val="heading 3 Char1"/>
    <w:qFormat/>
    <w:uiPriority w:val="0"/>
    <w:rPr>
      <w:rFonts w:eastAsia="宋体"/>
      <w:b/>
      <w:bCs/>
      <w:kern w:val="2"/>
      <w:sz w:val="32"/>
      <w:szCs w:val="32"/>
      <w:lang w:val="en-US" w:eastAsia="zh-CN" w:bidi="ar-SA"/>
    </w:rPr>
  </w:style>
  <w:style w:type="character" w:customStyle="1" w:styleId="102">
    <w:name w:val="style13"/>
    <w:basedOn w:val="54"/>
    <w:qFormat/>
    <w:uiPriority w:val="0"/>
  </w:style>
  <w:style w:type="character" w:customStyle="1" w:styleId="103">
    <w:name w:val="heading 1 Char2"/>
    <w:qFormat/>
    <w:uiPriority w:val="0"/>
    <w:rPr>
      <w:b/>
      <w:bCs/>
      <w:kern w:val="44"/>
      <w:sz w:val="44"/>
      <w:szCs w:val="44"/>
    </w:rPr>
  </w:style>
  <w:style w:type="character" w:customStyle="1" w:styleId="104">
    <w:name w:val="heading 1 Char"/>
    <w:qFormat/>
    <w:uiPriority w:val="0"/>
    <w:rPr>
      <w:rFonts w:ascii="Arial" w:hAnsi="Arial" w:eastAsia="黑体"/>
      <w:b/>
      <w:sz w:val="36"/>
      <w:szCs w:val="36"/>
    </w:rPr>
  </w:style>
  <w:style w:type="character" w:customStyle="1" w:styleId="105">
    <w:name w:val="heading 2 Char2"/>
    <w:qFormat/>
    <w:uiPriority w:val="0"/>
    <w:rPr>
      <w:rFonts w:ascii="Cambria" w:hAnsi="Cambria"/>
      <w:b/>
      <w:bCs/>
      <w:kern w:val="2"/>
      <w:sz w:val="32"/>
      <w:szCs w:val="32"/>
    </w:rPr>
  </w:style>
  <w:style w:type="character" w:customStyle="1" w:styleId="106">
    <w:name w:val="heading 7 Char1"/>
    <w:qFormat/>
    <w:uiPriority w:val="0"/>
    <w:rPr>
      <w:rFonts w:ascii="Arial" w:hAnsi="Arial" w:eastAsia="黑体"/>
      <w:sz w:val="21"/>
      <w:szCs w:val="21"/>
      <w:lang w:val="en-US" w:eastAsia="zh-CN" w:bidi="ar-SA"/>
    </w:rPr>
  </w:style>
  <w:style w:type="character" w:customStyle="1" w:styleId="107">
    <w:name w:val="Plain Text Char"/>
    <w:qFormat/>
    <w:uiPriority w:val="0"/>
    <w:rPr>
      <w:rFonts w:ascii="宋体" w:hAnsi="Courier New" w:eastAsia="宋体" w:cs="Times New Roman"/>
      <w:sz w:val="21"/>
      <w:szCs w:val="21"/>
    </w:rPr>
  </w:style>
  <w:style w:type="character" w:customStyle="1" w:styleId="108">
    <w:name w:val="表格 Char Char"/>
    <w:link w:val="109"/>
    <w:qFormat/>
    <w:uiPriority w:val="0"/>
    <w:rPr>
      <w:rFonts w:ascii="宋体" w:hAnsi="宋体" w:eastAsia="宋体"/>
      <w:lang w:val="en-US" w:eastAsia="zh-CN" w:bidi="ar-SA"/>
    </w:rPr>
  </w:style>
  <w:style w:type="paragraph" w:customStyle="1" w:styleId="109">
    <w:name w:val="表格"/>
    <w:basedOn w:val="1"/>
    <w:link w:val="108"/>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10">
    <w:name w:val="Char Char17"/>
    <w:qFormat/>
    <w:uiPriority w:val="0"/>
    <w:rPr>
      <w:rFonts w:ascii="Cambria" w:hAnsi="Cambria"/>
      <w:b/>
      <w:bCs/>
      <w:kern w:val="2"/>
      <w:sz w:val="28"/>
      <w:szCs w:val="28"/>
    </w:rPr>
  </w:style>
  <w:style w:type="character" w:customStyle="1" w:styleId="111">
    <w:name w:val="明显参考1"/>
    <w:qFormat/>
    <w:uiPriority w:val="0"/>
    <w:rPr>
      <w:b/>
      <w:bCs/>
      <w:smallCaps/>
      <w:color w:val="C0504D"/>
      <w:spacing w:val="5"/>
      <w:u w:val="single"/>
    </w:rPr>
  </w:style>
  <w:style w:type="character" w:customStyle="1" w:styleId="112">
    <w:name w:val="Char Char27"/>
    <w:qFormat/>
    <w:uiPriority w:val="0"/>
    <w:rPr>
      <w:rFonts w:eastAsia="宋体"/>
      <w:kern w:val="2"/>
      <w:sz w:val="28"/>
      <w:lang w:val="en-US" w:eastAsia="zh-CN" w:bidi="ar-SA"/>
    </w:rPr>
  </w:style>
  <w:style w:type="character" w:customStyle="1" w:styleId="113">
    <w:name w:val="heading 8 Char1"/>
    <w:qFormat/>
    <w:uiPriority w:val="0"/>
    <w:rPr>
      <w:rFonts w:ascii="Arial" w:hAnsi="Arial" w:eastAsia="黑体"/>
      <w:sz w:val="24"/>
      <w:lang w:val="en-US" w:eastAsia="zh-CN" w:bidi="ar-SA"/>
    </w:rPr>
  </w:style>
  <w:style w:type="character" w:customStyle="1" w:styleId="114">
    <w:name w:val="Footer-Even Char1"/>
    <w:qFormat/>
    <w:uiPriority w:val="0"/>
    <w:rPr>
      <w:rFonts w:eastAsia="宋体"/>
      <w:kern w:val="2"/>
      <w:sz w:val="18"/>
      <w:szCs w:val="18"/>
      <w:lang w:val="en-US" w:eastAsia="zh-CN" w:bidi="ar-SA"/>
    </w:rPr>
  </w:style>
  <w:style w:type="character" w:customStyle="1" w:styleId="115">
    <w:name w:val="Style3"/>
    <w:qFormat/>
    <w:uiPriority w:val="0"/>
    <w:rPr>
      <w:rFonts w:ascii="Calibri" w:hAnsi="宋体" w:eastAsia="宋体" w:cs="Times New Roman"/>
      <w:szCs w:val="22"/>
      <w:lang w:eastAsia="zh-CN"/>
    </w:rPr>
  </w:style>
  <w:style w:type="character" w:customStyle="1" w:styleId="116">
    <w:name w:val="heading 4 Char1"/>
    <w:qFormat/>
    <w:uiPriority w:val="0"/>
    <w:rPr>
      <w:rFonts w:ascii="Cambria" w:hAnsi="Cambria" w:eastAsia="宋体"/>
      <w:b/>
      <w:bCs/>
      <w:kern w:val="2"/>
      <w:sz w:val="28"/>
      <w:szCs w:val="28"/>
      <w:lang w:val="en-US" w:eastAsia="zh-CN" w:bidi="ar-SA"/>
    </w:rPr>
  </w:style>
  <w:style w:type="character" w:customStyle="1" w:styleId="117">
    <w:name w:val="表正文 Char2"/>
    <w:uiPriority w:val="0"/>
    <w:rPr>
      <w:rFonts w:ascii="Times New Roman" w:hAnsi="Times New Roman" w:eastAsia="宋体" w:cs="Times New Roman"/>
      <w:szCs w:val="24"/>
    </w:rPr>
  </w:style>
  <w:style w:type="character" w:customStyle="1" w:styleId="118">
    <w:name w:val="heading 3 Char2"/>
    <w:qFormat/>
    <w:uiPriority w:val="0"/>
    <w:rPr>
      <w:b/>
      <w:bCs/>
      <w:kern w:val="2"/>
      <w:sz w:val="32"/>
      <w:szCs w:val="32"/>
    </w:rPr>
  </w:style>
  <w:style w:type="character" w:customStyle="1" w:styleId="119">
    <w:name w:val="Char Char201"/>
    <w:uiPriority w:val="0"/>
    <w:rPr>
      <w:rFonts w:ascii="Cambria" w:hAnsi="Cambria" w:eastAsia="宋体" w:cs="Times New Roman"/>
      <w:b/>
      <w:bCs/>
      <w:sz w:val="32"/>
      <w:szCs w:val="32"/>
    </w:rPr>
  </w:style>
  <w:style w:type="character" w:customStyle="1" w:styleId="120">
    <w:name w:val="Char Char4"/>
    <w:qFormat/>
    <w:uiPriority w:val="0"/>
    <w:rPr>
      <w:rFonts w:ascii="Cambria" w:hAnsi="Cambria" w:eastAsia="宋体"/>
      <w:b/>
      <w:bCs/>
      <w:sz w:val="32"/>
      <w:szCs w:val="32"/>
      <w:lang w:bidi="ar-SA"/>
    </w:rPr>
  </w:style>
  <w:style w:type="character" w:customStyle="1" w:styleId="121">
    <w:name w:val=" Char Char12"/>
    <w:qFormat/>
    <w:uiPriority w:val="0"/>
    <w:rPr>
      <w:rFonts w:eastAsia="宋体"/>
      <w:kern w:val="2"/>
      <w:sz w:val="21"/>
      <w:szCs w:val="24"/>
      <w:lang w:val="en-US" w:eastAsia="zh-CN" w:bidi="ar-SA"/>
    </w:rPr>
  </w:style>
  <w:style w:type="character" w:customStyle="1" w:styleId="122">
    <w:name w:val="font31"/>
    <w:qFormat/>
    <w:uiPriority w:val="0"/>
    <w:rPr>
      <w:rFonts w:hint="eastAsia" w:ascii="宋体" w:hAnsi="宋体" w:eastAsia="宋体" w:cs="宋体"/>
      <w:color w:val="000000"/>
      <w:sz w:val="24"/>
      <w:szCs w:val="24"/>
      <w:u w:val="single"/>
    </w:rPr>
  </w:style>
  <w:style w:type="character" w:customStyle="1" w:styleId="123">
    <w:name w:val="不明显参考1"/>
    <w:qFormat/>
    <w:uiPriority w:val="0"/>
    <w:rPr>
      <w:smallCaps/>
      <w:color w:val="C0504D"/>
      <w:u w:val="single"/>
    </w:rPr>
  </w:style>
  <w:style w:type="character" w:customStyle="1" w:styleId="124">
    <w:name w:val="heading 2 Char"/>
    <w:qFormat/>
    <w:uiPriority w:val="0"/>
    <w:rPr>
      <w:rFonts w:ascii="Arial" w:hAnsi="Arial" w:eastAsia="黑体" w:cs="Times New Roman"/>
      <w:sz w:val="30"/>
      <w:szCs w:val="24"/>
    </w:rPr>
  </w:style>
  <w:style w:type="character" w:customStyle="1" w:styleId="125">
    <w:name w:val="Style1"/>
    <w:qFormat/>
    <w:uiPriority w:val="0"/>
    <w:rPr>
      <w:rFonts w:ascii="Calibri" w:hAnsi="宋体" w:eastAsia="宋体" w:cs="Times New Roman"/>
      <w:sz w:val="22"/>
      <w:szCs w:val="22"/>
      <w:lang w:eastAsia="zh-CN"/>
    </w:rPr>
  </w:style>
  <w:style w:type="character" w:customStyle="1" w:styleId="126">
    <w:name w:val="Char Char18"/>
    <w:qFormat/>
    <w:uiPriority w:val="0"/>
    <w:rPr>
      <w:b/>
      <w:bCs/>
      <w:kern w:val="2"/>
      <w:sz w:val="32"/>
      <w:szCs w:val="32"/>
    </w:rPr>
  </w:style>
  <w:style w:type="character" w:customStyle="1" w:styleId="127">
    <w:name w:val="书籍标题1"/>
    <w:qFormat/>
    <w:uiPriority w:val="0"/>
    <w:rPr>
      <w:b/>
      <w:bCs/>
      <w:smallCaps/>
      <w:spacing w:val="5"/>
    </w:rPr>
  </w:style>
  <w:style w:type="character" w:customStyle="1" w:styleId="128">
    <w:name w:val="_Style 127"/>
    <w:qFormat/>
    <w:uiPriority w:val="0"/>
    <w:rPr>
      <w:b/>
      <w:bCs/>
      <w:smallCaps/>
      <w:color w:val="C0504D"/>
      <w:spacing w:val="5"/>
      <w:u w:val="single"/>
    </w:rPr>
  </w:style>
  <w:style w:type="character" w:customStyle="1" w:styleId="129">
    <w:name w:val="Table Text Char Char"/>
    <w:link w:val="130"/>
    <w:qFormat/>
    <w:uiPriority w:val="0"/>
    <w:rPr>
      <w:sz w:val="21"/>
      <w:lang w:val="en-US" w:eastAsia="en-US" w:bidi="ar-SA"/>
    </w:rPr>
  </w:style>
  <w:style w:type="paragraph" w:customStyle="1" w:styleId="130">
    <w:name w:val="Table Text"/>
    <w:basedOn w:val="1"/>
    <w:link w:val="129"/>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1">
    <w:name w:val="Char Char211"/>
    <w:qFormat/>
    <w:uiPriority w:val="0"/>
    <w:rPr>
      <w:rFonts w:ascii="Times New Roman" w:hAnsi="Times New Roman" w:eastAsia="宋体" w:cs="Times New Roman"/>
      <w:b/>
      <w:bCs/>
      <w:kern w:val="44"/>
      <w:sz w:val="44"/>
      <w:szCs w:val="44"/>
    </w:rPr>
  </w:style>
  <w:style w:type="character" w:customStyle="1" w:styleId="132">
    <w:name w:val="heading 4 Char"/>
    <w:qFormat/>
    <w:uiPriority w:val="0"/>
    <w:rPr>
      <w:rFonts w:ascii="Arial" w:hAnsi="Arial" w:eastAsia="黑体" w:cs="Times New Roman"/>
      <w:sz w:val="21"/>
      <w:szCs w:val="21"/>
    </w:rPr>
  </w:style>
  <w:style w:type="character" w:customStyle="1" w:styleId="133">
    <w:name w:val="Char Char22"/>
    <w:qFormat/>
    <w:uiPriority w:val="0"/>
    <w:rPr>
      <w:rFonts w:ascii="Arial" w:hAnsi="Arial" w:eastAsia="黑体"/>
      <w:b/>
      <w:bCs/>
      <w:kern w:val="44"/>
      <w:sz w:val="30"/>
      <w:szCs w:val="44"/>
      <w:lang w:val="en-US" w:eastAsia="zh-CN" w:bidi="ar-SA"/>
    </w:rPr>
  </w:style>
  <w:style w:type="character" w:customStyle="1" w:styleId="134">
    <w:name w:val="Char Char20"/>
    <w:qFormat/>
    <w:uiPriority w:val="0"/>
    <w:rPr>
      <w:b/>
      <w:bCs/>
      <w:kern w:val="44"/>
      <w:sz w:val="44"/>
      <w:szCs w:val="44"/>
    </w:rPr>
  </w:style>
  <w:style w:type="character" w:customStyle="1" w:styleId="135">
    <w:name w:val="heading 6 Char1"/>
    <w:qFormat/>
    <w:uiPriority w:val="0"/>
    <w:rPr>
      <w:rFonts w:ascii="Arial" w:hAnsi="Arial" w:eastAsia="黑体"/>
      <w:kern w:val="2"/>
      <w:sz w:val="24"/>
      <w:szCs w:val="24"/>
      <w:lang w:val="en-US" w:eastAsia="zh-CN" w:bidi="ar-SA"/>
    </w:rPr>
  </w:style>
  <w:style w:type="character" w:customStyle="1" w:styleId="136">
    <w:name w:val="Char Char21"/>
    <w:qFormat/>
    <w:uiPriority w:val="0"/>
    <w:rPr>
      <w:rFonts w:ascii="Times New Roman" w:hAnsi="Times New Roman" w:eastAsia="宋体" w:cs="Times New Roman"/>
      <w:b/>
      <w:bCs/>
      <w:kern w:val="44"/>
      <w:sz w:val="44"/>
      <w:szCs w:val="44"/>
    </w:rPr>
  </w:style>
  <w:style w:type="character" w:customStyle="1" w:styleId="137">
    <w:name w:val="Char Char15"/>
    <w:qFormat/>
    <w:uiPriority w:val="0"/>
    <w:rPr>
      <w:rFonts w:ascii="Arial" w:hAnsi="Arial" w:eastAsia="黑体"/>
      <w:sz w:val="24"/>
      <w:szCs w:val="24"/>
    </w:rPr>
  </w:style>
  <w:style w:type="character" w:customStyle="1" w:styleId="138">
    <w:name w:val=" ändrad Char1"/>
    <w:qFormat/>
    <w:uiPriority w:val="0"/>
    <w:rPr>
      <w:rFonts w:ascii="仿宋_GB2312" w:eastAsia="宋体"/>
      <w:b/>
      <w:kern w:val="2"/>
      <w:sz w:val="21"/>
      <w:szCs w:val="24"/>
      <w:lang w:val="en-US" w:eastAsia="zh-CN" w:bidi="ar-SA"/>
    </w:rPr>
  </w:style>
  <w:style w:type="character" w:customStyle="1" w:styleId="139">
    <w:name w:val="heading 1 Char1"/>
    <w:qFormat/>
    <w:uiPriority w:val="0"/>
    <w:rPr>
      <w:rFonts w:eastAsia="宋体"/>
      <w:b/>
      <w:bCs/>
      <w:kern w:val="44"/>
      <w:sz w:val="44"/>
      <w:szCs w:val="44"/>
      <w:lang w:val="en-US" w:eastAsia="zh-CN" w:bidi="ar-SA"/>
    </w:rPr>
  </w:style>
  <w:style w:type="character" w:customStyle="1" w:styleId="140">
    <w:name w:val="PI Char"/>
    <w:qFormat/>
    <w:uiPriority w:val="0"/>
    <w:rPr>
      <w:rFonts w:ascii="宋体" w:hAnsi="宋体"/>
      <w:sz w:val="24"/>
    </w:rPr>
  </w:style>
  <w:style w:type="character" w:customStyle="1" w:styleId="141">
    <w:name w:val="heading 5 Char"/>
    <w:qFormat/>
    <w:uiPriority w:val="0"/>
    <w:rPr>
      <w:rFonts w:ascii="Arial" w:hAnsi="Arial" w:eastAsia="黑体"/>
      <w:sz w:val="21"/>
      <w:szCs w:val="21"/>
    </w:rPr>
  </w:style>
  <w:style w:type="character" w:customStyle="1" w:styleId="142">
    <w:name w:val="blue1"/>
    <w:basedOn w:val="54"/>
    <w:qFormat/>
    <w:uiPriority w:val="0"/>
  </w:style>
  <w:style w:type="character" w:customStyle="1" w:styleId="143">
    <w:name w:val="Char Char2"/>
    <w:qFormat/>
    <w:uiPriority w:val="0"/>
    <w:rPr>
      <w:rFonts w:ascii="Arial" w:hAnsi="Arial" w:eastAsia="黑体"/>
      <w:b/>
      <w:bCs/>
      <w:kern w:val="44"/>
      <w:sz w:val="30"/>
      <w:szCs w:val="44"/>
      <w:lang w:val="en-US" w:eastAsia="zh-CN" w:bidi="ar-SA"/>
    </w:rPr>
  </w:style>
  <w:style w:type="character" w:customStyle="1" w:styleId="144">
    <w:name w:val="Char Char Char1"/>
    <w:qFormat/>
    <w:uiPriority w:val="0"/>
    <w:rPr>
      <w:rFonts w:ascii="宋体" w:hAnsi="Courier New"/>
      <w:sz w:val="21"/>
      <w:szCs w:val="21"/>
    </w:rPr>
  </w:style>
  <w:style w:type="character" w:customStyle="1" w:styleId="145">
    <w:name w:val="Style2"/>
    <w:qFormat/>
    <w:uiPriority w:val="0"/>
    <w:rPr>
      <w:rFonts w:ascii="Calibri" w:hAnsi="宋体" w:eastAsia="宋体" w:cs="Times New Roman"/>
      <w:sz w:val="22"/>
      <w:szCs w:val="22"/>
      <w:lang w:eastAsia="zh-CN"/>
    </w:rPr>
  </w:style>
  <w:style w:type="character" w:customStyle="1" w:styleId="146">
    <w:name w:val=" Char Char4"/>
    <w:uiPriority w:val="0"/>
    <w:rPr>
      <w:rFonts w:ascii="Cambria" w:hAnsi="Cambria" w:eastAsia="宋体"/>
      <w:b/>
      <w:bCs/>
      <w:sz w:val="32"/>
      <w:szCs w:val="32"/>
      <w:lang w:bidi="ar-SA"/>
    </w:rPr>
  </w:style>
  <w:style w:type="character" w:customStyle="1" w:styleId="147">
    <w:name w:val="样式 标题 3 + 黑体 小四 Char Char"/>
    <w:link w:val="148"/>
    <w:uiPriority w:val="0"/>
    <w:rPr>
      <w:rFonts w:ascii="黑体" w:hAnsi="Arial" w:eastAsia="黑体"/>
      <w:bCs/>
      <w:sz w:val="24"/>
      <w:szCs w:val="24"/>
      <w:lang w:bidi="ar-SA"/>
    </w:rPr>
  </w:style>
  <w:style w:type="paragraph" w:customStyle="1" w:styleId="148">
    <w:name w:val="样式 标题 3 + 黑体 小四"/>
    <w:basedOn w:val="5"/>
    <w:link w:val="147"/>
    <w:qFormat/>
    <w:uiPriority w:val="0"/>
    <w:pPr>
      <w:numPr>
        <w:ilvl w:val="0"/>
        <w:numId w:val="0"/>
      </w:numPr>
      <w:spacing w:before="260" w:beforeLines="0" w:after="260" w:afterLines="0" w:line="413" w:lineRule="auto"/>
    </w:pPr>
    <w:rPr>
      <w:rFonts w:ascii="黑体" w:hAnsi="Arial"/>
      <w:b w:val="0"/>
      <w:bCs/>
      <w:kern w:val="0"/>
      <w:sz w:val="24"/>
      <w:szCs w:val="24"/>
    </w:rPr>
  </w:style>
  <w:style w:type="character" w:customStyle="1" w:styleId="149">
    <w:name w:val="Char Char12"/>
    <w:qFormat/>
    <w:uiPriority w:val="0"/>
    <w:rPr>
      <w:rFonts w:eastAsia="宋体"/>
      <w:kern w:val="2"/>
      <w:sz w:val="21"/>
      <w:szCs w:val="24"/>
      <w:lang w:val="en-US" w:eastAsia="zh-CN" w:bidi="ar-SA"/>
    </w:rPr>
  </w:style>
  <w:style w:type="character" w:customStyle="1" w:styleId="150">
    <w:name w:val="Char Char111"/>
    <w:qFormat/>
    <w:uiPriority w:val="0"/>
    <w:rPr>
      <w:rFonts w:ascii="Times New Roman" w:hAnsi="Times New Roman" w:eastAsia="宋体" w:cs="Times New Roman"/>
      <w:sz w:val="18"/>
      <w:szCs w:val="18"/>
    </w:rPr>
  </w:style>
  <w:style w:type="character" w:customStyle="1" w:styleId="151">
    <w:name w:val="heading 5 Char1"/>
    <w:qFormat/>
    <w:uiPriority w:val="0"/>
    <w:rPr>
      <w:rFonts w:eastAsia="宋体"/>
      <w:b/>
      <w:bCs/>
      <w:kern w:val="2"/>
      <w:sz w:val="28"/>
      <w:szCs w:val="28"/>
      <w:lang w:val="en-US" w:eastAsia="zh-CN" w:bidi="ar-SA"/>
    </w:rPr>
  </w:style>
  <w:style w:type="character" w:customStyle="1" w:styleId="152">
    <w:name w:val=" Char Char24"/>
    <w:qFormat/>
    <w:uiPriority w:val="0"/>
    <w:rPr>
      <w:rFonts w:eastAsia="宋体"/>
      <w:b/>
      <w:kern w:val="2"/>
      <w:sz w:val="28"/>
      <w:lang w:val="en-US" w:eastAsia="zh-CN" w:bidi="ar-SA"/>
    </w:rPr>
  </w:style>
  <w:style w:type="character" w:customStyle="1" w:styleId="153">
    <w:name w:val="明显强调1"/>
    <w:uiPriority w:val="0"/>
    <w:rPr>
      <w:b/>
      <w:bCs/>
      <w:i/>
      <w:iCs/>
      <w:color w:val="4F81BD"/>
    </w:rPr>
  </w:style>
  <w:style w:type="character" w:customStyle="1" w:styleId="154">
    <w:name w:val="heading 4 Char2"/>
    <w:qFormat/>
    <w:uiPriority w:val="0"/>
    <w:rPr>
      <w:rFonts w:ascii="Cambria" w:hAnsi="Cambria"/>
      <w:b/>
      <w:bCs/>
      <w:kern w:val="2"/>
      <w:sz w:val="28"/>
      <w:szCs w:val="28"/>
    </w:rPr>
  </w:style>
  <w:style w:type="character" w:customStyle="1" w:styleId="155">
    <w:name w:val="Ò³Ã¼ Char Char1"/>
    <w:qFormat/>
    <w:uiPriority w:val="0"/>
    <w:rPr>
      <w:rFonts w:eastAsia="宋体"/>
      <w:kern w:val="2"/>
      <w:sz w:val="18"/>
      <w:szCs w:val="18"/>
      <w:lang w:val="en-US" w:eastAsia="zh-CN" w:bidi="ar-SA"/>
    </w:rPr>
  </w:style>
  <w:style w:type="character" w:customStyle="1" w:styleId="156">
    <w:name w:val=" Char Char1"/>
    <w:qFormat/>
    <w:uiPriority w:val="0"/>
    <w:rPr>
      <w:rFonts w:eastAsia="宋体"/>
      <w:sz w:val="21"/>
      <w:lang w:val="en-US" w:eastAsia="zh-CN" w:bidi="ar-SA"/>
    </w:rPr>
  </w:style>
  <w:style w:type="character" w:customStyle="1" w:styleId="157">
    <w:name w:val="ListLabel 1"/>
    <w:qFormat/>
    <w:uiPriority w:val="7"/>
    <w:rPr>
      <w:rFonts w:ascii="宋体" w:hAnsi="宋体" w:cs="宋体"/>
      <w:color w:val="FF0000"/>
      <w:sz w:val="24"/>
    </w:rPr>
  </w:style>
  <w:style w:type="character" w:customStyle="1" w:styleId="158">
    <w:name w:val="不明显强调1"/>
    <w:qFormat/>
    <w:uiPriority w:val="0"/>
    <w:rPr>
      <w:i/>
      <w:iCs/>
      <w:color w:val="808080"/>
    </w:rPr>
  </w:style>
  <w:style w:type="character" w:customStyle="1" w:styleId="159">
    <w:name w:val="PI Char2"/>
    <w:qFormat/>
    <w:uiPriority w:val="0"/>
    <w:rPr>
      <w:kern w:val="2"/>
      <w:sz w:val="24"/>
      <w:szCs w:val="24"/>
    </w:rPr>
  </w:style>
  <w:style w:type="character" w:customStyle="1" w:styleId="160">
    <w:name w:val="Footer-Even Char"/>
    <w:qFormat/>
    <w:uiPriority w:val="0"/>
    <w:rPr>
      <w:sz w:val="18"/>
      <w:szCs w:val="18"/>
    </w:rPr>
  </w:style>
  <w:style w:type="character" w:customStyle="1" w:styleId="161">
    <w:name w:val=" Char Char Char"/>
    <w:qFormat/>
    <w:uiPriority w:val="0"/>
    <w:rPr>
      <w:rFonts w:ascii="宋体" w:hAnsi="Courier New" w:eastAsia="宋体"/>
      <w:b/>
      <w:sz w:val="21"/>
      <w:szCs w:val="21"/>
      <w:lang w:val="en-US" w:eastAsia="zh-CN" w:bidi="ar-SA"/>
    </w:rPr>
  </w:style>
  <w:style w:type="character" w:customStyle="1" w:styleId="162">
    <w:name w:val="Char Char19"/>
    <w:uiPriority w:val="0"/>
    <w:rPr>
      <w:rFonts w:ascii="Cambria" w:hAnsi="Cambria"/>
      <w:b/>
      <w:bCs/>
      <w:kern w:val="2"/>
      <w:sz w:val="32"/>
      <w:szCs w:val="32"/>
    </w:rPr>
  </w:style>
  <w:style w:type="character" w:customStyle="1" w:styleId="163">
    <w:name w:val="引用 字符"/>
    <w:link w:val="164"/>
    <w:qFormat/>
    <w:uiPriority w:val="0"/>
    <w:rPr>
      <w:rFonts w:ascii="Calibri" w:hAnsi="Calibri" w:eastAsia="宋体"/>
      <w:i/>
      <w:iCs/>
      <w:color w:val="000000"/>
      <w:lang w:val="en-US" w:eastAsia="zh-CN" w:bidi="ar-SA"/>
    </w:rPr>
  </w:style>
  <w:style w:type="paragraph" w:styleId="164">
    <w:name w:val="Quote"/>
    <w:basedOn w:val="1"/>
    <w:next w:val="1"/>
    <w:link w:val="163"/>
    <w:qFormat/>
    <w:uiPriority w:val="0"/>
    <w:rPr>
      <w:i/>
      <w:iCs/>
      <w:color w:val="000000"/>
      <w:kern w:val="0"/>
      <w:sz w:val="20"/>
      <w:szCs w:val="20"/>
    </w:rPr>
  </w:style>
  <w:style w:type="character" w:customStyle="1" w:styleId="165">
    <w:name w:val="样式 宋体"/>
    <w:uiPriority w:val="0"/>
    <w:rPr>
      <w:rFonts w:ascii="宋体" w:hAnsi="宋体" w:eastAsia="宋体"/>
      <w:sz w:val="24"/>
      <w:szCs w:val="24"/>
    </w:rPr>
  </w:style>
  <w:style w:type="character" w:customStyle="1" w:styleId="166">
    <w:name w:val="Char Char61"/>
    <w:qFormat/>
    <w:uiPriority w:val="0"/>
    <w:rPr>
      <w:rFonts w:ascii="Times New Roman" w:hAnsi="Times New Roman" w:eastAsia="宋体" w:cs="Times New Roman"/>
      <w:szCs w:val="24"/>
    </w:rPr>
  </w:style>
  <w:style w:type="character" w:customStyle="1" w:styleId="167">
    <w:name w:val="Char Char6"/>
    <w:qFormat/>
    <w:uiPriority w:val="0"/>
    <w:rPr>
      <w:rFonts w:ascii="Times New Roman" w:hAnsi="Times New Roman" w:eastAsia="宋体" w:cs="Times New Roman"/>
      <w:szCs w:val="24"/>
    </w:rPr>
  </w:style>
  <w:style w:type="character" w:customStyle="1" w:styleId="168">
    <w:name w:val="无间隔 字符"/>
    <w:link w:val="169"/>
    <w:qFormat/>
    <w:uiPriority w:val="0"/>
    <w:rPr>
      <w:rFonts w:eastAsia="Times New Roman"/>
      <w:sz w:val="22"/>
      <w:szCs w:val="22"/>
      <w:lang w:val="en-US" w:eastAsia="zh-CN" w:bidi="ar-SA"/>
    </w:rPr>
  </w:style>
  <w:style w:type="paragraph" w:styleId="169">
    <w:name w:val="No Spacing"/>
    <w:link w:val="168"/>
    <w:qFormat/>
    <w:uiPriority w:val="0"/>
    <w:rPr>
      <w:rFonts w:ascii="Times New Roman" w:hAnsi="Times New Roman" w:eastAsia="Times New Roman" w:cs="Times New Roman"/>
      <w:sz w:val="22"/>
      <w:szCs w:val="22"/>
      <w:lang w:val="en-US" w:eastAsia="zh-CN" w:bidi="ar-SA"/>
    </w:rPr>
  </w:style>
  <w:style w:type="character" w:customStyle="1" w:styleId="170">
    <w:name w:val=" Char Char27"/>
    <w:uiPriority w:val="0"/>
    <w:rPr>
      <w:rFonts w:eastAsia="宋体"/>
      <w:kern w:val="2"/>
      <w:sz w:val="28"/>
      <w:lang w:val="en-US" w:eastAsia="zh-CN" w:bidi="ar-SA"/>
    </w:rPr>
  </w:style>
  <w:style w:type="character" w:customStyle="1" w:styleId="171">
    <w:name w:val="Ò³Ã¼ Char Char"/>
    <w:qFormat/>
    <w:uiPriority w:val="0"/>
    <w:rPr>
      <w:sz w:val="18"/>
      <w:szCs w:val="18"/>
    </w:rPr>
  </w:style>
  <w:style w:type="character" w:customStyle="1" w:styleId="172">
    <w:name w:val="_Style 171"/>
    <w:qFormat/>
    <w:uiPriority w:val="0"/>
    <w:rPr>
      <w:b/>
      <w:bCs/>
      <w:smallCaps/>
      <w:spacing w:val="5"/>
    </w:rPr>
  </w:style>
  <w:style w:type="character" w:customStyle="1" w:styleId="173">
    <w:name w:val="Ò³Ã¼ Char Char2"/>
    <w:qFormat/>
    <w:uiPriority w:val="0"/>
    <w:rPr>
      <w:kern w:val="2"/>
      <w:sz w:val="18"/>
      <w:szCs w:val="18"/>
    </w:rPr>
  </w:style>
  <w:style w:type="character" w:customStyle="1" w:styleId="174">
    <w:name w:val="明显引用 字符"/>
    <w:link w:val="175"/>
    <w:qFormat/>
    <w:uiPriority w:val="0"/>
    <w:rPr>
      <w:rFonts w:ascii="Calibri" w:hAnsi="Calibri" w:eastAsia="宋体"/>
      <w:b/>
      <w:bCs/>
      <w:i/>
      <w:iCs/>
      <w:color w:val="4F81BD"/>
      <w:lang w:val="en-US" w:eastAsia="zh-CN" w:bidi="ar-SA"/>
    </w:rPr>
  </w:style>
  <w:style w:type="paragraph" w:styleId="175">
    <w:name w:val="Intense Quote"/>
    <w:basedOn w:val="1"/>
    <w:next w:val="1"/>
    <w:link w:val="174"/>
    <w:qFormat/>
    <w:uiPriority w:val="0"/>
    <w:pPr>
      <w:pBdr>
        <w:bottom w:val="single" w:color="4F81BD" w:sz="4" w:space="4"/>
      </w:pBdr>
      <w:spacing w:before="200" w:beforeLines="0" w:after="280" w:afterLines="0"/>
      <w:ind w:left="936" w:right="936"/>
    </w:pPr>
    <w:rPr>
      <w:b/>
      <w:bCs/>
      <w:i/>
      <w:iCs/>
      <w:color w:val="4F81BD"/>
      <w:kern w:val="0"/>
      <w:sz w:val="20"/>
      <w:szCs w:val="20"/>
    </w:rPr>
  </w:style>
  <w:style w:type="character" w:customStyle="1" w:styleId="176">
    <w:name w:val="heading 3 Char"/>
    <w:uiPriority w:val="0"/>
    <w:rPr>
      <w:rFonts w:ascii="Arial" w:hAnsi="Arial" w:eastAsia="黑体"/>
      <w:sz w:val="28"/>
      <w:szCs w:val="24"/>
    </w:rPr>
  </w:style>
  <w:style w:type="character" w:customStyle="1" w:styleId="177">
    <w:name w:val="Char Char24"/>
    <w:uiPriority w:val="0"/>
    <w:rPr>
      <w:rFonts w:eastAsia="宋体"/>
      <w:b/>
      <w:kern w:val="2"/>
      <w:sz w:val="28"/>
      <w:lang w:val="en-US" w:eastAsia="zh-CN" w:bidi="ar-SA"/>
    </w:rPr>
  </w:style>
  <w:style w:type="character" w:customStyle="1" w:styleId="178">
    <w:name w:val="PI Char1"/>
    <w:qFormat/>
    <w:uiPriority w:val="0"/>
    <w:rPr>
      <w:rFonts w:eastAsia="宋体"/>
      <w:kern w:val="2"/>
      <w:sz w:val="24"/>
      <w:szCs w:val="24"/>
      <w:lang w:val="en-US" w:eastAsia="zh-CN" w:bidi="ar-SA"/>
    </w:rPr>
  </w:style>
  <w:style w:type="character" w:customStyle="1" w:styleId="179">
    <w:name w:val="_Style 178"/>
    <w:qFormat/>
    <w:uiPriority w:val="0"/>
    <w:rPr>
      <w:smallCaps/>
      <w:color w:val="C0504D"/>
      <w:u w:val="single"/>
    </w:rPr>
  </w:style>
  <w:style w:type="character" w:customStyle="1" w:styleId="180">
    <w:name w:val="style41"/>
    <w:qFormat/>
    <w:uiPriority w:val="0"/>
    <w:rPr>
      <w:color w:val="auto"/>
    </w:rPr>
  </w:style>
  <w:style w:type="character" w:customStyle="1" w:styleId="181">
    <w:name w:val="Char Char16"/>
    <w:qFormat/>
    <w:uiPriority w:val="0"/>
    <w:rPr>
      <w:b/>
      <w:bCs/>
      <w:kern w:val="2"/>
      <w:sz w:val="28"/>
      <w:szCs w:val="28"/>
    </w:rPr>
  </w:style>
  <w:style w:type="character" w:customStyle="1" w:styleId="182">
    <w:name w:val="_Style 181"/>
    <w:qFormat/>
    <w:uiPriority w:val="0"/>
    <w:rPr>
      <w:i/>
      <w:iCs/>
      <w:color w:val="808080"/>
    </w:rPr>
  </w:style>
  <w:style w:type="character" w:customStyle="1" w:styleId="183">
    <w:name w:val="dandyren_title1"/>
    <w:qFormat/>
    <w:uiPriority w:val="0"/>
    <w:rPr>
      <w:b/>
      <w:bCs/>
      <w:color w:val="FF6633"/>
      <w:sz w:val="18"/>
      <w:szCs w:val="18"/>
    </w:rPr>
  </w:style>
  <w:style w:type="character" w:customStyle="1" w:styleId="184">
    <w:name w:val="style21"/>
    <w:qFormat/>
    <w:uiPriority w:val="0"/>
    <w:rPr>
      <w:sz w:val="15"/>
      <w:szCs w:val="15"/>
    </w:rPr>
  </w:style>
  <w:style w:type="character" w:customStyle="1" w:styleId="185">
    <w:name w:val="style111"/>
    <w:qFormat/>
    <w:uiPriority w:val="0"/>
    <w:rPr>
      <w:sz w:val="27"/>
      <w:szCs w:val="27"/>
    </w:rPr>
  </w:style>
  <w:style w:type="character" w:customStyle="1" w:styleId="186">
    <w:name w:val="smalltxt1"/>
    <w:qFormat/>
    <w:uiPriority w:val="0"/>
    <w:rPr>
      <w:rFonts w:hint="default" w:ascii="ˎ̥" w:hAnsi="ˎ̥"/>
      <w:sz w:val="24"/>
      <w:szCs w:val="24"/>
    </w:rPr>
  </w:style>
  <w:style w:type="character" w:customStyle="1" w:styleId="187">
    <w:name w:val="heading 5 Char2"/>
    <w:qFormat/>
    <w:uiPriority w:val="0"/>
    <w:rPr>
      <w:b/>
      <w:bCs/>
      <w:kern w:val="2"/>
      <w:sz w:val="28"/>
      <w:szCs w:val="28"/>
    </w:rPr>
  </w:style>
  <w:style w:type="character" w:customStyle="1" w:styleId="188">
    <w:name w:val="Char Char11"/>
    <w:qFormat/>
    <w:uiPriority w:val="0"/>
    <w:rPr>
      <w:rFonts w:ascii="Times New Roman" w:hAnsi="Times New Roman" w:eastAsia="宋体" w:cs="Times New Roman"/>
      <w:sz w:val="18"/>
      <w:szCs w:val="18"/>
    </w:rPr>
  </w:style>
  <w:style w:type="character" w:customStyle="1" w:styleId="189">
    <w:name w:val="样式2 Char Char"/>
    <w:link w:val="190"/>
    <w:qFormat/>
    <w:uiPriority w:val="0"/>
    <w:rPr>
      <w:rFonts w:ascii="宋体" w:hAnsi="宋体" w:eastAsia="宋体"/>
      <w:bCs/>
      <w:kern w:val="2"/>
      <w:sz w:val="28"/>
      <w:szCs w:val="28"/>
      <w:lang w:val="en-US" w:eastAsia="zh-CN" w:bidi="ar-SA"/>
    </w:rPr>
  </w:style>
  <w:style w:type="paragraph" w:customStyle="1" w:styleId="190">
    <w:name w:val="样式2"/>
    <w:basedOn w:val="4"/>
    <w:link w:val="189"/>
    <w:qFormat/>
    <w:uiPriority w:val="0"/>
    <w:pPr>
      <w:keepLines/>
      <w:numPr>
        <w:ilvl w:val="0"/>
        <w:numId w:val="0"/>
      </w:numPr>
      <w:snapToGrid w:val="0"/>
      <w:spacing w:before="260" w:beforeLines="0" w:after="156" w:afterLines="50" w:line="480" w:lineRule="exact"/>
      <w:ind w:firstLine="556"/>
    </w:pPr>
    <w:rPr>
      <w:rFonts w:ascii="宋体" w:hAnsi="宋体"/>
      <w:b w:val="0"/>
      <w:bCs/>
      <w:szCs w:val="28"/>
    </w:rPr>
  </w:style>
  <w:style w:type="character" w:customStyle="1" w:styleId="191">
    <w:name w:val="gray6"/>
    <w:basedOn w:val="54"/>
    <w:qFormat/>
    <w:uiPriority w:val="0"/>
  </w:style>
  <w:style w:type="character" w:customStyle="1" w:styleId="192">
    <w:name w:val="Style4"/>
    <w:qFormat/>
    <w:uiPriority w:val="0"/>
    <w:rPr>
      <w:rFonts w:ascii="Calibri" w:hAnsi="宋体" w:eastAsia="宋体" w:cs="Times New Roman"/>
      <w:szCs w:val="22"/>
      <w:lang w:eastAsia="zh-CN"/>
    </w:rPr>
  </w:style>
  <w:style w:type="character" w:customStyle="1" w:styleId="193">
    <w:name w:val="Char Char Char Char Char Char Char Char Char"/>
    <w:qFormat/>
    <w:uiPriority w:val="0"/>
    <w:rPr>
      <w:rFonts w:ascii="宋体" w:hAnsi="Courier New" w:eastAsia="宋体"/>
      <w:sz w:val="21"/>
      <w:szCs w:val="21"/>
      <w:lang w:val="en-US" w:eastAsia="zh-CN" w:bidi="ar-SA"/>
    </w:rPr>
  </w:style>
  <w:style w:type="character" w:customStyle="1" w:styleId="194">
    <w:name w:val="pt141"/>
    <w:qFormat/>
    <w:uiPriority w:val="0"/>
    <w:rPr>
      <w:color w:val="330066"/>
      <w:spacing w:val="450"/>
      <w:sz w:val="22"/>
      <w:szCs w:val="22"/>
    </w:rPr>
  </w:style>
  <w:style w:type="character" w:customStyle="1" w:styleId="195">
    <w:name w:val="heading 2 Char1"/>
    <w:qFormat/>
    <w:uiPriority w:val="0"/>
    <w:rPr>
      <w:rFonts w:ascii="Cambria" w:hAnsi="Cambria" w:eastAsia="宋体"/>
      <w:b/>
      <w:bCs/>
      <w:kern w:val="2"/>
      <w:sz w:val="32"/>
      <w:szCs w:val="32"/>
      <w:lang w:val="en-US" w:eastAsia="zh-CN" w:bidi="ar-SA"/>
    </w:rPr>
  </w:style>
  <w:style w:type="character" w:customStyle="1" w:styleId="196">
    <w:name w:val="textcolor1"/>
    <w:qFormat/>
    <w:uiPriority w:val="0"/>
    <w:rPr>
      <w:rFonts w:ascii="仿宋_GB2312" w:eastAsia="仿宋_GB2312"/>
      <w:b/>
      <w:color w:val="FF6600"/>
      <w:sz w:val="32"/>
      <w:szCs w:val="32"/>
    </w:rPr>
  </w:style>
  <w:style w:type="character" w:customStyle="1" w:styleId="197">
    <w:name w:val="_Style 196"/>
    <w:qFormat/>
    <w:uiPriority w:val="0"/>
    <w:rPr>
      <w:b/>
      <w:bCs/>
      <w:i/>
      <w:iCs/>
      <w:color w:val="4F81BD"/>
    </w:rPr>
  </w:style>
  <w:style w:type="character" w:customStyle="1" w:styleId="198">
    <w:name w:val="heading 9 Char1"/>
    <w:qFormat/>
    <w:uiPriority w:val="0"/>
    <w:rPr>
      <w:rFonts w:ascii="Arial" w:hAnsi="Arial" w:eastAsia="黑体"/>
      <w:sz w:val="21"/>
      <w:lang w:val="en-US" w:eastAsia="zh-CN" w:bidi="ar-SA"/>
    </w:rPr>
  </w:style>
  <w:style w:type="character" w:customStyle="1" w:styleId="199">
    <w:name w:val="Texte Char Char"/>
    <w:qFormat/>
    <w:uiPriority w:val="0"/>
    <w:rPr>
      <w:rFonts w:ascii="宋体" w:hAnsi="Courier New" w:eastAsia="宋体"/>
      <w:sz w:val="21"/>
      <w:szCs w:val="21"/>
      <w:lang w:val="en-US" w:eastAsia="zh-CN" w:bidi="ar-SA"/>
    </w:rPr>
  </w:style>
  <w:style w:type="character" w:customStyle="1" w:styleId="200">
    <w:name w:val="ändrad Char"/>
    <w:qFormat/>
    <w:uiPriority w:val="0"/>
    <w:rPr>
      <w:rFonts w:eastAsia="宋体"/>
      <w:kern w:val="2"/>
      <w:sz w:val="21"/>
      <w:szCs w:val="24"/>
      <w:lang w:val="en-US" w:eastAsia="zh-CN" w:bidi="ar-SA"/>
    </w:rPr>
  </w:style>
  <w:style w:type="paragraph" w:customStyle="1" w:styleId="201">
    <w:name w:val="Fließtext"/>
    <w:basedOn w:val="1"/>
    <w:qFormat/>
    <w:uiPriority w:val="0"/>
    <w:pPr>
      <w:overflowPunct w:val="0"/>
      <w:autoSpaceDE w:val="0"/>
      <w:autoSpaceDN w:val="0"/>
      <w:adjustRightInd w:val="0"/>
      <w:textAlignment w:val="baseline"/>
    </w:pPr>
    <w:rPr>
      <w:kern w:val="28"/>
      <w:szCs w:val="20"/>
    </w:rPr>
  </w:style>
  <w:style w:type="paragraph" w:customStyle="1" w:styleId="202">
    <w:name w:val="xl7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b/>
      <w:bCs/>
      <w:kern w:val="0"/>
      <w:sz w:val="28"/>
      <w:szCs w:val="28"/>
    </w:rPr>
  </w:style>
  <w:style w:type="paragraph" w:customStyle="1" w:styleId="203">
    <w:name w:val="Table Contents"/>
    <w:basedOn w:val="1"/>
    <w:qFormat/>
    <w:uiPriority w:val="0"/>
    <w:pPr>
      <w:suppressAutoHyphens/>
      <w:autoSpaceDE w:val="0"/>
      <w:autoSpaceDN w:val="0"/>
      <w:adjustRightInd w:val="0"/>
      <w:spacing w:after="120" w:afterLines="0"/>
      <w:jc w:val="left"/>
    </w:pPr>
    <w:rPr>
      <w:rFonts w:ascii="Helvetica" w:hAnsi="Helvetica"/>
      <w:kern w:val="1"/>
      <w:sz w:val="20"/>
      <w:szCs w:val="20"/>
    </w:rPr>
  </w:style>
  <w:style w:type="paragraph" w:customStyle="1" w:styleId="204">
    <w:name w:val="_Style 203"/>
    <w:basedOn w:val="2"/>
    <w:next w:val="1"/>
    <w:qFormat/>
    <w:uiPriority w:val="0"/>
    <w:pPr>
      <w:keepLines/>
      <w:widowControl/>
      <w:numPr>
        <w:ilvl w:val="0"/>
        <w:numId w:val="0"/>
      </w:numPr>
      <w:spacing w:before="480" w:beforeLines="0" w:line="276" w:lineRule="auto"/>
      <w:jc w:val="left"/>
      <w:outlineLvl w:val="9"/>
    </w:pPr>
    <w:rPr>
      <w:rFonts w:ascii="Cambria" w:hAnsi="Cambria" w:eastAsia="宋体"/>
      <w:bCs/>
      <w:color w:val="365F91"/>
      <w:kern w:val="0"/>
      <w:sz w:val="28"/>
      <w:szCs w:val="28"/>
    </w:rPr>
  </w:style>
  <w:style w:type="paragraph" w:customStyle="1" w:styleId="205">
    <w:name w:val="正文文字表格居中"/>
    <w:basedOn w:val="1"/>
    <w:next w:val="47"/>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20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207">
    <w:name w:val="保留正文"/>
    <w:basedOn w:val="21"/>
    <w:qFormat/>
    <w:uiPriority w:val="0"/>
    <w:pPr>
      <w:keepNext/>
      <w:spacing w:after="160" w:afterLines="0"/>
    </w:pPr>
    <w:rPr>
      <w:szCs w:val="20"/>
    </w:rPr>
  </w:style>
  <w:style w:type="paragraph" w:customStyle="1" w:styleId="208">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09">
    <w:name w:val=" Char Char Char Char Char Char Char Char Char Char Char Char Char"/>
    <w:basedOn w:val="1"/>
    <w:qFormat/>
    <w:uiPriority w:val="0"/>
  </w:style>
  <w:style w:type="paragraph" w:customStyle="1" w:styleId="210">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11">
    <w:name w:val="章标题"/>
    <w:next w:val="1"/>
    <w:qFormat/>
    <w:uiPriority w:val="0"/>
    <w:pPr>
      <w:tabs>
        <w:tab w:val="left" w:pos="3469"/>
      </w:tabs>
      <w:spacing w:before="156" w:beforeLines="50" w:after="156" w:afterLines="50"/>
      <w:ind w:left="3469" w:hanging="420"/>
      <w:jc w:val="both"/>
      <w:outlineLvl w:val="1"/>
    </w:pPr>
    <w:rPr>
      <w:rFonts w:ascii="黑体" w:hAnsi="Times New Roman" w:eastAsia="黑体" w:cs="Times New Roman"/>
      <w:sz w:val="21"/>
      <w:lang w:val="en-US" w:eastAsia="zh-CN" w:bidi="ar-SA"/>
    </w:rPr>
  </w:style>
  <w:style w:type="paragraph" w:customStyle="1" w:styleId="212">
    <w:name w:val="小标题"/>
    <w:basedOn w:val="1"/>
    <w:qFormat/>
    <w:uiPriority w:val="0"/>
    <w:pPr>
      <w:autoSpaceDE w:val="0"/>
      <w:autoSpaceDN w:val="0"/>
      <w:adjustRightInd w:val="0"/>
      <w:spacing w:before="120" w:beforeLines="0" w:line="360" w:lineRule="atLeast"/>
      <w:ind w:left="1134"/>
      <w:jc w:val="left"/>
      <w:textAlignment w:val="baseline"/>
    </w:pPr>
    <w:rPr>
      <w:rFonts w:eastAsia="黑体"/>
      <w:kern w:val="0"/>
      <w:sz w:val="20"/>
      <w:szCs w:val="20"/>
    </w:rPr>
  </w:style>
  <w:style w:type="paragraph" w:customStyle="1" w:styleId="213">
    <w:name w:val="p0"/>
    <w:basedOn w:val="1"/>
    <w:qFormat/>
    <w:uiPriority w:val="0"/>
    <w:pPr>
      <w:widowControl/>
    </w:pPr>
    <w:rPr>
      <w:kern w:val="0"/>
      <w:szCs w:val="21"/>
    </w:rPr>
  </w:style>
  <w:style w:type="paragraph" w:customStyle="1" w:styleId="214">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215">
    <w:name w:val="正文-宋体四号"/>
    <w:basedOn w:val="1"/>
    <w:qFormat/>
    <w:uiPriority w:val="0"/>
    <w:pPr>
      <w:spacing w:line="360" w:lineRule="auto"/>
      <w:ind w:firstLine="560" w:firstLineChars="200"/>
    </w:pPr>
    <w:rPr>
      <w:rFonts w:cs="宋体"/>
      <w:sz w:val="28"/>
      <w:szCs w:val="20"/>
    </w:rPr>
  </w:style>
  <w:style w:type="paragraph" w:customStyle="1" w:styleId="216">
    <w:name w:val="Char1 Char Char Char Char Char Char"/>
    <w:basedOn w:val="1"/>
    <w:qFormat/>
    <w:uiPriority w:val="0"/>
    <w:rPr>
      <w:rFonts w:ascii="宋体" w:hAnsi="宋体"/>
      <w:color w:val="000000"/>
      <w:sz w:val="24"/>
    </w:rPr>
  </w:style>
  <w:style w:type="paragraph" w:customStyle="1" w:styleId="217">
    <w:name w:val=" Char1"/>
    <w:basedOn w:val="1"/>
    <w:qFormat/>
    <w:uiPriority w:val="0"/>
    <w:rPr>
      <w:rFonts w:ascii="仿宋_GB2312" w:eastAsia="仿宋_GB2312"/>
      <w:b/>
      <w:sz w:val="32"/>
      <w:szCs w:val="32"/>
    </w:rPr>
  </w:style>
  <w:style w:type="paragraph" w:customStyle="1" w:styleId="21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新宋体" w:hAnsi="新宋体" w:eastAsia="新宋体" w:cs="宋体"/>
      <w:b/>
      <w:bCs/>
      <w:color w:val="000000"/>
      <w:kern w:val="0"/>
      <w:sz w:val="24"/>
    </w:rPr>
  </w:style>
  <w:style w:type="paragraph" w:customStyle="1" w:styleId="219">
    <w:name w:val="正文格式"/>
    <w:basedOn w:val="1"/>
    <w:qFormat/>
    <w:uiPriority w:val="0"/>
    <w:pPr>
      <w:widowControl/>
      <w:adjustRightInd w:val="0"/>
      <w:snapToGrid w:val="0"/>
      <w:ind w:firstLine="482"/>
      <w:textAlignment w:val="baseline"/>
    </w:pPr>
    <w:rPr>
      <w:rFonts w:ascii="仿宋" w:hAnsi="仿宋" w:eastAsia="仿宋"/>
      <w:sz w:val="24"/>
    </w:rPr>
  </w:style>
  <w:style w:type="paragraph" w:customStyle="1" w:styleId="22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21">
    <w:name w:val="三级条标题"/>
    <w:basedOn w:val="222"/>
    <w:next w:val="1"/>
    <w:qFormat/>
    <w:uiPriority w:val="0"/>
    <w:pPr>
      <w:numPr>
        <w:ilvl w:val="0"/>
        <w:numId w:val="0"/>
      </w:numPr>
      <w:tabs>
        <w:tab w:val="left" w:pos="3889"/>
        <w:tab w:val="left" w:pos="4309"/>
        <w:tab w:val="left" w:pos="4729"/>
      </w:tabs>
      <w:ind w:left="4729" w:hanging="420"/>
      <w:outlineLvl w:val="4"/>
    </w:pPr>
  </w:style>
  <w:style w:type="paragraph" w:customStyle="1" w:styleId="222">
    <w:name w:val="二级条标题"/>
    <w:basedOn w:val="223"/>
    <w:next w:val="1"/>
    <w:qFormat/>
    <w:uiPriority w:val="0"/>
    <w:pPr>
      <w:tabs>
        <w:tab w:val="left" w:pos="3889"/>
        <w:tab w:val="left" w:pos="4309"/>
      </w:tabs>
      <w:ind w:left="4309"/>
      <w:outlineLvl w:val="3"/>
    </w:pPr>
  </w:style>
  <w:style w:type="paragraph" w:customStyle="1" w:styleId="223">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24">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25">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lang w:val="zh-CN" w:eastAsia="zh-CN"/>
    </w:rPr>
  </w:style>
  <w:style w:type="paragraph" w:customStyle="1" w:styleId="226">
    <w:name w:val="xl9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227">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28">
    <w:name w:val="xl8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29">
    <w:name w:val="表格文字（大）"/>
    <w:basedOn w:val="1"/>
    <w:qFormat/>
    <w:uiPriority w:val="0"/>
    <w:pPr>
      <w:autoSpaceDE w:val="0"/>
      <w:autoSpaceDN w:val="0"/>
      <w:adjustRightInd w:val="0"/>
      <w:spacing w:before="20" w:beforeLines="0" w:after="20" w:afterLines="0"/>
      <w:jc w:val="left"/>
    </w:pPr>
    <w:rPr>
      <w:rFonts w:ascii="Century Gothic" w:hAnsi="Century Gothic" w:cs="Century Gothic"/>
      <w:kern w:val="0"/>
      <w:sz w:val="24"/>
      <w:szCs w:val="20"/>
    </w:rPr>
  </w:style>
  <w:style w:type="paragraph" w:customStyle="1" w:styleId="23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宋体" w:hAnsi="宋体" w:cs="宋体"/>
      <w:b/>
      <w:bCs/>
      <w:color w:val="000000"/>
      <w:kern w:val="0"/>
      <w:sz w:val="24"/>
    </w:rPr>
  </w:style>
  <w:style w:type="paragraph" w:customStyle="1" w:styleId="23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新宋体" w:hAnsi="新宋体" w:eastAsia="新宋体" w:cs="宋体"/>
      <w:b/>
      <w:bCs/>
      <w:color w:val="000000"/>
      <w:kern w:val="0"/>
      <w:sz w:val="24"/>
    </w:rPr>
  </w:style>
  <w:style w:type="paragraph" w:customStyle="1" w:styleId="232">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33">
    <w:name w:val="xl9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新宋体" w:hAnsi="新宋体" w:eastAsia="新宋体" w:cs="宋体"/>
      <w:color w:val="000000"/>
      <w:kern w:val="0"/>
      <w:sz w:val="24"/>
    </w:rPr>
  </w:style>
  <w:style w:type="paragraph" w:customStyle="1" w:styleId="234">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35">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36">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76"/>
    <w:basedOn w:val="1"/>
    <w:qFormat/>
    <w:uiPriority w:val="0"/>
    <w:pPr>
      <w:widowControl/>
      <w:pBdr>
        <w:top w:val="single" w:color="auto" w:sz="4" w:space="0"/>
        <w:bottom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23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39">
    <w:name w:val="1.1.1"/>
    <w:basedOn w:val="1"/>
    <w:qFormat/>
    <w:uiPriority w:val="0"/>
    <w:pPr>
      <w:tabs>
        <w:tab w:val="left" w:pos="0"/>
        <w:tab w:val="left" w:pos="1134"/>
        <w:tab w:val="left" w:pos="8505"/>
      </w:tabs>
      <w:autoSpaceDE w:val="0"/>
      <w:autoSpaceDN w:val="0"/>
      <w:adjustRightInd w:val="0"/>
      <w:spacing w:before="240" w:beforeLines="0" w:after="60" w:afterLines="0" w:line="360" w:lineRule="atLeast"/>
    </w:pPr>
    <w:rPr>
      <w:rFonts w:ascii="宋体"/>
      <w:b/>
      <w:kern w:val="0"/>
      <w:sz w:val="24"/>
      <w:szCs w:val="20"/>
    </w:rPr>
  </w:style>
  <w:style w:type="paragraph" w:customStyle="1" w:styleId="240">
    <w:name w:val="tabletext"/>
    <w:basedOn w:val="1"/>
    <w:qFormat/>
    <w:uiPriority w:val="0"/>
    <w:pPr>
      <w:widowControl/>
      <w:spacing w:line="300" w:lineRule="atLeast"/>
      <w:jc w:val="left"/>
    </w:pPr>
    <w:rPr>
      <w:rFonts w:ascii="宋体" w:hAnsi="宋体" w:cs="宋体"/>
      <w:kern w:val="0"/>
      <w:sz w:val="18"/>
      <w:szCs w:val="18"/>
    </w:rPr>
  </w:style>
  <w:style w:type="paragraph" w:customStyle="1" w:styleId="241">
    <w:name w:val="font6"/>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42">
    <w:name w:val="Char Char Char Char Char Char Char"/>
    <w:basedOn w:val="1"/>
    <w:qFormat/>
    <w:uiPriority w:val="0"/>
    <w:rPr>
      <w:rFonts w:ascii="仿宋_GB2312" w:eastAsia="仿宋_GB2312"/>
      <w:b/>
      <w:sz w:val="32"/>
      <w:szCs w:val="32"/>
    </w:rPr>
  </w:style>
  <w:style w:type="paragraph" w:customStyle="1" w:styleId="24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新宋体" w:hAnsi="新宋体" w:eastAsia="新宋体" w:cs="宋体"/>
      <w:color w:val="000000"/>
      <w:kern w:val="0"/>
      <w:sz w:val="24"/>
    </w:rPr>
  </w:style>
  <w:style w:type="paragraph" w:customStyle="1" w:styleId="244">
    <w:name w:val="l正文"/>
    <w:basedOn w:val="1"/>
    <w:qFormat/>
    <w:uiPriority w:val="0"/>
    <w:pPr>
      <w:spacing w:line="360" w:lineRule="auto"/>
      <w:ind w:firstLine="200" w:firstLineChars="200"/>
    </w:pPr>
    <w:rPr>
      <w:rFonts w:ascii="宋体" w:hAnsi="宋体"/>
      <w:sz w:val="24"/>
    </w:rPr>
  </w:style>
  <w:style w:type="paragraph" w:customStyle="1" w:styleId="245">
    <w:name w:val="button"/>
    <w:basedOn w:val="1"/>
    <w:qFormat/>
    <w:uiPriority w:val="0"/>
    <w:pPr>
      <w:widowControl/>
      <w:autoSpaceDE w:val="0"/>
      <w:autoSpaceDN w:val="0"/>
      <w:adjustRightInd w:val="0"/>
      <w:spacing w:before="100" w:beforeLines="0" w:beforeAutospacing="1" w:after="100" w:afterLines="0" w:afterAutospacing="1"/>
      <w:jc w:val="left"/>
    </w:pPr>
    <w:rPr>
      <w:rFonts w:ascii="Arial Unicode MS" w:hAnsi="Arial Unicode MS"/>
      <w:color w:val="000000"/>
      <w:kern w:val="0"/>
      <w:sz w:val="24"/>
      <w:szCs w:val="20"/>
    </w:rPr>
  </w:style>
  <w:style w:type="paragraph" w:customStyle="1" w:styleId="246">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47">
    <w:name w:val="简单回函地址"/>
    <w:basedOn w:val="1"/>
    <w:qFormat/>
    <w:uiPriority w:val="0"/>
  </w:style>
  <w:style w:type="paragraph" w:customStyle="1" w:styleId="248">
    <w:name w:val="1 Char"/>
    <w:basedOn w:val="9"/>
    <w:qFormat/>
    <w:uiPriority w:val="0"/>
    <w:pPr>
      <w:adjustRightInd/>
      <w:spacing w:line="360" w:lineRule="auto"/>
      <w:ind w:firstLine="200" w:firstLineChars="200"/>
      <w:textAlignment w:val="auto"/>
    </w:pPr>
    <w:rPr>
      <w:kern w:val="2"/>
    </w:rPr>
  </w:style>
  <w:style w:type="paragraph" w:customStyle="1" w:styleId="249">
    <w:name w:val="彩色列表 - 强调文字颜色 11"/>
    <w:basedOn w:val="1"/>
    <w:qFormat/>
    <w:uiPriority w:val="0"/>
    <w:pPr>
      <w:ind w:firstLine="420" w:firstLineChars="200"/>
    </w:pPr>
    <w:rPr>
      <w:rFonts w:ascii="Calibri" w:hAnsi="Calibri"/>
      <w:szCs w:val="22"/>
    </w:rPr>
  </w:style>
  <w:style w:type="paragraph" w:customStyle="1" w:styleId="250">
    <w:name w:val="技术报告正文"/>
    <w:basedOn w:val="1"/>
    <w:qFormat/>
    <w:uiPriority w:val="0"/>
    <w:pPr>
      <w:autoSpaceDE w:val="0"/>
      <w:autoSpaceDN w:val="0"/>
      <w:adjustRightInd w:val="0"/>
      <w:spacing w:before="156" w:beforeLines="50" w:line="440" w:lineRule="exact"/>
      <w:ind w:firstLine="538" w:firstLineChars="192"/>
      <w:jc w:val="left"/>
    </w:pPr>
    <w:rPr>
      <w:rFonts w:cs="Arial"/>
      <w:bCs/>
      <w:kern w:val="0"/>
      <w:sz w:val="28"/>
      <w:szCs w:val="20"/>
    </w:rPr>
  </w:style>
  <w:style w:type="paragraph" w:customStyle="1" w:styleId="251">
    <w:name w:val="NICMAN Body Text"/>
    <w:basedOn w:val="1"/>
    <w:next w:val="21"/>
    <w:qFormat/>
    <w:uiPriority w:val="0"/>
    <w:pPr>
      <w:autoSpaceDE w:val="0"/>
      <w:autoSpaceDN w:val="0"/>
      <w:adjustRightInd w:val="0"/>
      <w:spacing w:after="120" w:afterLines="0"/>
      <w:jc w:val="left"/>
    </w:pPr>
    <w:rPr>
      <w:kern w:val="0"/>
      <w:sz w:val="20"/>
      <w:szCs w:val="20"/>
    </w:rPr>
  </w:style>
  <w:style w:type="paragraph" w:customStyle="1" w:styleId="252">
    <w:name w:val="样式 标题 3 + 黑色 段前: 5 磅 段后: 5 磅 行距: 1.5 倍行距"/>
    <w:basedOn w:val="1"/>
    <w:qFormat/>
    <w:uiPriority w:val="0"/>
    <w:pPr>
      <w:ind w:left="855" w:hanging="855"/>
    </w:pPr>
    <w:rPr>
      <w:sz w:val="24"/>
      <w:szCs w:val="20"/>
    </w:rPr>
  </w:style>
  <w:style w:type="paragraph" w:customStyle="1" w:styleId="253">
    <w:name w:val="xl8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254">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rPr>
  </w:style>
  <w:style w:type="paragraph" w:customStyle="1" w:styleId="255">
    <w:name w:val="Test2"/>
    <w:basedOn w:val="4"/>
    <w:qFormat/>
    <w:uiPriority w:val="0"/>
    <w:pPr>
      <w:keepNext w:val="0"/>
      <w:widowControl/>
      <w:numPr>
        <w:ilvl w:val="0"/>
        <w:numId w:val="0"/>
      </w:numPr>
      <w:tabs>
        <w:tab w:val="left" w:pos="774"/>
      </w:tabs>
      <w:autoSpaceDE w:val="0"/>
      <w:autoSpaceDN w:val="0"/>
      <w:adjustRightInd w:val="0"/>
      <w:snapToGrid w:val="0"/>
      <w:spacing w:before="360" w:beforeLines="0" w:after="360" w:afterLines="0" w:line="240" w:lineRule="atLeast"/>
      <w:ind w:left="774" w:hanging="576"/>
      <w:jc w:val="left"/>
    </w:pPr>
    <w:rPr>
      <w:rFonts w:ascii="宋体" w:hAnsi="Arial"/>
      <w:snapToGrid w:val="0"/>
      <w:kern w:val="0"/>
      <w:szCs w:val="32"/>
    </w:rPr>
  </w:style>
  <w:style w:type="paragraph" w:customStyle="1" w:styleId="256">
    <w:name w:val="xl8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新宋体" w:hAnsi="新宋体" w:eastAsia="新宋体" w:cs="宋体"/>
      <w:color w:val="000000"/>
      <w:kern w:val="0"/>
      <w:sz w:val="24"/>
    </w:rPr>
  </w:style>
  <w:style w:type="paragraph" w:customStyle="1" w:styleId="257">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58">
    <w:name w:val="Char Char Char Char Char Char Char Char Char Char Char Char Char"/>
    <w:basedOn w:val="1"/>
    <w:qFormat/>
    <w:uiPriority w:val="0"/>
    <w:rPr>
      <w:rFonts w:ascii="Tahoma" w:hAnsi="Tahoma"/>
      <w:sz w:val="24"/>
      <w:szCs w:val="20"/>
    </w:rPr>
  </w:style>
  <w:style w:type="paragraph" w:customStyle="1" w:styleId="259">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60">
    <w:name w:val="Plain Text"/>
    <w:basedOn w:val="1"/>
    <w:qFormat/>
    <w:uiPriority w:val="0"/>
    <w:pPr>
      <w:adjustRightInd w:val="0"/>
      <w:textAlignment w:val="baseline"/>
    </w:pPr>
    <w:rPr>
      <w:rFonts w:ascii="宋体" w:hAnsi="Courier New" w:eastAsia="楷体_GB2312"/>
      <w:sz w:val="28"/>
      <w:szCs w:val="20"/>
    </w:rPr>
  </w:style>
  <w:style w:type="paragraph" w:customStyle="1" w:styleId="261">
    <w:name w:val="样式 标题 3 + 黑体 小四 非加粗"/>
    <w:basedOn w:val="5"/>
    <w:qFormat/>
    <w:uiPriority w:val="0"/>
    <w:pPr>
      <w:numPr>
        <w:ilvl w:val="0"/>
        <w:numId w:val="0"/>
      </w:numPr>
      <w:spacing w:before="260" w:beforeLines="0" w:after="260" w:afterLines="0" w:line="413" w:lineRule="auto"/>
    </w:pPr>
    <w:rPr>
      <w:rFonts w:ascii="黑体" w:hAnsi="黑体"/>
      <w:b w:val="0"/>
      <w:kern w:val="0"/>
      <w:sz w:val="24"/>
      <w:szCs w:val="32"/>
    </w:rPr>
  </w:style>
  <w:style w:type="paragraph" w:customStyle="1" w:styleId="262">
    <w:name w:val="默认段落字体 Para Char Char Char Char Char Char Char"/>
    <w:basedOn w:val="1"/>
    <w:qFormat/>
    <w:uiPriority w:val="0"/>
  </w:style>
  <w:style w:type="paragraph" w:customStyle="1" w:styleId="263">
    <w:name w:val="Char Char"/>
    <w:basedOn w:val="1"/>
    <w:qFormat/>
    <w:uiPriority w:val="0"/>
    <w:rPr>
      <w:rFonts w:ascii="仿宋_GB2312" w:eastAsia="仿宋_GB2312"/>
      <w:b/>
      <w:sz w:val="32"/>
      <w:szCs w:val="32"/>
    </w:rPr>
  </w:style>
  <w:style w:type="paragraph" w:customStyle="1" w:styleId="264">
    <w:name w:val="xl8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265">
    <w:name w:val="文字"/>
    <w:basedOn w:val="1"/>
    <w:qFormat/>
    <w:uiPriority w:val="0"/>
    <w:pPr>
      <w:tabs>
        <w:tab w:val="left" w:pos="8520"/>
      </w:tabs>
      <w:spacing w:line="312" w:lineRule="auto"/>
      <w:ind w:right="-210" w:firstLine="556"/>
    </w:pPr>
    <w:rPr>
      <w:rFonts w:ascii="宋体"/>
      <w:sz w:val="28"/>
      <w:szCs w:val="20"/>
    </w:rPr>
  </w:style>
  <w:style w:type="paragraph" w:customStyle="1" w:styleId="266">
    <w:name w:val="正文字缩2字"/>
    <w:basedOn w:val="1"/>
    <w:qFormat/>
    <w:uiPriority w:val="0"/>
    <w:pPr>
      <w:spacing w:before="60" w:beforeLines="0" w:after="60" w:afterLines="0" w:line="360" w:lineRule="auto"/>
      <w:ind w:left="200" w:leftChars="200" w:firstLine="200" w:firstLineChars="200"/>
    </w:pPr>
    <w:rPr>
      <w:sz w:val="24"/>
    </w:rPr>
  </w:style>
  <w:style w:type="paragraph" w:customStyle="1" w:styleId="2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68">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269">
    <w:name w:val="五级条标题"/>
    <w:basedOn w:val="270"/>
    <w:next w:val="1"/>
    <w:qFormat/>
    <w:uiPriority w:val="0"/>
    <w:pPr>
      <w:tabs>
        <w:tab w:val="left" w:pos="3889"/>
        <w:tab w:val="left" w:pos="4309"/>
        <w:tab w:val="left" w:pos="5149"/>
        <w:tab w:val="left" w:pos="5569"/>
      </w:tabs>
      <w:ind w:left="5569"/>
      <w:outlineLvl w:val="6"/>
    </w:pPr>
  </w:style>
  <w:style w:type="paragraph" w:customStyle="1" w:styleId="270">
    <w:name w:val="四级条标题"/>
    <w:basedOn w:val="221"/>
    <w:next w:val="1"/>
    <w:qFormat/>
    <w:uiPriority w:val="0"/>
    <w:pPr>
      <w:tabs>
        <w:tab w:val="left" w:pos="5149"/>
        <w:tab w:val="clear" w:pos="4729"/>
      </w:tabs>
      <w:ind w:left="5149"/>
      <w:outlineLvl w:val="5"/>
    </w:pPr>
  </w:style>
  <w:style w:type="paragraph" w:customStyle="1" w:styleId="271">
    <w:name w:val="标准段落"/>
    <w:basedOn w:val="1"/>
    <w:qFormat/>
    <w:uiPriority w:val="0"/>
    <w:pPr>
      <w:spacing w:after="120" w:afterLines="0" w:line="360" w:lineRule="auto"/>
      <w:ind w:firstLine="420"/>
    </w:pPr>
    <w:rPr>
      <w:rFonts w:ascii="黑体" w:hAnsi="宋体" w:eastAsia="黑体"/>
      <w:b/>
      <w:spacing w:val="6"/>
      <w:szCs w:val="22"/>
    </w:rPr>
  </w:style>
  <w:style w:type="paragraph" w:customStyle="1" w:styleId="272">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273">
    <w:name w:val="正文缩进1"/>
    <w:basedOn w:val="1"/>
    <w:next w:val="22"/>
    <w:qFormat/>
    <w:uiPriority w:val="0"/>
    <w:pPr>
      <w:autoSpaceDE w:val="0"/>
      <w:autoSpaceDN w:val="0"/>
      <w:adjustRightInd w:val="0"/>
      <w:snapToGrid w:val="0"/>
      <w:spacing w:after="120" w:afterLines="0" w:line="360" w:lineRule="auto"/>
      <w:ind w:left="420" w:leftChars="200" w:firstLine="480" w:firstLineChars="200"/>
      <w:jc w:val="left"/>
    </w:pPr>
    <w:rPr>
      <w:kern w:val="0"/>
      <w:sz w:val="24"/>
      <w:szCs w:val="21"/>
    </w:rPr>
  </w:style>
  <w:style w:type="paragraph" w:customStyle="1" w:styleId="274">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5">
    <w:name w:val="È±Ê¡ÎÄ±¾ Char"/>
    <w:basedOn w:val="1"/>
    <w:qFormat/>
    <w:uiPriority w:val="0"/>
    <w:pPr>
      <w:widowControl/>
      <w:overflowPunct w:val="0"/>
      <w:autoSpaceDE w:val="0"/>
      <w:autoSpaceDN w:val="0"/>
      <w:adjustRightInd w:val="0"/>
      <w:spacing w:line="240" w:lineRule="auto"/>
      <w:textAlignment w:val="baseline"/>
    </w:pPr>
    <w:rPr>
      <w:rFonts w:ascii="Times New Roman" w:hAnsi="Times New Roman" w:eastAsia="宋体" w:cs="Times New Roman"/>
      <w:szCs w:val="21"/>
      <w:lang w:val="zh-CN" w:eastAsia="zh-CN"/>
    </w:rPr>
  </w:style>
  <w:style w:type="paragraph" w:customStyle="1" w:styleId="276">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7">
    <w:name w:val="xl29"/>
    <w:basedOn w:val="1"/>
    <w:qFormat/>
    <w:uiPriority w:val="0"/>
    <w:pPr>
      <w:widowControl/>
      <w:autoSpaceDE w:val="0"/>
      <w:autoSpaceDN w:val="0"/>
      <w:adjustRightInd w:val="0"/>
      <w:spacing w:before="100" w:beforeLines="0" w:beforeAutospacing="1" w:after="100" w:afterLines="0" w:afterAutospacing="1"/>
      <w:jc w:val="center"/>
    </w:pPr>
    <w:rPr>
      <w:rFonts w:ascii="Arial Unicode MS" w:hAnsi="Arial Unicode MS" w:eastAsia="Arial Unicode MS"/>
      <w:kern w:val="0"/>
      <w:sz w:val="24"/>
      <w:szCs w:val="20"/>
    </w:rPr>
  </w:style>
  <w:style w:type="paragraph" w:customStyle="1" w:styleId="278">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79">
    <w:name w:val="Char Char1 Char Char Char Char Char Char Char Char Char Char Char Char Char Char"/>
    <w:basedOn w:val="1"/>
    <w:qFormat/>
    <w:uiPriority w:val="0"/>
    <w:pPr>
      <w:widowControl/>
      <w:autoSpaceDE w:val="0"/>
      <w:autoSpaceDN w:val="0"/>
      <w:adjustRightInd w:val="0"/>
      <w:spacing w:after="160" w:afterLines="0" w:line="240" w:lineRule="exact"/>
      <w:jc w:val="left"/>
    </w:pPr>
    <w:rPr>
      <w:kern w:val="0"/>
      <w:sz w:val="20"/>
      <w:szCs w:val="20"/>
    </w:rPr>
  </w:style>
  <w:style w:type="paragraph" w:customStyle="1" w:styleId="28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81">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2">
    <w:name w:val="表内文字"/>
    <w:basedOn w:val="1"/>
    <w:qFormat/>
    <w:uiPriority w:val="0"/>
    <w:pPr>
      <w:spacing w:line="240" w:lineRule="atLeast"/>
      <w:jc w:val="center"/>
    </w:pPr>
    <w:rPr>
      <w:rFonts w:ascii="Arial" w:hAnsi="Arial" w:eastAsia="宋体" w:cs="Arial"/>
      <w:b/>
      <w:bCs/>
    </w:rPr>
  </w:style>
  <w:style w:type="paragraph" w:customStyle="1" w:styleId="283">
    <w:name w:val=" Char13"/>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84">
    <w:name w:val="xl8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新宋体" w:hAnsi="新宋体" w:eastAsia="新宋体" w:cs="宋体"/>
      <w:color w:val="000000"/>
      <w:kern w:val="0"/>
      <w:sz w:val="24"/>
    </w:rPr>
  </w:style>
  <w:style w:type="paragraph" w:customStyle="1" w:styleId="285">
    <w:name w:val="Char1"/>
    <w:basedOn w:val="1"/>
    <w:qFormat/>
    <w:uiPriority w:val="0"/>
    <w:pPr>
      <w:autoSpaceDE w:val="0"/>
      <w:autoSpaceDN w:val="0"/>
      <w:adjustRightInd w:val="0"/>
      <w:jc w:val="left"/>
    </w:pPr>
    <w:rPr>
      <w:rFonts w:ascii="仿宋_GB2312" w:eastAsia="仿宋_GB2312"/>
      <w:b/>
      <w:kern w:val="0"/>
      <w:sz w:val="32"/>
      <w:szCs w:val="32"/>
    </w:rPr>
  </w:style>
  <w:style w:type="paragraph" w:customStyle="1" w:styleId="28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7">
    <w:name w:val="正文（首行缩进）"/>
    <w:basedOn w:val="22"/>
    <w:qFormat/>
    <w:uiPriority w:val="0"/>
    <w:pPr>
      <w:widowControl/>
      <w:overflowPunct w:val="0"/>
      <w:autoSpaceDE w:val="0"/>
      <w:autoSpaceDN w:val="0"/>
      <w:adjustRightInd w:val="0"/>
      <w:spacing w:before="156" w:beforeLines="50" w:after="120" w:afterLines="0" w:line="400" w:lineRule="exact"/>
      <w:ind w:left="200" w:leftChars="200" w:firstLine="200" w:firstLineChars="200"/>
      <w:jc w:val="left"/>
      <w:textAlignment w:val="baseline"/>
    </w:pPr>
    <w:rPr>
      <w:spacing w:val="10"/>
      <w:kern w:val="0"/>
      <w:szCs w:val="20"/>
    </w:rPr>
  </w:style>
  <w:style w:type="paragraph" w:customStyle="1" w:styleId="28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89">
    <w:name w:val="14"/>
    <w:basedOn w:val="1"/>
    <w:qFormat/>
    <w:uiPriority w:val="0"/>
    <w:pPr>
      <w:snapToGrid w:val="0"/>
      <w:spacing w:before="93" w:beforeLines="30" w:line="288" w:lineRule="auto"/>
      <w:ind w:left="852" w:leftChars="355" w:firstLine="420" w:firstLineChars="175"/>
    </w:pPr>
    <w:rPr>
      <w:rFonts w:ascii="新宋体" w:hAnsi="新宋体"/>
      <w:sz w:val="24"/>
      <w:szCs w:val="20"/>
    </w:rPr>
  </w:style>
  <w:style w:type="paragraph" w:customStyle="1" w:styleId="290">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91">
    <w:name w:val="xl3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center"/>
    </w:pPr>
    <w:rPr>
      <w:rFonts w:ascii="Arial Unicode MS" w:hAnsi="Arial Unicode MS" w:eastAsia="Arial Unicode MS"/>
      <w:kern w:val="0"/>
      <w:szCs w:val="22"/>
    </w:rPr>
  </w:style>
  <w:style w:type="paragraph" w:customStyle="1" w:styleId="292">
    <w:name w:val="列出段落2"/>
    <w:basedOn w:val="1"/>
    <w:qFormat/>
    <w:uiPriority w:val="34"/>
    <w:pPr>
      <w:ind w:firstLine="420" w:firstLineChars="200"/>
    </w:pPr>
  </w:style>
  <w:style w:type="paragraph" w:customStyle="1" w:styleId="29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新宋体" w:hAnsi="新宋体" w:eastAsia="新宋体" w:cs="宋体"/>
      <w:color w:val="000000"/>
      <w:kern w:val="0"/>
      <w:sz w:val="24"/>
    </w:rPr>
  </w:style>
  <w:style w:type="paragraph" w:customStyle="1" w:styleId="29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29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296">
    <w:name w:val=" Char Char Char Char"/>
    <w:basedOn w:val="17"/>
    <w:qFormat/>
    <w:uiPriority w:val="0"/>
    <w:rPr>
      <w:rFonts w:ascii="Tahoma" w:hAnsi="Tahoma"/>
      <w:sz w:val="24"/>
    </w:rPr>
  </w:style>
  <w:style w:type="paragraph" w:customStyle="1" w:styleId="297">
    <w:name w:val="正文样式 首行缩进:  0.74 厘米"/>
    <w:basedOn w:val="1"/>
    <w:qFormat/>
    <w:uiPriority w:val="0"/>
    <w:pPr>
      <w:autoSpaceDE w:val="0"/>
      <w:autoSpaceDN w:val="0"/>
      <w:adjustRightInd w:val="0"/>
      <w:spacing w:before="156" w:beforeLines="50" w:line="360" w:lineRule="auto"/>
      <w:ind w:firstLine="420"/>
      <w:jc w:val="left"/>
    </w:pPr>
    <w:rPr>
      <w:rFonts w:cs="宋体"/>
      <w:kern w:val="0"/>
      <w:sz w:val="24"/>
      <w:szCs w:val="20"/>
    </w:rPr>
  </w:style>
  <w:style w:type="paragraph" w:customStyle="1" w:styleId="298">
    <w:name w:val="_Style 3"/>
    <w:basedOn w:val="1"/>
    <w:next w:val="1"/>
    <w:qFormat/>
    <w:uiPriority w:val="34"/>
    <w:pPr>
      <w:spacing w:line="360" w:lineRule="auto"/>
      <w:ind w:firstLine="420" w:firstLineChars="200"/>
    </w:pPr>
  </w:style>
  <w:style w:type="paragraph" w:customStyle="1" w:styleId="29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新宋体" w:hAnsi="新宋体" w:eastAsia="新宋体" w:cs="宋体"/>
      <w:color w:val="000000"/>
      <w:kern w:val="0"/>
      <w:sz w:val="24"/>
    </w:rPr>
  </w:style>
  <w:style w:type="paragraph" w:customStyle="1" w:styleId="300">
    <w:name w:val="Body Text Indent 3"/>
    <w:basedOn w:val="1"/>
    <w:qFormat/>
    <w:uiPriority w:val="99"/>
    <w:pPr>
      <w:spacing w:line="300" w:lineRule="auto"/>
      <w:ind w:firstLine="480" w:firstLineChars="200"/>
      <w:jc w:val="left"/>
    </w:pPr>
    <w:rPr>
      <w:kern w:val="0"/>
      <w:sz w:val="24"/>
      <w:szCs w:val="24"/>
    </w:rPr>
  </w:style>
  <w:style w:type="paragraph" w:customStyle="1" w:styleId="30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top"/>
    </w:pPr>
    <w:rPr>
      <w:rFonts w:ascii="新宋体" w:hAnsi="新宋体" w:eastAsia="新宋体" w:cs="宋体"/>
      <w:color w:val="000000"/>
      <w:kern w:val="0"/>
      <w:sz w:val="24"/>
    </w:rPr>
  </w:style>
  <w:style w:type="paragraph" w:customStyle="1" w:styleId="3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03">
    <w:name w:val="样式"/>
    <w:basedOn w:val="1"/>
    <w:qFormat/>
    <w:uiPriority w:val="0"/>
    <w:pPr>
      <w:autoSpaceDE w:val="0"/>
      <w:autoSpaceDN w:val="0"/>
      <w:adjustRightInd w:val="0"/>
      <w:snapToGrid w:val="0"/>
      <w:spacing w:before="120" w:beforeLines="0" w:after="120" w:afterLines="0" w:line="360" w:lineRule="auto"/>
      <w:jc w:val="left"/>
    </w:pPr>
    <w:rPr>
      <w:rFonts w:ascii="宋体"/>
      <w:kern w:val="0"/>
      <w:sz w:val="24"/>
      <w:szCs w:val="20"/>
    </w:rPr>
  </w:style>
  <w:style w:type="paragraph" w:customStyle="1" w:styleId="304">
    <w:name w:val="xl25"/>
    <w:basedOn w:val="1"/>
    <w:qFormat/>
    <w:uiPriority w:val="0"/>
    <w:pPr>
      <w:widowControl/>
      <w:autoSpaceDE w:val="0"/>
      <w:autoSpaceDN w:val="0"/>
      <w:adjustRightInd w:val="0"/>
      <w:spacing w:before="100" w:beforeLines="0" w:beforeAutospacing="1" w:after="100" w:afterLines="0" w:afterAutospacing="1"/>
      <w:jc w:val="center"/>
      <w:textAlignment w:val="center"/>
    </w:pPr>
    <w:rPr>
      <w:rFonts w:hint="eastAsia" w:ascii="楷体_GB2312" w:hAnsi="宋体" w:eastAsia="楷体_GB2312"/>
      <w:kern w:val="0"/>
      <w:sz w:val="24"/>
      <w:szCs w:val="20"/>
    </w:rPr>
  </w:style>
  <w:style w:type="paragraph" w:customStyle="1" w:styleId="305">
    <w:name w:val=" Char Char Char Char Char Char Char"/>
    <w:basedOn w:val="1"/>
    <w:qFormat/>
    <w:uiPriority w:val="0"/>
    <w:rPr>
      <w:rFonts w:ascii="仿宋_GB2312" w:eastAsia="仿宋_GB2312"/>
      <w:b/>
      <w:sz w:val="32"/>
      <w:szCs w:val="32"/>
    </w:rPr>
  </w:style>
  <w:style w:type="paragraph" w:styleId="306">
    <w:name w:val="List Paragraph"/>
    <w:basedOn w:val="1"/>
    <w:qFormat/>
    <w:uiPriority w:val="0"/>
    <w:pPr>
      <w:ind w:firstLine="420" w:firstLineChars="200"/>
    </w:pPr>
    <w:rPr>
      <w:rFonts w:ascii="Calibri" w:hAnsi="Calibri"/>
      <w:szCs w:val="22"/>
    </w:rPr>
  </w:style>
  <w:style w:type="paragraph" w:customStyle="1" w:styleId="307">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308">
    <w:name w:val="Char"/>
    <w:basedOn w:val="1"/>
    <w:qFormat/>
    <w:uiPriority w:val="0"/>
    <w:rPr>
      <w:rFonts w:ascii="仿宋_GB2312" w:eastAsia="仿宋_GB2312"/>
      <w:b/>
      <w:sz w:val="32"/>
      <w:szCs w:val="32"/>
    </w:rPr>
  </w:style>
  <w:style w:type="paragraph" w:customStyle="1" w:styleId="309">
    <w:name w:val="a"/>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10">
    <w:name w:val="xl8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311">
    <w:name w:val="文档正文"/>
    <w:basedOn w:val="1"/>
    <w:qFormat/>
    <w:uiPriority w:val="0"/>
    <w:pPr>
      <w:adjustRightInd w:val="0"/>
      <w:spacing w:line="300" w:lineRule="auto"/>
      <w:ind w:firstLine="567"/>
      <w:textAlignment w:val="baseline"/>
    </w:pPr>
    <w:rPr>
      <w:kern w:val="0"/>
      <w:sz w:val="24"/>
      <w:szCs w:val="20"/>
    </w:rPr>
  </w:style>
  <w:style w:type="paragraph" w:customStyle="1" w:styleId="312">
    <w:name w:val="正文 首行缩进:  2 字符 Char"/>
    <w:basedOn w:val="1"/>
    <w:qFormat/>
    <w:uiPriority w:val="0"/>
    <w:pPr>
      <w:spacing w:line="360" w:lineRule="auto"/>
      <w:ind w:firstLine="480"/>
    </w:pPr>
    <w:rPr>
      <w:rFonts w:cs="宋体"/>
      <w:sz w:val="24"/>
      <w:szCs w:val="20"/>
    </w:rPr>
  </w:style>
  <w:style w:type="paragraph" w:customStyle="1" w:styleId="313">
    <w:name w:val="正文2"/>
    <w:basedOn w:val="1"/>
    <w:qFormat/>
    <w:uiPriority w:val="0"/>
    <w:pPr>
      <w:autoSpaceDE w:val="0"/>
      <w:autoSpaceDN w:val="0"/>
      <w:adjustRightInd w:val="0"/>
      <w:spacing w:before="156" w:beforeLines="0" w:line="360" w:lineRule="auto"/>
      <w:ind w:firstLine="510" w:firstLineChars="200"/>
      <w:jc w:val="left"/>
    </w:pPr>
    <w:rPr>
      <w:kern w:val="0"/>
      <w:sz w:val="24"/>
      <w:szCs w:val="20"/>
    </w:rPr>
  </w:style>
  <w:style w:type="paragraph" w:customStyle="1" w:styleId="314">
    <w:name w:val="列出段落1"/>
    <w:basedOn w:val="1"/>
    <w:qFormat/>
    <w:uiPriority w:val="0"/>
    <w:pPr>
      <w:ind w:firstLine="420" w:firstLineChars="200"/>
    </w:pPr>
    <w:rPr>
      <w:szCs w:val="20"/>
    </w:rPr>
  </w:style>
  <w:style w:type="paragraph" w:customStyle="1" w:styleId="315">
    <w:name w:val="样式5"/>
    <w:basedOn w:val="9"/>
    <w:qFormat/>
    <w:uiPriority w:val="0"/>
    <w:pPr>
      <w:adjustRightInd/>
      <w:spacing w:line="360" w:lineRule="auto"/>
      <w:ind w:firstLine="200" w:firstLineChars="200"/>
      <w:textAlignment w:val="auto"/>
    </w:pPr>
    <w:rPr>
      <w:sz w:val="28"/>
      <w:szCs w:val="21"/>
    </w:rPr>
  </w:style>
  <w:style w:type="paragraph" w:customStyle="1" w:styleId="316">
    <w:name w:val="样式 宋体 小四 段前: 7.8 磅 段后: 7.8 磅 行距: 1.5 倍行距"/>
    <w:basedOn w:val="1"/>
    <w:qFormat/>
    <w:uiPriority w:val="0"/>
    <w:pPr>
      <w:spacing w:line="360" w:lineRule="auto"/>
      <w:ind w:firstLine="480"/>
    </w:pPr>
    <w:rPr>
      <w:rFonts w:ascii="宋体" w:hAnsi="宋体" w:eastAsia="宋体" w:cs="宋体"/>
      <w:sz w:val="24"/>
      <w:szCs w:val="20"/>
    </w:rPr>
  </w:style>
  <w:style w:type="paragraph" w:customStyle="1" w:styleId="317">
    <w:name w:val="features1"/>
    <w:basedOn w:val="1"/>
    <w:qFormat/>
    <w:uiPriority w:val="0"/>
    <w:pPr>
      <w:widowControl/>
      <w:spacing w:before="100" w:beforeLines="0" w:beforeAutospacing="1" w:after="100" w:afterLines="0" w:afterAutospacing="1"/>
      <w:jc w:val="left"/>
    </w:pPr>
    <w:rPr>
      <w:rFonts w:ascii="宋体" w:hAnsi="宋体" w:cs="宋体"/>
      <w:b/>
      <w:bCs/>
      <w:kern w:val="0"/>
      <w:sz w:val="18"/>
      <w:szCs w:val="18"/>
    </w:rPr>
  </w:style>
  <w:style w:type="paragraph" w:customStyle="1" w:styleId="318">
    <w:name w:val=" Char3 Char Char Char"/>
    <w:basedOn w:val="1"/>
    <w:qFormat/>
    <w:uiPriority w:val="0"/>
  </w:style>
  <w:style w:type="paragraph" w:customStyle="1" w:styleId="319">
    <w:name w:val="xl7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新宋体" w:hAnsi="新宋体" w:eastAsia="新宋体" w:cs="宋体"/>
      <w:b/>
      <w:bCs/>
      <w:color w:val="FF0000"/>
      <w:kern w:val="0"/>
      <w:sz w:val="24"/>
    </w:rPr>
  </w:style>
  <w:style w:type="paragraph" w:customStyle="1" w:styleId="320">
    <w:name w:val="Char Char1"/>
    <w:basedOn w:val="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321">
    <w:name w:val="xl91"/>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新宋体" w:hAnsi="新宋体" w:eastAsia="新宋体" w:cs="宋体"/>
      <w:color w:val="000000"/>
      <w:kern w:val="0"/>
      <w:sz w:val="24"/>
    </w:rPr>
  </w:style>
  <w:style w:type="paragraph" w:customStyle="1" w:styleId="32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宋体" w:hAnsi="宋体" w:cs="宋体"/>
      <w:b/>
      <w:bCs/>
      <w:color w:val="000000"/>
      <w:kern w:val="0"/>
      <w:sz w:val="24"/>
    </w:rPr>
  </w:style>
  <w:style w:type="paragraph" w:customStyle="1" w:styleId="323">
    <w:name w:val="样式1"/>
    <w:basedOn w:val="1"/>
    <w:qFormat/>
    <w:uiPriority w:val="0"/>
    <w:pPr>
      <w:autoSpaceDE w:val="0"/>
      <w:autoSpaceDN w:val="0"/>
      <w:adjustRightInd w:val="0"/>
      <w:spacing w:line="400" w:lineRule="exact"/>
      <w:jc w:val="both"/>
    </w:pPr>
    <w:rPr>
      <w:rFonts w:ascii="宋体" w:hAnsi="Times New Roman" w:eastAsia="宋体" w:cs="宋体"/>
      <w:kern w:val="0"/>
      <w:szCs w:val="24"/>
    </w:rPr>
  </w:style>
  <w:style w:type="paragraph" w:customStyle="1" w:styleId="32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新宋体" w:hAnsi="新宋体" w:eastAsia="新宋体" w:cs="宋体"/>
      <w:color w:val="000000"/>
      <w:kern w:val="0"/>
      <w:sz w:val="24"/>
    </w:rPr>
  </w:style>
  <w:style w:type="paragraph" w:customStyle="1" w:styleId="326">
    <w:name w:val="List Paragraph1"/>
    <w:basedOn w:val="1"/>
    <w:qFormat/>
    <w:uiPriority w:val="0"/>
    <w:pPr>
      <w:ind w:firstLine="420" w:firstLineChars="200"/>
    </w:pPr>
    <w:rPr>
      <w:rFonts w:ascii="Calibri" w:hAnsi="Calibri"/>
      <w:szCs w:val="22"/>
    </w:rPr>
  </w:style>
  <w:style w:type="paragraph" w:customStyle="1" w:styleId="327">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8">
    <w:name w:val="font5"/>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32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30">
    <w:name w:val="List Paragraph2"/>
    <w:basedOn w:val="1"/>
    <w:qFormat/>
    <w:uiPriority w:val="0"/>
    <w:pPr>
      <w:ind w:firstLine="420" w:firstLineChars="200"/>
    </w:pPr>
  </w:style>
  <w:style w:type="paragraph" w:customStyle="1" w:styleId="331">
    <w:name w:val="样式 标题 1Level 1Level 11h1II+IHeading1H1-Heading 1Header 1..."/>
    <w:basedOn w:val="2"/>
    <w:qFormat/>
    <w:uiPriority w:val="0"/>
    <w:pPr>
      <w:keepLines/>
      <w:pageBreakBefore/>
      <w:numPr>
        <w:ilvl w:val="0"/>
        <w:numId w:val="0"/>
      </w:numPr>
      <w:spacing w:before="100" w:beforeLines="0" w:after="100" w:afterLines="0" w:line="360" w:lineRule="auto"/>
      <w:ind w:left="1680" w:hanging="420"/>
      <w:jc w:val="left"/>
    </w:pPr>
    <w:rPr>
      <w:rFonts w:ascii="Arial" w:hAnsi="Arial" w:cs="宋体"/>
      <w:bCs/>
      <w:kern w:val="44"/>
      <w:sz w:val="44"/>
    </w:rPr>
  </w:style>
  <w:style w:type="paragraph" w:customStyle="1" w:styleId="332">
    <w:name w:val="xl83"/>
    <w:basedOn w:val="1"/>
    <w:qFormat/>
    <w:uiPriority w:val="0"/>
    <w:pPr>
      <w:widowControl/>
      <w:pBdr>
        <w:left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table" w:customStyle="1" w:styleId="333">
    <w:name w:val="网格型1"/>
    <w:basedOn w:val="52"/>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66</Pages>
  <Words>33422</Words>
  <Characters>34949</Characters>
  <Lines>487</Lines>
  <Paragraphs>137</Paragraphs>
  <TotalTime>91</TotalTime>
  <ScaleCrop>false</ScaleCrop>
  <LinksUpToDate>false</LinksUpToDate>
  <CharactersWithSpaces>37659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2021-02-03T07:39:00Z</dcterms:created>
  <dc:creator>zyq</dc:creator>
  <cp:lastModifiedBy>巴西</cp:lastModifiedBy>
  <cp:lastPrinted>2021-03-09T01:53:00Z</cp:lastPrinted>
  <dcterms:modified xsi:type="dcterms:W3CDTF">2023-12-13T03:27:31Z</dcterms:modified>
  <dc:title>招标文件目录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094F0AE123AD4AC9BE4384C346FDAE82_13</vt:lpwstr>
  </property>
</Properties>
</file>