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第三章 磋商项目技术、服务、商务及其他要求</w:t>
      </w:r>
    </w:p>
    <w:p>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outlineLvl w:val="2"/>
      </w:pPr>
      <w:r>
        <w:rPr>
          <w:b/>
          <w:sz w:val="28"/>
        </w:rPr>
        <w:t>3.1、采购项目概况</w:t>
      </w:r>
    </w:p>
    <w:p>
      <w:pPr>
        <w:pStyle w:val="4"/>
        <w:ind w:firstLine="480"/>
      </w:pPr>
    </w:p>
    <w:p>
      <w:pPr>
        <w:pStyle w:val="4"/>
      </w:pPr>
    </w:p>
    <w:p>
      <w:pPr>
        <w:pStyle w:val="4"/>
      </w:pPr>
      <w:r>
        <w:t>本项目2个包，通过竞争性磋商方式确定江阳区2023年病媒生物服务单位和江阳区2023年病媒生物防制监测服务单位。01包：2023年病媒生物服务，预算金额：76.00万元；02包：2023年病媒生物防制监测服务，预算金额：5.00万元。</w:t>
      </w:r>
    </w:p>
    <w:p>
      <w:pPr>
        <w:pStyle w:val="4"/>
        <w:outlineLvl w:val="2"/>
      </w:pPr>
      <w:r>
        <w:rPr>
          <w:b/>
          <w:sz w:val="28"/>
        </w:rPr>
        <w:t>3.2、服务内容及服务要求</w:t>
      </w:r>
    </w:p>
    <w:p>
      <w:pPr>
        <w:pStyle w:val="4"/>
        <w:outlineLvl w:val="3"/>
      </w:pPr>
      <w:r>
        <w:rPr>
          <w:b/>
          <w:sz w:val="24"/>
        </w:rPr>
        <w:t>3.2.1服务内容</w:t>
      </w:r>
    </w:p>
    <w:p>
      <w:pPr>
        <w:pStyle w:val="4"/>
      </w:pPr>
    </w:p>
    <w:p>
      <w:pPr>
        <w:pStyle w:val="4"/>
      </w:pPr>
    </w:p>
    <w:p>
      <w:pPr>
        <w:pStyle w:val="4"/>
      </w:pPr>
      <w:r>
        <w:t>采购包1：</w:t>
      </w:r>
    </w:p>
    <w:p>
      <w:pPr>
        <w:pStyle w:val="4"/>
      </w:pPr>
      <w:r>
        <w:t>采购包预算金额（元）: 760,000.00</w:t>
      </w:r>
    </w:p>
    <w:p>
      <w:pPr>
        <w:pStyle w:val="4"/>
      </w:pPr>
      <w:r>
        <w:t>采购包最高限价（元）: 748,600.00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2023年病媒生物服务</w:t>
            </w:r>
          </w:p>
        </w:tc>
        <w:tc>
          <w:tcPr>
            <w:tcW w:w="848" w:type="dxa"/>
          </w:tcPr>
          <w:p>
            <w:pPr>
              <w:pStyle w:val="4"/>
              <w:jc w:val="right"/>
            </w:pPr>
            <w:r>
              <w:t>1.00</w:t>
            </w:r>
          </w:p>
        </w:tc>
        <w:tc>
          <w:tcPr>
            <w:tcW w:w="1356" w:type="dxa"/>
          </w:tcPr>
          <w:p>
            <w:pPr>
              <w:pStyle w:val="4"/>
              <w:jc w:val="right"/>
            </w:pPr>
            <w:r>
              <w:t>748,600.00</w:t>
            </w:r>
          </w:p>
        </w:tc>
        <w:tc>
          <w:tcPr>
            <w:tcW w:w="678" w:type="dxa"/>
          </w:tcPr>
          <w:p>
            <w:pPr>
              <w:pStyle w:val="4"/>
            </w:pPr>
            <w:r>
              <w:t>项</w:t>
            </w:r>
          </w:p>
        </w:tc>
        <w:tc>
          <w:tcPr>
            <w:tcW w:w="678" w:type="dxa"/>
          </w:tcPr>
          <w:p>
            <w:pPr>
              <w:pStyle w:val="4"/>
            </w:pPr>
            <w:r>
              <w:t>其他未列明行业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bl>
    <w:p>
      <w:pPr>
        <w:pStyle w:val="4"/>
      </w:pPr>
      <w:r>
        <w:t>采购包2：</w:t>
      </w:r>
    </w:p>
    <w:p>
      <w:pPr>
        <w:pStyle w:val="4"/>
      </w:pPr>
      <w:r>
        <w:t>采购包预算金额（元）: 50,000.00</w:t>
      </w:r>
    </w:p>
    <w:p>
      <w:pPr>
        <w:pStyle w:val="4"/>
      </w:pPr>
      <w:r>
        <w:t>采购包最高限价（元）: 49,250.00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2023年病媒生物防制监测服务</w:t>
            </w:r>
          </w:p>
        </w:tc>
        <w:tc>
          <w:tcPr>
            <w:tcW w:w="848" w:type="dxa"/>
          </w:tcPr>
          <w:p>
            <w:pPr>
              <w:pStyle w:val="4"/>
              <w:jc w:val="right"/>
            </w:pPr>
            <w:r>
              <w:t>1.00</w:t>
            </w:r>
          </w:p>
        </w:tc>
        <w:tc>
          <w:tcPr>
            <w:tcW w:w="1356" w:type="dxa"/>
          </w:tcPr>
          <w:p>
            <w:pPr>
              <w:pStyle w:val="4"/>
              <w:jc w:val="right"/>
            </w:pPr>
            <w:r>
              <w:t>49,250.00</w:t>
            </w:r>
          </w:p>
        </w:tc>
        <w:tc>
          <w:tcPr>
            <w:tcW w:w="678" w:type="dxa"/>
          </w:tcPr>
          <w:p>
            <w:pPr>
              <w:pStyle w:val="4"/>
            </w:pPr>
            <w:r>
              <w:t>项</w:t>
            </w:r>
          </w:p>
        </w:tc>
        <w:tc>
          <w:tcPr>
            <w:tcW w:w="678" w:type="dxa"/>
          </w:tcPr>
          <w:p>
            <w:pPr>
              <w:pStyle w:val="4"/>
            </w:pPr>
            <w:r>
              <w:t>其他未列明行业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bl>
    <w:p>
      <w:pPr>
        <w:pStyle w:val="4"/>
        <w:outlineLvl w:val="3"/>
      </w:pPr>
      <w:r>
        <w:rPr>
          <w:b/>
          <w:sz w:val="24"/>
        </w:rPr>
        <w:t>3.2.2服务要求</w:t>
      </w:r>
    </w:p>
    <w:p>
      <w:pPr>
        <w:pStyle w:val="4"/>
      </w:pPr>
    </w:p>
    <w:p>
      <w:pPr>
        <w:pStyle w:val="4"/>
      </w:pPr>
    </w:p>
    <w:p>
      <w:pPr>
        <w:pStyle w:val="4"/>
      </w:pPr>
    </w:p>
    <w:p>
      <w:pPr>
        <w:pStyle w:val="4"/>
      </w:pPr>
      <w:r>
        <w:t>采购包1：</w:t>
      </w:r>
    </w:p>
    <w:p>
      <w:pPr>
        <w:pStyle w:val="4"/>
      </w:pPr>
    </w:p>
    <w:p>
      <w:pPr>
        <w:pStyle w:val="4"/>
      </w:pPr>
      <w:r>
        <w:t>标的名称：2023年病媒生物服务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4"/>
        <w:gridCol w:w="1525"/>
        <w:gridCol w:w="54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w:t>
            </w:r>
          </w:p>
        </w:tc>
        <w:tc>
          <w:tcPr>
            <w:tcW w:w="2769" w:type="dxa"/>
          </w:tcPr>
          <w:p>
            <w:pPr>
              <w:pStyle w:val="4"/>
            </w:pPr>
            <w:r>
              <w:t>1</w:t>
            </w:r>
          </w:p>
        </w:tc>
        <w:tc>
          <w:tcPr>
            <w:tcW w:w="2769" w:type="dxa"/>
          </w:tcPr>
          <w:p>
            <w:pPr>
              <w:pStyle w:val="4"/>
              <w:numPr>
                <w:ilvl w:val="0"/>
                <w:numId w:val="1"/>
              </w:numPr>
            </w:pPr>
            <w:r>
              <w:rPr>
                <w:rFonts w:ascii="宋体" w:hAnsi="宋体" w:eastAsia="宋体" w:cs="宋体"/>
                <w:b/>
                <w:sz w:val="28"/>
              </w:rPr>
              <w:t>病媒生物防制服务内容及要求</w:t>
            </w:r>
          </w:p>
          <w:p>
            <w:pPr>
              <w:pStyle w:val="4"/>
            </w:pPr>
            <w:r>
              <w:rPr>
                <w:rFonts w:ascii="宋体" w:hAnsi="宋体" w:eastAsia="宋体" w:cs="宋体"/>
                <w:b/>
                <w:sz w:val="28"/>
              </w:rPr>
              <w:t>1、除“四害”消杀服务范围</w:t>
            </w:r>
          </w:p>
          <w:p>
            <w:pPr>
              <w:pStyle w:val="4"/>
              <w:ind w:firstLine="480"/>
            </w:pPr>
            <w:r>
              <w:rPr>
                <w:rFonts w:ascii="宋体" w:hAnsi="宋体" w:eastAsia="宋体" w:cs="宋体"/>
                <w:sz w:val="24"/>
              </w:rPr>
              <w:t>覆盖江阳区内的大山坪、南城、北城、华阳、蓝田、茜草、邻玉、泰安、况场9个街道辖区内的所有社区（63个）。其中：</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91"/>
              <w:gridCol w:w="196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91" w:type="dxa"/>
                  <w:tcBorders>
                    <w:top w:val="single" w:color="000000" w:sz="4" w:space="0"/>
                    <w:left w:val="single" w:color="000000" w:sz="4" w:space="0"/>
                    <w:bottom w:val="nil"/>
                    <w:right w:val="nil"/>
                  </w:tcBorders>
                  <w:shd w:val="clear" w:color="auto" w:fill="FFFFFF"/>
                  <w:tcMar>
                    <w:top w:w="0" w:type="dxa"/>
                    <w:left w:w="15" w:type="dxa"/>
                    <w:bottom w:w="0" w:type="dxa"/>
                    <w:right w:w="15" w:type="dxa"/>
                  </w:tcMar>
                  <w:vAlign w:val="top"/>
                </w:tcPr>
                <w:p>
                  <w:pPr>
                    <w:pStyle w:val="4"/>
                    <w:jc w:val="center"/>
                  </w:pPr>
                  <w:r>
                    <w:rPr>
                      <w:rFonts w:ascii="宋体" w:hAnsi="宋体" w:eastAsia="宋体" w:cs="宋体"/>
                      <w:sz w:val="21"/>
                    </w:rPr>
                    <w:t>大山坪街道办</w:t>
                  </w:r>
                </w:p>
                <w:p>
                  <w:pPr>
                    <w:pStyle w:val="4"/>
                    <w:jc w:val="center"/>
                  </w:pPr>
                  <w:r>
                    <w:rPr>
                      <w:rFonts w:ascii="宋体" w:hAnsi="宋体" w:eastAsia="宋体" w:cs="宋体"/>
                      <w:sz w:val="21"/>
                    </w:rPr>
                    <w:t>（9个社区）</w:t>
                  </w:r>
                </w:p>
              </w:tc>
              <w:tc>
                <w:tcPr>
                  <w:tcW w:w="1961" w:type="dxa"/>
                  <w:tcBorders>
                    <w:top w:val="single" w:color="000000" w:sz="4" w:space="0"/>
                    <w:left w:val="single" w:color="000000" w:sz="4" w:space="0"/>
                    <w:bottom w:val="nil"/>
                    <w:right w:val="single" w:color="000000" w:sz="4" w:space="0"/>
                  </w:tcBorders>
                  <w:shd w:val="clear" w:color="auto" w:fill="FFFFFF"/>
                  <w:tcMar>
                    <w:top w:w="0" w:type="dxa"/>
                    <w:left w:w="15" w:type="dxa"/>
                    <w:bottom w:w="0" w:type="dxa"/>
                    <w:right w:w="15" w:type="dxa"/>
                  </w:tcMar>
                  <w:vAlign w:val="top"/>
                </w:tcPr>
                <w:p>
                  <w:pPr>
                    <w:pStyle w:val="4"/>
                    <w:jc w:val="both"/>
                  </w:pPr>
                  <w:r>
                    <w:rPr>
                      <w:rFonts w:ascii="宋体" w:hAnsi="宋体" w:eastAsia="宋体" w:cs="宋体"/>
                      <w:sz w:val="21"/>
                    </w:rPr>
                    <w:t>石马沟、康华苑、龙透关、山岩脑、麻柳湾、纪念标、三道桥、南苑、百子图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1" w:type="dxa"/>
                  <w:tcBorders>
                    <w:top w:val="single" w:color="000000" w:sz="4" w:space="0"/>
                    <w:left w:val="single" w:color="000000" w:sz="4" w:space="0"/>
                    <w:bottom w:val="nil"/>
                    <w:right w:val="nil"/>
                  </w:tcBorders>
                  <w:shd w:val="clear" w:color="auto" w:fill="FFFFFF"/>
                  <w:tcMar>
                    <w:top w:w="0" w:type="dxa"/>
                    <w:left w:w="15" w:type="dxa"/>
                    <w:bottom w:w="0" w:type="dxa"/>
                    <w:right w:w="15" w:type="dxa"/>
                  </w:tcMar>
                  <w:vAlign w:val="top"/>
                </w:tcPr>
                <w:p>
                  <w:pPr>
                    <w:pStyle w:val="4"/>
                    <w:jc w:val="center"/>
                  </w:pPr>
                  <w:r>
                    <w:rPr>
                      <w:rFonts w:ascii="宋体" w:hAnsi="宋体" w:eastAsia="宋体" w:cs="宋体"/>
                      <w:sz w:val="21"/>
                    </w:rPr>
                    <w:t>南城街道办</w:t>
                  </w:r>
                </w:p>
                <w:p>
                  <w:pPr>
                    <w:pStyle w:val="4"/>
                    <w:jc w:val="center"/>
                  </w:pPr>
                  <w:r>
                    <w:rPr>
                      <w:rFonts w:ascii="宋体" w:hAnsi="宋体" w:eastAsia="宋体" w:cs="宋体"/>
                      <w:sz w:val="21"/>
                    </w:rPr>
                    <w:t>（6个社区）</w:t>
                  </w:r>
                </w:p>
              </w:tc>
              <w:tc>
                <w:tcPr>
                  <w:tcW w:w="1961" w:type="dxa"/>
                  <w:tcBorders>
                    <w:top w:val="single" w:color="000000" w:sz="4" w:space="0"/>
                    <w:left w:val="single" w:color="000000" w:sz="4" w:space="0"/>
                    <w:bottom w:val="nil"/>
                    <w:right w:val="single" w:color="000000" w:sz="4" w:space="0"/>
                  </w:tcBorders>
                  <w:shd w:val="clear" w:color="auto" w:fill="FFFFFF"/>
                  <w:tcMar>
                    <w:top w:w="0" w:type="dxa"/>
                    <w:left w:w="15" w:type="dxa"/>
                    <w:bottom w:w="0" w:type="dxa"/>
                    <w:right w:w="15" w:type="dxa"/>
                  </w:tcMar>
                  <w:vAlign w:val="top"/>
                </w:tcPr>
                <w:p>
                  <w:pPr>
                    <w:pStyle w:val="4"/>
                    <w:jc w:val="both"/>
                  </w:pPr>
                  <w:r>
                    <w:rPr>
                      <w:rFonts w:ascii="宋体" w:hAnsi="宋体" w:eastAsia="宋体" w:cs="宋体"/>
                      <w:sz w:val="21"/>
                    </w:rPr>
                    <w:t>白招牌、三星街、滨江、国窖、上平、凤凰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1" w:type="dxa"/>
                  <w:tcBorders>
                    <w:top w:val="single" w:color="000000" w:sz="4" w:space="0"/>
                    <w:left w:val="single" w:color="000000" w:sz="4" w:space="0"/>
                    <w:bottom w:val="nil"/>
                    <w:right w:val="nil"/>
                  </w:tcBorders>
                  <w:shd w:val="clear" w:color="auto" w:fill="FFFFFF"/>
                  <w:tcMar>
                    <w:top w:w="0" w:type="dxa"/>
                    <w:left w:w="15" w:type="dxa"/>
                    <w:bottom w:w="0" w:type="dxa"/>
                    <w:right w:w="15" w:type="dxa"/>
                  </w:tcMar>
                  <w:vAlign w:val="top"/>
                </w:tcPr>
                <w:p>
                  <w:pPr>
                    <w:pStyle w:val="4"/>
                    <w:jc w:val="center"/>
                  </w:pPr>
                  <w:r>
                    <w:rPr>
                      <w:rFonts w:ascii="宋体" w:hAnsi="宋体" w:eastAsia="宋体" w:cs="宋体"/>
                      <w:sz w:val="21"/>
                    </w:rPr>
                    <w:t>北城街道办</w:t>
                  </w:r>
                </w:p>
                <w:p>
                  <w:pPr>
                    <w:pStyle w:val="4"/>
                    <w:jc w:val="center"/>
                  </w:pPr>
                  <w:r>
                    <w:rPr>
                      <w:rFonts w:ascii="宋体" w:hAnsi="宋体" w:eastAsia="宋体" w:cs="宋体"/>
                      <w:sz w:val="21"/>
                    </w:rPr>
                    <w:t>（5个社区）</w:t>
                  </w:r>
                </w:p>
              </w:tc>
              <w:tc>
                <w:tcPr>
                  <w:tcW w:w="1961" w:type="dxa"/>
                  <w:tcBorders>
                    <w:top w:val="single" w:color="000000" w:sz="4" w:space="0"/>
                    <w:left w:val="single" w:color="000000" w:sz="4" w:space="0"/>
                    <w:bottom w:val="nil"/>
                    <w:right w:val="single" w:color="000000" w:sz="4" w:space="0"/>
                  </w:tcBorders>
                  <w:shd w:val="clear" w:color="auto" w:fill="FFFFFF"/>
                  <w:tcMar>
                    <w:top w:w="0" w:type="dxa"/>
                    <w:left w:w="15" w:type="dxa"/>
                    <w:bottom w:w="0" w:type="dxa"/>
                    <w:right w:w="15" w:type="dxa"/>
                  </w:tcMar>
                  <w:vAlign w:val="top"/>
                </w:tcPr>
                <w:p>
                  <w:pPr>
                    <w:pStyle w:val="4"/>
                    <w:jc w:val="both"/>
                  </w:pPr>
                  <w:r>
                    <w:rPr>
                      <w:rFonts w:ascii="宋体" w:hAnsi="宋体" w:eastAsia="宋体" w:cs="宋体"/>
                      <w:sz w:val="21"/>
                    </w:rPr>
                    <w:t>濂溪路、皂角巷、报恩塔、城垣、东门口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1" w:type="dxa"/>
                  <w:tcBorders>
                    <w:top w:val="single" w:color="000000" w:sz="4" w:space="0"/>
                    <w:left w:val="single" w:color="000000" w:sz="4" w:space="0"/>
                    <w:bottom w:val="nil"/>
                    <w:right w:val="nil"/>
                  </w:tcBorders>
                  <w:shd w:val="clear" w:color="auto" w:fill="FFFFFF"/>
                  <w:tcMar>
                    <w:top w:w="0" w:type="dxa"/>
                    <w:left w:w="15" w:type="dxa"/>
                    <w:bottom w:w="0" w:type="dxa"/>
                    <w:right w:w="15" w:type="dxa"/>
                  </w:tcMar>
                  <w:vAlign w:val="top"/>
                </w:tcPr>
                <w:p>
                  <w:pPr>
                    <w:pStyle w:val="4"/>
                    <w:jc w:val="center"/>
                  </w:pPr>
                  <w:r>
                    <w:rPr>
                      <w:rFonts w:ascii="宋体" w:hAnsi="宋体" w:eastAsia="宋体" w:cs="宋体"/>
                      <w:sz w:val="21"/>
                    </w:rPr>
                    <w:t>华阳街道办</w:t>
                  </w:r>
                </w:p>
                <w:p>
                  <w:pPr>
                    <w:pStyle w:val="4"/>
                    <w:jc w:val="center"/>
                  </w:pPr>
                  <w:r>
                    <w:rPr>
                      <w:rFonts w:ascii="宋体" w:hAnsi="宋体" w:eastAsia="宋体" w:cs="宋体"/>
                      <w:sz w:val="21"/>
                    </w:rPr>
                    <w:t>（8个社区）</w:t>
                  </w:r>
                </w:p>
              </w:tc>
              <w:tc>
                <w:tcPr>
                  <w:tcW w:w="1961" w:type="dxa"/>
                  <w:tcBorders>
                    <w:top w:val="single" w:color="000000" w:sz="4" w:space="0"/>
                    <w:left w:val="single" w:color="000000" w:sz="4" w:space="0"/>
                    <w:bottom w:val="nil"/>
                    <w:right w:val="single" w:color="000000" w:sz="4" w:space="0"/>
                  </w:tcBorders>
                  <w:shd w:val="clear" w:color="auto" w:fill="FFFFFF"/>
                  <w:tcMar>
                    <w:top w:w="0" w:type="dxa"/>
                    <w:left w:w="15" w:type="dxa"/>
                    <w:bottom w:w="0" w:type="dxa"/>
                    <w:right w:w="15" w:type="dxa"/>
                  </w:tcMar>
                  <w:vAlign w:val="top"/>
                </w:tcPr>
                <w:p>
                  <w:pPr>
                    <w:pStyle w:val="4"/>
                    <w:jc w:val="both"/>
                  </w:pPr>
                  <w:r>
                    <w:rPr>
                      <w:rFonts w:ascii="宋体" w:hAnsi="宋体" w:eastAsia="宋体" w:cs="宋体"/>
                      <w:sz w:val="21"/>
                    </w:rPr>
                    <w:t>瓦窑坝、竹苑、华宜、春景、龙驰、龙腾、瑞景、康乐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1" w:type="dxa"/>
                  <w:tcBorders>
                    <w:top w:val="single" w:color="000000" w:sz="4" w:space="0"/>
                    <w:left w:val="single" w:color="000000" w:sz="4" w:space="0"/>
                    <w:bottom w:val="nil"/>
                    <w:right w:val="nil"/>
                  </w:tcBorders>
                  <w:shd w:val="clear" w:color="auto" w:fill="FFFFFF"/>
                  <w:tcMar>
                    <w:top w:w="0" w:type="dxa"/>
                    <w:left w:w="15" w:type="dxa"/>
                    <w:bottom w:w="0" w:type="dxa"/>
                    <w:right w:w="15" w:type="dxa"/>
                  </w:tcMar>
                  <w:vAlign w:val="top"/>
                </w:tcPr>
                <w:p>
                  <w:pPr>
                    <w:pStyle w:val="4"/>
                    <w:jc w:val="center"/>
                  </w:pPr>
                  <w:r>
                    <w:rPr>
                      <w:rFonts w:ascii="宋体" w:hAnsi="宋体" w:eastAsia="宋体" w:cs="宋体"/>
                      <w:sz w:val="21"/>
                    </w:rPr>
                    <w:t>蓝田街道办</w:t>
                  </w:r>
                </w:p>
                <w:p>
                  <w:pPr>
                    <w:pStyle w:val="4"/>
                    <w:jc w:val="center"/>
                  </w:pPr>
                  <w:r>
                    <w:rPr>
                      <w:rFonts w:ascii="宋体" w:hAnsi="宋体" w:eastAsia="宋体" w:cs="宋体"/>
                      <w:sz w:val="21"/>
                    </w:rPr>
                    <w:t>（12个社区）</w:t>
                  </w:r>
                </w:p>
              </w:tc>
              <w:tc>
                <w:tcPr>
                  <w:tcW w:w="1961" w:type="dxa"/>
                  <w:tcBorders>
                    <w:top w:val="single" w:color="000000" w:sz="4" w:space="0"/>
                    <w:left w:val="single" w:color="000000" w:sz="4" w:space="0"/>
                    <w:bottom w:val="nil"/>
                    <w:right w:val="single" w:color="000000" w:sz="4" w:space="0"/>
                  </w:tcBorders>
                  <w:shd w:val="clear" w:color="auto" w:fill="FFFFFF"/>
                  <w:tcMar>
                    <w:top w:w="0" w:type="dxa"/>
                    <w:left w:w="15" w:type="dxa"/>
                    <w:bottom w:w="0" w:type="dxa"/>
                    <w:right w:w="15" w:type="dxa"/>
                  </w:tcMar>
                  <w:vAlign w:val="top"/>
                </w:tcPr>
                <w:p>
                  <w:pPr>
                    <w:pStyle w:val="4"/>
                    <w:jc w:val="both"/>
                  </w:pPr>
                  <w:r>
                    <w:rPr>
                      <w:rFonts w:ascii="宋体" w:hAnsi="宋体" w:eastAsia="宋体" w:cs="宋体"/>
                      <w:sz w:val="21"/>
                    </w:rPr>
                    <w:t>黄荆山、宪桥、前进、洞宾亭、东升桥、牛市坎、华油、重湾、梨子园、黄桷坪、特林桥、杨桥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1" w:type="dxa"/>
                  <w:tcBorders>
                    <w:top w:val="single" w:color="000000" w:sz="4" w:space="0"/>
                    <w:left w:val="single" w:color="000000" w:sz="4" w:space="0"/>
                    <w:bottom w:val="nil"/>
                    <w:right w:val="nil"/>
                  </w:tcBorders>
                  <w:shd w:val="clear" w:color="auto" w:fill="FFFFFF"/>
                  <w:tcMar>
                    <w:top w:w="0" w:type="dxa"/>
                    <w:left w:w="15" w:type="dxa"/>
                    <w:bottom w:w="0" w:type="dxa"/>
                    <w:right w:w="15" w:type="dxa"/>
                  </w:tcMar>
                  <w:vAlign w:val="top"/>
                </w:tcPr>
                <w:p>
                  <w:pPr>
                    <w:pStyle w:val="4"/>
                    <w:jc w:val="center"/>
                  </w:pPr>
                  <w:r>
                    <w:rPr>
                      <w:rFonts w:ascii="宋体" w:hAnsi="宋体" w:eastAsia="宋体" w:cs="宋体"/>
                      <w:sz w:val="21"/>
                    </w:rPr>
                    <w:t>茜草街道办</w:t>
                  </w:r>
                </w:p>
                <w:p>
                  <w:pPr>
                    <w:pStyle w:val="4"/>
                    <w:jc w:val="center"/>
                  </w:pPr>
                  <w:r>
                    <w:rPr>
                      <w:rFonts w:ascii="宋体" w:hAnsi="宋体" w:eastAsia="宋体" w:cs="宋体"/>
                      <w:sz w:val="21"/>
                    </w:rPr>
                    <w:t>（14个社区）</w:t>
                  </w:r>
                </w:p>
              </w:tc>
              <w:tc>
                <w:tcPr>
                  <w:tcW w:w="1961" w:type="dxa"/>
                  <w:tcBorders>
                    <w:top w:val="single" w:color="000000" w:sz="4" w:space="0"/>
                    <w:left w:val="single" w:color="000000" w:sz="4" w:space="0"/>
                    <w:bottom w:val="nil"/>
                    <w:right w:val="single" w:color="000000" w:sz="4" w:space="0"/>
                  </w:tcBorders>
                  <w:shd w:val="clear" w:color="auto" w:fill="FFFFFF"/>
                  <w:tcMar>
                    <w:top w:w="0" w:type="dxa"/>
                    <w:left w:w="15" w:type="dxa"/>
                    <w:bottom w:w="0" w:type="dxa"/>
                    <w:right w:w="15" w:type="dxa"/>
                  </w:tcMar>
                  <w:vAlign w:val="top"/>
                </w:tcPr>
                <w:p>
                  <w:pPr>
                    <w:pStyle w:val="4"/>
                    <w:jc w:val="both"/>
                  </w:pPr>
                  <w:r>
                    <w:rPr>
                      <w:rFonts w:ascii="宋体" w:hAnsi="宋体" w:eastAsia="宋体" w:cs="宋体"/>
                      <w:sz w:val="21"/>
                    </w:rPr>
                    <w:t>金沙、鹅宝山、毗卢寺、坝心、黎明、新光、卫国、邻府、光明、渔子溪、彭湾、桂园林、匠心、沙坪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1" w:type="dxa"/>
                  <w:tcBorders>
                    <w:top w:val="single" w:color="000000" w:sz="4" w:space="0"/>
                    <w:left w:val="single" w:color="000000" w:sz="4" w:space="0"/>
                    <w:bottom w:val="nil"/>
                    <w:right w:val="nil"/>
                  </w:tcBorders>
                  <w:shd w:val="clear" w:color="auto" w:fill="FFFFFF"/>
                  <w:tcMar>
                    <w:top w:w="0" w:type="dxa"/>
                    <w:left w:w="15" w:type="dxa"/>
                    <w:bottom w:w="0" w:type="dxa"/>
                    <w:right w:w="15" w:type="dxa"/>
                  </w:tcMar>
                  <w:vAlign w:val="top"/>
                </w:tcPr>
                <w:p>
                  <w:pPr>
                    <w:pStyle w:val="4"/>
                    <w:jc w:val="center"/>
                  </w:pPr>
                  <w:r>
                    <w:rPr>
                      <w:rFonts w:ascii="宋体" w:hAnsi="宋体" w:eastAsia="宋体" w:cs="宋体"/>
                      <w:sz w:val="21"/>
                    </w:rPr>
                    <w:t>邻玉街道办</w:t>
                  </w:r>
                </w:p>
                <w:p>
                  <w:pPr>
                    <w:pStyle w:val="4"/>
                    <w:jc w:val="center"/>
                  </w:pPr>
                  <w:r>
                    <w:rPr>
                      <w:rFonts w:ascii="宋体" w:hAnsi="宋体" w:eastAsia="宋体" w:cs="宋体"/>
                      <w:sz w:val="21"/>
                    </w:rPr>
                    <w:t>（2个社区）</w:t>
                  </w:r>
                </w:p>
              </w:tc>
              <w:tc>
                <w:tcPr>
                  <w:tcW w:w="1961" w:type="dxa"/>
                  <w:tcBorders>
                    <w:top w:val="single" w:color="000000" w:sz="4" w:space="0"/>
                    <w:left w:val="single" w:color="000000" w:sz="4" w:space="0"/>
                    <w:bottom w:val="nil"/>
                    <w:right w:val="single" w:color="000000" w:sz="4" w:space="0"/>
                  </w:tcBorders>
                  <w:shd w:val="clear" w:color="auto" w:fill="FFFFFF"/>
                  <w:tcMar>
                    <w:top w:w="0" w:type="dxa"/>
                    <w:left w:w="15" w:type="dxa"/>
                    <w:bottom w:w="0" w:type="dxa"/>
                    <w:right w:w="15" w:type="dxa"/>
                  </w:tcMar>
                  <w:vAlign w:val="top"/>
                </w:tcPr>
                <w:p>
                  <w:pPr>
                    <w:pStyle w:val="4"/>
                    <w:jc w:val="both"/>
                  </w:pPr>
                  <w:r>
                    <w:rPr>
                      <w:rFonts w:ascii="宋体" w:hAnsi="宋体" w:eastAsia="宋体" w:cs="宋体"/>
                      <w:sz w:val="21"/>
                    </w:rPr>
                    <w:t>邻江、玉成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1" w:type="dxa"/>
                  <w:tcBorders>
                    <w:top w:val="single" w:color="000000" w:sz="4" w:space="0"/>
                    <w:left w:val="single" w:color="000000" w:sz="4" w:space="0"/>
                    <w:bottom w:val="nil"/>
                    <w:right w:val="nil"/>
                  </w:tcBorders>
                  <w:shd w:val="clear" w:color="auto" w:fill="FFFFFF"/>
                  <w:tcMar>
                    <w:top w:w="0" w:type="dxa"/>
                    <w:left w:w="15" w:type="dxa"/>
                    <w:bottom w:w="0" w:type="dxa"/>
                    <w:right w:w="15" w:type="dxa"/>
                  </w:tcMar>
                  <w:vAlign w:val="top"/>
                </w:tcPr>
                <w:p>
                  <w:pPr>
                    <w:pStyle w:val="4"/>
                    <w:jc w:val="center"/>
                  </w:pPr>
                  <w:r>
                    <w:rPr>
                      <w:rFonts w:ascii="宋体" w:hAnsi="宋体" w:eastAsia="宋体" w:cs="宋体"/>
                      <w:sz w:val="21"/>
                    </w:rPr>
                    <w:t>泰安街道办</w:t>
                  </w:r>
                </w:p>
                <w:p>
                  <w:pPr>
                    <w:pStyle w:val="4"/>
                    <w:jc w:val="center"/>
                  </w:pPr>
                  <w:r>
                    <w:rPr>
                      <w:rFonts w:ascii="宋体" w:hAnsi="宋体" w:eastAsia="宋体" w:cs="宋体"/>
                      <w:sz w:val="21"/>
                    </w:rPr>
                    <w:t>（4个社区）</w:t>
                  </w:r>
                </w:p>
              </w:tc>
              <w:tc>
                <w:tcPr>
                  <w:tcW w:w="1961" w:type="dxa"/>
                  <w:tcBorders>
                    <w:top w:val="single" w:color="000000" w:sz="4" w:space="0"/>
                    <w:left w:val="single" w:color="000000" w:sz="4" w:space="0"/>
                    <w:bottom w:val="nil"/>
                    <w:right w:val="single" w:color="000000" w:sz="4" w:space="0"/>
                  </w:tcBorders>
                  <w:shd w:val="clear" w:color="auto" w:fill="FFFFFF"/>
                  <w:tcMar>
                    <w:top w:w="0" w:type="dxa"/>
                    <w:left w:w="15" w:type="dxa"/>
                    <w:bottom w:w="0" w:type="dxa"/>
                    <w:right w:w="15" w:type="dxa"/>
                  </w:tcMar>
                  <w:vAlign w:val="top"/>
                </w:tcPr>
                <w:p>
                  <w:pPr>
                    <w:pStyle w:val="4"/>
                    <w:jc w:val="both"/>
                  </w:pPr>
                  <w:r>
                    <w:rPr>
                      <w:rFonts w:ascii="宋体" w:hAnsi="宋体" w:eastAsia="宋体" w:cs="宋体"/>
                      <w:sz w:val="21"/>
                    </w:rPr>
                    <w:t>泰港、泰和、泰安、龙江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1" w:type="dxa"/>
                  <w:tcBorders>
                    <w:top w:val="single" w:color="000000" w:sz="4" w:space="0"/>
                    <w:left w:val="single" w:color="000000" w:sz="4" w:space="0"/>
                    <w:bottom w:val="single" w:color="000000" w:sz="4" w:space="0"/>
                    <w:right w:val="nil"/>
                  </w:tcBorders>
                  <w:shd w:val="clear" w:color="auto" w:fill="FFFFFF"/>
                  <w:tcMar>
                    <w:top w:w="0" w:type="dxa"/>
                    <w:left w:w="15" w:type="dxa"/>
                    <w:bottom w:w="0" w:type="dxa"/>
                    <w:right w:w="15" w:type="dxa"/>
                  </w:tcMar>
                  <w:vAlign w:val="top"/>
                </w:tcPr>
                <w:p>
                  <w:pPr>
                    <w:pStyle w:val="4"/>
                    <w:jc w:val="center"/>
                  </w:pPr>
                  <w:r>
                    <w:rPr>
                      <w:rFonts w:ascii="宋体" w:hAnsi="宋体" w:eastAsia="宋体" w:cs="宋体"/>
                      <w:sz w:val="21"/>
                    </w:rPr>
                    <w:t>况场街道办</w:t>
                  </w:r>
                </w:p>
                <w:p>
                  <w:pPr>
                    <w:pStyle w:val="4"/>
                    <w:jc w:val="center"/>
                  </w:pPr>
                  <w:r>
                    <w:rPr>
                      <w:rFonts w:ascii="宋体" w:hAnsi="宋体" w:eastAsia="宋体" w:cs="宋体"/>
                      <w:sz w:val="21"/>
                    </w:rPr>
                    <w:t>（3个社区）</w:t>
                  </w:r>
                </w:p>
              </w:tc>
              <w:tc>
                <w:tcPr>
                  <w:tcW w:w="19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5" w:type="dxa"/>
                    <w:bottom w:w="0" w:type="dxa"/>
                    <w:right w:w="15" w:type="dxa"/>
                  </w:tcMar>
                  <w:vAlign w:val="top"/>
                </w:tcPr>
                <w:p>
                  <w:pPr>
                    <w:pStyle w:val="4"/>
                    <w:jc w:val="both"/>
                  </w:pPr>
                  <w:r>
                    <w:rPr>
                      <w:rFonts w:ascii="宋体" w:hAnsi="宋体" w:eastAsia="宋体" w:cs="宋体"/>
                      <w:sz w:val="21"/>
                    </w:rPr>
                    <w:t>况场、康平、连云</w:t>
                  </w:r>
                </w:p>
              </w:tc>
            </w:tr>
          </w:tbl>
          <w:p>
            <w:pPr>
              <w:pStyle w:val="4"/>
            </w:pPr>
            <w:r>
              <w:rPr>
                <w:rFonts w:ascii="宋体" w:hAnsi="宋体" w:eastAsia="宋体" w:cs="宋体"/>
                <w:b/>
                <w:sz w:val="28"/>
              </w:rPr>
              <w:t>2、除“四害”施药环境及频次要求</w:t>
            </w:r>
          </w:p>
          <w:p>
            <w:pPr>
              <w:pStyle w:val="4"/>
              <w:spacing w:after="120"/>
              <w:jc w:val="both"/>
            </w:pPr>
            <w:r>
              <w:rPr>
                <w:rFonts w:ascii="宋体" w:hAnsi="宋体" w:eastAsia="宋体" w:cs="宋体"/>
                <w:sz w:val="24"/>
              </w:rPr>
              <w:t>（1）服务范围内的城区及城郊的公共区域、城区街道、公路两旁、公共绿地、公园、广场、居民住宅小区（院落）、公共厕所、垃圾库、垃圾中转站、垃圾桶（果皮箱）等公共环卫设施、农贸市场和存在“四害”孳生的市政排水设施，进行全面消杀6次。其中，公共厕所、垃圾库、垃圾中转站、垃圾桶（果皮箱）等公共环卫设施、农贸市场和存在“四害”孳生的市政排水设施等重点场所根据实际情况，如有必要适当增加应急消杀频次。</w:t>
            </w:r>
          </w:p>
          <w:p>
            <w:pPr>
              <w:pStyle w:val="4"/>
              <w:spacing w:after="120"/>
              <w:jc w:val="both"/>
            </w:pPr>
            <w:r>
              <w:rPr>
                <w:rFonts w:ascii="宋体" w:hAnsi="宋体" w:eastAsia="宋体" w:cs="宋体"/>
                <w:sz w:val="24"/>
              </w:rPr>
              <w:t>（2）大山坪、南城、北城、华阳、蓝田、茜草、况场、泰安、邻玉范围内的“五小” 行业开展除“四害”及内外环境消杀工作（每季度一次，共计4次）。</w:t>
            </w:r>
          </w:p>
          <w:p>
            <w:pPr>
              <w:pStyle w:val="4"/>
              <w:spacing w:after="120"/>
              <w:jc w:val="both"/>
            </w:pPr>
            <w:r>
              <w:rPr>
                <w:rFonts w:ascii="宋体" w:hAnsi="宋体" w:eastAsia="宋体" w:cs="宋体"/>
                <w:sz w:val="24"/>
              </w:rPr>
              <w:t>（3）灭鼠：要求成交供应商组织对约定服务范围、环境的集中灭鼠投药服务。在合同签订后-2024年12月（具体实施时间由采购方根据实际确定）完成约定服务频次。同时在实施消杀工作中，针对重难点部位和收集到的鼠类侵害信息，开展补投和局部强化消杀等查漏补缺。灭蚊蝇和蟑螂：成交供应商在合同签订后-2024年12月（具体实施时间由采购方根据实际确定）完成对约定服务范围、环境的集中灭蚊蝇和蟑螂施药服务。同时在实施消杀工作中，针对重难点部位和收集到的蚊蝇蟑螂类侵害信息，开展补投和局部强化消杀等查漏补缺。</w:t>
            </w:r>
          </w:p>
          <w:p>
            <w:pPr>
              <w:pStyle w:val="4"/>
              <w:spacing w:after="120"/>
              <w:jc w:val="both"/>
            </w:pPr>
            <w:r>
              <w:rPr>
                <w:rFonts w:ascii="宋体" w:hAnsi="宋体" w:eastAsia="宋体" w:cs="宋体"/>
                <w:sz w:val="24"/>
              </w:rPr>
              <w:t>（4）服务范围老鼠孳生场所，按采购方设置的水泥式毒饵站（既有和新建）中投放足量毒饵，并在鼠药投放区域设置警示标志。对服务范围的公共绿化带鼠洞投药、堵塞，规范处置。</w:t>
            </w:r>
          </w:p>
          <w:p>
            <w:pPr>
              <w:pStyle w:val="4"/>
              <w:spacing w:after="120"/>
              <w:jc w:val="both"/>
            </w:pPr>
            <w:r>
              <w:rPr>
                <w:rFonts w:ascii="宋体" w:hAnsi="宋体" w:eastAsia="宋体" w:cs="宋体"/>
                <w:sz w:val="24"/>
              </w:rPr>
              <w:t>（5）按照采购方的要求，做好病媒生物防制示范建设工作，对指定的示范单位（示范店、示范街）开展“四害”消杀工作。</w:t>
            </w:r>
          </w:p>
          <w:p>
            <w:pPr>
              <w:pStyle w:val="4"/>
              <w:spacing w:after="120"/>
              <w:jc w:val="both"/>
            </w:pPr>
            <w:r>
              <w:rPr>
                <w:rFonts w:ascii="宋体" w:hAnsi="宋体" w:eastAsia="宋体" w:cs="宋体"/>
                <w:sz w:val="24"/>
              </w:rPr>
              <w:t>（6）对采购方指定的其它一般单位（原则上不超过20家），开展除“四害”应急消杀。</w:t>
            </w:r>
          </w:p>
          <w:p>
            <w:pPr>
              <w:pStyle w:val="4"/>
              <w:spacing w:after="120"/>
              <w:jc w:val="both"/>
            </w:pPr>
            <w:r>
              <w:rPr>
                <w:rFonts w:ascii="宋体" w:hAnsi="宋体" w:eastAsia="宋体" w:cs="宋体"/>
                <w:sz w:val="24"/>
              </w:rPr>
              <w:t>（7）迎接上级各种检查时，根据采购方提出的区域进行应急消杀；承担采购方临时安排的疫情处置应急消杀、重大活动的病媒生物消杀工作。</w:t>
            </w:r>
          </w:p>
          <w:p>
            <w:pPr>
              <w:pStyle w:val="4"/>
              <w:spacing w:after="120"/>
              <w:jc w:val="both"/>
            </w:pPr>
            <w:r>
              <w:rPr>
                <w:rFonts w:ascii="宋体" w:hAnsi="宋体" w:eastAsia="宋体" w:cs="宋体"/>
                <w:sz w:val="24"/>
              </w:rPr>
              <w:t>（8）在实施消杀工作中，针对针对重难点部位和收集到的“四害”侵害信息，开展补投和局部强化消杀等查漏补缺。</w:t>
            </w:r>
          </w:p>
          <w:p>
            <w:pPr>
              <w:pStyle w:val="4"/>
              <w:spacing w:after="120"/>
              <w:jc w:val="both"/>
            </w:pPr>
            <w:r>
              <w:rPr>
                <w:rFonts w:ascii="宋体" w:hAnsi="宋体" w:eastAsia="宋体" w:cs="宋体"/>
                <w:sz w:val="24"/>
              </w:rPr>
              <w:t>（9）以上未明确和需要补充的消杀服务范围和内容，比照相关标准执行。</w:t>
            </w:r>
          </w:p>
          <w:p>
            <w:pPr>
              <w:pStyle w:val="4"/>
            </w:pPr>
            <w:r>
              <w:rPr>
                <w:rFonts w:ascii="宋体" w:hAnsi="宋体" w:eastAsia="宋体" w:cs="宋体"/>
                <w:b/>
                <w:sz w:val="28"/>
              </w:rPr>
              <w:t>3、消杀服务需投入药械数量及要求</w:t>
            </w:r>
          </w:p>
          <w:p>
            <w:pPr>
              <w:pStyle w:val="4"/>
              <w:spacing w:after="120"/>
              <w:jc w:val="both"/>
            </w:pPr>
            <w:r>
              <w:rPr>
                <w:rFonts w:ascii="宋体" w:hAnsi="宋体" w:eastAsia="宋体" w:cs="宋体"/>
                <w:b/>
                <w:sz w:val="24"/>
              </w:rPr>
              <w:t>3.1药械数量及要求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630"/>
              <w:gridCol w:w="2205"/>
              <w:gridCol w:w="735"/>
              <w:gridCol w:w="421"/>
              <w:gridCol w:w="84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1"/>
                    </w:rPr>
                    <w:t>序号</w:t>
                  </w:r>
                </w:p>
              </w:tc>
              <w:tc>
                <w:tcPr>
                  <w:tcW w:w="3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1"/>
                    </w:rPr>
                    <w:t>药械名称</w:t>
                  </w:r>
                </w:p>
              </w:tc>
              <w:tc>
                <w:tcPr>
                  <w:tcW w:w="7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1"/>
                    </w:rPr>
                    <w:t>技术要求</w:t>
                  </w:r>
                </w:p>
              </w:tc>
              <w:tc>
                <w:tcPr>
                  <w:tcW w:w="2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1"/>
                    </w:rPr>
                    <w:t>数量</w:t>
                  </w:r>
                </w:p>
              </w:tc>
              <w:tc>
                <w:tcPr>
                  <w:tcW w:w="2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1"/>
                    </w:rPr>
                    <w:t>单位</w:t>
                  </w:r>
                </w:p>
              </w:tc>
              <w:tc>
                <w:tcPr>
                  <w:tcW w:w="7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1</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水泥毒饵站</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≥25cm×35cm，具体建设范围及建设要求详见附件1。</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1000</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个</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1"/>
                    </w:rPr>
                    <w:t>成交供应商根据消杀服务情况、消杀范围内各场所实际情况及采购人要求安装。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2</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水泥毒饵站维护</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对辖区内既往安装的毒饵站表面清理维护，对残缺标识进行修补，对脱落瓷砖进行补贴。</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1</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项</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1"/>
                    </w:rPr>
                    <w:t>具体时间为合同签订后至2024年12月底。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3</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粘鼠板</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展开后有效粘胶面长和宽分别≥34cm╳21cm；粘胶净含量≥40g。</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4000</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张</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1"/>
                    </w:rPr>
                    <w:t>成交供应商发放到街镇、社区（具体发放时间及数量由采购方根据实际情况规定），成交供应商确保药品质量、安全。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4</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粘蝇纸</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打开尺寸≥25cm╳18cm。</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10000</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张</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1"/>
                    </w:rPr>
                    <w:t>成交供应商发放到街镇、社区（具体发放时间及数量由采购方根据实际情况规定），成交供应商确保药品质量、安全。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5</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杀蟑胶饵</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5克/支。</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1000</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支</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1"/>
                    </w:rPr>
                    <w:t>成交供应商发放到街镇、社区（具体发放时间及数量由采购方根据实际情况规定），成交供应商确保药品质量、安全。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6</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小型室内灭蚊蝇灯</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长宽厚≥40cm×24cm×6cm，具体要求详见附件2。</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600</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台</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1"/>
                    </w:rPr>
                    <w:t>成交供应商按照采购人及文件要求安装。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7</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户外灭蚊灯</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长厚高≥95cm×20cm×140cm，具体要求见附件3。</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20</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台</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1"/>
                    </w:rPr>
                    <w:t>成交供应商按照采购人及文件要求安装。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8</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户外灭蚊灯的维修、维护</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对既有和新建大型户外灭蚊灯进行维修、维护，按时清理保持清洁，对破损灭蚊灯箱广告及时更换，确保正常使用（包括已过质保期的大型户外灭蚊灯）</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1</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项</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具体时间为合同签订后至2024年12月底。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9</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溴敌隆毒饵</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有效成分为溴敌隆，含量为0.005%</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2500</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公斤</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成交供应商根据消杀服务情况进行投放。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10</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吡丙醚杀虫颗粒</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有效成分为吡丙醚，含量为0.5%</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120</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公斤</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1"/>
                    </w:rPr>
                    <w:t>成交供应商根据消杀服务情况进行投放。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11</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高氯残杀威悬浮剂</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有效成分为高效氯氰菊酯、残杀威，含量大于或等于8%</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3110</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公斤</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成交供应商消杀时使用。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12</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苯氰残杀威乳油</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有效成份为右旋苯醚氰菊酯，残杀威，含量大于或等于10%</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1000</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公斤</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成交供应商消杀时使用。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13</w:t>
                  </w:r>
                </w:p>
              </w:tc>
              <w:tc>
                <w:tcPr>
                  <w:tcW w:w="3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吡虫啉杀蟑饵剂</w:t>
                  </w:r>
                </w:p>
              </w:tc>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有效成分为吡虫啉，含量大于或等于2%</w:t>
                  </w:r>
                </w:p>
              </w:tc>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90</w:t>
                  </w:r>
                </w:p>
              </w:tc>
              <w:tc>
                <w:tcPr>
                  <w:tcW w:w="2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公斤</w:t>
                  </w:r>
                </w:p>
              </w:tc>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成交供应商根据消杀服务情况进行投放。</w:t>
                  </w:r>
                </w:p>
              </w:tc>
            </w:tr>
          </w:tbl>
          <w:p>
            <w:pPr>
              <w:pStyle w:val="4"/>
              <w:spacing w:after="120"/>
              <w:jc w:val="both"/>
            </w:pPr>
            <w:r>
              <w:rPr>
                <w:rFonts w:ascii="宋体" w:hAnsi="宋体" w:eastAsia="宋体" w:cs="宋体"/>
                <w:b/>
                <w:sz w:val="24"/>
              </w:rPr>
              <w:t>3.2药械使用及安装要求</w:t>
            </w:r>
          </w:p>
          <w:p>
            <w:pPr>
              <w:pStyle w:val="4"/>
              <w:spacing w:after="120"/>
              <w:jc w:val="both"/>
            </w:pPr>
            <w:r>
              <w:rPr>
                <w:rFonts w:ascii="宋体" w:hAnsi="宋体" w:eastAsia="宋体" w:cs="宋体"/>
                <w:sz w:val="24"/>
              </w:rPr>
              <w:t>（1）所有药品及器械应于合同后签订15日内一次性提供，由采购人组织统一核查；</w:t>
            </w:r>
          </w:p>
          <w:p>
            <w:pPr>
              <w:pStyle w:val="4"/>
              <w:spacing w:after="120"/>
              <w:jc w:val="both"/>
            </w:pPr>
            <w:r>
              <w:rPr>
                <w:rFonts w:ascii="宋体" w:hAnsi="宋体" w:eastAsia="宋体" w:cs="宋体"/>
                <w:sz w:val="24"/>
              </w:rPr>
              <w:t>（2）水泥式毒饵站、室内外灭蝇灯安装时间由采购方根据实际情况确定。</w:t>
            </w:r>
          </w:p>
          <w:p>
            <w:pPr>
              <w:pStyle w:val="4"/>
              <w:spacing w:after="120"/>
              <w:jc w:val="both"/>
            </w:pPr>
            <w:r>
              <w:rPr>
                <w:rFonts w:ascii="宋体" w:hAnsi="宋体" w:eastAsia="宋体" w:cs="宋体"/>
                <w:b/>
                <w:sz w:val="24"/>
              </w:rPr>
              <w:t>3.3涉及药品质量要求</w:t>
            </w:r>
          </w:p>
          <w:p>
            <w:pPr>
              <w:pStyle w:val="4"/>
              <w:spacing w:after="120"/>
              <w:jc w:val="both"/>
            </w:pPr>
            <w:r>
              <w:rPr>
                <w:rFonts w:ascii="宋体" w:hAnsi="宋体" w:eastAsia="宋体" w:cs="宋体"/>
                <w:sz w:val="24"/>
              </w:rPr>
              <w:t>（1）成交供应商所选择使用的灭鼠杀虫药品和防制设施（粘鼠板、粘蝇纸、室内外灭蝇灯），必须是低毒高效、符合环保要求且符合国家其它相关管理规定的合格产品。杜绝使用来源不明无“三证”或质量不稳定的卫生杀虫剂（灭蚊蝇药品、杀蟑饵剂），确保灭效和人畜等各项安全，符合绿色环保的有关要求。</w:t>
            </w:r>
          </w:p>
          <w:p>
            <w:pPr>
              <w:pStyle w:val="4"/>
              <w:spacing w:after="120"/>
              <w:jc w:val="both"/>
            </w:pPr>
            <w:r>
              <w:rPr>
                <w:rFonts w:ascii="宋体" w:hAnsi="宋体" w:eastAsia="宋体" w:cs="宋体"/>
                <w:sz w:val="24"/>
              </w:rPr>
              <w:t>（2）成交后合同签订前向采购人提供服务中使用的除“四害”消杀药品（溴敌隆毒饵、吡丙醚杀虫颗粒、高氯残杀威悬浮剂、苯氰残杀威乳油、吡虫啉杀蟑饵剂）厂家的有效农药生产许可证或者农药生产批准文件、农药登记证或农药临时登记证书、农药标准、检验报告的复印件并加盖厂家鲜章，若无法提供视为虚假响应并承担相应法律责任。</w:t>
            </w:r>
          </w:p>
          <w:p>
            <w:pPr>
              <w:pStyle w:val="4"/>
              <w:spacing w:after="120"/>
              <w:jc w:val="both"/>
            </w:pPr>
            <w:r>
              <w:rPr>
                <w:rFonts w:ascii="宋体" w:hAnsi="宋体" w:eastAsia="宋体" w:cs="宋体"/>
                <w:sz w:val="24"/>
              </w:rPr>
              <w:t>（3）成交后合同签订前提供药品厂家针对本项目的药品售后质量保证书（售后质量保证书需载明本项目的项目名称、编号、药品的有效成分、含量、数量、供应药品的生产批号），加盖厂家鲜章。</w:t>
            </w:r>
          </w:p>
          <w:p>
            <w:pPr>
              <w:pStyle w:val="4"/>
              <w:spacing w:after="120"/>
              <w:jc w:val="both"/>
            </w:pPr>
            <w:r>
              <w:rPr>
                <w:rFonts w:ascii="宋体" w:hAnsi="宋体" w:eastAsia="宋体" w:cs="宋体"/>
                <w:sz w:val="24"/>
              </w:rPr>
              <w:t>（4）成交后提供厂家原装、全新、符合用户提出有关质量标准的货物。产品的包装、标签等应符合国家有关要求。货物在开箱检验时必须完好、无破损，配置与装箱单相符。货物外观清洁，数量、质量及性能不得低于本项目规定的要求。</w:t>
            </w:r>
          </w:p>
          <w:p>
            <w:pPr>
              <w:pStyle w:val="4"/>
              <w:spacing w:after="120"/>
              <w:jc w:val="both"/>
            </w:pPr>
            <w:r>
              <w:rPr>
                <w:rFonts w:ascii="宋体" w:hAnsi="宋体" w:eastAsia="宋体" w:cs="宋体"/>
                <w:sz w:val="24"/>
              </w:rPr>
              <w:t>（5）对于影响货物正常工作的必要组成部分，无论在技术规范中指出与否，成交供应商都应提供，并在响应文件中明确列出。</w:t>
            </w:r>
          </w:p>
          <w:p>
            <w:pPr>
              <w:pStyle w:val="4"/>
              <w:spacing w:after="120"/>
              <w:jc w:val="both"/>
            </w:pPr>
            <w:r>
              <w:rPr>
                <w:rFonts w:ascii="宋体" w:hAnsi="宋体" w:eastAsia="宋体" w:cs="宋体"/>
                <w:sz w:val="24"/>
              </w:rPr>
              <w:t>（6）成交供应商竞标时所提供的货物如在实际供货时已经停产(不列入该厂家当时的产品系统)，又未能按原价提供更优质的货物，则按违约处理。</w:t>
            </w:r>
          </w:p>
          <w:p>
            <w:pPr>
              <w:pStyle w:val="4"/>
              <w:spacing w:after="120"/>
              <w:jc w:val="both"/>
            </w:pPr>
            <w:r>
              <w:rPr>
                <w:rFonts w:ascii="宋体" w:hAnsi="宋体" w:eastAsia="宋体" w:cs="宋体"/>
                <w:sz w:val="24"/>
              </w:rPr>
              <w:t>（7）成交供应商在实际供货时，若被发现提供的货物未能达到采购文件和响应文件中的有关要求，将按有关法规进行处罚，采购人将有权单方面终止合同的执行，并追究因成交方所提供的未达到所承诺准确率产品而产生的所有损失和责任。</w:t>
            </w:r>
          </w:p>
          <w:p>
            <w:pPr>
              <w:pStyle w:val="4"/>
              <w:numPr>
                <w:ilvl w:val="0"/>
                <w:numId w:val="1"/>
              </w:numPr>
            </w:pPr>
            <w:r>
              <w:rPr>
                <w:rFonts w:ascii="宋体" w:hAnsi="宋体" w:eastAsia="宋体" w:cs="宋体"/>
                <w:b/>
                <w:sz w:val="28"/>
              </w:rPr>
              <w:t>病媒生物防制设备要求</w:t>
            </w:r>
          </w:p>
          <w:p>
            <w:pPr>
              <w:pStyle w:val="4"/>
              <w:spacing w:after="120"/>
              <w:jc w:val="both"/>
            </w:pPr>
            <w:r>
              <w:rPr>
                <w:rFonts w:ascii="宋体" w:hAnsi="宋体" w:eastAsia="宋体" w:cs="宋体"/>
                <w:sz w:val="24"/>
              </w:rPr>
              <w:t>（1）具备消杀车辆≥2辆；具备热烟雾机≥6台；具备超低容量喷雾器≥10台；具备机动/电动背负式喷雾器≥10台；具备车载式/手推式喷雾器≥6台。</w:t>
            </w:r>
          </w:p>
          <w:p>
            <w:pPr>
              <w:pStyle w:val="4"/>
              <w:numPr>
                <w:ilvl w:val="0"/>
                <w:numId w:val="1"/>
              </w:numPr>
            </w:pPr>
            <w:r>
              <w:rPr>
                <w:rFonts w:ascii="宋体" w:hAnsi="宋体" w:eastAsia="宋体" w:cs="宋体"/>
                <w:b/>
                <w:sz w:val="28"/>
              </w:rPr>
              <w:t>安全及用药要求</w:t>
            </w:r>
          </w:p>
          <w:p>
            <w:pPr>
              <w:pStyle w:val="4"/>
            </w:pPr>
            <w:r>
              <w:rPr>
                <w:rFonts w:ascii="宋体" w:hAnsi="宋体" w:eastAsia="宋体" w:cs="宋体"/>
                <w:b/>
                <w:sz w:val="28"/>
              </w:rPr>
              <w:t>1、安全要求</w:t>
            </w:r>
          </w:p>
          <w:p>
            <w:pPr>
              <w:pStyle w:val="4"/>
              <w:jc w:val="left"/>
            </w:pPr>
            <w:r>
              <w:rPr>
                <w:rFonts w:ascii="宋体" w:hAnsi="宋体" w:eastAsia="宋体" w:cs="宋体"/>
                <w:sz w:val="24"/>
              </w:rPr>
              <w:t>（1）灭鼠：成交供应商投放灭鼠毒饵时，要通过口头宣传和张贴灭鼠安全告知的方式，提醒市民，看管好家中小孩、家禽家畜和宠物，有效避免误食鼠药中毒事故的发生；在对雨水地漏排水口等重点地方进行灭鼠投药时，要注意设置安全警示标志，安全操作。投药完毕后，要盖好地漏排水口，防止意外事故发生。</w:t>
            </w:r>
          </w:p>
          <w:p>
            <w:pPr>
              <w:pStyle w:val="4"/>
              <w:jc w:val="left"/>
            </w:pPr>
            <w:r>
              <w:rPr>
                <w:rFonts w:ascii="宋体" w:hAnsi="宋体" w:eastAsia="宋体" w:cs="宋体"/>
                <w:sz w:val="24"/>
              </w:rPr>
              <w:t>（2）灭蚊、蝇、蟑螂：施药人员在操作过程中要做好个人安全防护，有效防止施药对食品、饮用水、鱼池（溏）造成的污染。使用热烟雾机进行喷烟（雾）作业时，应远离易燃易爆环境，严防火灾、爆炸等意外事故发生；使用胶饵、药饵、药液灭蟑螂时，药物不能直接使用在食品上，严防污染食品；喷洒灭蟑螂药液时，施药人员在操作过程中要做好个人安全防护，防止发生药液经呼吸道和皮肤吸入中毒事故。</w:t>
            </w:r>
          </w:p>
          <w:p>
            <w:pPr>
              <w:pStyle w:val="4"/>
              <w:jc w:val="left"/>
            </w:pPr>
            <w:r>
              <w:rPr>
                <w:rFonts w:ascii="宋体" w:hAnsi="宋体" w:eastAsia="宋体" w:cs="宋体"/>
                <w:sz w:val="24"/>
              </w:rPr>
              <w:t>（3）消杀公司作业车辆在江阳区作业时，要遵守当地交警部门的要求和规定，防止发生交通事故。</w:t>
            </w:r>
          </w:p>
          <w:p>
            <w:pPr>
              <w:pStyle w:val="4"/>
              <w:jc w:val="left"/>
            </w:pPr>
            <w:r>
              <w:rPr>
                <w:rFonts w:ascii="宋体" w:hAnsi="宋体" w:eastAsia="宋体" w:cs="宋体"/>
                <w:sz w:val="24"/>
              </w:rPr>
              <w:t>（4）成交供应商确保消杀人员的工作规范，如工作中出现职业伤害、工伤、经济赔偿、民事纠纷、刑事责任等，由成交供应商全部负责。</w:t>
            </w:r>
          </w:p>
          <w:p>
            <w:pPr>
              <w:pStyle w:val="4"/>
            </w:pPr>
            <w:r>
              <w:rPr>
                <w:rFonts w:ascii="宋体" w:hAnsi="宋体" w:eastAsia="宋体" w:cs="宋体"/>
                <w:b/>
                <w:sz w:val="28"/>
              </w:rPr>
              <w:t>2、用药要求</w:t>
            </w:r>
          </w:p>
          <w:p>
            <w:pPr>
              <w:pStyle w:val="4"/>
              <w:jc w:val="left"/>
            </w:pPr>
            <w:r>
              <w:rPr>
                <w:rFonts w:ascii="宋体" w:hAnsi="宋体" w:eastAsia="宋体" w:cs="宋体"/>
                <w:sz w:val="24"/>
              </w:rPr>
              <w:t>（1）成交供应商所选择使用的灭鼠杀虫药物，必须是低毒高效、符合环保要求且符合国家其它相关管理规定的合格产品。</w:t>
            </w:r>
          </w:p>
          <w:p>
            <w:pPr>
              <w:pStyle w:val="4"/>
              <w:jc w:val="left"/>
            </w:pPr>
            <w:r>
              <w:rPr>
                <w:rFonts w:ascii="宋体" w:hAnsi="宋体" w:eastAsia="宋体" w:cs="宋体"/>
                <w:sz w:val="24"/>
              </w:rPr>
              <w:t>（2）成交供应商在投放鼠药前必须委托第三方专业机构完成老鼠的适口性调查，并向采购方提供适口性调查报告，再根据老鼠适口性施放鼠药。</w:t>
            </w:r>
          </w:p>
          <w:p>
            <w:pPr>
              <w:pStyle w:val="4"/>
              <w:jc w:val="left"/>
            </w:pPr>
            <w:r>
              <w:rPr>
                <w:rFonts w:ascii="宋体" w:hAnsi="宋体" w:eastAsia="宋体" w:cs="宋体"/>
                <w:sz w:val="24"/>
              </w:rPr>
              <w:t>（3）使用灭鼠杀虫药物，必须按使用说明规范操作。严禁使用违禁药和伪劣产品。投放、喷洒灭鼠杀虫药物的过程中，要做好用药安全，进行安全告知，落实安全防范措施，切实防止因工作失误造成环境污染、食品污染和中毒事故。凡因服务方在服务中造成用药安全事故和所涉及到的相关赔偿责任均由服务方全权负责。</w:t>
            </w:r>
          </w:p>
          <w:p>
            <w:pPr>
              <w:pStyle w:val="4"/>
              <w:numPr>
                <w:ilvl w:val="0"/>
                <w:numId w:val="1"/>
              </w:numPr>
            </w:pPr>
            <w:r>
              <w:rPr>
                <w:rFonts w:ascii="宋体" w:hAnsi="宋体" w:eastAsia="宋体" w:cs="宋体"/>
                <w:b/>
                <w:sz w:val="30"/>
              </w:rPr>
              <w:t>除“四害”孳生地三防设施反馈</w:t>
            </w:r>
            <w:r>
              <w:rPr>
                <w:rFonts w:ascii="宋体" w:hAnsi="宋体" w:eastAsia="宋体" w:cs="宋体"/>
                <w:b/>
                <w:sz w:val="28"/>
              </w:rPr>
              <w:t>要求</w:t>
            </w:r>
          </w:p>
          <w:p>
            <w:pPr>
              <w:pStyle w:val="4"/>
              <w:jc w:val="left"/>
            </w:pPr>
            <w:r>
              <w:rPr>
                <w:rFonts w:ascii="宋体" w:hAnsi="宋体" w:eastAsia="宋体" w:cs="宋体"/>
                <w:sz w:val="24"/>
              </w:rPr>
              <w:t>（1）成交供应商在除“四害”工作中，应同步开展目标区域“四害”孳生地全覆盖排查，建立排查情况台账，对于发现的“四害”孳生地，应及时向孳生地所在的社区居委会或事权管理的相关部门、责任主体反馈情况，并指导其对“四害”孳生地进行处理。每轮除“四害”工作结束后一周内向采购人提交“四害”孳生地及“三防”设施排查情况台账，台账项目包括孳生地类别、问题描述、处置建议、地址、归属镇街、归属村社（小区），并反馈接收部门或单位签字，必要时附加孳生地照片。</w:t>
            </w:r>
          </w:p>
          <w:p>
            <w:pPr>
              <w:pStyle w:val="4"/>
              <w:numPr>
                <w:ilvl w:val="0"/>
                <w:numId w:val="1"/>
              </w:numPr>
            </w:pPr>
            <w:r>
              <w:rPr>
                <w:rFonts w:ascii="宋体" w:hAnsi="宋体" w:eastAsia="宋体" w:cs="宋体"/>
                <w:b/>
                <w:sz w:val="30"/>
              </w:rPr>
              <w:t>服务质量监督</w:t>
            </w:r>
          </w:p>
          <w:p>
            <w:pPr>
              <w:pStyle w:val="4"/>
              <w:jc w:val="left"/>
            </w:pPr>
            <w:r>
              <w:rPr>
                <w:rFonts w:ascii="宋体" w:hAnsi="宋体" w:eastAsia="宋体" w:cs="宋体"/>
                <w:sz w:val="24"/>
              </w:rPr>
              <w:t>（1）采购人在成交供应商实施服务过程中，将派相关人员对其灭鼠杀虫药械、设施组织到位情况进行检查，对工作组织实施情况进行不定期抽查和监督。双方一同通过走访和现场检查的方式，对约定范围的街道、社区、居民住宅小区（院落）等受服务对象的满意率和现场投放、喷洒灭鼠杀虫药和防制设施的到位率进行考核。</w:t>
            </w:r>
          </w:p>
          <w:p>
            <w:pPr>
              <w:pStyle w:val="4"/>
              <w:jc w:val="left"/>
            </w:pPr>
            <w:r>
              <w:rPr>
                <w:rFonts w:ascii="宋体" w:hAnsi="宋体" w:eastAsia="宋体" w:cs="宋体"/>
                <w:sz w:val="24"/>
              </w:rPr>
              <w:t>（2）成交供应商须采取网格化的作业方式，分街道逐一对每个社区范围内应实施服务环境进行按质、按量、按时、全面到位的灭鼠、灭蚊蝇、灭蟑螂施药。进入各社区开展服务时，必须联系社区居委会或事权管理的相关部门安排有关人员带路，负责做好各服务对象名称、地址、联系人、联系电话、灭鼠、灭蚊蝇、灭蟑螂施药的登记，自觉接受带路人员对执行服务合同工作质量的监督和评价。对每项、每次服务结束后，应有带路人员的签字认可，并将经审核签字的登记情况汇总后及时送达采购人。</w:t>
            </w:r>
          </w:p>
          <w:p>
            <w:pPr>
              <w:pStyle w:val="4"/>
              <w:jc w:val="left"/>
            </w:pPr>
            <w:r>
              <w:rPr>
                <w:rFonts w:ascii="宋体" w:hAnsi="宋体" w:eastAsia="宋体" w:cs="宋体"/>
                <w:sz w:val="24"/>
              </w:rPr>
              <w:t>（3）成交供应商指定一名工作人员为本项目现场负责人，现场负责人在行动期间要与采购方协商沟通好工作，合理分配安排队伍人员，未经采购方同意不得擅自离开消杀工作范围。</w:t>
            </w:r>
          </w:p>
          <w:p>
            <w:pPr>
              <w:pStyle w:val="4"/>
              <w:jc w:val="left"/>
            </w:pPr>
            <w:r>
              <w:rPr>
                <w:rFonts w:ascii="宋体" w:hAnsi="宋体" w:eastAsia="宋体" w:cs="宋体"/>
                <w:sz w:val="24"/>
              </w:rPr>
              <w:t>（4）成交供应商在项目所在地须设置有项目部并配备专业合格库房（如未设置，须在合同签订后5日内设立）。</w:t>
            </w:r>
          </w:p>
          <w:p>
            <w:pPr>
              <w:pStyle w:val="4"/>
              <w:numPr>
                <w:ilvl w:val="0"/>
                <w:numId w:val="1"/>
              </w:numPr>
            </w:pPr>
            <w:r>
              <w:rPr>
                <w:rFonts w:ascii="宋体" w:hAnsi="宋体" w:eastAsia="宋体" w:cs="宋体"/>
                <w:b/>
                <w:sz w:val="30"/>
              </w:rPr>
              <w:t>考核标准</w:t>
            </w:r>
          </w:p>
          <w:p>
            <w:pPr>
              <w:pStyle w:val="4"/>
              <w:jc w:val="left"/>
            </w:pPr>
            <w:r>
              <w:rPr>
                <w:rFonts w:ascii="宋体" w:hAnsi="宋体" w:eastAsia="宋体" w:cs="宋体"/>
                <w:sz w:val="24"/>
              </w:rPr>
              <w:t>（1）经江阳区疾控中心监测考核，消杀范围内的鼠、蚊、蝇、蟑螂密度要达到国家病媒生物密度控制水平标准及要求，并向采购方及江阳区疾控中心提供效果评估报告。消杀鼠类不达标将被采购人扣减成交金额的4%，消杀蚊类不达标扣减成交金额的2%，消杀蝇类不达标扣减成交金额的2%，消杀蟑螂类不达标扣减成交金额的2%。</w:t>
            </w:r>
          </w:p>
          <w:p>
            <w:pPr>
              <w:pStyle w:val="4"/>
              <w:jc w:val="left"/>
            </w:pPr>
            <w:r>
              <w:rPr>
                <w:rFonts w:ascii="宋体" w:hAnsi="宋体" w:eastAsia="宋体" w:cs="宋体"/>
                <w:sz w:val="24"/>
              </w:rPr>
              <w:t>（2）通过集中防制，确保除“四害”工作达标，即鼠、蚊、蝇、蟑螂密度达到国家病媒生物密度控制水平C级要求。</w:t>
            </w:r>
          </w:p>
          <w:p>
            <w:pPr>
              <w:pStyle w:val="4"/>
              <w:jc w:val="left"/>
            </w:pPr>
            <w:r>
              <w:rPr>
                <w:rFonts w:ascii="宋体" w:hAnsi="宋体" w:eastAsia="宋体" w:cs="宋体"/>
                <w:sz w:val="24"/>
              </w:rPr>
              <w:t>（3）采购人所在区域迎接病媒生物防制及国卫复审检查时，成交供应商应积极做好合同约定范围内的灭鼠杀虫工作和接受检查的相关准备，确保采购方顺利通过病媒生物防制单项达标复审（评审）及国家、省、市爱卫办的复审（评审）；若因责任范围内的病媒生物防制原因导致未通过各类复审（评审），成交供应商将被采购方扣减服务合同总额的40%。</w:t>
            </w:r>
          </w:p>
          <w:p>
            <w:pPr>
              <w:pStyle w:val="4"/>
              <w:jc w:val="left"/>
            </w:pPr>
            <w:r>
              <w:rPr>
                <w:rFonts w:ascii="宋体" w:hAnsi="宋体" w:eastAsia="宋体" w:cs="宋体"/>
                <w:sz w:val="24"/>
              </w:rPr>
              <w:t>（4）成交供应商履行合同期间，采购方将采取定期或随机方式，分别对指定服务范围灭鼠、灭蚊蝇、灭蟑螂工作进行检查考核（具体时间由采购方根据实际确定），供应商未能达到质量要求的，给与书面警告、限期改正，并在限期整改达到合同要求的，扣合同应付金额5%-15%；未在期限内改正，或经过两次整改后仍不能达到合同要求的，即终止合同，余下部分不再执行。</w:t>
            </w:r>
          </w:p>
          <w:p>
            <w:pPr>
              <w:pStyle w:val="4"/>
              <w:jc w:val="left"/>
            </w:pPr>
            <w:r>
              <w:rPr>
                <w:rFonts w:ascii="宋体" w:hAnsi="宋体" w:eastAsia="宋体" w:cs="宋体"/>
                <w:sz w:val="24"/>
              </w:rPr>
              <w:t>（5）成交供应商根据采购方的时间要求，保质保量的提供粘鼠板、粘蝇纸及灭蟑毒饵。如未能按时交货，每拖延一天，须向采购方支付本批次供货金额5％的违约金，计算到交货之日为止。如成交供应商逾期30天仍未交货，采购方有权终止合同，成交供应商须向采购方支付合同金额5％的违约金。</w:t>
            </w:r>
          </w:p>
          <w:p>
            <w:pPr>
              <w:pStyle w:val="4"/>
              <w:jc w:val="left"/>
            </w:pPr>
            <w:r>
              <w:rPr>
                <w:rFonts w:ascii="宋体" w:hAnsi="宋体" w:eastAsia="宋体" w:cs="宋体"/>
                <w:sz w:val="24"/>
              </w:rPr>
              <w:t>（6）按时完成毒饵站和室内外灭蚊蝇灯安装、维修。对安装的水泥毒饵站、灭蝇灯，江阳区爱卫办将组织抽查，以成交供应商提供的台账为依据，随机抽取部分点位查看产品数量及质量，发现数量短缺或质量不达标者，毒饵站按500元/个扣款、小型室内灭蚊蝇灯按800元/扣款、户外灭蚊灯按8000元/个扣款。</w:t>
            </w:r>
          </w:p>
          <w:p>
            <w:pPr>
              <w:pStyle w:val="4"/>
              <w:jc w:val="left"/>
            </w:pPr>
            <w:r>
              <w:rPr>
                <w:rFonts w:ascii="宋体" w:hAnsi="宋体" w:eastAsia="宋体" w:cs="宋体"/>
                <w:sz w:val="24"/>
              </w:rPr>
              <w:t>（7）成交供应商提供药械的品质、性能、技术标准、质量要求不符合合同约定或有轻微瑕疵，采购方有权向成交供应商提出更换要求，成交供应商应在采购方提出之日起30天内免费更换，如经更换，质量仍不符合合同约定的，采购方有权终止合同并不予支付款项。</w:t>
            </w:r>
          </w:p>
          <w:p>
            <w:pPr>
              <w:pStyle w:val="4"/>
            </w:pPr>
            <w:r>
              <w:rPr>
                <w:rFonts w:ascii="宋体" w:hAnsi="宋体" w:eastAsia="宋体" w:cs="宋体"/>
                <w:b/>
                <w:sz w:val="28"/>
              </w:rPr>
              <w:t>附件1 水泥毒饵站</w:t>
            </w:r>
          </w:p>
          <w:p>
            <w:pPr>
              <w:pStyle w:val="4"/>
            </w:pPr>
            <w:r>
              <w:rPr>
                <w:rFonts w:ascii="宋体" w:hAnsi="宋体" w:eastAsia="宋体" w:cs="宋体"/>
                <w:b/>
                <w:sz w:val="24"/>
              </w:rPr>
              <w:t>1、建设范围</w:t>
            </w:r>
          </w:p>
          <w:p>
            <w:pPr>
              <w:pStyle w:val="4"/>
            </w:pPr>
            <w:r>
              <w:rPr>
                <w:rFonts w:ascii="宋体" w:hAnsi="宋体" w:eastAsia="宋体" w:cs="宋体"/>
                <w:sz w:val="24"/>
              </w:rPr>
              <w:t>（1）重点特殊场所：食品生产加工贮存流通场所、粮库、屠宰场、禽类宰杀点、农贸市场、大中型单位食堂、大中型超市、废品收购站、公共厕所、垃圾收集点、垃圾处理场、车站、宾馆、医疗卫生机构、公园、公共绿化带、城中村、“三无”院落、居民小区等。</w:t>
            </w:r>
          </w:p>
          <w:p>
            <w:pPr>
              <w:pStyle w:val="4"/>
            </w:pPr>
            <w:r>
              <w:rPr>
                <w:rFonts w:ascii="宋体" w:hAnsi="宋体" w:eastAsia="宋体" w:cs="宋体"/>
                <w:sz w:val="24"/>
              </w:rPr>
              <w:t>（2）鼠患长期较为严重的企事业单位或区域。</w:t>
            </w:r>
          </w:p>
          <w:p>
            <w:pPr>
              <w:pStyle w:val="4"/>
            </w:pPr>
            <w:r>
              <w:rPr>
                <w:rFonts w:ascii="宋体" w:hAnsi="宋体" w:eastAsia="宋体" w:cs="宋体"/>
                <w:b/>
                <w:sz w:val="24"/>
              </w:rPr>
              <w:t>2、建设要求</w:t>
            </w:r>
          </w:p>
          <w:p>
            <w:pPr>
              <w:pStyle w:val="4"/>
            </w:pPr>
            <w:r>
              <w:rPr>
                <w:rFonts w:ascii="宋体" w:hAnsi="宋体" w:eastAsia="宋体" w:cs="宋体"/>
                <w:b/>
                <w:sz w:val="24"/>
              </w:rPr>
              <w:t>2.1标准</w:t>
            </w:r>
          </w:p>
          <w:p>
            <w:pPr>
              <w:pStyle w:val="4"/>
            </w:pPr>
            <w:r>
              <w:rPr>
                <w:rFonts w:ascii="宋体" w:hAnsi="宋体" w:eastAsia="宋体" w:cs="宋体"/>
                <w:sz w:val="24"/>
              </w:rPr>
              <w:t>（1）长度：水泥式饵站长度≥35厘米。孔径：投饵孔直径7.5-11厘米。</w:t>
            </w:r>
          </w:p>
          <w:p>
            <w:pPr>
              <w:pStyle w:val="4"/>
            </w:pPr>
            <w:r>
              <w:rPr>
                <w:rFonts w:ascii="宋体" w:hAnsi="宋体" w:eastAsia="宋体" w:cs="宋体"/>
                <w:sz w:val="24"/>
              </w:rPr>
              <w:t>（2）离地靠墙：饵孔靠墙，离墙≤3厘米；离地：1.5厘米-3厘米。</w:t>
            </w:r>
          </w:p>
          <w:p>
            <w:pPr>
              <w:pStyle w:val="4"/>
            </w:pPr>
            <w:r>
              <w:rPr>
                <w:rFonts w:ascii="宋体" w:hAnsi="宋体" w:eastAsia="宋体" w:cs="宋体"/>
                <w:sz w:val="24"/>
              </w:rPr>
              <w:t>（3）防水：两个饵孔上沿有防止雨水飘落、滴入饵孔的设置。固定：饵盒（站）安装时用水泥等固定，不移动。</w:t>
            </w:r>
          </w:p>
          <w:p>
            <w:pPr>
              <w:pStyle w:val="4"/>
            </w:pPr>
            <w:r>
              <w:rPr>
                <w:rFonts w:ascii="宋体" w:hAnsi="宋体" w:eastAsia="宋体" w:cs="宋体"/>
                <w:sz w:val="24"/>
              </w:rPr>
              <w:t>（4）标识：饵盒（站）上应设有明显的警示标识及解毒提示，落款有建造年份及江阳区爱卫办。标识建议使用红色。标识建议内容：“灭鼠毒饵站 1.此物有毒,请勿动！</w:t>
            </w:r>
            <w:r>
              <w:t xml:space="preserve"> </w:t>
            </w:r>
            <w:r>
              <w:rPr>
                <w:rFonts w:ascii="宋体" w:hAnsi="宋体" w:eastAsia="宋体" w:cs="宋体"/>
                <w:sz w:val="24"/>
              </w:rPr>
              <w:t>2.解毒药物维生素K1。 2023年江阳区爱卫办”。</w:t>
            </w:r>
          </w:p>
          <w:p>
            <w:pPr>
              <w:pStyle w:val="4"/>
            </w:pPr>
            <w:r>
              <w:rPr>
                <w:rFonts w:ascii="宋体" w:hAnsi="宋体" w:eastAsia="宋体" w:cs="宋体"/>
                <w:sz w:val="24"/>
              </w:rPr>
              <w:t>（5）水泥毒饵站必须保证为实心水泥体，2年时间内不得出现水泥脱落或空鼓现象。</w:t>
            </w:r>
          </w:p>
          <w:p>
            <w:pPr>
              <w:pStyle w:val="4"/>
            </w:pPr>
            <w:r>
              <w:rPr>
                <w:rFonts w:ascii="宋体" w:hAnsi="宋体" w:eastAsia="宋体" w:cs="宋体"/>
                <w:sz w:val="24"/>
              </w:rPr>
              <w:t>（6）详细登记设置地点、数量，保证设施完好。</w:t>
            </w:r>
          </w:p>
          <w:p>
            <w:pPr>
              <w:pStyle w:val="4"/>
            </w:pPr>
            <w:r>
              <w:rPr>
                <w:rFonts w:ascii="宋体" w:hAnsi="宋体" w:eastAsia="宋体" w:cs="宋体"/>
                <w:b/>
                <w:sz w:val="24"/>
              </w:rPr>
              <w:t>2.2选址</w:t>
            </w:r>
          </w:p>
          <w:p>
            <w:pPr>
              <w:pStyle w:val="4"/>
            </w:pPr>
            <w:r>
              <w:rPr>
                <w:rFonts w:ascii="宋体" w:hAnsi="宋体" w:eastAsia="宋体" w:cs="宋体"/>
                <w:sz w:val="24"/>
              </w:rPr>
              <w:t>（1）饵盒（站）选址要科学，要选在鼠洞边、下水道出口附近、墙根、墙角、以及楼梯背面隐蔽处等老鼠经常爬过的鼠道上。饵站分布均匀、坚固耐用，室外安装尽量在雨棚或屋檐底下以保证防水防潮。</w:t>
            </w:r>
          </w:p>
          <w:p>
            <w:pPr>
              <w:pStyle w:val="4"/>
            </w:pPr>
            <w:r>
              <w:rPr>
                <w:rFonts w:ascii="宋体" w:hAnsi="宋体" w:eastAsia="宋体" w:cs="宋体"/>
                <w:b/>
                <w:sz w:val="24"/>
              </w:rPr>
              <w:t>2.3数量要求</w:t>
            </w:r>
          </w:p>
          <w:p>
            <w:pPr>
              <w:pStyle w:val="4"/>
            </w:pPr>
            <w:r>
              <w:rPr>
                <w:rFonts w:ascii="宋体" w:hAnsi="宋体" w:eastAsia="宋体" w:cs="宋体"/>
                <w:sz w:val="24"/>
              </w:rPr>
              <w:t>（1）重点特殊场所：每间隔15-20米设置1个；垃圾收集点、公厕等周围至少设置1个。</w:t>
            </w:r>
          </w:p>
          <w:p>
            <w:pPr>
              <w:pStyle w:val="4"/>
            </w:pPr>
            <w:r>
              <w:rPr>
                <w:rFonts w:ascii="宋体" w:hAnsi="宋体" w:eastAsia="宋体" w:cs="宋体"/>
                <w:sz w:val="24"/>
              </w:rPr>
              <w:t>（2）一般单位：可以根据鼠患的实际情况，20-30米设置1个。</w:t>
            </w:r>
          </w:p>
          <w:p>
            <w:pPr>
              <w:pStyle w:val="4"/>
              <w:spacing w:after="120"/>
              <w:jc w:val="both"/>
            </w:pPr>
            <w:r>
              <w:rPr>
                <w:rFonts w:ascii="宋体" w:hAnsi="宋体" w:eastAsia="宋体" w:cs="宋体"/>
                <w:sz w:val="24"/>
              </w:rPr>
              <w:t>（3）鼠患严重的地方：可酌情增加毒饵盒（站）的数量。</w:t>
            </w:r>
          </w:p>
          <w:p>
            <w:pPr>
              <w:pStyle w:val="4"/>
              <w:spacing w:after="120"/>
              <w:jc w:val="center"/>
            </w:pPr>
          </w:p>
          <w:p>
            <w:pPr>
              <w:pStyle w:val="4"/>
              <w:spacing w:after="120"/>
              <w:jc w:val="both"/>
            </w:pPr>
            <w:r>
              <w:t xml:space="preserve"> </w:t>
            </w:r>
          </w:p>
          <w:p>
            <w:pPr>
              <w:pStyle w:val="4"/>
            </w:pPr>
            <w:r>
              <w:rPr>
                <w:rFonts w:ascii="宋体" w:hAnsi="宋体" w:eastAsia="宋体" w:cs="宋体"/>
                <w:b/>
                <w:sz w:val="28"/>
              </w:rPr>
              <w:t>附件2 小型室内灭蚊蝇灯</w:t>
            </w:r>
          </w:p>
          <w:p>
            <w:pPr>
              <w:pStyle w:val="4"/>
            </w:pPr>
            <w:r>
              <w:rPr>
                <w:rFonts w:ascii="宋体" w:hAnsi="宋体" w:eastAsia="宋体" w:cs="宋体"/>
                <w:b/>
                <w:sz w:val="24"/>
              </w:rPr>
              <w:t>1、安装范围及要求</w:t>
            </w:r>
          </w:p>
          <w:p>
            <w:pPr>
              <w:pStyle w:val="4"/>
            </w:pPr>
            <w:r>
              <w:rPr>
                <w:rFonts w:ascii="宋体" w:hAnsi="宋体" w:eastAsia="宋体" w:cs="宋体"/>
                <w:sz w:val="24"/>
              </w:rPr>
              <w:t>（1）位置：①厨房（食品操作间、熟食售卖间）；②餐厅；③厕所；④宰杀点；⑤市场、超市生鲜区。</w:t>
            </w:r>
          </w:p>
          <w:p>
            <w:pPr>
              <w:pStyle w:val="4"/>
            </w:pPr>
            <w:r>
              <w:rPr>
                <w:rFonts w:ascii="宋体" w:hAnsi="宋体" w:eastAsia="宋体" w:cs="宋体"/>
                <w:sz w:val="24"/>
              </w:rPr>
              <w:t>（2）数量：①厨房，每15平方米设置一个；②餐厅，每30平方米设置一个；③厕所，男、女厕屋至少各一个。其他根据实际情况设置。</w:t>
            </w:r>
          </w:p>
          <w:p>
            <w:pPr>
              <w:pStyle w:val="4"/>
            </w:pPr>
            <w:r>
              <w:rPr>
                <w:rFonts w:ascii="宋体" w:hAnsi="宋体" w:eastAsia="宋体" w:cs="宋体"/>
                <w:sz w:val="24"/>
              </w:rPr>
              <w:t>（3）安装：①悬挂或侧向垂直安装在墙体上（使灯体两侧均不靠墙，两侧均可诱杀蚊蝇），1.5米≤高度≤2米。②灯体正下方1米半径内，不得有操作台、食品、用具等（防止蚊蝇被电击时，如果弹落下来而造成的污染）。</w:t>
            </w:r>
          </w:p>
          <w:p>
            <w:pPr>
              <w:pStyle w:val="4"/>
            </w:pPr>
            <w:r>
              <w:rPr>
                <w:rFonts w:ascii="宋体" w:hAnsi="宋体" w:eastAsia="宋体" w:cs="宋体"/>
                <w:sz w:val="24"/>
              </w:rPr>
              <w:t>（4）数量分配：在采购方指定的农贸市场、公厕及五小行业等，安装小型室内灭蚊蝇灯共500个。其中农贸市场安装200台，小餐饮等五小行业200台，公厕及垃圾站40台，机关事业单位60台，剩余100台储备在江阳区爱卫办应急使用。</w:t>
            </w:r>
          </w:p>
          <w:p>
            <w:pPr>
              <w:pStyle w:val="4"/>
            </w:pPr>
            <w:r>
              <w:rPr>
                <w:rFonts w:ascii="宋体" w:hAnsi="宋体" w:eastAsia="宋体" w:cs="宋体"/>
                <w:b/>
                <w:sz w:val="24"/>
              </w:rPr>
              <w:t>2、技术要求</w:t>
            </w:r>
          </w:p>
          <w:p>
            <w:pPr>
              <w:pStyle w:val="4"/>
            </w:pPr>
            <w:r>
              <w:rPr>
                <w:rFonts w:ascii="宋体" w:hAnsi="宋体" w:eastAsia="宋体" w:cs="宋体"/>
                <w:sz w:val="24"/>
              </w:rPr>
              <w:t>（1）类型：电击式；灯管数量：≥4w×2支；质保期2年。</w:t>
            </w:r>
          </w:p>
          <w:p>
            <w:pPr>
              <w:pStyle w:val="4"/>
              <w:jc w:val="both"/>
            </w:pPr>
            <w:r>
              <w:rPr>
                <w:rFonts w:ascii="宋体" w:hAnsi="宋体" w:eastAsia="宋体" w:cs="宋体"/>
                <w:b/>
                <w:sz w:val="28"/>
              </w:rPr>
              <w:t>附件3 户外灭蚊灯</w:t>
            </w:r>
          </w:p>
          <w:p>
            <w:pPr>
              <w:pStyle w:val="4"/>
              <w:jc w:val="both"/>
            </w:pPr>
            <w:r>
              <w:rPr>
                <w:rFonts w:ascii="宋体" w:hAnsi="宋体" w:eastAsia="宋体" w:cs="宋体"/>
                <w:b/>
                <w:sz w:val="24"/>
              </w:rPr>
              <w:t>1.技术要求</w:t>
            </w:r>
          </w:p>
          <w:p>
            <w:pPr>
              <w:pStyle w:val="4"/>
              <w:jc w:val="both"/>
            </w:pPr>
            <w:r>
              <w:rPr>
                <w:rFonts w:ascii="宋体" w:hAnsi="宋体" w:eastAsia="宋体" w:cs="宋体"/>
                <w:sz w:val="24"/>
              </w:rPr>
              <w:t>（1）灯管数量：≥18w×2支、输入电压：220V～240V、输出电压：2500～4000V（电流极小，≤6毫安，对人安全）；覆盖范围：300～500平方米；质保期：2年；（2）灭蚊效果：不仅对蚊子具有诱杀作用，蚊虫高峰季节,一台灭蝇灯一晚可以灭杀数万只蚊虫。同时对飞虫、小黑虫、飞蛾等30多种有害昆虫有引诱灭杀的效果。（3）宣传：成交供应商按照灭蚊灯尺寸大小定制宣传专栏，宣传内容由江阳区爱卫办提供。成交供应商按照尺寸和内容定制后，按照采购人要求进行安装、调试。广告牌上注明“注意安全，请勿触摸”等字样。</w:t>
            </w:r>
          </w:p>
          <w:p>
            <w:pPr>
              <w:pStyle w:val="4"/>
              <w:jc w:val="both"/>
            </w:pPr>
            <w:r>
              <w:rPr>
                <w:rFonts w:ascii="宋体" w:hAnsi="宋体" w:eastAsia="宋体" w:cs="宋体"/>
                <w:sz w:val="24"/>
              </w:rPr>
              <w:t>2.</w:t>
            </w:r>
            <w:r>
              <w:rPr>
                <w:rFonts w:ascii="宋体" w:hAnsi="宋体" w:eastAsia="宋体" w:cs="宋体"/>
                <w:b/>
                <w:sz w:val="24"/>
              </w:rPr>
              <w:t>产品特点</w:t>
            </w:r>
          </w:p>
          <w:p>
            <w:pPr>
              <w:pStyle w:val="4"/>
            </w:pPr>
            <w:r>
              <w:rPr>
                <w:rFonts w:ascii="宋体" w:hAnsi="宋体" w:eastAsia="宋体" w:cs="宋体"/>
                <w:sz w:val="24"/>
              </w:rPr>
              <w:t>（1）全光控技术，超大海报画面，无毒、无yan、无污染、环保，防水、防雨、防锈，手动、光控自动（白天自动关灯、晚上自动开灯），铝合金外壳。</w:t>
            </w:r>
          </w:p>
          <w:p>
            <w:pPr>
              <w:pStyle w:val="4"/>
            </w:pPr>
            <w:r>
              <w:rPr>
                <w:rFonts w:ascii="宋体" w:hAnsi="宋体" w:eastAsia="宋体" w:cs="宋体"/>
                <w:sz w:val="24"/>
              </w:rPr>
              <w:t>（2）产品诱杀源“双光源”，采取大功率的灯管（对人体无影响的宽频光，一米距离测定为0辐射），适应户外大范围的诱杀，灯管确保其波长稳定性及长时间使用不变，选用匹配灯管参数的电子镇流器供电。</w:t>
            </w:r>
          </w:p>
          <w:p>
            <w:pPr>
              <w:pStyle w:val="4"/>
            </w:pPr>
            <w:r>
              <w:rPr>
                <w:rFonts w:ascii="宋体" w:hAnsi="宋体" w:eastAsia="宋体" w:cs="宋体"/>
                <w:sz w:val="24"/>
              </w:rPr>
              <w:t>（3）光控设计，能根据天气自动控制其亮灯及关灯时间。铝合金型材与工程塑料接头拼接。电网、保护网不锈钢材料制造，使用期限长。电流在6个毫安内，对人体不构成安全威胁。</w:t>
            </w:r>
          </w:p>
          <w:p>
            <w:pPr>
              <w:pStyle w:val="4"/>
              <w:ind w:left="240"/>
              <w:jc w:val="right"/>
            </w:pPr>
            <w:r>
              <w:t xml:space="preserve"> </w:t>
            </w:r>
          </w:p>
        </w:tc>
      </w:tr>
    </w:tbl>
    <w:p>
      <w:pPr>
        <w:pStyle w:val="4"/>
      </w:pPr>
    </w:p>
    <w:p>
      <w:pPr>
        <w:pStyle w:val="4"/>
      </w:pPr>
      <w:r>
        <w:t>采购包2：</w:t>
      </w:r>
    </w:p>
    <w:p>
      <w:pPr>
        <w:pStyle w:val="4"/>
      </w:pPr>
    </w:p>
    <w:p>
      <w:pPr>
        <w:pStyle w:val="4"/>
      </w:pPr>
      <w:r>
        <w:t>标的名称：2023年病媒生物防制监测服务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w:t>
            </w:r>
          </w:p>
        </w:tc>
        <w:tc>
          <w:tcPr>
            <w:tcW w:w="2769" w:type="dxa"/>
          </w:tcPr>
          <w:p>
            <w:pPr>
              <w:pStyle w:val="4"/>
            </w:pPr>
            <w:r>
              <w:t>1</w:t>
            </w:r>
          </w:p>
        </w:tc>
        <w:tc>
          <w:tcPr>
            <w:tcW w:w="2769" w:type="dxa"/>
          </w:tcPr>
          <w:p>
            <w:pPr>
              <w:pStyle w:val="4"/>
              <w:numPr>
                <w:ilvl w:val="0"/>
                <w:numId w:val="1"/>
              </w:numPr>
            </w:pPr>
            <w:r>
              <w:rPr>
                <w:rFonts w:ascii="宋体" w:hAnsi="宋体" w:eastAsia="宋体" w:cs="宋体"/>
                <w:b/>
                <w:sz w:val="24"/>
              </w:rPr>
              <w:t>病媒生物监测服务范围</w:t>
            </w:r>
          </w:p>
          <w:p>
            <w:pPr>
              <w:pStyle w:val="4"/>
              <w:ind w:firstLine="480"/>
            </w:pPr>
            <w:r>
              <w:rPr>
                <w:rFonts w:ascii="宋体" w:hAnsi="宋体" w:eastAsia="宋体" w:cs="宋体"/>
                <w:sz w:val="24"/>
              </w:rPr>
              <w:t>覆盖江阳区内的大山坪、南城、北城、华阳、蓝田、茜草、邻玉、泰安、况场9个街道辖区内的所有社区（63个）。其中：</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77"/>
              <w:gridCol w:w="197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tcBorders>
                    <w:top w:val="single" w:color="000000" w:sz="4" w:space="0"/>
                    <w:left w:val="single" w:color="000000" w:sz="4" w:space="0"/>
                    <w:bottom w:val="nil"/>
                    <w:right w:val="nil"/>
                  </w:tcBorders>
                  <w:tcMar>
                    <w:top w:w="0" w:type="dxa"/>
                    <w:left w:w="15" w:type="dxa"/>
                    <w:bottom w:w="0" w:type="dxa"/>
                    <w:right w:w="15" w:type="dxa"/>
                  </w:tcMar>
                  <w:vAlign w:val="top"/>
                </w:tcPr>
                <w:p>
                  <w:pPr>
                    <w:pStyle w:val="4"/>
                    <w:jc w:val="center"/>
                  </w:pPr>
                  <w:r>
                    <w:rPr>
                      <w:rFonts w:ascii="宋体" w:hAnsi="宋体" w:eastAsia="宋体" w:cs="宋体"/>
                      <w:sz w:val="21"/>
                    </w:rPr>
                    <w:t>大山坪街道办</w:t>
                  </w:r>
                </w:p>
                <w:p>
                  <w:pPr>
                    <w:pStyle w:val="4"/>
                    <w:jc w:val="center"/>
                  </w:pPr>
                  <w:r>
                    <w:rPr>
                      <w:rFonts w:ascii="宋体" w:hAnsi="宋体" w:eastAsia="宋体" w:cs="宋体"/>
                      <w:sz w:val="21"/>
                    </w:rPr>
                    <w:t>（9个社区）</w:t>
                  </w:r>
                </w:p>
              </w:tc>
              <w:tc>
                <w:tcPr>
                  <w:tcW w:w="1975" w:type="dxa"/>
                  <w:tcBorders>
                    <w:top w:val="single" w:color="000000" w:sz="4" w:space="0"/>
                    <w:left w:val="single" w:color="000000" w:sz="4" w:space="0"/>
                    <w:bottom w:val="nil"/>
                    <w:right w:val="single" w:color="000000" w:sz="4" w:space="0"/>
                  </w:tcBorders>
                  <w:tcMar>
                    <w:top w:w="0" w:type="dxa"/>
                    <w:left w:w="15" w:type="dxa"/>
                    <w:bottom w:w="0" w:type="dxa"/>
                    <w:right w:w="15" w:type="dxa"/>
                  </w:tcMar>
                  <w:vAlign w:val="top"/>
                </w:tcPr>
                <w:p>
                  <w:pPr>
                    <w:pStyle w:val="4"/>
                    <w:jc w:val="both"/>
                  </w:pPr>
                  <w:r>
                    <w:rPr>
                      <w:rFonts w:ascii="宋体" w:hAnsi="宋体" w:eastAsia="宋体" w:cs="宋体"/>
                      <w:sz w:val="21"/>
                    </w:rPr>
                    <w:t>石马沟、康华苑、龙透关、山岩脑、麻柳湾、纪念标、三道桥、南苑、百子图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tcBorders>
                    <w:top w:val="single" w:color="000000" w:sz="4" w:space="0"/>
                    <w:left w:val="single" w:color="000000" w:sz="4" w:space="0"/>
                    <w:bottom w:val="nil"/>
                    <w:right w:val="nil"/>
                  </w:tcBorders>
                  <w:tcMar>
                    <w:top w:w="0" w:type="dxa"/>
                    <w:left w:w="15" w:type="dxa"/>
                    <w:bottom w:w="0" w:type="dxa"/>
                    <w:right w:w="15" w:type="dxa"/>
                  </w:tcMar>
                  <w:vAlign w:val="top"/>
                </w:tcPr>
                <w:p>
                  <w:pPr>
                    <w:pStyle w:val="4"/>
                    <w:jc w:val="center"/>
                  </w:pPr>
                  <w:r>
                    <w:rPr>
                      <w:rFonts w:ascii="宋体" w:hAnsi="宋体" w:eastAsia="宋体" w:cs="宋体"/>
                      <w:sz w:val="21"/>
                    </w:rPr>
                    <w:t>南城街道办</w:t>
                  </w:r>
                </w:p>
                <w:p>
                  <w:pPr>
                    <w:pStyle w:val="4"/>
                    <w:jc w:val="center"/>
                  </w:pPr>
                  <w:r>
                    <w:rPr>
                      <w:rFonts w:ascii="宋体" w:hAnsi="宋体" w:eastAsia="宋体" w:cs="宋体"/>
                      <w:sz w:val="21"/>
                    </w:rPr>
                    <w:t>（6个社区）</w:t>
                  </w:r>
                </w:p>
              </w:tc>
              <w:tc>
                <w:tcPr>
                  <w:tcW w:w="1975" w:type="dxa"/>
                  <w:tcBorders>
                    <w:top w:val="single" w:color="000000" w:sz="4" w:space="0"/>
                    <w:left w:val="single" w:color="000000" w:sz="4" w:space="0"/>
                    <w:bottom w:val="nil"/>
                    <w:right w:val="single" w:color="000000" w:sz="4" w:space="0"/>
                  </w:tcBorders>
                  <w:tcMar>
                    <w:top w:w="0" w:type="dxa"/>
                    <w:left w:w="15" w:type="dxa"/>
                    <w:bottom w:w="0" w:type="dxa"/>
                    <w:right w:w="15" w:type="dxa"/>
                  </w:tcMar>
                  <w:vAlign w:val="top"/>
                </w:tcPr>
                <w:p>
                  <w:pPr>
                    <w:pStyle w:val="4"/>
                    <w:jc w:val="left"/>
                  </w:pPr>
                  <w:r>
                    <w:rPr>
                      <w:rFonts w:ascii="宋体" w:hAnsi="宋体" w:eastAsia="宋体" w:cs="宋体"/>
                      <w:sz w:val="21"/>
                    </w:rPr>
                    <w:t>白招牌、三星街、滨江、国窖、上平、凤凰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tcBorders>
                    <w:top w:val="single" w:color="000000" w:sz="4" w:space="0"/>
                    <w:left w:val="single" w:color="000000" w:sz="4" w:space="0"/>
                    <w:bottom w:val="nil"/>
                    <w:right w:val="nil"/>
                  </w:tcBorders>
                  <w:tcMar>
                    <w:top w:w="0" w:type="dxa"/>
                    <w:left w:w="15" w:type="dxa"/>
                    <w:bottom w:w="0" w:type="dxa"/>
                    <w:right w:w="15" w:type="dxa"/>
                  </w:tcMar>
                  <w:vAlign w:val="top"/>
                </w:tcPr>
                <w:p>
                  <w:pPr>
                    <w:pStyle w:val="4"/>
                    <w:jc w:val="center"/>
                  </w:pPr>
                  <w:r>
                    <w:rPr>
                      <w:rFonts w:ascii="宋体" w:hAnsi="宋体" w:eastAsia="宋体" w:cs="宋体"/>
                      <w:sz w:val="21"/>
                    </w:rPr>
                    <w:t>北城街道办</w:t>
                  </w:r>
                </w:p>
                <w:p>
                  <w:pPr>
                    <w:pStyle w:val="4"/>
                    <w:jc w:val="center"/>
                  </w:pPr>
                  <w:r>
                    <w:rPr>
                      <w:rFonts w:ascii="宋体" w:hAnsi="宋体" w:eastAsia="宋体" w:cs="宋体"/>
                      <w:sz w:val="21"/>
                    </w:rPr>
                    <w:t>（5个社区）</w:t>
                  </w:r>
                </w:p>
              </w:tc>
              <w:tc>
                <w:tcPr>
                  <w:tcW w:w="1975" w:type="dxa"/>
                  <w:tcBorders>
                    <w:top w:val="single" w:color="000000" w:sz="4" w:space="0"/>
                    <w:left w:val="single" w:color="000000" w:sz="4" w:space="0"/>
                    <w:bottom w:val="nil"/>
                    <w:right w:val="single" w:color="000000" w:sz="4" w:space="0"/>
                  </w:tcBorders>
                  <w:tcMar>
                    <w:top w:w="0" w:type="dxa"/>
                    <w:left w:w="15" w:type="dxa"/>
                    <w:bottom w:w="0" w:type="dxa"/>
                    <w:right w:w="15" w:type="dxa"/>
                  </w:tcMar>
                  <w:vAlign w:val="top"/>
                </w:tcPr>
                <w:p>
                  <w:pPr>
                    <w:pStyle w:val="4"/>
                    <w:jc w:val="left"/>
                  </w:pPr>
                  <w:r>
                    <w:rPr>
                      <w:rFonts w:ascii="宋体" w:hAnsi="宋体" w:eastAsia="宋体" w:cs="宋体"/>
                      <w:sz w:val="21"/>
                    </w:rPr>
                    <w:t>濂溪路、皂角巷、报恩塔、城垣、东门口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tcBorders>
                    <w:top w:val="single" w:color="000000" w:sz="4" w:space="0"/>
                    <w:left w:val="single" w:color="000000" w:sz="4" w:space="0"/>
                    <w:bottom w:val="nil"/>
                    <w:right w:val="nil"/>
                  </w:tcBorders>
                  <w:tcMar>
                    <w:top w:w="0" w:type="dxa"/>
                    <w:left w:w="15" w:type="dxa"/>
                    <w:bottom w:w="0" w:type="dxa"/>
                    <w:right w:w="15" w:type="dxa"/>
                  </w:tcMar>
                  <w:vAlign w:val="top"/>
                </w:tcPr>
                <w:p>
                  <w:pPr>
                    <w:pStyle w:val="4"/>
                    <w:jc w:val="center"/>
                  </w:pPr>
                  <w:r>
                    <w:rPr>
                      <w:rFonts w:ascii="宋体" w:hAnsi="宋体" w:eastAsia="宋体" w:cs="宋体"/>
                      <w:sz w:val="21"/>
                    </w:rPr>
                    <w:t>华阳街道办</w:t>
                  </w:r>
                </w:p>
                <w:p>
                  <w:pPr>
                    <w:pStyle w:val="4"/>
                    <w:jc w:val="center"/>
                  </w:pPr>
                  <w:r>
                    <w:rPr>
                      <w:rFonts w:ascii="宋体" w:hAnsi="宋体" w:eastAsia="宋体" w:cs="宋体"/>
                      <w:sz w:val="21"/>
                    </w:rPr>
                    <w:t>（8个社区）</w:t>
                  </w:r>
                </w:p>
              </w:tc>
              <w:tc>
                <w:tcPr>
                  <w:tcW w:w="1975" w:type="dxa"/>
                  <w:tcBorders>
                    <w:top w:val="single" w:color="000000" w:sz="4" w:space="0"/>
                    <w:left w:val="single" w:color="000000" w:sz="4" w:space="0"/>
                    <w:bottom w:val="nil"/>
                    <w:right w:val="single" w:color="000000" w:sz="4" w:space="0"/>
                  </w:tcBorders>
                  <w:tcMar>
                    <w:top w:w="0" w:type="dxa"/>
                    <w:left w:w="15" w:type="dxa"/>
                    <w:bottom w:w="0" w:type="dxa"/>
                    <w:right w:w="15" w:type="dxa"/>
                  </w:tcMar>
                  <w:vAlign w:val="top"/>
                </w:tcPr>
                <w:p>
                  <w:pPr>
                    <w:pStyle w:val="4"/>
                    <w:jc w:val="left"/>
                  </w:pPr>
                  <w:r>
                    <w:rPr>
                      <w:rFonts w:ascii="宋体" w:hAnsi="宋体" w:eastAsia="宋体" w:cs="宋体"/>
                      <w:sz w:val="21"/>
                    </w:rPr>
                    <w:t>瓦窑坝、竹苑、华宜、春景、龙驰、龙腾、瑞景、康乐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tcBorders>
                    <w:top w:val="single" w:color="000000" w:sz="4" w:space="0"/>
                    <w:left w:val="single" w:color="000000" w:sz="4" w:space="0"/>
                    <w:bottom w:val="nil"/>
                    <w:right w:val="nil"/>
                  </w:tcBorders>
                  <w:tcMar>
                    <w:top w:w="0" w:type="dxa"/>
                    <w:left w:w="15" w:type="dxa"/>
                    <w:bottom w:w="0" w:type="dxa"/>
                    <w:right w:w="15" w:type="dxa"/>
                  </w:tcMar>
                  <w:vAlign w:val="top"/>
                </w:tcPr>
                <w:p>
                  <w:pPr>
                    <w:pStyle w:val="4"/>
                    <w:jc w:val="center"/>
                  </w:pPr>
                  <w:r>
                    <w:rPr>
                      <w:rFonts w:ascii="宋体" w:hAnsi="宋体" w:eastAsia="宋体" w:cs="宋体"/>
                      <w:sz w:val="21"/>
                    </w:rPr>
                    <w:t>蓝田街道办</w:t>
                  </w:r>
                </w:p>
                <w:p>
                  <w:pPr>
                    <w:pStyle w:val="4"/>
                    <w:jc w:val="center"/>
                  </w:pPr>
                  <w:r>
                    <w:rPr>
                      <w:rFonts w:ascii="宋体" w:hAnsi="宋体" w:eastAsia="宋体" w:cs="宋体"/>
                      <w:sz w:val="21"/>
                    </w:rPr>
                    <w:t>（12个社区）</w:t>
                  </w:r>
                </w:p>
              </w:tc>
              <w:tc>
                <w:tcPr>
                  <w:tcW w:w="1975" w:type="dxa"/>
                  <w:tcBorders>
                    <w:top w:val="single" w:color="000000" w:sz="4" w:space="0"/>
                    <w:left w:val="single" w:color="000000" w:sz="4" w:space="0"/>
                    <w:bottom w:val="nil"/>
                    <w:right w:val="single" w:color="000000" w:sz="4" w:space="0"/>
                  </w:tcBorders>
                  <w:tcMar>
                    <w:top w:w="0" w:type="dxa"/>
                    <w:left w:w="15" w:type="dxa"/>
                    <w:bottom w:w="0" w:type="dxa"/>
                    <w:right w:w="15" w:type="dxa"/>
                  </w:tcMar>
                  <w:vAlign w:val="top"/>
                </w:tcPr>
                <w:p>
                  <w:pPr>
                    <w:pStyle w:val="4"/>
                    <w:jc w:val="both"/>
                  </w:pPr>
                  <w:r>
                    <w:rPr>
                      <w:rFonts w:ascii="宋体" w:hAnsi="宋体" w:eastAsia="宋体" w:cs="宋体"/>
                      <w:sz w:val="21"/>
                    </w:rPr>
                    <w:t>黄荆山、宪桥、前进、洞宾亭、东升桥、牛市坎、华油、重湾、梨子园、黄桷坪、特林桥、杨桥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tcBorders>
                    <w:top w:val="single" w:color="000000" w:sz="4" w:space="0"/>
                    <w:left w:val="single" w:color="000000" w:sz="4" w:space="0"/>
                    <w:bottom w:val="nil"/>
                    <w:right w:val="nil"/>
                  </w:tcBorders>
                  <w:tcMar>
                    <w:top w:w="0" w:type="dxa"/>
                    <w:left w:w="15" w:type="dxa"/>
                    <w:bottom w:w="0" w:type="dxa"/>
                    <w:right w:w="15" w:type="dxa"/>
                  </w:tcMar>
                  <w:vAlign w:val="top"/>
                </w:tcPr>
                <w:p>
                  <w:pPr>
                    <w:pStyle w:val="4"/>
                    <w:jc w:val="center"/>
                  </w:pPr>
                  <w:r>
                    <w:rPr>
                      <w:rFonts w:ascii="宋体" w:hAnsi="宋体" w:eastAsia="宋体" w:cs="宋体"/>
                      <w:sz w:val="21"/>
                    </w:rPr>
                    <w:t>茜草街道办</w:t>
                  </w:r>
                </w:p>
                <w:p>
                  <w:pPr>
                    <w:pStyle w:val="4"/>
                    <w:jc w:val="center"/>
                  </w:pPr>
                  <w:r>
                    <w:rPr>
                      <w:rFonts w:ascii="宋体" w:hAnsi="宋体" w:eastAsia="宋体" w:cs="宋体"/>
                      <w:sz w:val="21"/>
                    </w:rPr>
                    <w:t>（14个社区）</w:t>
                  </w:r>
                </w:p>
              </w:tc>
              <w:tc>
                <w:tcPr>
                  <w:tcW w:w="1975" w:type="dxa"/>
                  <w:tcBorders>
                    <w:top w:val="single" w:color="000000" w:sz="4" w:space="0"/>
                    <w:left w:val="single" w:color="000000" w:sz="4" w:space="0"/>
                    <w:bottom w:val="nil"/>
                    <w:right w:val="single" w:color="000000" w:sz="4" w:space="0"/>
                  </w:tcBorders>
                  <w:tcMar>
                    <w:top w:w="0" w:type="dxa"/>
                    <w:left w:w="15" w:type="dxa"/>
                    <w:bottom w:w="0" w:type="dxa"/>
                    <w:right w:w="15" w:type="dxa"/>
                  </w:tcMar>
                  <w:vAlign w:val="top"/>
                </w:tcPr>
                <w:p>
                  <w:pPr>
                    <w:pStyle w:val="4"/>
                    <w:jc w:val="both"/>
                  </w:pPr>
                  <w:r>
                    <w:rPr>
                      <w:rFonts w:ascii="宋体" w:hAnsi="宋体" w:eastAsia="宋体" w:cs="宋体"/>
                      <w:sz w:val="21"/>
                    </w:rPr>
                    <w:t>金沙、鹅宝山、毗卢寺、坝心、黎明、新光、卫国、邻府、光明、渔子溪、彭湾、桂园林、匠心、沙坪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tcBorders>
                    <w:top w:val="single" w:color="000000" w:sz="4" w:space="0"/>
                    <w:left w:val="single" w:color="000000" w:sz="4" w:space="0"/>
                    <w:bottom w:val="nil"/>
                    <w:right w:val="nil"/>
                  </w:tcBorders>
                  <w:tcMar>
                    <w:top w:w="0" w:type="dxa"/>
                    <w:left w:w="15" w:type="dxa"/>
                    <w:bottom w:w="0" w:type="dxa"/>
                    <w:right w:w="15" w:type="dxa"/>
                  </w:tcMar>
                  <w:vAlign w:val="top"/>
                </w:tcPr>
                <w:p>
                  <w:pPr>
                    <w:pStyle w:val="4"/>
                    <w:jc w:val="center"/>
                  </w:pPr>
                  <w:r>
                    <w:rPr>
                      <w:rFonts w:ascii="宋体" w:hAnsi="宋体" w:eastAsia="宋体" w:cs="宋体"/>
                      <w:sz w:val="21"/>
                    </w:rPr>
                    <w:t>邻玉街道办</w:t>
                  </w:r>
                </w:p>
                <w:p>
                  <w:pPr>
                    <w:pStyle w:val="4"/>
                    <w:jc w:val="center"/>
                  </w:pPr>
                  <w:r>
                    <w:rPr>
                      <w:rFonts w:ascii="宋体" w:hAnsi="宋体" w:eastAsia="宋体" w:cs="宋体"/>
                      <w:sz w:val="21"/>
                    </w:rPr>
                    <w:t>（2个社区）</w:t>
                  </w:r>
                </w:p>
              </w:tc>
              <w:tc>
                <w:tcPr>
                  <w:tcW w:w="1975" w:type="dxa"/>
                  <w:tcBorders>
                    <w:top w:val="single" w:color="000000" w:sz="4" w:space="0"/>
                    <w:left w:val="single" w:color="000000" w:sz="4" w:space="0"/>
                    <w:bottom w:val="nil"/>
                    <w:right w:val="single" w:color="000000" w:sz="4" w:space="0"/>
                  </w:tcBorders>
                  <w:tcMar>
                    <w:top w:w="0" w:type="dxa"/>
                    <w:left w:w="15" w:type="dxa"/>
                    <w:bottom w:w="0" w:type="dxa"/>
                    <w:right w:w="15" w:type="dxa"/>
                  </w:tcMar>
                  <w:vAlign w:val="top"/>
                </w:tcPr>
                <w:p>
                  <w:pPr>
                    <w:pStyle w:val="4"/>
                    <w:jc w:val="left"/>
                  </w:pPr>
                  <w:r>
                    <w:rPr>
                      <w:rFonts w:ascii="宋体" w:hAnsi="宋体" w:eastAsia="宋体" w:cs="宋体"/>
                      <w:sz w:val="21"/>
                    </w:rPr>
                    <w:t>邻江、玉成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tcBorders>
                    <w:top w:val="single" w:color="000000" w:sz="4" w:space="0"/>
                    <w:left w:val="single" w:color="000000" w:sz="4" w:space="0"/>
                    <w:bottom w:val="nil"/>
                    <w:right w:val="nil"/>
                  </w:tcBorders>
                  <w:tcMar>
                    <w:top w:w="0" w:type="dxa"/>
                    <w:left w:w="15" w:type="dxa"/>
                    <w:bottom w:w="0" w:type="dxa"/>
                    <w:right w:w="15" w:type="dxa"/>
                  </w:tcMar>
                  <w:vAlign w:val="top"/>
                </w:tcPr>
                <w:p>
                  <w:pPr>
                    <w:pStyle w:val="4"/>
                    <w:jc w:val="center"/>
                  </w:pPr>
                  <w:r>
                    <w:rPr>
                      <w:rFonts w:ascii="宋体" w:hAnsi="宋体" w:eastAsia="宋体" w:cs="宋体"/>
                      <w:sz w:val="21"/>
                    </w:rPr>
                    <w:t>泰安街道办</w:t>
                  </w:r>
                </w:p>
                <w:p>
                  <w:pPr>
                    <w:pStyle w:val="4"/>
                    <w:jc w:val="center"/>
                  </w:pPr>
                  <w:r>
                    <w:rPr>
                      <w:rFonts w:ascii="宋体" w:hAnsi="宋体" w:eastAsia="宋体" w:cs="宋体"/>
                      <w:sz w:val="21"/>
                    </w:rPr>
                    <w:t>（4个社区）</w:t>
                  </w:r>
                </w:p>
              </w:tc>
              <w:tc>
                <w:tcPr>
                  <w:tcW w:w="1975" w:type="dxa"/>
                  <w:tcBorders>
                    <w:top w:val="single" w:color="000000" w:sz="4" w:space="0"/>
                    <w:left w:val="single" w:color="000000" w:sz="4" w:space="0"/>
                    <w:bottom w:val="nil"/>
                    <w:right w:val="single" w:color="000000" w:sz="4" w:space="0"/>
                  </w:tcBorders>
                  <w:tcMar>
                    <w:top w:w="0" w:type="dxa"/>
                    <w:left w:w="15" w:type="dxa"/>
                    <w:bottom w:w="0" w:type="dxa"/>
                    <w:right w:w="15" w:type="dxa"/>
                  </w:tcMar>
                  <w:vAlign w:val="top"/>
                </w:tcPr>
                <w:p>
                  <w:pPr>
                    <w:pStyle w:val="4"/>
                    <w:jc w:val="left"/>
                  </w:pPr>
                  <w:r>
                    <w:rPr>
                      <w:rFonts w:ascii="宋体" w:hAnsi="宋体" w:eastAsia="宋体" w:cs="宋体"/>
                      <w:sz w:val="21"/>
                    </w:rPr>
                    <w:t>泰港、泰和、泰安、龙江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tcBorders>
                    <w:top w:val="single" w:color="000000" w:sz="4" w:space="0"/>
                    <w:left w:val="single" w:color="000000" w:sz="4" w:space="0"/>
                    <w:bottom w:val="single" w:color="000000" w:sz="4" w:space="0"/>
                    <w:right w:val="nil"/>
                  </w:tcBorders>
                  <w:tcMar>
                    <w:top w:w="0" w:type="dxa"/>
                    <w:left w:w="15" w:type="dxa"/>
                    <w:bottom w:w="0" w:type="dxa"/>
                    <w:right w:w="15" w:type="dxa"/>
                  </w:tcMar>
                  <w:vAlign w:val="top"/>
                </w:tcPr>
                <w:p>
                  <w:pPr>
                    <w:pStyle w:val="4"/>
                    <w:jc w:val="center"/>
                  </w:pPr>
                  <w:r>
                    <w:rPr>
                      <w:rFonts w:ascii="宋体" w:hAnsi="宋体" w:eastAsia="宋体" w:cs="宋体"/>
                      <w:sz w:val="21"/>
                    </w:rPr>
                    <w:t>况场街道办</w:t>
                  </w:r>
                </w:p>
                <w:p>
                  <w:pPr>
                    <w:pStyle w:val="4"/>
                    <w:jc w:val="center"/>
                  </w:pPr>
                  <w:r>
                    <w:rPr>
                      <w:rFonts w:ascii="宋体" w:hAnsi="宋体" w:eastAsia="宋体" w:cs="宋体"/>
                      <w:sz w:val="21"/>
                    </w:rPr>
                    <w:t>（3个社区）</w:t>
                  </w:r>
                </w:p>
              </w:tc>
              <w:tc>
                <w:tcPr>
                  <w:tcW w:w="197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4"/>
                    <w:jc w:val="left"/>
                  </w:pPr>
                  <w:r>
                    <w:rPr>
                      <w:rFonts w:ascii="宋体" w:hAnsi="宋体" w:eastAsia="宋体" w:cs="宋体"/>
                      <w:sz w:val="21"/>
                    </w:rPr>
                    <w:t>况场、康平、连云</w:t>
                  </w:r>
                </w:p>
              </w:tc>
            </w:tr>
          </w:tbl>
          <w:p>
            <w:pPr>
              <w:pStyle w:val="4"/>
              <w:numPr>
                <w:ilvl w:val="0"/>
                <w:numId w:val="1"/>
              </w:numPr>
            </w:pPr>
            <w:r>
              <w:rPr>
                <w:rFonts w:ascii="宋体" w:hAnsi="宋体" w:eastAsia="宋体" w:cs="宋体"/>
                <w:b/>
                <w:sz w:val="24"/>
              </w:rPr>
              <w:t>监测内容、依据及要求</w:t>
            </w:r>
          </w:p>
          <w:p>
            <w:pPr>
              <w:pStyle w:val="4"/>
            </w:pPr>
            <w:r>
              <w:rPr>
                <w:rFonts w:ascii="宋体" w:hAnsi="宋体" w:eastAsia="宋体" w:cs="宋体"/>
                <w:sz w:val="24"/>
              </w:rPr>
              <w:t>（1）监测内容：要求成交供应商在合同签订后至2024年12月前每月对约定服务范围开展“四害”密度监测，随时掌握江阳区病媒生物密度实时动态变化；现场监测的主要情况内容包括监测时间、监测地点、监测情况、监测数据结果、存在的主要问题、工作建议及现场照片。每月现场监测数据需要街道病媒生物工作人员或相关部门工作人员签字确认，并加盖公章后于次月5日前上报区疾控中心。</w:t>
            </w:r>
          </w:p>
          <w:p>
            <w:pPr>
              <w:pStyle w:val="4"/>
            </w:pPr>
            <w:r>
              <w:rPr>
                <w:rFonts w:ascii="宋体" w:hAnsi="宋体" w:eastAsia="宋体" w:cs="宋体"/>
                <w:sz w:val="24"/>
              </w:rPr>
              <w:t>（2）监测依据：按照国家病媒生物密度监测方法（GB/T23795-2009、GB/T23796-2009、GB/T23797-2009 、GB/T23798-2009）方案要求进行监测。</w:t>
            </w:r>
          </w:p>
          <w:p>
            <w:pPr>
              <w:pStyle w:val="4"/>
            </w:pPr>
            <w:r>
              <w:rPr>
                <w:rFonts w:ascii="宋体" w:hAnsi="宋体" w:eastAsia="宋体" w:cs="宋体"/>
                <w:sz w:val="24"/>
              </w:rPr>
              <w:t>（3）监测报告要求：现场监测工作完成后一周内出具监测报告，并附现场监测结果原始记录，“四害”监测结果分析等，并对现场所出现的问题提出建设性意见。</w:t>
            </w:r>
          </w:p>
          <w:p>
            <w:pPr>
              <w:pStyle w:val="4"/>
            </w:pPr>
            <w:r>
              <w:rPr>
                <w:rFonts w:ascii="宋体" w:hAnsi="宋体" w:eastAsia="宋体" w:cs="宋体"/>
                <w:b/>
                <w:sz w:val="24"/>
              </w:rPr>
              <w:t>（三）效果评估内容、依据及要求</w:t>
            </w:r>
          </w:p>
          <w:p>
            <w:pPr>
              <w:pStyle w:val="4"/>
            </w:pPr>
            <w:r>
              <w:rPr>
                <w:rFonts w:ascii="宋体" w:hAnsi="宋体" w:eastAsia="宋体" w:cs="宋体"/>
                <w:sz w:val="24"/>
              </w:rPr>
              <w:t>（1）效果评估内容：一是PCO公司依据防制服务合同履约情况评估；二是病媒生物防制情况综合性评估，包括消杀前密度监测、消杀后密度监测、台账资料审核、药物使用审核、消杀服务满意率调查、环境孳生地评估、防制效果评估等。合同签订之日起至2024年12月止，共评估不少于4次（具体时间由疾控中心通知），评估报告及评估原始记录表于评估工作完成后两周上报区疾控中心。</w:t>
            </w:r>
          </w:p>
          <w:p>
            <w:pPr>
              <w:pStyle w:val="4"/>
            </w:pPr>
            <w:r>
              <w:rPr>
                <w:rFonts w:ascii="宋体" w:hAnsi="宋体" w:eastAsia="宋体" w:cs="宋体"/>
                <w:sz w:val="24"/>
              </w:rPr>
              <w:t>（2）效果评估依据：按照国家病媒生物密度监测方法 （GB/T23795-2009、GB/T23796-2009、GB/T23797-2009、GB/T23798-2009）要求进行监测。评估报告要求：现场效果评估后两周内出具评估报告，并附现场检查结果汇总表。</w:t>
            </w:r>
          </w:p>
          <w:p>
            <w:pPr>
              <w:pStyle w:val="4"/>
            </w:pPr>
            <w:r>
              <w:rPr>
                <w:rFonts w:ascii="宋体" w:hAnsi="宋体" w:eastAsia="宋体" w:cs="宋体"/>
                <w:sz w:val="24"/>
              </w:rPr>
              <w:t>（3）评估报告的基本内容：①现场评估的基本情况：包括时间、地点、人员、评估方法和评估对象的基本情况；②防制工作过程和药物评估：对组织、现场实施情况和资料、使用药物的评估审核结果；③现场效果评估：室内外密度评估、防范杀灭措施的落实、环境孳生地评估；④评估结论：评估结论体现三块内容，一是病媒生物综合性评估结果，二是公共区域病媒防制情况的评估，三是对重点场所室内区域的评估；⑤存在的主要问题和下一步工作建议。</w:t>
            </w:r>
          </w:p>
          <w:p>
            <w:pPr>
              <w:pStyle w:val="4"/>
            </w:pPr>
            <w:r>
              <w:rPr>
                <w:rFonts w:ascii="宋体" w:hAnsi="宋体" w:eastAsia="宋体" w:cs="宋体"/>
                <w:b/>
                <w:sz w:val="24"/>
              </w:rPr>
              <w:t>（三）人员要求</w:t>
            </w:r>
          </w:p>
          <w:p>
            <w:pPr>
              <w:pStyle w:val="4"/>
              <w:ind w:firstLine="480"/>
            </w:pPr>
            <w:r>
              <w:rPr>
                <w:rFonts w:ascii="宋体" w:hAnsi="宋体" w:eastAsia="宋体" w:cs="宋体"/>
                <w:sz w:val="24"/>
              </w:rPr>
              <w:t>监测评估人员要求：效果评估时，须根据需要组成评估组；日常监测时，须根据需要组成监测组。</w:t>
            </w:r>
          </w:p>
          <w:p>
            <w:pPr>
              <w:pStyle w:val="4"/>
            </w:pPr>
            <w:r>
              <w:rPr>
                <w:rFonts w:ascii="宋体" w:hAnsi="宋体" w:eastAsia="宋体" w:cs="宋体"/>
                <w:b/>
                <w:sz w:val="24"/>
              </w:rPr>
              <w:t>（四）服务质量监督</w:t>
            </w:r>
          </w:p>
          <w:p>
            <w:pPr>
              <w:pStyle w:val="4"/>
            </w:pPr>
            <w:r>
              <w:rPr>
                <w:rFonts w:ascii="宋体" w:hAnsi="宋体" w:eastAsia="宋体" w:cs="宋体"/>
                <w:sz w:val="24"/>
              </w:rPr>
              <w:t>（1）严格按照《国家病媒生物密度监测方法》要求进行选点监测，并按时上报，做到监测方法规范、科学、数据准确，不得弄虚作假，确保监测质量。成交供应商应秉持公正客观态度，利用自身专业知识对PCO机构承包项目专业管理资料质量水平进行评价，目的在于提高PCO机构的专业技术和管理水平，逐步达到良好等级及其以上水平。</w:t>
            </w:r>
          </w:p>
          <w:p>
            <w:pPr>
              <w:pStyle w:val="4"/>
            </w:pPr>
            <w:r>
              <w:rPr>
                <w:rFonts w:ascii="宋体" w:hAnsi="宋体" w:eastAsia="宋体" w:cs="宋体"/>
                <w:sz w:val="24"/>
              </w:rPr>
              <w:t>（2）成交供应商实施项目服务过程中，须保障配备病媒生物所必需的监测物资、仪器及设备，采购人在与成交供应商商签订服务合同时将对设备情况与响应文件承诺进行复核和对比登记。</w:t>
            </w:r>
          </w:p>
          <w:p>
            <w:pPr>
              <w:pStyle w:val="4"/>
            </w:pPr>
            <w:r>
              <w:rPr>
                <w:rFonts w:ascii="宋体" w:hAnsi="宋体" w:eastAsia="宋体" w:cs="宋体"/>
                <w:sz w:val="24"/>
              </w:rPr>
              <w:t>（3）成交供应商在项目所在地须设置项目部（如未设置，须在合同签订后5日内设立）。</w:t>
            </w:r>
          </w:p>
          <w:p>
            <w:pPr>
              <w:pStyle w:val="4"/>
            </w:pPr>
            <w:r>
              <w:rPr>
                <w:rFonts w:ascii="宋体" w:hAnsi="宋体" w:eastAsia="宋体" w:cs="宋体"/>
                <w:b/>
                <w:sz w:val="24"/>
              </w:rPr>
              <w:t>（五）考核标准</w:t>
            </w:r>
          </w:p>
          <w:p>
            <w:pPr>
              <w:pStyle w:val="4"/>
            </w:pPr>
            <w:r>
              <w:rPr>
                <w:rFonts w:ascii="宋体" w:hAnsi="宋体" w:eastAsia="宋体" w:cs="宋体"/>
                <w:sz w:val="24"/>
              </w:rPr>
              <w:t>（1）成交供应商在履行服务合同时，应由区疾控中心，按照卫生部印发的《病媒生物密度监测方法 鼠类》GB/T23798-2009；《病媒生物密度监测方法 蚊虫》 GB/T23797-2009；《病媒生物密度监测方法 蝇类》GB/T23796-2009；《病媒生物密度监测方法蜚蠊》GB/T23795-2009，对约定服务范围、环境的鼠、蝇、蚊、蟑螂密度进行监测。区疾控中心与成交供应商监测数据存在明显偏离的，成交供应商应查找偏离原因，提出改进措施并形成专题报告报区疾控中心。</w:t>
            </w:r>
          </w:p>
          <w:p>
            <w:pPr>
              <w:pStyle w:val="4"/>
            </w:pPr>
            <w:r>
              <w:rPr>
                <w:rFonts w:ascii="宋体" w:hAnsi="宋体" w:eastAsia="宋体" w:cs="宋体"/>
                <w:sz w:val="24"/>
              </w:rPr>
              <w:t>（2）在成交供应商履行合同期间，采购人将定期或采取随机方式，分别对指定服务范围病媒生物监测工作进行检查考核，服务商未能按监测文件要求进行的，给与书面警告、并限期改正，在限期整改达到合同要求的，扣合同应付金额5%-15%；未在期限内改正，或经过两次整改后仍不能达到合同要求的，即终止合同，余下部分不再执行，扣合同应付金额30%</w:t>
            </w:r>
          </w:p>
          <w:p>
            <w:pPr>
              <w:pStyle w:val="4"/>
            </w:pPr>
            <w:r>
              <w:rPr>
                <w:rFonts w:ascii="宋体" w:hAnsi="宋体" w:eastAsia="宋体" w:cs="宋体"/>
                <w:sz w:val="24"/>
              </w:rPr>
              <w:t>（3）成交供应商应积极做好接受采购人组织考核的相应配套工作资料。</w:t>
            </w:r>
          </w:p>
        </w:tc>
      </w:tr>
    </w:tbl>
    <w:p>
      <w:pPr>
        <w:pStyle w:val="4"/>
        <w:outlineLvl w:val="3"/>
      </w:pPr>
      <w:r>
        <w:rPr>
          <w:b/>
          <w:sz w:val="24"/>
        </w:rPr>
        <w:t>3.2.3人员配置要求</w:t>
      </w:r>
    </w:p>
    <w:p>
      <w:pPr>
        <w:pStyle w:val="4"/>
      </w:pPr>
    </w:p>
    <w:p>
      <w:pPr>
        <w:pStyle w:val="4"/>
      </w:pPr>
    </w:p>
    <w:p>
      <w:pPr>
        <w:pStyle w:val="4"/>
      </w:pPr>
    </w:p>
    <w:p>
      <w:pPr>
        <w:pStyle w:val="4"/>
      </w:pPr>
      <w:r>
        <w:t>采购包1：</w:t>
      </w:r>
    </w:p>
    <w:p>
      <w:pPr>
        <w:pStyle w:val="4"/>
      </w:pPr>
      <w:r>
        <w:t>★供应商根据项目情况安排人员（至少包含供应商竞标时响应的拟派相关人员）</w:t>
      </w:r>
    </w:p>
    <w:p>
      <w:pPr>
        <w:pStyle w:val="4"/>
      </w:pPr>
    </w:p>
    <w:p>
      <w:pPr>
        <w:pStyle w:val="4"/>
      </w:pPr>
      <w:r>
        <w:t>采购包2：</w:t>
      </w:r>
    </w:p>
    <w:p>
      <w:pPr>
        <w:pStyle w:val="4"/>
      </w:pPr>
      <w:r>
        <w:t>★供应商根据项目情况安排人员（至少包含供应商竞标时响应的拟派相关人员）</w:t>
      </w:r>
    </w:p>
    <w:p>
      <w:pPr>
        <w:pStyle w:val="4"/>
        <w:outlineLvl w:val="3"/>
      </w:pPr>
      <w:r>
        <w:rPr>
          <w:b/>
          <w:sz w:val="24"/>
        </w:rPr>
        <w:t>3.2.4设施设备要求</w:t>
      </w:r>
    </w:p>
    <w:p>
      <w:pPr>
        <w:pStyle w:val="4"/>
      </w:pPr>
    </w:p>
    <w:p>
      <w:pPr>
        <w:pStyle w:val="4"/>
      </w:pPr>
    </w:p>
    <w:p>
      <w:pPr>
        <w:pStyle w:val="4"/>
      </w:pPr>
    </w:p>
    <w:p>
      <w:pPr>
        <w:pStyle w:val="4"/>
      </w:pPr>
      <w:r>
        <w:t>采购包1：</w:t>
      </w:r>
    </w:p>
    <w:p>
      <w:pPr>
        <w:pStyle w:val="4"/>
      </w:pPr>
      <w:r>
        <w:t>★供应商具备消杀车辆≥2辆；具备热烟雾机≥6台；具备超低容量喷雾器≥10台；具备机动/电动背负式喷雾器≥10台；具备车载式/手推式喷雾器≥6台，供应商根据项目实施情况提供的其他设施设备，相关费用由成交供应商自行承担。</w:t>
      </w:r>
    </w:p>
    <w:p>
      <w:pPr>
        <w:pStyle w:val="4"/>
      </w:pPr>
    </w:p>
    <w:p>
      <w:pPr>
        <w:pStyle w:val="4"/>
      </w:pPr>
      <w:r>
        <w:t>采购包2：</w:t>
      </w:r>
    </w:p>
    <w:p>
      <w:pPr>
        <w:pStyle w:val="4"/>
      </w:pPr>
      <w:r>
        <w:t>★供应商根据项目实施情况提供全部设施设备，相关费用由成交供应商自行承担。</w:t>
      </w:r>
    </w:p>
    <w:p>
      <w:pPr>
        <w:pStyle w:val="4"/>
        <w:outlineLvl w:val="3"/>
      </w:pPr>
      <w:r>
        <w:rPr>
          <w:b/>
          <w:sz w:val="24"/>
        </w:rPr>
        <w:t>3.2.5其他要求</w:t>
      </w:r>
    </w:p>
    <w:p>
      <w:pPr>
        <w:pStyle w:val="4"/>
      </w:pPr>
    </w:p>
    <w:p>
      <w:pPr>
        <w:pStyle w:val="4"/>
      </w:pPr>
    </w:p>
    <w:p>
      <w:pPr>
        <w:pStyle w:val="4"/>
      </w:pPr>
    </w:p>
    <w:p>
      <w:pPr>
        <w:pStyle w:val="4"/>
      </w:pPr>
      <w:r>
        <w:t>采购包1：</w:t>
      </w:r>
    </w:p>
    <w:p>
      <w:pPr>
        <w:pStyle w:val="4"/>
      </w:pPr>
      <w:r>
        <w:t>供应商结合本项目提供以下方案（方案为非实质性要求项）：【技术方案：①项目实施整体服务方案；②筹备组织计划安排方案；③孳生地处置方案；④残留药物处理方案；⑤防控措施方案和监督措施方案；⑥宣传培训计划服务方案；⑦项目文档管理；⑧节假日应急消杀和重大活动应急消杀；⑨物理防制方法的推行方案】、【除四害消杀实施方案：①除鼠消杀方案；②除蚊消杀方案；③除蝇消杀方案；④除蜚蠊（蟑螂）消杀方案】</w:t>
      </w:r>
    </w:p>
    <w:p>
      <w:pPr>
        <w:pStyle w:val="4"/>
      </w:pPr>
    </w:p>
    <w:p>
      <w:pPr>
        <w:pStyle w:val="4"/>
      </w:pPr>
      <w:r>
        <w:t>采购包2：</w:t>
      </w:r>
    </w:p>
    <w:p>
      <w:pPr>
        <w:pStyle w:val="4"/>
      </w:pPr>
      <w:r>
        <w:t>供应商结合本项目提供以下方案（方案为非实质性要求项）：【蚊密度监测工作实施方案：①监测方法；②监测器材；③监测点设置；④病媒生物种群鉴别；⑤风险评估依据】、【鼠密度监测工作实施方案：①监测方法；②监测器材；③监测点设置；④病媒生物种群鉴别；⑤风险评估依据】、【蝇密度监测工作实施方案：①监测方法；②监测器材；③监测点设置；④病媒生物种群鉴别；⑤风险评估依据】、【蟑螂（蜚蠊）密度监控工作实施方案：①监测方法；②监测器材；③监测点设置；④病媒生物种群鉴别；⑤风险评估依据】、【供应商监测服务方案：①监测服务目标分析；②监测服务质量保证措施；③服务质量问题处理预案；④监测服务进度安排；⑤监测结果提交】</w:t>
      </w:r>
    </w:p>
    <w:p>
      <w:pPr>
        <w:pStyle w:val="4"/>
        <w:outlineLvl w:val="2"/>
      </w:pPr>
      <w:r>
        <w:rPr>
          <w:b/>
          <w:sz w:val="28"/>
        </w:rPr>
        <w:t>3.3、商务要求</w:t>
      </w:r>
    </w:p>
    <w:p>
      <w:pPr>
        <w:pStyle w:val="4"/>
        <w:outlineLvl w:val="3"/>
      </w:pPr>
      <w:r>
        <w:rPr>
          <w:b/>
          <w:sz w:val="24"/>
        </w:rPr>
        <w:t>3.3.1服务期限</w:t>
      </w:r>
    </w:p>
    <w:p>
      <w:pPr>
        <w:pStyle w:val="4"/>
      </w:pPr>
    </w:p>
    <w:p>
      <w:pPr>
        <w:pStyle w:val="4"/>
      </w:pPr>
    </w:p>
    <w:p>
      <w:pPr>
        <w:pStyle w:val="4"/>
      </w:pPr>
    </w:p>
    <w:p>
      <w:pPr>
        <w:pStyle w:val="4"/>
      </w:pPr>
      <w:r>
        <w:t>采购包1：</w:t>
      </w:r>
    </w:p>
    <w:p>
      <w:pPr>
        <w:pStyle w:val="4"/>
      </w:pPr>
      <w:r>
        <w:t xml:space="preserve"> 自合同签订之日起365日</w:t>
      </w:r>
    </w:p>
    <w:p>
      <w:pPr>
        <w:pStyle w:val="4"/>
      </w:pPr>
    </w:p>
    <w:p>
      <w:pPr>
        <w:pStyle w:val="4"/>
      </w:pPr>
      <w:r>
        <w:t>采购包2：</w:t>
      </w:r>
    </w:p>
    <w:p>
      <w:pPr>
        <w:pStyle w:val="4"/>
      </w:pPr>
      <w:r>
        <w:t xml:space="preserve"> 自合同签订之日起365日</w:t>
      </w:r>
    </w:p>
    <w:p>
      <w:pPr>
        <w:pStyle w:val="4"/>
        <w:outlineLvl w:val="3"/>
      </w:pPr>
      <w:r>
        <w:rPr>
          <w:b/>
          <w:sz w:val="24"/>
        </w:rPr>
        <w:t>3.3.2服务地点</w:t>
      </w:r>
    </w:p>
    <w:p>
      <w:pPr>
        <w:pStyle w:val="4"/>
      </w:pPr>
    </w:p>
    <w:p>
      <w:pPr>
        <w:pStyle w:val="4"/>
      </w:pPr>
    </w:p>
    <w:p>
      <w:pPr>
        <w:pStyle w:val="4"/>
      </w:pPr>
    </w:p>
    <w:p>
      <w:pPr>
        <w:pStyle w:val="4"/>
      </w:pPr>
      <w:r>
        <w:t>采购包1：</w:t>
      </w:r>
    </w:p>
    <w:p>
      <w:pPr>
        <w:pStyle w:val="4"/>
      </w:pPr>
      <w:r>
        <w:t>江阳区</w:t>
      </w:r>
    </w:p>
    <w:p>
      <w:pPr>
        <w:pStyle w:val="4"/>
      </w:pPr>
    </w:p>
    <w:p>
      <w:pPr>
        <w:pStyle w:val="4"/>
      </w:pPr>
      <w:r>
        <w:t>采购包2：</w:t>
      </w:r>
    </w:p>
    <w:p>
      <w:pPr>
        <w:pStyle w:val="4"/>
      </w:pPr>
      <w:r>
        <w:t>江阳区</w:t>
      </w:r>
    </w:p>
    <w:p>
      <w:pPr>
        <w:pStyle w:val="4"/>
        <w:outlineLvl w:val="3"/>
      </w:pPr>
      <w:r>
        <w:rPr>
          <w:b/>
          <w:sz w:val="24"/>
        </w:rPr>
        <w:t>3.3.3考核（验收）标准和方法</w:t>
      </w:r>
    </w:p>
    <w:p>
      <w:pPr>
        <w:pStyle w:val="4"/>
      </w:pPr>
    </w:p>
    <w:p>
      <w:pPr>
        <w:pStyle w:val="4"/>
      </w:pPr>
    </w:p>
    <w:p>
      <w:pPr>
        <w:pStyle w:val="4"/>
      </w:pPr>
    </w:p>
    <w:p>
      <w:pPr>
        <w:pStyle w:val="4"/>
      </w:pPr>
      <w:r>
        <w:t>采购包1：</w:t>
      </w:r>
    </w:p>
    <w:p>
      <w:pPr>
        <w:pStyle w:val="4"/>
      </w:pPr>
      <w:r>
        <w:t>★验收标准：采购人按照《财政部关于进一步加强政府采购需求和履约验收管理的指导意见》（财库〔2016〕205 号）和采购文件要求进行验收。 ★验收方法：采购人按国家有关规定以及采购文件的服务质量要求和技术指标、供应商的响应文件及承诺与本合同约定标准进行验收；双方如对服务质量要求和技术指标的约定标准有相互抵触或异议的事项，由采购人在采购文件与供应商响应文件中按服务质量要求和技术指标比较优胜的原则确定该项的约定标准进行验收。</w:t>
      </w:r>
    </w:p>
    <w:p>
      <w:pPr>
        <w:pStyle w:val="4"/>
      </w:pPr>
    </w:p>
    <w:p>
      <w:pPr>
        <w:pStyle w:val="4"/>
      </w:pPr>
      <w:r>
        <w:t>采购包2：</w:t>
      </w:r>
    </w:p>
    <w:p>
      <w:pPr>
        <w:pStyle w:val="4"/>
      </w:pPr>
      <w:r>
        <w:t>★验收标准：采购人按照《财政部关于进一步加强政府采购需求和履约验收管理的指导意见》（财库〔2016〕205 号）和采购文件要求进行验收。 ★验收方法：采购人按国家有关规定以及采购文件的服务质量要求和技术指标、供应商的响应文件及承诺与本合同约定标准进行验收；双方如对服务质量要求和技术指标的约定标准有相互抵触或异议的事项，由采购人在采购文件与供应商响应文件中按服务质量要求和技术指标比较优胜的原则确定该项的约定标准进行验收。</w:t>
      </w:r>
    </w:p>
    <w:p>
      <w:pPr>
        <w:pStyle w:val="4"/>
        <w:jc w:val="left"/>
        <w:outlineLvl w:val="3"/>
      </w:pPr>
      <w:r>
        <w:rPr>
          <w:b/>
          <w:sz w:val="24"/>
        </w:rPr>
        <w:t>3.3.4支付方式</w:t>
      </w:r>
    </w:p>
    <w:p>
      <w:pPr>
        <w:pStyle w:val="4"/>
      </w:pPr>
    </w:p>
    <w:p>
      <w:pPr>
        <w:pStyle w:val="4"/>
      </w:pPr>
    </w:p>
    <w:p>
      <w:pPr>
        <w:pStyle w:val="4"/>
      </w:pPr>
    </w:p>
    <w:p>
      <w:pPr>
        <w:pStyle w:val="4"/>
      </w:pPr>
      <w:r>
        <w:t>采购包1：</w:t>
      </w:r>
    </w:p>
    <w:p>
      <w:pPr>
        <w:pStyle w:val="4"/>
      </w:pPr>
      <w:r>
        <w:t>一次付清</w:t>
      </w:r>
    </w:p>
    <w:p>
      <w:pPr>
        <w:pStyle w:val="4"/>
      </w:pPr>
    </w:p>
    <w:p>
      <w:pPr>
        <w:pStyle w:val="4"/>
      </w:pPr>
      <w:r>
        <w:t>采购包2：</w:t>
      </w:r>
    </w:p>
    <w:p>
      <w:pPr>
        <w:pStyle w:val="4"/>
      </w:pPr>
      <w:r>
        <w:t>一次付清</w:t>
      </w:r>
    </w:p>
    <w:p>
      <w:pPr>
        <w:pStyle w:val="4"/>
        <w:outlineLvl w:val="3"/>
      </w:pPr>
      <w:r>
        <w:rPr>
          <w:b/>
          <w:sz w:val="24"/>
        </w:rPr>
        <w:t>3.3.5支付约定</w:t>
      </w:r>
    </w:p>
    <w:p>
      <w:pPr>
        <w:pStyle w:val="4"/>
      </w:pPr>
    </w:p>
    <w:p>
      <w:pPr>
        <w:pStyle w:val="4"/>
      </w:pPr>
    </w:p>
    <w:p>
      <w:pPr>
        <w:pStyle w:val="4"/>
      </w:pPr>
    </w:p>
    <w:p>
      <w:pPr>
        <w:pStyle w:val="4"/>
      </w:pPr>
      <w:r>
        <w:t>采购包1： 付款条件说明： 验收合格后 ，达到付款条件起 15 日内，支付合同总金额的 100.00%。</w:t>
      </w:r>
    </w:p>
    <w:p>
      <w:pPr>
        <w:pStyle w:val="4"/>
      </w:pPr>
    </w:p>
    <w:p>
      <w:pPr>
        <w:pStyle w:val="4"/>
      </w:pPr>
      <w:r>
        <w:t>采购包2： 付款条件说明： 验收合格 ，达到付款条件起 15 日内，支付合同总金额的 100.00%。</w:t>
      </w:r>
    </w:p>
    <w:p>
      <w:pPr>
        <w:pStyle w:val="4"/>
        <w:outlineLvl w:val="3"/>
      </w:pPr>
      <w:r>
        <w:rPr>
          <w:b/>
          <w:sz w:val="24"/>
        </w:rPr>
        <w:t>3.3.6违约责任及解决争议的方法</w:t>
      </w:r>
    </w:p>
    <w:p>
      <w:pPr>
        <w:pStyle w:val="4"/>
      </w:pPr>
    </w:p>
    <w:p>
      <w:pPr>
        <w:pStyle w:val="4"/>
      </w:pPr>
    </w:p>
    <w:p>
      <w:pPr>
        <w:pStyle w:val="4"/>
      </w:pPr>
    </w:p>
    <w:p>
      <w:pPr>
        <w:pStyle w:val="4"/>
      </w:pPr>
      <w:r>
        <w:t>采购包1：</w:t>
      </w:r>
    </w:p>
    <w:p>
      <w:pPr>
        <w:pStyle w:val="4"/>
      </w:pPr>
      <w:r>
        <w:t>★1、在履约过程中双方因服务的质量问题发生争议，由具有法定资格条件的质量技术监督（检测）机构进行质量鉴定，服务符合标准的，鉴定费由采购人承担；服务不符合质量标准的，鉴定费由成交供应商承担。 ★2、成交供应商在合同履行期间,若双方发生争议，双方本着友好合作的态度，对合同履行过程中发生的违约行为进行及时的协商解决或由有关部门调解解决，如不能协商解决可向合同签约地法院通过法律诉讼解决。</w:t>
      </w:r>
    </w:p>
    <w:p>
      <w:pPr>
        <w:pStyle w:val="4"/>
      </w:pPr>
    </w:p>
    <w:p>
      <w:pPr>
        <w:pStyle w:val="4"/>
      </w:pPr>
      <w:r>
        <w:t>采购包2：</w:t>
      </w:r>
    </w:p>
    <w:p>
      <w:pPr>
        <w:pStyle w:val="4"/>
      </w:pPr>
      <w:r>
        <w:t>★1、在履约过程中双方因服务的质量问题发生争议，由具有法定资格条件的质量技术监督（检测）机构进行质量鉴定，服务符合标准的，鉴定费由采购人承担；服务不符合质量标准的，鉴定费由成交供应商承担。 ★2、成交供应商在合同履行期间,若双方发生争议，双方本着友好合作的态度，对合同履行过程中发生的违约行为进行及时的协商解决或由有关部门调解解决，如不能协商解决可向合同签约地法院通过法律诉讼解决。</w:t>
      </w:r>
    </w:p>
    <w:p>
      <w:pPr>
        <w:pStyle w:val="4"/>
        <w:jc w:val="left"/>
        <w:outlineLvl w:val="2"/>
      </w:pPr>
      <w:r>
        <w:rPr>
          <w:b/>
          <w:sz w:val="28"/>
        </w:rPr>
        <w:t>3.4其他要求</w:t>
      </w:r>
    </w:p>
    <w:p>
      <w:pPr>
        <w:pStyle w:val="4"/>
      </w:pPr>
    </w:p>
    <w:p>
      <w:pPr>
        <w:pStyle w:val="4"/>
      </w:pPr>
    </w:p>
    <w:p>
      <w:pPr>
        <w:pStyle w:val="4"/>
      </w:pPr>
      <w:r>
        <w:t>★1.本项目为“交钥匙”项目，采购方不承担合同金额以外的其他任何费用。 ★2.安全责任：成交供应商在本项目履约过程中所发生的安全责任事故由成交供应商自行全权负责。备注：1.本项目02包为监测服务，监测服务内容包含01包合同履约情况评估，为保证本项目服务效果，供应商不能同时参与01包和02包报名及竞标，否则所报所有包均作无效处理。2.本采购文件第三章“3..2.2-3.2.4”“3.3项”“3.4的1、2”均为实质性要求，不允许负偏离，负偏离视为非实质性响应采购文件，做无效响应处理，供应商须按采购文件要求在技术、服务、商务及其他要求响应表中予以应答。3.推荐成交供应商时，若采购包1评审得分、最后报价、技术指标（技术和实施方案）得分均相同的，采用评审小组现场通过评审系统随机排序（或抽签方式）确定成交候选人次序（此处的备注项可不用应答）；若采购包2评审得分、最后报价、技术指标（技术和实施方案）得分均相同的，采用评审小组现场通过评审系统随机排序（或抽签方式）确定成交候选人次序（此处的备注项可不用应答）。</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26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2023-12-12T02:26:57Z</dcterms:created>
  <dc:creator>Administrator</dc:creator>
  <cp:lastModifiedBy>Administrator</cp:lastModifiedBy>
  <dcterms:modified xsi:type="dcterms:W3CDTF">2023-12-12T02:27:06Z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8EF06460C6134606B4CF616818957536</vt:lpwstr>
  </property>
</Properties>
</file>