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822" w:tblpY="33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80"/>
        <w:gridCol w:w="387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0" w:type="dxa"/>
            <w:vMerge w:val="restart"/>
            <w:vAlign w:val="center"/>
          </w:tcPr>
          <w:p>
            <w:pPr>
              <w:spacing w:line="500" w:lineRule="exact"/>
              <w:jc w:val="center"/>
              <w:rPr>
                <w:rFonts w:ascii="宋体" w:hAnsi="宋体" w:cs="宋体"/>
                <w:sz w:val="24"/>
                <w:lang w:val="zh-CN"/>
              </w:rPr>
            </w:pPr>
            <w:r>
              <w:rPr>
                <w:rFonts w:hint="eastAsia" w:ascii="宋体" w:hAnsi="宋体" w:cs="宋体"/>
                <w:sz w:val="24"/>
                <w:lang w:val="zh-CN"/>
              </w:rPr>
              <w:t>区域</w:t>
            </w:r>
          </w:p>
        </w:tc>
        <w:tc>
          <w:tcPr>
            <w:tcW w:w="5250" w:type="dxa"/>
            <w:gridSpan w:val="2"/>
            <w:vAlign w:val="center"/>
          </w:tcPr>
          <w:p>
            <w:pPr>
              <w:spacing w:line="500" w:lineRule="exact"/>
              <w:jc w:val="center"/>
              <w:rPr>
                <w:rFonts w:ascii="宋体" w:hAnsi="宋体" w:cs="宋体"/>
                <w:sz w:val="24"/>
                <w:lang w:val="zh-CN"/>
              </w:rPr>
            </w:pPr>
            <w:r>
              <w:rPr>
                <w:rFonts w:hint="eastAsia" w:ascii="宋体" w:hAnsi="宋体" w:cs="宋体"/>
                <w:sz w:val="24"/>
                <w:lang w:val="zh-CN"/>
              </w:rPr>
              <w:t>基本情况</w:t>
            </w:r>
          </w:p>
        </w:tc>
        <w:tc>
          <w:tcPr>
            <w:tcW w:w="2115" w:type="dxa"/>
            <w:vMerge w:val="restart"/>
            <w:vAlign w:val="center"/>
          </w:tcPr>
          <w:p>
            <w:pPr>
              <w:spacing w:line="500" w:lineRule="exact"/>
              <w:jc w:val="center"/>
              <w:rPr>
                <w:rFonts w:ascii="宋体" w:hAnsi="宋体" w:cs="宋体"/>
                <w:sz w:val="24"/>
                <w:lang w:val="zh-CN"/>
              </w:rPr>
            </w:pPr>
            <w:r>
              <w:rPr>
                <w:rFonts w:hint="eastAsia" w:ascii="宋体" w:hAnsi="宋体" w:cs="宋体"/>
                <w:sz w:val="24"/>
                <w:lang w:val="zh-CN"/>
              </w:rPr>
              <w:t>消杀频次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50" w:type="dxa"/>
            <w:vMerge w:val="continue"/>
            <w:vAlign w:val="center"/>
          </w:tcPr>
          <w:p>
            <w:pPr>
              <w:spacing w:line="500" w:lineRule="exact"/>
              <w:jc w:val="center"/>
              <w:rPr>
                <w:rFonts w:ascii="宋体" w:hAnsi="宋体" w:cs="宋体"/>
                <w:sz w:val="24"/>
                <w:lang w:val="zh-CN"/>
              </w:rPr>
            </w:pPr>
          </w:p>
        </w:tc>
        <w:tc>
          <w:tcPr>
            <w:tcW w:w="1380" w:type="dxa"/>
            <w:vAlign w:val="center"/>
          </w:tcPr>
          <w:p>
            <w:pPr>
              <w:spacing w:line="500" w:lineRule="exact"/>
              <w:jc w:val="center"/>
              <w:rPr>
                <w:rFonts w:ascii="宋体" w:hAnsi="宋体" w:cs="宋体"/>
                <w:sz w:val="24"/>
                <w:lang w:val="zh-CN"/>
              </w:rPr>
            </w:pPr>
            <w:r>
              <w:rPr>
                <w:rFonts w:hint="eastAsia" w:ascii="宋体" w:hAnsi="宋体" w:cs="宋体"/>
                <w:sz w:val="24"/>
                <w:lang w:val="zh-CN"/>
              </w:rPr>
              <w:t>消杀种类</w:t>
            </w:r>
          </w:p>
        </w:tc>
        <w:tc>
          <w:tcPr>
            <w:tcW w:w="3870" w:type="dxa"/>
            <w:vAlign w:val="center"/>
          </w:tcPr>
          <w:p>
            <w:pPr>
              <w:spacing w:line="500" w:lineRule="exact"/>
              <w:jc w:val="center"/>
              <w:rPr>
                <w:rFonts w:ascii="宋体" w:hAnsi="宋体" w:cs="宋体"/>
                <w:sz w:val="24"/>
                <w:lang w:val="zh-CN"/>
              </w:rPr>
            </w:pPr>
            <w:r>
              <w:rPr>
                <w:rFonts w:hint="eastAsia" w:ascii="宋体" w:hAnsi="宋体" w:cs="宋体"/>
                <w:sz w:val="24"/>
                <w:lang w:val="zh-CN"/>
              </w:rPr>
              <w:t>消杀范围（分布区域）</w:t>
            </w:r>
          </w:p>
        </w:tc>
        <w:tc>
          <w:tcPr>
            <w:tcW w:w="2115" w:type="dxa"/>
            <w:vMerge w:val="continue"/>
            <w:vAlign w:val="center"/>
          </w:tcPr>
          <w:p>
            <w:pPr>
              <w:spacing w:line="500" w:lineRule="exact"/>
              <w:jc w:val="center"/>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850" w:type="dxa"/>
            <w:vAlign w:val="center"/>
          </w:tcPr>
          <w:p>
            <w:pPr>
              <w:spacing w:line="500" w:lineRule="exact"/>
              <w:jc w:val="center"/>
              <w:rPr>
                <w:rFonts w:ascii="宋体" w:hAnsi="宋体" w:cs="宋体"/>
                <w:sz w:val="24"/>
                <w:lang w:val="zh-CN"/>
              </w:rPr>
            </w:pPr>
            <w:r>
              <w:rPr>
                <w:rFonts w:hint="eastAsia" w:ascii="宋体" w:hAnsi="宋体" w:cs="宋体"/>
                <w:sz w:val="24"/>
                <w:lang w:val="zh-CN"/>
              </w:rPr>
              <w:t>梁林校区</w:t>
            </w:r>
          </w:p>
        </w:tc>
        <w:tc>
          <w:tcPr>
            <w:tcW w:w="1380" w:type="dxa"/>
            <w:vAlign w:val="center"/>
          </w:tcPr>
          <w:p>
            <w:pPr>
              <w:spacing w:line="500" w:lineRule="exact"/>
              <w:ind w:left="480" w:hanging="480" w:hangingChars="200"/>
              <w:jc w:val="left"/>
              <w:rPr>
                <w:rFonts w:ascii="宋体" w:hAnsi="宋体" w:cs="宋体"/>
                <w:sz w:val="24"/>
                <w:lang w:val="zh-CN"/>
              </w:rPr>
            </w:pPr>
            <w:r>
              <w:rPr>
                <w:rFonts w:hint="eastAsia" w:ascii="宋体" w:hAnsi="宋体" w:cs="宋体"/>
                <w:sz w:val="24"/>
                <w:lang w:val="zh-CN"/>
              </w:rPr>
              <w:t>蚊、蝇、蟑、鼠</w:t>
            </w:r>
          </w:p>
        </w:tc>
        <w:tc>
          <w:tcPr>
            <w:tcW w:w="3870" w:type="dxa"/>
            <w:vAlign w:val="center"/>
          </w:tcPr>
          <w:p>
            <w:pPr>
              <w:spacing w:line="500" w:lineRule="exact"/>
              <w:jc w:val="left"/>
              <w:rPr>
                <w:rFonts w:ascii="宋体" w:hAnsi="宋体" w:cs="宋体"/>
                <w:sz w:val="24"/>
              </w:rPr>
            </w:pPr>
            <w:r>
              <w:rPr>
                <w:rFonts w:hint="eastAsia" w:ascii="宋体" w:hAnsi="宋体" w:cs="宋体"/>
                <w:sz w:val="24"/>
              </w:rPr>
              <w:t>荷园（原</w:t>
            </w:r>
            <w:r>
              <w:rPr>
                <w:rFonts w:hint="eastAsia" w:ascii="宋体" w:hAnsi="宋体" w:cs="宋体"/>
                <w:sz w:val="24"/>
                <w:lang w:val="zh-CN"/>
              </w:rPr>
              <w:t>梁林第一食堂二楼</w:t>
            </w:r>
            <w:r>
              <w:rPr>
                <w:rFonts w:hint="eastAsia" w:ascii="宋体" w:hAnsi="宋体" w:cs="宋体"/>
                <w:sz w:val="24"/>
              </w:rPr>
              <w:t>）</w:t>
            </w:r>
            <w:r>
              <w:rPr>
                <w:rFonts w:hint="eastAsia" w:ascii="宋体" w:hAnsi="宋体" w:cs="宋体"/>
                <w:sz w:val="24"/>
                <w:lang w:val="zh-CN"/>
              </w:rPr>
              <w:t>（包含餐厨垃圾桶摆放处、油水分离设备周边）、</w:t>
            </w:r>
            <w:r>
              <w:rPr>
                <w:rFonts w:hint="eastAsia" w:ascii="宋体" w:hAnsi="宋体" w:cs="宋体"/>
                <w:sz w:val="24"/>
              </w:rPr>
              <w:t>梅园（原</w:t>
            </w:r>
            <w:r>
              <w:rPr>
                <w:rFonts w:hint="eastAsia" w:ascii="宋体" w:hAnsi="宋体" w:cs="宋体"/>
                <w:sz w:val="24"/>
                <w:lang w:val="zh-CN"/>
              </w:rPr>
              <w:t>梁林第二食堂一楼、二楼）（包含餐厨垃圾桶摆放处、油水分离设备周边）、</w:t>
            </w:r>
            <w:r>
              <w:rPr>
                <w:rFonts w:hint="eastAsia" w:ascii="宋体" w:hAnsi="宋体" w:cs="宋体"/>
                <w:sz w:val="24"/>
              </w:rPr>
              <w:t>桂园（新校区食堂一楼、三楼）</w:t>
            </w:r>
            <w:r>
              <w:rPr>
                <w:rFonts w:hint="eastAsia" w:ascii="宋体" w:hAnsi="宋体" w:cs="宋体"/>
                <w:sz w:val="24"/>
                <w:lang w:val="zh-CN"/>
              </w:rPr>
              <w:t>（包含餐厨垃圾桶摆放处周边）</w:t>
            </w:r>
          </w:p>
        </w:tc>
        <w:tc>
          <w:tcPr>
            <w:tcW w:w="2115" w:type="dxa"/>
            <w:vAlign w:val="center"/>
          </w:tcPr>
          <w:p>
            <w:pPr>
              <w:spacing w:line="500" w:lineRule="exact"/>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月</w:t>
            </w:r>
            <w:r>
              <w:rPr>
                <w:rFonts w:hint="eastAsia" w:ascii="宋体" w:hAnsi="宋体" w:cs="宋体"/>
                <w:sz w:val="24"/>
                <w:lang w:val="zh-CN"/>
              </w:rPr>
              <w:t>-3</w:t>
            </w:r>
            <w:r>
              <w:rPr>
                <w:rFonts w:hint="eastAsia" w:ascii="宋体" w:hAnsi="宋体" w:cs="宋体"/>
                <w:sz w:val="24"/>
              </w:rPr>
              <w:t>月 2</w:t>
            </w:r>
            <w:r>
              <w:rPr>
                <w:rFonts w:hint="eastAsia" w:ascii="宋体" w:hAnsi="宋体" w:cs="宋体"/>
                <w:sz w:val="24"/>
                <w:lang w:val="zh-CN"/>
              </w:rPr>
              <w:t>次</w:t>
            </w:r>
          </w:p>
          <w:p>
            <w:pPr>
              <w:spacing w:line="500" w:lineRule="exact"/>
              <w:jc w:val="center"/>
              <w:rPr>
                <w:rFonts w:ascii="宋体" w:hAnsi="宋体" w:cs="宋体"/>
                <w:sz w:val="24"/>
              </w:rPr>
            </w:pPr>
            <w:r>
              <w:rPr>
                <w:rFonts w:hint="eastAsia" w:ascii="宋体" w:hAnsi="宋体" w:cs="宋体"/>
                <w:sz w:val="24"/>
              </w:rPr>
              <w:t>4月-10月4次</w:t>
            </w:r>
          </w:p>
          <w:p>
            <w:pPr>
              <w:spacing w:line="500" w:lineRule="exact"/>
              <w:jc w:val="center"/>
              <w:rPr>
                <w:rFonts w:ascii="宋体" w:hAnsi="宋体" w:cs="宋体"/>
                <w:sz w:val="24"/>
                <w:lang w:val="zh-CN"/>
              </w:rPr>
            </w:pPr>
            <w:r>
              <w:rPr>
                <w:rFonts w:hint="eastAsia" w:ascii="宋体" w:hAnsi="宋体" w:cs="宋体"/>
                <w:sz w:val="24"/>
              </w:rPr>
              <w:t>11月-12月2次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850" w:type="dxa"/>
            <w:vAlign w:val="center"/>
          </w:tcPr>
          <w:p>
            <w:pPr>
              <w:spacing w:line="500" w:lineRule="exact"/>
              <w:jc w:val="center"/>
              <w:rPr>
                <w:rFonts w:ascii="宋体" w:hAnsi="宋体" w:cs="宋体"/>
                <w:sz w:val="24"/>
              </w:rPr>
            </w:pPr>
            <w:r>
              <w:rPr>
                <w:rFonts w:hint="eastAsia" w:ascii="宋体" w:hAnsi="宋体" w:cs="宋体"/>
                <w:sz w:val="24"/>
              </w:rPr>
              <w:t>平湖校区</w:t>
            </w:r>
          </w:p>
        </w:tc>
        <w:tc>
          <w:tcPr>
            <w:tcW w:w="1380" w:type="dxa"/>
            <w:vAlign w:val="center"/>
          </w:tcPr>
          <w:p>
            <w:pPr>
              <w:spacing w:line="500" w:lineRule="exact"/>
              <w:ind w:left="480" w:hanging="480" w:hangingChars="200"/>
              <w:jc w:val="left"/>
              <w:rPr>
                <w:rFonts w:ascii="宋体" w:hAnsi="宋体" w:cs="宋体"/>
                <w:sz w:val="24"/>
                <w:lang w:val="zh-CN"/>
              </w:rPr>
            </w:pPr>
            <w:r>
              <w:rPr>
                <w:rFonts w:hint="eastAsia" w:ascii="宋体" w:hAnsi="宋体" w:cs="宋体"/>
                <w:sz w:val="24"/>
                <w:lang w:val="zh-CN"/>
              </w:rPr>
              <w:t>蚊、蝇、蟑、鼠</w:t>
            </w:r>
          </w:p>
        </w:tc>
        <w:tc>
          <w:tcPr>
            <w:tcW w:w="3870" w:type="dxa"/>
            <w:vAlign w:val="center"/>
          </w:tcPr>
          <w:p>
            <w:pPr>
              <w:spacing w:line="500" w:lineRule="exact"/>
              <w:jc w:val="left"/>
              <w:rPr>
                <w:rFonts w:ascii="宋体" w:hAnsi="宋体" w:cs="宋体"/>
                <w:sz w:val="24"/>
              </w:rPr>
            </w:pPr>
            <w:r>
              <w:rPr>
                <w:rFonts w:hint="eastAsia" w:ascii="宋体" w:hAnsi="宋体" w:cs="宋体"/>
                <w:sz w:val="24"/>
              </w:rPr>
              <w:t>平湖校区食堂（二楼、三楼）</w:t>
            </w:r>
          </w:p>
        </w:tc>
        <w:tc>
          <w:tcPr>
            <w:tcW w:w="2115" w:type="dxa"/>
            <w:vAlign w:val="center"/>
          </w:tcPr>
          <w:p>
            <w:pPr>
              <w:spacing w:line="500" w:lineRule="exact"/>
              <w:jc w:val="center"/>
              <w:rPr>
                <w:rFonts w:ascii="宋体" w:hAnsi="宋体" w:cs="宋体"/>
                <w:sz w:val="24"/>
                <w:lang w:val="zh-CN"/>
              </w:rPr>
            </w:pPr>
            <w:r>
              <w:rPr>
                <w:rFonts w:hint="eastAsia" w:ascii="宋体" w:hAnsi="宋体" w:cs="宋体"/>
                <w:sz w:val="24"/>
                <w:lang w:val="zh-CN"/>
              </w:rPr>
              <w:t>1</w:t>
            </w:r>
            <w:r>
              <w:rPr>
                <w:rFonts w:hint="eastAsia" w:ascii="宋体" w:hAnsi="宋体" w:cs="宋体"/>
                <w:sz w:val="24"/>
              </w:rPr>
              <w:t>月</w:t>
            </w:r>
            <w:r>
              <w:rPr>
                <w:rFonts w:hint="eastAsia" w:ascii="宋体" w:hAnsi="宋体" w:cs="宋体"/>
                <w:sz w:val="24"/>
                <w:lang w:val="zh-CN"/>
              </w:rPr>
              <w:t>-3</w:t>
            </w:r>
            <w:r>
              <w:rPr>
                <w:rFonts w:hint="eastAsia" w:ascii="宋体" w:hAnsi="宋体" w:cs="宋体"/>
                <w:sz w:val="24"/>
              </w:rPr>
              <w:t>月 2</w:t>
            </w:r>
            <w:r>
              <w:rPr>
                <w:rFonts w:hint="eastAsia" w:ascii="宋体" w:hAnsi="宋体" w:cs="宋体"/>
                <w:sz w:val="24"/>
                <w:lang w:val="zh-CN"/>
              </w:rPr>
              <w:t>次</w:t>
            </w:r>
          </w:p>
          <w:p>
            <w:pPr>
              <w:spacing w:line="500" w:lineRule="exact"/>
              <w:jc w:val="center"/>
              <w:rPr>
                <w:rFonts w:ascii="宋体" w:hAnsi="宋体" w:cs="宋体"/>
                <w:sz w:val="24"/>
              </w:rPr>
            </w:pPr>
            <w:r>
              <w:rPr>
                <w:rFonts w:hint="eastAsia" w:ascii="宋体" w:hAnsi="宋体" w:cs="宋体"/>
                <w:sz w:val="24"/>
              </w:rPr>
              <w:t>4月-10月4次</w:t>
            </w:r>
          </w:p>
          <w:p>
            <w:pPr>
              <w:spacing w:line="500" w:lineRule="exact"/>
              <w:jc w:val="center"/>
              <w:rPr>
                <w:rFonts w:ascii="宋体" w:hAnsi="宋体" w:cs="宋体"/>
                <w:sz w:val="24"/>
              </w:rPr>
            </w:pPr>
            <w:r>
              <w:rPr>
                <w:rFonts w:hint="eastAsia" w:ascii="宋体" w:hAnsi="宋体" w:cs="宋体"/>
                <w:sz w:val="24"/>
              </w:rPr>
              <w:t>11月-12月2次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215" w:type="dxa"/>
            <w:gridSpan w:val="4"/>
          </w:tcPr>
          <w:p>
            <w:pPr>
              <w:keepNext w:val="0"/>
              <w:keepLines w:val="0"/>
              <w:widowControl/>
              <w:suppressLineNumbers w:val="0"/>
              <w:jc w:val="left"/>
              <w:rPr>
                <w:rFonts w:ascii="宋体" w:hAnsi="宋体" w:cs="宋体"/>
                <w:sz w:val="24"/>
                <w:lang w:val="zh-CN"/>
              </w:rPr>
            </w:pPr>
            <w:r>
              <w:rPr>
                <w:rFonts w:hint="eastAsia" w:ascii="宋体" w:hAnsi="宋体" w:cs="宋体"/>
                <w:sz w:val="24"/>
                <w:lang w:val="zh-CN"/>
              </w:rPr>
              <w:t>消杀布点以现场实际踏勘为准，消杀合格标准</w:t>
            </w:r>
            <w:r>
              <w:rPr>
                <w:rFonts w:hint="eastAsia" w:ascii="宋体" w:hAnsi="宋体" w:cs="宋体"/>
                <w:sz w:val="24"/>
                <w:lang w:val="en-US" w:eastAsia="zh-CN"/>
              </w:rPr>
              <w:t>按照</w:t>
            </w:r>
            <w:r>
              <w:rPr>
                <w:rFonts w:hint="eastAsia" w:ascii="宋体" w:hAnsi="宋体" w:cs="宋体"/>
                <w:sz w:val="24"/>
                <w:lang w:val="zh-CN"/>
              </w:rPr>
              <w:t>国家</w:t>
            </w:r>
            <w:r>
              <w:rPr>
                <w:rFonts w:hint="eastAsia" w:ascii="宋体" w:hAnsi="宋体" w:cs="宋体"/>
                <w:sz w:val="24"/>
              </w:rPr>
              <w:t>卫生城市除四害标准</w:t>
            </w:r>
            <w:r>
              <w:rPr>
                <w:rFonts w:hint="eastAsia" w:ascii="宋体" w:hAnsi="宋体" w:cs="宋体"/>
                <w:sz w:val="24"/>
                <w:lang w:eastAsia="zh-CN"/>
              </w:rPr>
              <w:t>，</w:t>
            </w:r>
            <w:r>
              <w:rPr>
                <w:rFonts w:hint="eastAsia" w:ascii="宋体" w:hAnsi="宋体" w:eastAsia="宋体" w:cs="宋体"/>
                <w:sz w:val="24"/>
                <w:lang w:val="en-US" w:eastAsia="zh-CN"/>
              </w:rPr>
              <w:t>“四害”密度控制水平达到或优于 B 级</w:t>
            </w:r>
            <w:r>
              <w:rPr>
                <w:rFonts w:hint="eastAsia" w:ascii="宋体" w:hAnsi="宋体" w:eastAsia="宋体" w:cs="宋体"/>
                <w:sz w:val="24"/>
                <w:lang w:val="zh-CN"/>
              </w:rPr>
              <w:t>。</w:t>
            </w:r>
            <w:r>
              <w:rPr>
                <w:rFonts w:hint="eastAsia" w:ascii="宋体" w:hAnsi="宋体" w:cs="宋体"/>
                <w:sz w:val="24"/>
                <w:lang w:val="zh-CN"/>
              </w:rPr>
              <w:t>具体要求：</w:t>
            </w:r>
          </w:p>
          <w:p>
            <w:pPr>
              <w:spacing w:line="500" w:lineRule="exact"/>
              <w:rPr>
                <w:rFonts w:ascii="宋体" w:hAnsi="宋体" w:cs="宋体"/>
                <w:sz w:val="24"/>
              </w:rPr>
            </w:pPr>
            <w:r>
              <w:rPr>
                <w:rFonts w:hint="eastAsia" w:ascii="宋体" w:hAnsi="宋体" w:cs="宋体"/>
                <w:sz w:val="24"/>
              </w:rPr>
              <w:t>1.充分考虑食堂场所的特殊性，能用物理消杀的绝不用化学消杀；</w:t>
            </w:r>
          </w:p>
          <w:p>
            <w:pPr>
              <w:spacing w:line="500" w:lineRule="exact"/>
              <w:rPr>
                <w:rFonts w:ascii="宋体" w:hAnsi="宋体" w:cs="宋体"/>
                <w:sz w:val="24"/>
              </w:rPr>
            </w:pPr>
            <w:r>
              <w:rPr>
                <w:rFonts w:hint="eastAsia" w:ascii="宋体" w:hAnsi="宋体" w:cs="宋体"/>
                <w:sz w:val="24"/>
              </w:rPr>
              <w:t>2.充分考虑食堂环境的特殊性，所用消杀用品必须符合食品安全要求，杜绝因消杀而导致食物沾染药物，引起食品安全事故；</w:t>
            </w:r>
          </w:p>
          <w:p>
            <w:pPr>
              <w:spacing w:line="500" w:lineRule="exact"/>
              <w:rPr>
                <w:rFonts w:ascii="宋体" w:hAnsi="宋体" w:cs="宋体"/>
                <w:sz w:val="24"/>
              </w:rPr>
            </w:pPr>
            <w:r>
              <w:rPr>
                <w:rFonts w:hint="eastAsia" w:ascii="宋体" w:hAnsi="宋体" w:cs="宋体"/>
                <w:sz w:val="24"/>
              </w:rPr>
              <w:t xml:space="preserve">3.充分考虑食堂工作时间的特殊性，消杀工作能安排在夜间进行的绝不在白  </w:t>
            </w:r>
          </w:p>
          <w:p>
            <w:pPr>
              <w:spacing w:line="500" w:lineRule="exact"/>
              <w:ind w:firstLine="240" w:firstLineChars="100"/>
              <w:rPr>
                <w:rFonts w:ascii="宋体" w:hAnsi="宋体" w:cs="宋体"/>
                <w:sz w:val="24"/>
              </w:rPr>
            </w:pPr>
            <w:r>
              <w:rPr>
                <w:rFonts w:hint="eastAsia" w:ascii="宋体" w:hAnsi="宋体" w:cs="宋体"/>
                <w:sz w:val="24"/>
              </w:rPr>
              <w:t>天进行；</w:t>
            </w:r>
          </w:p>
          <w:p>
            <w:pPr>
              <w:spacing w:line="500" w:lineRule="exact"/>
              <w:rPr>
                <w:rFonts w:ascii="宋体" w:hAnsi="宋体" w:cs="宋体"/>
                <w:sz w:val="24"/>
              </w:rPr>
            </w:pPr>
            <w:r>
              <w:rPr>
                <w:rFonts w:hint="eastAsia" w:ascii="宋体" w:hAnsi="宋体" w:cs="宋体"/>
                <w:sz w:val="24"/>
              </w:rPr>
              <w:t>4.充分考虑食堂员工的特殊性，必须安排专人定点定时放置（撒药）、专人定点定时全回收（清洁），做好标记标识，确保安全；</w:t>
            </w:r>
          </w:p>
          <w:p>
            <w:pPr>
              <w:spacing w:line="500" w:lineRule="exact"/>
              <w:rPr>
                <w:rFonts w:ascii="宋体" w:hAnsi="宋体" w:cs="宋体"/>
                <w:sz w:val="24"/>
              </w:rPr>
            </w:pPr>
            <w:r>
              <w:rPr>
                <w:rFonts w:hint="eastAsia" w:ascii="宋体" w:hAnsi="宋体" w:cs="宋体"/>
                <w:sz w:val="24"/>
              </w:rPr>
              <w:t>5.突发大面积虫害时在30分钟内到达现场并进行有效消杀。</w:t>
            </w:r>
          </w:p>
        </w:tc>
      </w:tr>
    </w:tbl>
    <w:p>
      <w:pPr>
        <w:jc w:val="center"/>
        <w:rPr>
          <w:rFonts w:hint="default"/>
          <w:color w:val="auto"/>
          <w:sz w:val="28"/>
          <w:szCs w:val="28"/>
          <w:lang w:val="en-US" w:eastAsia="zh-CN"/>
        </w:rPr>
      </w:pPr>
      <w:r>
        <w:rPr>
          <w:rFonts w:hint="eastAsia"/>
          <w:color w:val="auto"/>
          <w:sz w:val="28"/>
          <w:szCs w:val="28"/>
          <w:lang w:val="en-US" w:eastAsia="zh-CN"/>
        </w:rPr>
        <w:t>采购需求</w:t>
      </w:r>
    </w:p>
    <w:p>
      <w:pPr>
        <w:jc w:val="both"/>
        <w:rPr>
          <w:rFonts w:hint="eastAsia" w:eastAsia="宋体"/>
          <w:color w:val="auto"/>
          <w:sz w:val="28"/>
          <w:szCs w:val="28"/>
          <w:lang w:val="en-US" w:eastAsia="zh-CN"/>
        </w:rPr>
      </w:pPr>
      <w:r>
        <w:rPr>
          <w:rFonts w:hint="eastAsia"/>
          <w:color w:val="auto"/>
          <w:sz w:val="28"/>
          <w:szCs w:val="28"/>
          <w:lang w:val="en-US" w:eastAsia="zh-CN"/>
        </w:rPr>
        <w:t>一、各部门</w:t>
      </w:r>
      <w:r>
        <w:rPr>
          <w:rFonts w:hint="eastAsia"/>
          <w:color w:val="auto"/>
          <w:sz w:val="28"/>
          <w:szCs w:val="28"/>
        </w:rPr>
        <w:t>灭四害</w:t>
      </w:r>
      <w:r>
        <w:rPr>
          <w:rFonts w:hint="eastAsia"/>
          <w:color w:val="auto"/>
          <w:sz w:val="28"/>
          <w:szCs w:val="28"/>
          <w:lang w:val="en-US" w:eastAsia="zh-CN"/>
        </w:rPr>
        <w:t>要求</w:t>
      </w:r>
    </w:p>
    <w:p>
      <w:pPr>
        <w:jc w:val="center"/>
        <w:rPr>
          <w:rFonts w:hint="eastAsia"/>
          <w:color w:val="auto"/>
          <w:sz w:val="28"/>
          <w:szCs w:val="28"/>
        </w:rPr>
      </w:pPr>
      <w:r>
        <w:rPr>
          <w:rFonts w:hint="eastAsia"/>
          <w:color w:val="auto"/>
          <w:sz w:val="28"/>
          <w:szCs w:val="28"/>
          <w:lang w:eastAsia="zh-CN"/>
        </w:rPr>
        <w:t>（</w:t>
      </w:r>
      <w:r>
        <w:rPr>
          <w:rFonts w:hint="eastAsia"/>
          <w:color w:val="auto"/>
          <w:sz w:val="28"/>
          <w:szCs w:val="28"/>
          <w:lang w:val="en-US" w:eastAsia="zh-CN"/>
        </w:rPr>
        <w:t>一</w:t>
      </w:r>
      <w:r>
        <w:rPr>
          <w:rFonts w:hint="eastAsia"/>
          <w:color w:val="auto"/>
          <w:sz w:val="28"/>
          <w:szCs w:val="28"/>
          <w:lang w:eastAsia="zh-CN"/>
        </w:rPr>
        <w:t>）</w:t>
      </w:r>
      <w:r>
        <w:rPr>
          <w:rFonts w:hint="eastAsia"/>
          <w:color w:val="auto"/>
          <w:sz w:val="28"/>
          <w:szCs w:val="28"/>
        </w:rPr>
        <w:t>饮食管理服务中心自营食堂灭四害</w:t>
      </w:r>
    </w:p>
    <w:p>
      <w:pPr>
        <w:jc w:val="center"/>
        <w:rPr>
          <w:color w:val="auto"/>
          <w:sz w:val="24"/>
          <w:szCs w:val="24"/>
        </w:rPr>
      </w:pPr>
      <w:r>
        <w:rPr>
          <w:rFonts w:hint="eastAsia"/>
          <w:color w:val="auto"/>
          <w:sz w:val="24"/>
          <w:szCs w:val="24"/>
          <w:lang w:val="en-US" w:eastAsia="zh-CN"/>
        </w:rPr>
        <w:t>（二）</w:t>
      </w:r>
      <w:r>
        <w:rPr>
          <w:rFonts w:hint="eastAsia"/>
          <w:color w:val="auto"/>
          <w:sz w:val="24"/>
          <w:szCs w:val="24"/>
        </w:rPr>
        <w:t>办公楼、教学楼(28幢)及公共区域除四害需求</w:t>
      </w:r>
    </w:p>
    <w:p>
      <w:pPr>
        <w:numPr>
          <w:ilvl w:val="0"/>
          <w:numId w:val="0"/>
        </w:numPr>
        <w:ind w:left="426" w:leftChars="0"/>
        <w:rPr>
          <w:rFonts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具体点位如下：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670"/>
        <w:gridCol w:w="2546"/>
        <w:gridCol w:w="159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979" w:type="pct"/>
            <w:tcBorders>
              <w:bottom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校区</w:t>
            </w: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楼号</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楼宇数量</w:t>
            </w:r>
          </w:p>
        </w:tc>
        <w:tc>
          <w:tcPr>
            <w:tcW w:w="925" w:type="pct"/>
          </w:tcPr>
          <w:p>
            <w:pPr>
              <w:jc w:val="center"/>
              <w:rPr>
                <w:rFonts w:ascii="宋体" w:hAnsi="宋体" w:cs="宋体"/>
                <w:color w:val="auto"/>
                <w:kern w:val="0"/>
                <w:sz w:val="24"/>
                <w:szCs w:val="24"/>
              </w:rPr>
            </w:pPr>
            <w:r>
              <w:rPr>
                <w:rFonts w:hint="eastAsia" w:ascii="宋体" w:hAnsi="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979" w:type="pct"/>
            <w:vMerge w:val="restart"/>
            <w:vAlign w:val="center"/>
          </w:tcPr>
          <w:p>
            <w:pPr>
              <w:rPr>
                <w:rFonts w:ascii="宋体" w:hAnsi="宋体" w:cs="宋体"/>
                <w:color w:val="auto"/>
                <w:kern w:val="0"/>
                <w:sz w:val="24"/>
                <w:szCs w:val="24"/>
              </w:rPr>
            </w:pPr>
          </w:p>
          <w:p>
            <w:pPr>
              <w:jc w:val="center"/>
              <w:rPr>
                <w:rFonts w:ascii="宋体" w:hAnsi="宋体" w:cs="宋体"/>
                <w:color w:val="auto"/>
                <w:kern w:val="0"/>
                <w:sz w:val="24"/>
                <w:szCs w:val="24"/>
              </w:rPr>
            </w:pPr>
            <w:r>
              <w:rPr>
                <w:rFonts w:hint="eastAsia" w:ascii="宋体" w:hAnsi="宋体" w:cs="宋体"/>
                <w:color w:val="auto"/>
                <w:kern w:val="0"/>
                <w:sz w:val="24"/>
                <w:szCs w:val="24"/>
              </w:rPr>
              <w:t>梁</w:t>
            </w:r>
          </w:p>
          <w:p>
            <w:pPr>
              <w:jc w:val="center"/>
              <w:rPr>
                <w:rFonts w:ascii="宋体" w:hAnsi="宋体" w:cs="宋体"/>
                <w:color w:val="auto"/>
                <w:kern w:val="0"/>
                <w:sz w:val="24"/>
                <w:szCs w:val="24"/>
              </w:rPr>
            </w:pPr>
          </w:p>
          <w:p>
            <w:pPr>
              <w:jc w:val="center"/>
              <w:rPr>
                <w:rFonts w:ascii="宋体" w:hAnsi="宋体" w:cs="宋体"/>
                <w:color w:val="auto"/>
                <w:kern w:val="0"/>
                <w:sz w:val="24"/>
                <w:szCs w:val="24"/>
              </w:rPr>
            </w:pPr>
            <w:r>
              <w:rPr>
                <w:rFonts w:hint="eastAsia" w:ascii="宋体" w:hAnsi="宋体" w:cs="宋体"/>
                <w:color w:val="auto"/>
                <w:kern w:val="0"/>
                <w:sz w:val="24"/>
                <w:szCs w:val="24"/>
              </w:rPr>
              <w:t>林</w:t>
            </w:r>
          </w:p>
          <w:p>
            <w:pPr>
              <w:jc w:val="center"/>
              <w:rPr>
                <w:rFonts w:ascii="宋体" w:hAnsi="宋体" w:cs="宋体"/>
                <w:color w:val="auto"/>
                <w:kern w:val="0"/>
                <w:sz w:val="24"/>
                <w:szCs w:val="24"/>
              </w:rPr>
            </w:pPr>
          </w:p>
          <w:p>
            <w:pPr>
              <w:jc w:val="center"/>
              <w:rPr>
                <w:rFonts w:ascii="宋体" w:hAnsi="宋体" w:cs="宋体"/>
                <w:color w:val="auto"/>
                <w:kern w:val="0"/>
                <w:sz w:val="24"/>
                <w:szCs w:val="24"/>
              </w:rPr>
            </w:pPr>
            <w:r>
              <w:rPr>
                <w:rFonts w:hint="eastAsia" w:ascii="宋体" w:hAnsi="宋体" w:cs="宋体"/>
                <w:color w:val="auto"/>
                <w:kern w:val="0"/>
                <w:sz w:val="24"/>
                <w:szCs w:val="24"/>
              </w:rPr>
              <w:t>校</w:t>
            </w:r>
          </w:p>
          <w:p>
            <w:pPr>
              <w:jc w:val="center"/>
              <w:rPr>
                <w:rFonts w:ascii="宋体" w:hAnsi="宋体" w:cs="宋体"/>
                <w:color w:val="auto"/>
                <w:kern w:val="0"/>
                <w:sz w:val="24"/>
                <w:szCs w:val="24"/>
              </w:rPr>
            </w:pPr>
          </w:p>
          <w:p>
            <w:pPr>
              <w:jc w:val="center"/>
              <w:rPr>
                <w:rFonts w:ascii="宋体" w:hAnsi="宋体" w:cs="宋体"/>
                <w:color w:val="auto"/>
                <w:kern w:val="0"/>
                <w:sz w:val="24"/>
                <w:szCs w:val="24"/>
              </w:rPr>
            </w:pPr>
            <w:r>
              <w:rPr>
                <w:rFonts w:hint="eastAsia" w:ascii="宋体" w:hAnsi="宋体" w:cs="宋体"/>
                <w:color w:val="auto"/>
                <w:kern w:val="0"/>
                <w:sz w:val="24"/>
                <w:szCs w:val="24"/>
              </w:rPr>
              <w:t>区</w:t>
            </w: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仁心楼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2幢</w:t>
            </w:r>
          </w:p>
        </w:tc>
        <w:tc>
          <w:tcPr>
            <w:tcW w:w="925" w:type="pct"/>
          </w:tcPr>
          <w:p>
            <w:pPr>
              <w:jc w:val="center"/>
              <w:rPr>
                <w:rFonts w:ascii="宋体" w:hAnsi="宋体" w:cs="宋体"/>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仁术楼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仁济楼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仁爱楼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明礼楼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2幢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博采楼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博闻楼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博学楼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9</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博识楼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10</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崇礼楼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11</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知礼楼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12</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厚礼楼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13</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悦礼楼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14</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兴礼楼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15</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明德楼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2幢</w:t>
            </w:r>
          </w:p>
        </w:tc>
        <w:tc>
          <w:tcPr>
            <w:tcW w:w="925" w:type="pct"/>
          </w:tcPr>
          <w:p>
            <w:pPr>
              <w:jc w:val="center"/>
              <w:rPr>
                <w:rFonts w:ascii="宋体" w:hAnsi="宋体" w:cs="宋体"/>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16</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尚德楼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2幢</w:t>
            </w:r>
          </w:p>
        </w:tc>
        <w:tc>
          <w:tcPr>
            <w:tcW w:w="925" w:type="pct"/>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17</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厚德楼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2幢</w:t>
            </w:r>
          </w:p>
        </w:tc>
        <w:tc>
          <w:tcPr>
            <w:tcW w:w="925" w:type="pct"/>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Pr>
          <w:p>
            <w:pPr>
              <w:jc w:val="center"/>
              <w:rPr>
                <w:rFonts w:ascii="宋体" w:hAnsi="宋体" w:cs="宋体"/>
                <w:color w:val="auto"/>
                <w:kern w:val="0"/>
                <w:sz w:val="24"/>
                <w:szCs w:val="24"/>
              </w:rPr>
            </w:pPr>
            <w:r>
              <w:rPr>
                <w:rFonts w:hint="eastAsia" w:ascii="宋体" w:hAnsi="宋体" w:cs="宋体"/>
                <w:color w:val="auto"/>
                <w:kern w:val="0"/>
                <w:sz w:val="24"/>
                <w:szCs w:val="24"/>
              </w:rPr>
              <w:t>18</w:t>
            </w:r>
          </w:p>
        </w:tc>
        <w:tc>
          <w:tcPr>
            <w:tcW w:w="979" w:type="pct"/>
            <w:vMerge w:val="continue"/>
            <w:vAlign w:val="center"/>
          </w:tcPr>
          <w:p>
            <w:pPr>
              <w:widowControl/>
              <w:jc w:val="left"/>
              <w:rPr>
                <w:rFonts w:ascii="宋体" w:hAnsi="宋体" w:cs="宋体"/>
                <w:color w:val="auto"/>
                <w:kern w:val="0"/>
                <w:sz w:val="24"/>
                <w:szCs w:val="24"/>
              </w:rPr>
            </w:pPr>
          </w:p>
        </w:tc>
        <w:tc>
          <w:tcPr>
            <w:tcW w:w="1493" w:type="pct"/>
          </w:tcPr>
          <w:p>
            <w:pPr>
              <w:jc w:val="center"/>
              <w:rPr>
                <w:rFonts w:ascii="宋体" w:hAnsi="宋体" w:cs="宋体"/>
                <w:color w:val="auto"/>
                <w:kern w:val="0"/>
                <w:sz w:val="24"/>
                <w:szCs w:val="24"/>
              </w:rPr>
            </w:pPr>
            <w:r>
              <w:rPr>
                <w:rFonts w:hint="eastAsia" w:ascii="宋体" w:hAnsi="宋体" w:cs="宋体"/>
                <w:color w:val="auto"/>
                <w:kern w:val="0"/>
                <w:sz w:val="24"/>
                <w:szCs w:val="24"/>
              </w:rPr>
              <w:t>兴德楼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2幢</w:t>
            </w:r>
          </w:p>
        </w:tc>
        <w:tc>
          <w:tcPr>
            <w:tcW w:w="925" w:type="pct"/>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bottom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19</w:t>
            </w:r>
          </w:p>
        </w:tc>
        <w:tc>
          <w:tcPr>
            <w:tcW w:w="979" w:type="pct"/>
            <w:vMerge w:val="continue"/>
            <w:vAlign w:val="center"/>
          </w:tcPr>
          <w:p>
            <w:pPr>
              <w:widowControl/>
              <w:jc w:val="left"/>
              <w:rPr>
                <w:rFonts w:ascii="宋体" w:hAnsi="宋体" w:cs="宋体"/>
                <w:color w:val="auto"/>
                <w:kern w:val="0"/>
                <w:sz w:val="24"/>
                <w:szCs w:val="24"/>
              </w:rPr>
            </w:pPr>
          </w:p>
        </w:tc>
        <w:tc>
          <w:tcPr>
            <w:tcW w:w="1493" w:type="pct"/>
            <w:tcBorders>
              <w:bottom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融信楼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2幢</w:t>
            </w:r>
          </w:p>
        </w:tc>
        <w:tc>
          <w:tcPr>
            <w:tcW w:w="925" w:type="pct"/>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bottom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20</w:t>
            </w:r>
          </w:p>
        </w:tc>
        <w:tc>
          <w:tcPr>
            <w:tcW w:w="979" w:type="pct"/>
            <w:vMerge w:val="continue"/>
            <w:vAlign w:val="center"/>
          </w:tcPr>
          <w:p>
            <w:pPr>
              <w:widowControl/>
              <w:jc w:val="left"/>
              <w:rPr>
                <w:rFonts w:ascii="宋体" w:hAnsi="宋体" w:cs="宋体"/>
                <w:color w:val="auto"/>
                <w:kern w:val="0"/>
                <w:sz w:val="24"/>
                <w:szCs w:val="24"/>
              </w:rPr>
            </w:pPr>
          </w:p>
        </w:tc>
        <w:tc>
          <w:tcPr>
            <w:tcW w:w="1493" w:type="pct"/>
            <w:tcBorders>
              <w:bottom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图书馆</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21</w:t>
            </w:r>
          </w:p>
        </w:tc>
        <w:tc>
          <w:tcPr>
            <w:tcW w:w="979" w:type="pct"/>
            <w:vMerge w:val="continue"/>
            <w:vAlign w:val="center"/>
          </w:tcPr>
          <w:p>
            <w:pPr>
              <w:jc w:val="center"/>
              <w:rPr>
                <w:rFonts w:hint="default" w:ascii="宋体" w:hAnsi="宋体" w:eastAsia="宋体" w:cs="宋体"/>
                <w:color w:val="auto"/>
                <w:kern w:val="0"/>
                <w:sz w:val="24"/>
                <w:szCs w:val="24"/>
                <w:lang w:val="en-US" w:eastAsia="zh-CN"/>
              </w:rPr>
            </w:pPr>
          </w:p>
        </w:tc>
        <w:tc>
          <w:tcPr>
            <w:tcW w:w="1493" w:type="pct"/>
            <w:tcBorders>
              <w:lef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行政楼</w:t>
            </w:r>
          </w:p>
        </w:tc>
        <w:tc>
          <w:tcPr>
            <w:tcW w:w="936" w:type="pct"/>
          </w:tcPr>
          <w:p>
            <w:pPr>
              <w:jc w:val="center"/>
              <w:rPr>
                <w:rFonts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22</w:t>
            </w:r>
          </w:p>
        </w:tc>
        <w:tc>
          <w:tcPr>
            <w:tcW w:w="979" w:type="pct"/>
            <w:vMerge w:val="restart"/>
            <w:tcBorders>
              <w:left w:val="single" w:color="auto" w:sz="4" w:space="0"/>
              <w:right w:val="single" w:color="auto" w:sz="4" w:space="0"/>
            </w:tcBorders>
            <w:vAlign w:val="center"/>
          </w:tcPr>
          <w:p>
            <w:pPr>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平</w:t>
            </w:r>
          </w:p>
          <w:p>
            <w:pPr>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湖</w:t>
            </w:r>
          </w:p>
          <w:p>
            <w:pPr>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校</w:t>
            </w:r>
          </w:p>
          <w:p>
            <w:pPr>
              <w:widowControl/>
              <w:ind w:firstLine="240" w:firstLineChars="1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区</w:t>
            </w:r>
          </w:p>
        </w:tc>
        <w:tc>
          <w:tcPr>
            <w:tcW w:w="1493" w:type="pct"/>
            <w:tcBorders>
              <w:left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行政楼</w:t>
            </w:r>
          </w:p>
        </w:tc>
        <w:tc>
          <w:tcPr>
            <w:tcW w:w="936" w:type="pct"/>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23</w:t>
            </w:r>
          </w:p>
        </w:tc>
        <w:tc>
          <w:tcPr>
            <w:tcW w:w="979"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493" w:type="pct"/>
            <w:tcBorders>
              <w:left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立德楼（教学楼A）</w:t>
            </w:r>
          </w:p>
        </w:tc>
        <w:tc>
          <w:tcPr>
            <w:tcW w:w="936" w:type="pct"/>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24</w:t>
            </w:r>
          </w:p>
        </w:tc>
        <w:tc>
          <w:tcPr>
            <w:tcW w:w="979"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493" w:type="pct"/>
            <w:tcBorders>
              <w:left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明德楼（教学楼B）</w:t>
            </w:r>
          </w:p>
        </w:tc>
        <w:tc>
          <w:tcPr>
            <w:tcW w:w="936" w:type="pct"/>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c>
          <w:tcPr>
            <w:tcW w:w="979"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493" w:type="pct"/>
            <w:tcBorders>
              <w:left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实践楼（教学楼C）</w:t>
            </w:r>
          </w:p>
        </w:tc>
        <w:tc>
          <w:tcPr>
            <w:tcW w:w="936" w:type="pct"/>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26</w:t>
            </w:r>
          </w:p>
        </w:tc>
        <w:tc>
          <w:tcPr>
            <w:tcW w:w="979"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493" w:type="pct"/>
            <w:tcBorders>
              <w:left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体艺楼</w:t>
            </w:r>
          </w:p>
        </w:tc>
        <w:tc>
          <w:tcPr>
            <w:tcW w:w="936" w:type="pct"/>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27</w:t>
            </w:r>
          </w:p>
        </w:tc>
        <w:tc>
          <w:tcPr>
            <w:tcW w:w="979"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493" w:type="pct"/>
            <w:tcBorders>
              <w:left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小球馆</w:t>
            </w:r>
          </w:p>
        </w:tc>
        <w:tc>
          <w:tcPr>
            <w:tcW w:w="936" w:type="pct"/>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28</w:t>
            </w:r>
          </w:p>
        </w:tc>
        <w:tc>
          <w:tcPr>
            <w:tcW w:w="979"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493" w:type="pct"/>
            <w:tcBorders>
              <w:left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看台</w:t>
            </w:r>
          </w:p>
        </w:tc>
        <w:tc>
          <w:tcPr>
            <w:tcW w:w="936" w:type="pct"/>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4" w:type="pct"/>
            <w:tcBorders>
              <w:bottom w:val="single" w:color="auto" w:sz="4" w:space="0"/>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29</w:t>
            </w:r>
          </w:p>
        </w:tc>
        <w:tc>
          <w:tcPr>
            <w:tcW w:w="97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1493" w:type="pct"/>
            <w:tcBorders>
              <w:left w:val="single" w:color="auto" w:sz="4" w:space="0"/>
              <w:bottom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老琴房</w:t>
            </w:r>
          </w:p>
        </w:tc>
        <w:tc>
          <w:tcPr>
            <w:tcW w:w="936" w:type="pct"/>
          </w:tcPr>
          <w:p>
            <w:pPr>
              <w:jc w:val="center"/>
              <w:rPr>
                <w:rFonts w:hint="eastAsia" w:ascii="宋体" w:hAnsi="宋体" w:cs="宋体"/>
                <w:color w:val="auto"/>
                <w:kern w:val="0"/>
                <w:sz w:val="24"/>
                <w:szCs w:val="24"/>
              </w:rPr>
            </w:pPr>
            <w:r>
              <w:rPr>
                <w:rFonts w:hint="eastAsia" w:ascii="宋体" w:hAnsi="宋体" w:cs="宋体"/>
                <w:color w:val="auto"/>
                <w:kern w:val="0"/>
                <w:sz w:val="24"/>
                <w:szCs w:val="24"/>
              </w:rPr>
              <w:t>1幢</w:t>
            </w:r>
          </w:p>
        </w:tc>
        <w:tc>
          <w:tcPr>
            <w:tcW w:w="925" w:type="pct"/>
          </w:tcPr>
          <w:p>
            <w:pPr>
              <w:jc w:val="center"/>
              <w:rPr>
                <w:rFonts w:hint="eastAsia" w:ascii="宋体" w:hAnsi="宋体" w:cs="宋体"/>
                <w:color w:val="auto"/>
                <w:kern w:val="0"/>
                <w:sz w:val="24"/>
                <w:szCs w:val="24"/>
              </w:rPr>
            </w:pPr>
          </w:p>
        </w:tc>
      </w:tr>
    </w:tbl>
    <w:p>
      <w:pPr>
        <w:ind w:firstLine="480" w:firstLineChars="200"/>
        <w:jc w:val="left"/>
        <w:rPr>
          <w:b w:val="0"/>
          <w:bCs w:val="0"/>
          <w:color w:val="auto"/>
          <w:sz w:val="24"/>
          <w:szCs w:val="24"/>
        </w:rPr>
      </w:pPr>
      <w:r>
        <w:rPr>
          <w:rFonts w:ascii="微软雅黑" w:hAnsi="微软雅黑" w:eastAsia="微软雅黑" w:cs="微软雅黑"/>
          <w:i w:val="0"/>
          <w:iCs w:val="0"/>
          <w:caps w:val="0"/>
          <w:color w:val="auto"/>
          <w:spacing w:val="0"/>
          <w:sz w:val="24"/>
          <w:szCs w:val="24"/>
          <w:shd w:val="clear" w:fill="FFFFFF"/>
        </w:rPr>
        <w:t xml:space="preserve"> </w:t>
      </w:r>
      <w:r>
        <w:rPr>
          <w:rFonts w:hint="eastAsia"/>
          <w:b w:val="0"/>
          <w:bCs w:val="0"/>
          <w:color w:val="auto"/>
          <w:sz w:val="24"/>
          <w:szCs w:val="24"/>
          <w:lang w:val="en-US" w:eastAsia="zh-CN"/>
        </w:rPr>
        <w:t>2、</w:t>
      </w:r>
      <w:r>
        <w:rPr>
          <w:rFonts w:hint="eastAsia"/>
          <w:b w:val="0"/>
          <w:bCs w:val="0"/>
          <w:color w:val="auto"/>
          <w:sz w:val="24"/>
          <w:szCs w:val="24"/>
        </w:rPr>
        <w:t>消杀种类：</w:t>
      </w:r>
      <w:r>
        <w:rPr>
          <w:rFonts w:hint="eastAsia" w:ascii="宋体" w:hAnsi="宋体" w:cs="宋体"/>
          <w:b w:val="0"/>
          <w:bCs w:val="0"/>
          <w:color w:val="auto"/>
          <w:sz w:val="24"/>
          <w:szCs w:val="24"/>
        </w:rPr>
        <w:t>老鼠、蜈蚣、蟑螂、蚊蝇等有害生物。</w:t>
      </w:r>
    </w:p>
    <w:p>
      <w:pPr>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rPr>
        <w:t>消杀时间及次数：合同期内每年4月到10月每月消杀4次，11月到次年3月每月消杀2次，每月的具体消杀时间由消杀公司根据工程总量自行安排。</w:t>
      </w:r>
    </w:p>
    <w:p>
      <w:pPr>
        <w:ind w:firstLine="480" w:firstLineChars="200"/>
        <w:rPr>
          <w:rFonts w:hint="eastAsia"/>
          <w:b w:val="0"/>
          <w:bCs w:val="0"/>
          <w:color w:val="auto"/>
          <w:sz w:val="24"/>
          <w:szCs w:val="24"/>
        </w:rPr>
      </w:pPr>
      <w:r>
        <w:rPr>
          <w:rFonts w:hint="eastAsia"/>
          <w:b w:val="0"/>
          <w:bCs w:val="0"/>
          <w:color w:val="auto"/>
          <w:sz w:val="24"/>
          <w:szCs w:val="24"/>
          <w:lang w:val="en-US" w:eastAsia="zh-CN"/>
        </w:rPr>
        <w:t>4、</w:t>
      </w:r>
      <w:r>
        <w:rPr>
          <w:rFonts w:hint="eastAsia"/>
          <w:b w:val="0"/>
          <w:bCs w:val="0"/>
          <w:color w:val="auto"/>
          <w:sz w:val="24"/>
          <w:szCs w:val="24"/>
        </w:rPr>
        <w:t>具体要求：</w:t>
      </w:r>
    </w:p>
    <w:p>
      <w:pPr>
        <w:ind w:firstLine="480" w:firstLineChars="200"/>
        <w:rPr>
          <w:rFonts w:hint="eastAsia" w:ascii="宋体" w:hAnsi="宋体" w:cs="宋体"/>
          <w:b w:val="0"/>
          <w:bCs w:val="0"/>
          <w:color w:val="auto"/>
          <w:sz w:val="24"/>
          <w:szCs w:val="24"/>
        </w:rPr>
      </w:pPr>
      <w:r>
        <w:rPr>
          <w:rFonts w:hint="eastAsia" w:ascii="宋体" w:hAnsi="宋体" w:cs="宋体"/>
          <w:b w:val="0"/>
          <w:bCs w:val="0"/>
          <w:color w:val="auto"/>
          <w:sz w:val="24"/>
          <w:szCs w:val="24"/>
        </w:rPr>
        <w:t>对办公楼、教学楼内公共卫生间及公共区域绿化、草坪及沟渠进行消杀。</w:t>
      </w:r>
      <w:bookmarkStart w:id="0" w:name="_GoBack"/>
      <w:r>
        <w:rPr>
          <w:rFonts w:hint="eastAsia" w:ascii="宋体" w:hAnsi="宋体" w:cs="宋体"/>
          <w:b w:val="0"/>
          <w:bCs w:val="0"/>
          <w:color w:val="auto"/>
          <w:sz w:val="24"/>
          <w:szCs w:val="24"/>
        </w:rPr>
        <w:t>如遇突发性虫害应在2小时内作出相应措施。</w:t>
      </w:r>
    </w:p>
    <w:bookmarkEnd w:id="0"/>
    <w:p>
      <w:pPr>
        <w:pStyle w:val="2"/>
        <w:ind w:firstLine="480" w:firstLineChars="200"/>
        <w:rPr>
          <w:rFonts w:hint="eastAsia"/>
          <w:b w:val="0"/>
          <w:bCs w:val="0"/>
          <w:color w:val="auto"/>
          <w:sz w:val="24"/>
          <w:szCs w:val="24"/>
        </w:rPr>
      </w:pPr>
      <w:r>
        <w:rPr>
          <w:rFonts w:hint="eastAsia" w:ascii="宋体" w:hAnsi="宋体" w:cs="宋体"/>
          <w:b w:val="0"/>
          <w:bCs w:val="0"/>
          <w:color w:val="auto"/>
          <w:sz w:val="24"/>
          <w:szCs w:val="24"/>
          <w:lang w:val="zh-CN"/>
        </w:rPr>
        <w:t>杀布点以现场实际踏勘为准，消杀合格标准</w:t>
      </w:r>
      <w:r>
        <w:rPr>
          <w:rFonts w:hint="eastAsia" w:ascii="宋体" w:hAnsi="宋体" w:cs="宋体"/>
          <w:b w:val="0"/>
          <w:bCs w:val="0"/>
          <w:color w:val="auto"/>
          <w:sz w:val="24"/>
          <w:szCs w:val="24"/>
          <w:lang w:val="en-US" w:eastAsia="zh-CN"/>
        </w:rPr>
        <w:t>按照</w:t>
      </w:r>
      <w:r>
        <w:rPr>
          <w:rFonts w:hint="eastAsia" w:ascii="宋体" w:hAnsi="宋体" w:cs="宋体"/>
          <w:b w:val="0"/>
          <w:bCs w:val="0"/>
          <w:color w:val="auto"/>
          <w:sz w:val="24"/>
          <w:szCs w:val="24"/>
          <w:lang w:val="zh-CN"/>
        </w:rPr>
        <w:t>国家</w:t>
      </w:r>
      <w:r>
        <w:rPr>
          <w:rFonts w:hint="eastAsia" w:ascii="宋体" w:hAnsi="宋体" w:cs="宋体"/>
          <w:b w:val="0"/>
          <w:bCs w:val="0"/>
          <w:color w:val="auto"/>
          <w:sz w:val="24"/>
          <w:szCs w:val="24"/>
        </w:rPr>
        <w:t>卫生城市除四害标准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“四害”密度控制水平达到或优于 B 级</w:t>
      </w:r>
      <w:r>
        <w:rPr>
          <w:rFonts w:hint="eastAsia" w:ascii="宋体" w:hAnsi="宋体" w:eastAsia="宋体" w:cs="宋体"/>
          <w:b w:val="0"/>
          <w:bCs w:val="0"/>
          <w:color w:val="auto"/>
          <w:sz w:val="24"/>
          <w:szCs w:val="24"/>
          <w:lang w:val="zh-CN"/>
        </w:rPr>
        <w:t>。</w:t>
      </w:r>
    </w:p>
    <w:p>
      <w:pPr>
        <w:rPr>
          <w:color w:val="auto"/>
        </w:rPr>
      </w:pPr>
    </w:p>
    <w:p>
      <w:pPr>
        <w:jc w:val="center"/>
        <w:rPr>
          <w:color w:val="auto"/>
          <w:sz w:val="28"/>
          <w:szCs w:val="28"/>
        </w:rPr>
      </w:pPr>
    </w:p>
    <w:p>
      <w:pPr>
        <w:jc w:val="center"/>
        <w:rPr>
          <w:b/>
          <w:bCs/>
          <w:color w:val="auto"/>
          <w:sz w:val="24"/>
          <w:szCs w:val="24"/>
        </w:rPr>
      </w:pPr>
      <w:r>
        <w:rPr>
          <w:rFonts w:hint="eastAsia"/>
          <w:b/>
          <w:bCs/>
          <w:color w:val="auto"/>
          <w:sz w:val="24"/>
          <w:szCs w:val="24"/>
          <w:lang w:val="en-US" w:eastAsia="zh-CN"/>
        </w:rPr>
        <w:t>（三）</w:t>
      </w:r>
      <w:r>
        <w:rPr>
          <w:rFonts w:hint="eastAsia"/>
          <w:b/>
          <w:bCs/>
          <w:color w:val="auto"/>
          <w:sz w:val="24"/>
          <w:szCs w:val="24"/>
        </w:rPr>
        <w:t>学生公寓除四害消杀需求</w:t>
      </w:r>
    </w:p>
    <w:p>
      <w:pPr>
        <w:numPr>
          <w:ilvl w:val="0"/>
          <w:numId w:val="0"/>
        </w:numPr>
        <w:ind w:leftChars="200"/>
        <w:rPr>
          <w:rFonts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消杀服务范围</w:t>
      </w:r>
    </w:p>
    <w:p>
      <w:pPr>
        <w:pStyle w:val="12"/>
        <w:numPr>
          <w:ilvl w:val="0"/>
          <w:numId w:val="0"/>
        </w:numPr>
        <w:ind w:leftChars="0" w:firstLine="480" w:firstLineChars="200"/>
        <w:rPr>
          <w:rFonts w:ascii="宋体" w:hAnsi="宋体" w:cs="宋体"/>
          <w:color w:val="auto"/>
          <w:sz w:val="24"/>
          <w:szCs w:val="24"/>
        </w:rPr>
      </w:pPr>
      <w:r>
        <w:rPr>
          <w:rFonts w:hint="eastAsia" w:ascii="宋体" w:hAnsi="宋体" w:cs="宋体"/>
          <w:color w:val="auto"/>
          <w:sz w:val="24"/>
          <w:szCs w:val="24"/>
        </w:rPr>
        <w:t>为公寓服务部提供消杀除“四害”和消杀蜈蚣服务，消杀服务的范围包括公寓楼内外所有公共区域、学生寝室及楼宇外规定范围内的绿化带。公寓服务部单体楼宇共计23幢，具体分布如下：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4687"/>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2750"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楼号</w:t>
            </w:r>
          </w:p>
        </w:tc>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勤学苑1号楼</w:t>
            </w:r>
          </w:p>
        </w:tc>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勤学苑2号楼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勤学苑3号楼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勤学苑4号楼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勤学苑5号楼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勤学苑6号楼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勤学苑7号楼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善思苑1号楼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9</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善思苑2号楼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10</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善思苑3号楼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11</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和兴苑1号楼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12</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和兴苑2号楼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13</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和兴苑3号楼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14</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和兴苑4号楼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15</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和兴苑5号楼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16</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和兴苑6号楼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老校区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17</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美嘉苑1号楼</w:t>
            </w:r>
          </w:p>
        </w:tc>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18</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美嘉苑2号楼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19</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美嘉苑3号楼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20</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美嘉苑4号楼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21</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美嘉苑5号楼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22</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美嘉苑6号楼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kern w:val="0"/>
                <w:sz w:val="24"/>
                <w:szCs w:val="24"/>
              </w:rPr>
            </w:pPr>
            <w:r>
              <w:rPr>
                <w:rFonts w:hint="eastAsia" w:ascii="宋体" w:hAnsi="宋体" w:cs="宋体"/>
                <w:color w:val="auto"/>
                <w:kern w:val="0"/>
                <w:sz w:val="24"/>
                <w:szCs w:val="24"/>
              </w:rPr>
              <w:t>23</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美嘉苑7号楼</w:t>
            </w:r>
          </w:p>
        </w:tc>
        <w:tc>
          <w:tcPr>
            <w:tcW w:w="1125" w:type="pct"/>
            <w:tcBorders>
              <w:top w:val="single" w:color="auto" w:sz="4" w:space="0"/>
              <w:left w:val="single" w:color="auto" w:sz="4" w:space="0"/>
              <w:bottom w:val="single" w:color="auto" w:sz="4" w:space="0"/>
              <w:right w:val="single" w:color="auto" w:sz="4" w:space="0"/>
            </w:tcBorders>
          </w:tcPr>
          <w:p>
            <w:pPr>
              <w:jc w:val="center"/>
              <w:rPr>
                <w:color w:val="auto"/>
                <w:kern w:val="0"/>
                <w:sz w:val="24"/>
                <w:szCs w:val="24"/>
              </w:rPr>
            </w:pPr>
            <w:r>
              <w:rPr>
                <w:rFonts w:hint="eastAsia" w:ascii="宋体" w:hAnsi="宋体" w:cs="宋体"/>
                <w:color w:val="auto"/>
                <w:kern w:val="0"/>
                <w:sz w:val="24"/>
                <w:szCs w:val="24"/>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24</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 w:val="24"/>
                <w:szCs w:val="24"/>
              </w:rPr>
            </w:pPr>
            <w:r>
              <w:rPr>
                <w:rFonts w:hint="eastAsia" w:ascii="宋体" w:hAnsi="宋体" w:eastAsia="宋体" w:cs="宋体"/>
                <w:color w:val="auto"/>
                <w:kern w:val="0"/>
                <w:sz w:val="24"/>
                <w:szCs w:val="24"/>
                <w:lang w:val="en-US" w:eastAsia="zh-CN" w:bidi="ar-SA"/>
              </w:rPr>
              <w:t>寝室楼A</w:t>
            </w:r>
          </w:p>
        </w:tc>
        <w:tc>
          <w:tcPr>
            <w:tcW w:w="1125" w:type="pct"/>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平湖校区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 w:val="24"/>
                <w:szCs w:val="24"/>
              </w:rPr>
            </w:pPr>
            <w:r>
              <w:rPr>
                <w:rFonts w:hint="eastAsia" w:ascii="宋体" w:hAnsi="宋体" w:eastAsia="宋体" w:cs="宋体"/>
                <w:color w:val="auto"/>
                <w:kern w:val="0"/>
                <w:sz w:val="24"/>
                <w:szCs w:val="24"/>
                <w:lang w:val="en-US" w:eastAsia="zh-CN" w:bidi="ar-SA"/>
              </w:rPr>
              <w:t>寝室楼B</w:t>
            </w:r>
          </w:p>
        </w:tc>
        <w:tc>
          <w:tcPr>
            <w:tcW w:w="1125"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平湖校区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25" w:type="pct"/>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26</w:t>
            </w:r>
          </w:p>
        </w:tc>
        <w:tc>
          <w:tcPr>
            <w:tcW w:w="27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 w:val="24"/>
                <w:szCs w:val="24"/>
              </w:rPr>
            </w:pPr>
            <w:r>
              <w:rPr>
                <w:rFonts w:hint="eastAsia" w:ascii="宋体" w:hAnsi="宋体" w:eastAsia="宋体" w:cs="宋体"/>
                <w:color w:val="auto"/>
                <w:kern w:val="0"/>
                <w:sz w:val="24"/>
                <w:szCs w:val="24"/>
                <w:lang w:val="en-US" w:eastAsia="zh-CN" w:bidi="ar-SA"/>
              </w:rPr>
              <w:t>寝室楼C</w:t>
            </w:r>
          </w:p>
        </w:tc>
        <w:tc>
          <w:tcPr>
            <w:tcW w:w="1125"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平湖校区</w:t>
            </w:r>
          </w:p>
        </w:tc>
      </w:tr>
    </w:tbl>
    <w:p>
      <w:pPr>
        <w:pStyle w:val="12"/>
        <w:numPr>
          <w:ilvl w:val="0"/>
          <w:numId w:val="0"/>
        </w:numPr>
        <w:ind w:left="567" w:leftChars="0"/>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color w:val="auto"/>
          <w:sz w:val="24"/>
          <w:szCs w:val="24"/>
        </w:rPr>
        <w:t>消杀种类：</w:t>
      </w:r>
      <w:r>
        <w:rPr>
          <w:rFonts w:hint="eastAsia" w:ascii="宋体" w:hAnsi="宋体" w:cs="宋体"/>
          <w:color w:val="auto"/>
          <w:sz w:val="24"/>
          <w:szCs w:val="24"/>
        </w:rPr>
        <w:t>老鼠、蜈蚣、蟑螂、蚊蝇等有害生物。</w:t>
      </w:r>
    </w:p>
    <w:p>
      <w:pPr>
        <w:numPr>
          <w:ilvl w:val="0"/>
          <w:numId w:val="0"/>
        </w:numPr>
        <w:ind w:left="630" w:leftChars="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基本要求</w:t>
      </w:r>
    </w:p>
    <w:p>
      <w:pPr>
        <w:pStyle w:val="12"/>
        <w:numPr>
          <w:ilvl w:val="0"/>
          <w:numId w:val="0"/>
        </w:numPr>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消杀时间及次数：在合同期内每月消杀4次，对公寓服务部所属公寓楼宇内公共区域及楼外绿化、草坪及沟渠进行消杀。每月的具体消杀时间由消杀公司根据总量自行安排，如遇特殊情况需要进行调整的由双方协商确定。每次消杀要求到各公寓楼值班室登记，做好相应记录。消杀公司固定人员对接公寓服务部，楼内有消杀需求及时联系。</w:t>
      </w:r>
    </w:p>
    <w:p>
      <w:pPr>
        <w:pStyle w:val="12"/>
        <w:numPr>
          <w:ilvl w:val="0"/>
          <w:numId w:val="0"/>
        </w:numPr>
        <w:ind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杀布点以现场实际踏勘为准，消杀合格标准</w:t>
      </w:r>
      <w:r>
        <w:rPr>
          <w:rFonts w:hint="eastAsia" w:ascii="宋体" w:hAnsi="宋体" w:eastAsia="宋体" w:cs="宋体"/>
          <w:color w:val="auto"/>
          <w:sz w:val="24"/>
          <w:szCs w:val="24"/>
          <w:lang w:val="en-US" w:eastAsia="zh-CN"/>
        </w:rPr>
        <w:t>按照</w:t>
      </w:r>
      <w:r>
        <w:rPr>
          <w:rFonts w:hint="eastAsia" w:ascii="宋体" w:hAnsi="宋体" w:eastAsia="宋体" w:cs="宋体"/>
          <w:color w:val="auto"/>
          <w:sz w:val="24"/>
          <w:szCs w:val="24"/>
          <w:lang w:val="zh-CN" w:eastAsia="zh-CN"/>
        </w:rPr>
        <w:t>国家</w:t>
      </w:r>
      <w:r>
        <w:rPr>
          <w:rFonts w:hint="eastAsia" w:ascii="宋体" w:hAnsi="宋体" w:eastAsia="宋体" w:cs="宋体"/>
          <w:color w:val="auto"/>
          <w:sz w:val="24"/>
          <w:szCs w:val="24"/>
          <w:lang w:val="en-US" w:eastAsia="zh-CN"/>
        </w:rPr>
        <w:t>卫生城市除四害标准，“四害”密度控制水平达到或优于 B 级</w:t>
      </w:r>
      <w:r>
        <w:rPr>
          <w:rFonts w:hint="eastAsia" w:ascii="宋体" w:hAnsi="宋体" w:eastAsia="宋体" w:cs="宋体"/>
          <w:color w:val="auto"/>
          <w:sz w:val="24"/>
          <w:szCs w:val="24"/>
          <w:lang w:val="zh-CN" w:eastAsia="zh-CN"/>
        </w:rPr>
        <w:t>。</w:t>
      </w:r>
    </w:p>
    <w:p>
      <w:pPr>
        <w:pStyle w:val="12"/>
        <w:numPr>
          <w:ilvl w:val="0"/>
          <w:numId w:val="0"/>
        </w:numPr>
        <w:ind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配合市里及</w:t>
      </w:r>
      <w:r>
        <w:rPr>
          <w:rFonts w:hint="eastAsia" w:ascii="宋体" w:hAnsi="宋体" w:eastAsia="宋体" w:cs="宋体"/>
          <w:color w:val="auto"/>
          <w:sz w:val="24"/>
          <w:szCs w:val="24"/>
          <w:lang w:val="en-US" w:eastAsia="zh-CN"/>
        </w:rPr>
        <w:t>学校</w:t>
      </w:r>
      <w:r>
        <w:rPr>
          <w:rFonts w:hint="eastAsia" w:ascii="宋体" w:hAnsi="宋体" w:eastAsia="宋体" w:cs="宋体"/>
          <w:color w:val="auto"/>
          <w:sz w:val="24"/>
          <w:szCs w:val="24"/>
        </w:rPr>
        <w:t>做好除四害工作</w:t>
      </w:r>
      <w:r>
        <w:rPr>
          <w:rFonts w:hint="eastAsia" w:ascii="宋体" w:hAnsi="宋体" w:eastAsia="宋体" w:cs="宋体"/>
          <w:color w:val="auto"/>
          <w:sz w:val="24"/>
          <w:szCs w:val="24"/>
          <w:lang w:val="en-US" w:eastAsia="zh-CN"/>
        </w:rPr>
        <w:t>宣传。</w:t>
      </w:r>
    </w:p>
    <w:p>
      <w:pPr>
        <w:pStyle w:val="2"/>
        <w:keepNext/>
        <w:keepLines/>
        <w:pageBreakBefore w:val="0"/>
        <w:widowControl w:val="0"/>
        <w:kinsoku/>
        <w:wordWrap/>
        <w:overflowPunct/>
        <w:topLinePunct w:val="0"/>
        <w:autoSpaceDE/>
        <w:autoSpaceDN/>
        <w:bidi w:val="0"/>
        <w:adjustRightInd/>
        <w:snapToGrid/>
        <w:spacing w:line="460" w:lineRule="exact"/>
        <w:textAlignment w:val="auto"/>
        <w:outlineLvl w:val="1"/>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bCs/>
          <w:color w:val="auto"/>
          <w:kern w:val="2"/>
          <w:sz w:val="24"/>
          <w:szCs w:val="24"/>
          <w:lang w:val="en-US" w:eastAsia="zh-CN" w:bidi="ar-SA"/>
        </w:rPr>
        <w:t>二、资料收集和分析</w:t>
      </w:r>
    </w:p>
    <w:p>
      <w:pPr>
        <w:pStyle w:val="12"/>
        <w:pageBreakBefore w:val="0"/>
        <w:numPr>
          <w:ilvl w:val="0"/>
          <w:numId w:val="1"/>
        </w:numPr>
        <w:kinsoku/>
        <w:wordWrap/>
        <w:overflowPunct/>
        <w:topLinePunct w:val="0"/>
        <w:bidi w:val="0"/>
        <w:snapToGrid/>
        <w:spacing w:line="460" w:lineRule="exact"/>
        <w:ind w:firstLineChars="0"/>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消杀人员每次作业要做好现场作业记录，并有业主方认可签字。</w:t>
      </w:r>
    </w:p>
    <w:p>
      <w:pPr>
        <w:pStyle w:val="12"/>
        <w:pageBreakBefore w:val="0"/>
        <w:numPr>
          <w:ilvl w:val="0"/>
          <w:numId w:val="1"/>
        </w:numPr>
        <w:kinsoku/>
        <w:wordWrap/>
        <w:overflowPunct/>
        <w:topLinePunct w:val="0"/>
        <w:bidi w:val="0"/>
        <w:snapToGrid/>
        <w:spacing w:line="460" w:lineRule="exact"/>
        <w:ind w:firstLineChars="0"/>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每次密度监测数据确切、正确记录、统计，统一上报。</w:t>
      </w:r>
    </w:p>
    <w:p>
      <w:pPr>
        <w:pStyle w:val="12"/>
        <w:pageBreakBefore w:val="0"/>
        <w:numPr>
          <w:ilvl w:val="0"/>
          <w:numId w:val="1"/>
        </w:numPr>
        <w:kinsoku/>
        <w:wordWrap/>
        <w:overflowPunct/>
        <w:topLinePunct w:val="0"/>
        <w:bidi w:val="0"/>
        <w:snapToGrid/>
        <w:spacing w:line="460" w:lineRule="exact"/>
        <w:ind w:firstLineChars="0"/>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建立服务回访制度，向业主了解对服务工作的意见和满意度，每季度走访一次。</w:t>
      </w:r>
    </w:p>
    <w:p>
      <w:pPr>
        <w:pStyle w:val="12"/>
        <w:pageBreakBefore w:val="0"/>
        <w:numPr>
          <w:ilvl w:val="0"/>
          <w:numId w:val="1"/>
        </w:numPr>
        <w:kinsoku/>
        <w:wordWrap/>
        <w:overflowPunct/>
        <w:topLinePunct w:val="0"/>
        <w:bidi w:val="0"/>
        <w:snapToGrid/>
        <w:spacing w:line="460" w:lineRule="exact"/>
        <w:ind w:firstLineChars="0"/>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专人负责月度计划、小结、工作记录表、密度报表汇总、分析，于每月初前上报。</w:t>
      </w:r>
    </w:p>
    <w:p>
      <w:pPr>
        <w:pStyle w:val="12"/>
        <w:numPr>
          <w:ilvl w:val="0"/>
          <w:numId w:val="0"/>
        </w:numPr>
        <w:ind w:leftChars="0" w:firstLine="480" w:firstLineChars="200"/>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其他迎检资料:包括技术方案、实施方案、药物“三证”、宣传资料等。</w:t>
      </w:r>
    </w:p>
    <w:p>
      <w:pPr>
        <w:pStyle w:val="12"/>
        <w:numPr>
          <w:ilvl w:val="0"/>
          <w:numId w:val="0"/>
        </w:numPr>
        <w:ind w:leftChars="0" w:firstLine="482" w:firstLineChars="200"/>
        <w:rPr>
          <w:rFonts w:hint="eastAsia" w:asciiTheme="minorEastAsia" w:hAnsiTheme="minorEastAsia" w:eastAsiaTheme="minorEastAsia" w:cstheme="minorBidi"/>
          <w:b/>
          <w:bCs/>
          <w:color w:val="auto"/>
          <w:kern w:val="2"/>
          <w:sz w:val="24"/>
          <w:szCs w:val="24"/>
          <w:lang w:val="en-US" w:eastAsia="zh-CN" w:bidi="ar-SA"/>
        </w:rPr>
      </w:pPr>
    </w:p>
    <w:p>
      <w:pPr>
        <w:pStyle w:val="12"/>
        <w:numPr>
          <w:ilvl w:val="0"/>
          <w:numId w:val="0"/>
        </w:numPr>
        <w:rPr>
          <w:rFonts w:hint="eastAsia" w:asciiTheme="minorEastAsia" w:hAnsiTheme="minorEastAsia" w:eastAsiaTheme="minorEastAsia" w:cstheme="minorBidi"/>
          <w:b/>
          <w:bCs/>
          <w:color w:val="auto"/>
          <w:kern w:val="2"/>
          <w:sz w:val="24"/>
          <w:szCs w:val="24"/>
          <w:lang w:val="en-US" w:eastAsia="zh-CN" w:bidi="ar-SA"/>
        </w:rPr>
      </w:pPr>
      <w:r>
        <w:rPr>
          <w:rFonts w:hint="eastAsia" w:asciiTheme="minorEastAsia" w:hAnsiTheme="minorEastAsia" w:eastAsiaTheme="minorEastAsia" w:cstheme="minorBidi"/>
          <w:b/>
          <w:bCs/>
          <w:color w:val="auto"/>
          <w:kern w:val="2"/>
          <w:sz w:val="24"/>
          <w:szCs w:val="24"/>
          <w:lang w:val="en-US" w:eastAsia="zh-CN" w:bidi="ar-SA"/>
        </w:rPr>
        <w:t>三、配合服务承诺</w:t>
      </w:r>
    </w:p>
    <w:p>
      <w:pPr>
        <w:pStyle w:val="12"/>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1、全面响应采购文件中的采购需求、各项要求；</w:t>
      </w:r>
    </w:p>
    <w:p>
      <w:pPr>
        <w:pStyle w:val="12"/>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2.严格执行参加投标时提供的公共环境除四害实施方案、技术方案；</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1"/>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3.选用除四害药物符合国家规定要求的药物；</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1"/>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4.应科学规范地使用药物，确保人、禽的安全；</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1"/>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5.保证履行招标文件中规定的各项协议条款。</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1"/>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6.确保所承担的服务区域、服务单位的病媒生物(鼠、蚊、蝇、嶂螂)密度达到国家病媒生物密度控制标准。</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1"/>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7.合同签订后3天内上报驻地消杀人员和负责人具体名单、联系电话及除害设施设置地点等资料。</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1"/>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8.消杀人员按申报工作计划的到岗率、消杀到位率:100%</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1"/>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9.不使用国家禁用的药物，将使用药物记录备案备查。</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1"/>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10.按计划开展除四害健康教育宣传，并提供相应活动资料。</w:t>
      </w:r>
    </w:p>
    <w:p>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 xml:space="preserve">11.对项目区域的病媒生物(鼠、蚊、蝇、嶂螂)密度监测进行自查自测。 </w:t>
      </w:r>
    </w:p>
    <w:p>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1</w:t>
      </w:r>
      <w:r>
        <w:rPr>
          <w:rFonts w:hint="eastAsia" w:asciiTheme="minorEastAsia" w:hAnsiTheme="minorEastAsia" w:cstheme="minorBidi"/>
          <w:b w:val="0"/>
          <w:bCs w:val="0"/>
          <w:color w:val="auto"/>
          <w:kern w:val="2"/>
          <w:sz w:val="24"/>
          <w:szCs w:val="24"/>
          <w:lang w:val="en-US" w:eastAsia="zh-CN" w:bidi="ar-SA"/>
        </w:rPr>
        <w:t>2</w:t>
      </w:r>
      <w:r>
        <w:rPr>
          <w:rFonts w:hint="eastAsia" w:asciiTheme="minorEastAsia" w:hAnsiTheme="minorEastAsia" w:eastAsiaTheme="minorEastAsia" w:cstheme="minorBidi"/>
          <w:b w:val="0"/>
          <w:bCs w:val="0"/>
          <w:color w:val="auto"/>
          <w:kern w:val="2"/>
          <w:sz w:val="24"/>
          <w:szCs w:val="24"/>
          <w:lang w:val="en-US" w:eastAsia="zh-CN" w:bidi="ar-SA"/>
        </w:rPr>
        <w:t>、遇客户单位有政治任务和公益性等任务时，无条件配合做好工作。</w:t>
      </w:r>
    </w:p>
    <w:p>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1</w:t>
      </w:r>
      <w:r>
        <w:rPr>
          <w:rFonts w:hint="eastAsia" w:asciiTheme="minorEastAsia" w:hAnsiTheme="minorEastAsia" w:cstheme="minorBidi"/>
          <w:b w:val="0"/>
          <w:bCs w:val="0"/>
          <w:color w:val="auto"/>
          <w:kern w:val="2"/>
          <w:sz w:val="24"/>
          <w:szCs w:val="24"/>
          <w:lang w:val="en-US" w:eastAsia="zh-CN" w:bidi="ar-SA"/>
        </w:rPr>
        <w:t>3</w:t>
      </w:r>
      <w:r>
        <w:rPr>
          <w:rFonts w:hint="eastAsia" w:asciiTheme="minorEastAsia" w:hAnsiTheme="minorEastAsia" w:eastAsiaTheme="minorEastAsia" w:cstheme="minorBidi"/>
          <w:b w:val="0"/>
          <w:bCs w:val="0"/>
          <w:color w:val="auto"/>
          <w:kern w:val="2"/>
          <w:sz w:val="24"/>
          <w:szCs w:val="24"/>
          <w:lang w:val="en-US" w:eastAsia="zh-CN" w:bidi="ar-SA"/>
        </w:rPr>
        <w:t>、按要求制作、上报各项资料。</w:t>
      </w:r>
    </w:p>
    <w:p>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1</w:t>
      </w:r>
      <w:r>
        <w:rPr>
          <w:rFonts w:hint="eastAsia" w:asciiTheme="minorEastAsia" w:hAnsiTheme="minorEastAsia" w:cstheme="minorBidi"/>
          <w:b w:val="0"/>
          <w:bCs w:val="0"/>
          <w:color w:val="auto"/>
          <w:kern w:val="2"/>
          <w:sz w:val="24"/>
          <w:szCs w:val="24"/>
          <w:lang w:val="en-US" w:eastAsia="zh-CN" w:bidi="ar-SA"/>
        </w:rPr>
        <w:t>4</w:t>
      </w:r>
      <w:r>
        <w:rPr>
          <w:rFonts w:hint="eastAsia" w:asciiTheme="minorEastAsia" w:hAnsiTheme="minorEastAsia" w:eastAsiaTheme="minorEastAsia" w:cstheme="minorBidi"/>
          <w:b w:val="0"/>
          <w:bCs w:val="0"/>
          <w:color w:val="auto"/>
          <w:kern w:val="2"/>
          <w:sz w:val="24"/>
          <w:szCs w:val="24"/>
          <w:lang w:val="en-US" w:eastAsia="zh-CN" w:bidi="ar-SA"/>
        </w:rPr>
        <w:t>、遵守劳动法相关规定，与每位员工签订劳动合同，出现劳动纠纷事件一律与采购方无关，并加强对员工的培训、教育，爱护公共财物，确保安全工作，杜绝各类事故。</w:t>
      </w:r>
    </w:p>
    <w:p>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15、工作人员的日常管理及人身安全和发生安全事故等均由供应商管理和承担。</w:t>
      </w:r>
    </w:p>
    <w:p>
      <w:pPr>
        <w:pStyle w:val="12"/>
        <w:numPr>
          <w:ilvl w:val="0"/>
          <w:numId w:val="0"/>
        </w:numPr>
        <w:ind w:leftChars="0" w:firstLine="560" w:firstLineChars="200"/>
        <w:rPr>
          <w:rFonts w:hint="eastAsia" w:asciiTheme="minorEastAsia" w:hAnsiTheme="minorEastAsia" w:eastAsiaTheme="minorEastAsia" w:cstheme="minorBidi"/>
          <w:b w:val="0"/>
          <w:bCs w:val="0"/>
          <w:kern w:val="2"/>
          <w:sz w:val="28"/>
          <w:szCs w:val="28"/>
          <w:lang w:val="en-US" w:eastAsia="zh-CN" w:bidi="ar-SA"/>
        </w:rPr>
      </w:pPr>
    </w:p>
    <w:p>
      <w:pPr>
        <w:jc w:val="cente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24D55"/>
    <w:multiLevelType w:val="multilevel"/>
    <w:tmpl w:val="7A624D55"/>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MThjODFiMzNkZWQwNWYzZTAwMTZjZGUyNjk0Y2UifQ=="/>
  </w:docVars>
  <w:rsids>
    <w:rsidRoot w:val="00D527E4"/>
    <w:rsid w:val="000E18EC"/>
    <w:rsid w:val="00145BA8"/>
    <w:rsid w:val="001A542E"/>
    <w:rsid w:val="002E42CA"/>
    <w:rsid w:val="003A3B3A"/>
    <w:rsid w:val="005E4D3D"/>
    <w:rsid w:val="006B5670"/>
    <w:rsid w:val="007F0997"/>
    <w:rsid w:val="00975ED1"/>
    <w:rsid w:val="00AD1460"/>
    <w:rsid w:val="00C44E4F"/>
    <w:rsid w:val="00D527E4"/>
    <w:rsid w:val="133D50BA"/>
    <w:rsid w:val="320F6EAB"/>
    <w:rsid w:val="4B6E2ED7"/>
    <w:rsid w:val="660326DF"/>
    <w:rsid w:val="674E6D61"/>
    <w:rsid w:val="6EC9118E"/>
    <w:rsid w:val="74456531"/>
    <w:rsid w:val="7EA2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sz w:val="84"/>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semiHidden/>
    <w:unhideWhenUsed/>
    <w:qFormat/>
    <w:uiPriority w:val="99"/>
    <w:pPr>
      <w:ind w:firstLine="643" w:firstLineChars="200"/>
    </w:pPr>
    <w:rPr>
      <w:rFonts w:eastAsia="宋体" w:cs="Times New Roman"/>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rFonts w:ascii="Calibri" w:hAnsi="Calibri" w:eastAsia="宋体" w:cs="Times New Roman"/>
      <w:sz w:val="18"/>
      <w:szCs w:val="18"/>
    </w:rPr>
  </w:style>
  <w:style w:type="character" w:customStyle="1" w:styleId="11">
    <w:name w:val="页脚 Char"/>
    <w:basedOn w:val="9"/>
    <w:link w:val="4"/>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256</Words>
  <Characters>1462</Characters>
  <Lines>12</Lines>
  <Paragraphs>3</Paragraphs>
  <TotalTime>31</TotalTime>
  <ScaleCrop>false</ScaleCrop>
  <LinksUpToDate>false</LinksUpToDate>
  <CharactersWithSpaces>1715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2021-09-30T03:33:00Z</dcterms:created>
  <dc:creator>User</dc:creator>
  <cp:lastModifiedBy>夏冬</cp:lastModifiedBy>
  <dcterms:modified xsi:type="dcterms:W3CDTF">2023-12-07T01:46:28Z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EACF76A0B9C14F11AED438AF1FE48879_13</vt:lpwstr>
  </property>
</Properties>
</file>