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bookmarkStart w:id="0" w:name="_GoBack"/>
      <w:bookmarkEnd w:id="0"/>
      <w:r>
        <w:rPr>
          <w:rFonts w:asciiTheme="minorHAnsi" w:hAnsiTheme="minorHAnsi" w:eastAsiaTheme="minorEastAsia" w:cstheme="minorBidi"/>
          <w:b/>
          <w:snapToGrid/>
          <w:kern w:val="2"/>
          <w:sz w:val="36"/>
          <w:szCs w:val="24"/>
        </w:rPr>
        <w:t>采购需求</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b/>
          <w:snapToGrid/>
          <w:kern w:val="2"/>
          <w:sz w:val="28"/>
          <w:szCs w:val="24"/>
        </w:rPr>
        <w:t>一、项目概况：</w:t>
      </w:r>
    </w:p>
    <w:p>
      <w:pPr>
        <w:widowControl w:val="0"/>
        <w:kinsoku/>
        <w:autoSpaceDE/>
        <w:autoSpaceDN/>
        <w:adjustRightInd/>
        <w:snapToGrid/>
        <w:ind w:firstLine="422"/>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b/>
          <w:snapToGrid/>
          <w:color w:val="000000"/>
          <w:kern w:val="2"/>
          <w:sz w:val="21"/>
          <w:szCs w:val="24"/>
        </w:rPr>
        <w:t>（一）总则</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color w:val="000000"/>
          <w:kern w:val="2"/>
          <w:sz w:val="21"/>
          <w:szCs w:val="24"/>
        </w:rPr>
        <w:t>1.投标人须对本项目所投采购包对应内容进行整体投标，任何只对所投采购包其中一部分内容进行的投标都将被视为无效投标。</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2.本项目由中标供应商承包及负责招标文件对中标供应商要求的一切事宜及责任。</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3.中标供应商未经采购人批准，不得以任何方式转包或分包本项目。</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4.采购需求中标有“★”的条款为实质性条款，有任意一条偏离的将按无效投标处理。</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采购包1（翠亨新区（南朗街道）病媒生物管理数字化试点暨“无蚊村庄”创建服务项目）</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b/>
          <w:snapToGrid/>
          <w:kern w:val="2"/>
          <w:szCs w:val="24"/>
        </w:rPr>
        <w:t>1.主要商务要求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标的提供的时间</w:t>
            </w:r>
          </w:p>
        </w:tc>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自合同签订之日起1年。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标的提供的地点</w:t>
            </w:r>
          </w:p>
        </w:tc>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付款方式</w:t>
            </w:r>
          </w:p>
        </w:tc>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1期：支付比例100%,合同签订后所有设备安装部署完毕支付合同总价款的20%；中标供应商自合同签订日每三个月向采购人递交服务报告并按照验收标准考核达标后，采购人支付合同总价20%做为合同进度款，根据服务期限，按照每三个月为一周期，共提交四次服务报告和申请四次合同进度款，考核不达标的，按照验收标准约定执行。付款前，中标供应商应提供符合采购人要求的合法税票，否则采购人有权拒绝付款，且不承担任何逾期付款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验收要求</w:t>
            </w:r>
          </w:p>
        </w:tc>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1期：为监督中标供应商切实履行其责任和义务，确保合同服务区内病媒生物管理工作的质量与效果，根据本项目的工作要求和质量标准及病媒生物管理工作的特点制定本检查考核办法。 采购人落实对中标供应商的检查考核。依据考核细则对中标供应商进行综合考核，85分（含85分）以上为合格；不足85分的，每低一分扣除当季进度款的1%。若一月内中标供应商整改后的考核得分仍低于70分（不含70分），采购人有权终止合同。 日常随机检查以直接扣减费用款项的方式实施，依据考核细则对中标供应商工作进行随机检查，发现存在问题即向中标供应商发出扣减款通知单，并提出整改要求，逾期未达整改要求的以双倍扣减处理。 具体考核细则见附表：《病媒生物管理项目质量考核细则》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履约保证金</w:t>
            </w:r>
          </w:p>
        </w:tc>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其他</w:t>
            </w:r>
          </w:p>
        </w:tc>
        <w:tc>
          <w:tcPr>
            <w:tcW w:w="4153"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r>
    </w:tbl>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b/>
          <w:snapToGrid/>
          <w:kern w:val="2"/>
          <w:szCs w:val="24"/>
        </w:rPr>
        <w:t>2.技术标准与要求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7"/>
        <w:gridCol w:w="838"/>
        <w:gridCol w:w="877"/>
        <w:gridCol w:w="838"/>
        <w:gridCol w:w="868"/>
        <w:gridCol w:w="1332"/>
        <w:gridCol w:w="1332"/>
        <w:gridCol w:w="762"/>
        <w:gridCol w:w="8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序号</w:t>
            </w:r>
          </w:p>
        </w:tc>
        <w:tc>
          <w:tcPr>
            <w:tcW w:w="838" w:type="dxa"/>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品目名称</w:t>
            </w:r>
          </w:p>
        </w:tc>
        <w:tc>
          <w:tcPr>
            <w:tcW w:w="877" w:type="dxa"/>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标的名称</w:t>
            </w:r>
          </w:p>
        </w:tc>
        <w:tc>
          <w:tcPr>
            <w:tcW w:w="838" w:type="dxa"/>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单位</w:t>
            </w:r>
          </w:p>
        </w:tc>
        <w:tc>
          <w:tcPr>
            <w:tcW w:w="868" w:type="dxa"/>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数量</w:t>
            </w:r>
          </w:p>
        </w:tc>
        <w:tc>
          <w:tcPr>
            <w:tcW w:w="1332" w:type="dxa"/>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分项预算单价（元）</w:t>
            </w:r>
          </w:p>
        </w:tc>
        <w:tc>
          <w:tcPr>
            <w:tcW w:w="1332" w:type="dxa"/>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分项预算总价（元）</w:t>
            </w:r>
          </w:p>
        </w:tc>
        <w:tc>
          <w:tcPr>
            <w:tcW w:w="762" w:type="dxa"/>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所属行业</w:t>
            </w:r>
          </w:p>
        </w:tc>
        <w:tc>
          <w:tcPr>
            <w:tcW w:w="838" w:type="dxa"/>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7" w:type="dxa"/>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1</w:t>
            </w:r>
          </w:p>
        </w:tc>
        <w:tc>
          <w:tcPr>
            <w:tcW w:w="838" w:type="dxa"/>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其他服务</w:t>
            </w:r>
          </w:p>
        </w:tc>
        <w:tc>
          <w:tcPr>
            <w:tcW w:w="877" w:type="dxa"/>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翠亨新区（南朗街道）病媒生物管理数字化试点暨“无蚊村庄”创建服务项目</w:t>
            </w:r>
          </w:p>
        </w:tc>
        <w:tc>
          <w:tcPr>
            <w:tcW w:w="838" w:type="dxa"/>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项</w:t>
            </w:r>
          </w:p>
        </w:tc>
        <w:tc>
          <w:tcPr>
            <w:tcW w:w="868" w:type="dxa"/>
            <w:vAlign w:val="top"/>
          </w:tcPr>
          <w:p>
            <w:pPr>
              <w:widowControl w:val="0"/>
              <w:kinsoku/>
              <w:autoSpaceDE/>
              <w:autoSpaceDN/>
              <w:adjustRightInd/>
              <w:snapToGrid/>
              <w:jc w:val="righ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1.00</w:t>
            </w:r>
          </w:p>
        </w:tc>
        <w:tc>
          <w:tcPr>
            <w:tcW w:w="1332" w:type="dxa"/>
            <w:vAlign w:val="top"/>
          </w:tcPr>
          <w:p>
            <w:pPr>
              <w:widowControl w:val="0"/>
              <w:kinsoku/>
              <w:autoSpaceDE/>
              <w:autoSpaceDN/>
              <w:adjustRightInd/>
              <w:snapToGrid/>
              <w:jc w:val="righ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1,038,600.05</w:t>
            </w:r>
          </w:p>
        </w:tc>
        <w:tc>
          <w:tcPr>
            <w:tcW w:w="1332" w:type="dxa"/>
            <w:vAlign w:val="top"/>
          </w:tcPr>
          <w:p>
            <w:pPr>
              <w:widowControl w:val="0"/>
              <w:kinsoku/>
              <w:autoSpaceDE/>
              <w:autoSpaceDN/>
              <w:adjustRightInd/>
              <w:snapToGrid/>
              <w:jc w:val="righ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1,038,600.05</w:t>
            </w:r>
          </w:p>
        </w:tc>
        <w:tc>
          <w:tcPr>
            <w:tcW w:w="762" w:type="dxa"/>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其他未列明行业</w:t>
            </w:r>
          </w:p>
        </w:tc>
        <w:tc>
          <w:tcPr>
            <w:tcW w:w="838" w:type="dxa"/>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详见附表一</w:t>
            </w:r>
          </w:p>
        </w:tc>
      </w:tr>
    </w:tbl>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b/>
          <w:snapToGrid/>
          <w:kern w:val="2"/>
          <w:szCs w:val="24"/>
        </w:rPr>
        <w:t>附表一：翠亨新区（南朗街道）病媒生物管理数字化试点暨“无蚊村庄”创建服务项目</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4"/>
        <w:gridCol w:w="675"/>
        <w:gridCol w:w="65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4"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参数性质</w:t>
            </w:r>
          </w:p>
        </w:tc>
        <w:tc>
          <w:tcPr>
            <w:tcW w:w="675"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序号</w:t>
            </w:r>
          </w:p>
        </w:tc>
        <w:tc>
          <w:tcPr>
            <w:tcW w:w="6537"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4"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675"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1</w:t>
            </w:r>
          </w:p>
        </w:tc>
        <w:tc>
          <w:tcPr>
            <w:tcW w:w="6537"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一、措施的必要性</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利用专业技术手段加强病媒生物监测，及时掌握病媒生物密度、种属和孳生情况，才能科学制定防制方案。并通过日常防制和集中防制、专业防制和常规防制相结合，积极开展以环境治理为主、药物防制为辅的病媒生物防制工作。消除病媒生物孳生环境，切断传染病传播途径，提升病媒生物防制能力，抑制病媒生物的生长和传播速度。有效防控登革热、寨卡病毒病等媒介传染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4"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675"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2</w:t>
            </w:r>
          </w:p>
        </w:tc>
        <w:tc>
          <w:tcPr>
            <w:tcW w:w="6537"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二、项目实施方案基本概述</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通过购买有专业资质的第三方服务，利用数据化、智能化、可视化的智能病媒监测平台对辖区内重点区域的蚊媒孳生地、密度、防制频次及手段进行数据采集与分析，同时结合常态化人工巡查，制定出切实可行的蚊媒防制方案，最终实现病媒监测→病媒预警→病媒防制→防制评估及病媒生物管理的良性循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4"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675"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3</w:t>
            </w:r>
          </w:p>
        </w:tc>
        <w:tc>
          <w:tcPr>
            <w:tcW w:w="6537"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b/>
                <w:snapToGrid/>
                <w:kern w:val="2"/>
                <w:sz w:val="21"/>
                <w:szCs w:val="24"/>
              </w:rPr>
              <w:t>三、项目试点区域</w:t>
            </w:r>
            <w:r>
              <w:rPr>
                <w:rFonts w:asciiTheme="minorHAnsi" w:hAnsiTheme="minorHAnsi" w:eastAsiaTheme="minorEastAsia" w:cstheme="minorBidi"/>
                <w:snapToGrid/>
                <w:kern w:val="2"/>
                <w:sz w:val="21"/>
                <w:szCs w:val="24"/>
              </w:rPr>
              <w:t>★</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总服务面积为翠亨新区（南朗街道）辖区内试点区域约9平方公里的公共外环境，根据区域实际需要，共计投放不少于10台蚊媒智能监测终端机和不少于100台太阳能户外智能灭蚊器，并通过人工巡查做好全面监测和防制工作。</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1.翠湖公园：划定以翠湖公园（包含规划馆）为中心的范围内约1平方公里。</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2.南朗主城区：划定南朗街道主城区南至佳郎路（高铁南朗站），北至赤坎岐关街，东至全民健身广场，西至岭南路的范围内约3平方公里。</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3.翠亨村片区：划定西至中山纪念中学、东至广澳高速，北至中山城5A景区，南至辛亥革命纪念公园的范围内约5平方公里。</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4.翠亨下沙村小组：依托下沙村小组作为“无蚊村庄”创建试点，培养公众良好卫生习惯和行为，打造超低密度病媒生物人居环境，建设常态化精细化爱国卫生运动创新管理模式。</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5.东部儿童公园：依托东部儿童公园开展监测设备试验、监测方法及消杀方法试验，将东部组团儿童公园作为病媒智能监测创新工作提供试验场地，建设成“无蚊公园”示范点。</w:t>
            </w:r>
            <w:r>
              <w:rPr>
                <w:rFonts w:asciiTheme="minorHAnsi" w:hAnsiTheme="minorHAnsi" w:eastAsiaTheme="minorEastAsia" w:cstheme="minorBidi"/>
                <w:snapToGrid/>
                <w:kern w:val="2"/>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4"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675"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4</w:t>
            </w:r>
          </w:p>
        </w:tc>
        <w:tc>
          <w:tcPr>
            <w:tcW w:w="6537"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b/>
                <w:snapToGrid/>
                <w:kern w:val="2"/>
                <w:sz w:val="21"/>
                <w:szCs w:val="24"/>
              </w:rPr>
              <w:t>四、项目建设内容</w:t>
            </w:r>
            <w:r>
              <w:rPr>
                <w:rFonts w:asciiTheme="minorHAnsi" w:hAnsiTheme="minorHAnsi" w:eastAsiaTheme="minorEastAsia" w:cstheme="minorBidi"/>
                <w:snapToGrid/>
                <w:kern w:val="2"/>
                <w:sz w:val="21"/>
                <w:szCs w:val="24"/>
              </w:rPr>
              <w:t>★</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（一）开展病媒生物人工巡查、消杀防制服务</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1.病媒生物（即“四害”）常态化巡查服务</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在试点区域内设置20个常规巡查点，安排专业人员，组建巡查队伍，每周开展2次以上的常规巡查（病媒侵害高峰期需相应增加巡查频率至每2天一轮），将巡查、防制数据及时同步到数据化平台，最终实现病媒巡查→病媒预警→病媒防制→防制评估及病媒监测的良性循环。</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2.病媒生物防制消杀服务</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组织专业化病媒生物防制队伍和标准化消杀设备，在进行本底调查和现场勘查的基础上，制定专业化的防制方案。在病媒高发期（5月-8月），对试点区域外环境每月开展2次以上的消杀，低谷期（9月至来年4月）每月不低于1次的消杀，并根据实际情况适时增加消杀频次。通过定期定点人工巡查，开展孳生地调查和灭效评估，核查灭杀设备情况，及时处理孳生地并上报突发问题。</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（二）建设蚊媒智能监测终端和太阳能户外智能灭蚊器</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在试点区域范围内，根据环境要求，投放不少于10台的病媒生物智能监测设备，要求采用二氧化碳及光诱法来实现蚊虫诱捕。采用物联网、4G、嵌入式系统、大数据和图像识别技术进行计数、拍照并自动传输常见的媒介蚊虫数量，对室内外环境中成蚊的种群密度进行实时监测，并自动提供预警信息，使监测更为精准高效，为媒介蚊虫防制提供科学依据。</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在试点区域范围内，根据环境要求，投放不少于100台太阳能户外智能灭蚊器用于提升物理防制技术和设备在日常蚊虫防制中的效果和价值，减少化学防制的风险和危害，为防灭蚊虫打下扎实的防护基础架构，要求设备对本地优势蚊种（库蚊和伊蚊）具有较强的诱捕灭杀能力，采用太阳能供电，可对灭杀的蚊虫数量进行计数，支持物联网远程控制，支持草地和路面安装，方便移动。</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相关设备要求在合同签署后1个月内完成安装部署并正常运行。</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（三）搭建病媒生物管理数字化平台</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1.病媒生物监测数字化服务</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在试点区域范围内，按照疾控部门要求和相关国家标准，采用规范病媒生物监测方法和工具，对蚊蝇鼠蟑四类病媒生物开展线下密度监测，并在系统里记录监测过程和数据，根据各类国标公式，自动生成疾控要求的数据统计表，并形成病媒生物发展趋势图和风险等级分布图。</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2.病媒生物防制过程管控数字化</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基于移动互联网的病媒生物管理平台实现完整的服务作业管理，服务情况全掌握，将有效PCO的服务内容清晰呈现：客户基本信息、服务记录、药械记录、问题诊断与建议、服务情况汇报、现场签单记录、服务商信息、满意度评价；自动化的数据报告，极大减轻数据统计工作量；将服务、设备、孳生地、四害4大项数据在地图上集成，不仅可以看汇总聚合情况，还可以细化到每一份报告、每一个设备的情况；将数据投射到指挥大屏上，以动态滚动的方式实时呈现。</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相关设备要求在合同签署后1个月内完成安装部署并正常运行。</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（四）将翠亨下沙村创建为“无蚊村庄”示范点</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1.“无蚊村庄”概念</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是指通过综合防制技术和管理使得蚊虫密度达到一定控制水平的村庄区域，其核心目的是减少人与蚊虫接触，降低蚊媒传染病风险，不能简单的理解为没有蚊子生存。无蚊村庄建设，是以科学的手段，秉承绿色、经济、可持续和可推广的原则，通过一系列的技术和管理措施，将蚊虫密度控制在不足为害的水平。</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 xml:space="preserve">2.“无蚊村庄”创建步骤 </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第1阶段（合同签定后第1个月）为“无蚊村庄”试点现场调查和建设计划筹备。</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第2阶段（合同签定后第2至11个月）为全面开展“无蚊村庄”建设工作和长效机制探索，巩固已有成果。</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第3阶段（合同签定后第12个月）为针对“无蚊村庄”建设目标要求检查验收和效果评估。</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（五）在服务区域开展叮咬赔付活动</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为提升区域内病媒防制数据化服务的驱动点与宣传点，在开展防制服务工作3个月后，开通蚊媒侵扰上传通道，并启动赔付机制。凡在试点区域内被蚊虫叮咬，通过手机小程序，受侵害人可上传具体信息（地理位置及伤口照片），将安排专人联络上传人，提供20-50元不等的现金或物资补偿；并在24小时内进行紧急防制。</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（六）病媒生物防制咨询服务</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结合创卫、创文工作，对需要防制的重点区域，例如学校、医院、商场、办公楼宇及服务区外公共外环境等重点场所提供病媒生物防制咨询，必要时提供人员及设备进行现场工作演示。</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（七）无蚊村庄量化指标</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通过各项宣传、培训及叮咬赔付等活动唤醒群众对病媒生物防制的积极意识，形成联防联控的良好局面：</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搭建智能病媒生物数字化平台，实现病媒监测数据、防制数据、日常巡查数据、工作日报及孳生地管理等的数据化、智能化管理。</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在无蚊村庄的主要人群密集区域，采用《GB/T 23797-2020 病媒生物密度监测方法 蚊虫》规定的监测方法，达到《GB/T 27771-2011病媒生物密度控制水平蚊虫》要求的B级指标。即小型积水蚊虫密度控制水平达到路径指数小于或等于0.5; 大中型水体蚊虫密度控制水平达到采样勺指数小于或等于3%,平均每阳性勺少于5只蚊虫幼虫和蛹；外环境蚊虫密度控制水平达到停落指数小于或等于1.0。</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注：病媒生物管理数字化平台（一期）实现病媒生物专项监测、日常巡查和防制工作日报、巡查点管理（数据录入和地图展示）、孳生地管理和侵扰上报、用户管理、基础字典等功能。</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4"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675"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5</w:t>
            </w:r>
          </w:p>
        </w:tc>
        <w:tc>
          <w:tcPr>
            <w:tcW w:w="6537"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五、防制标准及质量要求</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（一）防制相关标准</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1.全国爱卫会和卫生部《病媒生物预防控制管理规定》；</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2.全国爱卫会关于印发《国家卫生城市标准》和《国家卫生城市考核鉴定和监督管理办法（试行）》的通知；</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3.全国爱卫会除四害标准；</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4.全国爱卫会关于印发《灭鼠、蚊、蝇、蟑螂标准》 及《灭鼠、蚊、蝇、蟑螂考核鉴定办法》的通知；</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5.病媒生物监测国家标准、病媒生物密度控制国家标准以及病媒生物监测方案；</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6.国家、广东省相关标准及要求；</w:t>
            </w:r>
          </w:p>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7.采购人在项目实施过程中的要求。</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（二）质量要求</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达到国家及行业相关标准。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4"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675"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6</w:t>
            </w:r>
          </w:p>
        </w:tc>
        <w:tc>
          <w:tcPr>
            <w:tcW w:w="6537" w:type="dxa"/>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附表：</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病媒生物管理项目质量考核细则</w:t>
            </w:r>
          </w:p>
          <w:tbl>
            <w:tblPr>
              <w:tblStyle w:val="18"/>
              <w:tblW w:w="6321"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77"/>
              <w:gridCol w:w="480"/>
              <w:gridCol w:w="435"/>
              <w:gridCol w:w="3649"/>
              <w:gridCol w:w="611"/>
              <w:gridCol w:w="56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7" w:type="dxa"/>
                  <w:gridSpan w:val="2"/>
                  <w:tcBorders>
                    <w:top w:val="single" w:color="000000" w:sz="4" w:space="0"/>
                    <w:left w:val="single" w:color="000000" w:sz="4" w:space="0"/>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项目</w:t>
                  </w:r>
                </w:p>
              </w:tc>
              <w:tc>
                <w:tcPr>
                  <w:tcW w:w="435" w:type="dxa"/>
                  <w:tcBorders>
                    <w:top w:val="single" w:color="000000" w:sz="4" w:space="0"/>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分值</w:t>
                  </w:r>
                </w:p>
              </w:tc>
              <w:tc>
                <w:tcPr>
                  <w:tcW w:w="3649" w:type="dxa"/>
                  <w:tcBorders>
                    <w:top w:val="single" w:color="000000" w:sz="4" w:space="0"/>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考核项目</w:t>
                  </w:r>
                </w:p>
              </w:tc>
              <w:tc>
                <w:tcPr>
                  <w:tcW w:w="611" w:type="dxa"/>
                  <w:tcBorders>
                    <w:top w:val="single" w:color="000000" w:sz="4" w:space="0"/>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扣分</w:t>
                  </w:r>
                </w:p>
              </w:tc>
              <w:tc>
                <w:tcPr>
                  <w:tcW w:w="569" w:type="dxa"/>
                  <w:tcBorders>
                    <w:top w:val="single" w:color="000000" w:sz="4" w:space="0"/>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检查方式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restart"/>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一、</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基</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本</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要</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求</w:t>
                  </w:r>
                </w:p>
              </w:tc>
              <w:tc>
                <w:tcPr>
                  <w:tcW w:w="480" w:type="dxa"/>
                  <w:vMerge w:val="restart"/>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55分</w:t>
                  </w: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10</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1.按要求搭建数字化平台并在合同签署一个月内完成设备部署，保证达到试运行条件，并经采购方确认，未达要求的</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10</w:t>
                  </w:r>
                </w:p>
              </w:tc>
              <w:tc>
                <w:tcPr>
                  <w:tcW w:w="569" w:type="dxa"/>
                  <w:tcBorders>
                    <w:top w:val="single" w:color="000000" w:sz="4" w:space="0"/>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2.数字化平台需要实现功能：病媒生物专项监测、日常巡查和防制工作日报、巡查点管理（数据录入和地图展示）、孳生地管理和侵扰上报、用户管理、基础字典等功能。</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3.在病媒数字化平台上同步更新病媒防制数据，并按要求定期进行各项消杀，未落实的（高峰期不低于每月2次，低谷期不低于每月1次），每项/次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1（当月没开展的扣5分）</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4.在病媒数字化平台上同步更新病媒密度监测相关数据，并按要求落实密度监测（每三个月各种类害虫专项监测不低于一次），未落实的，每项/次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1((完全没开展的扣5分)</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5.在病媒数字化平台上同步更新病媒孳生地调查数据，并按要求落实滋生地调查工作（蚊类之外害虫监测每三个月不少于1次），未落实的，每项/次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0.5</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6.在病媒数字化平台上同步更新巡查点数据，并按要求完成巡查点的设立与日常巡查，未落实的，每项/次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0.5</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7.按要求每月报送工作计划、工作记录、质检记录、药品台账等资料，每一项/次</w:t>
                  </w:r>
                </w:p>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8.消杀过程不得使用违禁药品或无效药品，未达要求的,每一项/次</w:t>
                  </w:r>
                </w:p>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9.消杀人员配备防护装备，未达要求的,每一项/次</w:t>
                  </w:r>
                </w:p>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10.消杀人员工作时穿着工作服装并戴工作证件，未达要求的，每人/次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0.5</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11.积极配合采购人进行应急消杀，未达要求的</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12.积极配合甲方开展各项迎检工作，未达要求的,每一项/次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13.按要求进行人员配置，未达要求的，每缺一人.</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0.5</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restart"/>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二、</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作</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业</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效</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果</w:t>
                  </w:r>
                </w:p>
              </w:tc>
              <w:tc>
                <w:tcPr>
                  <w:tcW w:w="480" w:type="dxa"/>
                  <w:vMerge w:val="restart"/>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项目整体效果25分</w:t>
                  </w: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1.部署安装的太阳能户外智能灭蚊器必须保证正常运行和在线率，一旦发现设备不能正常工作需在1个工作日内派遣工作人员进行检查并排除故障，并保证在7个工作日内进行将设备修复，未达要求的，每缺一项</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0.5</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2.每三月进行群众满意度调查工作1次，虚心接受群众给出的意见及建议，未达要求的，每缺一项/次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0.5</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3.各项随机、季度检查工作中，服务区域发现病媒密度超标情况的，每一项/次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0.5</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4.“无蚊村庄”试点工作不按计划配备相应设备，人员及开展相应宣传（平均不少于每三个月1次）的，每一项/次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5.未按要求每月向采购方提供工作日志，每三个月提供病媒工作报告的，每一项/次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restart"/>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灭蚊</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8分</w:t>
                  </w:r>
                </w:p>
              </w:tc>
              <w:tc>
                <w:tcPr>
                  <w:tcW w:w="435" w:type="dxa"/>
                  <w:vMerge w:val="restart"/>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8</w:t>
                  </w:r>
                </w:p>
              </w:tc>
              <w:tc>
                <w:tcPr>
                  <w:tcW w:w="3649" w:type="dxa"/>
                  <w:tcBorders>
                    <w:top w:val="nil"/>
                    <w:left w:val="nil"/>
                    <w:bottom w:val="single" w:color="000000" w:sz="4" w:space="0"/>
                    <w:right w:val="single" w:color="000000" w:sz="4" w:space="0"/>
                  </w:tcBorders>
                  <w:vAlign w:val="top"/>
                </w:tcPr>
                <w:p>
                  <w:pPr>
                    <w:widowControl w:val="0"/>
                    <w:numPr>
                      <w:ilvl w:val="0"/>
                      <w:numId w:val="2"/>
                    </w:numPr>
                    <w:kinsoku/>
                    <w:autoSpaceDE/>
                    <w:autoSpaceDN/>
                    <w:adjustRightInd/>
                    <w:snapToGrid/>
                    <w:ind w:left="0"/>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全面进行蚊滋生地调查并按国标进行监测，未达要求的，每一项/次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0.2</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numPr>
                      <w:ilvl w:val="0"/>
                      <w:numId w:val="3"/>
                    </w:numPr>
                    <w:kinsoku/>
                    <w:autoSpaceDE/>
                    <w:autoSpaceDN/>
                    <w:adjustRightInd/>
                    <w:snapToGrid/>
                    <w:ind w:left="0"/>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按要求合理处理外环境滋生地，未达要求的，每一项/次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0.2</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numPr>
                      <w:ilvl w:val="0"/>
                      <w:numId w:val="3"/>
                    </w:numPr>
                    <w:kinsoku/>
                    <w:autoSpaceDE/>
                    <w:autoSpaceDN/>
                    <w:adjustRightInd/>
                    <w:snapToGrid/>
                    <w:ind w:left="0"/>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按要求全面落实公共区域外环境灭杀成蚊，未达要求的，每一项/次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0.5</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numPr>
                      <w:ilvl w:val="0"/>
                      <w:numId w:val="3"/>
                    </w:numPr>
                    <w:kinsoku/>
                    <w:autoSpaceDE/>
                    <w:autoSpaceDN/>
                    <w:adjustRightInd/>
                    <w:snapToGrid/>
                    <w:ind w:left="0"/>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公共区域蚊及蚊蚴指标达标，未达要求的，每一项/次</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0.2</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restart"/>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灭鼠</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4分</w:t>
                  </w:r>
                </w:p>
              </w:tc>
              <w:tc>
                <w:tcPr>
                  <w:tcW w:w="435" w:type="dxa"/>
                  <w:vMerge w:val="restart"/>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1.合理选点投放灭鼠毒饵（合理合规使用药品、根据鼠类活动规律安置毒饵盒及投药位置），未达要求的，每5处</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2.每堆毒饵不少于50克，未达要求的，每5处</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3.及时补饵，每堆毒饵残留量不得少于10克，未达要求的，每5处</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4.每三个月饱和投药前知会相关管理单位，未达要求的，每漏通知一个管理单位</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0.2</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5.不同类型的外环境每2000米鼠迹累计不超过5处，未达要求的，每超过1处</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0.2</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restart"/>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灭蝇</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4分</w:t>
                  </w:r>
                </w:p>
              </w:tc>
              <w:tc>
                <w:tcPr>
                  <w:tcW w:w="435" w:type="dxa"/>
                  <w:vMerge w:val="restart"/>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1.对公共区域蝇类孪生地普查登记，未达要求的，每漏1处</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2.每三个月按要求定期监测成蝇密度（监测点10个以上，选取具有代表性的环境，例如市场、学校、医院等公共场所），未达要求的，每少1个点</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0.2</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3.按要求处理蝇类滋生地，未达要求的，每处</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0.2</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35" w:type="dxa"/>
                  <w:vMerge w:val="continue"/>
                  <w:tcBorders>
                    <w:top w:val="nil"/>
                    <w:left w:val="nil"/>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4.灭蝇效果达标，未达要求的，检出率每超1%</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0.2</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77" w:type="dxa"/>
                  <w:vMerge w:val="continue"/>
                  <w:tcBorders>
                    <w:top w:val="nil"/>
                    <w:left w:val="single" w:color="000000" w:sz="4" w:space="0"/>
                    <w:bottom w:val="single" w:color="000000" w:sz="4" w:space="0"/>
                    <w:right w:val="single" w:color="000000" w:sz="4" w:space="0"/>
                  </w:tcBorders>
                  <w:vAlign w:val="top"/>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p>
              </w:tc>
              <w:tc>
                <w:tcPr>
                  <w:tcW w:w="480"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灭蟑</w:t>
                  </w:r>
                </w:p>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4分</w:t>
                  </w:r>
                </w:p>
              </w:tc>
              <w:tc>
                <w:tcPr>
                  <w:tcW w:w="435"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4</w:t>
                  </w:r>
                </w:p>
              </w:tc>
              <w:tc>
                <w:tcPr>
                  <w:tcW w:w="3649" w:type="dxa"/>
                  <w:tcBorders>
                    <w:top w:val="nil"/>
                    <w:left w:val="nil"/>
                    <w:bottom w:val="single" w:color="000000" w:sz="4" w:space="0"/>
                    <w:right w:val="single" w:color="000000" w:sz="4" w:space="0"/>
                  </w:tcBorders>
                  <w:vAlign w:val="top"/>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1.下水道、化粪池、户外堆积物平均每100个井口（处），有蟑螂不超过60只，每超出10只</w:t>
                  </w:r>
                </w:p>
              </w:tc>
              <w:tc>
                <w:tcPr>
                  <w:tcW w:w="611"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0.1</w:t>
                  </w:r>
                </w:p>
              </w:tc>
              <w:tc>
                <w:tcPr>
                  <w:tcW w:w="569" w:type="dxa"/>
                  <w:tcBorders>
                    <w:top w:val="nil"/>
                    <w:left w:val="nil"/>
                    <w:bottom w:val="single" w:color="000000" w:sz="4" w:space="0"/>
                    <w:right w:val="single" w:color="000000" w:sz="4" w:space="0"/>
                  </w:tcBorders>
                  <w:vAlign w:val="top"/>
                </w:tcPr>
                <w:p>
                  <w:pPr>
                    <w:widowControl w:val="0"/>
                    <w:kinsoku/>
                    <w:autoSpaceDE/>
                    <w:autoSpaceDN/>
                    <w:adjustRightInd/>
                    <w:snapToGrid/>
                    <w:jc w:val="center"/>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1</w:t>
                  </w:r>
                </w:p>
              </w:tc>
            </w:tr>
          </w:tbl>
          <w:p>
            <w:pPr>
              <w:widowControl w:val="0"/>
              <w:kinsoku/>
              <w:autoSpaceDE/>
              <w:autoSpaceDN/>
              <w:adjustRightInd/>
              <w:snapToGrid/>
              <w:ind w:firstLine="420"/>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注：1.检查方式中，1现场检查，2查阅资料。</w:t>
            </w:r>
          </w:p>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 w:val="21"/>
                <w:szCs w:val="24"/>
              </w:rPr>
              <w:t>2.上述质量考核评分适用于随机抽查、季度及年度检查，随机抽查扣分计入季度考核。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4" w:type="dxa"/>
          </w:tcPr>
          <w:p>
            <w:pPr>
              <w:widowControl w:val="0"/>
              <w:kinsoku/>
              <w:autoSpaceDE/>
              <w:autoSpaceDN/>
              <w:adjustRightInd/>
              <w:snapToGrid/>
              <w:jc w:val="both"/>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说明</w:t>
            </w:r>
          </w:p>
        </w:tc>
        <w:tc>
          <w:tcPr>
            <w:tcW w:w="7212" w:type="dxa"/>
            <w:gridSpan w:val="2"/>
          </w:tcPr>
          <w:p>
            <w:pPr>
              <w:widowControl w:val="0"/>
              <w:kinsoku/>
              <w:autoSpaceDE/>
              <w:autoSpaceDN/>
              <w:adjustRightInd/>
              <w:snapToGrid/>
              <w:jc w:val="left"/>
              <w:textAlignment w:val="auto"/>
              <w:rPr>
                <w:rFonts w:asciiTheme="minorHAnsi" w:hAnsiTheme="minorHAnsi" w:eastAsiaTheme="minorEastAsia" w:cstheme="minorBidi"/>
                <w:snapToGrid/>
                <w:kern w:val="2"/>
                <w:szCs w:val="24"/>
              </w:rPr>
            </w:pPr>
            <w:r>
              <w:rPr>
                <w:rFonts w:asciiTheme="minorHAnsi" w:hAnsiTheme="minorHAnsi" w:eastAsiaTheme="minorEastAsia" w:cstheme="minorBidi"/>
                <w:snapToGrid/>
                <w:kern w:val="2"/>
                <w:szCs w:val="24"/>
              </w:rPr>
              <w:t>打“★”号条款为实质性条款，若有任何一条负偏离或不满足则导致投标无效。</w:t>
            </w:r>
            <w:r>
              <w:rPr>
                <w:rFonts w:asciiTheme="minorHAnsi" w:hAnsiTheme="minorHAnsi" w:eastAsiaTheme="minorEastAsia" w:cstheme="minorBidi"/>
                <w:snapToGrid/>
                <w:kern w:val="2"/>
                <w:szCs w:val="24"/>
              </w:rPr>
              <w:br w:type="textWrapping"/>
            </w:r>
            <w:r>
              <w:rPr>
                <w:rFonts w:asciiTheme="minorHAnsi" w:hAnsiTheme="minorHAnsi" w:eastAsiaTheme="minorEastAsia" w:cstheme="minorBidi"/>
                <w:snapToGrid/>
                <w:kern w:val="2"/>
                <w:szCs w:val="24"/>
              </w:rPr>
              <w:t>打“▲”号条款为重要技术参数，若有部分“▲”条款未响应或不满足，将导致其响应性评审加重扣分，但不作为无效投标条款。</w:t>
            </w:r>
          </w:p>
        </w:tc>
      </w:tr>
    </w:tbl>
    <w:p>
      <w:pPr>
        <w:widowControl w:val="0"/>
        <w:kinsoku/>
        <w:autoSpaceDE/>
        <w:autoSpaceDN/>
        <w:adjustRightInd/>
        <w:snapToGrid/>
        <w:jc w:val="both"/>
        <w:textAlignment w:val="auto"/>
        <w:rPr>
          <w:rFonts w:hint="eastAsia" w:asciiTheme="minorHAnsi" w:hAnsiTheme="minorHAnsi" w:eastAsiaTheme="minorEastAsia" w:cstheme="minorBidi"/>
          <w:snapToGrid/>
          <w:kern w:val="2"/>
          <w:szCs w:val="24"/>
          <w:lang w:val="en-US" w:eastAsia="zh-Hans"/>
        </w:rPr>
      </w:pPr>
    </w:p>
    <w:p/>
    <w:sectPr>
      <w:footerReference r:id="rId3" w:type="default"/>
      <w:pgSz w:w="11906" w:h="16838"/>
      <w:pgMar w:top="1191" w:right="1701" w:bottom="119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0"/>
      </w:pPr>
    </w:lvl>
  </w:abstractNum>
  <w:abstractNum w:abstractNumId="1">
    <w:nsid w:val="0053208E"/>
    <w:multiLevelType w:val="singleLevel"/>
    <w:tmpl w:val="0053208E"/>
    <w:lvl w:ilvl="0" w:tentative="0">
      <w:start w:val="1"/>
      <w:numFmt w:val="bullet"/>
      <w:lvlText w:val="⚫"/>
      <w:lvlJc w:val="left"/>
      <w:pPr>
        <w:ind w:left="0"/>
      </w:pPr>
    </w:lvl>
  </w:abstractNum>
  <w:abstractNum w:abstractNumId="2">
    <w:nsid w:val="714A0575"/>
    <w:multiLevelType w:val="multilevel"/>
    <w:tmpl w:val="714A0575"/>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b w:val="0"/>
        <w:bCs w:val="0"/>
        <w:i w:val="0"/>
        <w:iCs w:val="0"/>
        <w:caps w:val="0"/>
        <w:smallCaps w:val="0"/>
        <w:strike w:val="0"/>
        <w:dstrike w:val="0"/>
        <w:spacing w:val="0"/>
        <w:position w:val="0"/>
        <w:u w:val="none"/>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NjVmNDVhMjY1NDBiYjAzOGNmMWY0MTExMTFmY2QifQ=="/>
  </w:docVars>
  <w:rsids>
    <w:rsidRoot w:val="3DE215C5"/>
    <w:rsid w:val="000D1DEE"/>
    <w:rsid w:val="00271D97"/>
    <w:rsid w:val="00C30C71"/>
    <w:rsid w:val="0559085E"/>
    <w:rsid w:val="07334B1D"/>
    <w:rsid w:val="07C737F1"/>
    <w:rsid w:val="0BDF30D0"/>
    <w:rsid w:val="127B3F78"/>
    <w:rsid w:val="15B34980"/>
    <w:rsid w:val="193F2E12"/>
    <w:rsid w:val="1AF00DE9"/>
    <w:rsid w:val="1C1F67A3"/>
    <w:rsid w:val="1D130CF8"/>
    <w:rsid w:val="2A026FF1"/>
    <w:rsid w:val="2BB32DEF"/>
    <w:rsid w:val="2F3709F8"/>
    <w:rsid w:val="35381655"/>
    <w:rsid w:val="3A834703"/>
    <w:rsid w:val="3DE215C5"/>
    <w:rsid w:val="3E0766CB"/>
    <w:rsid w:val="42E446C4"/>
    <w:rsid w:val="4A2D63C1"/>
    <w:rsid w:val="4A621AC4"/>
    <w:rsid w:val="4B1E5AD7"/>
    <w:rsid w:val="54AF26B0"/>
    <w:rsid w:val="57B76E3F"/>
    <w:rsid w:val="61827775"/>
    <w:rsid w:val="63077D6B"/>
    <w:rsid w:val="65174908"/>
    <w:rsid w:val="715F0C3B"/>
    <w:rsid w:val="73061F5F"/>
    <w:rsid w:val="76B45303"/>
    <w:rsid w:val="7BB65850"/>
    <w:rsid w:val="7E9F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line="360" w:lineRule="auto"/>
      <w:jc w:val="center"/>
      <w:outlineLvl w:val="0"/>
    </w:pPr>
    <w:rPr>
      <w:rFonts w:ascii="宋体" w:hAnsi="宋体" w:cs="宋体"/>
      <w:b/>
      <w:kern w:val="44"/>
      <w:sz w:val="24"/>
      <w:szCs w:val="24"/>
    </w:rPr>
  </w:style>
  <w:style w:type="paragraph" w:styleId="3">
    <w:name w:val="heading 3"/>
    <w:basedOn w:val="1"/>
    <w:next w:val="1"/>
    <w:qFormat/>
    <w:uiPriority w:val="1"/>
    <w:pPr>
      <w:spacing w:before="48"/>
      <w:ind w:left="3077" w:right="3144"/>
      <w:jc w:val="center"/>
      <w:outlineLvl w:val="2"/>
    </w:pPr>
    <w:rPr>
      <w:rFonts w:ascii="宋体" w:hAnsi="宋体" w:eastAsia="宋体" w:cs="宋体"/>
      <w:b/>
      <w:bCs/>
      <w:lang w:val="zh-CN" w:bidi="zh-CN"/>
    </w:rPr>
  </w:style>
  <w:style w:type="paragraph" w:styleId="4">
    <w:name w:val="heading 4"/>
    <w:basedOn w:val="1"/>
    <w:next w:val="1"/>
    <w:link w:val="31"/>
    <w:qFormat/>
    <w:uiPriority w:val="0"/>
    <w:pPr>
      <w:spacing w:before="62"/>
      <w:ind w:left="100"/>
      <w:outlineLvl w:val="3"/>
    </w:pPr>
    <w:rPr>
      <w:rFonts w:ascii="宋体" w:hAnsi="宋体" w:eastAsia="宋体" w:cs="宋体"/>
      <w:b/>
      <w:bCs/>
      <w:sz w:val="20"/>
      <w:szCs w:val="20"/>
      <w:lang w:val="zh-CN" w:bidi="zh-CN"/>
    </w:rPr>
  </w:style>
  <w:style w:type="paragraph" w:styleId="5">
    <w:name w:val="heading 5"/>
    <w:basedOn w:val="1"/>
    <w:next w:val="1"/>
    <w:qFormat/>
    <w:uiPriority w:val="1"/>
    <w:pPr>
      <w:ind w:left="312" w:hanging="207"/>
      <w:outlineLvl w:val="4"/>
    </w:pPr>
    <w:rPr>
      <w:rFonts w:ascii="宋体" w:hAnsi="宋体" w:eastAsia="宋体" w:cs="宋体"/>
      <w:b/>
      <w:bCs/>
      <w:sz w:val="19"/>
      <w:szCs w:val="19"/>
      <w:lang w:val="zh-CN" w:bidi="zh-CN"/>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2"/>
    <w:qFormat/>
    <w:uiPriority w:val="0"/>
    <w:pPr>
      <w:widowControl w:val="0"/>
      <w:kinsoku/>
      <w:autoSpaceDE/>
      <w:autoSpaceDN/>
      <w:adjustRightInd/>
      <w:snapToGrid/>
      <w:textAlignment w:val="auto"/>
    </w:pPr>
    <w:rPr>
      <w:rFonts w:asciiTheme="minorHAnsi" w:hAnsiTheme="minorHAnsi" w:eastAsiaTheme="minorEastAsia" w:cstheme="minorBidi"/>
      <w:snapToGrid/>
      <w:color w:val="auto"/>
      <w:kern w:val="2"/>
      <w:szCs w:val="24"/>
    </w:rPr>
  </w:style>
  <w:style w:type="paragraph" w:styleId="7">
    <w:name w:val="Body Text"/>
    <w:basedOn w:val="1"/>
    <w:next w:val="8"/>
    <w:link w:val="30"/>
    <w:qFormat/>
    <w:uiPriority w:val="0"/>
    <w:rPr>
      <w:rFonts w:ascii="宋体" w:hAnsi="宋体" w:eastAsia="宋体" w:cs="宋体"/>
      <w:lang w:val="zh-CN" w:bidi="zh-CN"/>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Indent"/>
    <w:basedOn w:val="1"/>
    <w:link w:val="33"/>
    <w:unhideWhenUsed/>
    <w:qFormat/>
    <w:uiPriority w:val="99"/>
    <w:pPr>
      <w:widowControl w:val="0"/>
      <w:kinsoku/>
      <w:autoSpaceDE/>
      <w:autoSpaceDN/>
      <w:adjustRightInd/>
      <w:snapToGrid/>
      <w:spacing w:after="120"/>
      <w:ind w:left="420" w:leftChars="200"/>
      <w:jc w:val="both"/>
      <w:textAlignment w:val="auto"/>
    </w:pPr>
    <w:rPr>
      <w:rFonts w:asciiTheme="minorHAnsi" w:hAnsiTheme="minorHAnsi" w:eastAsiaTheme="minorEastAsia" w:cstheme="minorBidi"/>
      <w:snapToGrid/>
      <w:color w:val="auto"/>
      <w:kern w:val="2"/>
      <w:szCs w:val="24"/>
    </w:rPr>
  </w:style>
  <w:style w:type="paragraph" w:styleId="10">
    <w:name w:val="toc 5"/>
    <w:basedOn w:val="1"/>
    <w:next w:val="1"/>
    <w:qFormat/>
    <w:uiPriority w:val="0"/>
    <w:pPr>
      <w:ind w:left="1680" w:leftChars="800"/>
    </w:pPr>
  </w:style>
  <w:style w:type="paragraph" w:styleId="11">
    <w:name w:val="Plain Text"/>
    <w:basedOn w:val="1"/>
    <w:link w:val="34"/>
    <w:qFormat/>
    <w:uiPriority w:val="0"/>
    <w:pPr>
      <w:widowControl w:val="0"/>
      <w:kinsoku/>
      <w:autoSpaceDE/>
      <w:autoSpaceDN/>
      <w:adjustRightInd/>
      <w:snapToGrid/>
      <w:jc w:val="both"/>
      <w:textAlignment w:val="auto"/>
    </w:pPr>
    <w:rPr>
      <w:rFonts w:ascii="宋体" w:hAnsi="Courier New" w:cs="Courier New" w:eastAsiaTheme="minorEastAsia"/>
      <w:snapToGrid/>
      <w:color w:val="auto"/>
      <w:kern w:val="2"/>
    </w:rPr>
  </w:style>
  <w:style w:type="paragraph" w:styleId="12">
    <w:name w:val="Balloon Text"/>
    <w:basedOn w:val="1"/>
    <w:link w:val="47"/>
    <w:qFormat/>
    <w:uiPriority w:val="0"/>
    <w:pPr>
      <w:widowControl w:val="0"/>
      <w:kinsoku/>
      <w:autoSpaceDE/>
      <w:autoSpaceDN/>
      <w:adjustRightInd/>
      <w:snapToGrid/>
      <w:jc w:val="both"/>
      <w:textAlignment w:val="auto"/>
    </w:pPr>
    <w:rPr>
      <w:rFonts w:asciiTheme="minorHAnsi" w:hAnsiTheme="minorHAnsi" w:eastAsiaTheme="minorEastAsia" w:cstheme="minorBidi"/>
      <w:snapToGrid/>
      <w:color w:val="auto"/>
      <w:kern w:val="2"/>
      <w:sz w:val="18"/>
      <w:szCs w:val="18"/>
    </w:rPr>
  </w:style>
  <w:style w:type="paragraph" w:styleId="13">
    <w:name w:val="footer"/>
    <w:basedOn w:val="1"/>
    <w:link w:val="35"/>
    <w:qFormat/>
    <w:uiPriority w:val="0"/>
    <w:pPr>
      <w:tabs>
        <w:tab w:val="center" w:pos="4153"/>
        <w:tab w:val="right" w:pos="8306"/>
      </w:tabs>
    </w:pPr>
    <w:rPr>
      <w:sz w:val="18"/>
    </w:rPr>
  </w:style>
  <w:style w:type="paragraph" w:styleId="14">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39"/>
  </w:style>
  <w:style w:type="paragraph" w:styleId="16">
    <w:name w:val="Body Text First Indent"/>
    <w:basedOn w:val="7"/>
    <w:next w:val="1"/>
    <w:link w:val="37"/>
    <w:unhideWhenUsed/>
    <w:qFormat/>
    <w:uiPriority w:val="0"/>
    <w:pPr>
      <w:spacing w:line="360" w:lineRule="auto"/>
      <w:ind w:firstLine="425"/>
    </w:pPr>
    <w:rPr>
      <w:sz w:val="24"/>
    </w:rPr>
  </w:style>
  <w:style w:type="paragraph" w:styleId="17">
    <w:name w:val="Body Text First Indent 2"/>
    <w:basedOn w:val="9"/>
    <w:link w:val="38"/>
    <w:unhideWhenUsed/>
    <w:qFormat/>
    <w:uiPriority w:val="99"/>
    <w:pPr>
      <w:spacing w:line="360" w:lineRule="auto"/>
      <w:ind w:left="0" w:leftChars="0" w:firstLine="200" w:firstLineChars="200"/>
    </w:pPr>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qFormat/>
    <w:uiPriority w:val="0"/>
    <w:rPr>
      <w:sz w:val="21"/>
      <w:szCs w:val="21"/>
    </w:rPr>
  </w:style>
  <w:style w:type="paragraph" w:customStyle="1" w:styleId="22">
    <w:name w:val="列出段落1"/>
    <w:basedOn w:val="1"/>
    <w:qFormat/>
    <w:uiPriority w:val="34"/>
    <w:pPr>
      <w:ind w:firstLine="420" w:firstLineChars="200"/>
    </w:pPr>
    <w:rPr>
      <w:rFonts w:ascii="Calibri" w:hAnsi="Calibri"/>
      <w:szCs w:val="22"/>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31"/>
    <w:basedOn w:val="20"/>
    <w:qFormat/>
    <w:uiPriority w:val="0"/>
    <w:rPr>
      <w:rFonts w:ascii="宋体" w:hAnsi="宋体" w:eastAsia="宋体" w:cs="宋体"/>
      <w:color w:val="000000"/>
      <w:sz w:val="24"/>
      <w:szCs w:val="24"/>
      <w:u w:val="none"/>
    </w:rPr>
  </w:style>
  <w:style w:type="character" w:customStyle="1" w:styleId="25">
    <w:name w:val="font11"/>
    <w:basedOn w:val="20"/>
    <w:qFormat/>
    <w:uiPriority w:val="0"/>
    <w:rPr>
      <w:rFonts w:hint="eastAsia" w:ascii="宋体" w:hAnsi="宋体" w:eastAsia="宋体" w:cs="宋体"/>
      <w:color w:val="000000"/>
      <w:sz w:val="24"/>
      <w:szCs w:val="24"/>
      <w:u w:val="none"/>
    </w:rPr>
  </w:style>
  <w:style w:type="paragraph" w:customStyle="1" w:styleId="26">
    <w:name w:val="Table Paragraph"/>
    <w:basedOn w:val="1"/>
    <w:qFormat/>
    <w:uiPriority w:val="1"/>
    <w:rPr>
      <w:rFonts w:ascii="宋体" w:hAnsi="宋体" w:eastAsia="宋体" w:cs="宋体"/>
      <w:lang w:val="zh-CN" w:bidi="zh-CN"/>
    </w:rPr>
  </w:style>
  <w:style w:type="paragraph" w:styleId="27">
    <w:name w:val="List Paragraph"/>
    <w:basedOn w:val="1"/>
    <w:qFormat/>
    <w:uiPriority w:val="34"/>
    <w:pPr>
      <w:spacing w:before="33"/>
      <w:ind w:left="106" w:firstLine="384"/>
    </w:pPr>
    <w:rPr>
      <w:rFonts w:ascii="宋体" w:hAnsi="宋体" w:eastAsia="宋体" w:cs="宋体"/>
      <w:lang w:val="zh-CN" w:bidi="zh-CN"/>
    </w:rPr>
  </w:style>
  <w:style w:type="character" w:customStyle="1" w:styleId="28">
    <w:name w:val="fontstyle21"/>
    <w:basedOn w:val="20"/>
    <w:qFormat/>
    <w:uiPriority w:val="0"/>
    <w:rPr>
      <w:rFonts w:hint="eastAsia" w:ascii="宋体" w:hAnsi="宋体" w:eastAsia="宋体"/>
      <w:color w:val="000000"/>
      <w:sz w:val="32"/>
      <w:szCs w:val="32"/>
    </w:rPr>
  </w:style>
  <w:style w:type="character" w:customStyle="1" w:styleId="29">
    <w:name w:val="Anrede1IhrZeichen"/>
    <w:qFormat/>
    <w:uiPriority w:val="0"/>
    <w:rPr>
      <w:rFonts w:ascii="Arial" w:hAnsi="Arial"/>
      <w:sz w:val="20"/>
    </w:rPr>
  </w:style>
  <w:style w:type="character" w:customStyle="1" w:styleId="30">
    <w:name w:val="正文文本 Char"/>
    <w:basedOn w:val="20"/>
    <w:link w:val="7"/>
    <w:qFormat/>
    <w:uiPriority w:val="0"/>
    <w:rPr>
      <w:rFonts w:ascii="宋体" w:hAnsi="宋体" w:cs="宋体"/>
      <w:snapToGrid w:val="0"/>
      <w:color w:val="000000"/>
      <w:sz w:val="21"/>
      <w:szCs w:val="21"/>
      <w:lang w:val="zh-CN" w:bidi="zh-CN"/>
    </w:rPr>
  </w:style>
  <w:style w:type="character" w:customStyle="1" w:styleId="31">
    <w:name w:val="标题 4 Char"/>
    <w:basedOn w:val="20"/>
    <w:link w:val="4"/>
    <w:qFormat/>
    <w:uiPriority w:val="0"/>
    <w:rPr>
      <w:rFonts w:ascii="宋体" w:hAnsi="宋体" w:cs="宋体"/>
      <w:b/>
      <w:bCs/>
      <w:snapToGrid w:val="0"/>
      <w:color w:val="000000"/>
      <w:lang w:val="zh-CN" w:bidi="zh-CN"/>
    </w:rPr>
  </w:style>
  <w:style w:type="character" w:customStyle="1" w:styleId="32">
    <w:name w:val="批注文字 Char"/>
    <w:basedOn w:val="20"/>
    <w:link w:val="6"/>
    <w:uiPriority w:val="0"/>
    <w:rPr>
      <w:rFonts w:asciiTheme="minorHAnsi" w:hAnsiTheme="minorHAnsi" w:eastAsiaTheme="minorEastAsia" w:cstheme="minorBidi"/>
      <w:kern w:val="2"/>
      <w:sz w:val="21"/>
      <w:szCs w:val="24"/>
    </w:rPr>
  </w:style>
  <w:style w:type="character" w:customStyle="1" w:styleId="33">
    <w:name w:val="正文文本缩进 Char"/>
    <w:basedOn w:val="20"/>
    <w:link w:val="9"/>
    <w:uiPriority w:val="99"/>
    <w:rPr>
      <w:rFonts w:asciiTheme="minorHAnsi" w:hAnsiTheme="minorHAnsi" w:eastAsiaTheme="minorEastAsia" w:cstheme="minorBidi"/>
      <w:kern w:val="2"/>
      <w:sz w:val="21"/>
      <w:szCs w:val="24"/>
    </w:rPr>
  </w:style>
  <w:style w:type="character" w:customStyle="1" w:styleId="34">
    <w:name w:val="纯文本 Char"/>
    <w:basedOn w:val="20"/>
    <w:link w:val="11"/>
    <w:qFormat/>
    <w:uiPriority w:val="0"/>
    <w:rPr>
      <w:rFonts w:ascii="宋体" w:hAnsi="Courier New" w:cs="Courier New" w:eastAsiaTheme="minorEastAsia"/>
      <w:kern w:val="2"/>
      <w:sz w:val="21"/>
      <w:szCs w:val="21"/>
    </w:rPr>
  </w:style>
  <w:style w:type="character" w:customStyle="1" w:styleId="35">
    <w:name w:val="页脚 Char"/>
    <w:basedOn w:val="20"/>
    <w:link w:val="13"/>
    <w:qFormat/>
    <w:uiPriority w:val="0"/>
    <w:rPr>
      <w:rFonts w:ascii="Arial" w:hAnsi="Arial" w:eastAsia="Arial" w:cs="Arial"/>
      <w:snapToGrid w:val="0"/>
      <w:color w:val="000000"/>
      <w:sz w:val="18"/>
      <w:szCs w:val="21"/>
    </w:rPr>
  </w:style>
  <w:style w:type="character" w:customStyle="1" w:styleId="36">
    <w:name w:val="页眉 Char"/>
    <w:basedOn w:val="20"/>
    <w:link w:val="14"/>
    <w:qFormat/>
    <w:uiPriority w:val="0"/>
    <w:rPr>
      <w:rFonts w:ascii="Arial" w:hAnsi="Arial" w:eastAsia="Arial" w:cs="Arial"/>
      <w:snapToGrid w:val="0"/>
      <w:color w:val="000000"/>
      <w:sz w:val="18"/>
      <w:szCs w:val="21"/>
    </w:rPr>
  </w:style>
  <w:style w:type="character" w:customStyle="1" w:styleId="37">
    <w:name w:val="正文首行缩进 Char"/>
    <w:basedOn w:val="30"/>
    <w:link w:val="16"/>
    <w:qFormat/>
    <w:uiPriority w:val="0"/>
    <w:rPr>
      <w:rFonts w:ascii="宋体" w:hAnsi="宋体" w:cs="宋体"/>
      <w:snapToGrid w:val="0"/>
      <w:color w:val="000000"/>
      <w:sz w:val="24"/>
      <w:szCs w:val="21"/>
      <w:lang w:val="zh-CN" w:bidi="zh-CN"/>
    </w:rPr>
  </w:style>
  <w:style w:type="character" w:customStyle="1" w:styleId="38">
    <w:name w:val="正文首行缩进 2 Char"/>
    <w:basedOn w:val="33"/>
    <w:link w:val="17"/>
    <w:qFormat/>
    <w:uiPriority w:val="99"/>
    <w:rPr>
      <w:rFonts w:asciiTheme="minorHAnsi" w:hAnsiTheme="minorHAnsi" w:eastAsiaTheme="minorEastAsia" w:cstheme="minorBidi"/>
      <w:kern w:val="2"/>
      <w:sz w:val="24"/>
      <w:szCs w:val="24"/>
    </w:rPr>
  </w:style>
  <w:style w:type="character" w:customStyle="1" w:styleId="39">
    <w:name w:val="font21"/>
    <w:basedOn w:val="20"/>
    <w:qFormat/>
    <w:uiPriority w:val="0"/>
    <w:rPr>
      <w:rFonts w:hint="eastAsia" w:ascii="仿宋" w:hAnsi="仿宋" w:eastAsia="仿宋" w:cs="仿宋"/>
      <w:color w:val="000000"/>
      <w:sz w:val="24"/>
      <w:szCs w:val="24"/>
      <w:u w:val="none"/>
    </w:rPr>
  </w:style>
  <w:style w:type="character" w:customStyle="1" w:styleId="40">
    <w:name w:val="font41"/>
    <w:basedOn w:val="20"/>
    <w:qFormat/>
    <w:uiPriority w:val="0"/>
    <w:rPr>
      <w:rFonts w:hint="default" w:ascii="Calibri" w:hAnsi="Calibri" w:cs="Calibri"/>
      <w:color w:val="FF0000"/>
      <w:sz w:val="21"/>
      <w:szCs w:val="21"/>
      <w:u w:val="none"/>
    </w:rPr>
  </w:style>
  <w:style w:type="paragraph" w:customStyle="1" w:styleId="41">
    <w:name w:val="样式1"/>
    <w:basedOn w:val="1"/>
    <w:unhideWhenUsed/>
    <w:qFormat/>
    <w:uiPriority w:val="0"/>
    <w:pPr>
      <w:widowControl w:val="0"/>
      <w:tabs>
        <w:tab w:val="left" w:pos="420"/>
      </w:tabs>
      <w:kinsoku/>
      <w:autoSpaceDE/>
      <w:autoSpaceDN/>
      <w:spacing w:before="40" w:after="40" w:line="300" w:lineRule="auto"/>
      <w:ind w:left="420" w:hanging="420"/>
      <w:jc w:val="center"/>
      <w:textAlignment w:val="center"/>
    </w:pPr>
    <w:rPr>
      <w:rFonts w:asciiTheme="minorHAnsi" w:hAnsiTheme="minorHAnsi" w:eastAsiaTheme="minorEastAsia" w:cstheme="minorBidi"/>
      <w:color w:val="auto"/>
      <w:spacing w:val="20"/>
      <w:kern w:val="2"/>
      <w:sz w:val="18"/>
      <w:szCs w:val="24"/>
    </w:rPr>
  </w:style>
  <w:style w:type="paragraph" w:customStyle="1" w:styleId="42">
    <w:name w:val="表格 1"/>
    <w:basedOn w:val="1"/>
    <w:qFormat/>
    <w:uiPriority w:val="0"/>
    <w:pPr>
      <w:widowControl w:val="0"/>
      <w:kinsoku/>
      <w:autoSpaceDE/>
      <w:autoSpaceDN/>
      <w:adjustRightInd/>
      <w:snapToGrid/>
      <w:spacing w:line="300" w:lineRule="auto"/>
      <w:jc w:val="both"/>
      <w:textAlignment w:val="auto"/>
    </w:pPr>
    <w:rPr>
      <w:rFonts w:asciiTheme="minorHAnsi" w:hAnsiTheme="minorHAnsi" w:eastAsiaTheme="minorEastAsia" w:cstheme="minorBidi"/>
      <w:snapToGrid/>
      <w:color w:val="auto"/>
      <w:kern w:val="2"/>
      <w:szCs w:val="24"/>
    </w:rPr>
  </w:style>
  <w:style w:type="paragraph" w:customStyle="1" w:styleId="43">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44">
    <w:name w:val="font61"/>
    <w:basedOn w:val="20"/>
    <w:qFormat/>
    <w:uiPriority w:val="0"/>
    <w:rPr>
      <w:rFonts w:hint="eastAsia" w:ascii="宋体" w:hAnsi="宋体" w:eastAsia="宋体" w:cs="宋体"/>
      <w:color w:val="000000"/>
      <w:sz w:val="20"/>
      <w:szCs w:val="20"/>
      <w:u w:val="none"/>
    </w:rPr>
  </w:style>
  <w:style w:type="character" w:customStyle="1" w:styleId="45">
    <w:name w:val="NormalCharacter"/>
    <w:qFormat/>
    <w:uiPriority w:val="0"/>
  </w:style>
  <w:style w:type="paragraph" w:customStyle="1" w:styleId="46">
    <w:name w:val="正文正"/>
    <w:basedOn w:val="1"/>
    <w:qFormat/>
    <w:uiPriority w:val="0"/>
    <w:pPr>
      <w:widowControl w:val="0"/>
      <w:kinsoku/>
      <w:autoSpaceDE/>
      <w:autoSpaceDN/>
      <w:adjustRightInd/>
      <w:snapToGrid/>
      <w:spacing w:line="560" w:lineRule="exact"/>
      <w:ind w:firstLine="561"/>
      <w:jc w:val="both"/>
      <w:textAlignment w:val="auto"/>
    </w:pPr>
    <w:rPr>
      <w:rFonts w:eastAsia="仿宋_GB2312" w:asciiTheme="minorHAnsi" w:hAnsiTheme="minorHAnsi" w:cstheme="minorBidi"/>
      <w:snapToGrid/>
      <w:color w:val="auto"/>
      <w:kern w:val="2"/>
      <w:sz w:val="28"/>
      <w:szCs w:val="24"/>
    </w:rPr>
  </w:style>
  <w:style w:type="character" w:customStyle="1" w:styleId="47">
    <w:name w:val="批注框文本 Char"/>
    <w:basedOn w:val="20"/>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ADT</Company>
  <Pages>34</Pages>
  <Words>24138</Words>
  <Characters>25508</Characters>
  <Lines>306</Lines>
  <Paragraphs>86</Paragraphs>
  <TotalTime>0</TotalTime>
  <ScaleCrop>false</ScaleCrop>
  <LinksUpToDate>false</LinksUpToDate>
  <CharactersWithSpaces>25611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2021-12-09T09:15:00Z</dcterms:created>
  <dc:creator>To Go </dc:creator>
  <cp:lastModifiedBy>芝芝®</cp:lastModifiedBy>
  <cp:lastPrinted>2023-04-25T06:54:00Z</cp:lastPrinted>
  <dcterms:modified xsi:type="dcterms:W3CDTF">2023-09-20T01:59:01Z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3951698A95894516B991C6D096ABEC9C</vt:lpwstr>
  </property>
</Properties>
</file>