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480"/>
        <w:jc w:val="center"/>
        <w:rPr>
          <w:rFonts w:hint="eastAsia"/>
          <w:b/>
          <w:sz w:val="36"/>
          <w:lang w:eastAsia="zh-CN"/>
        </w:rPr>
      </w:pPr>
      <w:r>
        <w:rPr>
          <w:rFonts w:hint="eastAsia"/>
          <w:b/>
          <w:sz w:val="36"/>
          <w:lang w:eastAsia="zh-CN"/>
        </w:rPr>
        <w:t>项目采购需求</w:t>
      </w:r>
    </w:p>
    <w:p>
      <w:pPr>
        <w:pStyle w:val="4"/>
        <w:ind w:firstLine="480"/>
        <w:jc w:val="left"/>
      </w:pPr>
    </w:p>
    <w:p>
      <w:pPr>
        <w:pStyle w:val="4"/>
        <w:ind w:firstLine="480"/>
        <w:jc w:val="left"/>
      </w:pPr>
      <w:r>
        <w:t>（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pPr>
        <w:pStyle w:val="4"/>
        <w:ind w:firstLine="480"/>
        <w:jc w:val="left"/>
        <w:outlineLvl w:val="2"/>
      </w:pPr>
      <w:r>
        <w:rPr>
          <w:b/>
          <w:sz w:val="28"/>
        </w:rPr>
        <w:t>3.1、采购项目概况</w:t>
      </w:r>
    </w:p>
    <w:p>
      <w:pPr>
        <w:pStyle w:val="4"/>
        <w:jc w:val="left"/>
      </w:pPr>
    </w:p>
    <w:p>
      <w:pPr>
        <w:pStyle w:val="4"/>
        <w:jc w:val="left"/>
      </w:pPr>
      <w:r>
        <w:t>本项目共1个包，采购邛崃市2023年-2024年病媒生物防制服务。</w:t>
      </w:r>
    </w:p>
    <w:p>
      <w:pPr>
        <w:pStyle w:val="4"/>
        <w:ind w:firstLine="480"/>
        <w:jc w:val="left"/>
        <w:outlineLvl w:val="2"/>
      </w:pPr>
      <w:r>
        <w:rPr>
          <w:b/>
          <w:sz w:val="28"/>
        </w:rPr>
        <w:t>3.2、服务内容及服务要求</w:t>
      </w:r>
    </w:p>
    <w:p>
      <w:pPr>
        <w:pStyle w:val="4"/>
        <w:ind w:firstLine="480"/>
        <w:jc w:val="left"/>
        <w:outlineLvl w:val="3"/>
      </w:pPr>
      <w:r>
        <w:rPr>
          <w:b/>
          <w:sz w:val="24"/>
        </w:rPr>
        <w:t>3.2.1服务内容</w:t>
      </w:r>
    </w:p>
    <w:p>
      <w:pPr>
        <w:pStyle w:val="4"/>
        <w:jc w:val="left"/>
      </w:pPr>
    </w:p>
    <w:p>
      <w:pPr>
        <w:pStyle w:val="4"/>
        <w:jc w:val="left"/>
      </w:pPr>
    </w:p>
    <w:p>
      <w:pPr>
        <w:pStyle w:val="4"/>
        <w:jc w:val="left"/>
      </w:pPr>
    </w:p>
    <w:p>
      <w:pPr>
        <w:pStyle w:val="4"/>
        <w:jc w:val="left"/>
      </w:pPr>
      <w:r>
        <w:t>采购包1：</w:t>
      </w:r>
    </w:p>
    <w:p>
      <w:pPr>
        <w:pStyle w:val="4"/>
        <w:jc w:val="left"/>
      </w:pPr>
      <w:r>
        <w:t>采购包预算金额（元）: 550,000.00</w:t>
      </w:r>
    </w:p>
    <w:p>
      <w:pPr>
        <w:pStyle w:val="4"/>
        <w:jc w:val="left"/>
      </w:pPr>
      <w:r>
        <w:t>采购包最高限价（元）: 550,000.00</w:t>
      </w:r>
    </w:p>
    <w:p>
      <w:pPr>
        <w:pStyle w:val="4"/>
        <w:jc w:val="left"/>
      </w:pPr>
      <w:r>
        <w:t>供应商报价不允许超过标的金额</w:t>
      </w:r>
    </w:p>
    <w:p>
      <w:pPr>
        <w:pStyle w:val="4"/>
        <w:jc w:val="left"/>
      </w:pPr>
      <w: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0"/>
        <w:gridCol w:w="827"/>
        <w:gridCol w:w="824"/>
        <w:gridCol w:w="1128"/>
        <w:gridCol w:w="820"/>
        <w:gridCol w:w="820"/>
        <w:gridCol w:w="820"/>
        <w:gridCol w:w="821"/>
        <w:gridCol w:w="821"/>
        <w:gridCol w:w="82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left"/>
            </w:pPr>
            <w:r>
              <w:t>序号</w:t>
            </w:r>
          </w:p>
        </w:tc>
        <w:tc>
          <w:tcPr>
            <w:tcW w:w="831" w:type="dxa"/>
          </w:tcPr>
          <w:p>
            <w:pPr>
              <w:pStyle w:val="4"/>
              <w:jc w:val="left"/>
            </w:pPr>
            <w:r>
              <w:t>标的名称</w:t>
            </w:r>
          </w:p>
        </w:tc>
        <w:tc>
          <w:tcPr>
            <w:tcW w:w="831" w:type="dxa"/>
          </w:tcPr>
          <w:p>
            <w:pPr>
              <w:pStyle w:val="4"/>
              <w:jc w:val="left"/>
            </w:pPr>
            <w:r>
              <w:t>数量</w:t>
            </w:r>
          </w:p>
        </w:tc>
        <w:tc>
          <w:tcPr>
            <w:tcW w:w="831" w:type="dxa"/>
          </w:tcPr>
          <w:p>
            <w:pPr>
              <w:pStyle w:val="4"/>
              <w:jc w:val="left"/>
            </w:pPr>
            <w:r>
              <w:t>标的金额 （元）</w:t>
            </w:r>
          </w:p>
        </w:tc>
        <w:tc>
          <w:tcPr>
            <w:tcW w:w="831" w:type="dxa"/>
          </w:tcPr>
          <w:p>
            <w:pPr>
              <w:pStyle w:val="4"/>
              <w:jc w:val="left"/>
            </w:pPr>
            <w:r>
              <w:t>计量单位</w:t>
            </w:r>
          </w:p>
        </w:tc>
        <w:tc>
          <w:tcPr>
            <w:tcW w:w="831" w:type="dxa"/>
          </w:tcPr>
          <w:p>
            <w:pPr>
              <w:pStyle w:val="4"/>
              <w:jc w:val="left"/>
            </w:pPr>
            <w:r>
              <w:t>所属行业</w:t>
            </w:r>
          </w:p>
        </w:tc>
        <w:tc>
          <w:tcPr>
            <w:tcW w:w="831" w:type="dxa"/>
          </w:tcPr>
          <w:p>
            <w:pPr>
              <w:pStyle w:val="4"/>
              <w:jc w:val="left"/>
            </w:pPr>
            <w:r>
              <w:t>是否核心产品</w:t>
            </w:r>
          </w:p>
        </w:tc>
        <w:tc>
          <w:tcPr>
            <w:tcW w:w="831" w:type="dxa"/>
          </w:tcPr>
          <w:p>
            <w:pPr>
              <w:pStyle w:val="4"/>
              <w:jc w:val="left"/>
            </w:pPr>
            <w:r>
              <w:t>是否允许进口产品</w:t>
            </w:r>
          </w:p>
        </w:tc>
        <w:tc>
          <w:tcPr>
            <w:tcW w:w="831" w:type="dxa"/>
          </w:tcPr>
          <w:p>
            <w:pPr>
              <w:pStyle w:val="4"/>
              <w:jc w:val="left"/>
            </w:pPr>
            <w:r>
              <w:t>是否属于节能产品</w:t>
            </w:r>
          </w:p>
        </w:tc>
        <w:tc>
          <w:tcPr>
            <w:tcW w:w="831" w:type="dxa"/>
          </w:tcPr>
          <w:p>
            <w:pPr>
              <w:pStyle w:val="4"/>
              <w:jc w:val="left"/>
            </w:pPr>
            <w:r>
              <w:t>是否属于环境标志产品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left"/>
            </w:pPr>
            <w:r>
              <w:t>1</w:t>
            </w:r>
          </w:p>
        </w:tc>
        <w:tc>
          <w:tcPr>
            <w:tcW w:w="831" w:type="dxa"/>
          </w:tcPr>
          <w:p>
            <w:pPr>
              <w:pStyle w:val="4"/>
              <w:jc w:val="left"/>
            </w:pPr>
            <w:r>
              <w:t>邛崃市2023年-2024年病媒生物防制服务</w:t>
            </w:r>
          </w:p>
        </w:tc>
        <w:tc>
          <w:tcPr>
            <w:tcW w:w="831" w:type="dxa"/>
          </w:tcPr>
          <w:p>
            <w:pPr>
              <w:pStyle w:val="4"/>
              <w:jc w:val="right"/>
            </w:pPr>
            <w:r>
              <w:t>1.00</w:t>
            </w:r>
          </w:p>
        </w:tc>
        <w:tc>
          <w:tcPr>
            <w:tcW w:w="831" w:type="dxa"/>
          </w:tcPr>
          <w:p>
            <w:pPr>
              <w:pStyle w:val="4"/>
              <w:jc w:val="right"/>
            </w:pPr>
            <w:r>
              <w:t>550,000.00</w:t>
            </w:r>
          </w:p>
        </w:tc>
        <w:tc>
          <w:tcPr>
            <w:tcW w:w="831" w:type="dxa"/>
          </w:tcPr>
          <w:p>
            <w:pPr>
              <w:pStyle w:val="4"/>
              <w:jc w:val="left"/>
            </w:pPr>
            <w:r>
              <w:t>项</w:t>
            </w:r>
          </w:p>
        </w:tc>
        <w:tc>
          <w:tcPr>
            <w:tcW w:w="831" w:type="dxa"/>
          </w:tcPr>
          <w:p>
            <w:pPr>
              <w:pStyle w:val="4"/>
              <w:jc w:val="left"/>
            </w:pPr>
            <w:r>
              <w:t>其他未列明行业</w:t>
            </w:r>
          </w:p>
        </w:tc>
        <w:tc>
          <w:tcPr>
            <w:tcW w:w="831" w:type="dxa"/>
          </w:tcPr>
          <w:p>
            <w:pPr>
              <w:pStyle w:val="4"/>
              <w:jc w:val="left"/>
            </w:pPr>
            <w:r>
              <w:t>否</w:t>
            </w:r>
          </w:p>
        </w:tc>
        <w:tc>
          <w:tcPr>
            <w:tcW w:w="831" w:type="dxa"/>
          </w:tcPr>
          <w:p>
            <w:pPr>
              <w:pStyle w:val="4"/>
              <w:jc w:val="left"/>
            </w:pPr>
            <w:r>
              <w:t>否</w:t>
            </w:r>
          </w:p>
        </w:tc>
        <w:tc>
          <w:tcPr>
            <w:tcW w:w="831" w:type="dxa"/>
          </w:tcPr>
          <w:p>
            <w:pPr>
              <w:pStyle w:val="4"/>
              <w:jc w:val="left"/>
            </w:pPr>
            <w:r>
              <w:t>否</w:t>
            </w:r>
          </w:p>
        </w:tc>
        <w:tc>
          <w:tcPr>
            <w:tcW w:w="831" w:type="dxa"/>
          </w:tcPr>
          <w:p>
            <w:pPr>
              <w:pStyle w:val="4"/>
              <w:jc w:val="left"/>
            </w:pPr>
            <w:r>
              <w:t>否</w:t>
            </w:r>
          </w:p>
        </w:tc>
      </w:tr>
    </w:tbl>
    <w:p>
      <w:pPr>
        <w:pStyle w:val="4"/>
        <w:ind w:firstLine="480"/>
        <w:jc w:val="left"/>
        <w:outlineLvl w:val="2"/>
      </w:pPr>
      <w:r>
        <w:rPr>
          <w:b/>
          <w:sz w:val="28"/>
        </w:rPr>
        <w:t>3.2.2服务要求</w:t>
      </w:r>
    </w:p>
    <w:p>
      <w:pPr>
        <w:pStyle w:val="4"/>
        <w:jc w:val="left"/>
      </w:pPr>
    </w:p>
    <w:p>
      <w:pPr>
        <w:pStyle w:val="4"/>
        <w:jc w:val="left"/>
      </w:pPr>
    </w:p>
    <w:p>
      <w:pPr>
        <w:pStyle w:val="4"/>
        <w:jc w:val="left"/>
      </w:pPr>
    </w:p>
    <w:p>
      <w:pPr>
        <w:pStyle w:val="4"/>
        <w:jc w:val="left"/>
      </w:pPr>
      <w:r>
        <w:t>采购包1：</w:t>
      </w:r>
    </w:p>
    <w:p>
      <w:pPr>
        <w:pStyle w:val="4"/>
        <w:jc w:val="left"/>
      </w:pPr>
    </w:p>
    <w:p>
      <w:pPr>
        <w:pStyle w:val="4"/>
        <w:jc w:val="left"/>
      </w:pPr>
      <w:r>
        <w:t>标的名称：邛崃市2023年-2024年病媒生物防制服务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8"/>
        <w:gridCol w:w="1189"/>
        <w:gridCol w:w="614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参数性质</w:t>
            </w:r>
          </w:p>
        </w:tc>
        <w:tc>
          <w:tcPr>
            <w:tcW w:w="2769" w:type="dxa"/>
          </w:tcPr>
          <w:p>
            <w:pPr>
              <w:pStyle w:val="4"/>
              <w:jc w:val="left"/>
            </w:pPr>
            <w:r>
              <w:t>序号</w:t>
            </w:r>
          </w:p>
        </w:tc>
        <w:tc>
          <w:tcPr>
            <w:tcW w:w="2769" w:type="dxa"/>
          </w:tcPr>
          <w:p>
            <w:pPr>
              <w:pStyle w:val="4"/>
              <w:jc w:val="left"/>
            </w:pPr>
            <w: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w:t>
            </w:r>
          </w:p>
        </w:tc>
        <w:tc>
          <w:tcPr>
            <w:tcW w:w="2769" w:type="dxa"/>
          </w:tcPr>
          <w:p>
            <w:pPr>
              <w:pStyle w:val="4"/>
              <w:jc w:val="left"/>
            </w:pPr>
            <w:r>
              <w:t>1</w:t>
            </w:r>
          </w:p>
        </w:tc>
        <w:tc>
          <w:tcPr>
            <w:tcW w:w="2769" w:type="dxa"/>
          </w:tcPr>
          <w:p>
            <w:pPr>
              <w:pStyle w:val="4"/>
              <w:spacing w:before="120" w:after="120"/>
              <w:ind w:firstLine="480"/>
              <w:jc w:val="both"/>
            </w:pPr>
          </w:p>
          <w:p>
            <w:pPr>
              <w:pStyle w:val="4"/>
              <w:jc w:val="left"/>
            </w:pPr>
            <w:r>
              <w:rPr>
                <w:rFonts w:ascii="宋体" w:hAnsi="宋体" w:eastAsia="宋体" w:cs="宋体"/>
                <w:b/>
                <w:sz w:val="24"/>
              </w:rPr>
              <w:t>服务内容及要求</w:t>
            </w:r>
          </w:p>
          <w:p>
            <w:pPr>
              <w:pStyle w:val="4"/>
              <w:jc w:val="left"/>
            </w:pPr>
            <w:r>
              <w:rPr>
                <w:rFonts w:ascii="宋体" w:hAnsi="宋体" w:eastAsia="宋体" w:cs="宋体"/>
                <w:b/>
                <w:sz w:val="24"/>
              </w:rPr>
              <w:t>（一）服务内容及范围</w:t>
            </w:r>
          </w:p>
          <w:p>
            <w:pPr>
              <w:pStyle w:val="4"/>
              <w:ind w:firstLine="480"/>
              <w:jc w:val="left"/>
            </w:pPr>
            <w:r>
              <w:rPr>
                <w:rFonts w:ascii="宋体" w:hAnsi="宋体" w:eastAsia="宋体" w:cs="宋体"/>
                <w:sz w:val="24"/>
              </w:rPr>
              <w:t>1.对邛崃市主城区包括临邛街道办（观音阁社区、文君井社区、花园巷社区、铁花社区、黄坝社区、玉带社区、东南社区、渔箭社区、宝塔社区、惠民社区、金桂社区、联丰社区、顺河社区、渔唱社区、十方社区、双桥社区、广岩社区、文笔山村、红岩子村、邱店子村、南江村、黄鹤村、南岳村、金鸡村、</w:t>
            </w:r>
            <w:bookmarkStart w:id="0" w:name="_GoBack"/>
            <w:bookmarkEnd w:id="0"/>
            <w:r>
              <w:rPr>
                <w:rFonts w:ascii="宋体" w:hAnsi="宋体" w:eastAsia="宋体" w:cs="宋体"/>
                <w:sz w:val="24"/>
              </w:rPr>
              <w:t>凤山村）和文君街道办（文昌宫社区、龙兴寺社区、考棚社区、北坛社区、蜚虹社区、三好社区、鹤鸣社区、洪川社区、文星社区、北鹭社区、前进社区、凤凰社区、文脉社区、西江村、盘陀村、红旗村、喻坎村、晨阳村、金鹅村、关家村、葫芦村、柏树村、华山村、马桥村）区域范围内按照要求提供病媒生物防制服务(灭鼠、灭蚊蝇、灭蟑螂)，春季、秋季各</w:t>
            </w:r>
            <w:r>
              <w:rPr>
                <w:rFonts w:ascii="宋体" w:hAnsi="宋体" w:eastAsia="宋体" w:cs="宋体"/>
                <w:b/>
                <w:sz w:val="24"/>
              </w:rPr>
              <w:t>2</w:t>
            </w:r>
            <w:r>
              <w:rPr>
                <w:rFonts w:ascii="宋体" w:hAnsi="宋体" w:eastAsia="宋体" w:cs="宋体"/>
                <w:sz w:val="24"/>
              </w:rPr>
              <w:t>次集中灭鼠灭蟑，蚊蝇集中消杀服务不少于</w:t>
            </w:r>
            <w:r>
              <w:rPr>
                <w:rFonts w:ascii="宋体" w:hAnsi="宋体" w:eastAsia="宋体" w:cs="宋体"/>
                <w:b/>
                <w:sz w:val="24"/>
              </w:rPr>
              <w:t>4</w:t>
            </w:r>
            <w:r>
              <w:rPr>
                <w:rFonts w:ascii="宋体" w:hAnsi="宋体" w:eastAsia="宋体" w:cs="宋体"/>
                <w:sz w:val="24"/>
              </w:rPr>
              <w:t>次，其余时段搞好日常消杀，特殊情况提供应急消杀服务。</w:t>
            </w:r>
          </w:p>
          <w:p>
            <w:pPr>
              <w:pStyle w:val="4"/>
              <w:ind w:firstLine="480"/>
              <w:jc w:val="left"/>
            </w:pPr>
            <w:r>
              <w:rPr>
                <w:rFonts w:ascii="宋体" w:hAnsi="宋体" w:eastAsia="宋体" w:cs="宋体"/>
                <w:sz w:val="24"/>
              </w:rPr>
              <w:t>2.配送以下药物：</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30"/>
              <w:gridCol w:w="1309"/>
              <w:gridCol w:w="926"/>
              <w:gridCol w:w="830"/>
              <w:gridCol w:w="1199"/>
              <w:gridCol w:w="83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宋体" w:hAnsi="宋体" w:eastAsia="宋体" w:cs="宋体"/>
                      <w:sz w:val="24"/>
                    </w:rPr>
                    <w:t>序号</w:t>
                  </w:r>
                </w:p>
              </w:tc>
              <w:tc>
                <w:tcPr>
                  <w:tcW w:w="7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宋体" w:hAnsi="宋体" w:eastAsia="宋体" w:cs="宋体"/>
                      <w:sz w:val="24"/>
                    </w:rPr>
                    <w:t>物品名称</w:t>
                  </w:r>
                </w:p>
              </w:tc>
              <w:tc>
                <w:tcPr>
                  <w:tcW w:w="86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宋体" w:hAnsi="宋体" w:eastAsia="宋体" w:cs="宋体"/>
                      <w:sz w:val="24"/>
                    </w:rPr>
                    <w:t>技术参数</w:t>
                  </w:r>
                </w:p>
              </w:tc>
              <w:tc>
                <w:tcPr>
                  <w:tcW w:w="19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宋体" w:hAnsi="宋体" w:eastAsia="宋体" w:cs="宋体"/>
                      <w:sz w:val="24"/>
                    </w:rPr>
                    <w:t>单位</w:t>
                  </w:r>
                </w:p>
              </w:tc>
              <w:tc>
                <w:tcPr>
                  <w:tcW w:w="29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宋体" w:hAnsi="宋体" w:eastAsia="宋体" w:cs="宋体"/>
                      <w:sz w:val="24"/>
                    </w:rPr>
                    <w:t>预计数量</w:t>
                  </w:r>
                </w:p>
              </w:tc>
              <w:tc>
                <w:tcPr>
                  <w:tcW w:w="29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宋体" w:hAnsi="宋体" w:eastAsia="宋体" w:cs="宋体"/>
                      <w:sz w:val="24"/>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Calibri" w:hAnsi="Calibri" w:eastAsia="Calibri" w:cs="Calibri"/>
                      <w:sz w:val="24"/>
                    </w:rPr>
                    <w:t>1</w:t>
                  </w:r>
                </w:p>
              </w:tc>
              <w:tc>
                <w:tcPr>
                  <w:tcW w:w="7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Calibri" w:hAnsi="Calibri" w:eastAsia="Calibri" w:cs="Calibri"/>
                      <w:sz w:val="24"/>
                    </w:rPr>
                    <w:t>0.005%</w:t>
                  </w:r>
                  <w:r>
                    <w:rPr>
                      <w:rFonts w:ascii="宋体" w:hAnsi="宋体" w:eastAsia="宋体" w:cs="宋体"/>
                      <w:sz w:val="24"/>
                    </w:rPr>
                    <w:t>溴敌隆</w:t>
                  </w:r>
                </w:p>
              </w:tc>
              <w:tc>
                <w:tcPr>
                  <w:tcW w:w="8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宋体" w:hAnsi="宋体" w:eastAsia="宋体" w:cs="宋体"/>
                      <w:sz w:val="24"/>
                    </w:rPr>
                    <w:t>大米、玉米或稻谷毒饵</w:t>
                  </w:r>
                </w:p>
              </w:tc>
              <w:tc>
                <w:tcPr>
                  <w:tcW w:w="1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宋体" w:hAnsi="宋体" w:eastAsia="宋体" w:cs="宋体"/>
                      <w:sz w:val="24"/>
                    </w:rPr>
                    <w:t>公斤</w:t>
                  </w:r>
                </w:p>
              </w:tc>
              <w:tc>
                <w:tcPr>
                  <w:tcW w:w="2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Calibri" w:hAnsi="Calibri" w:eastAsia="Calibri" w:cs="Calibri"/>
                      <w:sz w:val="24"/>
                    </w:rPr>
                    <w:t>6000</w:t>
                  </w:r>
                </w:p>
              </w:tc>
              <w:tc>
                <w:tcPr>
                  <w:tcW w:w="2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宋体" w:hAnsi="宋体" w:eastAsia="宋体" w:cs="宋体"/>
                      <w:sz w:val="24"/>
                    </w:rPr>
                    <w:t>配送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Calibri" w:hAnsi="Calibri" w:eastAsia="Calibri" w:cs="Calibri"/>
                      <w:sz w:val="24"/>
                    </w:rPr>
                    <w:t>2</w:t>
                  </w:r>
                </w:p>
              </w:tc>
              <w:tc>
                <w:tcPr>
                  <w:tcW w:w="7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宋体" w:hAnsi="宋体" w:eastAsia="宋体" w:cs="宋体"/>
                      <w:sz w:val="24"/>
                    </w:rPr>
                    <w:t>高效氯氟氰菊酯可湿性粉剂</w:t>
                  </w:r>
                </w:p>
              </w:tc>
              <w:tc>
                <w:tcPr>
                  <w:tcW w:w="8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宋体" w:hAnsi="宋体" w:eastAsia="宋体" w:cs="宋体"/>
                      <w:sz w:val="24"/>
                    </w:rPr>
                    <w:t>有效成分含量不低于</w:t>
                  </w:r>
                  <w:r>
                    <w:rPr>
                      <w:rFonts w:ascii="Calibri" w:hAnsi="Calibri" w:eastAsia="Calibri" w:cs="Calibri"/>
                      <w:sz w:val="24"/>
                    </w:rPr>
                    <w:t>15%</w:t>
                  </w:r>
                </w:p>
              </w:tc>
              <w:tc>
                <w:tcPr>
                  <w:tcW w:w="1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宋体" w:hAnsi="宋体" w:eastAsia="宋体" w:cs="宋体"/>
                      <w:sz w:val="24"/>
                    </w:rPr>
                    <w:t>包</w:t>
                  </w:r>
                </w:p>
              </w:tc>
              <w:tc>
                <w:tcPr>
                  <w:tcW w:w="2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Calibri" w:hAnsi="Calibri" w:eastAsia="Calibri" w:cs="Calibri"/>
                      <w:sz w:val="24"/>
                    </w:rPr>
                    <w:t>7000</w:t>
                  </w:r>
                </w:p>
              </w:tc>
              <w:tc>
                <w:tcPr>
                  <w:tcW w:w="2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宋体" w:hAnsi="宋体" w:eastAsia="宋体" w:cs="宋体"/>
                      <w:sz w:val="24"/>
                    </w:rPr>
                    <w:t>配送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Calibri" w:hAnsi="Calibri" w:eastAsia="Calibri" w:cs="Calibri"/>
                      <w:sz w:val="24"/>
                    </w:rPr>
                    <w:t>3</w:t>
                  </w:r>
                </w:p>
              </w:tc>
              <w:tc>
                <w:tcPr>
                  <w:tcW w:w="7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宋体" w:hAnsi="宋体" w:eastAsia="宋体" w:cs="宋体"/>
                      <w:sz w:val="24"/>
                    </w:rPr>
                    <w:t>乙酰甲胺磷或吡虫啉类饵剂</w:t>
                  </w:r>
                </w:p>
              </w:tc>
              <w:tc>
                <w:tcPr>
                  <w:tcW w:w="8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宋体" w:hAnsi="宋体" w:eastAsia="宋体" w:cs="宋体"/>
                      <w:sz w:val="24"/>
                    </w:rPr>
                    <w:t>有效成分含量不低于</w:t>
                  </w:r>
                  <w:r>
                    <w:rPr>
                      <w:rFonts w:ascii="Calibri" w:hAnsi="Calibri" w:eastAsia="Calibri" w:cs="Calibri"/>
                      <w:sz w:val="24"/>
                    </w:rPr>
                    <w:t>1.5%，5g/袋</w:t>
                  </w:r>
                </w:p>
              </w:tc>
              <w:tc>
                <w:tcPr>
                  <w:tcW w:w="1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宋体" w:hAnsi="宋体" w:eastAsia="宋体" w:cs="宋体"/>
                      <w:sz w:val="24"/>
                    </w:rPr>
                    <w:t>袋</w:t>
                  </w:r>
                </w:p>
              </w:tc>
              <w:tc>
                <w:tcPr>
                  <w:tcW w:w="2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Calibri" w:hAnsi="Calibri" w:eastAsia="Calibri" w:cs="Calibri"/>
                      <w:sz w:val="24"/>
                    </w:rPr>
                    <w:t>20000</w:t>
                  </w:r>
                </w:p>
              </w:tc>
              <w:tc>
                <w:tcPr>
                  <w:tcW w:w="2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left"/>
                  </w:pPr>
                  <w:r>
                    <w:rPr>
                      <w:rFonts w:ascii="宋体" w:hAnsi="宋体" w:eastAsia="宋体" w:cs="宋体"/>
                      <w:sz w:val="24"/>
                    </w:rPr>
                    <w:t>配送</w:t>
                  </w:r>
                </w:p>
              </w:tc>
            </w:tr>
          </w:tbl>
          <w:p>
            <w:pPr>
              <w:pStyle w:val="4"/>
              <w:ind w:firstLine="480"/>
              <w:jc w:val="left"/>
            </w:pPr>
          </w:p>
          <w:p>
            <w:pPr>
              <w:pStyle w:val="4"/>
              <w:ind w:firstLine="480"/>
              <w:jc w:val="left"/>
            </w:pPr>
            <w:r>
              <w:rPr>
                <w:rFonts w:ascii="宋体" w:hAnsi="宋体" w:eastAsia="宋体" w:cs="宋体"/>
                <w:sz w:val="24"/>
              </w:rPr>
              <w:t>3.开展邛崃市病媒生物示范点创建工作。</w:t>
            </w:r>
          </w:p>
          <w:p>
            <w:pPr>
              <w:pStyle w:val="4"/>
              <w:ind w:firstLine="480"/>
              <w:jc w:val="left"/>
            </w:pPr>
          </w:p>
          <w:p>
            <w:pPr>
              <w:pStyle w:val="4"/>
              <w:jc w:val="left"/>
            </w:pPr>
            <w:r>
              <w:rPr>
                <w:rFonts w:ascii="宋体" w:hAnsi="宋体" w:eastAsia="宋体" w:cs="宋体"/>
                <w:b/>
                <w:sz w:val="24"/>
              </w:rPr>
              <w:t>（二）服务要求</w:t>
            </w:r>
          </w:p>
          <w:p>
            <w:pPr>
              <w:pStyle w:val="4"/>
              <w:ind w:firstLine="480"/>
              <w:jc w:val="left"/>
            </w:pPr>
            <w:r>
              <w:rPr>
                <w:rFonts w:ascii="宋体" w:hAnsi="宋体" w:eastAsia="宋体" w:cs="宋体"/>
                <w:sz w:val="24"/>
              </w:rPr>
              <w:t>1、对主城区面积共约 26平方公里范围内“四害”孳生地进行调查，并提出科学、实际的指导性治理意见和完整调查报告。</w:t>
            </w:r>
          </w:p>
          <w:p>
            <w:pPr>
              <w:pStyle w:val="4"/>
              <w:ind w:firstLine="480"/>
              <w:jc w:val="left"/>
            </w:pPr>
            <w:r>
              <w:rPr>
                <w:rFonts w:ascii="宋体" w:hAnsi="宋体" w:eastAsia="宋体" w:cs="宋体"/>
                <w:sz w:val="24"/>
              </w:rPr>
              <w:t xml:space="preserve">2、供应商应采取网格化的作业方式，分街道办，逐一对每个社区(村)范围内应实施服务环境进行按质、按量、按时、全面到位的灭鼠、灭蚊蝇、灭蟑螂施药。    </w:t>
            </w:r>
          </w:p>
          <w:p>
            <w:pPr>
              <w:pStyle w:val="4"/>
              <w:ind w:firstLine="480"/>
              <w:jc w:val="left"/>
            </w:pPr>
            <w:r>
              <w:rPr>
                <w:rFonts w:ascii="宋体" w:hAnsi="宋体" w:eastAsia="宋体" w:cs="宋体"/>
                <w:sz w:val="24"/>
              </w:rPr>
              <w:t>3、增设灭鼠毒饵站(或陶瓷毒饵盒) 2000个左右，并按照技术规范进行投放。</w:t>
            </w:r>
          </w:p>
          <w:p>
            <w:pPr>
              <w:pStyle w:val="4"/>
              <w:ind w:firstLine="480"/>
              <w:jc w:val="left"/>
            </w:pPr>
            <w:r>
              <w:rPr>
                <w:rFonts w:ascii="宋体" w:hAnsi="宋体" w:eastAsia="宋体" w:cs="宋体"/>
                <w:sz w:val="24"/>
              </w:rPr>
              <w:t>4、进入各社区(村)开展服务时，必须联系社区居委会(村委会)负责卫生工作的人员带路，负责做好各服务对象名称、地址、联系人、联系电话、灭鼠、灭蚊蝇、灭蟑螂施药情况的登记，自觉接受社区带路人员对执行服务合同工作质量的监督和评价。对每个社区的每项、每次服务结束后，供应商应对每次消、杀、灭作出质量评估并由社区负责人签字认可。同时作好下一次消、杀、灭的衔接工作，经审核签字的登记情况汇总后及时送达采购人。</w:t>
            </w:r>
          </w:p>
          <w:p>
            <w:pPr>
              <w:pStyle w:val="4"/>
              <w:ind w:firstLine="480"/>
              <w:jc w:val="left"/>
            </w:pPr>
            <w:r>
              <w:rPr>
                <w:rFonts w:ascii="宋体" w:hAnsi="宋体" w:eastAsia="宋体" w:cs="宋体"/>
                <w:sz w:val="24"/>
              </w:rPr>
              <w:t>5、供应商应成立病媒生物防治应急保障队伍，在日常活动中，应急保障队在发生病媒生物突发事件的第一时间，迅速赶到现场，按照操作规程进行处理，同时向领导小组上报和处理情况，由病媒生物应急控制领导小组根据实际情况决定下一步应对措施。</w:t>
            </w:r>
          </w:p>
          <w:p>
            <w:pPr>
              <w:pStyle w:val="4"/>
              <w:ind w:firstLine="480"/>
              <w:jc w:val="left"/>
            </w:pPr>
            <w:r>
              <w:rPr>
                <w:rFonts w:ascii="宋体" w:hAnsi="宋体" w:eastAsia="宋体" w:cs="宋体"/>
                <w:sz w:val="24"/>
              </w:rPr>
              <w:t>6、确保文君街道南宁花园小区、文君街道天晴美地小区通过病媒生物示范点考核。在体育公园、健康主题公园及病媒生物防制示范点位内安装灭蚊灯或相关设施。</w:t>
            </w:r>
          </w:p>
          <w:p>
            <w:pPr>
              <w:pStyle w:val="4"/>
              <w:ind w:firstLine="480"/>
              <w:jc w:val="left"/>
            </w:pPr>
            <w:r>
              <w:rPr>
                <w:rFonts w:ascii="宋体" w:hAnsi="宋体" w:eastAsia="宋体" w:cs="宋体"/>
                <w:sz w:val="24"/>
              </w:rPr>
              <w:t>7.确保通过邛崃市病媒生物防制单项达标效果评估以及2023-2024年国家卫生县（市）复审病媒生物防制。</w:t>
            </w:r>
          </w:p>
          <w:p>
            <w:pPr>
              <w:pStyle w:val="4"/>
              <w:ind w:firstLine="480"/>
              <w:jc w:val="left"/>
            </w:pPr>
            <w:r>
              <w:rPr>
                <w:rFonts w:ascii="宋体" w:hAnsi="宋体" w:eastAsia="宋体" w:cs="宋体"/>
                <w:sz w:val="24"/>
              </w:rPr>
              <w:t>8、供应商须根据项目实际情况制定详细的项目服务方案、质量控制方案等。</w:t>
            </w:r>
          </w:p>
          <w:p>
            <w:pPr>
              <w:pStyle w:val="4"/>
              <w:jc w:val="left"/>
            </w:pPr>
            <w:r>
              <w:rPr>
                <w:rFonts w:ascii="宋体" w:hAnsi="宋体" w:eastAsia="宋体" w:cs="宋体"/>
                <w:b/>
                <w:sz w:val="24"/>
              </w:rPr>
              <w:t>（三）施药环境要求</w:t>
            </w:r>
          </w:p>
          <w:p>
            <w:pPr>
              <w:pStyle w:val="4"/>
              <w:ind w:firstLine="480"/>
              <w:jc w:val="left"/>
            </w:pPr>
            <w:r>
              <w:rPr>
                <w:rFonts w:ascii="宋体" w:hAnsi="宋体" w:eastAsia="宋体" w:cs="宋体"/>
                <w:sz w:val="24"/>
              </w:rPr>
              <w:t xml:space="preserve"> 1、灭鼠:服务范围内所有的市直机关、市直属医疗卫生单位、居民(职工)住宅小区(院落)、农贸市场、城市街道、公共绿地、公园、广场、垃圾站(点)公路铁路两旁、河道沟渠两岸、城市雨水地漏排水口、七小行业（小餐饮店、小美容美发店、小歌舞厅、小旅馆、小网吧、小副食店以及食品小作坊）等老鼠活动栖息环境。</w:t>
            </w:r>
          </w:p>
          <w:p>
            <w:pPr>
              <w:pStyle w:val="4"/>
              <w:ind w:firstLine="480"/>
              <w:jc w:val="left"/>
            </w:pPr>
            <w:r>
              <w:rPr>
                <w:rFonts w:ascii="宋体" w:hAnsi="宋体" w:eastAsia="宋体" w:cs="宋体"/>
                <w:sz w:val="24"/>
              </w:rPr>
              <w:t>2、灭蚊蝇:服务范围内所有的市直机关、市直属医疗卫生单位、居民(职工)住宅小区(院落)、农贸市场、城市街道的厕所、粪池、垃圾收集存放点、果屑箱、有积水的排水沟、积水点以及雨水地漏排水口、公园等蚊蝇孳生活动环境。</w:t>
            </w:r>
          </w:p>
          <w:p>
            <w:pPr>
              <w:pStyle w:val="4"/>
              <w:ind w:firstLine="480"/>
              <w:jc w:val="left"/>
            </w:pPr>
            <w:r>
              <w:rPr>
                <w:rFonts w:ascii="宋体" w:hAnsi="宋体" w:eastAsia="宋体" w:cs="宋体"/>
                <w:sz w:val="24"/>
              </w:rPr>
              <w:t>3、灭蟑螂:服务范围内所有的从事饮食、食品经营场所内、外环境及周边外环境的城市雨水地漏排水口；市直机关、市直属医疗卫生单位、居民(职工)住宅小区(院落)、农贸市场内的垃圾通道、垃圾收集房、地坑式垃圾收集转运站、雨水地漏排水口等蟑螂孳生藏匿场所。</w:t>
            </w:r>
          </w:p>
          <w:p>
            <w:pPr>
              <w:pStyle w:val="4"/>
              <w:jc w:val="left"/>
            </w:pPr>
            <w:r>
              <w:rPr>
                <w:rFonts w:ascii="宋体" w:hAnsi="宋体" w:eastAsia="宋体" w:cs="宋体"/>
                <w:b/>
                <w:sz w:val="24"/>
              </w:rPr>
              <w:t>（四）用药及安全要求</w:t>
            </w:r>
          </w:p>
          <w:p>
            <w:pPr>
              <w:pStyle w:val="4"/>
              <w:ind w:firstLine="480"/>
              <w:jc w:val="left"/>
            </w:pPr>
            <w:r>
              <w:rPr>
                <w:rFonts w:ascii="宋体" w:hAnsi="宋体" w:eastAsia="宋体" w:cs="宋体"/>
                <w:sz w:val="24"/>
              </w:rPr>
              <w:t>1、供应商所提供的农药必须来自具有《农药经营许可证》的正规供货商（所提供的农药全部是卫生用农药的除外），农药到货时提供供货商的《农药经营许可证》、《农药登记证》及购货发票复印件。</w:t>
            </w:r>
            <w:r>
              <w:rPr>
                <w:rFonts w:ascii="宋体" w:hAnsi="宋体" w:eastAsia="宋体" w:cs="宋体"/>
                <w:b/>
                <w:sz w:val="24"/>
              </w:rPr>
              <w:t>（实质性要求，提供承诺函并加盖供应商鲜章）</w:t>
            </w:r>
          </w:p>
          <w:p>
            <w:pPr>
              <w:pStyle w:val="4"/>
              <w:ind w:firstLine="480"/>
              <w:jc w:val="left"/>
            </w:pPr>
            <w:r>
              <w:rPr>
                <w:rFonts w:ascii="宋体" w:hAnsi="宋体" w:eastAsia="宋体" w:cs="宋体"/>
                <w:sz w:val="24"/>
              </w:rPr>
              <w:t>2、供应商所选择的灭鼠杀虫药必须是经过国家有关部门批准，产品标准号、生产许可号、相关登记号齐全、货物到达时有效期限尚不低于一年时间的合格产品。</w:t>
            </w:r>
            <w:r>
              <w:rPr>
                <w:rFonts w:ascii="宋体" w:hAnsi="宋体" w:eastAsia="宋体" w:cs="宋体"/>
                <w:b/>
                <w:sz w:val="24"/>
              </w:rPr>
              <w:t>（实质性要求，提供承诺函并加盖供应商鲜章）</w:t>
            </w:r>
          </w:p>
          <w:p>
            <w:pPr>
              <w:pStyle w:val="4"/>
              <w:ind w:firstLine="480"/>
              <w:jc w:val="left"/>
            </w:pPr>
            <w:r>
              <w:rPr>
                <w:rFonts w:ascii="宋体" w:hAnsi="宋体" w:eastAsia="宋体" w:cs="宋体"/>
                <w:sz w:val="24"/>
              </w:rPr>
              <w:t>3、供应商需向采购人提供所使用产品的相关合格证明资料。使用灭鼠杀虫药物，必须按使用说明规范操作。严禁使用违禁药。投放、喷洒灭鼠杀虫药物的过程中，要抓好用药安全，进行安全告知，落实安全防范措施，切实防止因工作失误造成的食品污染和中毒事故发生。用药安全和所涉及到的相关赔偿责任由供应商全权负责。</w:t>
            </w:r>
            <w:r>
              <w:rPr>
                <w:rFonts w:ascii="宋体" w:hAnsi="宋体" w:eastAsia="宋体" w:cs="宋体"/>
                <w:b/>
                <w:sz w:val="24"/>
              </w:rPr>
              <w:t>（实质性要求，提供承诺函并加盖供应商鲜章）</w:t>
            </w:r>
          </w:p>
          <w:p>
            <w:pPr>
              <w:pStyle w:val="4"/>
              <w:ind w:firstLine="482"/>
              <w:jc w:val="left"/>
            </w:pPr>
            <w:r>
              <w:rPr>
                <w:rFonts w:ascii="宋体" w:hAnsi="宋体" w:eastAsia="宋体" w:cs="宋体"/>
                <w:b/>
                <w:sz w:val="24"/>
              </w:rPr>
              <w:t>4、供应商应全部回收农药包装废弃物，并交由专门的机构或者组织进行无害化处理，费用由供应商自行承担。（实质性要求，提供承诺函并加盖供应商鲜章）</w:t>
            </w:r>
          </w:p>
          <w:p>
            <w:pPr>
              <w:pStyle w:val="4"/>
              <w:ind w:firstLine="480"/>
              <w:jc w:val="left"/>
            </w:pPr>
            <w:r>
              <w:rPr>
                <w:rFonts w:ascii="宋体" w:hAnsi="宋体" w:eastAsia="宋体" w:cs="宋体"/>
                <w:sz w:val="24"/>
              </w:rPr>
              <w:t>(1)灭鼠</w:t>
            </w:r>
          </w:p>
          <w:p>
            <w:pPr>
              <w:pStyle w:val="4"/>
              <w:ind w:firstLine="480"/>
              <w:jc w:val="left"/>
            </w:pPr>
            <w:r>
              <w:rPr>
                <w:rFonts w:ascii="宋体" w:hAnsi="宋体" w:eastAsia="宋体" w:cs="宋体"/>
                <w:sz w:val="24"/>
              </w:rPr>
              <w:t>1)服务时间:在采购人指定服务期间内组织完成对约定服务范围、环境的集中灭鼠投药服务。</w:t>
            </w:r>
          </w:p>
          <w:p>
            <w:pPr>
              <w:pStyle w:val="4"/>
              <w:ind w:firstLine="480"/>
              <w:jc w:val="left"/>
            </w:pPr>
            <w:r>
              <w:rPr>
                <w:rFonts w:ascii="宋体" w:hAnsi="宋体" w:eastAsia="宋体" w:cs="宋体"/>
                <w:sz w:val="24"/>
              </w:rPr>
              <w:t>2)用药要求:</w:t>
            </w:r>
          </w:p>
          <w:p>
            <w:pPr>
              <w:pStyle w:val="4"/>
              <w:ind w:firstLine="480"/>
              <w:jc w:val="left"/>
            </w:pPr>
            <w:r>
              <w:rPr>
                <w:rFonts w:ascii="宋体" w:hAnsi="宋体" w:eastAsia="宋体" w:cs="宋体"/>
                <w:sz w:val="24"/>
              </w:rPr>
              <w:t>①对约定服务范围内地表环境的灭鼠，以0.005%溴敌隆灭鼠毒饵、饵剂（蜡块）或0.005%溴鼠灵毒饵、溴鼠灵饵剂（蜡块），对所发现鼠洞、雨水地漏排水口环境的灭鼠，使用灭鼠蜡块。</w:t>
            </w:r>
          </w:p>
          <w:p>
            <w:pPr>
              <w:pStyle w:val="4"/>
              <w:ind w:firstLine="480"/>
              <w:jc w:val="left"/>
            </w:pPr>
            <w:r>
              <w:rPr>
                <w:rFonts w:ascii="宋体" w:hAnsi="宋体" w:eastAsia="宋体" w:cs="宋体"/>
                <w:sz w:val="24"/>
              </w:rPr>
              <w:t>②对临街道和农贸市场，城中村、城乡结合部、从事饮食、食品经营等重点</w:t>
            </w:r>
          </w:p>
          <w:p>
            <w:pPr>
              <w:pStyle w:val="4"/>
              <w:jc w:val="left"/>
            </w:pPr>
            <w:r>
              <w:rPr>
                <w:rFonts w:ascii="宋体" w:hAnsi="宋体" w:eastAsia="宋体" w:cs="宋体"/>
                <w:sz w:val="24"/>
              </w:rPr>
              <w:t>场所，应对其周边环境较为隐蔽的墙角边、绿化带边和树脚旁等每5至7米远投放15-20克灭鼠毒饵在毒饵(棚)盒中。投放鼠药后的第一周内，隔日检查鼠药消耗及污染情况，及时补充或更换鼠药。</w:t>
            </w:r>
          </w:p>
          <w:p>
            <w:pPr>
              <w:pStyle w:val="4"/>
              <w:ind w:firstLine="480"/>
              <w:jc w:val="left"/>
            </w:pPr>
            <w:r>
              <w:rPr>
                <w:rFonts w:ascii="宋体" w:hAnsi="宋体" w:eastAsia="宋体" w:cs="宋体"/>
                <w:sz w:val="24"/>
              </w:rPr>
              <w:t>③对约定服务范围内能够发现的所有鼠洞进行投药并填堵处理。特别应注意对从事饮食、食品经营等重点场所周边环境和居民小区、农贸市场的鼠洞及时进行填堵。</w:t>
            </w:r>
          </w:p>
          <w:p>
            <w:pPr>
              <w:pStyle w:val="4"/>
              <w:ind w:firstLine="480"/>
              <w:jc w:val="left"/>
            </w:pPr>
            <w:r>
              <w:rPr>
                <w:rFonts w:ascii="宋体" w:hAnsi="宋体" w:eastAsia="宋体" w:cs="宋体"/>
                <w:sz w:val="24"/>
              </w:rPr>
              <w:t>④对约定服务范围内的城市街道、居民小区(院落)、农贸市场的雨水地漏排</w:t>
            </w:r>
          </w:p>
          <w:p>
            <w:pPr>
              <w:pStyle w:val="4"/>
              <w:jc w:val="left"/>
            </w:pPr>
            <w:r>
              <w:rPr>
                <w:rFonts w:ascii="宋体" w:hAnsi="宋体" w:eastAsia="宋体" w:cs="宋体"/>
                <w:sz w:val="24"/>
              </w:rPr>
              <w:t>水口内，每点穿挂2-3串灭鼠蜡块10-15克，蜡块用铁丝穿连固定悬挂，悬挂高度以老鼠能够取食到为宜。</w:t>
            </w:r>
          </w:p>
          <w:p>
            <w:pPr>
              <w:pStyle w:val="4"/>
              <w:ind w:firstLine="480"/>
              <w:jc w:val="left"/>
            </w:pPr>
            <w:r>
              <w:rPr>
                <w:rFonts w:ascii="宋体" w:hAnsi="宋体" w:eastAsia="宋体" w:cs="宋体"/>
                <w:sz w:val="24"/>
              </w:rPr>
              <w:t>3)安全要求:</w:t>
            </w:r>
          </w:p>
          <w:p>
            <w:pPr>
              <w:pStyle w:val="4"/>
              <w:ind w:firstLine="480"/>
              <w:jc w:val="left"/>
            </w:pPr>
            <w:r>
              <w:rPr>
                <w:rFonts w:ascii="宋体" w:hAnsi="宋体" w:eastAsia="宋体" w:cs="宋体"/>
                <w:sz w:val="24"/>
              </w:rPr>
              <w:t>①投放灭鼠毒饵时，要通过口头宣传和张贴灭鼠安全告知的方式，提醒市民并教育好小孩，管好家禽家畜和宠物，有效避免误食鼠药中毒事故的发生，告知鼠药中毒症状、急救医院、急救电话、解毒药剂，并第一时间配合送医。</w:t>
            </w:r>
          </w:p>
          <w:p>
            <w:pPr>
              <w:pStyle w:val="4"/>
              <w:ind w:firstLine="480"/>
              <w:jc w:val="left"/>
            </w:pPr>
            <w:r>
              <w:rPr>
                <w:rFonts w:ascii="宋体" w:hAnsi="宋体" w:eastAsia="宋体" w:cs="宋体"/>
                <w:sz w:val="24"/>
              </w:rPr>
              <w:t>②在对雨水地漏排水口进行灭鼠投药时，要注意设置安全警示标志，安全操作。投药完毕后，要盖好地漏排水口，防止意外事故发生。</w:t>
            </w:r>
          </w:p>
          <w:p>
            <w:pPr>
              <w:pStyle w:val="4"/>
              <w:ind w:firstLine="480"/>
              <w:jc w:val="left"/>
            </w:pPr>
            <w:r>
              <w:rPr>
                <w:rFonts w:ascii="宋体" w:hAnsi="宋体" w:eastAsia="宋体" w:cs="宋体"/>
                <w:sz w:val="24"/>
              </w:rPr>
              <w:t>(2)灭蚊蝇</w:t>
            </w:r>
          </w:p>
          <w:p>
            <w:pPr>
              <w:pStyle w:val="4"/>
              <w:ind w:firstLine="480"/>
              <w:jc w:val="left"/>
            </w:pPr>
            <w:r>
              <w:rPr>
                <w:rFonts w:ascii="宋体" w:hAnsi="宋体" w:eastAsia="宋体" w:cs="宋体"/>
                <w:sz w:val="24"/>
              </w:rPr>
              <w:t>1)服务时间:在采购人指定服务期间内组织完成对约定服务范围、环境的灭蚊蝇施药服务。</w:t>
            </w:r>
          </w:p>
          <w:p>
            <w:pPr>
              <w:pStyle w:val="4"/>
              <w:ind w:firstLine="480"/>
              <w:jc w:val="left"/>
            </w:pPr>
            <w:r>
              <w:rPr>
                <w:rFonts w:ascii="宋体" w:hAnsi="宋体" w:eastAsia="宋体" w:cs="宋体"/>
                <w:sz w:val="24"/>
              </w:rPr>
              <w:t>2)用药要求:对约定服务范围的居民小区(院落)、农贸市场、城市街道的厕所、垃圾收集存放点、果屑箱、排污沟以及雨水地漏排水口等蚊蝇孳生活动环境，</w:t>
            </w:r>
          </w:p>
          <w:p>
            <w:pPr>
              <w:pStyle w:val="4"/>
              <w:ind w:firstLine="480"/>
              <w:jc w:val="left"/>
            </w:pPr>
            <w:r>
              <w:rPr>
                <w:rFonts w:ascii="宋体" w:hAnsi="宋体" w:eastAsia="宋体" w:cs="宋体"/>
                <w:sz w:val="24"/>
              </w:rPr>
              <w:t>使用菊酯类卫生杀虫剂，按照比例加水稀释混匀后配成药液，对蚊蝇孳生活动环境进行滞留喷洒。主要采用菊酯类(含复配剂)、氟虫腈、吡丙醚或更优质的药品。</w:t>
            </w:r>
          </w:p>
          <w:p>
            <w:pPr>
              <w:pStyle w:val="4"/>
              <w:ind w:firstLine="480"/>
              <w:jc w:val="left"/>
            </w:pPr>
            <w:r>
              <w:rPr>
                <w:rFonts w:ascii="宋体" w:hAnsi="宋体" w:eastAsia="宋体" w:cs="宋体"/>
                <w:sz w:val="24"/>
              </w:rPr>
              <w:t>3)安全要求:要通过口头宣传并张贴灭鼠安全告知的方式进行告知。</w:t>
            </w:r>
          </w:p>
          <w:p>
            <w:pPr>
              <w:pStyle w:val="4"/>
              <w:ind w:firstLine="480"/>
              <w:jc w:val="left"/>
            </w:pPr>
            <w:r>
              <w:rPr>
                <w:rFonts w:ascii="宋体" w:hAnsi="宋体" w:eastAsia="宋体" w:cs="宋体"/>
                <w:sz w:val="24"/>
              </w:rPr>
              <w:t>①施药人员在操作过程中要做好个人安全防护，防止药液经呼吸道和皮肤吸入中毒事故的发生。</w:t>
            </w:r>
          </w:p>
          <w:p>
            <w:pPr>
              <w:pStyle w:val="4"/>
              <w:ind w:firstLine="480"/>
              <w:jc w:val="left"/>
            </w:pPr>
            <w:r>
              <w:rPr>
                <w:rFonts w:ascii="宋体" w:hAnsi="宋体" w:eastAsia="宋体" w:cs="宋体"/>
                <w:sz w:val="24"/>
              </w:rPr>
              <w:t>②有效防止施药对食品、饮用水、鱼池(塘)、蜜蜂、桑蚕造成的污染。</w:t>
            </w:r>
          </w:p>
          <w:p>
            <w:pPr>
              <w:pStyle w:val="4"/>
              <w:ind w:firstLine="480"/>
              <w:jc w:val="left"/>
            </w:pPr>
            <w:r>
              <w:rPr>
                <w:rFonts w:ascii="宋体" w:hAnsi="宋体" w:eastAsia="宋体" w:cs="宋体"/>
                <w:sz w:val="24"/>
              </w:rPr>
              <w:t>(3)灭蟑螂</w:t>
            </w:r>
          </w:p>
          <w:p>
            <w:pPr>
              <w:pStyle w:val="4"/>
              <w:ind w:firstLine="480"/>
              <w:jc w:val="left"/>
            </w:pPr>
            <w:r>
              <w:rPr>
                <w:rFonts w:ascii="宋体" w:hAnsi="宋体" w:eastAsia="宋体" w:cs="宋体"/>
                <w:sz w:val="24"/>
              </w:rPr>
              <w:t>1)服务时间:在采购人指定服务期间内组织完成对约定服务范围、环境的灭蟑螂施药服务。</w:t>
            </w:r>
          </w:p>
          <w:p>
            <w:pPr>
              <w:pStyle w:val="4"/>
              <w:ind w:firstLine="480"/>
              <w:jc w:val="left"/>
            </w:pPr>
            <w:r>
              <w:rPr>
                <w:rFonts w:ascii="宋体" w:hAnsi="宋体" w:eastAsia="宋体" w:cs="宋体"/>
                <w:sz w:val="24"/>
              </w:rPr>
              <w:t>2)用药要求:对约定服务范围、环境灭蟑螂，使用滞留喷洒、杀蟑胶饵、杀蟑热雾剂，直接加入热烟雾机进行喷烟(雾)作业。主要采用菊酯类(含复配剂)、氟虫腈、吡丙醚、杀蟑饵剂或更优质的药品。</w:t>
            </w:r>
          </w:p>
          <w:p>
            <w:pPr>
              <w:pStyle w:val="4"/>
              <w:ind w:firstLine="480"/>
              <w:jc w:val="left"/>
            </w:pPr>
            <w:r>
              <w:rPr>
                <w:rFonts w:ascii="宋体" w:hAnsi="宋体" w:eastAsia="宋体" w:cs="宋体"/>
                <w:sz w:val="24"/>
              </w:rPr>
              <w:t>3)安全要求:使用热烟雾机进行喷烟(雾)作业时，应远离易燃易爆环境，严防火灾、爆炸等意外事故发生。</w:t>
            </w:r>
          </w:p>
          <w:p>
            <w:pPr>
              <w:pStyle w:val="4"/>
              <w:ind w:firstLine="480"/>
              <w:jc w:val="left"/>
            </w:pPr>
            <w:r>
              <w:rPr>
                <w:rFonts w:ascii="宋体" w:hAnsi="宋体" w:eastAsia="宋体" w:cs="宋体"/>
                <w:sz w:val="24"/>
              </w:rPr>
              <w:t>(4)按要求投放或制作毒饵站。规格: 30cm*10cm*10cm。 材质:陶瓷。</w:t>
            </w:r>
          </w:p>
          <w:p>
            <w:pPr>
              <w:pStyle w:val="4"/>
              <w:jc w:val="left"/>
            </w:pPr>
            <w:r>
              <w:rPr>
                <w:rFonts w:ascii="宋体" w:hAnsi="宋体" w:eastAsia="宋体" w:cs="宋体"/>
                <w:b/>
                <w:sz w:val="24"/>
              </w:rPr>
              <w:t>（五）灭鼠、灭蚊蝇、灭蟑螂药物质量要求</w:t>
            </w:r>
          </w:p>
          <w:p>
            <w:pPr>
              <w:pStyle w:val="4"/>
              <w:ind w:firstLine="480"/>
              <w:jc w:val="left"/>
            </w:pPr>
            <w:r>
              <w:rPr>
                <w:rFonts w:ascii="宋体" w:hAnsi="宋体" w:eastAsia="宋体" w:cs="宋体"/>
                <w:sz w:val="24"/>
              </w:rPr>
              <w:t>1、成交人施药服务的灭鼠、灭蚊蝇、灭蟑螂药物应是经过国家有关部门批准，产品标准号、生产许可号、相关登记号齐全的产品，药物必须在有效期范围内的正品，所有产品符合《中华人民共和国产品质量法》、《中华人民共和国计量法》、《中华人民共和国标准化法》、《农药管理条例》等要求,并完全符合国家质量标准。</w:t>
            </w:r>
          </w:p>
          <w:p>
            <w:pPr>
              <w:pStyle w:val="4"/>
              <w:ind w:firstLine="480"/>
              <w:jc w:val="left"/>
            </w:pPr>
            <w:r>
              <w:rPr>
                <w:rFonts w:ascii="宋体" w:hAnsi="宋体" w:eastAsia="宋体" w:cs="宋体"/>
                <w:sz w:val="24"/>
              </w:rPr>
              <w:t>2、鼠药在使用过程中，如出现变质、失效等问题，由成交人负责赔偿所有相应损失；二次抽检仍然存在变质、失效等问题，采购人有权终止本合同，由成交人承担所有损失。</w:t>
            </w:r>
          </w:p>
          <w:p>
            <w:pPr>
              <w:pStyle w:val="4"/>
              <w:ind w:firstLine="480"/>
              <w:jc w:val="left"/>
            </w:pPr>
            <w:r>
              <w:rPr>
                <w:rFonts w:ascii="宋体" w:hAnsi="宋体" w:eastAsia="宋体" w:cs="宋体"/>
                <w:sz w:val="24"/>
              </w:rPr>
              <w:t>3、灭鼠毒饵产品标签和标识，标签内容及格式，防伪标识符合《中华人民共和国农药管理条例》相关规定，不得使用禁止使用的药物。</w:t>
            </w:r>
          </w:p>
          <w:p>
            <w:pPr>
              <w:pStyle w:val="4"/>
              <w:spacing w:before="120" w:after="120"/>
              <w:ind w:firstLine="480"/>
              <w:jc w:val="both"/>
            </w:pPr>
          </w:p>
        </w:tc>
      </w:tr>
    </w:tbl>
    <w:p>
      <w:pPr>
        <w:pStyle w:val="4"/>
        <w:ind w:firstLine="480"/>
        <w:jc w:val="left"/>
        <w:outlineLvl w:val="2"/>
      </w:pPr>
      <w:r>
        <w:rPr>
          <w:b/>
          <w:sz w:val="28"/>
        </w:rPr>
        <w:t>3.2.3人员配置要求</w:t>
      </w:r>
    </w:p>
    <w:p>
      <w:pPr>
        <w:pStyle w:val="4"/>
        <w:jc w:val="left"/>
      </w:pPr>
    </w:p>
    <w:p>
      <w:pPr>
        <w:pStyle w:val="4"/>
        <w:jc w:val="left"/>
      </w:pPr>
    </w:p>
    <w:p>
      <w:pPr>
        <w:pStyle w:val="4"/>
        <w:jc w:val="left"/>
      </w:pPr>
    </w:p>
    <w:p>
      <w:pPr>
        <w:pStyle w:val="4"/>
        <w:jc w:val="left"/>
      </w:pPr>
      <w:r>
        <w:t>采购包1：</w:t>
      </w:r>
    </w:p>
    <w:p>
      <w:pPr>
        <w:pStyle w:val="4"/>
        <w:jc w:val="left"/>
      </w:pPr>
      <w:r>
        <w:t>供应商应为本项目配置专业人员团队，确保能达到合同要求的服务效果。</w:t>
      </w:r>
    </w:p>
    <w:p>
      <w:pPr>
        <w:pStyle w:val="4"/>
        <w:ind w:firstLine="480"/>
        <w:jc w:val="left"/>
        <w:outlineLvl w:val="2"/>
      </w:pPr>
      <w:r>
        <w:rPr>
          <w:b/>
          <w:sz w:val="28"/>
        </w:rPr>
        <w:t>3.2.4设施设备要求</w:t>
      </w:r>
    </w:p>
    <w:p>
      <w:pPr>
        <w:pStyle w:val="4"/>
        <w:jc w:val="left"/>
      </w:pPr>
    </w:p>
    <w:p>
      <w:pPr>
        <w:pStyle w:val="4"/>
        <w:jc w:val="left"/>
      </w:pPr>
    </w:p>
    <w:p>
      <w:pPr>
        <w:pStyle w:val="4"/>
        <w:jc w:val="left"/>
      </w:pPr>
    </w:p>
    <w:p>
      <w:pPr>
        <w:pStyle w:val="4"/>
        <w:jc w:val="left"/>
      </w:pPr>
      <w:r>
        <w:t>采购包1：</w:t>
      </w:r>
    </w:p>
    <w:p>
      <w:pPr>
        <w:pStyle w:val="4"/>
        <w:jc w:val="left"/>
      </w:pPr>
      <w:r>
        <w:t>供应商自行提供所有设施设备，确保能达到合同要求的服务效果。</w:t>
      </w:r>
    </w:p>
    <w:p>
      <w:pPr>
        <w:pStyle w:val="4"/>
        <w:ind w:firstLine="480"/>
        <w:jc w:val="left"/>
        <w:outlineLvl w:val="2"/>
      </w:pPr>
      <w:r>
        <w:rPr>
          <w:b/>
          <w:sz w:val="28"/>
        </w:rPr>
        <w:t>3.2.5其他要求</w:t>
      </w:r>
    </w:p>
    <w:p>
      <w:pPr>
        <w:pStyle w:val="4"/>
        <w:jc w:val="left"/>
      </w:pPr>
    </w:p>
    <w:p>
      <w:pPr>
        <w:pStyle w:val="4"/>
        <w:jc w:val="left"/>
      </w:pPr>
    </w:p>
    <w:p>
      <w:pPr>
        <w:pStyle w:val="4"/>
        <w:jc w:val="left"/>
      </w:pPr>
    </w:p>
    <w:p>
      <w:pPr>
        <w:pStyle w:val="4"/>
        <w:jc w:val="left"/>
      </w:pPr>
      <w:r>
        <w:t>采购包1：</w:t>
      </w:r>
    </w:p>
    <w:p>
      <w:pPr>
        <w:pStyle w:val="4"/>
        <w:jc w:val="left"/>
      </w:pPr>
      <w:r>
        <w:t>考核办法： 1、采购人在供应商实施服务合同过程中，将派人员对工作组织实施情况进行不定期抽查和监督。双方一同通过走访和现场检查的方式，对街道办、社区（村）、市直机关、市直属医疗卫生单位、居民（职工）住宅小区（院落）、农贸市场等受服务对象的满意率和现场投放、喷洒灭鼠杀虫药的到位率进行考核。 2、供应商对服务合同约定社区（村）范围（环境）内的灭鼠、灭蚊蝇、灭 蟑螂服务未达到要求，市疾控中心、社区等工作人员不予签字认可的，每项每次出现1个社区（村），扣减服务合同总额的2%；实施服务每项每次漏掉一个社区（村）,扣减服务合同总额的2%；实施服务每项每次每漏掉1个单位、居民（职工）住宅小区（院落）、农贸市场的，扣减服务合同总额的2%。 3、采购人与供应商一起，对服务合同约定应该服务的对象进行走访和现场 查看，服务满意和到位率以90%为基数，每低于5%，扣减服务合同总额的5%。 4、在双方共同组织的对服务合同约定范围鼠、蝇、蚊、蟑螂的密度考核中， 若有一项未达到国家规定标准范围之内的，扣减服务合同总额的20%。 5、供应商服务时间非因不可抗拒因素超出规定时间的，应承担违约责任， 每超过5天的，扣减10%的合同总额；超过服务时间30天的，采购人可不予付款。同时，供应商应向采购人支付20%的违约金。</w:t>
      </w:r>
    </w:p>
    <w:p>
      <w:pPr>
        <w:pStyle w:val="4"/>
        <w:ind w:firstLine="480"/>
        <w:jc w:val="left"/>
        <w:outlineLvl w:val="2"/>
      </w:pPr>
      <w:r>
        <w:rPr>
          <w:b/>
          <w:sz w:val="28"/>
        </w:rPr>
        <w:t>3.3、商务要求</w:t>
      </w:r>
    </w:p>
    <w:p>
      <w:pPr>
        <w:pStyle w:val="4"/>
        <w:ind w:firstLine="480"/>
        <w:jc w:val="left"/>
        <w:outlineLvl w:val="3"/>
      </w:pPr>
      <w:r>
        <w:rPr>
          <w:b/>
          <w:sz w:val="24"/>
        </w:rPr>
        <w:t>3.3.1服务期限</w:t>
      </w:r>
    </w:p>
    <w:p>
      <w:pPr>
        <w:pStyle w:val="4"/>
        <w:jc w:val="left"/>
      </w:pPr>
    </w:p>
    <w:p>
      <w:pPr>
        <w:pStyle w:val="4"/>
        <w:jc w:val="left"/>
      </w:pPr>
    </w:p>
    <w:p>
      <w:pPr>
        <w:pStyle w:val="4"/>
        <w:jc w:val="left"/>
      </w:pPr>
    </w:p>
    <w:p>
      <w:pPr>
        <w:pStyle w:val="4"/>
        <w:jc w:val="left"/>
      </w:pPr>
      <w:r>
        <w:t>采购包1：</w:t>
      </w:r>
    </w:p>
    <w:p>
      <w:pPr>
        <w:pStyle w:val="4"/>
        <w:jc w:val="left"/>
      </w:pPr>
      <w:r>
        <w:t>自合同签订之日起365日</w:t>
      </w:r>
    </w:p>
    <w:p>
      <w:pPr>
        <w:pStyle w:val="4"/>
        <w:ind w:firstLine="480"/>
        <w:jc w:val="left"/>
        <w:outlineLvl w:val="3"/>
      </w:pPr>
      <w:r>
        <w:rPr>
          <w:b/>
          <w:sz w:val="24"/>
        </w:rPr>
        <w:t>3.3.2服务地点</w:t>
      </w:r>
    </w:p>
    <w:p>
      <w:pPr>
        <w:pStyle w:val="4"/>
        <w:jc w:val="left"/>
      </w:pPr>
    </w:p>
    <w:p>
      <w:pPr>
        <w:pStyle w:val="4"/>
        <w:jc w:val="left"/>
      </w:pPr>
    </w:p>
    <w:p>
      <w:pPr>
        <w:pStyle w:val="4"/>
        <w:jc w:val="left"/>
      </w:pPr>
    </w:p>
    <w:p>
      <w:pPr>
        <w:pStyle w:val="4"/>
        <w:jc w:val="left"/>
      </w:pPr>
      <w:r>
        <w:t>采购包1：</w:t>
      </w:r>
    </w:p>
    <w:p>
      <w:pPr>
        <w:pStyle w:val="4"/>
        <w:jc w:val="left"/>
      </w:pPr>
      <w:r>
        <w:t>邛崃市</w:t>
      </w:r>
    </w:p>
    <w:p>
      <w:pPr>
        <w:pStyle w:val="4"/>
        <w:ind w:firstLine="480"/>
        <w:jc w:val="left"/>
        <w:outlineLvl w:val="3"/>
      </w:pPr>
      <w:r>
        <w:rPr>
          <w:b/>
          <w:sz w:val="24"/>
        </w:rPr>
        <w:t>3.3.3考核（验收）标准和方法</w:t>
      </w:r>
    </w:p>
    <w:p>
      <w:pPr>
        <w:pStyle w:val="4"/>
        <w:jc w:val="left"/>
      </w:pPr>
    </w:p>
    <w:p>
      <w:pPr>
        <w:pStyle w:val="4"/>
        <w:jc w:val="left"/>
      </w:pPr>
    </w:p>
    <w:p>
      <w:pPr>
        <w:pStyle w:val="4"/>
        <w:jc w:val="left"/>
      </w:pPr>
    </w:p>
    <w:p>
      <w:pPr>
        <w:pStyle w:val="4"/>
        <w:jc w:val="left"/>
      </w:pPr>
      <w:r>
        <w:t>采购包1：</w:t>
      </w:r>
    </w:p>
    <w:p>
      <w:pPr>
        <w:pStyle w:val="4"/>
        <w:jc w:val="left"/>
      </w:pPr>
      <w:r>
        <w:t>1.验收方法:本项目采购人将严格按照政府采购相关法律法规、《财政部关于进一步加强政府采购需求和履约验收管理的指导意见》(财库(2016) 205号)以及《政府采购需求管理办法》(财库(2021) 22 号)的要求进行验收。 2.验收标准:按照国家标准《病媒生物密度监测方法》、《病媒生物密度控制水平》，分别对各约定服务范围的鼠、蝇、蚊、蟑螂密度进行对比监测和评估验收，服务区域内病媒生物密度至少达到国家控制水平标准C级，病媒生物防制示范点位病媒生物密度至少达到国家控制水平标准B级。供应商因防制效果差,经验收评价确定，“四害”密度超过国家规定标准，不予支付服务费用，必须进行整改，若整改仍不合格一切责任由供应商承担，并终止合同。 具体验收标准如下：GB/T 23795-2009《病媒生物密度监测方法 蜚蠊》；GB/T 23796-2009《病媒生物密度监测方法 蝇类》；GB/T 23797-2020《病媒生物密度监测方法 蚊虫》；GB/T 23798-2009《病媒生物密度监测方法 鼠类》；GB/T 27770-2011《病媒生物密度控制水平 鼠类》；GB/T 27771-2011《病媒生物密度控制水平 蚊虫》；GB/T 27772-2011《病媒生物密度控制水平 蝇类》；GB/T 27773-2011《病媒生物密度控制水平 蜚蠊》。 3.按照《成都市病媒生物控制效果评估方案》的要求，在2023年9月底-2023年12月上旬，完成邛崃市主城区病媒生物防制评估准备工作，确保通过成都市病媒生物防制单项考核。</w:t>
      </w:r>
    </w:p>
    <w:p>
      <w:pPr>
        <w:pStyle w:val="4"/>
        <w:ind w:firstLine="480"/>
        <w:jc w:val="left"/>
        <w:outlineLvl w:val="3"/>
      </w:pPr>
      <w:r>
        <w:rPr>
          <w:b/>
          <w:sz w:val="24"/>
        </w:rPr>
        <w:t>3.3.4支付方式</w:t>
      </w:r>
    </w:p>
    <w:p>
      <w:pPr>
        <w:pStyle w:val="4"/>
        <w:jc w:val="left"/>
      </w:pPr>
    </w:p>
    <w:p>
      <w:pPr>
        <w:pStyle w:val="4"/>
        <w:jc w:val="left"/>
      </w:pPr>
    </w:p>
    <w:p>
      <w:pPr>
        <w:pStyle w:val="4"/>
        <w:jc w:val="left"/>
      </w:pPr>
    </w:p>
    <w:p>
      <w:pPr>
        <w:pStyle w:val="4"/>
        <w:jc w:val="left"/>
      </w:pPr>
      <w:r>
        <w:t>采购包1：</w:t>
      </w:r>
    </w:p>
    <w:p>
      <w:pPr>
        <w:pStyle w:val="4"/>
        <w:jc w:val="left"/>
      </w:pPr>
      <w:r>
        <w:t>分期付款</w:t>
      </w:r>
    </w:p>
    <w:p>
      <w:pPr>
        <w:pStyle w:val="4"/>
        <w:ind w:firstLine="480"/>
        <w:jc w:val="left"/>
        <w:outlineLvl w:val="3"/>
      </w:pPr>
      <w:r>
        <w:rPr>
          <w:b/>
          <w:sz w:val="24"/>
        </w:rPr>
        <w:t>3.3.5支付约定</w:t>
      </w:r>
    </w:p>
    <w:p>
      <w:pPr>
        <w:pStyle w:val="4"/>
        <w:jc w:val="left"/>
      </w:pPr>
    </w:p>
    <w:p>
      <w:pPr>
        <w:pStyle w:val="4"/>
        <w:jc w:val="left"/>
      </w:pPr>
    </w:p>
    <w:p>
      <w:pPr>
        <w:pStyle w:val="4"/>
        <w:jc w:val="left"/>
      </w:pPr>
    </w:p>
    <w:p>
      <w:pPr>
        <w:pStyle w:val="4"/>
        <w:jc w:val="left"/>
      </w:pPr>
      <w:r>
        <w:t>采购包1：付款条件说明：合同签订生效后，成交人按合同约定事项开展病媒生物防制工作，确保鼠、蚊、蝇、蟑螂密度达到国家卫生城市C级标准，通过国家暗访问题整改复核，达到付款条件起30日，支付合同总金额的30.00%。</w:t>
      </w:r>
    </w:p>
    <w:p>
      <w:pPr>
        <w:pStyle w:val="4"/>
        <w:jc w:val="left"/>
      </w:pPr>
      <w:r>
        <w:t>采购包1：付款条件说明：通过国家卫生县（市）复审病媒生物防制评估，达到付款条件起30日，支付合同总金额的40.00%。</w:t>
      </w:r>
    </w:p>
    <w:p>
      <w:pPr>
        <w:pStyle w:val="4"/>
        <w:jc w:val="left"/>
      </w:pPr>
      <w:r>
        <w:t>采购包1：付款条件说明：合同期满，达到付款条件起30日，支付合同总金额的30.00%。</w:t>
      </w:r>
    </w:p>
    <w:p>
      <w:pPr>
        <w:pStyle w:val="4"/>
        <w:ind w:firstLine="480"/>
        <w:jc w:val="left"/>
        <w:outlineLvl w:val="3"/>
      </w:pPr>
      <w:r>
        <w:rPr>
          <w:b/>
          <w:sz w:val="24"/>
        </w:rPr>
        <w:t>3.3.6违约责任及解决争议的方法</w:t>
      </w:r>
    </w:p>
    <w:p>
      <w:pPr>
        <w:pStyle w:val="4"/>
        <w:jc w:val="left"/>
      </w:pPr>
    </w:p>
    <w:p>
      <w:pPr>
        <w:pStyle w:val="4"/>
        <w:jc w:val="left"/>
      </w:pPr>
    </w:p>
    <w:p>
      <w:pPr>
        <w:pStyle w:val="4"/>
        <w:jc w:val="left"/>
      </w:pPr>
    </w:p>
    <w:p>
      <w:pPr>
        <w:pStyle w:val="4"/>
        <w:jc w:val="left"/>
      </w:pPr>
      <w:r>
        <w:t>采购包1：</w:t>
      </w:r>
    </w:p>
    <w:p>
      <w:pPr>
        <w:pStyle w:val="4"/>
        <w:jc w:val="left"/>
      </w:pPr>
      <w:r>
        <w:t>违约责任： 1、供应商必须遵守采购合同并执行合同中的各项规定，保证采购合同的正常履行。 2、如因供应商工作人员在履行职务过程中的的疏忽、失职、过错等故意或者过失原因给采购人造成损失或侵害，包括但不限于采购人本身的财产损失、由此而导致的采购人对任何第三方的法律责任等，供应商对此均应承担全部的赔偿责任。 3、供应商应当遵守采购人的相关项目需求及相关技术要求及实质性条款，实施完成采购合同应当完全满足相关项目需求及相关技术要求及实质性条款，若供应商瑕疵履行采购合同，采购人有权向供应商要求赔偿合同总价款 20%的违约金，若造成相关损失的，采购人有权要求供应商承担所有赔偿责任。 4、有下列情形之一的，当事人可以解除合同： （1）因不可抗力致使不能实现合同目的(由于非供应商或采购人原因，致使合同实质性条款无法实现的)； （2）当事人一方迟延履行主要债务，经催告后在合理期限内仍未履行； （3）当事人一方迟延履行债务或者有其他违约行为致使不能实现合同目的； （4）法律规定的其他情形。 解决争议的方法： 项目实施过程中如发生争议，双方应本着互相尊重、友好合作的原则，互相协商，妥善解决 ；协商不成的，任何一方均有权向采购人所在地有管辖权的人民法院提起诉讼。</w:t>
      </w:r>
    </w:p>
    <w:p>
      <w:pPr>
        <w:pStyle w:val="4"/>
        <w:ind w:firstLine="480"/>
        <w:jc w:val="left"/>
        <w:outlineLvl w:val="2"/>
      </w:pPr>
      <w:r>
        <w:rPr>
          <w:b/>
          <w:sz w:val="28"/>
        </w:rPr>
        <w:t>3.4其他要求</w:t>
      </w:r>
    </w:p>
    <w:p>
      <w:pPr>
        <w:pStyle w:val="4"/>
        <w:jc w:val="left"/>
      </w:pPr>
    </w:p>
    <w:p>
      <w:pPr>
        <w:pStyle w:val="4"/>
        <w:jc w:val="left"/>
      </w:pPr>
    </w:p>
    <w:p>
      <w:pPr>
        <w:pStyle w:val="4"/>
        <w:jc w:val="left"/>
      </w:pPr>
      <w:r>
        <w:t>供应商注册地为少数民族或不发达地区的在综合打分后评分相同的情况下，优先采购。</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wNzE2Njg1Y2VlYjU2YWNmNzMzNDI2MGIxNTExN2EifQ=="/>
  </w:docVars>
  <w:rsids>
    <w:rsidRoot w:val="43C10157"/>
    <w:rsid w:val="43C10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2023-09-14T07:30:00Z</dcterms:created>
  <dc:creator>Administrator</dc:creator>
  <cp:lastModifiedBy>Administrator</cp:lastModifiedBy>
  <dcterms:modified xsi:type="dcterms:W3CDTF">2023-09-14T07:30:53Z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35342C7DDC3E4729A5F42EEC91AF465F_11</vt:lpwstr>
  </property>
</Properties>
</file>