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tabs>
          <w:tab w:val="left" w:pos="1286"/>
        </w:tabs>
        <w:spacing w:before="41" w:line="240" w:lineRule="auto"/>
        <w:ind w:leftChars="0" w:right="0" w:rightChars="0"/>
        <w:jc w:val="center"/>
        <w:outlineLvl w:val="0"/>
        <w:rPr>
          <w:rFonts w:hint="eastAsia" w:ascii="宋体" w:hAnsi="宋体" w:eastAsia="宋体" w:cs="宋体"/>
          <w:b/>
          <w:bCs w:val="0"/>
          <w:color w:val="000000" w:themeColor="text1"/>
          <w:sz w:val="28"/>
          <w:szCs w:val="24"/>
          <w:highlight w:val="none"/>
          <w:lang w:val="en-US" w:eastAsia="zh-CN" w:bidi="zh-CN"/>
          <w14:textFill>
            <w14:solidFill>
              <w14:schemeClr w14:val="tx1"/>
            </w14:solidFill>
          </w14:textFill>
        </w:rPr>
      </w:pPr>
      <w:r>
        <w:rPr>
          <w:rFonts w:hint="eastAsia" w:ascii="宋体" w:hAnsi="宋体" w:cs="宋体"/>
          <w:b/>
          <w:bCs w:val="0"/>
          <w:color w:val="000000" w:themeColor="text1"/>
          <w:sz w:val="28"/>
          <w:szCs w:val="24"/>
          <w:highlight w:val="none"/>
          <w:lang w:val="en-US" w:eastAsia="zh-CN" w:bidi="zh-CN"/>
          <w14:textFill>
            <w14:solidFill>
              <w14:schemeClr w14:val="tx1"/>
            </w14:solidFill>
          </w14:textFill>
        </w:rPr>
        <w:t>服务</w:t>
      </w:r>
      <w:r>
        <w:rPr>
          <w:rFonts w:hint="eastAsia" w:ascii="宋体" w:hAnsi="宋体" w:eastAsia="宋体" w:cs="宋体"/>
          <w:b/>
          <w:bCs w:val="0"/>
          <w:color w:val="000000" w:themeColor="text1"/>
          <w:sz w:val="28"/>
          <w:szCs w:val="24"/>
          <w:highlight w:val="none"/>
          <w:lang w:val="en-US" w:eastAsia="zh-CN" w:bidi="zh-CN"/>
          <w14:textFill>
            <w14:solidFill>
              <w14:schemeClr w14:val="tx1"/>
            </w14:solidFill>
          </w14:textFill>
        </w:rPr>
        <w:t>要求</w:t>
      </w:r>
    </w:p>
    <w:p>
      <w:pPr>
        <w:rPr>
          <w:rFonts w:hint="eastAsia" w:ascii="宋体" w:hAnsi="宋体" w:eastAsia="宋体" w:cs="宋体"/>
          <w:color w:val="000000" w:themeColor="text1"/>
          <w:highlight w:val="none"/>
          <w:lang w:val="en-US" w:eastAsia="zh-CN"/>
          <w14:textFill>
            <w14:solidFill>
              <w14:schemeClr w14:val="tx1"/>
            </w14:solidFill>
          </w14:textFill>
        </w:rPr>
      </w:pPr>
    </w:p>
    <w:p>
      <w:pPr>
        <w:kinsoku/>
        <w:wordWrap/>
        <w:overflowPunct/>
        <w:autoSpaceDE/>
        <w:autoSpaceDN/>
        <w:bidi w:val="0"/>
        <w:spacing w:before="0" w:after="0" w:line="360" w:lineRule="auto"/>
        <w:ind w:left="0" w:leftChars="0" w:right="0" w:rightChars="0"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1.防制内容：</w:t>
      </w:r>
      <w:r>
        <w:rPr>
          <w:rFonts w:hint="eastAsia" w:ascii="宋体" w:hAnsi="宋体" w:eastAsia="宋体" w:cs="宋体"/>
          <w:b w:val="0"/>
          <w:bCs w:val="0"/>
          <w:color w:val="auto"/>
          <w:kern w:val="0"/>
          <w:sz w:val="24"/>
          <w:szCs w:val="24"/>
          <w:highlight w:val="none"/>
          <w:lang w:val="en-US" w:eastAsia="zh-CN" w:bidi="ar"/>
        </w:rPr>
        <w:t>对防制范围内的所有主次干道及其绿化带和下水道、广场、公园、水体、河堤、市行政中心区域等外环境开展消杀（灭鼠、蚊、蝇、蟑螂），如在外环境蚊蝇孳生栖息场所滞留喷洒卫生杀虫剂杀蚊灭蝇，设置灭鼠毒饵站、灭蚊灯、捕蝇笼，投放灭蚊、蝇幼剂、投放灭鼠药和堵塞鼠洞等。</w:t>
      </w:r>
      <w:r>
        <w:rPr>
          <w:rStyle w:val="6"/>
          <w:rFonts w:hint="eastAsia" w:ascii="宋体" w:hAnsi="宋体" w:eastAsia="宋体" w:cs="宋体"/>
          <w:kern w:val="2"/>
          <w:sz w:val="24"/>
          <w:szCs w:val="24"/>
          <w:highlight w:val="none"/>
          <w:lang w:val="en-US" w:eastAsia="zh-CN"/>
        </w:rPr>
        <w:t xml:space="preserve"> </w:t>
      </w:r>
    </w:p>
    <w:p>
      <w:pPr>
        <w:keepNext w:val="0"/>
        <w:keepLines w:val="0"/>
        <w:widowControl/>
        <w:suppressLineNumbers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2.防制周期和要求 </w:t>
      </w:r>
      <w:bookmarkStart w:id="0" w:name="_GoBack"/>
      <w:bookmarkEnd w:id="0"/>
    </w:p>
    <w:p>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(1)每年为1 个防制服务周期，根据“四害”消长季节规律进行防制工作</w:t>
      </w:r>
      <w:r>
        <w:rPr>
          <w:rFonts w:hint="eastAsia" w:ascii="宋体" w:hAnsi="宋体" w:cs="宋体"/>
          <w:color w:val="auto"/>
          <w:kern w:val="0"/>
          <w:sz w:val="24"/>
          <w:szCs w:val="24"/>
          <w:highlight w:val="none"/>
          <w:lang w:val="en-US" w:eastAsia="zh-CN" w:bidi="ar"/>
        </w:rPr>
        <w:t>（集中消杀不少于9轮次，日常</w:t>
      </w:r>
      <w:r>
        <w:rPr>
          <w:rFonts w:hint="eastAsia" w:ascii="宋体" w:hAnsi="宋体" w:eastAsia="宋体" w:cs="宋体"/>
          <w:color w:val="auto"/>
          <w:kern w:val="0"/>
          <w:sz w:val="24"/>
          <w:szCs w:val="24"/>
          <w:highlight w:val="none"/>
          <w:lang w:val="en-US" w:eastAsia="zh-CN" w:bidi="ar"/>
        </w:rPr>
        <w:t>防制</w:t>
      </w:r>
      <w:r>
        <w:rPr>
          <w:rFonts w:hint="eastAsia" w:ascii="宋体" w:hAnsi="宋体" w:cs="宋体"/>
          <w:color w:val="auto"/>
          <w:kern w:val="0"/>
          <w:sz w:val="24"/>
          <w:szCs w:val="24"/>
          <w:highlight w:val="none"/>
          <w:lang w:val="en-US" w:eastAsia="zh-CN" w:bidi="ar"/>
        </w:rPr>
        <w:t>不少于17轮次）</w:t>
      </w:r>
      <w:r>
        <w:rPr>
          <w:rFonts w:hint="eastAsia" w:ascii="宋体" w:hAnsi="宋体" w:eastAsia="宋体" w:cs="宋体"/>
          <w:color w:val="auto"/>
          <w:kern w:val="0"/>
          <w:sz w:val="24"/>
          <w:szCs w:val="24"/>
          <w:highlight w:val="none"/>
          <w:lang w:val="en-US" w:eastAsia="zh-CN" w:bidi="ar"/>
        </w:rPr>
        <w:t>，防制工作必须保证全年的鼠、蝇、蟑螂、蚊密度达到国家病媒生物密度控制水平标准 B 级要求。</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在提供药物投放服务时，必须作好宣传和技术指导工作，注意安全，预防人畜误食卫生杀虫剂、灭鼠药等药物中毒事件发生，对发生误食中毒事件进行处理，并承担造成环境污染和人畜误食中毒所产生的所有后果； </w:t>
      </w:r>
    </w:p>
    <w:p>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(3)成交供应商在提供药物投放服务时，确保消杀药物的投放量、到位率、覆盖率符合要求并作好相关文字记录，保留备查。</w:t>
      </w:r>
    </w:p>
    <w:p>
      <w:pPr>
        <w:keepNext w:val="0"/>
        <w:keepLines w:val="0"/>
        <w:widowControl/>
        <w:suppressLineNumbers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3.用药要求 </w:t>
      </w:r>
    </w:p>
    <w:p>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（1）不得使用假药及国家禁用药物，确保药物来源正规和质量合格，确保使用国家规定或相关部门认定或推荐的药物。</w:t>
      </w:r>
    </w:p>
    <w:p>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（2）必须</w:t>
      </w:r>
      <w:r>
        <w:rPr>
          <w:rFonts w:hint="eastAsia" w:ascii="宋体" w:hAnsi="宋体" w:cs="宋体"/>
          <w:color w:val="auto"/>
          <w:kern w:val="0"/>
          <w:sz w:val="24"/>
          <w:szCs w:val="24"/>
          <w:highlight w:val="none"/>
          <w:lang w:val="en-US" w:eastAsia="zh-CN" w:bidi="ar"/>
        </w:rPr>
        <w:t>依据市疾控中心抗药性试验结果选择</w:t>
      </w:r>
      <w:r>
        <w:rPr>
          <w:rFonts w:hint="eastAsia" w:ascii="宋体" w:hAnsi="宋体" w:eastAsia="宋体" w:cs="宋体"/>
          <w:color w:val="auto"/>
          <w:kern w:val="0"/>
          <w:sz w:val="24"/>
          <w:szCs w:val="24"/>
          <w:highlight w:val="none"/>
          <w:lang w:val="en-US" w:eastAsia="zh-CN" w:bidi="ar"/>
        </w:rPr>
        <w:t>用药，采取复合、交替轮换用药的方法，控制和延缓病媒生物抗药性的产生。</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(3)使用的药物必须符合 GB/T7777-2011 《杀鼠剂安全使用准则》与 GB/T27779-2011《卫生杀虫剂安全使用准则》等要求，达到“安全、高效、环保"的目标。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 xml:space="preserve">4.服务具体要求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b/>
          <w:color w:val="auto"/>
          <w:kern w:val="0"/>
          <w:sz w:val="24"/>
          <w:szCs w:val="24"/>
          <w:highlight w:val="none"/>
          <w:lang w:val="en-US" w:eastAsia="zh-CN" w:bidi="ar"/>
        </w:rPr>
        <w:t xml:space="preserve">本地孳生地调查 </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在开展病媒生物防制服务工作之前必须先对防制区域进行病媒生物孳生地的全面调查，制订病媒生物防制工作计划。在消杀过程中接受第三方效果评估，并依据评估情况进行改进，确保综合防制效果，形成病媒生物防制台账资料，收集归档。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b/>
          <w:bCs/>
          <w:sz w:val="24"/>
          <w:szCs w:val="24"/>
          <w:highlight w:val="none"/>
          <w:lang w:val="en-US" w:eastAsia="zh-CN"/>
        </w:rPr>
        <w:t xml:space="preserve">病媒生物防制作业要求 </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①坚持“预防为主，综合防制”的方针，落实中心城区内的公共外环境病媒生物防制工作方案，确保按计划在各区域进行全方位的灭鼠、灭蚊、灭蝇、灭蟑螂作业。 </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②建立病媒生物防制药物进出货登记台账和</w:t>
      </w:r>
      <w:r>
        <w:rPr>
          <w:rFonts w:hint="eastAsia" w:ascii="宋体" w:hAnsi="宋体" w:eastAsia="宋体" w:cs="宋体"/>
          <w:sz w:val="24"/>
          <w:szCs w:val="24"/>
          <w:highlight w:val="none"/>
          <w:lang w:val="en-US" w:eastAsia="zh-CN"/>
        </w:rPr>
        <w:t>药物使用台账，</w:t>
      </w:r>
      <w:r>
        <w:rPr>
          <w:rFonts w:hint="eastAsia" w:ascii="宋体" w:hAnsi="宋体" w:eastAsia="宋体" w:cs="宋体"/>
          <w:b w:val="0"/>
          <w:bCs w:val="0"/>
          <w:sz w:val="24"/>
          <w:szCs w:val="24"/>
          <w:highlight w:val="none"/>
          <w:lang w:val="en-US" w:eastAsia="zh-CN"/>
        </w:rPr>
        <w:t>按季度将药物使用情况统计上报市爱卫办</w:t>
      </w:r>
      <w:r>
        <w:rPr>
          <w:rFonts w:hint="eastAsia" w:ascii="宋体" w:hAnsi="宋体" w:eastAsia="宋体" w:cs="宋体"/>
          <w:b w:val="0"/>
          <w:bCs w:val="0"/>
          <w:color w:val="auto"/>
          <w:kern w:val="0"/>
          <w:sz w:val="24"/>
          <w:szCs w:val="24"/>
          <w:highlight w:val="none"/>
          <w:lang w:val="en-US" w:eastAsia="zh-CN" w:bidi="ar"/>
        </w:rPr>
        <w:t>。</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③病媒生物防制工作人员需经专业机构培训合格后持证上岗，按照病媒生物防制工作的法规标准操作。作业时必须统一服装、统一标准，做到安全作业，人员、装备配备须满足3-5天内可完成一次防制范围内全覆盖的集中消杀活动。</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④做好每次病媒生物防制工作的记录，登记时间、处理位置、用药量等数据，并拍摄现场照片。</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⑤</w:t>
      </w:r>
      <w:r>
        <w:rPr>
          <w:rFonts w:hint="eastAsia" w:ascii="宋体" w:hAnsi="宋体" w:eastAsia="宋体" w:cs="宋体"/>
          <w:sz w:val="24"/>
          <w:szCs w:val="24"/>
          <w:highlight w:val="none"/>
          <w:lang w:val="en-US" w:eastAsia="zh-CN"/>
        </w:rPr>
        <w:t>组织开展病媒生物防制效果自查，并形成自查报告上报市爱卫办，根据实际效果调整用药品种、剂量、时间及防制方式等</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⑥合同签订后立即进行一次全覆盖的孳生地调查，将资料汇总成册，在此基础上迅速开展一次全方位病媒生物综合防制工作，迅速降低中心城区内病媒生物密度，鼠、蝇、蟑螂、蚊密度达到国家病媒生物密度控制水平标准 B 级要求。</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⑦在完成首次全方位病媒生物综合防制工作后，组织对防制区域设置灭鼠毒饵站、灭蚊灯、捕蝇笼，投放鼠药和堵塞鼠洞等工作，并张贴标签（警示）牌（灭鼠毒饵站张贴双标签，墙面和毒饵站各贴一张）等标识标语。必须对其进行日常维护，毒饵料必须常年保持</w:t>
      </w:r>
      <w:r>
        <w:rPr>
          <w:rFonts w:hint="eastAsia" w:ascii="宋体" w:hAnsi="宋体" w:cs="宋体"/>
          <w:color w:val="auto"/>
          <w:kern w:val="0"/>
          <w:sz w:val="24"/>
          <w:szCs w:val="24"/>
          <w:highlight w:val="none"/>
          <w:lang w:val="en-US" w:eastAsia="zh-CN" w:bidi="ar"/>
        </w:rPr>
        <w:t>足量干燥不霉变</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⑧对城区内的重点孳生地进行全面巡检和治理。</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⑨合同期间，成交供应商应无条件服从采购单位统一指挥，进行有针对性的病媒生物防制和突击治理工作。</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⑩合同期间应无条件参加采购单位组织的技术培训、公益性宣传教育活动。</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⑪需从病媒生物综合防制的角度，从孳生地调查、危害监测、环境治理等方面提供技术性材料，并按照要求完成档案收集整理等工作。</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56" w:firstLineChars="200"/>
        <w:jc w:val="left"/>
        <w:textAlignment w:val="auto"/>
        <w:rPr>
          <w:rFonts w:hint="default"/>
          <w:highlight w:val="none"/>
          <w:lang w:val="en-US" w:eastAsia="zh-CN"/>
        </w:rPr>
      </w:pPr>
      <w:r>
        <w:rPr>
          <w:rFonts w:hint="eastAsia" w:ascii="微软雅黑" w:hAnsi="微软雅黑" w:eastAsia="微软雅黑" w:cs="微软雅黑"/>
          <w:spacing w:val="-6"/>
          <w:sz w:val="24"/>
          <w:highlight w:val="none"/>
        </w:rPr>
        <w:t>⑫</w:t>
      </w:r>
      <w:r>
        <w:rPr>
          <w:spacing w:val="-6"/>
          <w:sz w:val="24"/>
          <w:highlight w:val="none"/>
        </w:rPr>
        <w:t>供应商</w:t>
      </w:r>
      <w:r>
        <w:rPr>
          <w:spacing w:val="-8"/>
          <w:sz w:val="24"/>
          <w:highlight w:val="none"/>
        </w:rPr>
        <w:t>设立完善的售后服务场所，其中办公</w:t>
      </w:r>
      <w:r>
        <w:rPr>
          <w:spacing w:val="-15"/>
          <w:sz w:val="24"/>
          <w:highlight w:val="none"/>
        </w:rPr>
        <w:t xml:space="preserve">场所必须满足所有工作人员办公、培训等需求，并具有相应的办公设备， </w:t>
      </w:r>
      <w:r>
        <w:rPr>
          <w:spacing w:val="-2"/>
          <w:sz w:val="24"/>
          <w:highlight w:val="none"/>
        </w:rPr>
        <w:t>仓库必须满足设备设施、药物存放需要和相关规定，药物存放符合相关</w:t>
      </w:r>
      <w:r>
        <w:rPr>
          <w:spacing w:val="-6"/>
          <w:sz w:val="24"/>
          <w:highlight w:val="none"/>
        </w:rPr>
        <w:t>技术要求，且鼠药存放仓库必须独立</w:t>
      </w:r>
      <w:r>
        <w:rPr>
          <w:rFonts w:hint="eastAsia"/>
          <w:spacing w:val="-6"/>
          <w:sz w:val="24"/>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5.</w:t>
      </w:r>
      <w:r>
        <w:rPr>
          <w:rFonts w:hint="eastAsia" w:ascii="宋体" w:hAnsi="宋体" w:eastAsia="宋体" w:cs="宋体"/>
          <w:b/>
          <w:color w:val="auto"/>
          <w:kern w:val="0"/>
          <w:sz w:val="24"/>
          <w:szCs w:val="24"/>
          <w:highlight w:val="none"/>
          <w:lang w:val="en-US" w:eastAsia="zh-CN" w:bidi="ar"/>
        </w:rPr>
        <w:t xml:space="preserve">考核内容及承担责任 </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①鼠、蝇、蟑螂、蚊密度达到国家病媒生物密度控制水平标准 B级要求；1 项不达标扣除季服务费 20%；2 项不达标扣除季服务费 40%；3 项不达标扣除季服务费 60%；4 项不达标扣除季服务费100%；连续 2 次监测不达标，拒付进度款并终止合同。 </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②药品不符合要求，无“三证（农药登记证、生产许可证、质量标准证）”发现一次扣除2000元；药品存放不</w:t>
      </w:r>
      <w:r>
        <w:rPr>
          <w:rFonts w:hint="eastAsia" w:ascii="宋体" w:hAnsi="宋体" w:cs="宋体"/>
          <w:color w:val="auto"/>
          <w:kern w:val="0"/>
          <w:sz w:val="24"/>
          <w:szCs w:val="24"/>
          <w:highlight w:val="none"/>
          <w:lang w:val="en-US" w:eastAsia="zh-CN" w:bidi="ar"/>
        </w:rPr>
        <w:t>合规</w:t>
      </w:r>
      <w:r>
        <w:rPr>
          <w:rFonts w:hint="eastAsia" w:ascii="宋体" w:hAnsi="宋体" w:eastAsia="宋体" w:cs="宋体"/>
          <w:color w:val="auto"/>
          <w:kern w:val="0"/>
          <w:sz w:val="24"/>
          <w:szCs w:val="24"/>
          <w:highlight w:val="none"/>
          <w:lang w:val="en-US" w:eastAsia="zh-CN" w:bidi="ar"/>
        </w:rPr>
        <w:t>发现一次扣除1000元。</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③少于工作计划服务频次，一次扣除5000元。 </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④服务资料、台账</w:t>
      </w:r>
      <w:r>
        <w:rPr>
          <w:rFonts w:hint="eastAsia" w:ascii="宋体" w:hAnsi="宋体" w:cs="宋体"/>
          <w:color w:val="auto"/>
          <w:kern w:val="0"/>
          <w:sz w:val="24"/>
          <w:szCs w:val="24"/>
          <w:highlight w:val="none"/>
          <w:lang w:val="en-US" w:eastAsia="zh-CN" w:bidi="ar"/>
        </w:rPr>
        <w:t>有缺陷前后不一致或前后不能互为印证</w:t>
      </w:r>
      <w:r>
        <w:rPr>
          <w:rFonts w:hint="eastAsia" w:ascii="宋体" w:hAnsi="宋体" w:eastAsia="宋体" w:cs="宋体"/>
          <w:color w:val="auto"/>
          <w:kern w:val="0"/>
          <w:sz w:val="24"/>
          <w:szCs w:val="24"/>
          <w:highlight w:val="none"/>
          <w:lang w:val="en-US" w:eastAsia="zh-CN" w:bidi="ar"/>
        </w:rPr>
        <w:t xml:space="preserve">，发现一次扣除2000元。 </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⑤办公场所、库房不符合要求发现一次扣除2000元。</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⑥群众满意率低于80%或者群众累计投诉三次，扣除2000元；出现媒体曝光的，一次扣除 2000元。 </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⑦现场防制人员未经专业机构培训合格（无防制员证）上岗作业的，每人次扣除 2000元。</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⑧因人员或装备不足，导致集中消杀延期完成的，每延长一天扣除10000元；消杀未覆盖或消杀不到位的，每个场所扣除5000元。</w:t>
      </w:r>
    </w:p>
    <w:p>
      <w:pPr>
        <w:keepNext w:val="0"/>
        <w:keepLines w:val="0"/>
        <w:pageBreakBefore w:val="0"/>
        <w:widowControl/>
        <w:suppressLineNumbers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⑨常驻信州区城区工作人员</w:t>
      </w:r>
      <w:r>
        <w:rPr>
          <w:rFonts w:hint="eastAsia" w:ascii="宋体" w:hAnsi="宋体" w:cs="宋体"/>
          <w:color w:val="auto"/>
          <w:kern w:val="0"/>
          <w:sz w:val="24"/>
          <w:szCs w:val="24"/>
          <w:highlight w:val="none"/>
          <w:lang w:val="en-US" w:eastAsia="zh-CN" w:bidi="ar"/>
        </w:rPr>
        <w:t>随时接受甲方抽检，</w:t>
      </w:r>
      <w:r>
        <w:rPr>
          <w:rFonts w:hint="eastAsia" w:ascii="宋体" w:hAnsi="宋体" w:eastAsia="宋体" w:cs="宋体"/>
          <w:color w:val="auto"/>
          <w:kern w:val="0"/>
          <w:sz w:val="24"/>
          <w:szCs w:val="24"/>
          <w:highlight w:val="none"/>
          <w:lang w:val="en-US" w:eastAsia="zh-CN" w:bidi="ar"/>
        </w:rPr>
        <w:t>不足应标承诺最大数的一半，每次扣除 10000元。</w:t>
      </w:r>
    </w:p>
    <w:p>
      <w:pPr>
        <w:pStyle w:val="3"/>
        <w:spacing w:line="360" w:lineRule="auto"/>
        <w:ind w:firstLine="480" w:firstLineChars="200"/>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⑩因施药问题造成人员和财产损失的安全事故，成交供应商负全部责任，承担所有的损失和赔偿。</w:t>
      </w:r>
      <w:r>
        <w:rPr>
          <w:rFonts w:hint="eastAsia" w:ascii="宋体" w:hAnsi="宋体" w:eastAsia="宋体" w:cs="宋体"/>
          <w:color w:val="auto"/>
          <w:kern w:val="0"/>
          <w:sz w:val="24"/>
          <w:szCs w:val="24"/>
          <w:highlight w:val="none"/>
          <w:lang w:val="en-US" w:eastAsia="zh-CN" w:bidi="ar"/>
        </w:rPr>
        <w:br w:type="textWrapping"/>
      </w:r>
      <w:r>
        <w:rPr>
          <w:rFonts w:hint="eastAsia" w:asci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⑪有完善的药物购销、入库、出库等管理制度和帐目，确保实际用药消耗量与技术方案和消毒面积匹配</w:t>
      </w:r>
      <w:r>
        <w:rPr>
          <w:rFonts w:hint="eastAsia" w:ascii="宋体" w:eastAsia="宋体" w:cs="宋体"/>
          <w:color w:val="auto"/>
          <w:kern w:val="0"/>
          <w:sz w:val="24"/>
          <w:szCs w:val="24"/>
          <w:highlight w:val="none"/>
          <w:lang w:val="en-US" w:eastAsia="zh-CN" w:bidi="ar"/>
        </w:rPr>
        <w:t>。不符合要求发现一次扣除3000元。</w:t>
      </w:r>
      <w:r>
        <w:rPr>
          <w:rFonts w:hint="eastAsia" w:ascii="宋体" w:hAnsi="宋体" w:eastAsia="宋体" w:cs="宋体"/>
          <w:b/>
          <w:color w:val="auto"/>
          <w:kern w:val="0"/>
          <w:sz w:val="24"/>
          <w:szCs w:val="24"/>
          <w:highlight w:val="none"/>
          <w:lang w:val="en-US" w:eastAsia="zh-CN" w:bidi="ar"/>
        </w:rPr>
        <w:br w:type="textWrapping"/>
      </w:r>
      <w:r>
        <w:rPr>
          <w:rFonts w:hint="eastAsia" w:ascii="宋体" w:hAnsi="宋体" w:eastAsia="宋体" w:cs="宋体"/>
          <w:b/>
          <w:color w:val="auto"/>
          <w:kern w:val="0"/>
          <w:sz w:val="24"/>
          <w:szCs w:val="24"/>
          <w:highlight w:val="none"/>
          <w:lang w:val="en-US" w:eastAsia="zh-CN" w:bidi="ar"/>
        </w:rPr>
        <w:t xml:space="preserve">  </w:t>
      </w:r>
      <w:r>
        <w:rPr>
          <w:rFonts w:hint="eastAsia" w:ascii="宋体" w:eastAsia="宋体" w:cs="宋体"/>
          <w:b/>
          <w:color w:val="auto"/>
          <w:kern w:val="0"/>
          <w:sz w:val="24"/>
          <w:szCs w:val="24"/>
          <w:highlight w:val="none"/>
          <w:lang w:val="en-US" w:eastAsia="zh-CN" w:bidi="ar"/>
        </w:rPr>
        <w:t xml:space="preserve">  </w:t>
      </w:r>
      <w:r>
        <w:rPr>
          <w:rFonts w:hint="eastAsia" w:ascii="宋体" w:hAnsi="宋体" w:eastAsia="宋体" w:cs="宋体"/>
          <w:b/>
          <w:color w:val="auto"/>
          <w:kern w:val="0"/>
          <w:sz w:val="24"/>
          <w:szCs w:val="24"/>
          <w:highlight w:val="none"/>
          <w:lang w:val="en-US" w:eastAsia="zh-CN" w:bidi="ar"/>
        </w:rPr>
        <w:t>6、须满足以下专业设备及防制员配备情况表要求</w:t>
      </w:r>
    </w:p>
    <w:p>
      <w:pPr>
        <w:ind w:firstLine="480" w:firstLineChars="200"/>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sz w:val="24"/>
          <w:highlight w:val="none"/>
          <w:lang w:val="en-US" w:eastAsia="zh-CN"/>
        </w:rPr>
        <w:t>6.1</w:t>
      </w:r>
      <w:r>
        <w:rPr>
          <w:rFonts w:hint="eastAsia" w:ascii="宋体" w:hAnsi="宋体" w:eastAsia="宋体" w:cs="宋体"/>
          <w:sz w:val="24"/>
          <w:highlight w:val="none"/>
        </w:rPr>
        <w:t>专</w:t>
      </w:r>
      <w:r>
        <w:rPr>
          <w:sz w:val="24"/>
          <w:highlight w:val="none"/>
        </w:rPr>
        <w:t>业设备配备情况表：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7"/>
        <w:gridCol w:w="4114"/>
        <w:gridCol w:w="3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897" w:type="dxa"/>
          </w:tcPr>
          <w:p>
            <w:pPr>
              <w:pStyle w:val="7"/>
              <w:spacing w:before="113"/>
              <w:ind w:left="188" w:right="178"/>
              <w:jc w:val="center"/>
              <w:rPr>
                <w:sz w:val="24"/>
                <w:highlight w:val="none"/>
              </w:rPr>
            </w:pPr>
            <w:r>
              <w:rPr>
                <w:sz w:val="24"/>
                <w:highlight w:val="none"/>
              </w:rPr>
              <w:t>序号</w:t>
            </w:r>
          </w:p>
        </w:tc>
        <w:tc>
          <w:tcPr>
            <w:tcW w:w="4114" w:type="dxa"/>
          </w:tcPr>
          <w:p>
            <w:pPr>
              <w:pStyle w:val="7"/>
              <w:spacing w:before="113"/>
              <w:ind w:left="1197" w:right="1187"/>
              <w:jc w:val="center"/>
              <w:rPr>
                <w:sz w:val="24"/>
                <w:highlight w:val="none"/>
              </w:rPr>
            </w:pPr>
            <w:r>
              <w:rPr>
                <w:sz w:val="24"/>
                <w:highlight w:val="none"/>
              </w:rPr>
              <w:t>设备名称</w:t>
            </w:r>
          </w:p>
        </w:tc>
        <w:tc>
          <w:tcPr>
            <w:tcW w:w="3511" w:type="dxa"/>
          </w:tcPr>
          <w:p>
            <w:pPr>
              <w:pStyle w:val="7"/>
              <w:spacing w:before="113"/>
              <w:ind w:left="1254" w:right="1247"/>
              <w:jc w:val="center"/>
              <w:rPr>
                <w:sz w:val="24"/>
                <w:highlight w:val="none"/>
              </w:rPr>
            </w:pPr>
            <w:r>
              <w:rPr>
                <w:sz w:val="24"/>
                <w:highlight w:val="none"/>
              </w:rPr>
              <w:t>设备数量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97" w:type="dxa"/>
          </w:tcPr>
          <w:p>
            <w:pPr>
              <w:pStyle w:val="7"/>
              <w:spacing w:before="136"/>
              <w:ind w:left="10"/>
              <w:jc w:val="center"/>
              <w:rPr>
                <w:sz w:val="24"/>
                <w:highlight w:val="none"/>
              </w:rPr>
            </w:pPr>
            <w:r>
              <w:rPr>
                <w:sz w:val="24"/>
                <w:highlight w:val="none"/>
              </w:rPr>
              <w:t>1</w:t>
            </w:r>
          </w:p>
        </w:tc>
        <w:tc>
          <w:tcPr>
            <w:tcW w:w="4114" w:type="dxa"/>
          </w:tcPr>
          <w:p>
            <w:pPr>
              <w:pStyle w:val="7"/>
              <w:spacing w:before="136"/>
              <w:ind w:left="1197" w:right="1187"/>
              <w:jc w:val="center"/>
              <w:rPr>
                <w:sz w:val="24"/>
                <w:highlight w:val="none"/>
              </w:rPr>
            </w:pPr>
            <w:r>
              <w:rPr>
                <w:sz w:val="24"/>
                <w:highlight w:val="none"/>
              </w:rPr>
              <w:t>车载式喷雾器</w:t>
            </w:r>
          </w:p>
        </w:tc>
        <w:tc>
          <w:tcPr>
            <w:tcW w:w="3511" w:type="dxa"/>
          </w:tcPr>
          <w:p>
            <w:pPr>
              <w:pStyle w:val="7"/>
              <w:spacing w:before="136"/>
              <w:ind w:left="1254" w:right="1244"/>
              <w:jc w:val="center"/>
              <w:rPr>
                <w:sz w:val="24"/>
                <w:highlight w:val="none"/>
              </w:rPr>
            </w:pPr>
            <w:r>
              <w:rPr>
                <w:rFonts w:hint="eastAsia"/>
                <w:sz w:val="24"/>
                <w:highlight w:val="none"/>
                <w:lang w:val="en-US" w:eastAsia="zh-CN"/>
              </w:rPr>
              <w:t>2</w:t>
            </w:r>
            <w:r>
              <w:rPr>
                <w:sz w:val="24"/>
                <w:highlight w:val="none"/>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97" w:type="dxa"/>
          </w:tcPr>
          <w:p>
            <w:pPr>
              <w:pStyle w:val="7"/>
              <w:spacing w:before="137"/>
              <w:ind w:left="10"/>
              <w:jc w:val="center"/>
              <w:rPr>
                <w:sz w:val="24"/>
                <w:highlight w:val="none"/>
              </w:rPr>
            </w:pPr>
            <w:r>
              <w:rPr>
                <w:sz w:val="24"/>
                <w:highlight w:val="none"/>
              </w:rPr>
              <w:t>2</w:t>
            </w:r>
          </w:p>
        </w:tc>
        <w:tc>
          <w:tcPr>
            <w:tcW w:w="4114" w:type="dxa"/>
          </w:tcPr>
          <w:p>
            <w:pPr>
              <w:pStyle w:val="7"/>
              <w:spacing w:before="137"/>
              <w:ind w:left="1197" w:right="1187"/>
              <w:jc w:val="center"/>
              <w:rPr>
                <w:sz w:val="24"/>
                <w:highlight w:val="none"/>
              </w:rPr>
            </w:pPr>
            <w:r>
              <w:rPr>
                <w:sz w:val="24"/>
                <w:highlight w:val="none"/>
              </w:rPr>
              <w:t>超低容量喷雾器</w:t>
            </w:r>
          </w:p>
        </w:tc>
        <w:tc>
          <w:tcPr>
            <w:tcW w:w="3511" w:type="dxa"/>
          </w:tcPr>
          <w:p>
            <w:pPr>
              <w:pStyle w:val="7"/>
              <w:spacing w:before="137"/>
              <w:ind w:left="1254" w:right="1244"/>
              <w:jc w:val="center"/>
              <w:rPr>
                <w:sz w:val="24"/>
                <w:highlight w:val="none"/>
              </w:rPr>
            </w:pPr>
            <w:r>
              <w:rPr>
                <w:sz w:val="24"/>
                <w:highlight w:val="none"/>
              </w:rPr>
              <w:t>5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897" w:type="dxa"/>
          </w:tcPr>
          <w:p>
            <w:pPr>
              <w:pStyle w:val="7"/>
              <w:spacing w:before="135"/>
              <w:ind w:left="10"/>
              <w:jc w:val="center"/>
              <w:rPr>
                <w:sz w:val="24"/>
                <w:highlight w:val="none"/>
              </w:rPr>
            </w:pPr>
            <w:r>
              <w:rPr>
                <w:sz w:val="24"/>
                <w:highlight w:val="none"/>
              </w:rPr>
              <w:t>3</w:t>
            </w:r>
          </w:p>
        </w:tc>
        <w:tc>
          <w:tcPr>
            <w:tcW w:w="4114" w:type="dxa"/>
          </w:tcPr>
          <w:p>
            <w:pPr>
              <w:pStyle w:val="7"/>
              <w:spacing w:before="135"/>
              <w:ind w:left="1197" w:right="1187"/>
              <w:jc w:val="center"/>
              <w:rPr>
                <w:sz w:val="24"/>
                <w:highlight w:val="none"/>
              </w:rPr>
            </w:pPr>
            <w:r>
              <w:rPr>
                <w:sz w:val="24"/>
                <w:highlight w:val="none"/>
              </w:rPr>
              <w:t>热烟雾器</w:t>
            </w:r>
          </w:p>
        </w:tc>
        <w:tc>
          <w:tcPr>
            <w:tcW w:w="3511" w:type="dxa"/>
          </w:tcPr>
          <w:p>
            <w:pPr>
              <w:pStyle w:val="7"/>
              <w:spacing w:before="135"/>
              <w:ind w:left="1254" w:right="1244"/>
              <w:jc w:val="center"/>
              <w:rPr>
                <w:sz w:val="24"/>
                <w:highlight w:val="none"/>
              </w:rPr>
            </w:pPr>
            <w:r>
              <w:rPr>
                <w:sz w:val="24"/>
                <w:highlight w:val="none"/>
              </w:rPr>
              <w:t>5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97" w:type="dxa"/>
          </w:tcPr>
          <w:p>
            <w:pPr>
              <w:pStyle w:val="7"/>
              <w:spacing w:before="136"/>
              <w:ind w:left="10"/>
              <w:jc w:val="center"/>
              <w:rPr>
                <w:sz w:val="24"/>
                <w:highlight w:val="none"/>
              </w:rPr>
            </w:pPr>
            <w:r>
              <w:rPr>
                <w:sz w:val="24"/>
                <w:highlight w:val="none"/>
              </w:rPr>
              <w:t>4</w:t>
            </w:r>
          </w:p>
        </w:tc>
        <w:tc>
          <w:tcPr>
            <w:tcW w:w="4114" w:type="dxa"/>
          </w:tcPr>
          <w:p>
            <w:pPr>
              <w:pStyle w:val="7"/>
              <w:spacing w:before="136"/>
              <w:ind w:left="1197" w:right="1187"/>
              <w:jc w:val="center"/>
              <w:rPr>
                <w:sz w:val="24"/>
                <w:highlight w:val="none"/>
              </w:rPr>
            </w:pPr>
            <w:r>
              <w:rPr>
                <w:sz w:val="24"/>
                <w:highlight w:val="none"/>
              </w:rPr>
              <w:t>电动喷雾器</w:t>
            </w:r>
          </w:p>
        </w:tc>
        <w:tc>
          <w:tcPr>
            <w:tcW w:w="3511" w:type="dxa"/>
          </w:tcPr>
          <w:p>
            <w:pPr>
              <w:pStyle w:val="7"/>
              <w:spacing w:before="136"/>
              <w:ind w:left="1254" w:right="1244"/>
              <w:jc w:val="center"/>
              <w:rPr>
                <w:sz w:val="24"/>
                <w:highlight w:val="none"/>
              </w:rPr>
            </w:pPr>
            <w:r>
              <w:rPr>
                <w:sz w:val="24"/>
                <w:highlight w:val="none"/>
              </w:rPr>
              <w:t>10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97" w:type="dxa"/>
          </w:tcPr>
          <w:p>
            <w:pPr>
              <w:pStyle w:val="7"/>
              <w:spacing w:before="137"/>
              <w:ind w:left="10"/>
              <w:jc w:val="center"/>
              <w:rPr>
                <w:sz w:val="24"/>
                <w:highlight w:val="none"/>
              </w:rPr>
            </w:pPr>
            <w:r>
              <w:rPr>
                <w:sz w:val="24"/>
                <w:highlight w:val="none"/>
              </w:rPr>
              <w:t>5</w:t>
            </w:r>
          </w:p>
        </w:tc>
        <w:tc>
          <w:tcPr>
            <w:tcW w:w="4114" w:type="dxa"/>
          </w:tcPr>
          <w:p>
            <w:pPr>
              <w:pStyle w:val="7"/>
              <w:spacing w:before="137"/>
              <w:ind w:left="1197" w:right="1187"/>
              <w:jc w:val="center"/>
              <w:rPr>
                <w:sz w:val="24"/>
                <w:highlight w:val="none"/>
              </w:rPr>
            </w:pPr>
            <w:r>
              <w:rPr>
                <w:sz w:val="24"/>
                <w:highlight w:val="none"/>
              </w:rPr>
              <w:t>工程服务车</w:t>
            </w:r>
          </w:p>
        </w:tc>
        <w:tc>
          <w:tcPr>
            <w:tcW w:w="3511" w:type="dxa"/>
          </w:tcPr>
          <w:p>
            <w:pPr>
              <w:pStyle w:val="7"/>
              <w:spacing w:before="137"/>
              <w:ind w:left="1254" w:right="1244"/>
              <w:jc w:val="center"/>
              <w:rPr>
                <w:sz w:val="24"/>
                <w:highlight w:val="none"/>
              </w:rPr>
            </w:pPr>
            <w:r>
              <w:rPr>
                <w:rFonts w:hint="eastAsia"/>
                <w:sz w:val="24"/>
                <w:highlight w:val="none"/>
                <w:lang w:val="en-US" w:eastAsia="zh-CN"/>
              </w:rPr>
              <w:t>2</w:t>
            </w:r>
            <w:r>
              <w:rPr>
                <w:sz w:val="24"/>
                <w:highlight w:val="none"/>
              </w:rPr>
              <w:t xml:space="preserve"> 台</w:t>
            </w:r>
          </w:p>
        </w:tc>
      </w:tr>
    </w:tbl>
    <w:p>
      <w:pPr>
        <w:ind w:firstLine="422" w:firstLineChars="200"/>
        <w:rPr>
          <w:b/>
          <w:bCs/>
          <w:highlight w:val="none"/>
        </w:rPr>
      </w:pPr>
      <w:r>
        <w:rPr>
          <w:b/>
          <w:bCs/>
          <w:highlight w:val="none"/>
        </w:rPr>
        <w:t>注：</w:t>
      </w:r>
      <w:r>
        <w:rPr>
          <w:rFonts w:ascii="Times New Roman" w:hAnsi="Times New Roman" w:eastAsia="宋体" w:cs="Times New Roman"/>
          <w:b/>
          <w:bCs/>
          <w:kern w:val="2"/>
          <w:sz w:val="21"/>
          <w:highlight w:val="none"/>
          <w:lang w:val="en-US" w:eastAsia="zh-CN" w:bidi="ar-SA"/>
        </w:rPr>
        <w:t>入本项目</w:t>
      </w:r>
      <w:r>
        <w:rPr>
          <w:rFonts w:hint="eastAsia" w:cs="Times New Roman"/>
          <w:b/>
          <w:bCs/>
          <w:kern w:val="2"/>
          <w:sz w:val="21"/>
          <w:highlight w:val="none"/>
          <w:lang w:val="en-US" w:eastAsia="zh-CN" w:bidi="ar-SA"/>
        </w:rPr>
        <w:t>的设备应常驻在信州区项目</w:t>
      </w:r>
      <w:r>
        <w:rPr>
          <w:rFonts w:ascii="Times New Roman" w:hAnsi="Times New Roman" w:eastAsia="宋体" w:cs="Times New Roman"/>
          <w:b/>
          <w:bCs/>
          <w:kern w:val="2"/>
          <w:sz w:val="21"/>
          <w:highlight w:val="none"/>
          <w:lang w:val="en-US" w:eastAsia="zh-CN" w:bidi="ar-SA"/>
        </w:rPr>
        <w:t>实施过程中不</w:t>
      </w:r>
      <w:r>
        <w:rPr>
          <w:rFonts w:hint="eastAsia" w:cs="Times New Roman"/>
          <w:b/>
          <w:bCs/>
          <w:kern w:val="2"/>
          <w:sz w:val="21"/>
          <w:highlight w:val="none"/>
          <w:lang w:val="en-US" w:eastAsia="zh-CN" w:bidi="ar-SA"/>
        </w:rPr>
        <w:t>得</w:t>
      </w:r>
      <w:r>
        <w:rPr>
          <w:rFonts w:ascii="Times New Roman" w:hAnsi="Times New Roman" w:eastAsia="宋体" w:cs="Times New Roman"/>
          <w:b/>
          <w:bCs/>
          <w:kern w:val="2"/>
          <w:sz w:val="21"/>
          <w:highlight w:val="none"/>
          <w:lang w:val="en-US" w:eastAsia="zh-CN" w:bidi="ar-SA"/>
        </w:rPr>
        <w:t>减配</w:t>
      </w:r>
      <w:r>
        <w:rPr>
          <w:rFonts w:hint="eastAsia" w:cs="Times New Roman"/>
          <w:b/>
          <w:bCs/>
          <w:kern w:val="2"/>
          <w:sz w:val="21"/>
          <w:highlight w:val="none"/>
          <w:lang w:val="en-US" w:eastAsia="zh-CN" w:bidi="ar-SA"/>
        </w:rPr>
        <w:t>，提供相关承诺函</w:t>
      </w:r>
      <w:r>
        <w:rPr>
          <w:rFonts w:hint="eastAsia" w:ascii="Times New Roman" w:hAnsi="Times New Roman" w:eastAsia="宋体" w:cs="Times New Roman"/>
          <w:b/>
          <w:bCs/>
          <w:kern w:val="2"/>
          <w:sz w:val="21"/>
          <w:highlight w:val="none"/>
          <w:lang w:val="en-US" w:eastAsia="zh-CN" w:bidi="ar-SA"/>
        </w:rPr>
        <w:t>（保证常驻装备设施数在承诺最多数的一半以上，随时接受甲方抽检，否则愿接受甲方处罚）</w:t>
      </w:r>
    </w:p>
    <w:p>
      <w:pPr>
        <w:pStyle w:val="3"/>
        <w:spacing w:before="1" w:after="3"/>
        <w:ind w:firstLine="480" w:firstLineChars="200"/>
        <w:rPr>
          <w:rFonts w:hint="eastAsia"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6.2有害生物防制员配备情况表：</w:t>
      </w:r>
    </w:p>
    <w:tbl>
      <w:tblPr>
        <w:tblStyle w:val="4"/>
        <w:tblW w:w="0" w:type="auto"/>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6"/>
        <w:gridCol w:w="4122"/>
        <w:gridCol w:w="3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906" w:type="dxa"/>
          </w:tcPr>
          <w:p>
            <w:pPr>
              <w:pStyle w:val="7"/>
              <w:spacing w:before="77"/>
              <w:ind w:left="193" w:right="183"/>
              <w:jc w:val="center"/>
              <w:rPr>
                <w:sz w:val="24"/>
                <w:highlight w:val="none"/>
              </w:rPr>
            </w:pPr>
            <w:r>
              <w:rPr>
                <w:sz w:val="24"/>
                <w:highlight w:val="none"/>
              </w:rPr>
              <w:t>序号</w:t>
            </w:r>
          </w:p>
        </w:tc>
        <w:tc>
          <w:tcPr>
            <w:tcW w:w="4122" w:type="dxa"/>
          </w:tcPr>
          <w:p>
            <w:pPr>
              <w:pStyle w:val="7"/>
              <w:spacing w:before="49"/>
              <w:ind w:left="1680" w:right="1432"/>
              <w:jc w:val="center"/>
              <w:rPr>
                <w:sz w:val="24"/>
                <w:highlight w:val="none"/>
              </w:rPr>
            </w:pPr>
            <w:r>
              <w:rPr>
                <w:sz w:val="24"/>
                <w:highlight w:val="none"/>
              </w:rPr>
              <w:t>资质要求</w:t>
            </w:r>
          </w:p>
        </w:tc>
        <w:tc>
          <w:tcPr>
            <w:tcW w:w="3498" w:type="dxa"/>
          </w:tcPr>
          <w:p>
            <w:pPr>
              <w:pStyle w:val="7"/>
              <w:spacing w:before="49"/>
              <w:ind w:left="1488" w:right="1478"/>
              <w:jc w:val="center"/>
              <w:rPr>
                <w:sz w:val="24"/>
                <w:highlight w:val="none"/>
              </w:rPr>
            </w:pPr>
            <w:r>
              <w:rPr>
                <w:sz w:val="24"/>
                <w:highlight w:val="none"/>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06" w:type="dxa"/>
          </w:tcPr>
          <w:p>
            <w:pPr>
              <w:pStyle w:val="7"/>
              <w:spacing w:before="147"/>
              <w:ind w:left="10"/>
              <w:jc w:val="center"/>
              <w:rPr>
                <w:sz w:val="24"/>
                <w:highlight w:val="none"/>
              </w:rPr>
            </w:pPr>
            <w:r>
              <w:rPr>
                <w:sz w:val="24"/>
                <w:highlight w:val="none"/>
              </w:rPr>
              <w:t>1</w:t>
            </w:r>
          </w:p>
        </w:tc>
        <w:tc>
          <w:tcPr>
            <w:tcW w:w="4122" w:type="dxa"/>
          </w:tcPr>
          <w:p>
            <w:pPr>
              <w:pStyle w:val="7"/>
              <w:spacing w:before="147"/>
              <w:ind w:left="1580"/>
              <w:rPr>
                <w:sz w:val="24"/>
                <w:highlight w:val="none"/>
              </w:rPr>
            </w:pPr>
            <w:r>
              <w:rPr>
                <w:sz w:val="24"/>
                <w:highlight w:val="none"/>
              </w:rPr>
              <w:t>高级资质</w:t>
            </w:r>
          </w:p>
        </w:tc>
        <w:tc>
          <w:tcPr>
            <w:tcW w:w="3498" w:type="dxa"/>
          </w:tcPr>
          <w:p>
            <w:pPr>
              <w:pStyle w:val="7"/>
              <w:spacing w:before="147"/>
              <w:ind w:left="1487" w:right="1479"/>
              <w:jc w:val="center"/>
              <w:rPr>
                <w:sz w:val="24"/>
                <w:highlight w:val="none"/>
              </w:rPr>
            </w:pPr>
            <w:r>
              <w:rPr>
                <w:sz w:val="24"/>
                <w:highlight w:val="none"/>
              </w:rPr>
              <w:t>1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906" w:type="dxa"/>
          </w:tcPr>
          <w:p>
            <w:pPr>
              <w:pStyle w:val="7"/>
              <w:spacing w:before="155"/>
              <w:ind w:left="10"/>
              <w:jc w:val="center"/>
              <w:rPr>
                <w:sz w:val="24"/>
                <w:highlight w:val="none"/>
              </w:rPr>
            </w:pPr>
            <w:r>
              <w:rPr>
                <w:sz w:val="24"/>
                <w:highlight w:val="none"/>
              </w:rPr>
              <w:t>2</w:t>
            </w:r>
          </w:p>
        </w:tc>
        <w:tc>
          <w:tcPr>
            <w:tcW w:w="4122" w:type="dxa"/>
          </w:tcPr>
          <w:p>
            <w:pPr>
              <w:pStyle w:val="7"/>
              <w:spacing w:before="155"/>
              <w:ind w:left="1580"/>
              <w:rPr>
                <w:sz w:val="24"/>
                <w:highlight w:val="none"/>
              </w:rPr>
            </w:pPr>
            <w:r>
              <w:rPr>
                <w:sz w:val="24"/>
                <w:highlight w:val="none"/>
              </w:rPr>
              <w:t>中级资质</w:t>
            </w:r>
          </w:p>
        </w:tc>
        <w:tc>
          <w:tcPr>
            <w:tcW w:w="3498" w:type="dxa"/>
          </w:tcPr>
          <w:p>
            <w:pPr>
              <w:pStyle w:val="7"/>
              <w:spacing w:before="155"/>
              <w:ind w:left="1487" w:right="1479"/>
              <w:jc w:val="center"/>
              <w:rPr>
                <w:sz w:val="24"/>
                <w:highlight w:val="none"/>
              </w:rPr>
            </w:pPr>
            <w:r>
              <w:rPr>
                <w:rFonts w:hint="eastAsia"/>
                <w:sz w:val="24"/>
                <w:highlight w:val="none"/>
                <w:lang w:val="en-US" w:eastAsia="zh-CN"/>
              </w:rPr>
              <w:t>3</w:t>
            </w:r>
            <w:r>
              <w:rPr>
                <w:sz w:val="24"/>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906" w:type="dxa"/>
          </w:tcPr>
          <w:p>
            <w:pPr>
              <w:pStyle w:val="7"/>
              <w:spacing w:before="156"/>
              <w:ind w:left="10"/>
              <w:jc w:val="center"/>
              <w:rPr>
                <w:sz w:val="24"/>
                <w:highlight w:val="none"/>
              </w:rPr>
            </w:pPr>
            <w:r>
              <w:rPr>
                <w:sz w:val="24"/>
                <w:highlight w:val="none"/>
              </w:rPr>
              <w:t>3</w:t>
            </w:r>
          </w:p>
        </w:tc>
        <w:tc>
          <w:tcPr>
            <w:tcW w:w="4122" w:type="dxa"/>
          </w:tcPr>
          <w:p>
            <w:pPr>
              <w:pStyle w:val="7"/>
              <w:spacing w:before="156"/>
              <w:ind w:left="1580"/>
              <w:rPr>
                <w:sz w:val="24"/>
                <w:highlight w:val="none"/>
              </w:rPr>
            </w:pPr>
            <w:r>
              <w:rPr>
                <w:sz w:val="24"/>
                <w:highlight w:val="none"/>
              </w:rPr>
              <w:t>初级资质</w:t>
            </w:r>
          </w:p>
        </w:tc>
        <w:tc>
          <w:tcPr>
            <w:tcW w:w="3498" w:type="dxa"/>
          </w:tcPr>
          <w:p>
            <w:pPr>
              <w:pStyle w:val="7"/>
              <w:spacing w:before="156"/>
              <w:ind w:left="1487" w:right="1479"/>
              <w:jc w:val="center"/>
              <w:rPr>
                <w:sz w:val="24"/>
                <w:highlight w:val="none"/>
              </w:rPr>
            </w:pPr>
            <w:r>
              <w:rPr>
                <w:rFonts w:hint="eastAsia"/>
                <w:sz w:val="24"/>
                <w:highlight w:val="none"/>
                <w:lang w:val="en-US" w:eastAsia="zh-CN"/>
              </w:rPr>
              <w:t>5</w:t>
            </w:r>
            <w:r>
              <w:rPr>
                <w:sz w:val="24"/>
                <w:highlight w:val="none"/>
              </w:rPr>
              <w:t xml:space="preserve"> 人</w:t>
            </w:r>
          </w:p>
        </w:tc>
      </w:tr>
    </w:tbl>
    <w:p>
      <w:r>
        <w:rPr>
          <w:rFonts w:ascii="Times New Roman" w:hAnsi="Times New Roman" w:eastAsia="宋体" w:cs="Times New Roman"/>
          <w:b/>
          <w:bCs/>
          <w:kern w:val="2"/>
          <w:sz w:val="21"/>
          <w:highlight w:val="none"/>
          <w:lang w:val="en-US" w:eastAsia="zh-CN" w:bidi="ar-SA"/>
        </w:rPr>
        <w:t>注：</w:t>
      </w:r>
      <w:r>
        <w:rPr>
          <w:rFonts w:hint="eastAsia" w:ascii="Times New Roman" w:hAnsi="Times New Roman" w:eastAsia="宋体" w:cs="Times New Roman"/>
          <w:b/>
          <w:bCs/>
          <w:kern w:val="2"/>
          <w:sz w:val="21"/>
          <w:highlight w:val="none"/>
          <w:lang w:val="en-US" w:eastAsia="zh-CN" w:bidi="ar-SA"/>
        </w:rPr>
        <w:t>以上人员必须为供应商的正式员工，提供相关承诺函，列出投入本项目常驻信州区人员名单，在项目实施过程中不减配，不随意更换（承诺：保证常驻人员数保持在承诺最多数的一半以上，随时接受甲方抽检，否则愿接受甲方处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ZDE4YzdmODU0OGQyZThiYmNhYzUxYzNkNTY2NzEifQ=="/>
  </w:docVars>
  <w:rsids>
    <w:rsidRoot w:val="00000000"/>
    <w:rsid w:val="25552919"/>
    <w:rsid w:val="3D115F7D"/>
    <w:rsid w:val="46853538"/>
    <w:rsid w:val="4A46076E"/>
    <w:rsid w:val="5E115985"/>
    <w:rsid w:val="76120095"/>
    <w:rsid w:val="7C574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3" w:lineRule="auto"/>
      <w:outlineLvl w:val="1"/>
    </w:pPr>
    <w:rPr>
      <w:rFonts w:hint="eastAsia" w:ascii="仿宋_GB2312" w:hAnsi="Arial" w:eastAsia="仿宋_GB2312"/>
      <w:kern w:val="0"/>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rFonts w:ascii="仿宋_GB2312" w:hAnsi="宋体" w:eastAsia="仿宋_GB2312"/>
      <w:sz w:val="32"/>
    </w:rPr>
  </w:style>
  <w:style w:type="character" w:customStyle="1" w:styleId="6">
    <w:name w:val="NormalCharacter"/>
    <w:qFormat/>
    <w:uiPriority w:val="0"/>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2023-09-14T08:05:52Z</dcterms:created>
  <dc:creator>AU</dc:creator>
  <cp:lastModifiedBy>法务部</cp:lastModifiedBy>
  <dcterms:modified xsi:type="dcterms:W3CDTF">2023-09-14T08:06:00Z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6F9E17F73EB94C16B418DE30EAD0005D_12</vt:lpwstr>
  </property>
</Properties>
</file>