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441521-2023-02357</w:t>
      </w:r>
    </w:p>
    <w:p>
      <w:pPr>
        <w:jc w:val="center"/>
      </w:pPr>
      <w:r>
        <w:rPr>
          <w:b/>
          <w:sz w:val="24"/>
        </w:rPr>
        <w:t>采购项目编号：</w:t>
      </w:r>
      <w:r>
        <w:rPr>
          <w:b/>
          <w:sz w:val="24"/>
        </w:rPr>
        <w:t>GDHYCG20230907</w:t>
      </w:r>
    </w:p>
    <w:p>
      <w:pPr>
        <w:jc w:val="center"/>
      </w:pPr>
      <w:r>
        <w:rPr>
          <w:b/>
          <w:sz w:val="24"/>
        </w:rPr>
        <w:t>项目名称：</w:t>
      </w:r>
      <w:r>
        <w:rPr>
          <w:b/>
          <w:sz w:val="24"/>
        </w:rPr>
        <w:t>海丰县2023年林业有害生物防治项目</w:t>
      </w:r>
    </w:p>
    <w:p>
      <w:pPr>
        <w:jc w:val="center"/>
      </w:pPr>
      <w:r>
        <w:rPr>
          <w:b/>
          <w:sz w:val="24"/>
        </w:rPr>
        <w:t>采购人：</w:t>
      </w:r>
      <w:r>
        <w:rPr>
          <w:b/>
          <w:sz w:val="24"/>
        </w:rPr>
        <w:t>海丰县林业局</w:t>
      </w:r>
    </w:p>
    <w:p>
      <w:pPr>
        <w:jc w:val="center"/>
      </w:pPr>
      <w:r>
        <w:rPr>
          <w:b/>
          <w:sz w:val="24"/>
        </w:rPr>
        <w:t>采购代理机构：</w:t>
      </w:r>
      <w:r>
        <w:rPr>
          <w:b/>
          <w:sz w:val="24"/>
        </w:rPr>
        <w:t>广东弘业建设项目管理有限公司</w:t>
      </w:r>
    </w:p>
    <w:p>
      <w:pPr>
        <w:ind w:firstLine="480"/>
      </w:pPr>
    </w:p>
    <w:p>
      <w:r>
        <w:rPr/>
        <w:t xml:space="preserve"> </w:t>
      </w:r>
    </w:p>
    <w:p/>
    <w:p>
      <w:pPr>
        <w:jc w:val="center"/>
      </w:pPr>
      <w:r>
        <w:rPr>
          <w:b/>
          <w:sz w:val="36"/>
        </w:rPr>
        <w:t>第一章 磋商邀请</w:t>
      </w:r>
    </w:p>
    <w:p>
      <w:pPr>
        <w:ind w:firstLine="480"/>
      </w:pPr>
      <w:r>
        <w:rPr/>
        <w:t>广东弘业建设项目管理有限公司</w:t>
      </w:r>
      <w:r>
        <w:rPr/>
        <w:t>受</w:t>
      </w:r>
      <w:r>
        <w:rPr/>
        <w:t>海丰县林业局</w:t>
      </w:r>
      <w:r>
        <w:rPr/>
        <w:t>的委托，采用</w:t>
      </w:r>
      <w:r>
        <w:rPr/>
        <w:t>竞争性磋商</w:t>
      </w:r>
      <w:r>
        <w:rPr/>
        <w:t>方式组织采购</w:t>
      </w:r>
      <w:r>
        <w:rPr/>
        <w:t>海丰县2023年林业有害生物防治项目</w:t>
      </w:r>
      <w:r>
        <w:rPr/>
        <w:t>。欢迎符合资格条件的供应商参加。</w:t>
      </w:r>
    </w:p>
    <w:p>
      <w:r>
        <w:rPr>
          <w:b/>
          <w:sz w:val="28"/>
        </w:rPr>
        <w:t>一.项目概述</w:t>
      </w:r>
    </w:p>
    <w:p>
      <w:r>
        <w:rPr>
          <w:b/>
          <w:sz w:val="24"/>
        </w:rPr>
        <w:t>1.名称与编号</w:t>
      </w:r>
    </w:p>
    <w:p>
      <w:pPr>
        <w:ind w:firstLine="480"/>
      </w:pPr>
      <w:r>
        <w:rPr/>
        <w:t>采购项目名称：</w:t>
      </w:r>
      <w:r>
        <w:rPr/>
        <w:t>海丰县2023年林业有害生物防治项目</w:t>
      </w:r>
    </w:p>
    <w:p>
      <w:pPr>
        <w:ind w:firstLine="480"/>
      </w:pPr>
      <w:r>
        <w:rPr/>
        <w:t>采购计划编号：</w:t>
      </w:r>
      <w:r>
        <w:rPr/>
        <w:t>441521-2023-02357</w:t>
      </w:r>
    </w:p>
    <w:p>
      <w:pPr>
        <w:ind w:firstLine="480"/>
      </w:pPr>
      <w:r>
        <w:rPr/>
        <w:t>采购项目编号：</w:t>
      </w:r>
      <w:r>
        <w:rPr/>
        <w:t>GDHYCG20230907</w:t>
      </w:r>
    </w:p>
    <w:p>
      <w:pPr>
        <w:ind w:firstLine="480"/>
      </w:pPr>
      <w:r>
        <w:rPr/>
        <w:t>采购方式：</w:t>
      </w:r>
      <w:r>
        <w:rPr/>
        <w:t>竞争性磋商</w:t>
      </w:r>
    </w:p>
    <w:p>
      <w:pPr>
        <w:ind w:firstLine="480"/>
      </w:pPr>
      <w:r>
        <w:rPr/>
        <w:t>预算金额：</w:t>
      </w:r>
      <w:r>
        <w:rPr/>
        <w:t>1,507,605.90</w:t>
      </w:r>
      <w:r>
        <w:rPr/>
        <w:t>元</w:t>
      </w:r>
    </w:p>
    <w:p>
      <w:r>
        <w:rPr>
          <w:b/>
          <w:sz w:val="24"/>
        </w:rPr>
        <w:t>2.项目内容及需求情况（采购项目技术规格、参数及要求）</w:t>
      </w:r>
    </w:p>
    <w:p>
      <w:pPr>
        <w:ind w:firstLine="480"/>
      </w:pPr>
    </w:p>
    <w:p/>
    <w:p>
      <w:r>
        <w:rPr/>
        <w:t>采购包1(海丰县2023 年林业有害生物防治项目):</w:t>
      </w:r>
    </w:p>
    <w:p>
      <w:r>
        <w:rPr/>
        <w:t>采购包预算金额：1,507,605.90元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林业有害生物防治服务</w:t>
            </w:r>
          </w:p>
        </w:tc>
        <w:tc>
          <w:tcPr>
            <w:tcW w:type="dxa" w:w="2136"/>
          </w:tcPr>
          <w:p>
            <w:r>
              <w:rPr/>
              <w:t>海丰县2023 年林业有害生物防治项目</w:t>
            </w:r>
          </w:p>
        </w:tc>
        <w:tc>
          <w:tcPr>
            <w:tcW w:type="dxa" w:w="1187"/>
          </w:tcPr>
          <w:p>
            <w:r>
              <w:rPr/>
              <w:t>1.00(宗)</w:t>
            </w:r>
          </w:p>
        </w:tc>
        <w:tc>
          <w:tcPr>
            <w:tcW w:type="dxa" w:w="1187"/>
          </w:tcPr>
          <w:p>
            <w:r>
              <w:rPr/>
              <w:t>详见第二章</w:t>
            </w:r>
          </w:p>
        </w:tc>
        <w:tc>
          <w:tcPr>
            <w:tcW w:type="dxa" w:w="1187"/>
          </w:tcPr>
          <w:p>
            <w:r>
              <w:rPr/>
              <w:t>否</w:t>
            </w:r>
          </w:p>
        </w:tc>
      </w:tr>
    </w:tbl>
    <w:p/>
    <w:p>
      <w:r>
        <w:rPr/>
        <w:t>本采购包不接受联合体响应</w:t>
      </w:r>
    </w:p>
    <w:p/>
    <w:p>
      <w:r>
        <w:rPr/>
        <w:t>合同履行期限：6个月</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投标（响应）时提交有效的营业执照（或事业法人登记证或身份证等相关证明）副本复印件。</w:t>
      </w:r>
    </w:p>
    <w:p/>
    <w:p>
      <w:r>
        <w:rPr/>
        <w:t>2）有依法缴纳税收和社会保障资金的良好记录：提供2023年任意1个月依法缴纳税收和社会保障资金的相关材料。如依法免税或不需要缴纳社会保障资金的，提供相应证明材料。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p/>
    <w:p>
      <w:r>
        <w:rPr/>
        <w:t>3）具有良好的商业信誉和健全的财务会计制度：供应商必须具有良好的商业信誉和健全的财务会计制度 。（提供2022年度财务状况报告或财务报表或基本开户行出具的资信证明）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p/>
    <w:p>
      <w:r>
        <w:rPr/>
        <w:t>4）履行合同所必需的设备和专业技术能力：供应商必须具备设备及专业技术能力。（按投标（响应）文件格式填报设备及专业技术能力情况。）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p/>
    <w:p>
      <w:r>
        <w:rPr/>
        <w:t>5）参加采购活动前3年内，在经营活动中没有重大违法记录：重大违法记录，是指供应商因违法经营受到刑事处罚或者 责令停产停业、吊销许可证或者执照、较大数额罚款等行政处罚。（根据财库〔2022〕3号文，“较大数额罚款”认定为200万 元以上的罚款，法律、行政法规以及国务院有关部门明确规定相关领域“较大数额罚款”标准高于200万元的，从其规定）。  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p/>
    <w:p>
      <w:r>
        <w:rPr>
          <w:b/>
          <w:sz w:val="24"/>
        </w:rPr>
        <w:t>2.落实政府采购政策需满足的资格要求：</w:t>
      </w:r>
    </w:p>
    <w:p>
      <w:pPr>
        <w:ind w:firstLine="480"/>
      </w:pPr>
    </w:p>
    <w:p>
      <w:pPr>
        <w:jc w:val="left"/>
      </w:pPr>
    </w:p>
    <w:p>
      <w:r>
        <w:rPr/>
        <w:t>采购包1（海丰县2023 年林业有害生物防治项目）：</w:t>
      </w:r>
      <w:r>
        <w:rPr/>
        <w:t>本项目整体专门面向中小型企业。供应商须为符合本项目采购标的对应行业划分标准的中小企业（监狱企业、残疾人福利单位视同小型、微型企业）。注：中小企业以供应商 填写的《中小企业声明函》（见响应文件格式与要求）为判定标准，残疾人福利性单位以供应商填写的《残疾人福利性单位声明函》（见响应文件格式与要求）为判定标准，监狱企业须供应商提供由省级以上监狱管理局、戒毒管理局（含新疆生产建设兵团）出具的属于监狱企业的证明文件，否则不予认定。同时落实《财政部 发展改革委 生态环境部 市场监管总局关于调整优化节能产品、环境标志产品政府采购执行机制的通知》（财库〔2019〕9 号）、《国家乡村振兴局关于运用政府采购政策支持乡村产业振兴的通知》财库〔2021〕19号文件相关政策等。</w:t>
      </w:r>
    </w:p>
    <w:p/>
    <w:p>
      <w:r>
        <w:rPr>
          <w:b/>
          <w:sz w:val="24"/>
        </w:rPr>
        <w:t>3.本项目特定的资格要求：</w:t>
      </w:r>
    </w:p>
    <w:p>
      <w:pPr>
        <w:ind w:firstLine="480"/>
      </w:pPr>
    </w:p>
    <w:p/>
    <w:p>
      <w:r>
        <w:rPr/>
        <w:t>采购包1（海丰县2023 年林业有害生物防治项目）：</w:t>
      </w:r>
    </w:p>
    <w:p/>
    <w:p>
      <w:r>
        <w:rPr/>
        <w:t>1)信用记录：根据《财政部关于在政府采购活动中查询及使用信用记录有关问题的通知》，在投标截止时间前将通过“中国政府采购网”（www.ccgp.gov.cn）渠道查询政府采购严重违法失信行为记录名单；通过“信用中国”网站（www.creditchina.gov.cn）渠道查询相关主体信用记录，对列入失信被执行人、重大税收违法案件当事人名单、及其他不符合《中华人民共和国政府采购法》第二十二条规定条件的供应商，拒绝其参与政府采购活动。（供应商提供查询信息截图，如相关失信记录已失效，供应商需提供相关证明资料）</w:t>
      </w:r>
    </w:p>
    <w:p/>
    <w:p>
      <w:r>
        <w:rPr/>
        <w:t>2)供应商必须符合法律、行政法规规定的其他条件：单位负责人为同一人或者存在直接控股、管理关系的不同供应商。为本项目提供整体设计、规范编制或者项目管理、监理、检测等服务的供应商，不得同时参加本采购项目（或采购包）投标（响应）。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p/>
    <w:p>
      <w:r>
        <w:rPr/>
        <w:t>3)供应商须具备有效的《林业有害生物防治组织》资质证书丙级或以上资质。</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海丰县林业局</w:t>
      </w:r>
    </w:p>
    <w:p>
      <w:pPr>
        <w:ind w:firstLine="480"/>
      </w:pPr>
      <w:r>
        <w:rPr/>
        <w:t>地址：</w:t>
      </w:r>
      <w:r>
        <w:rPr/>
        <w:t>广东省汕尾市海丰县海城镇云岭东路</w:t>
      </w:r>
    </w:p>
    <w:p>
      <w:pPr>
        <w:ind w:firstLine="480"/>
      </w:pPr>
      <w:r>
        <w:rPr/>
        <w:t>联系方式：</w:t>
      </w:r>
      <w:r>
        <w:rPr/>
        <w:t>0660-6864219</w:t>
      </w:r>
    </w:p>
    <w:p>
      <w:r>
        <w:rPr>
          <w:b/>
          <w:sz w:val="24"/>
        </w:rPr>
        <w:t>2.采购代理机构信息</w:t>
      </w:r>
    </w:p>
    <w:p>
      <w:pPr>
        <w:ind w:firstLine="480"/>
      </w:pPr>
      <w:r>
        <w:rPr/>
        <w:t>名称：</w:t>
      </w:r>
      <w:r>
        <w:rPr/>
        <w:t>广东弘业建设项目管理有限公司</w:t>
      </w:r>
    </w:p>
    <w:p>
      <w:pPr>
        <w:ind w:firstLine="480"/>
      </w:pPr>
      <w:r>
        <w:rPr/>
        <w:t>地址：</w:t>
      </w:r>
      <w:r>
        <w:rPr/>
        <w:t>广东省汕尾市海丰县海城镇海银公路西侧叠翠名城B座505-1号</w:t>
      </w:r>
    </w:p>
    <w:p>
      <w:pPr>
        <w:ind w:firstLine="480"/>
      </w:pPr>
      <w:r>
        <w:rPr/>
        <w:t>联系方式：</w:t>
      </w:r>
      <w:r>
        <w:rPr/>
        <w:t>0660-6999948</w:t>
      </w:r>
    </w:p>
    <w:p>
      <w:r>
        <w:rPr>
          <w:b/>
          <w:sz w:val="24"/>
        </w:rPr>
        <w:t>3.项目联系方式</w:t>
      </w:r>
    </w:p>
    <w:p>
      <w:pPr>
        <w:ind w:firstLine="480"/>
      </w:pPr>
      <w:r>
        <w:rPr/>
        <w:t>项目联系人：</w:t>
      </w:r>
      <w:r>
        <w:rPr/>
        <w:t>周工</w:t>
      </w:r>
    </w:p>
    <w:p>
      <w:pPr>
        <w:ind w:firstLine="480"/>
      </w:pPr>
      <w:r>
        <w:rPr/>
        <w:t>电话：</w:t>
      </w:r>
      <w:r>
        <w:rPr/>
        <w:t>0660-6999948</w:t>
      </w:r>
    </w:p>
    <w:p>
      <w:r>
        <w:rPr>
          <w:b/>
          <w:sz w:val="24"/>
        </w:rPr>
        <w:t>4.技术支持联系方式</w:t>
      </w:r>
    </w:p>
    <w:p>
      <w:pPr>
        <w:ind w:firstLine="480"/>
      </w:pPr>
      <w:r>
        <w:rPr/>
        <w:t>云平台联系方式：020-88696588</w:t>
      </w:r>
    </w:p>
    <w:p>
      <w:r>
        <w:rPr/>
        <w:t>采购代理机构：</w:t>
      </w:r>
      <w:r>
        <w:rPr/>
        <w:t>广东弘业建设项目管理有限公司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sz w:val="21"/>
        </w:rPr>
        <w:t>202</w:t>
      </w:r>
      <w:r>
        <w:rPr>
          <w:sz w:val="21"/>
        </w:rPr>
        <w:t>2</w:t>
      </w:r>
      <w:r>
        <w:rPr>
          <w:sz w:val="21"/>
        </w:rPr>
        <w:t>年全县（不包括深汕合作区）林业用地面积</w:t>
      </w:r>
      <w:r>
        <w:rPr>
          <w:sz w:val="21"/>
        </w:rPr>
        <w:t>57980.3</w:t>
      </w:r>
      <w:r>
        <w:rPr>
          <w:sz w:val="21"/>
        </w:rPr>
        <w:t>5</w:t>
      </w:r>
      <w:r>
        <w:rPr>
          <w:sz w:val="21"/>
        </w:rPr>
        <w:t>hm</w:t>
      </w:r>
      <w:r>
        <w:rPr>
          <w:sz w:val="21"/>
          <w:vertAlign w:val="superscript"/>
        </w:rPr>
        <w:t>2</w:t>
      </w:r>
      <w:r>
        <w:rPr>
          <w:sz w:val="21"/>
        </w:rPr>
        <w:t>，占总面积的</w:t>
      </w:r>
      <w:r>
        <w:rPr>
          <w:sz w:val="21"/>
        </w:rPr>
        <w:t>45.</w:t>
      </w:r>
      <w:r>
        <w:rPr>
          <w:sz w:val="21"/>
        </w:rPr>
        <w:t>38</w:t>
      </w:r>
      <w:r>
        <w:rPr>
          <w:sz w:val="21"/>
        </w:rPr>
        <w:t>％，非林业用地面积</w:t>
      </w:r>
      <w:r>
        <w:rPr>
          <w:sz w:val="21"/>
        </w:rPr>
        <w:t>69</w:t>
      </w:r>
      <w:r>
        <w:rPr>
          <w:sz w:val="21"/>
        </w:rPr>
        <w:t>775.0</w:t>
      </w:r>
      <w:r>
        <w:rPr>
          <w:sz w:val="21"/>
        </w:rPr>
        <w:t>hm</w:t>
      </w:r>
      <w:r>
        <w:rPr>
          <w:sz w:val="21"/>
          <w:vertAlign w:val="superscript"/>
        </w:rPr>
        <w:t>2</w:t>
      </w:r>
      <w:r>
        <w:rPr>
          <w:sz w:val="21"/>
        </w:rPr>
        <w:t>，占</w:t>
      </w:r>
      <w:r>
        <w:rPr>
          <w:sz w:val="21"/>
        </w:rPr>
        <w:t>54.</w:t>
      </w:r>
      <w:r>
        <w:rPr>
          <w:sz w:val="21"/>
        </w:rPr>
        <w:t>62</w:t>
      </w:r>
      <w:r>
        <w:rPr>
          <w:sz w:val="21"/>
        </w:rPr>
        <w:t>％。在林业用地中，有林地面积</w:t>
      </w:r>
      <w:r>
        <w:rPr>
          <w:sz w:val="21"/>
        </w:rPr>
        <w:t>54058.1</w:t>
      </w:r>
      <w:r>
        <w:rPr>
          <w:sz w:val="21"/>
        </w:rPr>
        <w:t>6</w:t>
      </w:r>
      <w:r>
        <w:rPr>
          <w:sz w:val="21"/>
        </w:rPr>
        <w:t>hm</w:t>
      </w:r>
      <w:r>
        <w:rPr>
          <w:sz w:val="21"/>
          <w:vertAlign w:val="superscript"/>
        </w:rPr>
        <w:t>2</w:t>
      </w:r>
      <w:r>
        <w:rPr>
          <w:sz w:val="21"/>
        </w:rPr>
        <w:t>，疏林地</w:t>
      </w:r>
      <w:r>
        <w:rPr>
          <w:sz w:val="21"/>
        </w:rPr>
        <w:t>189.1</w:t>
      </w:r>
      <w:r>
        <w:rPr>
          <w:sz w:val="21"/>
        </w:rPr>
        <w:t>3</w:t>
      </w:r>
      <w:r>
        <w:rPr>
          <w:sz w:val="21"/>
        </w:rPr>
        <w:t>hm</w:t>
      </w:r>
      <w:r>
        <w:rPr>
          <w:sz w:val="21"/>
          <w:vertAlign w:val="superscript"/>
        </w:rPr>
        <w:t>2</w:t>
      </w:r>
      <w:r>
        <w:rPr>
          <w:sz w:val="21"/>
        </w:rPr>
        <w:t>，灌木林地</w:t>
      </w:r>
      <w:r>
        <w:rPr>
          <w:sz w:val="21"/>
        </w:rPr>
        <w:t>827.8</w:t>
      </w:r>
      <w:r>
        <w:rPr>
          <w:sz w:val="21"/>
        </w:rPr>
        <w:t>4</w:t>
      </w:r>
      <w:r>
        <w:rPr>
          <w:sz w:val="21"/>
        </w:rPr>
        <w:t>hm</w:t>
      </w:r>
      <w:r>
        <w:rPr>
          <w:sz w:val="21"/>
          <w:vertAlign w:val="superscript"/>
        </w:rPr>
        <w:t>2</w:t>
      </w:r>
      <w:r>
        <w:rPr>
          <w:sz w:val="21"/>
        </w:rPr>
        <w:t>，未成林地（含红树林）</w:t>
      </w:r>
      <w:r>
        <w:rPr>
          <w:sz w:val="21"/>
        </w:rPr>
        <w:t>592.33</w:t>
      </w:r>
      <w:r>
        <w:rPr>
          <w:sz w:val="21"/>
        </w:rPr>
        <w:t>hm</w:t>
      </w:r>
      <w:r>
        <w:rPr>
          <w:sz w:val="21"/>
          <w:vertAlign w:val="superscript"/>
        </w:rPr>
        <w:t>2</w:t>
      </w:r>
      <w:r>
        <w:rPr>
          <w:sz w:val="21"/>
        </w:rPr>
        <w:t>，无立木林地（含红树林）</w:t>
      </w:r>
      <w:r>
        <w:rPr>
          <w:sz w:val="21"/>
        </w:rPr>
        <w:t>7</w:t>
      </w:r>
      <w:r>
        <w:rPr>
          <w:sz w:val="21"/>
        </w:rPr>
        <w:t>51.93</w:t>
      </w:r>
      <w:r>
        <w:rPr>
          <w:sz w:val="21"/>
        </w:rPr>
        <w:t>hm</w:t>
      </w:r>
      <w:r>
        <w:rPr>
          <w:sz w:val="21"/>
          <w:vertAlign w:val="superscript"/>
        </w:rPr>
        <w:t>2</w:t>
      </w:r>
      <w:r>
        <w:rPr>
          <w:sz w:val="21"/>
        </w:rPr>
        <w:t>，全县森林覆盖率为</w:t>
      </w:r>
      <w:r>
        <w:rPr>
          <w:sz w:val="21"/>
        </w:rPr>
        <w:t>48.82</w:t>
      </w:r>
      <w:r>
        <w:rPr>
          <w:sz w:val="21"/>
        </w:rPr>
        <w:t>％，林木绿化率</w:t>
      </w:r>
      <w:r>
        <w:rPr>
          <w:sz w:val="21"/>
        </w:rPr>
        <w:t>48.76</w:t>
      </w:r>
      <w:r>
        <w:rPr>
          <w:sz w:val="21"/>
        </w:rPr>
        <w:t>％。</w:t>
      </w:r>
    </w:p>
    <w:p>
      <w:pPr>
        <w:ind w:firstLine="420"/>
        <w:jc w:val="both"/>
      </w:pPr>
      <w:r>
        <w:rPr>
          <w:sz w:val="21"/>
        </w:rPr>
        <w:t>全面贯彻落实科学发展观，紧紧围绕加快转型升级，建设幸福广东的核心任务，以保护森林资源和生态安全、促进现代林业发展为目标，加强组织领导，以绿美广东生态建设为中心，以林长制为引领，紧紧围绕森林质量精准提升和林分优化林相提升，统筹生态修复和灾害治理，打赢松材线虫病疫情防控五年攻坚战，坚决遏制松材线虫病、薇甘菊和红火蚁的严重为害与扩散蔓延，切实实现</w:t>
      </w:r>
      <w:r>
        <w:rPr>
          <w:sz w:val="21"/>
        </w:rPr>
        <w:t>“青山常在”，为维护全县生态安全，为绿美广东生态建设开好局起好步奉献防治检疫力量。</w:t>
      </w:r>
    </w:p>
    <w:p>
      <w:pPr>
        <w:numPr>
          <w:ilvl w:val="0"/>
          <w:numId w:val="1"/>
        </w:numPr>
        <w:jc w:val="both"/>
      </w:pPr>
      <w:r>
        <w:rPr>
          <w:sz w:val="21"/>
        </w:rPr>
        <w:t>按照</w:t>
      </w:r>
      <w:r>
        <w:rPr>
          <w:sz w:val="21"/>
        </w:rPr>
        <w:t>“即发现、即报告、即除治、即验收”的及时原则，对各辖区的薇甘菊和松材线虫实施科学防治，有效及时防止薇甘菊和松材线虫病的扩散蔓延。</w:t>
      </w:r>
    </w:p>
    <w:p>
      <w:pPr>
        <w:numPr>
          <w:ilvl w:val="0"/>
          <w:numId w:val="1"/>
        </w:numPr>
        <w:jc w:val="both"/>
      </w:pPr>
      <w:r>
        <w:rPr>
          <w:sz w:val="21"/>
        </w:rPr>
        <w:t>坚持全面除治，彻底的原则，根据薇甘菊、松材线虫病和红火蚁的分布范围、发生特点、防治技术水平等，集中对重点防治区实施高强度除治，做到除治一块，成效一块，有效减轻灾情。</w:t>
      </w:r>
    </w:p>
    <w:p>
      <w:pPr>
        <w:numPr>
          <w:ilvl w:val="0"/>
          <w:numId w:val="1"/>
        </w:numPr>
        <w:jc w:val="both"/>
      </w:pPr>
      <w:r>
        <w:rPr>
          <w:sz w:val="21"/>
        </w:rPr>
        <w:t>坚持科学防治，就地处置原则，积极依靠科技进步，大力推广无公害防治措施。结合林业重点生态工程的建设，不断加强植物检疫和林木抚育，多措施防控。</w:t>
      </w:r>
    </w:p>
    <w:p>
      <w:pPr>
        <w:numPr>
          <w:ilvl w:val="0"/>
          <w:numId w:val="1"/>
        </w:numPr>
        <w:jc w:val="both"/>
      </w:pPr>
      <w:r>
        <w:rPr>
          <w:sz w:val="21"/>
        </w:rPr>
        <w:t>坚持预防为主，防治并举，持续防治原则，积极宣传普及松材线虫病、薇甘菊和红火蚁的防治知识，提高公众防控意识，有效控制疫情传播和蔓延。</w:t>
      </w:r>
    </w:p>
    <w:p>
      <w:pPr>
        <w:numPr>
          <w:ilvl w:val="0"/>
          <w:numId w:val="1"/>
        </w:numPr>
        <w:jc w:val="both"/>
      </w:pPr>
      <w:r>
        <w:rPr>
          <w:sz w:val="21"/>
        </w:rPr>
        <w:t>科学性与可操作性结合的原则，以实际调查数据为基础，根据实际需要和投资水平，使用科学的方法，使用设计符合实际，可操作性强。</w:t>
      </w:r>
    </w:p>
    <w:p>
      <w:pPr>
        <w:numPr>
          <w:ilvl w:val="1"/>
          <w:numId w:val="1"/>
        </w:numPr>
        <w:jc w:val="both"/>
      </w:pPr>
      <w:r>
        <w:rPr>
          <w:b/>
          <w:sz w:val="22"/>
        </w:rPr>
        <w:t>海丰县</w:t>
      </w:r>
      <w:r>
        <w:rPr>
          <w:b/>
          <w:sz w:val="22"/>
        </w:rPr>
        <w:t>2023年林业有害生物防治项目分为薇甘菊防治、松材线虫病防治和红火蚁重点区域监测防治三个部分。</w:t>
      </w:r>
    </w:p>
    <w:p>
      <w:pPr>
        <w:numPr>
          <w:ilvl w:val="1"/>
          <w:numId w:val="1"/>
        </w:numPr>
        <w:jc w:val="both"/>
      </w:pPr>
      <w:r>
        <w:rPr>
          <w:b/>
          <w:sz w:val="22"/>
        </w:rPr>
        <w:t>薇甘菊防治部分：分布主要在梅陇镇等交通道路两侧的荒山、荒地、田园等，面积共计</w:t>
      </w:r>
      <w:r>
        <w:rPr>
          <w:b/>
          <w:sz w:val="22"/>
        </w:rPr>
        <w:t>3000亩，防治措施是化学防治和人工割除等。</w:t>
      </w:r>
    </w:p>
    <w:p>
      <w:pPr>
        <w:numPr>
          <w:ilvl w:val="1"/>
          <w:numId w:val="1"/>
        </w:numPr>
        <w:jc w:val="both"/>
      </w:pPr>
      <w:r>
        <w:rPr>
          <w:b/>
          <w:sz w:val="22"/>
        </w:rPr>
        <w:t>松材线虫病防治部分：主要分布在梅陇镇、海城镇、城东镇、公平镇、平东镇和黄羌镇等周边松林，面积共计</w:t>
      </w:r>
      <w:r>
        <w:rPr>
          <w:b/>
          <w:sz w:val="22"/>
        </w:rPr>
        <w:t>40700亩，其中重点防治区9392亩，保护和预防区31308亩。防治任务包括全面疫情监测、病死树清理和设置诱捕器综合防治。</w:t>
      </w:r>
    </w:p>
    <w:p>
      <w:pPr>
        <w:numPr>
          <w:ilvl w:val="1"/>
          <w:numId w:val="1"/>
        </w:numPr>
        <w:jc w:val="both"/>
      </w:pPr>
      <w:r>
        <w:rPr>
          <w:b/>
          <w:sz w:val="22"/>
        </w:rPr>
        <w:t>红火蚁重点区域监测防治部分：分为调查监测和防治两部分，主要分布于梅陇镇、海城镇和青年水库等林地范围的村庄、道路、果园、荒坡地和其他经济林地周边，实施调查监测并及时采用毒饵诱杀法进行两次防治。实施防控区面积</w:t>
      </w:r>
      <w:r>
        <w:rPr>
          <w:b/>
          <w:sz w:val="22"/>
        </w:rPr>
        <w:t>8000亩，具体调查监测防控区位置面积以现场调查发生点位置为准。</w:t>
      </w:r>
    </w:p>
    <w:p/>
    <w:p>
      <w:pPr>
        <w:ind w:firstLine="480"/>
      </w:pPr>
    </w:p>
    <w:p/>
    <w:p>
      <w:r>
        <w:rPr/>
        <w:t>采购包1（海丰县2023 年林业有害生物防治项目）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6个月</w:t>
            </w:r>
          </w:p>
        </w:tc>
      </w:tr>
      <w:tr>
        <w:tc>
          <w:tcPr>
            <w:tcW w:type="dxa" w:w="4153"/>
          </w:tcPr>
          <w:p>
            <w:r>
              <w:rPr/>
              <w:t>标的提供的地点</w:t>
            </w:r>
          </w:p>
        </w:tc>
        <w:tc>
          <w:tcPr>
            <w:tcW w:type="dxa" w:w="4153"/>
          </w:tcPr>
          <w:p/>
          <w:p>
            <w:r>
              <w:rPr/>
              <w:t>海丰县</w:t>
            </w:r>
          </w:p>
        </w:tc>
      </w:tr>
      <w:tr>
        <w:tc>
          <w:tcPr>
            <w:tcW w:type="dxa" w:w="4153"/>
          </w:tcPr>
          <w:p>
            <w:r>
              <w:rPr/>
              <w:t>付款方式</w:t>
            </w:r>
          </w:p>
        </w:tc>
        <w:tc>
          <w:tcPr>
            <w:tcW w:type="dxa" w:w="4153"/>
          </w:tcPr>
          <w:p/>
          <w:p/>
          <w:p>
            <w:r>
              <w:rPr/>
              <w:t>1期：支付比例30%,成交供应商签订合同后的 7 个工作日，采购人向成交供应商支付合同总金额的30%；付款时间最终以财政拨付的时间为准。</w:t>
            </w:r>
          </w:p>
          <w:p/>
          <w:p>
            <w:r>
              <w:rPr/>
              <w:t>2期：支付比例50%,根据工程量进度拨付工程款，工程量完成85%经监理单位确认后，采购人向成交供应商支付合同总金额的50%；付款时间最终以财政拨付的时间为准。</w:t>
            </w:r>
          </w:p>
          <w:p/>
          <w:p>
            <w:r>
              <w:rPr/>
              <w:t>3期：支付比例20%,工程竣工，经海丰县林业局和监理单位验收合格、工程结算完毕后，付清工程款， 付款时，成交供应商应提前向采购人提供相应金额的正式发票。采购人收到成交供应商递交的正式发票后按照政府采购支付流程办理付款申请，付款时间最终以财政拨付的时间为准。</w:t>
            </w:r>
          </w:p>
        </w:tc>
      </w:tr>
      <w:tr>
        <w:tc>
          <w:tcPr>
            <w:tcW w:type="dxa" w:w="4153"/>
          </w:tcPr>
          <w:p>
            <w:r>
              <w:rPr/>
              <w:t>验收要求</w:t>
            </w:r>
          </w:p>
        </w:tc>
        <w:tc>
          <w:tcPr>
            <w:tcW w:type="dxa" w:w="4153"/>
          </w:tcPr>
          <w:p/>
          <w:p/>
          <w:p/>
          <w:p>
            <w:r>
              <w:rPr/>
              <w:t>1期：验收标准、方法及质量要求如下：严格按采购人提供的作业设计、预算审核书的要求进行施工，按照设计文件、国家有关技术标准、法律法规、规范和合同规定施工，验收标准按国家规范标准达到合格； （1）建设单位对施工单位在施工期间的各项作业随时检查验收，发现问题，要及时纠正，直至项目合格为止方可予以验收。 （2）建设单位应按照批复的项目相关设计文件和有关合同对项目完成情况进行自查。按项目作业设计文件经建设单位自查验收合格，工程具备竣工验收条件的，应及时编制工程竣工验收报告， 报请上级林业行政主管部门检查验收。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预算金额¥1507605.90元，其中税前绿色施工安全防护措施费为¥80995.12元，供应商的报价（每次）报价不得高于最高限价且绿色施工安全防护措施费（税前）不得低于为¥ 80995.12元，否则视为无效报价。供应商应按采购文件中列出的项目填报综合单价和合价。计价格式中列明的所有需要填报的单价和合价，供应商均应填报，未填报的单价和合价，视为此项费用已包含在采购文件中列出的项目其他单价或合价中，任何与此有关的工程价款，采购人将不予支付。 （2）报价一律以人民币报价，最终报价被视为供应商的最后报价或中标价，成交供应商的最终投标总价为签订合同价格。在合同有效期内，合同价不受市场价格变化的影响。 （3）报价应以采购人提供的资料和说明、所涉及的规范、标准以及采购文件为依据编制。</w:t>
            </w:r>
          </w:p>
        </w:tc>
      </w:tr>
      <w:tr>
        <w:tc>
          <w:tcPr>
            <w:tcW w:type="dxa" w:w="2076"/>
          </w:tcPr>
          <w:p>
            <w:pPr>
              <w:jc w:val="center"/>
            </w:pPr>
          </w:p>
        </w:tc>
        <w:tc>
          <w:tcPr>
            <w:tcW w:type="dxa" w:w="2076"/>
          </w:tcPr>
          <w:p>
            <w:pPr>
              <w:jc w:val="center"/>
            </w:pPr>
            <w:r>
              <w:rPr/>
              <w:t>2</w:t>
            </w:r>
          </w:p>
        </w:tc>
        <w:tc>
          <w:tcPr>
            <w:tcW w:type="dxa" w:w="2076"/>
          </w:tcPr>
          <w:p>
            <w:pPr>
              <w:jc w:val="left"/>
            </w:pPr>
            <w:r>
              <w:rPr/>
              <w:t>承包范围要求</w:t>
            </w:r>
          </w:p>
        </w:tc>
        <w:tc>
          <w:tcPr>
            <w:tcW w:type="dxa" w:w="2076"/>
          </w:tcPr>
          <w:p>
            <w:pPr>
              <w:jc w:val="left"/>
            </w:pPr>
            <w:r>
              <w:rPr/>
              <w:t>（1）范围包括工程量清单、作业设计所包含的全部工程内容。包人工、材料、机械、工期、质量、安全、文明施工，施工临时用水、用电、通讯设施、验收，包本项目实施中可能出现其它未知因素而产生的费用和相关服务的方式进行总包干。 （2）以采购人提供的《海丰县2023年林业有害生物防治项目作业设计》以及参考《海丰县2023年林业有害生物防治项目预算审核书》所列内容为依据，结算时不作调整。</w:t>
            </w:r>
          </w:p>
        </w:tc>
      </w:tr>
      <w:tr>
        <w:tc>
          <w:tcPr>
            <w:tcW w:type="dxa" w:w="2076"/>
          </w:tcPr>
          <w:p>
            <w:pPr>
              <w:jc w:val="center"/>
            </w:pPr>
          </w:p>
        </w:tc>
        <w:tc>
          <w:tcPr>
            <w:tcW w:type="dxa" w:w="2076"/>
          </w:tcPr>
          <w:p>
            <w:pPr>
              <w:jc w:val="center"/>
            </w:pPr>
            <w:r>
              <w:rPr/>
              <w:t>3</w:t>
            </w:r>
          </w:p>
        </w:tc>
        <w:tc>
          <w:tcPr>
            <w:tcW w:type="dxa" w:w="2076"/>
          </w:tcPr>
          <w:p>
            <w:pPr>
              <w:jc w:val="left"/>
            </w:pPr>
            <w:r>
              <w:rPr/>
              <w:t>工期要求</w:t>
            </w:r>
          </w:p>
        </w:tc>
        <w:tc>
          <w:tcPr>
            <w:tcW w:type="dxa" w:w="2076"/>
          </w:tcPr>
          <w:p>
            <w:pPr>
              <w:jc w:val="left"/>
            </w:pPr>
            <w:r>
              <w:rPr/>
              <w:t>6个月。因采购人原因及不可抗力的原因造成的工期延误，在得到双方认可的，工期相应顺延，双方办理同意顺延工期手续。注：不可抗力的约定：执行国家有关规定。</w:t>
            </w:r>
          </w:p>
        </w:tc>
      </w:tr>
      <w:tr>
        <w:tc>
          <w:tcPr>
            <w:tcW w:type="dxa" w:w="2076"/>
          </w:tcPr>
          <w:p>
            <w:pPr>
              <w:jc w:val="center"/>
            </w:pPr>
          </w:p>
        </w:tc>
        <w:tc>
          <w:tcPr>
            <w:tcW w:type="dxa" w:w="2076"/>
          </w:tcPr>
          <w:p>
            <w:pPr>
              <w:jc w:val="center"/>
            </w:pPr>
            <w:r>
              <w:rPr/>
              <w:t>4</w:t>
            </w:r>
          </w:p>
        </w:tc>
        <w:tc>
          <w:tcPr>
            <w:tcW w:type="dxa" w:w="2076"/>
          </w:tcPr>
          <w:p>
            <w:pPr>
              <w:jc w:val="left"/>
            </w:pPr>
            <w:r>
              <w:rPr/>
              <w:t>质量要求</w:t>
            </w:r>
          </w:p>
        </w:tc>
        <w:tc>
          <w:tcPr>
            <w:tcW w:type="dxa" w:w="2076"/>
          </w:tcPr>
          <w:p>
            <w:pPr>
              <w:jc w:val="left"/>
            </w:pPr>
            <w:r>
              <w:rPr/>
              <w:t>工程质量必须符合国家现行的有关质量标准、施工、验收规范的要求。 （1）严格执行防治技术规程，落实各项防治措施，确保防治进度和防治质量。 （2）成交供应商在实施如果不符合要求和有关规定，采购人要求停工和返工时，成交供应商必须立即执行，并承担由此产生的各种费用，工期不予顺延。 （3）防治维护责任：属于维护范围的项目，成交供应商应在接到采购人通知后的1天内派人维护；发生紧急抢修的，成交供应商在接到通知后，应立即赶赴现场进行维护。</w:t>
            </w:r>
          </w:p>
        </w:tc>
      </w:tr>
      <w:tr>
        <w:tc>
          <w:tcPr>
            <w:tcW w:type="dxa" w:w="2076"/>
          </w:tcPr>
          <w:p>
            <w:pPr>
              <w:jc w:val="center"/>
            </w:pPr>
          </w:p>
        </w:tc>
        <w:tc>
          <w:tcPr>
            <w:tcW w:type="dxa" w:w="2076"/>
          </w:tcPr>
          <w:p>
            <w:pPr>
              <w:jc w:val="center"/>
            </w:pPr>
            <w:r>
              <w:rPr/>
              <w:t>5</w:t>
            </w:r>
          </w:p>
        </w:tc>
        <w:tc>
          <w:tcPr>
            <w:tcW w:type="dxa" w:w="2076"/>
          </w:tcPr>
          <w:p>
            <w:pPr>
              <w:jc w:val="left"/>
            </w:pPr>
            <w:r>
              <w:rPr/>
              <w:t>安全文明施工要求</w:t>
            </w:r>
          </w:p>
        </w:tc>
        <w:tc>
          <w:tcPr>
            <w:tcW w:type="dxa" w:w="2076"/>
          </w:tcPr>
          <w:p>
            <w:pPr>
              <w:jc w:val="left"/>
            </w:pPr>
            <w:r>
              <w:rPr/>
              <w:t>按照国家、省、市有关安全文明施工法律法规和强制性标准规定要求执行。</w:t>
            </w:r>
          </w:p>
        </w:tc>
      </w:tr>
      <w:tr>
        <w:tc>
          <w:tcPr>
            <w:tcW w:type="dxa" w:w="2076"/>
          </w:tcPr>
          <w:p>
            <w:pPr>
              <w:jc w:val="center"/>
            </w:pPr>
          </w:p>
        </w:tc>
        <w:tc>
          <w:tcPr>
            <w:tcW w:type="dxa" w:w="2076"/>
          </w:tcPr>
          <w:p>
            <w:pPr>
              <w:jc w:val="center"/>
            </w:pPr>
            <w:r>
              <w:rPr/>
              <w:t>6</w:t>
            </w:r>
          </w:p>
        </w:tc>
        <w:tc>
          <w:tcPr>
            <w:tcW w:type="dxa" w:w="2076"/>
          </w:tcPr>
          <w:p>
            <w:pPr>
              <w:jc w:val="left"/>
            </w:pPr>
            <w:r>
              <w:rPr/>
              <w:t>合同要求</w:t>
            </w:r>
          </w:p>
        </w:tc>
        <w:tc>
          <w:tcPr>
            <w:tcW w:type="dxa" w:w="2076"/>
          </w:tcPr>
          <w:p>
            <w:pPr>
              <w:jc w:val="left"/>
            </w:pPr>
            <w:r>
              <w:rPr/>
              <w:t>采购人与中标、成交供应商自中标通知书发出之日起十日内，按采购文件要求和成交供应商响应文件承诺签订政府采购合同，但不得超出磋商文件和成交供应商响应文件的范围、也不得再行订立背离合同实质性内容的其他协议。</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林业有害生物防治服务</w:t>
            </w:r>
          </w:p>
        </w:tc>
        <w:tc>
          <w:tcPr>
            <w:tcW w:type="dxa" w:w="933"/>
          </w:tcPr>
          <w:p>
            <w:pPr>
              <w:jc w:val="left"/>
            </w:pPr>
            <w:r>
              <w:rPr/>
              <w:t>海丰县2023 年林业有害生物防治项目</w:t>
            </w:r>
          </w:p>
        </w:tc>
        <w:tc>
          <w:tcPr>
            <w:tcW w:type="dxa" w:w="933"/>
          </w:tcPr>
          <w:p>
            <w:pPr>
              <w:jc w:val="left"/>
            </w:pPr>
            <w:r>
              <w:rPr/>
              <w:t>宗</w:t>
            </w:r>
          </w:p>
        </w:tc>
        <w:tc>
          <w:tcPr>
            <w:tcW w:type="dxa" w:w="933"/>
          </w:tcPr>
          <w:p>
            <w:pPr>
              <w:jc w:val="right"/>
            </w:pPr>
            <w:r>
              <w:rPr/>
              <w:t>1.00</w:t>
            </w:r>
          </w:p>
        </w:tc>
        <w:tc>
          <w:tcPr>
            <w:tcW w:type="dxa" w:w="933"/>
          </w:tcPr>
          <w:p>
            <w:pPr>
              <w:jc w:val="right"/>
            </w:pPr>
            <w:r>
              <w:rPr/>
              <w:t>1,507,605.90</w:t>
            </w:r>
          </w:p>
        </w:tc>
        <w:tc>
          <w:tcPr>
            <w:tcW w:type="dxa" w:w="933"/>
          </w:tcPr>
          <w:p>
            <w:pPr>
              <w:jc w:val="right"/>
            </w:pPr>
            <w:r>
              <w:rPr/>
              <w:t>1,507,605.90</w:t>
            </w:r>
          </w:p>
        </w:tc>
        <w:tc>
          <w:tcPr>
            <w:tcW w:type="dxa" w:w="840"/>
          </w:tcPr>
          <w:p>
            <w:r>
              <w:rPr/>
              <w:t>农、林、牧、渔业</w:t>
            </w:r>
          </w:p>
        </w:tc>
        <w:tc>
          <w:tcPr>
            <w:tcW w:type="dxa" w:w="933"/>
          </w:tcPr>
          <w:p>
            <w:r>
              <w:rPr/>
              <w:t>详见附表一</w:t>
            </w:r>
          </w:p>
        </w:tc>
      </w:tr>
    </w:tbl>
    <w:p/>
    <w:p>
      <w:r>
        <w:rPr>
          <w:b/>
        </w:rPr>
        <w:t>附表</w:t>
      </w:r>
      <w:r>
        <w:rPr>
          <w:b/>
        </w:rPr>
        <w:t>一</w:t>
      </w:r>
      <w:r>
        <w:rPr>
          <w:b/>
        </w:rPr>
        <w:t>：</w:t>
      </w:r>
      <w:r>
        <w:rPr>
          <w:b/>
        </w:rPr>
        <w:t>海丰县2023 年林业有害生物防治项目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numPr>
                <w:ilvl w:val="0"/>
                <w:numId w:val="2"/>
              </w:numPr>
              <w:jc w:val="both"/>
            </w:pPr>
            <w:r>
              <w:rPr>
                <w:sz w:val="22"/>
              </w:rPr>
              <w:t>工作依据</w:t>
            </w:r>
          </w:p>
          <w:p>
            <w:pPr>
              <w:numPr>
                <w:ilvl w:val="0"/>
                <w:numId w:val="2"/>
              </w:numPr>
              <w:jc w:val="both"/>
            </w:pPr>
            <w:r>
              <w:rPr>
                <w:sz w:val="22"/>
              </w:rPr>
              <w:t>广东省人民政府办公厅关于进一步加强林业有害生物防治工作的通知（粤府办明电【</w:t>
            </w:r>
            <w:r>
              <w:rPr>
                <w:sz w:val="22"/>
              </w:rPr>
              <w:t>2015】166号）；</w:t>
            </w:r>
          </w:p>
          <w:p>
            <w:pPr>
              <w:numPr>
                <w:ilvl w:val="0"/>
                <w:numId w:val="2"/>
              </w:numPr>
              <w:jc w:val="both"/>
            </w:pPr>
            <w:r>
              <w:rPr>
                <w:sz w:val="22"/>
              </w:rPr>
              <w:t>国家林业和草原局《松材线虫病防治技术方案》林生发〔</w:t>
            </w:r>
            <w:r>
              <w:rPr>
                <w:sz w:val="22"/>
              </w:rPr>
              <w:t>2018〕110号；</w:t>
            </w:r>
          </w:p>
          <w:p>
            <w:pPr>
              <w:numPr>
                <w:ilvl w:val="0"/>
                <w:numId w:val="2"/>
              </w:numPr>
              <w:jc w:val="both"/>
            </w:pPr>
            <w:r>
              <w:rPr>
                <w:sz w:val="22"/>
              </w:rPr>
              <w:t>广东省林业局《关于印发广东省</w:t>
            </w:r>
            <w:r>
              <w:rPr>
                <w:sz w:val="22"/>
              </w:rPr>
              <w:t>2023 年林业有害生物防治工作要点的通知》粤林函〔2023〕30 号；</w:t>
            </w:r>
          </w:p>
          <w:p>
            <w:pPr>
              <w:numPr>
                <w:ilvl w:val="0"/>
                <w:numId w:val="2"/>
              </w:numPr>
              <w:jc w:val="both"/>
            </w:pPr>
            <w:r>
              <w:rPr>
                <w:sz w:val="22"/>
              </w:rPr>
              <w:t>《广东省森林病虫害防治实施办法》；</w:t>
            </w:r>
          </w:p>
          <w:p>
            <w:pPr>
              <w:numPr>
                <w:ilvl w:val="0"/>
                <w:numId w:val="2"/>
              </w:numPr>
              <w:jc w:val="both"/>
            </w:pPr>
            <w:r>
              <w:rPr>
                <w:sz w:val="22"/>
              </w:rPr>
              <w:t>松材线虫病检疫技术（林业行业技术标准</w:t>
            </w:r>
            <w:r>
              <w:rPr>
                <w:sz w:val="22"/>
              </w:rPr>
              <w:t>LY/T1123-93）；</w:t>
            </w:r>
          </w:p>
          <w:p>
            <w:pPr>
              <w:numPr>
                <w:ilvl w:val="0"/>
                <w:numId w:val="2"/>
              </w:numPr>
              <w:jc w:val="both"/>
            </w:pPr>
            <w:r>
              <w:rPr>
                <w:sz w:val="22"/>
              </w:rPr>
              <w:t>薇甘菊防治技术规程（</w:t>
            </w:r>
            <w:r>
              <w:rPr>
                <w:sz w:val="22"/>
              </w:rPr>
              <w:t>NY/T2422-2015）；</w:t>
            </w:r>
          </w:p>
          <w:p>
            <w:pPr>
              <w:numPr>
                <w:ilvl w:val="0"/>
                <w:numId w:val="2"/>
              </w:numPr>
              <w:jc w:val="both"/>
            </w:pPr>
            <w:r>
              <w:rPr>
                <w:sz w:val="22"/>
              </w:rPr>
              <w:t>薇甘菊检疫鉴定方法（</w:t>
            </w:r>
            <w:r>
              <w:rPr>
                <w:sz w:val="22"/>
              </w:rPr>
              <w:t>GB/T28109-2011）；</w:t>
            </w:r>
          </w:p>
          <w:p>
            <w:pPr>
              <w:numPr>
                <w:ilvl w:val="0"/>
                <w:numId w:val="2"/>
              </w:numPr>
              <w:jc w:val="both"/>
            </w:pPr>
            <w:r>
              <w:rPr>
                <w:sz w:val="22"/>
              </w:rPr>
              <w:t>林业有害生物发生及成灾标准（</w:t>
            </w:r>
            <w:r>
              <w:rPr>
                <w:sz w:val="22"/>
              </w:rPr>
              <w:t>LY/T1681-2006）；</w:t>
            </w:r>
          </w:p>
          <w:p>
            <w:pPr>
              <w:numPr>
                <w:ilvl w:val="0"/>
                <w:numId w:val="2"/>
              </w:numPr>
              <w:jc w:val="both"/>
            </w:pPr>
            <w:r>
              <w:rPr>
                <w:sz w:val="22"/>
              </w:rPr>
              <w:t>《红火蚁疫情监测规程》（</w:t>
            </w:r>
            <w:r>
              <w:rPr>
                <w:sz w:val="22"/>
              </w:rPr>
              <w:t>GB/T 23626—2009）；</w:t>
            </w:r>
          </w:p>
          <w:p>
            <w:pPr>
              <w:numPr>
                <w:ilvl w:val="0"/>
                <w:numId w:val="2"/>
              </w:numPr>
              <w:jc w:val="both"/>
            </w:pPr>
            <w:r>
              <w:rPr>
                <w:sz w:val="22"/>
              </w:rPr>
              <w:t>《广东省农业厅红火蚁发生点、监测区范围划定和管理办法》粤农〔</w:t>
            </w:r>
            <w:r>
              <w:rPr>
                <w:sz w:val="22"/>
              </w:rPr>
              <w:t>2013〕25号；</w:t>
            </w:r>
          </w:p>
          <w:p>
            <w:pPr>
              <w:numPr>
                <w:ilvl w:val="0"/>
                <w:numId w:val="2"/>
              </w:numPr>
              <w:jc w:val="both"/>
            </w:pPr>
            <w:r>
              <w:rPr>
                <w:sz w:val="22"/>
              </w:rPr>
              <w:t>《红火蚁化学防控技术规程》（</w:t>
            </w:r>
            <w:r>
              <w:rPr>
                <w:sz w:val="22"/>
              </w:rPr>
              <w:t>NY/T 2415一2013）；</w:t>
            </w:r>
          </w:p>
        </w:tc>
      </w:tr>
      <w:tr>
        <w:tc>
          <w:tcPr>
            <w:tcW w:type="dxa" w:w="2076"/>
          </w:tcPr>
          <w:p/>
        </w:tc>
        <w:tc>
          <w:tcPr>
            <w:tcW w:type="dxa" w:w="415"/>
          </w:tcPr>
          <w:p>
            <w:r>
              <w:rPr/>
              <w:t>2</w:t>
            </w:r>
          </w:p>
        </w:tc>
        <w:tc>
          <w:tcPr>
            <w:tcW w:type="dxa" w:w="5814"/>
          </w:tcPr>
          <w:p>
            <w:pPr>
              <w:jc w:val="both"/>
            </w:pPr>
            <w:r>
              <w:rPr>
                <w:sz w:val="22"/>
              </w:rPr>
              <w:t>2.项目内容：</w:t>
            </w:r>
          </w:p>
          <w:p>
            <w:pPr>
              <w:jc w:val="both"/>
            </w:pPr>
            <w:r>
              <w:rPr>
                <w:sz w:val="22"/>
              </w:rPr>
              <w:t>2.1薇甘菊防治部分</w:t>
            </w:r>
          </w:p>
          <w:p>
            <w:pPr>
              <w:ind w:firstLine="220"/>
              <w:jc w:val="both"/>
            </w:pPr>
            <w:r>
              <w:rPr>
                <w:sz w:val="22"/>
              </w:rPr>
              <w:t>主要分布在梅陇镇等交通道路两侧和荒山、荒地、田园等，属旧发区中度发生危害程度，总面积</w:t>
            </w:r>
            <w:r>
              <w:rPr>
                <w:sz w:val="22"/>
              </w:rPr>
              <w:t>3000亩。</w:t>
            </w:r>
          </w:p>
          <w:p>
            <w:pPr>
              <w:jc w:val="both"/>
            </w:pPr>
            <w:r>
              <w:rPr>
                <w:sz w:val="22"/>
              </w:rPr>
              <w:t>2.2松材线虫病防治部分</w:t>
            </w:r>
          </w:p>
          <w:p>
            <w:pPr>
              <w:ind w:firstLine="220"/>
              <w:jc w:val="both"/>
            </w:pPr>
            <w:r>
              <w:rPr>
                <w:sz w:val="22"/>
              </w:rPr>
              <w:t>主要分布在梅陇镇、海城镇、城东镇、公平镇、平东镇和黄羌镇等周边松林，面积共计</w:t>
            </w:r>
            <w:r>
              <w:rPr>
                <w:sz w:val="22"/>
              </w:rPr>
              <w:t>40700亩，其中重点防治区9392亩，保护和预防区31308亩。防治任务包括疫情监测40700亩；清理病死树（套袋消杀法）2900株；设置诱捕器50套；清理宽1.6米人工简便道路10000米。</w:t>
            </w:r>
          </w:p>
          <w:p>
            <w:pPr>
              <w:jc w:val="both"/>
            </w:pPr>
            <w:r>
              <w:rPr>
                <w:sz w:val="22"/>
              </w:rPr>
              <w:t>2.3红火蚁重点区域监测防治部分</w:t>
            </w:r>
          </w:p>
          <w:p>
            <w:pPr>
              <w:jc w:val="both"/>
            </w:pPr>
            <w:r>
              <w:rPr>
                <w:sz w:val="22"/>
              </w:rPr>
              <w:t>主要分布于梅陇镇、海城镇、附城镇和青年水库等林地的村庄、道路、果园、荒坡地和其他经济林地周边，防控区面积</w:t>
            </w:r>
            <w:r>
              <w:rPr>
                <w:sz w:val="22"/>
              </w:rPr>
              <w:t>8000亩。主要工作是于防控区范围内调查监测和进行化学防治两次，并绘制发生点监测防控区范围图面积并标注有效蚁巢发生点位置。</w:t>
            </w:r>
          </w:p>
        </w:tc>
      </w:tr>
      <w:tr>
        <w:tc>
          <w:tcPr>
            <w:tcW w:type="dxa" w:w="2076"/>
          </w:tcPr>
          <w:p/>
        </w:tc>
        <w:tc>
          <w:tcPr>
            <w:tcW w:type="dxa" w:w="415"/>
          </w:tcPr>
          <w:p>
            <w:r>
              <w:rPr/>
              <w:t>3</w:t>
            </w:r>
          </w:p>
        </w:tc>
        <w:tc>
          <w:tcPr>
            <w:tcW w:type="dxa" w:w="5814"/>
          </w:tcPr>
          <w:p>
            <w:pPr>
              <w:jc w:val="both"/>
            </w:pPr>
            <w:r>
              <w:rPr>
                <w:b/>
                <w:sz w:val="22"/>
              </w:rPr>
              <w:t>3.工程量</w:t>
            </w:r>
          </w:p>
          <w:p>
            <w:pPr>
              <w:ind w:firstLine="211"/>
              <w:jc w:val="both"/>
            </w:pPr>
            <w:r>
              <w:rPr>
                <w:b/>
                <w:sz w:val="21"/>
              </w:rPr>
              <w:t>3.1</w:t>
            </w:r>
            <w:r>
              <w:rPr>
                <w:b/>
                <w:sz w:val="21"/>
              </w:rPr>
              <w:t>薇甘菊化学防治：</w:t>
            </w:r>
            <w:r>
              <w:rPr>
                <w:sz w:val="21"/>
              </w:rPr>
              <w:t>面积</w:t>
            </w:r>
            <w:r>
              <w:rPr>
                <w:sz w:val="21"/>
              </w:rPr>
              <w:t>3000亩（2000010m2），需紫薇清（24%滴酸·二氯吡水剂）360L、</w:t>
            </w:r>
            <w:r>
              <w:rPr>
                <w:sz w:val="21"/>
              </w:rPr>
              <w:t>兑水</w:t>
            </w:r>
            <w:r>
              <w:rPr>
                <w:sz w:val="21"/>
              </w:rPr>
              <w:t>540000L。</w:t>
            </w:r>
          </w:p>
          <w:p>
            <w:pPr>
              <w:ind w:firstLine="211"/>
              <w:jc w:val="both"/>
            </w:pPr>
            <w:r>
              <w:rPr>
                <w:b/>
                <w:sz w:val="21"/>
              </w:rPr>
              <w:t>3.2松材线虫病防治：</w:t>
            </w:r>
            <w:r>
              <w:rPr>
                <w:sz w:val="21"/>
              </w:rPr>
              <w:t>面积</w:t>
            </w:r>
            <w:r>
              <w:rPr>
                <w:sz w:val="21"/>
              </w:rPr>
              <w:t>40700亩，包括：</w:t>
            </w:r>
            <w:r>
              <w:rPr>
                <w:sz w:val="21"/>
              </w:rPr>
              <w:t>①</w:t>
            </w:r>
            <w:r>
              <w:rPr>
                <w:sz w:val="21"/>
              </w:rPr>
              <w:t>疫情监测</w:t>
            </w:r>
            <w:r>
              <w:rPr>
                <w:sz w:val="21"/>
              </w:rPr>
              <w:t>40700亩（27133469m</w:t>
            </w:r>
            <w:r>
              <w:rPr>
                <w:sz w:val="21"/>
                <w:vertAlign w:val="superscript"/>
              </w:rPr>
              <w:t>2</w:t>
            </w:r>
            <w:r>
              <w:rPr>
                <w:sz w:val="21"/>
              </w:rPr>
              <w:t>，人工踏查方式</w:t>
            </w:r>
            <w:r>
              <w:rPr>
                <w:sz w:val="21"/>
              </w:rPr>
              <w:t>1次/月，共6次）；②清理病死树2900株（采用套袋消杀法，按Φ20cm，长7m，每株含树枝等按不规则材1m</w:t>
            </w:r>
            <w:r>
              <w:rPr>
                <w:sz w:val="21"/>
                <w:vertAlign w:val="superscript"/>
              </w:rPr>
              <w:t>3</w:t>
            </w:r>
            <w:r>
              <w:rPr>
                <w:sz w:val="21"/>
              </w:rPr>
              <w:t>计算）；</w:t>
            </w:r>
            <w:r>
              <w:rPr>
                <w:sz w:val="21"/>
              </w:rPr>
              <w:t>③</w:t>
            </w:r>
            <w:r>
              <w:rPr>
                <w:sz w:val="21"/>
              </w:rPr>
              <w:t>设置诱捕器</w:t>
            </w:r>
            <w:r>
              <w:rPr>
                <w:sz w:val="21"/>
              </w:rPr>
              <w:t>50套，</w:t>
            </w:r>
            <w:r>
              <w:rPr>
                <w:sz w:val="21"/>
              </w:rPr>
              <w:t>松褐天牛引诱剂</w:t>
            </w:r>
            <w:r>
              <w:rPr>
                <w:sz w:val="21"/>
              </w:rPr>
              <w:t>APF-I持久型</w:t>
            </w:r>
            <w:r>
              <w:rPr>
                <w:sz w:val="21"/>
              </w:rPr>
              <w:t>300小包（每个月更换1次</w:t>
            </w:r>
            <w:r>
              <w:rPr>
                <w:sz w:val="21"/>
              </w:rPr>
              <w:t>引诱剂</w:t>
            </w:r>
            <w:r>
              <w:rPr>
                <w:sz w:val="21"/>
              </w:rPr>
              <w:t>和收集松楬</w:t>
            </w:r>
            <w:r>
              <w:rPr>
                <w:sz w:val="21"/>
              </w:rPr>
              <w:t>天牛成虫</w:t>
            </w:r>
            <w:r>
              <w:rPr>
                <w:sz w:val="21"/>
              </w:rPr>
              <w:t>2次）；④清理人工简便道路16000m</w:t>
            </w:r>
            <w:r>
              <w:rPr>
                <w:sz w:val="21"/>
                <w:vertAlign w:val="superscript"/>
              </w:rPr>
              <w:t>2</w:t>
            </w:r>
            <w:r>
              <w:rPr>
                <w:sz w:val="21"/>
              </w:rPr>
              <w:t>。</w:t>
            </w:r>
          </w:p>
          <w:p>
            <w:pPr>
              <w:ind w:firstLine="211"/>
              <w:jc w:val="both"/>
            </w:pPr>
            <w:r>
              <w:rPr>
                <w:b/>
                <w:sz w:val="21"/>
              </w:rPr>
              <w:t>3.3红火蚁防治：</w:t>
            </w:r>
            <w:r>
              <w:rPr>
                <w:sz w:val="21"/>
              </w:rPr>
              <w:t>实施</w:t>
            </w:r>
            <w:r>
              <w:rPr>
                <w:sz w:val="21"/>
              </w:rPr>
              <w:t>调查监测防治</w:t>
            </w:r>
            <w:r>
              <w:rPr>
                <w:sz w:val="21"/>
              </w:rPr>
              <w:t>面积</w:t>
            </w:r>
            <w:r>
              <w:rPr>
                <w:sz w:val="21"/>
              </w:rPr>
              <w:t>8000亩，包括：</w:t>
            </w:r>
            <w:r>
              <w:rPr>
                <w:sz w:val="21"/>
              </w:rPr>
              <w:t>①</w:t>
            </w:r>
            <w:r>
              <w:rPr>
                <w:sz w:val="21"/>
              </w:rPr>
              <w:t>灭蚁药（</w:t>
            </w:r>
            <w:r>
              <w:rPr>
                <w:sz w:val="21"/>
              </w:rPr>
              <w:t>0.05%茚虫威饵剂）400kg；②</w:t>
            </w:r>
            <w:r>
              <w:rPr>
                <w:sz w:val="21"/>
              </w:rPr>
              <w:t>工作车辆</w:t>
            </w:r>
            <w:r>
              <w:rPr>
                <w:sz w:val="21"/>
              </w:rPr>
              <w:t>120台班。</w:t>
            </w:r>
            <w:r>
              <w:rPr>
                <w:sz w:val="21"/>
              </w:rPr>
              <w:t>③</w:t>
            </w:r>
            <w:r>
              <w:rPr>
                <w:sz w:val="21"/>
              </w:rPr>
              <w:t>聘请专业调查防治人员</w:t>
            </w:r>
            <w:r>
              <w:rPr>
                <w:sz w:val="21"/>
              </w:rPr>
              <w:t>8人，时间6个月。</w:t>
            </w:r>
          </w:p>
          <w:tbl>
            <w:tblPr>
              <w:tblInd w:type="dxa" w:w="105"/>
              <w:tblBorders>
                <w:top w:val="none" w:color="000000" w:sz="4"/>
                <w:left w:val="none" w:color="000000" w:sz="4"/>
                <w:bottom w:val="none" w:color="000000" w:sz="4"/>
                <w:right w:val="none" w:color="000000" w:sz="4"/>
                <w:insideH w:val="none"/>
                <w:insideV w:val="none"/>
              </w:tblBorders>
            </w:tblPr>
            <w:tblGrid>
              <w:gridCol w:w="408"/>
              <w:gridCol w:w="1140"/>
              <w:gridCol w:w="1267"/>
              <w:gridCol w:w="1617"/>
              <w:gridCol w:w="397"/>
              <w:gridCol w:w="770"/>
            </w:tblGrid>
            <w:tr>
              <w:tc>
                <w:tcPr>
                  <w:tcW w:type="dxa" w:w="408"/>
                  <w:vMerge w:val="restart"/>
                  <w:tcBorders>
                    <w:top w:val="single" w:color="000000" w:sz="8"/>
                    <w:left w:val="single" w:color="000000" w:sz="8"/>
                    <w:bottom w:val="none" w:color="000000" w:sz="4"/>
                    <w:right w:val="single" w:color="000000" w:sz="8"/>
                  </w:tcBorders>
                  <w:vAlign w:val="top"/>
                </w:tcPr>
                <w:p>
                  <w:pPr>
                    <w:jc w:val="center"/>
                  </w:pPr>
                  <w:r>
                    <w:rPr>
                      <w:b/>
                      <w:sz w:val="21"/>
                    </w:rPr>
                    <w:t>序号</w:t>
                  </w:r>
                </w:p>
              </w:tc>
              <w:tc>
                <w:tcPr>
                  <w:tcW w:type="dxa" w:w="1140"/>
                  <w:vMerge w:val="restart"/>
                  <w:tcBorders>
                    <w:top w:val="single" w:color="000000" w:sz="8"/>
                    <w:left w:val="single" w:color="000000" w:sz="8"/>
                    <w:bottom w:val="none" w:color="000000" w:sz="4"/>
                    <w:right w:val="single" w:color="000000" w:sz="8"/>
                  </w:tcBorders>
                  <w:vAlign w:val="top"/>
                </w:tcPr>
                <w:p>
                  <w:pPr>
                    <w:jc w:val="both"/>
                  </w:pPr>
                  <w:r>
                    <w:rPr>
                      <w:b/>
                      <w:sz w:val="21"/>
                    </w:rPr>
                    <w:t>项目编码</w:t>
                  </w:r>
                </w:p>
              </w:tc>
              <w:tc>
                <w:tcPr>
                  <w:tcW w:type="dxa" w:w="1267"/>
                  <w:vMerge w:val="restart"/>
                  <w:tcBorders>
                    <w:top w:val="single" w:color="000000" w:sz="8"/>
                    <w:left w:val="single" w:color="000000" w:sz="8"/>
                    <w:bottom w:val="none" w:color="000000" w:sz="4"/>
                    <w:right w:val="single" w:color="000000" w:sz="8"/>
                  </w:tcBorders>
                  <w:vAlign w:val="top"/>
                </w:tcPr>
                <w:p>
                  <w:pPr>
                    <w:jc w:val="both"/>
                  </w:pPr>
                  <w:r>
                    <w:rPr>
                      <w:b/>
                      <w:sz w:val="21"/>
                    </w:rPr>
                    <w:t>项目名称</w:t>
                  </w:r>
                </w:p>
              </w:tc>
              <w:tc>
                <w:tcPr>
                  <w:tcW w:type="dxa" w:w="1617"/>
                  <w:vMerge w:val="restart"/>
                  <w:tcBorders>
                    <w:top w:val="single" w:color="000000" w:sz="8"/>
                    <w:left w:val="single" w:color="000000" w:sz="8"/>
                    <w:bottom w:val="none" w:color="000000" w:sz="4"/>
                    <w:right w:val="single" w:color="000000" w:sz="8"/>
                  </w:tcBorders>
                  <w:vAlign w:val="top"/>
                </w:tcPr>
                <w:p>
                  <w:pPr>
                    <w:jc w:val="both"/>
                  </w:pPr>
                  <w:r>
                    <w:rPr>
                      <w:b/>
                      <w:sz w:val="21"/>
                    </w:rPr>
                    <w:t>项目特征描述</w:t>
                  </w:r>
                </w:p>
              </w:tc>
              <w:tc>
                <w:tcPr>
                  <w:tcW w:type="dxa" w:w="397"/>
                  <w:vMerge w:val="restart"/>
                  <w:tcBorders>
                    <w:top w:val="single" w:color="000000" w:sz="8"/>
                    <w:left w:val="single" w:color="000000" w:sz="8"/>
                    <w:bottom w:val="none" w:color="000000" w:sz="4"/>
                    <w:right w:val="single" w:color="000000" w:sz="8"/>
                  </w:tcBorders>
                  <w:vAlign w:val="top"/>
                </w:tcPr>
                <w:p>
                  <w:pPr>
                    <w:jc w:val="center"/>
                  </w:pPr>
                  <w:r>
                    <w:rPr>
                      <w:b/>
                      <w:sz w:val="21"/>
                    </w:rPr>
                    <w:t>计量</w:t>
                  </w:r>
                </w:p>
                <w:p>
                  <w:pPr>
                    <w:jc w:val="center"/>
                  </w:pPr>
                  <w:r>
                    <w:rPr>
                      <w:b/>
                      <w:sz w:val="21"/>
                    </w:rPr>
                    <w:t>单位</w:t>
                  </w:r>
                </w:p>
              </w:tc>
              <w:tc>
                <w:tcPr>
                  <w:tcW w:type="dxa" w:w="770"/>
                  <w:vMerge w:val="restart"/>
                  <w:tcBorders>
                    <w:top w:val="single" w:color="000000" w:sz="8"/>
                    <w:left w:val="single" w:color="000000" w:sz="8"/>
                    <w:bottom w:val="none" w:color="000000" w:sz="4"/>
                    <w:right w:val="single" w:color="000000" w:sz="8"/>
                  </w:tcBorders>
                  <w:vAlign w:val="top"/>
                </w:tcPr>
                <w:p>
                  <w:pPr>
                    <w:jc w:val="center"/>
                  </w:pPr>
                  <w:r>
                    <w:rPr>
                      <w:b/>
                      <w:sz w:val="21"/>
                    </w:rPr>
                    <w:t>工程量</w:t>
                  </w:r>
                </w:p>
              </w:tc>
            </w:tr>
            <w:tr/>
            <w:tr/>
            <w:tr>
              <w:tc>
                <w:tcPr>
                  <w:tcW w:type="dxa" w:w="408"/>
                  <w:tcBorders>
                    <w:top w:val="none" w:color="000000" w:sz="4"/>
                    <w:left w:val="single" w:color="000000" w:sz="8"/>
                    <w:bottom w:val="single" w:color="000000" w:sz="8"/>
                    <w:right w:val="single" w:color="000000" w:sz="8"/>
                  </w:tcBorders>
                  <w:vAlign w:val="top"/>
                </w:tcPr>
                <w:p/>
              </w:tc>
              <w:tc>
                <w:tcPr>
                  <w:tcW w:type="dxa" w:w="4024"/>
                  <w:gridSpan w:val="3"/>
                  <w:tcBorders>
                    <w:top w:val="none" w:color="000000" w:sz="4"/>
                    <w:left w:val="single" w:color="000000" w:sz="8"/>
                    <w:bottom w:val="single" w:color="000000" w:sz="8"/>
                    <w:right w:val="single" w:color="000000" w:sz="8"/>
                  </w:tcBorders>
                  <w:vAlign w:val="top"/>
                </w:tcPr>
                <w:p>
                  <w:pPr>
                    <w:jc w:val="left"/>
                  </w:pPr>
                  <w:r>
                    <w:rPr>
                      <w:b/>
                      <w:sz w:val="21"/>
                    </w:rPr>
                    <w:t>1</w:t>
                  </w:r>
                  <w:r>
                    <w:rPr>
                      <w:b/>
                      <w:sz w:val="18"/>
                    </w:rPr>
                    <w:t>.薇甘菊化学防治部分</w:t>
                  </w:r>
                </w:p>
              </w:tc>
              <w:tc>
                <w:tcPr>
                  <w:tcW w:type="dxa" w:w="397"/>
                  <w:tcBorders>
                    <w:top w:val="none" w:color="000000" w:sz="4"/>
                    <w:left w:val="single" w:color="000000" w:sz="8"/>
                    <w:bottom w:val="single" w:color="000000" w:sz="8"/>
                    <w:right w:val="single" w:color="000000" w:sz="8"/>
                  </w:tcBorders>
                  <w:vAlign w:val="top"/>
                </w:tcPr>
                <w:p/>
              </w:tc>
              <w:tc>
                <w:tcPr>
                  <w:tcW w:type="dxa" w:w="770"/>
                  <w:tcBorders>
                    <w:top w:val="none" w:color="000000" w:sz="4"/>
                    <w:left w:val="single" w:color="000000" w:sz="8"/>
                    <w:bottom w:val="single" w:color="000000" w:sz="8"/>
                    <w:right w:val="single" w:color="000000" w:sz="8"/>
                  </w:tcBorders>
                  <w:vAlign w:val="top"/>
                </w:tcPr>
                <w:p/>
              </w:tc>
            </w:tr>
            <w:tr>
              <w:tc>
                <w:tcPr>
                  <w:tcW w:type="dxa" w:w="408"/>
                  <w:tcBorders>
                    <w:top w:val="none" w:color="000000" w:sz="4"/>
                    <w:left w:val="single" w:color="000000" w:sz="8"/>
                    <w:bottom w:val="single" w:color="000000" w:sz="8"/>
                    <w:right w:val="single" w:color="000000" w:sz="8"/>
                  </w:tcBorders>
                  <w:vAlign w:val="top"/>
                </w:tcPr>
                <w:p>
                  <w:r>
                    <w:rPr>
                      <w:sz w:val="18"/>
                    </w:rPr>
                    <w:t>1</w:t>
                  </w:r>
                </w:p>
              </w:tc>
              <w:tc>
                <w:tcPr>
                  <w:tcW w:type="dxa" w:w="1140"/>
                  <w:tcBorders>
                    <w:top w:val="none" w:color="000000" w:sz="4"/>
                    <w:left w:val="single" w:color="000000" w:sz="8"/>
                    <w:bottom w:val="single" w:color="000000" w:sz="8"/>
                    <w:right w:val="single" w:color="000000" w:sz="8"/>
                  </w:tcBorders>
                  <w:vAlign w:val="top"/>
                </w:tcPr>
                <w:p>
                  <w:r>
                    <w:rPr>
                      <w:sz w:val="18"/>
                    </w:rPr>
                    <w:t>030102006001</w:t>
                  </w:r>
                </w:p>
              </w:tc>
              <w:tc>
                <w:tcPr>
                  <w:tcW w:type="dxa" w:w="1267"/>
                  <w:tcBorders>
                    <w:top w:val="none" w:color="000000" w:sz="4"/>
                    <w:left w:val="single" w:color="000000" w:sz="8"/>
                    <w:bottom w:val="single" w:color="000000" w:sz="8"/>
                    <w:right w:val="single" w:color="000000" w:sz="8"/>
                  </w:tcBorders>
                  <w:vAlign w:val="top"/>
                </w:tcPr>
                <w:p>
                  <w:r>
                    <w:rPr>
                      <w:sz w:val="18"/>
                    </w:rPr>
                    <w:t>运水</w:t>
                  </w:r>
                </w:p>
              </w:tc>
              <w:tc>
                <w:tcPr>
                  <w:tcW w:type="dxa" w:w="1617"/>
                  <w:tcBorders>
                    <w:top w:val="none" w:color="000000" w:sz="4"/>
                    <w:left w:val="single" w:color="000000" w:sz="8"/>
                    <w:bottom w:val="single" w:color="000000" w:sz="8"/>
                    <w:right w:val="single" w:color="000000" w:sz="8"/>
                  </w:tcBorders>
                  <w:vAlign w:val="top"/>
                </w:tcPr>
                <w:p>
                  <w:pPr>
                    <w:jc w:val="both"/>
                  </w:pPr>
                </w:p>
              </w:tc>
              <w:tc>
                <w:tcPr>
                  <w:tcW w:type="dxa" w:w="397"/>
                  <w:tcBorders>
                    <w:top w:val="single" w:color="000000" w:sz="8"/>
                    <w:left w:val="single" w:color="000000" w:sz="8"/>
                    <w:bottom w:val="single" w:color="000000" w:sz="8"/>
                    <w:right w:val="single" w:color="000000" w:sz="8"/>
                  </w:tcBorders>
                  <w:vAlign w:val="top"/>
                </w:tcPr>
                <w:p>
                  <w:r>
                    <w:rPr>
                      <w:sz w:val="18"/>
                    </w:rPr>
                    <w:t>m3</w:t>
                  </w:r>
                </w:p>
              </w:tc>
              <w:tc>
                <w:tcPr>
                  <w:tcW w:type="dxa" w:w="770"/>
                  <w:tcBorders>
                    <w:top w:val="single" w:color="000000" w:sz="8"/>
                    <w:left w:val="single" w:color="000000" w:sz="8"/>
                    <w:bottom w:val="single" w:color="000000" w:sz="8"/>
                    <w:right w:val="single" w:color="000000" w:sz="8"/>
                  </w:tcBorders>
                  <w:vAlign w:val="top"/>
                </w:tcPr>
                <w:p>
                  <w:r>
                    <w:rPr>
                      <w:sz w:val="18"/>
                    </w:rPr>
                    <w:t>450.000</w:t>
                  </w:r>
                </w:p>
              </w:tc>
            </w:tr>
            <w:tr>
              <w:tc>
                <w:tcPr>
                  <w:tcW w:type="dxa" w:w="408"/>
                  <w:tcBorders>
                    <w:top w:val="none" w:color="000000" w:sz="4"/>
                    <w:left w:val="single" w:color="000000" w:sz="8"/>
                    <w:bottom w:val="single" w:color="000000" w:sz="8"/>
                    <w:right w:val="single" w:color="000000" w:sz="8"/>
                  </w:tcBorders>
                  <w:vAlign w:val="top"/>
                </w:tcPr>
                <w:p>
                  <w:r>
                    <w:rPr>
                      <w:sz w:val="18"/>
                    </w:rPr>
                    <w:t>2</w:t>
                  </w:r>
                </w:p>
              </w:tc>
              <w:tc>
                <w:tcPr>
                  <w:tcW w:type="dxa" w:w="1140"/>
                  <w:tcBorders>
                    <w:top w:val="none" w:color="000000" w:sz="4"/>
                    <w:left w:val="single" w:color="000000" w:sz="8"/>
                    <w:bottom w:val="single" w:color="000000" w:sz="8"/>
                    <w:right w:val="single" w:color="000000" w:sz="8"/>
                  </w:tcBorders>
                  <w:vAlign w:val="top"/>
                </w:tcPr>
                <w:p>
                  <w:r>
                    <w:rPr>
                      <w:sz w:val="18"/>
                    </w:rPr>
                    <w:t>030102003001</w:t>
                  </w:r>
                </w:p>
              </w:tc>
              <w:tc>
                <w:tcPr>
                  <w:tcW w:type="dxa" w:w="1267"/>
                  <w:tcBorders>
                    <w:top w:val="none" w:color="000000" w:sz="4"/>
                    <w:left w:val="single" w:color="000000" w:sz="8"/>
                    <w:bottom w:val="single" w:color="000000" w:sz="8"/>
                    <w:right w:val="single" w:color="000000" w:sz="8"/>
                  </w:tcBorders>
                  <w:vAlign w:val="top"/>
                </w:tcPr>
                <w:p>
                  <w:r>
                    <w:rPr>
                      <w:sz w:val="18"/>
                    </w:rPr>
                    <w:t>薇甘菊防治</w:t>
                  </w:r>
                </w:p>
              </w:tc>
              <w:tc>
                <w:tcPr>
                  <w:tcW w:type="dxa" w:w="1617"/>
                  <w:tcBorders>
                    <w:top w:val="none" w:color="000000" w:sz="4"/>
                    <w:left w:val="single" w:color="000000" w:sz="8"/>
                    <w:bottom w:val="single" w:color="000000" w:sz="8"/>
                    <w:right w:val="single" w:color="000000" w:sz="8"/>
                  </w:tcBorders>
                  <w:vAlign w:val="top"/>
                </w:tcPr>
                <w:p>
                  <w:r>
                    <w:rPr>
                      <w:sz w:val="18"/>
                    </w:rPr>
                    <w:t>防治措施：化学防治</w:t>
                  </w:r>
                </w:p>
              </w:tc>
              <w:tc>
                <w:tcPr>
                  <w:tcW w:type="dxa" w:w="397"/>
                  <w:tcBorders>
                    <w:top w:val="none" w:color="000000" w:sz="4"/>
                    <w:left w:val="single" w:color="000000" w:sz="8"/>
                    <w:bottom w:val="single" w:color="000000" w:sz="8"/>
                    <w:right w:val="single" w:color="000000" w:sz="8"/>
                  </w:tcBorders>
                  <w:vAlign w:val="top"/>
                </w:tcPr>
                <w:p>
                  <w:r>
                    <w:rPr>
                      <w:sz w:val="18"/>
                    </w:rPr>
                    <w:t>m2</w:t>
                  </w:r>
                </w:p>
              </w:tc>
              <w:tc>
                <w:tcPr>
                  <w:tcW w:type="dxa" w:w="770"/>
                  <w:tcBorders>
                    <w:top w:val="none" w:color="000000" w:sz="4"/>
                    <w:left w:val="single" w:color="000000" w:sz="8"/>
                    <w:bottom w:val="single" w:color="000000" w:sz="8"/>
                    <w:right w:val="single" w:color="000000" w:sz="8"/>
                  </w:tcBorders>
                  <w:vAlign w:val="top"/>
                </w:tcPr>
                <w:p>
                  <w:r>
                    <w:rPr>
                      <w:sz w:val="18"/>
                    </w:rPr>
                    <w:t>2000010.</w:t>
                  </w:r>
                  <w:r>
                    <w:rPr/>
                    <w:t xml:space="preserve"> </w:t>
                  </w:r>
                  <w:r>
                    <w:rPr>
                      <w:sz w:val="18"/>
                    </w:rPr>
                    <w:t>000</w:t>
                  </w:r>
                </w:p>
              </w:tc>
            </w:tr>
            <w:tr>
              <w:tc>
                <w:tcPr>
                  <w:tcW w:type="dxa" w:w="408"/>
                  <w:tcBorders>
                    <w:top w:val="none" w:color="000000" w:sz="4"/>
                    <w:left w:val="single" w:color="000000" w:sz="8"/>
                    <w:bottom w:val="single" w:color="000000" w:sz="8"/>
                    <w:right w:val="single" w:color="000000" w:sz="8"/>
                  </w:tcBorders>
                  <w:vAlign w:val="top"/>
                </w:tcPr>
                <w:p/>
              </w:tc>
              <w:tc>
                <w:tcPr>
                  <w:tcW w:type="dxa" w:w="4024"/>
                  <w:gridSpan w:val="3"/>
                  <w:tcBorders>
                    <w:top w:val="none" w:color="000000" w:sz="4"/>
                    <w:left w:val="single" w:color="000000" w:sz="8"/>
                    <w:bottom w:val="single" w:color="000000" w:sz="8"/>
                    <w:right w:val="single" w:color="000000" w:sz="8"/>
                  </w:tcBorders>
                  <w:vAlign w:val="top"/>
                </w:tcPr>
                <w:p>
                  <w:r>
                    <w:rPr>
                      <w:b/>
                      <w:sz w:val="18"/>
                    </w:rPr>
                    <w:t>2.</w:t>
                  </w:r>
                  <w:r>
                    <w:rPr>
                      <w:b/>
                      <w:sz w:val="18"/>
                    </w:rPr>
                    <w:t>松材线虫病防治部分</w:t>
                  </w:r>
                </w:p>
              </w:tc>
              <w:tc>
                <w:tcPr>
                  <w:tcW w:type="dxa" w:w="397"/>
                  <w:tcBorders>
                    <w:top w:val="none" w:color="000000" w:sz="4"/>
                    <w:left w:val="single" w:color="000000" w:sz="8"/>
                    <w:bottom w:val="single" w:color="000000" w:sz="8"/>
                    <w:right w:val="single" w:color="000000" w:sz="8"/>
                  </w:tcBorders>
                  <w:vAlign w:val="top"/>
                </w:tcPr>
                <w:p/>
              </w:tc>
              <w:tc>
                <w:tcPr>
                  <w:tcW w:type="dxa" w:w="770"/>
                  <w:tcBorders>
                    <w:top w:val="none" w:color="000000" w:sz="4"/>
                    <w:left w:val="single" w:color="000000" w:sz="8"/>
                    <w:bottom w:val="single" w:color="000000" w:sz="8"/>
                    <w:right w:val="single" w:color="000000" w:sz="8"/>
                  </w:tcBorders>
                  <w:vAlign w:val="top"/>
                </w:tcPr>
                <w:p/>
              </w:tc>
            </w:tr>
            <w:tr>
              <w:tc>
                <w:tcPr>
                  <w:tcW w:type="dxa" w:w="408"/>
                  <w:tcBorders>
                    <w:top w:val="none" w:color="000000" w:sz="4"/>
                    <w:left w:val="single" w:color="000000" w:sz="8"/>
                    <w:bottom w:val="single" w:color="000000" w:sz="8"/>
                    <w:right w:val="single" w:color="000000" w:sz="8"/>
                  </w:tcBorders>
                  <w:vAlign w:val="top"/>
                </w:tcPr>
                <w:p>
                  <w:r>
                    <w:rPr>
                      <w:sz w:val="18"/>
                    </w:rPr>
                    <w:t>1</w:t>
                  </w:r>
                </w:p>
              </w:tc>
              <w:tc>
                <w:tcPr>
                  <w:tcW w:type="dxa" w:w="1140"/>
                  <w:tcBorders>
                    <w:top w:val="none" w:color="000000" w:sz="4"/>
                    <w:left w:val="single" w:color="000000" w:sz="8"/>
                    <w:bottom w:val="single" w:color="000000" w:sz="8"/>
                    <w:right w:val="single" w:color="000000" w:sz="8"/>
                  </w:tcBorders>
                  <w:vAlign w:val="top"/>
                </w:tcPr>
                <w:p>
                  <w:r>
                    <w:rPr>
                      <w:sz w:val="18"/>
                    </w:rPr>
                    <w:t>040101002001</w:t>
                  </w:r>
                </w:p>
              </w:tc>
              <w:tc>
                <w:tcPr>
                  <w:tcW w:type="dxa" w:w="1267"/>
                  <w:tcBorders>
                    <w:top w:val="none" w:color="000000" w:sz="4"/>
                    <w:left w:val="single" w:color="000000" w:sz="8"/>
                    <w:bottom w:val="single" w:color="000000" w:sz="8"/>
                    <w:right w:val="single" w:color="000000" w:sz="8"/>
                  </w:tcBorders>
                  <w:vAlign w:val="top"/>
                </w:tcPr>
                <w:p>
                  <w:r>
                    <w:rPr>
                      <w:sz w:val="18"/>
                    </w:rPr>
                    <w:t>疫情监测</w:t>
                  </w:r>
                </w:p>
              </w:tc>
              <w:tc>
                <w:tcPr>
                  <w:tcW w:type="dxa" w:w="1617"/>
                  <w:tcBorders>
                    <w:top w:val="none" w:color="000000" w:sz="4"/>
                    <w:left w:val="single" w:color="000000" w:sz="8"/>
                    <w:bottom w:val="single" w:color="000000" w:sz="8"/>
                    <w:right w:val="single" w:color="000000" w:sz="8"/>
                  </w:tcBorders>
                  <w:vAlign w:val="top"/>
                </w:tcPr>
                <w:p>
                  <w:r>
                    <w:rPr>
                      <w:sz w:val="18"/>
                    </w:rPr>
                    <w:t>人工踏查</w:t>
                  </w:r>
                  <w:r>
                    <w:rPr>
                      <w:sz w:val="18"/>
                    </w:rPr>
                    <w:t>6次， 1次/月</w:t>
                  </w:r>
                </w:p>
              </w:tc>
              <w:tc>
                <w:tcPr>
                  <w:tcW w:type="dxa" w:w="397"/>
                  <w:tcBorders>
                    <w:top w:val="single" w:color="000000" w:sz="8"/>
                    <w:left w:val="single" w:color="000000" w:sz="8"/>
                    <w:bottom w:val="single" w:color="000000" w:sz="8"/>
                    <w:right w:val="single" w:color="000000" w:sz="8"/>
                  </w:tcBorders>
                  <w:vAlign w:val="top"/>
                </w:tcPr>
                <w:p>
                  <w:r>
                    <w:rPr>
                      <w:sz w:val="18"/>
                    </w:rPr>
                    <w:t>m2</w:t>
                  </w:r>
                </w:p>
              </w:tc>
              <w:tc>
                <w:tcPr>
                  <w:tcW w:type="dxa" w:w="770"/>
                  <w:tcBorders>
                    <w:top w:val="single" w:color="000000" w:sz="8"/>
                    <w:left w:val="single" w:color="000000" w:sz="8"/>
                    <w:bottom w:val="single" w:color="000000" w:sz="8"/>
                    <w:right w:val="single" w:color="000000" w:sz="8"/>
                  </w:tcBorders>
                  <w:vAlign w:val="top"/>
                </w:tcPr>
                <w:p>
                  <w:r>
                    <w:rPr>
                      <w:sz w:val="18"/>
                    </w:rPr>
                    <w:t>27133469</w:t>
                  </w:r>
                  <w:r>
                    <w:rPr/>
                    <w:t xml:space="preserve"> </w:t>
                  </w:r>
                  <w:r>
                    <w:rPr>
                      <w:sz w:val="18"/>
                    </w:rPr>
                    <w:t>.000</w:t>
                  </w:r>
                </w:p>
              </w:tc>
            </w:tr>
            <w:tr>
              <w:tc>
                <w:tcPr>
                  <w:tcW w:type="dxa" w:w="408"/>
                  <w:tcBorders>
                    <w:top w:val="none" w:color="000000" w:sz="4"/>
                    <w:left w:val="single" w:color="000000" w:sz="8"/>
                    <w:bottom w:val="single" w:color="000000" w:sz="8"/>
                    <w:right w:val="single" w:color="000000" w:sz="8"/>
                  </w:tcBorders>
                  <w:vAlign w:val="top"/>
                </w:tcPr>
                <w:p>
                  <w:r>
                    <w:rPr>
                      <w:sz w:val="18"/>
                    </w:rPr>
                    <w:t>2</w:t>
                  </w:r>
                </w:p>
              </w:tc>
              <w:tc>
                <w:tcPr>
                  <w:tcW w:type="dxa" w:w="1140"/>
                  <w:tcBorders>
                    <w:top w:val="none" w:color="000000" w:sz="4"/>
                    <w:left w:val="single" w:color="000000" w:sz="8"/>
                    <w:bottom w:val="single" w:color="000000" w:sz="8"/>
                    <w:right w:val="single" w:color="000000" w:sz="8"/>
                  </w:tcBorders>
                  <w:vAlign w:val="top"/>
                </w:tcPr>
                <w:p>
                  <w:r>
                    <w:rPr>
                      <w:sz w:val="18"/>
                    </w:rPr>
                    <w:t>040102004001</w:t>
                  </w:r>
                </w:p>
              </w:tc>
              <w:tc>
                <w:tcPr>
                  <w:tcW w:type="dxa" w:w="1267"/>
                  <w:tcBorders>
                    <w:top w:val="none" w:color="000000" w:sz="4"/>
                    <w:left w:val="single" w:color="000000" w:sz="8"/>
                    <w:bottom w:val="single" w:color="000000" w:sz="8"/>
                    <w:right w:val="single" w:color="000000" w:sz="8"/>
                  </w:tcBorders>
                  <w:vAlign w:val="top"/>
                </w:tcPr>
                <w:p>
                  <w:r>
                    <w:rPr>
                      <w:sz w:val="18"/>
                    </w:rPr>
                    <w:t>设置诱捕器</w:t>
                  </w:r>
                </w:p>
              </w:tc>
              <w:tc>
                <w:tcPr>
                  <w:tcW w:type="dxa" w:w="1617"/>
                  <w:tcBorders>
                    <w:top w:val="none" w:color="000000" w:sz="4"/>
                    <w:left w:val="single" w:color="000000" w:sz="8"/>
                    <w:bottom w:val="single" w:color="000000" w:sz="8"/>
                    <w:right w:val="single" w:color="000000" w:sz="8"/>
                  </w:tcBorders>
                  <w:vAlign w:val="top"/>
                </w:tcPr>
                <w:p>
                  <w:r>
                    <w:rPr>
                      <w:sz w:val="18"/>
                    </w:rPr>
                    <w:t>诱捕器管护</w:t>
                  </w:r>
                  <w:r>
                    <w:rPr>
                      <w:sz w:val="18"/>
                    </w:rPr>
                    <w:t>6个月</w:t>
                  </w:r>
                </w:p>
              </w:tc>
              <w:tc>
                <w:tcPr>
                  <w:tcW w:type="dxa" w:w="397"/>
                  <w:tcBorders>
                    <w:top w:val="none" w:color="000000" w:sz="4"/>
                    <w:left w:val="single" w:color="000000" w:sz="8"/>
                    <w:bottom w:val="single" w:color="000000" w:sz="8"/>
                    <w:right w:val="single" w:color="000000" w:sz="8"/>
                  </w:tcBorders>
                  <w:vAlign w:val="top"/>
                </w:tcPr>
                <w:p>
                  <w:r>
                    <w:rPr>
                      <w:sz w:val="18"/>
                    </w:rPr>
                    <w:t>套</w:t>
                  </w:r>
                </w:p>
              </w:tc>
              <w:tc>
                <w:tcPr>
                  <w:tcW w:type="dxa" w:w="770"/>
                  <w:tcBorders>
                    <w:top w:val="none" w:color="000000" w:sz="4"/>
                    <w:left w:val="single" w:color="000000" w:sz="8"/>
                    <w:bottom w:val="single" w:color="000000" w:sz="8"/>
                    <w:right w:val="single" w:color="000000" w:sz="8"/>
                  </w:tcBorders>
                  <w:vAlign w:val="top"/>
                </w:tcPr>
                <w:p>
                  <w:r>
                    <w:rPr>
                      <w:sz w:val="18"/>
                    </w:rPr>
                    <w:t>50.000</w:t>
                  </w:r>
                </w:p>
              </w:tc>
            </w:tr>
            <w:tr>
              <w:tc>
                <w:tcPr>
                  <w:tcW w:type="dxa" w:w="408"/>
                  <w:tcBorders>
                    <w:top w:val="none" w:color="000000" w:sz="4"/>
                    <w:left w:val="single" w:color="000000" w:sz="8"/>
                    <w:bottom w:val="single" w:color="000000" w:sz="8"/>
                    <w:right w:val="single" w:color="000000" w:sz="8"/>
                  </w:tcBorders>
                  <w:vAlign w:val="top"/>
                </w:tcPr>
                <w:p>
                  <w:r>
                    <w:rPr>
                      <w:sz w:val="18"/>
                    </w:rPr>
                    <w:t>3</w:t>
                  </w:r>
                </w:p>
              </w:tc>
              <w:tc>
                <w:tcPr>
                  <w:tcW w:type="dxa" w:w="1140"/>
                  <w:tcBorders>
                    <w:top w:val="none" w:color="000000" w:sz="4"/>
                    <w:left w:val="single" w:color="000000" w:sz="8"/>
                    <w:bottom w:val="single" w:color="000000" w:sz="8"/>
                    <w:right w:val="single" w:color="000000" w:sz="8"/>
                  </w:tcBorders>
                  <w:vAlign w:val="top"/>
                </w:tcPr>
                <w:p>
                  <w:r>
                    <w:rPr>
                      <w:sz w:val="18"/>
                    </w:rPr>
                    <w:t>050101002001</w:t>
                  </w:r>
                </w:p>
              </w:tc>
              <w:tc>
                <w:tcPr>
                  <w:tcW w:type="dxa" w:w="1267"/>
                  <w:tcBorders>
                    <w:top w:val="none" w:color="000000" w:sz="4"/>
                    <w:left w:val="single" w:color="000000" w:sz="8"/>
                    <w:bottom w:val="single" w:color="000000" w:sz="8"/>
                    <w:right w:val="single" w:color="000000" w:sz="8"/>
                  </w:tcBorders>
                  <w:vAlign w:val="top"/>
                </w:tcPr>
                <w:p>
                  <w:r>
                    <w:rPr>
                      <w:sz w:val="18"/>
                    </w:rPr>
                    <w:t>清理病死树</w:t>
                  </w:r>
                </w:p>
              </w:tc>
              <w:tc>
                <w:tcPr>
                  <w:tcW w:type="dxa" w:w="1617"/>
                  <w:tcBorders>
                    <w:top w:val="none" w:color="000000" w:sz="4"/>
                    <w:left w:val="single" w:color="000000" w:sz="8"/>
                    <w:bottom w:val="single" w:color="000000" w:sz="8"/>
                    <w:right w:val="single" w:color="000000" w:sz="8"/>
                  </w:tcBorders>
                  <w:vAlign w:val="top"/>
                </w:tcPr>
                <w:p>
                  <w:r>
                    <w:rPr>
                      <w:sz w:val="18"/>
                    </w:rPr>
                    <w:t>疫木砍伐后熏蒸消毒</w:t>
                  </w:r>
                </w:p>
              </w:tc>
              <w:tc>
                <w:tcPr>
                  <w:tcW w:type="dxa" w:w="397"/>
                  <w:tcBorders>
                    <w:top w:val="none" w:color="000000" w:sz="4"/>
                    <w:left w:val="single" w:color="000000" w:sz="8"/>
                    <w:bottom w:val="single" w:color="000000" w:sz="8"/>
                    <w:right w:val="single" w:color="000000" w:sz="8"/>
                  </w:tcBorders>
                  <w:vAlign w:val="top"/>
                </w:tcPr>
                <w:p>
                  <w:r>
                    <w:rPr>
                      <w:sz w:val="18"/>
                    </w:rPr>
                    <w:t>株</w:t>
                  </w:r>
                </w:p>
              </w:tc>
              <w:tc>
                <w:tcPr>
                  <w:tcW w:type="dxa" w:w="770"/>
                  <w:tcBorders>
                    <w:top w:val="none" w:color="000000" w:sz="4"/>
                    <w:left w:val="single" w:color="000000" w:sz="8"/>
                    <w:bottom w:val="single" w:color="000000" w:sz="8"/>
                    <w:right w:val="single" w:color="000000" w:sz="8"/>
                  </w:tcBorders>
                  <w:vAlign w:val="top"/>
                </w:tcPr>
                <w:p>
                  <w:r>
                    <w:rPr>
                      <w:sz w:val="18"/>
                    </w:rPr>
                    <w:t>2900.000</w:t>
                  </w:r>
                </w:p>
              </w:tc>
            </w:tr>
            <w:tr>
              <w:tc>
                <w:tcPr>
                  <w:tcW w:type="dxa" w:w="408"/>
                  <w:tcBorders>
                    <w:top w:val="none" w:color="000000" w:sz="4"/>
                    <w:left w:val="single" w:color="000000" w:sz="8"/>
                    <w:bottom w:val="single" w:color="000000" w:sz="8"/>
                    <w:right w:val="single" w:color="000000" w:sz="8"/>
                  </w:tcBorders>
                  <w:vAlign w:val="top"/>
                </w:tcPr>
                <w:p>
                  <w:r>
                    <w:rPr>
                      <w:sz w:val="18"/>
                    </w:rPr>
                    <w:t>4</w:t>
                  </w:r>
                </w:p>
              </w:tc>
              <w:tc>
                <w:tcPr>
                  <w:tcW w:type="dxa" w:w="1140"/>
                  <w:tcBorders>
                    <w:top w:val="none" w:color="000000" w:sz="4"/>
                    <w:left w:val="single" w:color="000000" w:sz="8"/>
                    <w:bottom w:val="single" w:color="000000" w:sz="8"/>
                    <w:right w:val="single" w:color="000000" w:sz="8"/>
                  </w:tcBorders>
                  <w:vAlign w:val="top"/>
                </w:tcPr>
                <w:p>
                  <w:r>
                    <w:rPr>
                      <w:sz w:val="18"/>
                    </w:rPr>
                    <w:t>010101002001</w:t>
                  </w:r>
                </w:p>
              </w:tc>
              <w:tc>
                <w:tcPr>
                  <w:tcW w:type="dxa" w:w="1267"/>
                  <w:tcBorders>
                    <w:top w:val="none" w:color="000000" w:sz="4"/>
                    <w:left w:val="single" w:color="000000" w:sz="8"/>
                    <w:bottom w:val="single" w:color="000000" w:sz="8"/>
                    <w:right w:val="single" w:color="000000" w:sz="8"/>
                  </w:tcBorders>
                  <w:vAlign w:val="top"/>
                </w:tcPr>
                <w:p>
                  <w:r>
                    <w:rPr>
                      <w:sz w:val="18"/>
                    </w:rPr>
                    <w:t>道路清理</w:t>
                  </w:r>
                </w:p>
              </w:tc>
              <w:tc>
                <w:tcPr>
                  <w:tcW w:type="dxa" w:w="1617"/>
                  <w:tcBorders>
                    <w:top w:val="none" w:color="000000" w:sz="4"/>
                    <w:left w:val="single" w:color="000000" w:sz="8"/>
                    <w:bottom w:val="single" w:color="000000" w:sz="8"/>
                    <w:right w:val="single" w:color="000000" w:sz="8"/>
                  </w:tcBorders>
                  <w:vAlign w:val="top"/>
                </w:tcPr>
                <w:p>
                  <w:r>
                    <w:rPr>
                      <w:sz w:val="18"/>
                    </w:rPr>
                    <w:t>清理宽</w:t>
                  </w:r>
                  <w:r>
                    <w:rPr>
                      <w:sz w:val="18"/>
                    </w:rPr>
                    <w:t>1.6米人工简便</w:t>
                  </w:r>
                  <w:r>
                    <w:rPr/>
                    <w:t xml:space="preserve"> </w:t>
                  </w:r>
                  <w:r>
                    <w:rPr>
                      <w:sz w:val="18"/>
                    </w:rPr>
                    <w:t>道路</w:t>
                  </w:r>
                </w:p>
              </w:tc>
              <w:tc>
                <w:tcPr>
                  <w:tcW w:type="dxa" w:w="397"/>
                  <w:tcBorders>
                    <w:top w:val="none" w:color="000000" w:sz="4"/>
                    <w:left w:val="single" w:color="000000" w:sz="8"/>
                    <w:bottom w:val="single" w:color="000000" w:sz="8"/>
                    <w:right w:val="single" w:color="000000" w:sz="8"/>
                  </w:tcBorders>
                  <w:vAlign w:val="top"/>
                </w:tcPr>
                <w:p>
                  <w:r>
                    <w:rPr>
                      <w:sz w:val="18"/>
                    </w:rPr>
                    <w:t>㎡</w:t>
                  </w:r>
                </w:p>
              </w:tc>
              <w:tc>
                <w:tcPr>
                  <w:tcW w:type="dxa" w:w="770"/>
                  <w:tcBorders>
                    <w:top w:val="none" w:color="000000" w:sz="4"/>
                    <w:left w:val="single" w:color="000000" w:sz="8"/>
                    <w:bottom w:val="single" w:color="000000" w:sz="8"/>
                    <w:right w:val="single" w:color="000000" w:sz="8"/>
                  </w:tcBorders>
                  <w:vAlign w:val="top"/>
                </w:tcPr>
                <w:p>
                  <w:r>
                    <w:rPr>
                      <w:sz w:val="18"/>
                    </w:rPr>
                    <w:t>16000.00</w:t>
                  </w:r>
                  <w:r>
                    <w:rPr/>
                    <w:t xml:space="preserve"> </w:t>
                  </w:r>
                  <w:r>
                    <w:rPr>
                      <w:sz w:val="18"/>
                    </w:rPr>
                    <w:t>0</w:t>
                  </w:r>
                </w:p>
              </w:tc>
            </w:tr>
            <w:tr>
              <w:tc>
                <w:tcPr>
                  <w:tcW w:type="dxa" w:w="408"/>
                  <w:tcBorders>
                    <w:top w:val="none" w:color="000000" w:sz="4"/>
                    <w:left w:val="single" w:color="000000" w:sz="8"/>
                    <w:bottom w:val="single" w:color="000000" w:sz="8"/>
                    <w:right w:val="single" w:color="000000" w:sz="8"/>
                  </w:tcBorders>
                  <w:vAlign w:val="top"/>
                </w:tcPr>
                <w:p/>
              </w:tc>
              <w:tc>
                <w:tcPr>
                  <w:tcW w:type="dxa" w:w="4024"/>
                  <w:gridSpan w:val="3"/>
                  <w:tcBorders>
                    <w:top w:val="none" w:color="000000" w:sz="4"/>
                    <w:left w:val="single" w:color="000000" w:sz="8"/>
                    <w:bottom w:val="single" w:color="000000" w:sz="8"/>
                    <w:right w:val="single" w:color="000000" w:sz="8"/>
                  </w:tcBorders>
                  <w:vAlign w:val="top"/>
                </w:tcPr>
                <w:p>
                  <w:r>
                    <w:rPr>
                      <w:b/>
                      <w:sz w:val="18"/>
                    </w:rPr>
                    <w:t>3.红火蚁防治部分</w:t>
                  </w:r>
                </w:p>
              </w:tc>
              <w:tc>
                <w:tcPr>
                  <w:tcW w:type="dxa" w:w="397"/>
                  <w:tcBorders>
                    <w:top w:val="none" w:color="000000" w:sz="4"/>
                    <w:left w:val="single" w:color="000000" w:sz="8"/>
                    <w:bottom w:val="single" w:color="000000" w:sz="8"/>
                    <w:right w:val="single" w:color="000000" w:sz="8"/>
                  </w:tcBorders>
                  <w:vAlign w:val="top"/>
                </w:tcPr>
                <w:p/>
              </w:tc>
              <w:tc>
                <w:tcPr>
                  <w:tcW w:type="dxa" w:w="770"/>
                  <w:tcBorders>
                    <w:top w:val="none" w:color="000000" w:sz="4"/>
                    <w:left w:val="single" w:color="000000" w:sz="8"/>
                    <w:bottom w:val="single" w:color="000000" w:sz="8"/>
                    <w:right w:val="single" w:color="000000" w:sz="8"/>
                  </w:tcBorders>
                  <w:vAlign w:val="top"/>
                </w:tcPr>
                <w:p/>
              </w:tc>
            </w:tr>
            <w:tr>
              <w:tc>
                <w:tcPr>
                  <w:tcW w:type="dxa" w:w="408"/>
                  <w:tcBorders>
                    <w:top w:val="none" w:color="000000" w:sz="4"/>
                    <w:left w:val="single" w:color="000000" w:sz="8"/>
                    <w:bottom w:val="single" w:color="000000" w:sz="8"/>
                    <w:right w:val="single" w:color="000000" w:sz="8"/>
                  </w:tcBorders>
                  <w:vAlign w:val="top"/>
                </w:tcPr>
                <w:p>
                  <w:r>
                    <w:rPr>
                      <w:sz w:val="18"/>
                    </w:rPr>
                    <w:t>1</w:t>
                  </w:r>
                </w:p>
              </w:tc>
              <w:tc>
                <w:tcPr>
                  <w:tcW w:type="dxa" w:w="1140"/>
                  <w:tcBorders>
                    <w:top w:val="none" w:color="000000" w:sz="4"/>
                    <w:left w:val="single" w:color="000000" w:sz="8"/>
                    <w:bottom w:val="single" w:color="000000" w:sz="8"/>
                    <w:right w:val="single" w:color="000000" w:sz="8"/>
                  </w:tcBorders>
                  <w:vAlign w:val="top"/>
                </w:tcPr>
                <w:p>
                  <w:r>
                    <w:rPr>
                      <w:sz w:val="18"/>
                    </w:rPr>
                    <w:t>07010100700100</w:t>
                  </w:r>
                  <w:r>
                    <w:rPr>
                      <w:sz w:val="18"/>
                    </w:rPr>
                    <w:t>1</w:t>
                  </w:r>
                </w:p>
              </w:tc>
              <w:tc>
                <w:tcPr>
                  <w:tcW w:type="dxa" w:w="1267"/>
                  <w:tcBorders>
                    <w:top w:val="none" w:color="000000" w:sz="4"/>
                    <w:left w:val="single" w:color="000000" w:sz="8"/>
                    <w:bottom w:val="single" w:color="000000" w:sz="8"/>
                    <w:right w:val="single" w:color="000000" w:sz="8"/>
                  </w:tcBorders>
                  <w:vAlign w:val="top"/>
                </w:tcPr>
                <w:p>
                  <w:r>
                    <w:rPr>
                      <w:sz w:val="18"/>
                    </w:rPr>
                    <w:t>灭蚁药</w:t>
                  </w:r>
                </w:p>
              </w:tc>
              <w:tc>
                <w:tcPr>
                  <w:tcW w:type="dxa" w:w="1617"/>
                  <w:tcBorders>
                    <w:top w:val="none" w:color="000000" w:sz="4"/>
                    <w:left w:val="single" w:color="000000" w:sz="8"/>
                    <w:bottom w:val="single" w:color="000000" w:sz="8"/>
                    <w:right w:val="single" w:color="000000" w:sz="8"/>
                  </w:tcBorders>
                  <w:vAlign w:val="top"/>
                </w:tcPr>
                <w:p>
                  <w:r>
                    <w:rPr>
                      <w:sz w:val="18"/>
                    </w:rPr>
                    <w:t>0.05%茚虫威饵剂</w:t>
                  </w:r>
                </w:p>
              </w:tc>
              <w:tc>
                <w:tcPr>
                  <w:tcW w:type="dxa" w:w="397"/>
                  <w:tcBorders>
                    <w:top w:val="single" w:color="000000" w:sz="8"/>
                    <w:left w:val="single" w:color="000000" w:sz="8"/>
                    <w:bottom w:val="single" w:color="000000" w:sz="8"/>
                    <w:right w:val="single" w:color="000000" w:sz="8"/>
                  </w:tcBorders>
                  <w:vAlign w:val="top"/>
                </w:tcPr>
                <w:p>
                  <w:r>
                    <w:rPr>
                      <w:sz w:val="18"/>
                    </w:rPr>
                    <w:t>kg</w:t>
                  </w:r>
                </w:p>
              </w:tc>
              <w:tc>
                <w:tcPr>
                  <w:tcW w:type="dxa" w:w="770"/>
                  <w:tcBorders>
                    <w:top w:val="single" w:color="000000" w:sz="8"/>
                    <w:left w:val="single" w:color="000000" w:sz="8"/>
                    <w:bottom w:val="single" w:color="000000" w:sz="8"/>
                    <w:right w:val="single" w:color="000000" w:sz="8"/>
                  </w:tcBorders>
                  <w:vAlign w:val="top"/>
                </w:tcPr>
                <w:p>
                  <w:r>
                    <w:rPr>
                      <w:sz w:val="18"/>
                    </w:rPr>
                    <w:t>400.000</w:t>
                  </w:r>
                </w:p>
              </w:tc>
            </w:tr>
            <w:tr>
              <w:tc>
                <w:tcPr>
                  <w:tcW w:type="dxa" w:w="408"/>
                  <w:tcBorders>
                    <w:top w:val="none" w:color="000000" w:sz="4"/>
                    <w:left w:val="single" w:color="000000" w:sz="8"/>
                    <w:bottom w:val="single" w:color="000000" w:sz="8"/>
                    <w:right w:val="single" w:color="000000" w:sz="8"/>
                  </w:tcBorders>
                  <w:vAlign w:val="top"/>
                </w:tcPr>
                <w:p>
                  <w:r>
                    <w:rPr>
                      <w:sz w:val="18"/>
                    </w:rPr>
                    <w:t>2</w:t>
                  </w:r>
                </w:p>
              </w:tc>
              <w:tc>
                <w:tcPr>
                  <w:tcW w:type="dxa" w:w="1140"/>
                  <w:tcBorders>
                    <w:top w:val="none" w:color="000000" w:sz="4"/>
                    <w:left w:val="single" w:color="000000" w:sz="8"/>
                    <w:bottom w:val="single" w:color="000000" w:sz="8"/>
                    <w:right w:val="single" w:color="000000" w:sz="8"/>
                  </w:tcBorders>
                  <w:vAlign w:val="top"/>
                </w:tcPr>
                <w:p>
                  <w:r>
                    <w:rPr>
                      <w:sz w:val="18"/>
                    </w:rPr>
                    <w:t>030102006003</w:t>
                  </w:r>
                </w:p>
              </w:tc>
              <w:tc>
                <w:tcPr>
                  <w:tcW w:type="dxa" w:w="1267"/>
                  <w:tcBorders>
                    <w:top w:val="none" w:color="000000" w:sz="4"/>
                    <w:left w:val="single" w:color="000000" w:sz="8"/>
                    <w:bottom w:val="single" w:color="000000" w:sz="8"/>
                    <w:right w:val="single" w:color="000000" w:sz="8"/>
                  </w:tcBorders>
                  <w:vAlign w:val="top"/>
                </w:tcPr>
                <w:p>
                  <w:r>
                    <w:rPr>
                      <w:sz w:val="18"/>
                    </w:rPr>
                    <w:t>工作车辆</w:t>
                  </w:r>
                </w:p>
              </w:tc>
              <w:tc>
                <w:tcPr>
                  <w:tcW w:type="dxa" w:w="1617"/>
                  <w:tcBorders>
                    <w:top w:val="none" w:color="000000" w:sz="4"/>
                    <w:left w:val="single" w:color="000000" w:sz="8"/>
                    <w:bottom w:val="single" w:color="000000" w:sz="8"/>
                    <w:right w:val="single" w:color="000000" w:sz="8"/>
                  </w:tcBorders>
                  <w:vAlign w:val="top"/>
                </w:tcPr>
                <w:p>
                  <w:pPr>
                    <w:jc w:val="both"/>
                  </w:pPr>
                </w:p>
              </w:tc>
              <w:tc>
                <w:tcPr>
                  <w:tcW w:type="dxa" w:w="397"/>
                  <w:tcBorders>
                    <w:top w:val="none" w:color="000000" w:sz="4"/>
                    <w:left w:val="single" w:color="000000" w:sz="8"/>
                    <w:bottom w:val="single" w:color="000000" w:sz="8"/>
                    <w:right w:val="single" w:color="000000" w:sz="8"/>
                  </w:tcBorders>
                  <w:vAlign w:val="top"/>
                </w:tcPr>
                <w:p>
                  <w:r>
                    <w:rPr>
                      <w:sz w:val="18"/>
                    </w:rPr>
                    <w:t>台班</w:t>
                  </w:r>
                </w:p>
              </w:tc>
              <w:tc>
                <w:tcPr>
                  <w:tcW w:type="dxa" w:w="770"/>
                  <w:tcBorders>
                    <w:top w:val="none" w:color="000000" w:sz="4"/>
                    <w:left w:val="single" w:color="000000" w:sz="8"/>
                    <w:bottom w:val="single" w:color="000000" w:sz="8"/>
                    <w:right w:val="single" w:color="000000" w:sz="8"/>
                  </w:tcBorders>
                  <w:vAlign w:val="top"/>
                </w:tcPr>
                <w:p>
                  <w:r>
                    <w:rPr>
                      <w:sz w:val="18"/>
                    </w:rPr>
                    <w:t>120.000</w:t>
                  </w:r>
                </w:p>
              </w:tc>
            </w:tr>
          </w:tbl>
        </w:tc>
      </w:tr>
      <w:tr>
        <w:tc>
          <w:tcPr>
            <w:tcW w:type="dxa" w:w="2076"/>
          </w:tcPr>
          <w:p/>
        </w:tc>
        <w:tc>
          <w:tcPr>
            <w:tcW w:type="dxa" w:w="415"/>
          </w:tcPr>
          <w:p>
            <w:r>
              <w:rPr/>
              <w:t>4</w:t>
            </w:r>
          </w:p>
        </w:tc>
        <w:tc>
          <w:tcPr>
            <w:tcW w:type="dxa" w:w="5814"/>
          </w:tcPr>
          <w:p>
            <w:pPr>
              <w:ind w:firstLine="422"/>
              <w:jc w:val="both"/>
            </w:pPr>
            <w:r>
              <w:rPr>
                <w:b/>
                <w:sz w:val="21"/>
              </w:rPr>
              <w:t>4.1薇甘菊防治部分</w:t>
            </w:r>
            <w:r>
              <w:rPr>
                <w:sz w:val="21"/>
              </w:rPr>
              <w:t>对成片发生的薇甘菊，采取化学防治措施结合人工割除进行控制。化学防治的药剂选择主要是内吸性除草剂，要求选用安全、低毒和对环境污染小的药物。</w:t>
            </w:r>
          </w:p>
          <w:p>
            <w:pPr>
              <w:ind w:firstLine="630"/>
              <w:jc w:val="both"/>
            </w:pPr>
            <w:r>
              <w:rPr>
                <w:sz w:val="21"/>
              </w:rPr>
              <w:t>（</w:t>
            </w:r>
            <w:r>
              <w:rPr>
                <w:sz w:val="21"/>
              </w:rPr>
              <w:t>1）化学防治喷施方法</w:t>
            </w:r>
          </w:p>
          <w:p>
            <w:pPr>
              <w:ind w:firstLine="630"/>
              <w:jc w:val="both"/>
            </w:pPr>
            <w:r>
              <w:rPr>
                <w:sz w:val="21"/>
              </w:rPr>
              <w:t>采用机动高压喷雾机结合手动喷雾器进行防治。在薇甘菊生长季节，做好安全防护措施后，按说明书配好药物，于晴天施工喷药，注意按照推荐浓度使用，被薇甘菊浓密覆盖的树木，用喷枪从覆盖层由内向外均匀喷洒在薇甘菊上，避免直接喷施在树木等其他植物的叶子上，以免出现药害。要求雾点细、均匀，喷至薇甘菊茎叶完全湿透，见叶片有药液滴落为佳，按施工图位置喷施到位（如施工图与薇甘菊实际生长位置有偏差时，以实际为准），喷淋十五天后检查喷淋结果，如发现有错漏，及时补喷，直到全部完成。在零星不适宜化学防治的地方（如果树等），运用人工割除方法进行清除。使防治区的薇甘菊覆盖率</w:t>
            </w:r>
            <w:r>
              <w:rPr>
                <w:sz w:val="21"/>
              </w:rPr>
              <w:t>≦5%。</w:t>
            </w:r>
          </w:p>
          <w:p>
            <w:pPr>
              <w:ind w:firstLine="630"/>
              <w:jc w:val="both"/>
            </w:pPr>
            <w:r>
              <w:rPr>
                <w:sz w:val="21"/>
              </w:rPr>
              <w:t>（</w:t>
            </w:r>
            <w:r>
              <w:rPr>
                <w:sz w:val="21"/>
              </w:rPr>
              <w:t>2）化学药剂选择</w:t>
            </w:r>
          </w:p>
          <w:p>
            <w:pPr>
              <w:ind w:firstLine="420"/>
              <w:jc w:val="both"/>
            </w:pPr>
            <w:r>
              <w:rPr>
                <w:sz w:val="21"/>
              </w:rPr>
              <w:t>根据近几年薇甘菊除治经验和方法，推荐药剂使用主要是紫薇清（</w:t>
            </w:r>
            <w:r>
              <w:rPr>
                <w:sz w:val="21"/>
              </w:rPr>
              <w:t>24%滴酸·二氯吡水剂）和41%草甘膦。本项目药剂使用主要是紫薇清（24%滴酸·二氯吡水剂），草甘膦为备.选药剂。</w:t>
            </w:r>
          </w:p>
          <w:p>
            <w:pPr>
              <w:numPr>
                <w:ilvl w:val="0"/>
                <w:numId w:val="2"/>
              </w:numPr>
              <w:jc w:val="both"/>
            </w:pPr>
            <w:r>
              <w:rPr>
                <w:sz w:val="21"/>
              </w:rPr>
              <w:t>紫薇清（</w:t>
            </w:r>
            <w:r>
              <w:rPr>
                <w:sz w:val="21"/>
              </w:rPr>
              <w:t>24%滴酸·二氯吡水剂）使用技术方法：紫薇清（24%滴酸·二氯吡水剂）是一种植物激素类除草剂，喷施后易通过薇甘菊根、茎、叶吸收传导，内吸性、选择性较强，不杀灭禾本科杂草，对人、畜、水生生物、鸟类等无安全隐患，药剂成本较低，持续控制效果较好，可用于林地、荒地、水源地、果园、道路沿线等地薇甘菊防除。每亩紫薇清（24%滴酸·二氯吡水剂）用量90-120ml，兑水120-180L,斜坡地、薇甘菊覆盖度高的地域可适当加大喷药量，雨水多季节，地表比较湿的林地不要喷药，以免造成药害，要等2-3天地表比较干的时候再进行喷施。</w:t>
            </w:r>
          </w:p>
          <w:p>
            <w:pPr>
              <w:numPr>
                <w:ilvl w:val="0"/>
                <w:numId w:val="2"/>
              </w:numPr>
              <w:jc w:val="both"/>
            </w:pPr>
            <w:r>
              <w:rPr>
                <w:sz w:val="21"/>
              </w:rPr>
              <w:t>41%草甘膦：草甘膦虽为灭生性除草剂，但在土壤中容易被吸附失去活性，对土壤的影响较小，对其它动物的毒性低，使用较安全，而且见效快，防治成本低。用水稀释至100-200倍,每亩用药750-1500ml，兑水150L喷施。</w:t>
            </w:r>
          </w:p>
          <w:p>
            <w:pPr>
              <w:ind w:firstLine="420"/>
              <w:jc w:val="both"/>
            </w:pPr>
            <w:r>
              <w:rPr>
                <w:sz w:val="21"/>
              </w:rPr>
              <w:t>喷雾器械选择，推荐使用高压机动喷雾机和背负式手动或机动喷雾器相结合。高压机动喷雾机射程远，喷施效率高，易作用于薇甘菊茎部和叶，可用于公路旁、林缘、荒坡地等交通便利地段的成片薇甘菊防治。对零星分布区薇甘菊防治可采用背负式手动或机动喷雾器，喷施药剂较细、较均匀，但喷施效率不高。</w:t>
            </w:r>
          </w:p>
          <w:p>
            <w:pPr>
              <w:jc w:val="both"/>
            </w:pPr>
            <w:r>
              <w:rPr>
                <w:sz w:val="21"/>
              </w:rPr>
              <w:t xml:space="preserve">  （3）人工割除</w:t>
            </w:r>
          </w:p>
          <w:p>
            <w:pPr>
              <w:jc w:val="both"/>
            </w:pPr>
            <w:r>
              <w:rPr>
                <w:sz w:val="21"/>
              </w:rPr>
              <w:t xml:space="preserve">   在零星发生或不适宜使用药剂防治的地块（如：果园、果树等），在薇甘菊</w:t>
            </w:r>
            <w:r>
              <w:rPr>
                <w:sz w:val="21"/>
              </w:rPr>
              <w:t>营养生长期，在夏季至种子成熟前（</w:t>
            </w:r>
            <w:r>
              <w:rPr>
                <w:sz w:val="21"/>
              </w:rPr>
              <w:t>一般为</w:t>
            </w:r>
            <w:r>
              <w:rPr>
                <w:sz w:val="21"/>
              </w:rPr>
              <w:t>4～9月），采用镰刀等工具将攀援生长的薇甘菊藤蔓割除，要求在离地面0.2m处割断为宜，最好挖出根部，集中销毁。</w:t>
            </w:r>
          </w:p>
          <w:p>
            <w:pPr>
              <w:jc w:val="both"/>
            </w:pPr>
            <w:r>
              <w:br/>
            </w:r>
          </w:p>
        </w:tc>
      </w:tr>
      <w:tr>
        <w:tc>
          <w:tcPr>
            <w:tcW w:type="dxa" w:w="2076"/>
          </w:tcPr>
          <w:p/>
        </w:tc>
        <w:tc>
          <w:tcPr>
            <w:tcW w:type="dxa" w:w="415"/>
          </w:tcPr>
          <w:p>
            <w:r>
              <w:rPr/>
              <w:t>5</w:t>
            </w:r>
          </w:p>
        </w:tc>
        <w:tc>
          <w:tcPr>
            <w:tcW w:type="dxa" w:w="5814"/>
          </w:tcPr>
          <w:p>
            <w:pPr>
              <w:ind w:firstLine="422"/>
              <w:jc w:val="both"/>
            </w:pPr>
            <w:r>
              <w:rPr>
                <w:b/>
                <w:sz w:val="21"/>
              </w:rPr>
              <w:t>4.2松材线虫病防治部分</w:t>
            </w:r>
          </w:p>
          <w:p>
            <w:pPr>
              <w:ind w:firstLine="420"/>
              <w:jc w:val="both"/>
            </w:pPr>
            <w:r>
              <w:rPr>
                <w:sz w:val="21"/>
              </w:rPr>
              <w:t>（</w:t>
            </w:r>
            <w:r>
              <w:rPr>
                <w:sz w:val="21"/>
              </w:rPr>
              <w:t>1）全面疫情监测</w:t>
            </w:r>
          </w:p>
          <w:p>
            <w:pPr>
              <w:ind w:firstLine="420"/>
              <w:jc w:val="both"/>
            </w:pPr>
            <w:r>
              <w:rPr>
                <w:sz w:val="21"/>
              </w:rPr>
              <w:t>做好疫情的监测工作是项目区松材线虫病综合治理的基础，为项目区各项技术措施的实施提供决策依据。为此，根据项目区的分布图和道路情况设计疫情监测踏查路线，指定专人每月</w:t>
            </w:r>
            <w:r>
              <w:rPr>
                <w:sz w:val="21"/>
              </w:rPr>
              <w:t>1 次的人工踏查方式对整个项目区松材线虫病的发生情况进行调查，以小班为单位统计病死树数量，并计算病死树率，监测时间为 6 个月。</w:t>
            </w:r>
          </w:p>
          <w:p>
            <w:pPr>
              <w:ind w:firstLine="420"/>
              <w:jc w:val="both"/>
            </w:pPr>
            <w:r>
              <w:rPr>
                <w:sz w:val="21"/>
              </w:rPr>
              <w:t>通过调查，系统掌握项目区内各小班的病死树数量，以月为单位统计新发生病死树数量，统计数据和样品检测结果反馈给工程部及时安排施工队做好枯死木清理和除害处理。</w:t>
            </w:r>
          </w:p>
          <w:p>
            <w:pPr>
              <w:ind w:firstLine="420"/>
              <w:jc w:val="both"/>
            </w:pPr>
            <w:r>
              <w:rPr>
                <w:sz w:val="21"/>
              </w:rPr>
              <w:t>（</w:t>
            </w:r>
            <w:r>
              <w:rPr>
                <w:sz w:val="21"/>
              </w:rPr>
              <w:t>2）全面清理病死树</w:t>
            </w:r>
          </w:p>
          <w:p>
            <w:pPr>
              <w:ind w:firstLine="420"/>
              <w:jc w:val="both"/>
            </w:pPr>
            <w:r>
              <w:rPr>
                <w:sz w:val="21"/>
              </w:rPr>
              <w:t>清除松材线虫病死树（包括疑似病死树等），是减轻松材线虫病危害，防治疫情传播扩散的关键环节之一。根据调查到的各个小班病死树数量，对病枯死松树进行全面的清除，降低初始阶段疫源数量，为后续防治工作打下基础。组织施工队伍，确认病死树位置后依据实际地形清理宽约</w:t>
            </w:r>
            <w:r>
              <w:rPr>
                <w:sz w:val="21"/>
              </w:rPr>
              <w:t>1.6米的人工简易道路，用于方便人工行走和搬运疫木用途。对清理的枯死树（包括病死树、疑似病死树等）进行就地立刻销毁处理，在交通方便的地方采取集中焚烧或粉碎（削片）等措施，在山高路陡、人迹罕至、道路不通等的地方则采取钢丝网罩或熏蒸消毒对疫木进行处理。本项目设计主要采用套袋消杀的方法进行处理（需采用钢丝网罩的地段按要求实施）。</w:t>
            </w:r>
          </w:p>
          <w:p>
            <w:pPr>
              <w:numPr>
                <w:ilvl w:val="0"/>
                <w:numId w:val="2"/>
              </w:numPr>
              <w:jc w:val="both"/>
            </w:pPr>
            <w:r>
              <w:rPr>
                <w:sz w:val="21"/>
              </w:rPr>
              <w:t>钢丝网罩：在山腰以上山高路陡、人迹罕至、道路不通等地段的枯死树，采用钢丝网罩消杀方法防治，先将枯死树伐倒，伐桩高度尽量不超过</w:t>
            </w:r>
            <w:r>
              <w:rPr>
                <w:sz w:val="21"/>
              </w:rPr>
              <w:t>5cm（特殊情况除外，伐桩处理同上），树干和侧枝锯成1.0m左右长的木段，连同直径1.0cm以上的枝桠材全部钢丝网罩，钢丝网罩使用钢丝≥1.2mm，网目数≥20目的钢丝网罩包裹疫木并进行封边处理。</w:t>
            </w:r>
          </w:p>
          <w:p>
            <w:pPr>
              <w:numPr>
                <w:ilvl w:val="0"/>
                <w:numId w:val="2"/>
              </w:numPr>
              <w:jc w:val="both"/>
            </w:pPr>
            <w:r>
              <w:rPr>
                <w:sz w:val="21"/>
              </w:rPr>
              <w:t>套袋消杀：是将树枝等装入熏蒸袋（薄膜袋）（树枝处理方式同上），投入磷化铝药片或其他消杀药物进行套袋消杀处理，注意药片投入安全操作方法和检查消杀袋的密闭性，用警示标识贴在套袋消杀上显眼位置，并在枯死树周边挂设诱捕器，密闭时间</w:t>
            </w:r>
            <w:r>
              <w:rPr>
                <w:sz w:val="21"/>
              </w:rPr>
              <w:t>10~15天。</w:t>
            </w:r>
          </w:p>
          <w:p>
            <w:pPr>
              <w:jc w:val="both"/>
            </w:pPr>
            <w:r>
              <w:rPr>
                <w:sz w:val="21"/>
              </w:rPr>
              <w:t>（</w:t>
            </w:r>
            <w:r>
              <w:rPr>
                <w:sz w:val="21"/>
              </w:rPr>
              <w:t>3）设置诱捕器</w:t>
            </w:r>
          </w:p>
          <w:p>
            <w:pPr>
              <w:jc w:val="both"/>
            </w:pPr>
            <w:r>
              <w:rPr>
                <w:sz w:val="21"/>
              </w:rPr>
              <w:t>在松楬天牛成虫羽化期通过布设诱捕器诱杀，可以在一定程度上降低松楬天牛种群密度。于重点防治区小班及周边，在山脊或通风良好的地方设置</w:t>
            </w:r>
            <w:r>
              <w:rPr>
                <w:sz w:val="21"/>
              </w:rPr>
              <w:t>50套诱捕器。拟使用国家和省林业有害生物防治主管部门推广使用的ZM-60 型诱捕器和APF-I持久型引诱剂。部分诱捕器固定挂设一个地方，部分移动挂设提高诱捕效率。本项目挂设诱捕器管护时间为6个月，挂设后每个月定时更换松楬天牛引诱剂1次，每隔15天左右收集松楬天牛成虫1次，并做好记录。</w:t>
            </w:r>
          </w:p>
        </w:tc>
      </w:tr>
      <w:tr>
        <w:tc>
          <w:tcPr>
            <w:tcW w:type="dxa" w:w="2076"/>
          </w:tcPr>
          <w:p/>
        </w:tc>
        <w:tc>
          <w:tcPr>
            <w:tcW w:type="dxa" w:w="415"/>
          </w:tcPr>
          <w:p>
            <w:r>
              <w:rPr/>
              <w:t>6</w:t>
            </w:r>
          </w:p>
        </w:tc>
        <w:tc>
          <w:tcPr>
            <w:tcW w:type="dxa" w:w="5814"/>
          </w:tcPr>
          <w:p>
            <w:pPr>
              <w:ind w:firstLine="422"/>
              <w:jc w:val="both"/>
            </w:pPr>
            <w:r>
              <w:rPr>
                <w:b/>
                <w:sz w:val="21"/>
              </w:rPr>
              <w:t>4.3红火蚁重点区域监测防治部分</w:t>
            </w:r>
          </w:p>
          <w:p>
            <w:pPr>
              <w:ind w:firstLine="420"/>
              <w:jc w:val="both"/>
            </w:pPr>
            <w:r>
              <w:rPr>
                <w:sz w:val="21"/>
              </w:rPr>
              <w:t>主要采用点面结合、诱杀为主</w:t>
            </w:r>
            <w:r>
              <w:rPr>
                <w:sz w:val="21"/>
              </w:rPr>
              <w:t>，防治方法主要有</w:t>
            </w:r>
            <w:r>
              <w:rPr>
                <w:sz w:val="21"/>
              </w:rPr>
              <w:t>毒饵诱杀法、药液灌巢法和粉剂灭巢法。</w:t>
            </w:r>
            <w:r>
              <w:rPr>
                <w:sz w:val="21"/>
              </w:rPr>
              <w:t>本项目化学防治措施主要采用</w:t>
            </w:r>
            <w:r>
              <w:rPr>
                <w:sz w:val="21"/>
              </w:rPr>
              <w:t>0.</w:t>
            </w:r>
            <w:r>
              <w:rPr>
                <w:sz w:val="21"/>
              </w:rPr>
              <w:t>05</w:t>
            </w:r>
            <w:r>
              <w:rPr>
                <w:sz w:val="21"/>
              </w:rPr>
              <w:t>%茚虫威饵剂诱杀法</w:t>
            </w:r>
            <w:r>
              <w:rPr>
                <w:sz w:val="21"/>
              </w:rPr>
              <w:t>，分两次实施。</w:t>
            </w:r>
          </w:p>
          <w:p>
            <w:pPr>
              <w:ind w:firstLine="420"/>
              <w:jc w:val="both"/>
            </w:pPr>
            <w:r>
              <w:rPr>
                <w:sz w:val="21"/>
              </w:rPr>
              <w:t>（</w:t>
            </w:r>
            <w:r>
              <w:rPr>
                <w:sz w:val="21"/>
              </w:rPr>
              <w:t>1）点施毒饵</w:t>
            </w:r>
          </w:p>
          <w:p>
            <w:pPr>
              <w:ind w:firstLine="420"/>
              <w:jc w:val="both"/>
            </w:pPr>
            <w:r>
              <w:rPr>
                <w:sz w:val="21"/>
              </w:rPr>
              <w:t>红火蚁发生程度在二级及以下的发生区，可使用点施毒饵法防治单个蚁巢。采用</w:t>
            </w:r>
            <w:r>
              <w:rPr>
                <w:sz w:val="21"/>
              </w:rPr>
              <w:t>0.05%茚虫威饵剂环状或点状投放于蚁巢外围 30cm～60cm处，对所有可见的活蚁巢进行防治。根据活蚁巢大小和毒饵制剂商品使用说明确定毒饵用量，每个蚁巢制剂用量20-25g。</w:t>
            </w:r>
          </w:p>
          <w:p>
            <w:pPr>
              <w:ind w:firstLine="420"/>
              <w:jc w:val="both"/>
            </w:pPr>
            <w:r>
              <w:rPr>
                <w:sz w:val="21"/>
              </w:rPr>
              <w:t>（</w:t>
            </w:r>
            <w:r>
              <w:rPr>
                <w:sz w:val="21"/>
              </w:rPr>
              <w:t>2）撒施毒饵</w:t>
            </w:r>
          </w:p>
          <w:p>
            <w:pPr>
              <w:ind w:firstLine="420"/>
              <w:jc w:val="both"/>
            </w:pPr>
            <w:r>
              <w:rPr>
                <w:sz w:val="21"/>
              </w:rPr>
              <w:t>对蚁巢密度较大、分布普遍但很难发现活蚁巢的发生区，采取普遍撒施</w:t>
            </w:r>
            <w:r>
              <w:rPr>
                <w:sz w:val="21"/>
              </w:rPr>
              <w:t>0.05%茚虫威饵剂进行防治。处理较小面积区域时可直接用手(穿戴塑胶或橡皮手套)撒播，处理较大面积区域时可用手摇式撤播器撒施。撒施毒饵剂时要覆盖所有发生区的所有地点。毒饵剂的用量根据活蚁巢密度和毒饵剂商品使用说明确定，每公顷面积最低用量是防治单个活蚁巢使用商品标签推荐用量中间值的100倍。</w:t>
            </w:r>
          </w:p>
          <w:p>
            <w:pPr>
              <w:ind w:firstLine="420"/>
              <w:jc w:val="both"/>
            </w:pPr>
            <w:r>
              <w:rPr>
                <w:sz w:val="21"/>
              </w:rPr>
              <w:t>（</w:t>
            </w:r>
            <w:r>
              <w:rPr>
                <w:sz w:val="21"/>
              </w:rPr>
              <w:t>3）综合施用</w:t>
            </w:r>
          </w:p>
          <w:p>
            <w:pPr>
              <w:ind w:firstLine="420"/>
              <w:jc w:val="both"/>
            </w:pPr>
            <w:r>
              <w:rPr>
                <w:sz w:val="21"/>
              </w:rPr>
              <w:t>在红火蚁严重发生的区域，活蚁巢密度大、分布普遍时可采用点施毒饵和撒施毒饵相结合的综合施用法，并适当加大毒饵用量。</w:t>
            </w:r>
          </w:p>
          <w:p>
            <w:pPr>
              <w:ind w:firstLine="420"/>
              <w:jc w:val="both"/>
            </w:pPr>
            <w:r>
              <w:rPr>
                <w:sz w:val="21"/>
              </w:rPr>
              <w:t>（</w:t>
            </w:r>
            <w:r>
              <w:rPr>
                <w:sz w:val="21"/>
              </w:rPr>
              <w:t>4）补施毒饵</w:t>
            </w:r>
          </w:p>
          <w:p>
            <w:pPr>
              <w:ind w:firstLine="420"/>
              <w:jc w:val="both"/>
            </w:pPr>
            <w:r>
              <w:rPr>
                <w:sz w:val="21"/>
              </w:rPr>
              <w:t>根据防控效果，在使用毒饵防控红火蚁</w:t>
            </w:r>
            <w:r>
              <w:rPr>
                <w:sz w:val="21"/>
              </w:rPr>
              <w:t>2周后 ，对已实施防治地点再次按相同办法继续施用毒饵进行防治。</w:t>
            </w:r>
          </w:p>
          <w:p>
            <w:pPr>
              <w:ind w:firstLine="420"/>
              <w:jc w:val="both"/>
            </w:pPr>
            <w:r>
              <w:rPr>
                <w:sz w:val="21"/>
              </w:rPr>
              <w:t>（</w:t>
            </w:r>
            <w:r>
              <w:rPr>
                <w:sz w:val="21"/>
              </w:rPr>
              <w:t>5）实施时间选择</w:t>
            </w:r>
          </w:p>
          <w:p>
            <w:pPr>
              <w:ind w:firstLine="420"/>
              <w:jc w:val="both"/>
            </w:pPr>
            <w:r>
              <w:rPr>
                <w:sz w:val="21"/>
              </w:rPr>
              <w:t>使用化学药剂防治时一般选择晴天进行，地面应比较干燥，在使用毒饵剂后</w:t>
            </w:r>
            <w:r>
              <w:rPr>
                <w:sz w:val="21"/>
              </w:rPr>
              <w:t>6小时内无降雨，并且尽量在红火蚁活动觅食时间施用。</w:t>
            </w:r>
          </w:p>
        </w:tc>
      </w:tr>
      <w:tr>
        <w:tc>
          <w:tcPr>
            <w:tcW w:type="dxa" w:w="2076"/>
          </w:tcPr>
          <w:p/>
        </w:tc>
        <w:tc>
          <w:tcPr>
            <w:tcW w:type="dxa" w:w="415"/>
          </w:tcPr>
          <w:p>
            <w:r>
              <w:rPr/>
              <w:t>7</w:t>
            </w:r>
          </w:p>
        </w:tc>
        <w:tc>
          <w:tcPr>
            <w:tcW w:type="dxa" w:w="5814"/>
          </w:tcPr>
          <w:p>
            <w:pPr>
              <w:ind w:firstLine="420"/>
              <w:jc w:val="both"/>
            </w:pPr>
            <w:r>
              <w:rPr>
                <w:sz w:val="21"/>
              </w:rPr>
              <w:t>5.其他要求：认真执行作业注意事项，未尽事项按现行国家、地方有关规范、规程执行。</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1.采购代理机构：本项目是指广东弘业建设项目管理有限公司，负责整个采购活动的组织，依法负责编制和发布磋商文件，对磋商文件拥有最终的解释权，不以任何身份出任磋商小组成员。</w:t>
      </w:r>
    </w:p>
    <w:p>
      <w:pPr>
        <w:ind w:firstLine="480"/>
      </w:pPr>
      <w:r>
        <w:rPr/>
        <w:t>2.采购人：本项目是指</w:t>
      </w:r>
      <w:r>
        <w:rPr/>
        <w:t>海丰县林业局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采购机构代理服务收费标准：以采购预算作为采购代理服务费的计算基数。参照中华人民共和国国家发展计划委员会颁发的计价格〔2002〕1980号、发改办 价格〔2003〕857号及发改价格〔2011〕534号文规定的“服务 类”计费标准计算并缴纳。</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其他，电子版投标文件的密封和标记：1.密封条须加盖响应供应商公章，并注明项目编号、项目名称、响应供应商名称。 2.纸质投标文件正本1份，副本2份只需中标单位在领取中标通知书时递交给代理机构。 3、响应供应商须自行携带电脑完成磋商环节的最终报价工作。若因响应供应商未携带电脑导致无法进行磋商或最终报价的，由响应供应商自行承担一切责任及果。</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广东弘业建设项目管理有限公司</w:t>
      </w:r>
      <w:r>
        <w:rPr/>
        <w:t>代收。具体操作要求详见</w:t>
      </w:r>
      <w:r>
        <w:rPr/>
        <w:t>广东弘业建设项目管理有限公司</w:t>
      </w:r>
      <w:r>
        <w:rPr/>
        <w:t>有关指引，递交事宜请自行咨询</w:t>
      </w:r>
      <w:r>
        <w:rPr/>
        <w:t>广东弘业建设项目管理有限公司</w:t>
      </w:r>
      <w:r>
        <w:rPr/>
        <w:t>；请各供应商在响应文件递交截止时间前按须知前附表规定的金额递交至</w:t>
      </w:r>
      <w:r>
        <w:rPr/>
        <w:t>广东弘业建设项目管理有限公司</w:t>
      </w:r>
      <w:r>
        <w:rPr/>
        <w:t>，到账情况以开启时</w:t>
      </w:r>
      <w:r>
        <w:rPr/>
        <w:t>广东弘业建设项目管理有限公司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周工</w:t>
      </w:r>
    </w:p>
    <w:p>
      <w:pPr>
        <w:ind w:firstLine="480"/>
      </w:pPr>
      <w:r>
        <w:rPr/>
        <w:t>电话：</w:t>
      </w:r>
      <w:r>
        <w:rPr/>
        <w:t>0660-6999948</w:t>
      </w:r>
    </w:p>
    <w:p>
      <w:pPr>
        <w:ind w:firstLine="480"/>
      </w:pPr>
      <w:r>
        <w:rPr/>
        <w:t>传真：</w:t>
      </w:r>
      <w:r>
        <w:rPr/>
        <w:t>0660-6999948</w:t>
      </w:r>
    </w:p>
    <w:p>
      <w:pPr>
        <w:ind w:firstLine="480"/>
      </w:pPr>
      <w:r>
        <w:rPr/>
        <w:t>邮箱：</w:t>
      </w:r>
      <w:r>
        <w:rPr/>
        <w:t>HYGS99948@163.com</w:t>
      </w:r>
    </w:p>
    <w:p>
      <w:pPr>
        <w:ind w:firstLine="480"/>
      </w:pPr>
      <w:r>
        <w:rPr/>
        <w:t>地址：</w:t>
      </w:r>
      <w:r>
        <w:rPr/>
        <w:t>海丰县海城镇海银公路西侧叠翠名城B座505-1号</w:t>
      </w:r>
    </w:p>
    <w:p>
      <w:pPr>
        <w:ind w:firstLine="480"/>
      </w:pPr>
      <w:r>
        <w:rPr/>
        <w:t>邮编：</w:t>
      </w:r>
      <w:r>
        <w:rPr/>
        <w:t>516400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政府采购监督管理机构名称：海丰县政府采购管理办公室</w:t>
      </w:r>
    </w:p>
    <w:p>
      <w:r>
        <w:rPr/>
        <w:t>地  址：广东省海丰县海城镇海银路</w:t>
      </w:r>
    </w:p>
    <w:p>
      <w:r>
        <w:rPr/>
        <w:t>电  话：0660-6626029</w:t>
      </w:r>
    </w:p>
    <w:p>
      <w:r>
        <w:rPr/>
        <w:t>邮  编：516600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采购包1(海丰县2023 年林业有害生物防治项目)：综合评分法,是指响应文件满足磋商文件全部实质性要求，且按照评审因素的量化指标评审得分最高的投标人为成交候选人的评标方法。（最低报价不是成交的唯一依据。）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广东弘业建设项目管理有限公司</w:t>
      </w:r>
      <w:r>
        <w:rPr/>
        <w:t>统一对外发布。</w:t>
      </w:r>
    </w:p>
    <w:p>
      <w:pPr>
        <w:ind w:firstLine="480"/>
      </w:pPr>
      <w:r>
        <w:rPr/>
        <w:t>（2）对</w:t>
      </w:r>
      <w:r>
        <w:rPr/>
        <w:t>广东弘业建设项目管理有限公司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采购包1（海丰县2023 年林业有害生物防治项目）：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采购包1（海丰县2023 年林业有害生物防治项目）：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2023年任意1个月依法缴纳税收和社会保障资金的相关材料。如依法免税或不需要缴纳社会保障资金的，提供相应证明材料。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 。（提供2022年度财务状况报告或财务报表或基本开户行出具的资信证明）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tc>
      </w:tr>
      <w:tr>
        <w:tc>
          <w:tcPr>
            <w:tcW w:type="dxa" w:w="890"/>
          </w:tcPr>
          <w:p>
            <w:r>
              <w:rPr/>
              <w:t>4</w:t>
            </w:r>
          </w:p>
        </w:tc>
        <w:tc>
          <w:tcPr>
            <w:tcW w:type="dxa" w:w="3178"/>
          </w:tcPr>
          <w:p>
            <w:r>
              <w:rPr/>
              <w:t>履行合同所必需的设备和专业技术能力</w:t>
            </w:r>
          </w:p>
        </w:tc>
        <w:tc>
          <w:tcPr>
            <w:tcW w:type="dxa" w:w="4238"/>
          </w:tcPr>
          <w:p>
            <w:r>
              <w:rPr/>
              <w:t>供应商必须具备设备及专业技术能力。（按投标（响应）文件格式填报设备及专业技术能力情况。）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tc>
      </w:tr>
      <w:tr>
        <w:tc>
          <w:tcPr>
            <w:tcW w:type="dxa" w:w="890"/>
          </w:tcPr>
          <w:p>
            <w:r>
              <w:rPr/>
              <w:t>5</w:t>
            </w:r>
          </w:p>
        </w:tc>
        <w:tc>
          <w:tcPr>
            <w:tcW w:type="dxa" w:w="3178"/>
          </w:tcPr>
          <w:p>
            <w:r>
              <w:rPr/>
              <w:t>参加采购活动前3年内，在经营活动中没有重大违法记录</w:t>
            </w:r>
          </w:p>
        </w:tc>
        <w:tc>
          <w:tcPr>
            <w:tcW w:type="dxa" w:w="4238"/>
          </w:tcPr>
          <w:p>
            <w:r>
              <w:rPr/>
              <w:t>重大违法记录，是指供应商因违法经营受到刑事处罚或者 责令停产停业、吊销许可证或者执照、较大数额罚款等行政处罚。（根据财库〔2022〕3号文，“较大数额罚款”认定为200万 元以上的罚款，法律、行政法规以及国务院有关部门明确规定相关领域“较大数额罚款”标准高于200万元的，从其规定）。  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tc>
      </w:tr>
      <w:tr>
        <w:tc>
          <w:tcPr>
            <w:tcW w:type="dxa" w:w="890"/>
          </w:tcPr>
          <w:p>
            <w:r>
              <w:rPr/>
              <w:t>6</w:t>
            </w:r>
          </w:p>
        </w:tc>
        <w:tc>
          <w:tcPr>
            <w:tcW w:type="dxa" w:w="3178"/>
          </w:tcPr>
          <w:p>
            <w:r>
              <w:rPr/>
              <w:t>信用记录</w:t>
            </w:r>
          </w:p>
        </w:tc>
        <w:tc>
          <w:tcPr>
            <w:tcW w:type="dxa" w:w="4238"/>
          </w:tcPr>
          <w:p>
            <w:r>
              <w:rPr/>
              <w:t>信用记录：根据《财政部关于在政府采购活动中查询及使用信用记录有关问题的通知》，在投标截止时间前将通过“中国政府采购网”（www.ccgp.gov.cn）渠道查询政府采购严重违法失信行为记录名单；通过“信用中国”网站（www.creditchina.gov.cn）渠道查询相关主体信用记录，对列入失信被执行人、重大税收违法案件当事人名单、及其他不符合《中华人民共和国政府采购法》第二十二条规定条件的供应商，拒绝其参与政府采购活动。（供应商提供查询信息截图，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供应商必须符合法律、行政法规规定的其他条件：单位负责人为同一人或者存在直接控股、管理关系的不同供应商。为本项目提供整体设计、规范编制或者项目管理、监理、检测等服务的供应商，不得同时参加本采购项目（或采购包）投标（响应）。注：供应商在投标(响应)时，按规定提供信用承诺函，无需上述证明材料（政府采购供应商信用承诺函见附件）。供应商未提供资格信用承诺的，应当按规定提供上述证明材料。采购人有权在发放中标通知书前要求中标(成交)供应商提供证明材料，以备核实供应商承诺事项的真实性。</w:t>
            </w:r>
          </w:p>
        </w:tc>
      </w:tr>
      <w:tr>
        <w:tc>
          <w:tcPr>
            <w:tcW w:type="dxa" w:w="890"/>
          </w:tcPr>
          <w:p>
            <w:r>
              <w:rPr/>
              <w:t>8</w:t>
            </w:r>
          </w:p>
        </w:tc>
        <w:tc>
          <w:tcPr>
            <w:tcW w:type="dxa" w:w="3178"/>
          </w:tcPr>
          <w:p>
            <w:r>
              <w:rPr/>
              <w:t>特定资格要求：</w:t>
            </w:r>
          </w:p>
        </w:tc>
        <w:tc>
          <w:tcPr>
            <w:tcW w:type="dxa" w:w="4238"/>
          </w:tcPr>
          <w:p>
            <w:r>
              <w:rPr/>
              <w:t>供应商须具备有效的《林业有害生物防治组织》资质证书丙级或以上资质。</w:t>
            </w:r>
          </w:p>
        </w:tc>
      </w:tr>
      <w:tr>
        <w:tc>
          <w:tcPr>
            <w:tcW w:type="dxa" w:w="890"/>
          </w:tcPr>
          <w:p>
            <w:r>
              <w:rPr/>
              <w:t>9</w:t>
            </w:r>
          </w:p>
        </w:tc>
        <w:tc>
          <w:tcPr>
            <w:tcW w:type="dxa" w:w="3178"/>
          </w:tcPr>
          <w:p>
            <w:r>
              <w:rPr/>
              <w:t>本采购包专门面向中小企业采购</w:t>
            </w:r>
          </w:p>
        </w:tc>
        <w:tc>
          <w:tcPr>
            <w:tcW w:type="dxa" w:w="4238"/>
          </w:tcPr>
          <w:p>
            <w:r>
              <w:rPr/>
              <w:t>本项目整体专门面向中小型企业。供应商须为符合本项目采购标的对应行业划分标准的中小企业（监狱企业、残疾人福利单位视同小型、微型企业）。注：中小企业以供应商 填写的《中小企业声明函》（见响应文件格式与要求）为判定标准，残疾人福利性单位以供应商填写的《残疾人福利性单位声明函》（见响应文件格式与要求）为判定标准，监狱企业须供应商提供由省级以上监狱管理局、戒毒管理局（含新疆生产建设兵团）出具的属于监狱企业的证明文件，否则不予认定。同时落实《财政部 发展改革委 生态环境部 市场监管总局关于调整优化节能产品、环境标志产品政府采购执行机制的通知》（财库〔2019〕9 号）、《国家乡村振兴局关于运用政府采购政策支持乡村产业振兴的通知》财库〔2021〕19号文件相关政策等。</w:t>
            </w:r>
          </w:p>
        </w:tc>
      </w:tr>
    </w:tbl>
    <w:p/>
    <w:p>
      <w:pPr>
        <w:ind w:firstLine="480"/>
      </w:pPr>
      <w:r>
        <w:rPr/>
        <w:t>表二符合性审查表：</w:t>
      </w:r>
    </w:p>
    <w:p>
      <w:pPr>
        <w:ind w:firstLine="480"/>
      </w:pPr>
    </w:p>
    <w:p/>
    <w:p>
      <w:r>
        <w:rPr/>
        <w:t>采购包1（海丰县2023 年林业有害生物防治项目）：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响应承诺函</w:t>
            </w:r>
          </w:p>
        </w:tc>
        <w:tc>
          <w:tcPr>
            <w:tcW w:type="dxa" w:w="4238"/>
          </w:tcPr>
          <w:p>
            <w:r>
              <w:rPr/>
              <w:t>响应承诺函已提交并符合竞争性磋商文件要求的；</w:t>
            </w:r>
          </w:p>
        </w:tc>
      </w:tr>
      <w:tr>
        <w:tc>
          <w:tcPr>
            <w:tcW w:type="dxa" w:w="890"/>
          </w:tcPr>
          <w:p>
            <w:r>
              <w:rPr/>
              <w:t>2</w:t>
            </w:r>
          </w:p>
        </w:tc>
        <w:tc>
          <w:tcPr>
            <w:tcW w:type="dxa" w:w="3178"/>
          </w:tcPr>
          <w:p>
            <w:r>
              <w:rPr/>
              <w:t>签署、盖章</w:t>
            </w:r>
          </w:p>
        </w:tc>
        <w:tc>
          <w:tcPr>
            <w:tcW w:type="dxa" w:w="4238"/>
          </w:tcPr>
          <w:p>
            <w:r>
              <w:rPr/>
              <w:t>投标文件完整，并按要求签署、盖章；</w:t>
            </w:r>
          </w:p>
        </w:tc>
      </w:tr>
      <w:tr>
        <w:tc>
          <w:tcPr>
            <w:tcW w:type="dxa" w:w="890"/>
          </w:tcPr>
          <w:p>
            <w:r>
              <w:rPr/>
              <w:t>3</w:t>
            </w:r>
          </w:p>
        </w:tc>
        <w:tc>
          <w:tcPr>
            <w:tcW w:type="dxa" w:w="3178"/>
          </w:tcPr>
          <w:p>
            <w:r>
              <w:rPr/>
              <w:t>实质性响应</w:t>
            </w:r>
          </w:p>
        </w:tc>
        <w:tc>
          <w:tcPr>
            <w:tcW w:type="dxa" w:w="4238"/>
          </w:tcPr>
          <w:p>
            <w:r>
              <w:rPr/>
              <w:t>满足磋商文件中的★条款（如有）；</w:t>
            </w:r>
          </w:p>
        </w:tc>
      </w:tr>
      <w:tr>
        <w:tc>
          <w:tcPr>
            <w:tcW w:type="dxa" w:w="890"/>
          </w:tcPr>
          <w:p>
            <w:r>
              <w:rPr/>
              <w:t>4</w:t>
            </w:r>
          </w:p>
        </w:tc>
        <w:tc>
          <w:tcPr>
            <w:tcW w:type="dxa" w:w="3178"/>
          </w:tcPr>
          <w:p>
            <w:r>
              <w:rPr/>
              <w:t>报价</w:t>
            </w:r>
          </w:p>
        </w:tc>
        <w:tc>
          <w:tcPr>
            <w:tcW w:type="dxa" w:w="4238"/>
          </w:tcPr>
          <w:p>
            <w:r>
              <w:rPr/>
              <w:t>报价未超过本项目采购预算的；</w:t>
            </w:r>
          </w:p>
        </w:tc>
      </w:tr>
      <w:tr>
        <w:tc>
          <w:tcPr>
            <w:tcW w:type="dxa" w:w="890"/>
          </w:tcPr>
          <w:p>
            <w:r>
              <w:rPr/>
              <w:t>5</w:t>
            </w:r>
          </w:p>
        </w:tc>
        <w:tc>
          <w:tcPr>
            <w:tcW w:type="dxa" w:w="3178"/>
          </w:tcPr>
          <w:p>
            <w:r>
              <w:rPr/>
              <w:t>响应有效期</w:t>
            </w:r>
          </w:p>
        </w:tc>
        <w:tc>
          <w:tcPr>
            <w:tcW w:type="dxa" w:w="4238"/>
          </w:tcPr>
          <w:p>
            <w:r>
              <w:rPr/>
              <w:t>响应有效期满足磋商文件要求。</w:t>
            </w:r>
          </w:p>
        </w:tc>
      </w:tr>
      <w:tr>
        <w:tc>
          <w:tcPr>
            <w:tcW w:type="dxa" w:w="890"/>
          </w:tcPr>
          <w:p>
            <w:r>
              <w:rPr/>
              <w:t>6</w:t>
            </w:r>
          </w:p>
        </w:tc>
        <w:tc>
          <w:tcPr>
            <w:tcW w:type="dxa" w:w="3178"/>
          </w:tcPr>
          <w:p>
            <w:r>
              <w:rPr/>
              <w:t>其他情形</w:t>
            </w:r>
          </w:p>
        </w:tc>
        <w:tc>
          <w:tcPr>
            <w:tcW w:type="dxa" w:w="4238"/>
          </w:tcPr>
          <w:p>
            <w:r>
              <w:rPr/>
              <w:t>响应文件没有法律、法规规定的其他无效情形；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采购包1(海丰县2023 年林业有害生物防治项目):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技术部分45.0分</w:t>
            </w:r>
          </w:p>
          <w:p>
            <w:r>
              <w:rPr/>
              <w:t>报价得分20.0分</w:t>
            </w:r>
          </w:p>
        </w:tc>
      </w:tr>
      <w:tr>
        <w:tc>
          <w:tcPr>
            <w:tcW w:type="dxa" w:w="922"/>
            <w:gridSpan w:val="2"/>
            <w:vMerge w:val="restart"/>
          </w:tcPr>
          <w:p>
            <w:pPr>
              <w:jc w:val="center"/>
            </w:pPr>
            <w:r>
              <w:rPr/>
              <w:t>技术部分</w:t>
            </w:r>
          </w:p>
        </w:tc>
        <w:tc>
          <w:tcPr>
            <w:tcW w:type="dxa" w:w="2307"/>
          </w:tcPr>
          <w:p>
            <w:pPr>
              <w:jc w:val="left"/>
            </w:pPr>
            <w:r>
              <w:rPr/>
              <w:t>项目实施组织情况 (18.0分)</w:t>
            </w:r>
            <w:r>
              <w:rPr/>
              <w:t>，（等次分值选择：</w:t>
            </w:r>
            <w:r>
              <w:rPr/>
              <w:t>0.0;</w:t>
            </w:r>
            <w:r>
              <w:rPr/>
              <w:t>3.0;</w:t>
            </w:r>
            <w:r>
              <w:rPr/>
              <w:t>8.0;</w:t>
            </w:r>
            <w:r>
              <w:rPr/>
              <w:t>13.0;</w:t>
            </w:r>
            <w:r>
              <w:rPr/>
              <w:t>18.0;</w:t>
            </w:r>
            <w:r>
              <w:rPr/>
              <w:t>）</w:t>
            </w:r>
          </w:p>
        </w:tc>
        <w:tc>
          <w:tcPr>
            <w:tcW w:type="dxa" w:w="5076"/>
          </w:tcPr>
          <w:p>
            <w:pPr>
              <w:jc w:val="left"/>
            </w:pPr>
            <w:r>
              <w:rPr/>
              <w:t>根据各投标人的对本次项目的整体技术方案说明和组织实施服务作业的完整性、安全性、针对性、可行性、计划安排及重点与难点分析并提出合理化建议等进行综合评价。 1.整体技术方案说明和组织实施服务作业的完整性、安全性、针对性、可行性、计划安排及重点与难点分析非常合理；得18分， 2.整体技术方案说明和组织实施服务作业的完整性、安全性、针对性、可行性、计划安排及重点与难点分析 合理； 得13分， 3.整体技术方案说明和组织实施服务作业的完整性、安全性、针对性、可行性、计划安排及重点与难点分析一般合理；得8分， 4.整体技术方案说明和组织实施服务作业的完整性、安全性、针对性、可行性、计划安排及重点与难点分析差；得3分， 注：未提供不得分。</w:t>
            </w:r>
          </w:p>
        </w:tc>
      </w:tr>
      <w:tr>
        <w:tc>
          <w:tcPr>
            <w:tcW w:type="dxa" w:w="922"/>
            <w:gridSpan w:val="2"/>
            <w:vMerge/>
          </w:tcPr>
          <w:p/>
        </w:tc>
        <w:tc>
          <w:tcPr>
            <w:tcW w:type="dxa" w:w="2307"/>
          </w:tcPr>
          <w:p>
            <w:pPr>
              <w:jc w:val="left"/>
            </w:pPr>
            <w:r>
              <w:rPr/>
              <w:t>防治方案 (12.0分)</w:t>
            </w:r>
            <w:r>
              <w:rPr/>
              <w:t>，（等次分值选择：</w:t>
            </w:r>
            <w:r>
              <w:rPr/>
              <w:t>0.0;</w:t>
            </w:r>
            <w:r>
              <w:rPr/>
              <w:t>1.0;</w:t>
            </w:r>
            <w:r>
              <w:rPr/>
              <w:t>4.0;</w:t>
            </w:r>
            <w:r>
              <w:rPr/>
              <w:t>8.0;</w:t>
            </w:r>
            <w:r>
              <w:rPr/>
              <w:t>12.0;</w:t>
            </w:r>
            <w:r>
              <w:rPr/>
              <w:t>）</w:t>
            </w:r>
          </w:p>
        </w:tc>
        <w:tc>
          <w:tcPr>
            <w:tcW w:type="dxa" w:w="5076"/>
          </w:tcPr>
          <w:p>
            <w:pPr>
              <w:jc w:val="left"/>
            </w:pPr>
            <w:r>
              <w:rPr/>
              <w:t>根据投标人提供的项目整体防治方案 (进度控制措施等) 进行评分 ：   1.防治方案详细完整、可行性高的，得12分；  2.防治方案基本详细完整，可行性满足项目基本需要的，得8分  3.防治方案不够详细完整，可行性不足的，得4分；  4.防治方案不完整、不可行的，得1分； 注：未提供不得分。</w:t>
            </w:r>
          </w:p>
        </w:tc>
      </w:tr>
      <w:tr>
        <w:tc>
          <w:tcPr>
            <w:tcW w:type="dxa" w:w="922"/>
            <w:gridSpan w:val="2"/>
            <w:vMerge/>
          </w:tcPr>
          <w:p/>
        </w:tc>
        <w:tc>
          <w:tcPr>
            <w:tcW w:type="dxa" w:w="2307"/>
          </w:tcPr>
          <w:p>
            <w:pPr>
              <w:jc w:val="left"/>
            </w:pPr>
            <w:r>
              <w:rPr/>
              <w:t>项目质量保证措施 (10.0分)</w:t>
            </w:r>
            <w:r>
              <w:rPr/>
              <w:t>，（等次分值选择：</w:t>
            </w:r>
            <w:r>
              <w:rPr/>
              <w:t>0.0;</w:t>
            </w:r>
            <w:r>
              <w:rPr/>
              <w:t>1.0;</w:t>
            </w:r>
            <w:r>
              <w:rPr/>
              <w:t>4.0;</w:t>
            </w:r>
            <w:r>
              <w:rPr/>
              <w:t>7.0;</w:t>
            </w:r>
            <w:r>
              <w:rPr/>
              <w:t>10.0;</w:t>
            </w:r>
            <w:r>
              <w:rPr/>
              <w:t>）</w:t>
            </w:r>
          </w:p>
        </w:tc>
        <w:tc>
          <w:tcPr>
            <w:tcW w:type="dxa" w:w="5076"/>
          </w:tcPr>
          <w:p>
            <w:pPr>
              <w:jc w:val="left"/>
            </w:pPr>
            <w:r>
              <w:rPr/>
              <w:t>据投标人提供的质量保证及措施进行评审：  1.质量保证及措施详细完整、 科学合理、可行性高，得 10分；   2.质量保证体系及措施较详细完整、较科学合理、可行性较高，得 7分；   3.质量保证体系及措施基本详细完整、 基本科学合理、可行性一般，得 4 分；   4.质量保证体系及措施不够详细完整、不够科学合理、可行性较差，得 1分；  注：未提供不得分。</w:t>
            </w:r>
          </w:p>
        </w:tc>
      </w:tr>
      <w:tr>
        <w:tc>
          <w:tcPr>
            <w:tcW w:type="dxa" w:w="922"/>
            <w:gridSpan w:val="2"/>
            <w:vMerge/>
          </w:tcPr>
          <w:p/>
        </w:tc>
        <w:tc>
          <w:tcPr>
            <w:tcW w:type="dxa" w:w="2307"/>
          </w:tcPr>
          <w:p>
            <w:pPr>
              <w:jc w:val="left"/>
            </w:pPr>
            <w:r>
              <w:rPr/>
              <w:t>后续服务承诺 (5.0分)</w:t>
            </w:r>
            <w:r>
              <w:rPr/>
              <w:t>，（等次分值选择：</w:t>
            </w:r>
            <w:r>
              <w:rPr/>
              <w:t>0.0;</w:t>
            </w:r>
            <w:r>
              <w:rPr/>
              <w:t>1.0;</w:t>
            </w:r>
            <w:r>
              <w:rPr/>
              <w:t>3.0;</w:t>
            </w:r>
            <w:r>
              <w:rPr/>
              <w:t>5.0;</w:t>
            </w:r>
            <w:r>
              <w:rPr/>
              <w:t>）</w:t>
            </w:r>
          </w:p>
        </w:tc>
        <w:tc>
          <w:tcPr>
            <w:tcW w:type="dxa" w:w="5076"/>
          </w:tcPr>
          <w:p>
            <w:pPr>
              <w:jc w:val="left"/>
            </w:pPr>
            <w:r>
              <w:rPr/>
              <w:t>据供投标人对本项目后续服务方案 (响应时间、到场时间、人员安排、服务承诺等) 进行评分： 1.服务方案完整、详细，适用性、可行性强，得5分 ； 2.服务方案有细微瑕疵，适用性、可行性一般，得3分；  3.服务方案有严重缺陷，适用性、可行性较差，得1分；  注：未提供不得分。</w:t>
            </w:r>
          </w:p>
        </w:tc>
      </w:tr>
      <w:tr>
        <w:tc>
          <w:tcPr>
            <w:tcW w:type="dxa" w:w="922"/>
            <w:gridSpan w:val="2"/>
            <w:vMerge w:val="restart"/>
          </w:tcPr>
          <w:p>
            <w:pPr>
              <w:jc w:val="center"/>
            </w:pPr>
            <w:r>
              <w:rPr/>
              <w:t>商务部分</w:t>
            </w:r>
          </w:p>
        </w:tc>
        <w:tc>
          <w:tcPr>
            <w:tcW w:type="dxa" w:w="2307"/>
          </w:tcPr>
          <w:p>
            <w:pPr>
              <w:jc w:val="left"/>
            </w:pPr>
            <w:r>
              <w:rPr/>
              <w:t>项目业绩 (10.0分)</w:t>
            </w:r>
          </w:p>
        </w:tc>
        <w:tc>
          <w:tcPr>
            <w:tcW w:type="dxa" w:w="5076"/>
          </w:tcPr>
          <w:p>
            <w:pPr>
              <w:jc w:val="left"/>
            </w:pPr>
            <w:r>
              <w:rPr/>
              <w:t>2020年至今完成过的同类项目业绩：提供1个得5分，本项最高得 10分 。  注：需提供项目业绩的中标通知书、合同和竣工验收表复印件作为证明文件，少提供或未提供不得分。</w:t>
            </w:r>
          </w:p>
        </w:tc>
      </w:tr>
      <w:tr>
        <w:tc>
          <w:tcPr>
            <w:tcW w:type="dxa" w:w="922"/>
            <w:gridSpan w:val="2"/>
            <w:vMerge/>
          </w:tcPr>
          <w:p/>
        </w:tc>
        <w:tc>
          <w:tcPr>
            <w:tcW w:type="dxa" w:w="2307"/>
          </w:tcPr>
          <w:p>
            <w:pPr>
              <w:jc w:val="left"/>
            </w:pPr>
            <w:r>
              <w:rPr/>
              <w:t>拟以投入本项目主要人员 (10.0分)</w:t>
            </w:r>
          </w:p>
        </w:tc>
        <w:tc>
          <w:tcPr>
            <w:tcW w:type="dxa" w:w="5076"/>
          </w:tcPr>
          <w:p>
            <w:pPr>
              <w:jc w:val="left"/>
            </w:pPr>
            <w:r>
              <w:rPr/>
              <w:t>1.拟以投入本项目的负责人和技术负责人：本项最高得10分。   项目负责人具有林业工程师高级职称或以上得5分； 项目负责人具有林业工程师中级职称 得3分；  项目技术人具有林业工程师中级职称或以上得5分； 项目技术人具有林业助理工程师 得3分； 注：本项目的负责人和技术负责人各提供1名，上述要求须提供人员二代身份证、职称证书和在本供应商购买近6个月任意1个月的社保证明复印件材料并加盖公章 (如是退休返聘人员，则提供退休证明及聘用合同) ，否则不得分。</w:t>
            </w:r>
          </w:p>
        </w:tc>
      </w:tr>
      <w:tr>
        <w:tc>
          <w:tcPr>
            <w:tcW w:type="dxa" w:w="922"/>
            <w:gridSpan w:val="2"/>
            <w:vMerge/>
          </w:tcPr>
          <w:p/>
        </w:tc>
        <w:tc>
          <w:tcPr>
            <w:tcW w:type="dxa" w:w="2307"/>
          </w:tcPr>
          <w:p>
            <w:pPr>
              <w:jc w:val="left"/>
            </w:pPr>
            <w:r>
              <w:rPr/>
              <w:t>拟以投入本项目的其他专业人员  (15.0分)</w:t>
            </w:r>
          </w:p>
        </w:tc>
        <w:tc>
          <w:tcPr>
            <w:tcW w:type="dxa" w:w="5076"/>
          </w:tcPr>
          <w:p>
            <w:pPr>
              <w:jc w:val="left"/>
            </w:pPr>
            <w:r>
              <w:rPr/>
              <w:t>拟以投入本项目的其他专业人员专业情况:本项最高得15分。  1.除项目负责人和技术负责人外，具有《森林病虫防治员5级》证书或以上或《林业有害生物防治》专业技能培训证书 ，每提供一个人得3分。  注：上述要求须提供人员二代身份证、证书、和在本供应商购买近6个月任意1个月的社保证明复印件材料并加盖公章，否则不得分。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441521-2023-02357</w:t>
      </w:r>
    </w:p>
    <w:p>
      <w:pPr>
        <w:jc w:val="center"/>
      </w:pPr>
      <w:r>
        <w:rPr>
          <w:b/>
          <w:sz w:val="24"/>
        </w:rPr>
        <w:t>采购项目编号：</w:t>
      </w:r>
      <w:r>
        <w:rPr>
          <w:b/>
          <w:sz w:val="24"/>
        </w:rPr>
        <w:t>GDHYCG20230907</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广东弘业建设项目管理有限公司</w:t>
      </w:r>
    </w:p>
    <w:p>
      <w:pPr>
        <w:ind w:firstLine="480"/>
      </w:pPr>
      <w:r>
        <w:rPr/>
        <w:t>你方组织的</w:t>
      </w:r>
      <w:r>
        <w:rPr>
          <w:u w:val="single"/>
        </w:rPr>
        <w:t>“</w:t>
      </w:r>
      <w:r>
        <w:rPr>
          <w:u w:val="single"/>
        </w:rPr>
        <w:t>海丰县2023年林业有害生物防治项目</w:t>
      </w:r>
      <w:r>
        <w:rPr>
          <w:u w:val="single"/>
        </w:rPr>
        <w:t>”</w:t>
      </w:r>
      <w:r>
        <w:rPr/>
        <w:t>项目的竞争性磋商[采购项目编号为：</w:t>
      </w:r>
      <w:r>
        <w:rPr>
          <w:u w:val="single"/>
        </w:rPr>
        <w:t>GDHYCG20230907</w:t>
      </w:r>
      <w:r>
        <w:rPr/>
        <w:t>]，我方愿参与响应。</w:t>
      </w:r>
    </w:p>
    <w:p>
      <w:pPr>
        <w:ind w:firstLine="480"/>
      </w:pPr>
      <w:r>
        <w:rPr/>
        <w:t>我方确认收到贵方提供的</w:t>
      </w:r>
      <w:r>
        <w:rPr>
          <w:u w:val="single"/>
        </w:rPr>
        <w:t>“</w:t>
      </w:r>
      <w:r>
        <w:rPr>
          <w:u w:val="single"/>
        </w:rPr>
        <w:t>海丰县2023年林业有害生物防治项目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广东弘业建设项目管理有限公司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海丰县2023年林业有害生物防治项目</w:t>
      </w:r>
      <w:r>
        <w:rPr/>
        <w:t>”项目采购[采购项目编号为</w:t>
      </w:r>
      <w:r>
        <w:rPr/>
        <w:t>GDHYCG20230907</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海丰县林业局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广东弘业建设项目管理有限公司</w:t>
      </w:r>
    </w:p>
    <w:p>
      <w:pPr>
        <w:ind w:firstLine="480"/>
      </w:pPr>
      <w:r>
        <w:rPr/>
        <w:t>我单位参加贵公司组织的</w:t>
      </w:r>
      <w:r>
        <w:rPr/>
        <w:t>海丰县2023年林业有害生物防治项目</w:t>
      </w:r>
      <w:r>
        <w:rPr/>
        <w:t>（采购项目编号：</w:t>
      </w:r>
      <w:r>
        <w:rPr/>
        <w:t>GDHYCG20230907</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广东弘业建设项目管理有限公司</w:t>
      </w:r>
    </w:p>
    <w:p>
      <w:pPr>
        <w:ind w:firstLine="480"/>
      </w:pPr>
      <w:r>
        <w:rPr/>
        <w:t>我单位已登记并准备参与“</w:t>
      </w:r>
      <w:r>
        <w:rPr/>
        <w:t>海丰县2023年林业有害生物防治项目</w:t>
      </w:r>
      <w:r>
        <w:rPr/>
        <w:t>”项目（采购项目编号：</w:t>
      </w:r>
      <w:r>
        <w:rPr/>
        <w:t>GDHYCG20230907</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bullet"/>
      <w:lvlText w:val="⚫"/>
      <w:lvlJc w:val="left"/>
      <w:pPr>
        <w:ind w:left="360"/>
      </w:pPr>
    </w:lvl>
    <w:lvl w:ilvl="2">
      <w:start w:val="1"/>
      <w:numFmt w:val="bullet"/>
      <w:lvlText w:val="⚫"/>
      <w:lvlJc w:val="left"/>
      <w:pPr>
        <w:ind w:left="720"/>
      </w:pPr>
    </w:lvl>
  </w:abstractNum>
  <w:abstractNum w:abstractNumId="1">
    <w:multiLevelType w:val="hybridMultilevel"/>
    <w:lvl w:ilvl="0">
      <w:start w:val="1"/>
      <w:numFmt w:val="bullet"/>
      <w:lvlText w:val="⚫"/>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