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BD" w:rsidRPr="00CF0616" w:rsidRDefault="00FE555C" w:rsidP="00CF0616">
      <w:pPr>
        <w:spacing w:line="520" w:lineRule="exact"/>
        <w:ind w:firstLineChars="150" w:firstLine="660"/>
        <w:jc w:val="center"/>
        <w:rPr>
          <w:rFonts w:ascii="方正小标宋_GBK" w:eastAsia="方正小标宋_GBK"/>
          <w:sz w:val="44"/>
          <w:szCs w:val="44"/>
        </w:rPr>
      </w:pPr>
      <w:r w:rsidRPr="00CF0616">
        <w:rPr>
          <w:rFonts w:ascii="方正小标宋_GBK" w:eastAsia="方正小标宋_GBK" w:hint="eastAsia"/>
          <w:sz w:val="44"/>
          <w:szCs w:val="44"/>
        </w:rPr>
        <w:t>铜仁市人民医院</w:t>
      </w:r>
    </w:p>
    <w:p w:rsidR="00230EBD" w:rsidRPr="00CF0616" w:rsidRDefault="00FE555C" w:rsidP="00CF0616">
      <w:pPr>
        <w:spacing w:line="520" w:lineRule="exact"/>
        <w:ind w:firstLineChars="150" w:firstLine="660"/>
        <w:jc w:val="center"/>
        <w:rPr>
          <w:rFonts w:ascii="方正小标宋_GBK" w:eastAsia="方正小标宋_GBK"/>
          <w:sz w:val="44"/>
          <w:szCs w:val="44"/>
        </w:rPr>
      </w:pPr>
      <w:proofErr w:type="gramStart"/>
      <w:r w:rsidRPr="00CF0616">
        <w:rPr>
          <w:rFonts w:ascii="方正小标宋_GBK" w:eastAsia="方正小标宋_GBK" w:hint="eastAsia"/>
          <w:sz w:val="44"/>
          <w:szCs w:val="44"/>
        </w:rPr>
        <w:t>灭</w:t>
      </w:r>
      <w:proofErr w:type="gramEnd"/>
      <w:r w:rsidRPr="00CF0616">
        <w:rPr>
          <w:rFonts w:ascii="方正小标宋_GBK" w:eastAsia="方正小标宋_GBK" w:hint="eastAsia"/>
          <w:sz w:val="44"/>
          <w:szCs w:val="44"/>
        </w:rPr>
        <w:t>蚊蝇、灭蟑螂、灭鼠防治要求及参数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CF0616">
        <w:rPr>
          <w:rFonts w:asciiTheme="minorEastAsia" w:eastAsiaTheme="minorEastAsia" w:hAnsiTheme="minorEastAsia"/>
          <w:sz w:val="28"/>
          <w:szCs w:val="28"/>
          <w:lang w:val="zh-TW"/>
        </w:rPr>
        <w:t>为提高环境卫生质量，有效</w:t>
      </w:r>
      <w:r w:rsidRPr="00CF0616">
        <w:rPr>
          <w:rFonts w:asciiTheme="minorEastAsia" w:eastAsiaTheme="minorEastAsia" w:hAnsiTheme="minorEastAsia" w:hint="eastAsia"/>
          <w:sz w:val="28"/>
          <w:szCs w:val="28"/>
          <w:lang w:val="zh-TW"/>
        </w:rPr>
        <w:t>控制有害生物，从根本上防止病媒及疫源性疾病的发生与传播，公开招标病媒生物防制服务。</w:t>
      </w:r>
    </w:p>
    <w:p w:rsidR="00230EBD" w:rsidRPr="00CF0616" w:rsidRDefault="00FE555C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b/>
          <w:sz w:val="28"/>
          <w:szCs w:val="28"/>
        </w:rPr>
        <w:t>一、服务范围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1．门诊科技大楼及周边绿化带。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2．住院大楼、内科楼、传染科、教研楼及周边绿化带。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3．儿童医院、健康管理体检中心及周边绿化带。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4．肿瘤中心及周边绿化带。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5．行政大楼及周边绿化带。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6．污水处理站及附近。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7．生活垃圾转运点、医疗废物暂存点。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8．洗衣房、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规培楼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内外，食堂外围。</w:t>
      </w:r>
    </w:p>
    <w:p w:rsidR="00230EBD" w:rsidRDefault="00FE555C">
      <w:pPr>
        <w:spacing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9．医院范围内阴沟、下水道、窨井。</w:t>
      </w:r>
    </w:p>
    <w:p w:rsidR="00F54B1C" w:rsidRPr="00F54B1C" w:rsidRDefault="00F54B1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10.新建科研大楼、学生宿舍及在建洗衣房。</w:t>
      </w:r>
    </w:p>
    <w:p w:rsidR="00230EBD" w:rsidRPr="00CF0616" w:rsidRDefault="00F54B1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FE555C" w:rsidRPr="00CF0616">
        <w:rPr>
          <w:rFonts w:asciiTheme="minorEastAsia" w:eastAsiaTheme="minorEastAsia" w:hAnsiTheme="minorEastAsia" w:hint="eastAsia"/>
          <w:sz w:val="28"/>
          <w:szCs w:val="28"/>
        </w:rPr>
        <w:t>．所有地下停车场。</w:t>
      </w:r>
      <w:bookmarkStart w:id="0" w:name="_GoBack"/>
      <w:bookmarkEnd w:id="0"/>
    </w:p>
    <w:p w:rsidR="00CF0616" w:rsidRPr="00CF0616" w:rsidRDefault="00FE555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b/>
          <w:sz w:val="28"/>
          <w:szCs w:val="28"/>
        </w:rPr>
        <w:t>二、服务时间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F0616" w:rsidRPr="00CF0616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年，预算价：</w:t>
      </w:r>
      <w:r w:rsidR="00CF0616" w:rsidRPr="00CF0616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4C4C9B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000</w:t>
      </w:r>
      <w:r w:rsidR="00D13819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元/年</w:t>
      </w:r>
      <w:r w:rsidR="00D1381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30EBD" w:rsidRPr="00CF0616" w:rsidRDefault="00FE555C" w:rsidP="00CF0616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proofErr w:type="gramStart"/>
      <w:r w:rsidRPr="00CF0616">
        <w:rPr>
          <w:rFonts w:asciiTheme="minorEastAsia" w:eastAsiaTheme="minorEastAsia" w:hAnsiTheme="minorEastAsia" w:hint="eastAsia"/>
          <w:b/>
          <w:sz w:val="28"/>
          <w:szCs w:val="28"/>
        </w:rPr>
        <w:t>鼠控要求</w:t>
      </w:r>
      <w:proofErr w:type="gramEnd"/>
      <w:r w:rsidR="00CF0616" w:rsidRPr="00CF0616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医院现有毒饵站300个，中标方需按创建办规范，定期投放鼠药，每周全方位检查，随吃随补；其他部位，如放射科等有贵重设备管线、鼠患严重的科室部门及公共地带，按实际情况及总务科的现场要求布置投放鼠药。</w:t>
      </w:r>
    </w:p>
    <w:p w:rsidR="00230EBD" w:rsidRPr="00CF0616" w:rsidRDefault="00FE555C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b/>
          <w:sz w:val="28"/>
          <w:szCs w:val="28"/>
        </w:rPr>
        <w:t>四、蚊类综合防制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1．环境治理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（1）清除各种容器积水、对缸、罐、瓶等各类积水容器采取清除或倒置，对医院内建筑垃圾，废砖、瓦、板材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类及时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清理。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（2）对盆景、喷水池等各种水体要经营换水或投灭蚊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蚴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生物制剂及各类绿化带内保持洁净，无杂物，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对洼池及时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填平。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（3）建筑物边走水沟渠及时疏通，清除积水和垃圾。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2．化学防治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（1）药物：0.03%奋斗呐，4.5%高效氯氰菊酯水乳剂、气雾剂、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倍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硫磷灭蚊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坳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缓释剂等。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（2）方法：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1）门诊科技大楼、住院楼、儿童医院、健康管理体验中心，肿瘤中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lastRenderedPageBreak/>
        <w:t>心等封闭性较好的建筑内用奋斗呐、氯氰、菊酯等药物使用超低空易喷物器雾化药水杀灭成虫。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2）地下停车场使用烟雾机雾化药水杀灭成虫。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3）工棚板房污水处理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站生活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垃圾转运点，医疗废物暂存点，阴沟用手提式高压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喷雾杀器进行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滞留喷洒灭成幼虫。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4）下水道、窨井用烟雾弹式定期投放灭蚊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幼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缓释剂杀灭成幼虫。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5）医院建筑外设立防护带，对周边绿化树、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草采用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环境治理为主，辅以化学防治的措施，药物为氯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氰药酯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、采用滞留喷洒或雾化药物的方式速杀成幼蚊。</w:t>
      </w:r>
    </w:p>
    <w:p w:rsidR="00230EBD" w:rsidRPr="00CF0616" w:rsidRDefault="00FE555C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b/>
          <w:sz w:val="28"/>
          <w:szCs w:val="28"/>
        </w:rPr>
        <w:t>五、蝇类、蟑螂综合防制，环境整治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1．整治绿化带、疏通阴阳沟、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涂除散露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垃圾、杂草、杂物等。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2．公共厕所、化粪池、果壳箱、垃圾箱、垃圾房、垃圾转运站等定期消杀。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3．推行垃圾袋装化，垃圾的存放密闭化，垃圾房和垃圾箱均加盖密闭，垃圾房内壁做到硬化、平整、光滑、垃圾日产清，果壳箱、垃圾房、垃圾箱、垃圾转运站、医疗废物暂存点及时清扫、冲洗、喷洒药物。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4．化学防治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主要防治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成蝇栖地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，如公共厕所、化粪池、垃圾房、垃圾转运站及建筑物的一楼。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（1）药品有0.03%奋斗钠、0.4%敌敌畏，灭蝇烟炮、气雾剂等。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（2）垃圾转运站、垃圾箱、公共厕所用奋斗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呐进行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滞留喷洒或用敌敌畏速杀。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（3）密闭好的场所用灭蝇烟炮杀灭成蝇。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（4）建立灭蝇防护带，对绿化树、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带采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用烟雾机定期杀灭成蝇，尽量使其少入或难入室内。</w:t>
      </w:r>
    </w:p>
    <w:p w:rsidR="00230EBD" w:rsidRDefault="00FE555C">
      <w:pPr>
        <w:spacing w:line="44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六、蚊、蝇、蟑螂控制程序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41"/>
        <w:gridCol w:w="3235"/>
      </w:tblGrid>
      <w:tr w:rsidR="00230EBD" w:rsidRPr="00CF0616">
        <w:trPr>
          <w:jc w:val="center"/>
        </w:trPr>
        <w:tc>
          <w:tcPr>
            <w:tcW w:w="2235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控制方法</w:t>
            </w:r>
          </w:p>
        </w:tc>
        <w:tc>
          <w:tcPr>
            <w:tcW w:w="2841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技术要点</w:t>
            </w:r>
          </w:p>
        </w:tc>
        <w:tc>
          <w:tcPr>
            <w:tcW w:w="3235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治理频度（3月-11月）</w:t>
            </w:r>
          </w:p>
        </w:tc>
      </w:tr>
      <w:tr w:rsidR="00230EBD" w:rsidRPr="00CF0616">
        <w:trPr>
          <w:jc w:val="center"/>
        </w:trPr>
        <w:tc>
          <w:tcPr>
            <w:tcW w:w="2235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滞留喷雾</w:t>
            </w:r>
          </w:p>
        </w:tc>
        <w:tc>
          <w:tcPr>
            <w:tcW w:w="2841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墙面滞留全面</w:t>
            </w:r>
            <w:proofErr w:type="gramStart"/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履盖</w:t>
            </w:r>
            <w:proofErr w:type="gramEnd"/>
          </w:p>
        </w:tc>
        <w:tc>
          <w:tcPr>
            <w:tcW w:w="3235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每月3次</w:t>
            </w:r>
          </w:p>
        </w:tc>
      </w:tr>
      <w:tr w:rsidR="00230EBD" w:rsidRPr="00CF0616">
        <w:trPr>
          <w:jc w:val="center"/>
        </w:trPr>
        <w:tc>
          <w:tcPr>
            <w:tcW w:w="2235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空间喷雾</w:t>
            </w:r>
          </w:p>
        </w:tc>
        <w:tc>
          <w:tcPr>
            <w:tcW w:w="2841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空间速杀</w:t>
            </w:r>
          </w:p>
        </w:tc>
        <w:tc>
          <w:tcPr>
            <w:tcW w:w="3235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每月2次</w:t>
            </w:r>
          </w:p>
        </w:tc>
      </w:tr>
      <w:tr w:rsidR="00230EBD" w:rsidRPr="00CF0616">
        <w:trPr>
          <w:jc w:val="center"/>
        </w:trPr>
        <w:tc>
          <w:tcPr>
            <w:tcW w:w="2235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缓释剂</w:t>
            </w:r>
          </w:p>
        </w:tc>
        <w:tc>
          <w:tcPr>
            <w:tcW w:w="2841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水体投放</w:t>
            </w:r>
          </w:p>
        </w:tc>
        <w:tc>
          <w:tcPr>
            <w:tcW w:w="3235" w:type="dxa"/>
          </w:tcPr>
          <w:p w:rsidR="00230EBD" w:rsidRPr="00CF0616" w:rsidRDefault="00FE555C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每月2次</w:t>
            </w:r>
          </w:p>
        </w:tc>
      </w:tr>
    </w:tbl>
    <w:p w:rsidR="00230EBD" w:rsidRPr="00CF0616" w:rsidRDefault="00FE555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 xml:space="preserve"> 12月至2月每月一次。</w:t>
      </w:r>
    </w:p>
    <w:p w:rsidR="00230EBD" w:rsidRDefault="00FE555C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七、药物器械一览表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1485"/>
        <w:gridCol w:w="1800"/>
        <w:gridCol w:w="3591"/>
      </w:tblGrid>
      <w:tr w:rsidR="00230EBD">
        <w:trPr>
          <w:trHeight w:val="362"/>
          <w:jc w:val="center"/>
        </w:trPr>
        <w:tc>
          <w:tcPr>
            <w:tcW w:w="2183" w:type="dxa"/>
          </w:tcPr>
          <w:p w:rsidR="00230EBD" w:rsidRDefault="00FE555C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品名</w:t>
            </w:r>
          </w:p>
        </w:tc>
        <w:tc>
          <w:tcPr>
            <w:tcW w:w="1485" w:type="dxa"/>
          </w:tcPr>
          <w:p w:rsidR="00230EBD" w:rsidRDefault="00FE555C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剂型</w:t>
            </w:r>
          </w:p>
        </w:tc>
        <w:tc>
          <w:tcPr>
            <w:tcW w:w="1800" w:type="dxa"/>
          </w:tcPr>
          <w:p w:rsidR="00230EBD" w:rsidRDefault="00FE555C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用途</w:t>
            </w:r>
          </w:p>
        </w:tc>
        <w:tc>
          <w:tcPr>
            <w:tcW w:w="3591" w:type="dxa"/>
          </w:tcPr>
          <w:p w:rsidR="00230EBD" w:rsidRDefault="00FE555C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使用区域</w:t>
            </w:r>
          </w:p>
        </w:tc>
      </w:tr>
      <w:tr w:rsidR="00230EBD" w:rsidRPr="00CF0616">
        <w:trPr>
          <w:trHeight w:val="380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顺式氯氰</w:t>
            </w:r>
            <w:proofErr w:type="gramEnd"/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菊酯</w:t>
            </w:r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悬浮剂</w:t>
            </w:r>
          </w:p>
        </w:tc>
        <w:tc>
          <w:tcPr>
            <w:tcW w:w="1800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蚊、蝇、蛾</w:t>
            </w:r>
          </w:p>
        </w:tc>
        <w:tc>
          <w:tcPr>
            <w:tcW w:w="3591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绿化带、院区、建筑物内</w:t>
            </w:r>
          </w:p>
        </w:tc>
      </w:tr>
      <w:tr w:rsidR="00230EBD" w:rsidRPr="00CF0616">
        <w:trPr>
          <w:trHeight w:val="362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氯氰菊酯</w:t>
            </w:r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悬浮剂</w:t>
            </w:r>
          </w:p>
        </w:tc>
        <w:tc>
          <w:tcPr>
            <w:tcW w:w="1800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蚊、蝇、蛾</w:t>
            </w:r>
          </w:p>
        </w:tc>
        <w:tc>
          <w:tcPr>
            <w:tcW w:w="3591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绿化带、院区、建筑物内</w:t>
            </w:r>
          </w:p>
        </w:tc>
      </w:tr>
      <w:tr w:rsidR="00230EBD" w:rsidRPr="00CF0616">
        <w:trPr>
          <w:trHeight w:val="380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高氯残杀威</w:t>
            </w:r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悬浮剂</w:t>
            </w:r>
          </w:p>
        </w:tc>
        <w:tc>
          <w:tcPr>
            <w:tcW w:w="1800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蚊、蝇、蛾</w:t>
            </w:r>
          </w:p>
        </w:tc>
        <w:tc>
          <w:tcPr>
            <w:tcW w:w="3591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绿化带、院区、建筑物内</w:t>
            </w:r>
          </w:p>
        </w:tc>
      </w:tr>
      <w:tr w:rsidR="00230EBD" w:rsidRPr="00CF0616">
        <w:trPr>
          <w:trHeight w:val="380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氯菊酯-氨菊酯</w:t>
            </w:r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悬浮剂</w:t>
            </w:r>
          </w:p>
        </w:tc>
        <w:tc>
          <w:tcPr>
            <w:tcW w:w="1800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蚊、蝇、蛾</w:t>
            </w:r>
          </w:p>
        </w:tc>
        <w:tc>
          <w:tcPr>
            <w:tcW w:w="3591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绿化带、院区、建筑物内</w:t>
            </w:r>
          </w:p>
        </w:tc>
      </w:tr>
      <w:tr w:rsidR="00230EBD" w:rsidRPr="00CF0616">
        <w:trPr>
          <w:trHeight w:val="362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高效氯氰菊酯</w:t>
            </w:r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水乳剂</w:t>
            </w:r>
          </w:p>
        </w:tc>
        <w:tc>
          <w:tcPr>
            <w:tcW w:w="1800" w:type="dxa"/>
          </w:tcPr>
          <w:p w:rsidR="00230EBD" w:rsidRPr="00CF0616" w:rsidRDefault="00230EB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91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外围</w:t>
            </w:r>
          </w:p>
        </w:tc>
      </w:tr>
      <w:tr w:rsidR="00230EBD" w:rsidRPr="00CF0616">
        <w:trPr>
          <w:trHeight w:val="362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品名</w:t>
            </w:r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用途</w:t>
            </w:r>
          </w:p>
        </w:tc>
        <w:tc>
          <w:tcPr>
            <w:tcW w:w="5391" w:type="dxa"/>
            <w:gridSpan w:val="2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使用区域</w:t>
            </w:r>
          </w:p>
        </w:tc>
      </w:tr>
      <w:tr w:rsidR="00230EBD" w:rsidRPr="00CF0616">
        <w:trPr>
          <w:trHeight w:val="380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小霸王手提喷枪</w:t>
            </w:r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滞留喷雾</w:t>
            </w:r>
          </w:p>
        </w:tc>
        <w:tc>
          <w:tcPr>
            <w:tcW w:w="5391" w:type="dxa"/>
            <w:gridSpan w:val="2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各大楼大厅、走廊、卫生间等</w:t>
            </w:r>
          </w:p>
        </w:tc>
      </w:tr>
      <w:tr w:rsidR="00230EBD" w:rsidRPr="00CF0616">
        <w:trPr>
          <w:trHeight w:val="362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“哈逊”</w:t>
            </w:r>
            <w:proofErr w:type="gramStart"/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手提喷抢</w:t>
            </w:r>
            <w:proofErr w:type="gramEnd"/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滞留喷雾</w:t>
            </w:r>
          </w:p>
        </w:tc>
        <w:tc>
          <w:tcPr>
            <w:tcW w:w="5391" w:type="dxa"/>
            <w:gridSpan w:val="2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各大楼大厅、走廊、卫生间等</w:t>
            </w:r>
          </w:p>
        </w:tc>
      </w:tr>
      <w:tr w:rsidR="00230EBD" w:rsidRPr="00CF0616">
        <w:trPr>
          <w:trHeight w:val="380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超低容易喷雾器</w:t>
            </w:r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超低量喷雾</w:t>
            </w:r>
          </w:p>
        </w:tc>
        <w:tc>
          <w:tcPr>
            <w:tcW w:w="5391" w:type="dxa"/>
            <w:gridSpan w:val="2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各大楼大厅、走廊、卫生间等</w:t>
            </w:r>
          </w:p>
        </w:tc>
      </w:tr>
      <w:tr w:rsidR="00230EBD" w:rsidRPr="00CF0616">
        <w:trPr>
          <w:trHeight w:val="380"/>
          <w:jc w:val="center"/>
        </w:trPr>
        <w:tc>
          <w:tcPr>
            <w:tcW w:w="2183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灭</w:t>
            </w:r>
            <w:proofErr w:type="gramEnd"/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蚊蝇</w:t>
            </w:r>
            <w:proofErr w:type="gramStart"/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烟炮机</w:t>
            </w:r>
            <w:proofErr w:type="gramEnd"/>
          </w:p>
        </w:tc>
        <w:tc>
          <w:tcPr>
            <w:tcW w:w="1485" w:type="dxa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超低量喷雾</w:t>
            </w:r>
          </w:p>
        </w:tc>
        <w:tc>
          <w:tcPr>
            <w:tcW w:w="5391" w:type="dxa"/>
            <w:gridSpan w:val="2"/>
          </w:tcPr>
          <w:p w:rsidR="00230EBD" w:rsidRPr="00CF0616" w:rsidRDefault="00FE555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0616">
              <w:rPr>
                <w:rFonts w:asciiTheme="minorEastAsia" w:eastAsiaTheme="minorEastAsia" w:hAnsiTheme="minorEastAsia" w:hint="eastAsia"/>
                <w:sz w:val="28"/>
                <w:szCs w:val="28"/>
              </w:rPr>
              <w:t>各大楼大厅、走廊、卫生间等</w:t>
            </w:r>
          </w:p>
        </w:tc>
      </w:tr>
    </w:tbl>
    <w:p w:rsidR="00230EBD" w:rsidRPr="00CF0616" w:rsidRDefault="00FE555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备注：生活垃圾转运站、医疗废物暂存点、垃圾箱等，防蚊、蝇、蟑螂、鼠等重要区域视具体情况增加消杀次数3月至11月每月消杀次数不</w:t>
      </w:r>
    </w:p>
    <w:p w:rsidR="00230EBD" w:rsidRPr="00CF0616" w:rsidRDefault="00FE555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低6次。</w:t>
      </w:r>
    </w:p>
    <w:p w:rsidR="00230EBD" w:rsidRPr="00CF0616" w:rsidRDefault="00FE555C">
      <w:pPr>
        <w:spacing w:line="440" w:lineRule="exact"/>
        <w:ind w:firstLineChars="50" w:firstLine="141"/>
        <w:rPr>
          <w:rFonts w:asciiTheme="minorEastAsia" w:eastAsiaTheme="minorEastAsia" w:hAnsiTheme="minorEastAsia"/>
          <w:b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b/>
          <w:sz w:val="28"/>
          <w:szCs w:val="28"/>
        </w:rPr>
        <w:t>八、服务承诺及商务要求</w:t>
      </w:r>
    </w:p>
    <w:p w:rsidR="00230EBD" w:rsidRPr="00CF0616" w:rsidRDefault="00FE55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1.承诺</w:t>
      </w:r>
      <w:r w:rsidRPr="00CF0616">
        <w:rPr>
          <w:rFonts w:asciiTheme="minorEastAsia" w:eastAsiaTheme="minorEastAsia" w:hAnsiTheme="minorEastAsia" w:hint="eastAsia"/>
          <w:sz w:val="28"/>
          <w:szCs w:val="28"/>
          <w:lang w:eastAsia="zh-TW"/>
        </w:rPr>
        <w:t>鼠害、蚊蝇、蟑螂控制效果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达</w:t>
      </w:r>
      <w:r w:rsidRPr="00CF0616">
        <w:rPr>
          <w:rFonts w:asciiTheme="minorEastAsia" w:eastAsiaTheme="minorEastAsia" w:hAnsiTheme="minorEastAsia" w:hint="eastAsia"/>
          <w:sz w:val="28"/>
          <w:szCs w:val="28"/>
          <w:lang w:eastAsia="zh-TW"/>
        </w:rPr>
        <w:t>到国家卫生城市检查标准；</w:t>
      </w:r>
    </w:p>
    <w:p w:rsidR="00230EBD" w:rsidRPr="00CF0616" w:rsidRDefault="00FE55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2.承诺</w:t>
      </w:r>
      <w:r w:rsidRPr="00CF0616">
        <w:rPr>
          <w:rFonts w:asciiTheme="minorEastAsia" w:eastAsiaTheme="minorEastAsia" w:hAnsiTheme="minorEastAsia" w:hint="eastAsia"/>
          <w:sz w:val="28"/>
          <w:szCs w:val="28"/>
          <w:lang w:eastAsia="zh-TW"/>
        </w:rPr>
        <w:t>严格执行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PCO</w:t>
      </w:r>
      <w:r w:rsidRPr="00CF0616">
        <w:rPr>
          <w:rFonts w:asciiTheme="minorEastAsia" w:eastAsiaTheme="minorEastAsia" w:hAnsiTheme="minorEastAsia" w:hint="eastAsia"/>
          <w:sz w:val="28"/>
          <w:szCs w:val="28"/>
          <w:lang w:eastAsia="zh-TW"/>
        </w:rPr>
        <w:t>操作规程，因违反规程造成中毒事故由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中标方完全负责；</w:t>
      </w:r>
    </w:p>
    <w:p w:rsidR="00230EBD" w:rsidRPr="00CF0616" w:rsidRDefault="00FE55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CF0616">
        <w:rPr>
          <w:rFonts w:asciiTheme="minorEastAsia" w:eastAsiaTheme="minorEastAsia" w:hAnsiTheme="minorEastAsia" w:hint="eastAsia"/>
          <w:sz w:val="28"/>
          <w:szCs w:val="28"/>
          <w:lang w:eastAsia="zh-TW"/>
        </w:rPr>
        <w:t>有医疗机构开展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病媒生物防治</w:t>
      </w:r>
      <w:r w:rsidRPr="00CF0616">
        <w:rPr>
          <w:rFonts w:asciiTheme="minorEastAsia" w:eastAsiaTheme="minorEastAsia" w:hAnsiTheme="minorEastAsia" w:hint="eastAsia"/>
          <w:sz w:val="28"/>
          <w:szCs w:val="28"/>
          <w:lang w:eastAsia="zh-TW"/>
        </w:rPr>
        <w:t>工作经验，持有中华人民共和国危险化学品经营许可证</w:t>
      </w:r>
      <w:r w:rsidRPr="00CF0616">
        <w:rPr>
          <w:rFonts w:asciiTheme="minorEastAsia" w:eastAsiaTheme="minorEastAsia" w:hAnsiTheme="minorEastAsia" w:hint="eastAsia"/>
          <w:sz w:val="28"/>
          <w:szCs w:val="28"/>
        </w:rPr>
        <w:t>，并提供近三年参与政府病媒生物防制工作三份及以上中标通知书；</w:t>
      </w:r>
    </w:p>
    <w:p w:rsidR="00230EBD" w:rsidRPr="00CF0616" w:rsidRDefault="00FE55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4.有害生物防制A级服务资质及营业执照；</w:t>
      </w:r>
    </w:p>
    <w:p w:rsidR="00230EBD" w:rsidRPr="00CF0616" w:rsidRDefault="00FE55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 xml:space="preserve">5.高新技术企业证书； </w:t>
      </w:r>
    </w:p>
    <w:p w:rsidR="00230EBD" w:rsidRPr="00CF0616" w:rsidRDefault="00FE55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 xml:space="preserve">6.投标公司的技术员工必须经过严格的有害生物防制员标准化培训，均需持有“有害生物防制员资格证书”初（五级）、中（四级）、高级（三级）各3名及以上。同时提供投标公司近3个月为该员工缴纳的社保、工资发放有效证明；  </w:t>
      </w:r>
    </w:p>
    <w:p w:rsidR="00230EBD" w:rsidRPr="00CF0616" w:rsidRDefault="00FE55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7.中国有害生物防</w:t>
      </w:r>
      <w:proofErr w:type="gramStart"/>
      <w:r w:rsidRPr="00CF0616">
        <w:rPr>
          <w:rFonts w:asciiTheme="minorEastAsia" w:eastAsiaTheme="minorEastAsia" w:hAnsiTheme="minorEastAsia" w:hint="eastAsia"/>
          <w:sz w:val="28"/>
          <w:szCs w:val="28"/>
        </w:rPr>
        <w:t>制协会</w:t>
      </w:r>
      <w:proofErr w:type="gramEnd"/>
      <w:r w:rsidRPr="00CF0616">
        <w:rPr>
          <w:rFonts w:asciiTheme="minorEastAsia" w:eastAsiaTheme="minorEastAsia" w:hAnsiTheme="minorEastAsia" w:hint="eastAsia"/>
          <w:sz w:val="28"/>
          <w:szCs w:val="28"/>
        </w:rPr>
        <w:t>会员、三证认证证书（环境管理、职业健康、质量管理体系认证证书、）、政府采购优秀供应商、招投标AAA等级证书；</w:t>
      </w:r>
    </w:p>
    <w:p w:rsidR="00230EBD" w:rsidRPr="00CF0616" w:rsidRDefault="00FE55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F0616">
        <w:rPr>
          <w:rFonts w:asciiTheme="minorEastAsia" w:eastAsiaTheme="minorEastAsia" w:hAnsiTheme="minorEastAsia" w:hint="eastAsia"/>
          <w:sz w:val="28"/>
          <w:szCs w:val="28"/>
        </w:rPr>
        <w:t>8.投标公司在本招标项目所在地病媒生物防制服务机构备案材料。</w:t>
      </w:r>
    </w:p>
    <w:p w:rsidR="00230EBD" w:rsidRPr="00CF0616" w:rsidRDefault="00FE555C">
      <w:pPr>
        <w:spacing w:line="440" w:lineRule="exact"/>
        <w:ind w:firstLineChars="200" w:firstLine="5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CF0616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CF061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F0616" w:rsidRPr="00CF061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CF0616">
        <w:rPr>
          <w:rFonts w:asciiTheme="minorEastAsia" w:eastAsiaTheme="minorEastAsia" w:hAnsiTheme="minorEastAsia" w:hint="eastAsia"/>
          <w:sz w:val="32"/>
          <w:szCs w:val="32"/>
        </w:rPr>
        <w:t xml:space="preserve">铜仁市人民医院总务科 </w:t>
      </w:r>
    </w:p>
    <w:p w:rsidR="00CF0616" w:rsidRPr="00CF0616" w:rsidRDefault="00CF0616" w:rsidP="00CF0616">
      <w:pPr>
        <w:spacing w:line="440" w:lineRule="exact"/>
        <w:ind w:firstLineChars="200" w:firstLine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CF0616">
        <w:rPr>
          <w:rFonts w:asciiTheme="minorEastAsia" w:eastAsiaTheme="minorEastAsia" w:hAnsiTheme="minorEastAsia" w:hint="eastAsia"/>
          <w:sz w:val="32"/>
          <w:szCs w:val="32"/>
        </w:rPr>
        <w:lastRenderedPageBreak/>
        <w:t>2023年8月16日</w:t>
      </w:r>
    </w:p>
    <w:sectPr w:rsidR="00CF0616" w:rsidRPr="00CF0616">
      <w:pgSz w:w="11906" w:h="16838"/>
      <w:pgMar w:top="930" w:right="1457" w:bottom="873" w:left="157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jkyN2JhM2U4MmZkMmZjYTFiZGEyMzAzNTk2NGUxOGIifQ=="/>
  </w:docVars>
  <w:rsids>
    <w:rsidRoot w:val="00601724"/>
    <w:rsid w:val="00020AC7"/>
    <w:rsid w:val="00027E8A"/>
    <w:rsid w:val="00037A25"/>
    <w:rsid w:val="00114D93"/>
    <w:rsid w:val="00164EF6"/>
    <w:rsid w:val="00180598"/>
    <w:rsid w:val="001C6BD9"/>
    <w:rsid w:val="001D4A3A"/>
    <w:rsid w:val="00230EBD"/>
    <w:rsid w:val="0023618F"/>
    <w:rsid w:val="00250C1A"/>
    <w:rsid w:val="002B0CA2"/>
    <w:rsid w:val="00310D28"/>
    <w:rsid w:val="00364A5F"/>
    <w:rsid w:val="003B4EC4"/>
    <w:rsid w:val="004C4C9B"/>
    <w:rsid w:val="00601724"/>
    <w:rsid w:val="00626D1A"/>
    <w:rsid w:val="006657E9"/>
    <w:rsid w:val="006C4B14"/>
    <w:rsid w:val="006F4208"/>
    <w:rsid w:val="00737963"/>
    <w:rsid w:val="007C1246"/>
    <w:rsid w:val="007D5314"/>
    <w:rsid w:val="0088644F"/>
    <w:rsid w:val="008C584E"/>
    <w:rsid w:val="00903DB5"/>
    <w:rsid w:val="009860CF"/>
    <w:rsid w:val="009C1625"/>
    <w:rsid w:val="00AB7019"/>
    <w:rsid w:val="00B4390E"/>
    <w:rsid w:val="00BE70F5"/>
    <w:rsid w:val="00C722B5"/>
    <w:rsid w:val="00CF0616"/>
    <w:rsid w:val="00D13819"/>
    <w:rsid w:val="00D247A5"/>
    <w:rsid w:val="00D73763"/>
    <w:rsid w:val="00E2451B"/>
    <w:rsid w:val="00E57D2C"/>
    <w:rsid w:val="00EB593D"/>
    <w:rsid w:val="00F54B1C"/>
    <w:rsid w:val="00FE555C"/>
    <w:rsid w:val="0A8D1344"/>
    <w:rsid w:val="0EAE3A04"/>
    <w:rsid w:val="10641199"/>
    <w:rsid w:val="27073677"/>
    <w:rsid w:val="3FCF2916"/>
    <w:rsid w:val="41187158"/>
    <w:rsid w:val="537D5E03"/>
    <w:rsid w:val="5F1E430D"/>
    <w:rsid w:val="62C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Acronym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Typewriter" w:semiHidden="0"/>
    <w:lsdException w:name="HTML Variabl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dr w:val="single" w:sz="6" w:space="0" w:color="E6E6E6"/>
    </w:rPr>
  </w:style>
  <w:style w:type="character" w:styleId="a8">
    <w:name w:val="FollowedHyperlink"/>
    <w:basedOn w:val="a0"/>
    <w:uiPriority w:val="99"/>
    <w:unhideWhenUsed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</w:style>
  <w:style w:type="character" w:styleId="HTML0">
    <w:name w:val="HTML Typewriter"/>
    <w:basedOn w:val="a0"/>
    <w:uiPriority w:val="99"/>
    <w:unhideWhenUsed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uiPriority w:val="99"/>
    <w:unhideWhenUsed/>
  </w:style>
  <w:style w:type="character" w:styleId="HTML2">
    <w:name w:val="HTML Variable"/>
    <w:basedOn w:val="a0"/>
    <w:uiPriority w:val="99"/>
    <w:unhideWhenUsed/>
  </w:style>
  <w:style w:type="character" w:styleId="aa">
    <w:name w:val="Hyperlink"/>
    <w:basedOn w:val="a0"/>
    <w:uiPriority w:val="99"/>
    <w:unhideWhenUsed/>
    <w:rPr>
      <w:color w:val="333333"/>
      <w:u w:val="none"/>
    </w:rPr>
  </w:style>
  <w:style w:type="character" w:styleId="HTML3">
    <w:name w:val="HTML Code"/>
    <w:basedOn w:val="a0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unhideWhenUsed/>
  </w:style>
  <w:style w:type="character" w:styleId="HTML5">
    <w:name w:val="HTML Keyboard"/>
    <w:basedOn w:val="a0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unhideWhenUsed/>
    <w:rPr>
      <w:rFonts w:ascii="monospace" w:eastAsia="monospace" w:hAnsi="monospace" w:cs="monospace" w:hint="default"/>
    </w:rPr>
  </w:style>
  <w:style w:type="character" w:customStyle="1" w:styleId="Char0">
    <w:name w:val="页脚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first-child">
    <w:name w:val="first-child"/>
    <w:basedOn w:val="a0"/>
  </w:style>
  <w:style w:type="character" w:customStyle="1" w:styleId="layui-laypage-curr">
    <w:name w:val="layui-laypage-curr"/>
    <w:basedOn w:val="a0"/>
  </w:style>
  <w:style w:type="character" w:customStyle="1" w:styleId="layui-this2">
    <w:name w:val="layui-this2"/>
    <w:basedOn w:val="a0"/>
    <w:rPr>
      <w:bdr w:val="single" w:sz="6" w:space="0" w:color="EEEEEE"/>
      <w:shd w:val="clear" w:color="auto" w:fill="FFFFFF"/>
    </w:rPr>
  </w:style>
  <w:style w:type="character" w:customStyle="1" w:styleId="Char">
    <w:name w:val="正文文本 Char"/>
    <w:basedOn w:val="a0"/>
    <w:link w:val="a3"/>
    <w:rPr>
      <w:rFonts w:ascii="Times New Roman" w:eastAsia="Times New Roman" w:hAnsi="Times New Roman" w:cs="Times New Roman" w:hint="default"/>
      <w:color w:val="000000"/>
      <w:sz w:val="24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</cp:lastModifiedBy>
  <cp:revision>13</cp:revision>
  <cp:lastPrinted>2017-05-18T08:09:00Z</cp:lastPrinted>
  <dcterms:created xsi:type="dcterms:W3CDTF">2023-07-23T06:36:00Z</dcterms:created>
  <dcterms:modified xsi:type="dcterms:W3CDTF">2023-08-18T07:55:00Z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2969585360A044D7AFC598301848A316</vt:lpwstr>
  </property>
</Properties>
</file>