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441283-2023-01651</w:t>
      </w:r>
    </w:p>
    <w:p>
      <w:pPr>
        <w:jc w:val="center"/>
      </w:pPr>
      <w:r>
        <w:rPr>
          <w:b/>
          <w:sz w:val="24"/>
        </w:rPr>
        <w:t>采购项目编号：</w:t>
      </w:r>
      <w:r>
        <w:rPr>
          <w:b/>
          <w:sz w:val="24"/>
        </w:rPr>
        <w:t>GDDJ-2023-010</w:t>
      </w:r>
    </w:p>
    <w:p>
      <w:pPr>
        <w:jc w:val="center"/>
      </w:pPr>
      <w:r>
        <w:rPr>
          <w:b/>
          <w:sz w:val="24"/>
        </w:rPr>
        <w:t>项目名称：</w:t>
      </w:r>
      <w:r>
        <w:rPr>
          <w:b/>
          <w:sz w:val="24"/>
        </w:rPr>
        <w:t>高要区巩固国家卫生城市创建成果建城区病媒生物预防控制服务（2023年高要区国家卫生城市公共外环境病媒生物防制）</w:t>
      </w:r>
    </w:p>
    <w:p>
      <w:pPr>
        <w:jc w:val="center"/>
      </w:pPr>
      <w:r>
        <w:rPr>
          <w:b/>
          <w:sz w:val="24"/>
        </w:rPr>
        <w:t>采购人：</w:t>
      </w:r>
      <w:r>
        <w:rPr>
          <w:b/>
          <w:sz w:val="24"/>
        </w:rPr>
        <w:t>肇庆市高要区卫生健康局</w:t>
      </w:r>
    </w:p>
    <w:p>
      <w:pPr>
        <w:jc w:val="center"/>
      </w:pPr>
      <w:r>
        <w:rPr>
          <w:b/>
          <w:sz w:val="24"/>
        </w:rPr>
        <w:t>采购代理机构：</w:t>
      </w:r>
      <w:r>
        <w:rPr>
          <w:b/>
          <w:sz w:val="24"/>
        </w:rPr>
        <w:t>广东鼎建工程咨询监理有限公司</w:t>
      </w:r>
    </w:p>
    <w:p>
      <w:pPr>
        <w:ind w:firstLine="480"/>
      </w:pPr>
    </w:p>
    <w:p>
      <w:r>
        <w:rPr/>
        <w:t xml:space="preserve"> </w:t>
      </w:r>
    </w:p>
    <w:p/>
    <w:p>
      <w:pPr>
        <w:jc w:val="center"/>
      </w:pPr>
      <w:r>
        <w:rPr>
          <w:b/>
          <w:sz w:val="36"/>
        </w:rPr>
        <w:t>第一章 磋商邀请</w:t>
      </w:r>
    </w:p>
    <w:p>
      <w:pPr>
        <w:ind w:firstLine="480"/>
      </w:pPr>
      <w:r>
        <w:rPr/>
        <w:t>广东鼎建工程咨询监理有限公司</w:t>
      </w:r>
      <w:r>
        <w:rPr/>
        <w:t>受</w:t>
      </w:r>
      <w:r>
        <w:rPr/>
        <w:t>肇庆市高要区卫生健康局</w:t>
      </w:r>
      <w:r>
        <w:rPr/>
        <w:t>的委托，采用</w:t>
      </w:r>
      <w:r>
        <w:rPr/>
        <w:t>竞争性磋商</w:t>
      </w:r>
      <w:r>
        <w:rPr/>
        <w:t>方式组织采购</w:t>
      </w:r>
      <w:r>
        <w:rPr/>
        <w:t>高要区巩固国家卫生城市创建成果建城区病媒生物预防控制服务（2023年高要区国家卫生城市公共外环境病媒生物防制）</w:t>
      </w:r>
      <w:r>
        <w:rPr/>
        <w:t>。欢迎符合资格条件的供应商参加。</w:t>
      </w:r>
    </w:p>
    <w:p>
      <w:r>
        <w:rPr>
          <w:b/>
          <w:sz w:val="28"/>
        </w:rPr>
        <w:t>一.项目概述</w:t>
      </w:r>
    </w:p>
    <w:p>
      <w:r>
        <w:rPr>
          <w:b/>
          <w:sz w:val="24"/>
        </w:rPr>
        <w:t>1.名称与编号</w:t>
      </w:r>
    </w:p>
    <w:p>
      <w:pPr>
        <w:ind w:firstLine="480"/>
      </w:pPr>
      <w:r>
        <w:rPr/>
        <w:t>采购项目名称：</w:t>
      </w:r>
      <w:r>
        <w:rPr/>
        <w:t>高要区巩固国家卫生城市创建成果建城区病媒生物预防控制服务（2023年高要区国家卫生城市公共外环境病媒生物防制）</w:t>
      </w:r>
    </w:p>
    <w:p>
      <w:pPr>
        <w:ind w:firstLine="480"/>
      </w:pPr>
      <w:r>
        <w:rPr/>
        <w:t>采购计划编号：</w:t>
      </w:r>
      <w:r>
        <w:rPr/>
        <w:t>441283-2023-01651</w:t>
      </w:r>
    </w:p>
    <w:p>
      <w:pPr>
        <w:ind w:firstLine="480"/>
      </w:pPr>
      <w:r>
        <w:rPr/>
        <w:t>采购项目编号：</w:t>
      </w:r>
      <w:r>
        <w:rPr/>
        <w:t>GDDJ-2023-010</w:t>
      </w:r>
    </w:p>
    <w:p>
      <w:pPr>
        <w:ind w:firstLine="480"/>
      </w:pPr>
      <w:r>
        <w:rPr/>
        <w:t>采购方式：</w:t>
      </w:r>
      <w:r>
        <w:rPr/>
        <w:t>竞争性磋商</w:t>
      </w:r>
    </w:p>
    <w:p>
      <w:pPr>
        <w:ind w:firstLine="480"/>
      </w:pPr>
      <w:r>
        <w:rPr/>
        <w:t>预算金额：</w:t>
      </w:r>
      <w:r>
        <w:rPr/>
        <w:t>2,950,000.00</w:t>
      </w:r>
      <w:r>
        <w:rPr/>
        <w:t>元</w:t>
      </w:r>
    </w:p>
    <w:p>
      <w:r>
        <w:rPr>
          <w:b/>
          <w:sz w:val="24"/>
        </w:rPr>
        <w:t>2.项目内容及需求情况（采购项目技术规格、参数及要求）</w:t>
      </w:r>
    </w:p>
    <w:p>
      <w:pPr>
        <w:ind w:firstLine="480"/>
      </w:pPr>
    </w:p>
    <w:p/>
    <w:p>
      <w:r>
        <w:rPr/>
        <w:t>采购包1(高要区巩固国家卫生城市创建成果建城区病媒生物预防控制服务（2023年高要区国家卫生城市公共外环境病媒生物防制）):</w:t>
      </w:r>
    </w:p>
    <w:p>
      <w:r>
        <w:rPr/>
        <w:t>采购包预算金额：2,950,000.00元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其他生态环境保护和治理服务</w:t>
            </w:r>
          </w:p>
        </w:tc>
        <w:tc>
          <w:tcPr>
            <w:tcW w:type="dxa" w:w="2136"/>
          </w:tcPr>
          <w:p>
            <w:r>
              <w:rPr/>
              <w:t>2023年高要区国家卫生城市公共外环境病媒生物防制</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本采购包不接受联合体响应</w:t>
      </w:r>
    </w:p>
    <w:p/>
    <w:p>
      <w:r>
        <w:rPr/>
        <w:t>合同履行期限：1年</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2）有依法缴纳税收和社会保障资金的良好记录：投标（响应）文件中提供《资格条件承诺函》，《资格条件承诺函》模板详见公告附件。</w:t>
      </w:r>
    </w:p>
    <w:p/>
    <w:p>
      <w:r>
        <w:rPr/>
        <w:t>3）具有良好的商业信誉和健全的财务会计制度：投标（响应）文件中提供《资格条件承诺函》，《资格条件承诺函》模板详见公告附件。</w:t>
      </w:r>
    </w:p>
    <w:p/>
    <w:p>
      <w:r>
        <w:rPr/>
        <w:t>4）履行合同所必需的设备和专业技术能力：投标（响应）文件中提供《资格条件承诺函》，《资格条件承诺函》模板详见公告附件。</w:t>
      </w:r>
    </w:p>
    <w:p/>
    <w:p>
      <w:r>
        <w:rPr/>
        <w:t>5）参加采购活动前3年内，在经营活动中没有重大违法记录：投标（响应）文件中提供《资格条件承诺函》，《资格条件承诺函》模板详见公告附件。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采购包1（高要区巩固国家卫生城市创建成果建城区病媒生物预防控制服务（2023年高要区国家卫生城市公共外环境病媒生物防制））：</w:t>
      </w:r>
      <w:r>
        <w:rPr/>
        <w:t>参与的供应商（联合体）服务全部由符合政策要求的中小企业承接。</w:t>
      </w:r>
    </w:p>
    <w:p/>
    <w:p>
      <w:r>
        <w:rPr>
          <w:b/>
          <w:sz w:val="24"/>
        </w:rPr>
        <w:t>3.本项目特定的资格要求：</w:t>
      </w:r>
    </w:p>
    <w:p>
      <w:pPr>
        <w:ind w:firstLine="480"/>
      </w:pPr>
    </w:p>
    <w:p/>
    <w:p>
      <w:r>
        <w:rPr/>
        <w:t>采购包1（高要区巩固国家卫生城市创建成果建城区病媒生物预防控制服务（2023年高要区国家卫生城市公共外环境病媒生物防制））：</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肇庆市高要区卫生健康局</w:t>
      </w:r>
    </w:p>
    <w:p>
      <w:pPr>
        <w:ind w:firstLine="480"/>
      </w:pPr>
      <w:r>
        <w:rPr/>
        <w:t>地址：</w:t>
      </w:r>
      <w:r>
        <w:rPr/>
        <w:t>肇庆市高要区南岸街道广新一路139号</w:t>
      </w:r>
    </w:p>
    <w:p>
      <w:pPr>
        <w:ind w:firstLine="480"/>
      </w:pPr>
      <w:r>
        <w:rPr/>
        <w:t>联系方式：</w:t>
      </w:r>
      <w:r>
        <w:rPr/>
        <w:t>0758-8397846</w:t>
      </w:r>
    </w:p>
    <w:p>
      <w:r>
        <w:rPr>
          <w:b/>
          <w:sz w:val="24"/>
        </w:rPr>
        <w:t>2.采购代理机构信息</w:t>
      </w:r>
    </w:p>
    <w:p>
      <w:pPr>
        <w:ind w:firstLine="480"/>
      </w:pPr>
      <w:r>
        <w:rPr/>
        <w:t>名称：</w:t>
      </w:r>
      <w:r>
        <w:rPr/>
        <w:t>广东鼎建工程咨询监理有限公司</w:t>
      </w:r>
    </w:p>
    <w:p>
      <w:pPr>
        <w:ind w:firstLine="480"/>
      </w:pPr>
      <w:r>
        <w:rPr/>
        <w:t>地址：</w:t>
      </w:r>
      <w:r>
        <w:rPr/>
        <w:t>广东省肇庆市鼎湖区肇庆市鼎湖区新城64区桃园路东1号A景竣名苑D栋商铺302、303、305卡</w:t>
      </w:r>
    </w:p>
    <w:p>
      <w:pPr>
        <w:ind w:firstLine="480"/>
      </w:pPr>
      <w:r>
        <w:rPr/>
        <w:t>联系方式：</w:t>
      </w:r>
      <w:r>
        <w:rPr/>
        <w:t>0758-2668666</w:t>
      </w:r>
    </w:p>
    <w:p>
      <w:r>
        <w:rPr>
          <w:b/>
          <w:sz w:val="24"/>
        </w:rPr>
        <w:t>3.项目联系方式</w:t>
      </w:r>
    </w:p>
    <w:p>
      <w:pPr>
        <w:ind w:firstLine="480"/>
      </w:pPr>
      <w:r>
        <w:rPr/>
        <w:t>项目联系人：</w:t>
      </w:r>
      <w:r>
        <w:rPr/>
        <w:t>何小姐</w:t>
      </w:r>
    </w:p>
    <w:p>
      <w:pPr>
        <w:ind w:firstLine="480"/>
      </w:pPr>
      <w:r>
        <w:rPr/>
        <w:t>电话：</w:t>
      </w:r>
      <w:r>
        <w:rPr/>
        <w:t>0758-2668666</w:t>
      </w:r>
    </w:p>
    <w:p>
      <w:r>
        <w:rPr>
          <w:b/>
          <w:sz w:val="24"/>
        </w:rPr>
        <w:t>4.技术支持联系方式</w:t>
      </w:r>
    </w:p>
    <w:p>
      <w:pPr>
        <w:ind w:firstLine="480"/>
      </w:pPr>
      <w:r>
        <w:rPr/>
        <w:t>云平台联系方式：020-88696588</w:t>
      </w:r>
    </w:p>
    <w:p>
      <w:r>
        <w:rPr/>
        <w:t>采购代理机构：</w:t>
      </w:r>
      <w:r>
        <w:rPr/>
        <w:t>广东鼎建工程咨询监理有限公司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20"/>
        <w:jc w:val="both"/>
      </w:pPr>
      <w:r>
        <w:rPr>
          <w:sz w:val="21"/>
        </w:rPr>
        <w:t>为巩固发展我区城区国家卫生城市创建成果，预防、控制、切断病媒生物传播疾病的源头，根据《国家卫生城镇标准》（</w:t>
      </w:r>
      <w:r>
        <w:rPr>
          <w:sz w:val="21"/>
        </w:rPr>
        <w:t>2021</w:t>
      </w:r>
      <w:r>
        <w:rPr>
          <w:sz w:val="21"/>
        </w:rPr>
        <w:t>年版）、《广东省爱国卫生工作条例》、《肇庆市国家卫生城市规范管理工作制度》（肇巩卫〔</w:t>
      </w:r>
      <w:r>
        <w:rPr>
          <w:sz w:val="21"/>
        </w:rPr>
        <w:t>2023</w:t>
      </w:r>
      <w:r>
        <w:rPr>
          <w:sz w:val="21"/>
        </w:rPr>
        <w:t>〕</w:t>
      </w:r>
      <w:r>
        <w:rPr>
          <w:sz w:val="21"/>
        </w:rPr>
        <w:t>1</w:t>
      </w:r>
      <w:r>
        <w:rPr>
          <w:sz w:val="21"/>
        </w:rPr>
        <w:t>号）和有关法律法规的规定。高要区城区自</w:t>
      </w:r>
      <w:r>
        <w:rPr>
          <w:sz w:val="21"/>
        </w:rPr>
        <w:t>2015</w:t>
      </w:r>
      <w:r>
        <w:rPr>
          <w:sz w:val="21"/>
        </w:rPr>
        <w:t>年，高要区马安、江口、金渡、莲塘北部区域自</w:t>
      </w:r>
      <w:r>
        <w:rPr>
          <w:sz w:val="21"/>
        </w:rPr>
        <w:t>2021</w:t>
      </w:r>
      <w:r>
        <w:rPr>
          <w:sz w:val="21"/>
        </w:rPr>
        <w:t>年被列入肇庆市国家卫生城市复审范围，建成区鼠、蚊、蝇、蟑螂的密度必须达到国家病媒生物密度控制水平标准</w:t>
      </w:r>
      <w:r>
        <w:rPr>
          <w:sz w:val="21"/>
        </w:rPr>
        <w:t>C</w:t>
      </w:r>
      <w:r>
        <w:rPr>
          <w:sz w:val="21"/>
        </w:rPr>
        <w:t>级或以上要求，现采购单位就高要区巩固国家卫生城市创建成果建成区病媒生物预防控制服务进行政府采购。</w:t>
      </w:r>
    </w:p>
    <w:p/>
    <w:p>
      <w:pPr>
        <w:ind w:firstLine="480"/>
      </w:pPr>
    </w:p>
    <w:p/>
    <w:p>
      <w:r>
        <w:rPr/>
        <w:t>采购包1（高要区巩固国家卫生城市创建成果建城区病媒生物预防控制服务（2023年高要区国家卫生城市公共外环境病媒生物防制））</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1年</w:t>
            </w:r>
          </w:p>
        </w:tc>
      </w:tr>
      <w:tr>
        <w:tc>
          <w:tcPr>
            <w:tcW w:type="dxa" w:w="4153"/>
          </w:tcPr>
          <w:p>
            <w:r>
              <w:rPr/>
              <w:t>标的提供的地点</w:t>
            </w:r>
          </w:p>
        </w:tc>
        <w:tc>
          <w:tcPr>
            <w:tcW w:type="dxa" w:w="4153"/>
          </w:tcPr>
          <w:p/>
          <w:p>
            <w:r>
              <w:rPr/>
              <w:t>采购人指定地点，详见服务范围</w:t>
            </w:r>
          </w:p>
        </w:tc>
      </w:tr>
      <w:tr>
        <w:tc>
          <w:tcPr>
            <w:tcW w:type="dxa" w:w="4153"/>
          </w:tcPr>
          <w:p>
            <w:r>
              <w:rPr/>
              <w:t>付款方式</w:t>
            </w:r>
          </w:p>
        </w:tc>
        <w:tc>
          <w:tcPr>
            <w:tcW w:type="dxa" w:w="4153"/>
          </w:tcPr>
          <w:p/>
          <w:p/>
          <w:p>
            <w:r>
              <w:rPr/>
              <w:t>1期：支付比例25%,合同款项以人民币转账方式支付，分四期支付服务费，第一期支付合同总额25%，第一季度服务后10天内经第三方验收合格后，成交供应商提供发票，采购人一个月内支付服务费</w:t>
            </w:r>
          </w:p>
          <w:p/>
          <w:p>
            <w:r>
              <w:rPr/>
              <w:t>2期：支付比例25%,第二期支付合同总额25%，第二季度服务后10天内经第三方验收合格后，成交供应商提供发票，采购人一个月内支付服务费</w:t>
            </w:r>
          </w:p>
          <w:p/>
          <w:p>
            <w:r>
              <w:rPr/>
              <w:t>3期：支付比例25%,第三期支付合同总额25%，第三季度服务后10天内经第三方验收合格后，成交供应商提供发票，采购人一个月内支付服务费</w:t>
            </w:r>
          </w:p>
          <w:p/>
          <w:p>
            <w:r>
              <w:rPr/>
              <w:t>4期：支付比例25%,第四期支付合同总额25%，第四季度服务后10天内经第三方验收合格后，成交供应商提供发票，采购人一个月内支付服务费</w:t>
            </w:r>
          </w:p>
        </w:tc>
      </w:tr>
      <w:tr>
        <w:tc>
          <w:tcPr>
            <w:tcW w:type="dxa" w:w="4153"/>
          </w:tcPr>
          <w:p>
            <w:r>
              <w:rPr/>
              <w:t>验收要求</w:t>
            </w:r>
          </w:p>
        </w:tc>
        <w:tc>
          <w:tcPr>
            <w:tcW w:type="dxa" w:w="4153"/>
          </w:tcPr>
          <w:p/>
          <w:p/>
          <w:p/>
          <w:p>
            <w:r>
              <w:rPr/>
              <w:t>1期：服务质量考评办法 1、参与考核的单位进行的考核满分均为百分制，采取倒扣分制。 2、参与考核的单位必须根据高要城区公共外环境除“四害”管理服务项目管理及考核标准执行。 3、考评费用：根据国家标准，并进行4次考评。按照每次10000.00元作为委托第三方机构考评费用，该项费用由中标服务商承担。 4、考核总分以权重比例计算构成，具体比例如下： 检查形式</w:t>
              <w:tab/>
              <w:t>具体操作方法 专业考核 （60%）</w:t>
              <w:tab/>
              <w:t>由采购单位牵头，委托市级以上的有害生物防防制协会或专家库组成专家组根据国家“四害”密度监测标准与方法的相关标准进行专业考核监测，并出具质量考核报告。 日常工作考核 （40%）</w:t>
              <w:tab/>
              <w:t>由区卫健局爱卫主管部门安排专职人员，负责对除“四害”专业队日常放药、喷洒、治理孳生地、栖生地和成蚊等工作进行跟进并签名确认，每次服务完成后对服务范围内的除“四害”工作进行一次检查考核。 5、每期考核总分作为每期服务费发放的依据。区卫健局爱卫主管部门将专业考核、日常工作考核分数统一汇总，评出承包管理单位的考核总分，上报区财政结算中心，根据该期考核结果确定支付的服务费用，并以转账方式支付给各承包管理单位</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其他生态环境保护和治理服务</w:t>
            </w:r>
          </w:p>
        </w:tc>
        <w:tc>
          <w:tcPr>
            <w:tcW w:type="dxa" w:w="933"/>
          </w:tcPr>
          <w:p>
            <w:pPr>
              <w:jc w:val="left"/>
            </w:pPr>
            <w:r>
              <w:rPr/>
              <w:t>2023年高要区国家卫生城市公共外环境病媒生物防制</w:t>
            </w:r>
          </w:p>
        </w:tc>
        <w:tc>
          <w:tcPr>
            <w:tcW w:type="dxa" w:w="933"/>
          </w:tcPr>
          <w:p>
            <w:pPr>
              <w:jc w:val="left"/>
            </w:pPr>
            <w:r>
              <w:rPr/>
              <w:t>项</w:t>
            </w:r>
          </w:p>
        </w:tc>
        <w:tc>
          <w:tcPr>
            <w:tcW w:type="dxa" w:w="933"/>
          </w:tcPr>
          <w:p>
            <w:pPr>
              <w:jc w:val="right"/>
            </w:pPr>
            <w:r>
              <w:rPr/>
              <w:t>1.00</w:t>
            </w:r>
          </w:p>
        </w:tc>
        <w:tc>
          <w:tcPr>
            <w:tcW w:type="dxa" w:w="933"/>
          </w:tcPr>
          <w:p>
            <w:pPr>
              <w:jc w:val="right"/>
            </w:pPr>
            <w:r>
              <w:rPr/>
              <w:t>2,950,000.00</w:t>
            </w:r>
          </w:p>
        </w:tc>
        <w:tc>
          <w:tcPr>
            <w:tcW w:type="dxa" w:w="933"/>
          </w:tcPr>
          <w:p>
            <w:pPr>
              <w:jc w:val="right"/>
            </w:pPr>
            <w:r>
              <w:rPr/>
              <w:t>2,950,000.00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2023年高要区国家卫生城市公共外环境病媒生物防制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b/>
                <w:sz w:val="21"/>
              </w:rPr>
              <w:t>一、服务内容、期限及频次</w:t>
            </w:r>
          </w:p>
          <w:p>
            <w:pPr>
              <w:jc w:val="left"/>
            </w:pPr>
            <w:r>
              <w:rPr>
                <w:sz w:val="21"/>
              </w:rPr>
              <w:t>1、服务内容：建立健全国家卫生城市</w:t>
            </w:r>
            <w:r>
              <w:rPr>
                <w:sz w:val="21"/>
              </w:rPr>
              <w:t>“病媒生物预防控制”内容所需的相关资料；全面投药杀灭鼠、蝇、蚊、蟑螂等病媒生物防制服务工作。</w:t>
            </w:r>
          </w:p>
          <w:p>
            <w:pPr>
              <w:jc w:val="left"/>
            </w:pPr>
            <w:r>
              <w:rPr>
                <w:sz w:val="21"/>
              </w:rPr>
              <w:t>2、服务期限：</w:t>
            </w:r>
            <w:r>
              <w:rPr>
                <w:sz w:val="21"/>
              </w:rPr>
              <w:t>一年</w:t>
            </w:r>
            <w:r>
              <w:rPr>
                <w:sz w:val="21"/>
              </w:rPr>
              <w:t>。</w:t>
            </w:r>
          </w:p>
          <w:p>
            <w:pPr>
              <w:jc w:val="left"/>
            </w:pPr>
            <w:r>
              <w:rPr>
                <w:sz w:val="21"/>
              </w:rPr>
              <w:t>3、服务频次：</w:t>
            </w:r>
            <w:r>
              <w:rPr>
                <w:color w:val="0000FF"/>
                <w:sz w:val="21"/>
              </w:rPr>
              <w:t>金渡、马安区域、莲塘北部以上区域的城乡结合部</w:t>
            </w:r>
            <w:r>
              <w:rPr>
                <w:color w:val="0000FF"/>
                <w:sz w:val="21"/>
              </w:rPr>
              <w:t>，根据甲方需求安排实施，</w:t>
            </w:r>
            <w:r>
              <w:rPr>
                <w:color w:val="0000FF"/>
                <w:sz w:val="21"/>
              </w:rPr>
              <w:t>合同期内共服务</w:t>
            </w:r>
            <w:r>
              <w:rPr>
                <w:color w:val="0000FF"/>
                <w:sz w:val="21"/>
              </w:rPr>
              <w:t>11</w:t>
            </w:r>
            <w:r>
              <w:rPr>
                <w:color w:val="0000FF"/>
                <w:sz w:val="21"/>
              </w:rPr>
              <w:t>轮。南岸城区、马安、江口片区以上区域</w:t>
            </w:r>
            <w:r>
              <w:rPr>
                <w:color w:val="0000FF"/>
                <w:sz w:val="21"/>
              </w:rPr>
              <w:t>，根据甲方需求安排实施，</w:t>
            </w:r>
            <w:r>
              <w:rPr>
                <w:color w:val="0000FF"/>
                <w:sz w:val="21"/>
              </w:rPr>
              <w:t>合同期内共服务</w:t>
            </w:r>
            <w:r>
              <w:rPr>
                <w:color w:val="0000FF"/>
                <w:sz w:val="21"/>
              </w:rPr>
              <w:t>8轮。</w:t>
            </w:r>
          </w:p>
          <w:p>
            <w:pPr>
              <w:jc w:val="left"/>
            </w:pPr>
            <w:r>
              <w:rPr>
                <w:sz w:val="21"/>
              </w:rPr>
              <w:t>4、服务范围：肇庆市高要区</w:t>
            </w:r>
            <w:r>
              <w:rPr>
                <w:sz w:val="21"/>
              </w:rPr>
              <w:t>巩固</w:t>
            </w:r>
            <w:r>
              <w:rPr>
                <w:sz w:val="21"/>
              </w:rPr>
              <w:t>国家卫生城市创建成果建成区</w:t>
            </w:r>
            <w:r>
              <w:rPr>
                <w:sz w:val="21"/>
              </w:rPr>
              <w:t>（包括南岸城区、金渡、马安、莲塘北部等区域。四至范围：东至紫云大道、西至蛇山及马安中心小学、南至天资工业园、北至西江沿岸）</w:t>
            </w:r>
            <w:r>
              <w:rPr>
                <w:sz w:val="21"/>
              </w:rPr>
              <w:t>。各个地理方位的主要街道、背街小巷、城中村、闲置（待建）地和公园等公共外环境。</w:t>
            </w:r>
          </w:p>
        </w:tc>
      </w:tr>
      <w:tr>
        <w:tc>
          <w:tcPr>
            <w:tcW w:type="dxa" w:w="2076"/>
          </w:tcPr>
          <w:p/>
        </w:tc>
        <w:tc>
          <w:tcPr>
            <w:tcW w:type="dxa" w:w="415"/>
          </w:tcPr>
          <w:p>
            <w:r>
              <w:rPr/>
              <w:t>2</w:t>
            </w:r>
          </w:p>
        </w:tc>
        <w:tc>
          <w:tcPr>
            <w:tcW w:type="dxa" w:w="5814"/>
          </w:tcPr>
          <w:p>
            <w:pPr>
              <w:jc w:val="left"/>
            </w:pPr>
            <w:r>
              <w:rPr>
                <w:b/>
                <w:sz w:val="21"/>
              </w:rPr>
              <w:t>二、详细服务要求</w:t>
            </w:r>
          </w:p>
          <w:tbl>
            <w:tblPr>
              <w:tblInd w:type="dxa" w:w="210"/>
              <w:tblBorders>
                <w:top w:val="none" w:color="000000" w:sz="4"/>
                <w:left w:val="none" w:color="000000" w:sz="4"/>
                <w:bottom w:val="none" w:color="000000" w:sz="4"/>
                <w:right w:val="none" w:color="000000" w:sz="4"/>
                <w:insideH w:val="none"/>
                <w:insideV w:val="none"/>
              </w:tblBorders>
            </w:tblPr>
            <w:tblGrid>
              <w:gridCol w:w="1399"/>
              <w:gridCol w:w="1399"/>
              <w:gridCol w:w="2013"/>
              <w:gridCol w:w="786"/>
            </w:tblGrid>
            <w:tr>
              <w:tc>
                <w:tcPr>
                  <w:tcW w:type="dxa" w:w="1399"/>
                  <w:tcBorders>
                    <w:top w:val="single" w:color="000000" w:sz="4"/>
                    <w:left w:val="single" w:color="000000" w:sz="4"/>
                    <w:bottom w:val="single" w:color="000000" w:sz="4"/>
                    <w:right w:val="single" w:color="000000" w:sz="4"/>
                  </w:tcBorders>
                  <w:vAlign w:val="top"/>
                </w:tcPr>
                <w:p>
                  <w:pPr>
                    <w:jc w:val="center"/>
                  </w:pPr>
                  <w:r>
                    <w:rPr>
                      <w:b/>
                      <w:sz w:val="21"/>
                    </w:rPr>
                    <w:t>项目</w:t>
                  </w:r>
                </w:p>
              </w:tc>
              <w:tc>
                <w:tcPr>
                  <w:tcW w:type="dxa" w:w="1399"/>
                  <w:tcBorders>
                    <w:top w:val="single" w:color="000000" w:sz="4"/>
                    <w:left w:val="single" w:color="000000" w:sz="4"/>
                    <w:bottom w:val="single" w:color="000000" w:sz="4"/>
                    <w:right w:val="single" w:color="000000" w:sz="4"/>
                  </w:tcBorders>
                  <w:vAlign w:val="top"/>
                </w:tcPr>
                <w:p>
                  <w:pPr>
                    <w:jc w:val="center"/>
                  </w:pPr>
                  <w:r>
                    <w:rPr>
                      <w:b/>
                      <w:sz w:val="21"/>
                    </w:rPr>
                    <w:t>工作内容</w:t>
                  </w:r>
                </w:p>
              </w:tc>
              <w:tc>
                <w:tcPr>
                  <w:tcW w:type="dxa" w:w="2013"/>
                  <w:tcBorders>
                    <w:top w:val="single" w:color="000000" w:sz="4"/>
                    <w:left w:val="single" w:color="000000" w:sz="4"/>
                    <w:bottom w:val="single" w:color="000000" w:sz="4"/>
                    <w:right w:val="single" w:color="000000" w:sz="4"/>
                  </w:tcBorders>
                  <w:vAlign w:val="top"/>
                </w:tcPr>
                <w:p>
                  <w:pPr>
                    <w:jc w:val="center"/>
                  </w:pPr>
                  <w:r>
                    <w:rPr>
                      <w:b/>
                      <w:sz w:val="21"/>
                    </w:rPr>
                    <w:t>操作规范和要求</w:t>
                  </w:r>
                </w:p>
              </w:tc>
              <w:tc>
                <w:tcPr>
                  <w:tcW w:type="dxa" w:w="786"/>
                  <w:tcBorders>
                    <w:top w:val="single" w:color="000000" w:sz="4"/>
                    <w:left w:val="single" w:color="000000" w:sz="4"/>
                    <w:bottom w:val="single" w:color="000000" w:sz="4"/>
                    <w:right w:val="single" w:color="000000" w:sz="4"/>
                  </w:tcBorders>
                  <w:vAlign w:val="top"/>
                </w:tcPr>
                <w:p>
                  <w:pPr>
                    <w:jc w:val="center"/>
                  </w:pPr>
                  <w:r>
                    <w:rPr>
                      <w:b/>
                      <w:sz w:val="21"/>
                    </w:rPr>
                    <w:t>频次</w:t>
                  </w:r>
                </w:p>
              </w:tc>
            </w:tr>
            <w:tr>
              <w:tc>
                <w:tcPr>
                  <w:tcW w:type="dxa" w:w="1399"/>
                  <w:vMerge w:val="restart"/>
                  <w:tcBorders>
                    <w:top w:val="none" w:color="000000" w:sz="4"/>
                    <w:left w:val="single" w:color="000000" w:sz="4"/>
                    <w:bottom w:val="single" w:color="000000" w:sz="4"/>
                    <w:right w:val="single" w:color="000000" w:sz="4"/>
                  </w:tcBorders>
                  <w:vAlign w:val="top"/>
                </w:tcPr>
                <w:p>
                  <w:pPr>
                    <w:jc w:val="center"/>
                  </w:pPr>
                  <w:r>
                    <w:rPr>
                      <w:sz w:val="21"/>
                    </w:rPr>
                    <w:t>灭鼠</w:t>
                  </w:r>
                </w:p>
              </w:tc>
              <w:tc>
                <w:tcPr>
                  <w:tcW w:type="dxa" w:w="1399"/>
                  <w:tcBorders>
                    <w:top w:val="none" w:color="000000" w:sz="4"/>
                    <w:left w:val="single" w:color="000000" w:sz="4"/>
                    <w:bottom w:val="single" w:color="000000" w:sz="4"/>
                    <w:right w:val="single" w:color="000000" w:sz="4"/>
                  </w:tcBorders>
                  <w:vAlign w:val="top"/>
                </w:tcPr>
                <w:p>
                  <w:pPr>
                    <w:jc w:val="both"/>
                  </w:pPr>
                  <w:r>
                    <w:rPr>
                      <w:sz w:val="21"/>
                    </w:rPr>
                    <w:t>1.公共外环境统一全面投药灭鼠</w:t>
                  </w:r>
                </w:p>
              </w:tc>
              <w:tc>
                <w:tcPr>
                  <w:tcW w:type="dxa" w:w="2013"/>
                  <w:tcBorders>
                    <w:top w:val="none" w:color="000000" w:sz="4"/>
                    <w:left w:val="single" w:color="000000" w:sz="4"/>
                    <w:bottom w:val="single" w:color="000000" w:sz="4"/>
                    <w:right w:val="single" w:color="000000" w:sz="4"/>
                  </w:tcBorders>
                  <w:vAlign w:val="top"/>
                </w:tcPr>
                <w:p>
                  <w:pPr>
                    <w:jc w:val="both"/>
                  </w:pPr>
                  <w:r>
                    <w:rPr>
                      <w:sz w:val="21"/>
                    </w:rPr>
                    <w:t>灭鼠</w:t>
                  </w:r>
                  <w:r>
                    <w:rPr>
                      <w:color w:val="0000FF"/>
                      <w:sz w:val="21"/>
                    </w:rPr>
                    <w:t>8</w:t>
                  </w:r>
                  <w:r>
                    <w:rPr>
                      <w:color w:val="0000FF"/>
                      <w:sz w:val="21"/>
                    </w:rPr>
                    <w:t>轮</w:t>
                  </w:r>
                  <w:r>
                    <w:rPr>
                      <w:color w:val="0000FF"/>
                      <w:sz w:val="21"/>
                    </w:rPr>
                    <w:t>或</w:t>
                  </w:r>
                  <w:r>
                    <w:rPr>
                      <w:color w:val="0000FF"/>
                      <w:sz w:val="21"/>
                    </w:rPr>
                    <w:t>11</w:t>
                  </w:r>
                  <w:r>
                    <w:rPr>
                      <w:color w:val="0000FF"/>
                      <w:sz w:val="21"/>
                    </w:rPr>
                    <w:t>轮</w:t>
                  </w:r>
                  <w:r>
                    <w:rPr>
                      <w:sz w:val="21"/>
                    </w:rPr>
                    <w:t>,每轮</w:t>
                  </w:r>
                  <w:r>
                    <w:rPr>
                      <w:sz w:val="21"/>
                    </w:rPr>
                    <w:t>3次（包括安装足量毒鼠筒、投药、补药、清鼠迹、检查等工作），药物必须使用合法灭鼠药物，新鲜、适口性强，投放点多、量饱和，勤跟踪，及时补药。</w:t>
                  </w:r>
                </w:p>
              </w:tc>
              <w:tc>
                <w:tcPr>
                  <w:tcW w:type="dxa" w:w="786"/>
                  <w:tcBorders>
                    <w:top w:val="none" w:color="000000" w:sz="4"/>
                    <w:left w:val="single" w:color="000000" w:sz="4"/>
                    <w:bottom w:val="single" w:color="000000" w:sz="4"/>
                    <w:right w:val="single" w:color="000000" w:sz="4"/>
                  </w:tcBorders>
                  <w:vAlign w:val="top"/>
                </w:tcPr>
                <w:p>
                  <w:pPr>
                    <w:jc w:val="center"/>
                  </w:pPr>
                  <w:r>
                    <w:rPr>
                      <w:sz w:val="21"/>
                    </w:rPr>
                    <w:t>按</w:t>
                  </w:r>
                  <w:r>
                    <w:rPr>
                      <w:sz w:val="21"/>
                    </w:rPr>
                    <w:t>“服务内容、期限及频次</w:t>
                  </w:r>
                </w:p>
                <w:p>
                  <w:pPr>
                    <w:jc w:val="center"/>
                  </w:pPr>
                  <w:r>
                    <w:rPr>
                      <w:sz w:val="21"/>
                    </w:rPr>
                    <w:t>”内容中的第</w:t>
                  </w:r>
                  <w:r>
                    <w:rPr>
                      <w:sz w:val="21"/>
                    </w:rPr>
                    <w:t>3点服务频次要求执行</w:t>
                  </w:r>
                </w:p>
              </w:tc>
            </w:tr>
            <w:tr>
              <w:tc>
                <w:tcPr>
                  <w:tcW w:type="dxa" w:w="1399"/>
                  <w:vMerge/>
                  <w:tcBorders>
                    <w:top w:val="none" w:color="000000" w:sz="4"/>
                    <w:left w:val="single" w:color="000000" w:sz="4"/>
                    <w:bottom w:val="single" w:color="000000" w:sz="4"/>
                    <w:right w:val="single" w:color="000000" w:sz="4"/>
                  </w:tcBorders>
                </w:tcPr>
                <w:p/>
              </w:tc>
              <w:tc>
                <w:tcPr>
                  <w:tcW w:type="dxa" w:w="1399"/>
                  <w:tcBorders>
                    <w:top w:val="none" w:color="000000" w:sz="4"/>
                    <w:left w:val="single" w:color="000000" w:sz="4"/>
                    <w:bottom w:val="single" w:color="000000" w:sz="4"/>
                    <w:right w:val="single" w:color="000000" w:sz="4"/>
                  </w:tcBorders>
                  <w:vAlign w:val="top"/>
                </w:tcPr>
                <w:p>
                  <w:pPr>
                    <w:jc w:val="both"/>
                  </w:pPr>
                  <w:r>
                    <w:rPr>
                      <w:sz w:val="21"/>
                    </w:rPr>
                    <w:t>2.日常跟踪公共外环境灭鼠效果。</w:t>
                  </w:r>
                </w:p>
              </w:tc>
              <w:tc>
                <w:tcPr>
                  <w:tcW w:type="dxa" w:w="2013"/>
                  <w:tcBorders>
                    <w:top w:val="none" w:color="000000" w:sz="4"/>
                    <w:left w:val="single" w:color="000000" w:sz="4"/>
                    <w:bottom w:val="single" w:color="000000" w:sz="4"/>
                    <w:right w:val="single" w:color="000000" w:sz="4"/>
                  </w:tcBorders>
                  <w:vAlign w:val="top"/>
                </w:tcPr>
                <w:p>
                  <w:pPr>
                    <w:jc w:val="both"/>
                  </w:pPr>
                  <w:r>
                    <w:rPr>
                      <w:sz w:val="21"/>
                    </w:rPr>
                    <w:t>每次检查鼠迹，发现鼠迹立即清理并及时投放和补充足量灭鼠毒饵。</w:t>
                  </w:r>
                </w:p>
              </w:tc>
              <w:tc>
                <w:tcPr>
                  <w:tcW w:type="dxa" w:w="786"/>
                  <w:tcBorders>
                    <w:top w:val="none" w:color="000000" w:sz="4"/>
                    <w:left w:val="single" w:color="000000" w:sz="4"/>
                    <w:bottom w:val="single" w:color="000000" w:sz="4"/>
                    <w:right w:val="single" w:color="000000" w:sz="4"/>
                  </w:tcBorders>
                  <w:vAlign w:val="top"/>
                </w:tcPr>
                <w:p>
                  <w:pPr>
                    <w:jc w:val="center"/>
                  </w:pPr>
                  <w:r>
                    <w:rPr>
                      <w:sz w:val="21"/>
                    </w:rPr>
                    <w:t>按计划服务</w:t>
                  </w:r>
                </w:p>
              </w:tc>
            </w:tr>
            <w:tr>
              <w:tc>
                <w:tcPr>
                  <w:tcW w:type="dxa" w:w="1399"/>
                  <w:vMerge/>
                  <w:tcBorders>
                    <w:top w:val="none" w:color="000000" w:sz="4"/>
                    <w:left w:val="single" w:color="000000" w:sz="4"/>
                    <w:bottom w:val="single" w:color="000000" w:sz="4"/>
                    <w:right w:val="single" w:color="000000" w:sz="4"/>
                  </w:tcBorders>
                </w:tcPr>
                <w:p/>
              </w:tc>
              <w:tc>
                <w:tcPr>
                  <w:tcW w:type="dxa" w:w="1399"/>
                  <w:tcBorders>
                    <w:top w:val="none" w:color="000000" w:sz="4"/>
                    <w:left w:val="single" w:color="000000" w:sz="4"/>
                    <w:bottom w:val="single" w:color="000000" w:sz="4"/>
                    <w:right w:val="single" w:color="000000" w:sz="4"/>
                  </w:tcBorders>
                  <w:vAlign w:val="top"/>
                </w:tcPr>
                <w:p>
                  <w:pPr>
                    <w:jc w:val="both"/>
                  </w:pPr>
                  <w:r>
                    <w:rPr>
                      <w:sz w:val="21"/>
                    </w:rPr>
                    <w:t>3.开展鼠情监测</w:t>
                  </w:r>
                </w:p>
              </w:tc>
              <w:tc>
                <w:tcPr>
                  <w:tcW w:type="dxa" w:w="2013"/>
                  <w:tcBorders>
                    <w:top w:val="none" w:color="000000" w:sz="4"/>
                    <w:left w:val="single" w:color="000000" w:sz="4"/>
                    <w:bottom w:val="single" w:color="000000" w:sz="4"/>
                    <w:right w:val="single" w:color="000000" w:sz="4"/>
                  </w:tcBorders>
                  <w:vAlign w:val="top"/>
                </w:tcPr>
                <w:p>
                  <w:pPr>
                    <w:jc w:val="both"/>
                  </w:pPr>
                  <w:r>
                    <w:rPr>
                      <w:sz w:val="21"/>
                    </w:rPr>
                    <w:t>每季度对重点单位如食品加工场所、市场、餐饮旅业、学校饭堂、居民住宅区等会同我区相关专业人员按标准要求做好密度监测，并对重点单位做好防鼠设施指导工作。同时，做好监测记录和统计等相关资料。</w:t>
                  </w:r>
                </w:p>
              </w:tc>
              <w:tc>
                <w:tcPr>
                  <w:tcW w:type="dxa" w:w="786"/>
                  <w:tcBorders>
                    <w:top w:val="none" w:color="000000" w:sz="4"/>
                    <w:left w:val="single" w:color="000000" w:sz="4"/>
                    <w:bottom w:val="single" w:color="000000" w:sz="4"/>
                    <w:right w:val="single" w:color="000000" w:sz="4"/>
                  </w:tcBorders>
                  <w:vAlign w:val="top"/>
                </w:tcPr>
                <w:p>
                  <w:pPr>
                    <w:jc w:val="center"/>
                  </w:pPr>
                  <w:r>
                    <w:rPr>
                      <w:sz w:val="21"/>
                    </w:rPr>
                    <w:t>每季度</w:t>
                  </w:r>
                </w:p>
              </w:tc>
            </w:tr>
            <w:tr>
              <w:tc>
                <w:tcPr>
                  <w:tcW w:type="dxa" w:w="1399"/>
                  <w:vMerge w:val="restart"/>
                  <w:tcBorders>
                    <w:top w:val="none" w:color="000000" w:sz="4"/>
                    <w:left w:val="single" w:color="000000" w:sz="4"/>
                    <w:bottom w:val="single" w:color="000000" w:sz="4"/>
                    <w:right w:val="single" w:color="000000" w:sz="4"/>
                  </w:tcBorders>
                  <w:vAlign w:val="top"/>
                </w:tcPr>
                <w:p>
                  <w:pPr>
                    <w:jc w:val="center"/>
                  </w:pPr>
                  <w:r>
                    <w:rPr>
                      <w:sz w:val="21"/>
                    </w:rPr>
                    <w:t>灭蚊</w:t>
                  </w:r>
                </w:p>
              </w:tc>
              <w:tc>
                <w:tcPr>
                  <w:tcW w:type="dxa" w:w="1399"/>
                  <w:tcBorders>
                    <w:top w:val="none" w:color="000000" w:sz="4"/>
                    <w:left w:val="single" w:color="000000" w:sz="4"/>
                    <w:bottom w:val="single" w:color="000000" w:sz="4"/>
                    <w:right w:val="single" w:color="000000" w:sz="4"/>
                  </w:tcBorders>
                  <w:vAlign w:val="top"/>
                </w:tcPr>
                <w:p>
                  <w:pPr>
                    <w:jc w:val="both"/>
                  </w:pPr>
                  <w:r>
                    <w:rPr>
                      <w:sz w:val="21"/>
                    </w:rPr>
                    <w:t>1.热烟雾灭成蚊</w:t>
                  </w:r>
                </w:p>
              </w:tc>
              <w:tc>
                <w:tcPr>
                  <w:tcW w:type="dxa" w:w="2013"/>
                  <w:tcBorders>
                    <w:top w:val="none" w:color="000000" w:sz="4"/>
                    <w:left w:val="single" w:color="000000" w:sz="4"/>
                    <w:bottom w:val="single" w:color="000000" w:sz="4"/>
                    <w:right w:val="single" w:color="000000" w:sz="4"/>
                  </w:tcBorders>
                  <w:vAlign w:val="top"/>
                </w:tcPr>
                <w:p>
                  <w:pPr>
                    <w:jc w:val="both"/>
                  </w:pPr>
                  <w:r>
                    <w:rPr>
                      <w:sz w:val="21"/>
                    </w:rPr>
                    <w:t>用热烟雾机、烟雾剂对下水道、小区绿化丛林、公共车库、阴沟角落等进行地毯式烟薰杀灭成蚊（同时灭蝇、蟑螂）。</w:t>
                  </w:r>
                </w:p>
              </w:tc>
              <w:tc>
                <w:tcPr>
                  <w:tcW w:type="dxa" w:w="786"/>
                  <w:tcBorders>
                    <w:top w:val="none" w:color="000000" w:sz="4"/>
                    <w:left w:val="single" w:color="000000" w:sz="4"/>
                    <w:bottom w:val="single" w:color="000000" w:sz="4"/>
                    <w:right w:val="single" w:color="000000" w:sz="4"/>
                  </w:tcBorders>
                  <w:vAlign w:val="top"/>
                </w:tcPr>
                <w:p>
                  <w:pPr>
                    <w:jc w:val="center"/>
                  </w:pPr>
                  <w:r>
                    <w:rPr>
                      <w:sz w:val="21"/>
                    </w:rPr>
                    <w:t>按</w:t>
                  </w:r>
                  <w:r>
                    <w:rPr>
                      <w:sz w:val="21"/>
                    </w:rPr>
                    <w:t>“服务内容、期限及频次</w:t>
                  </w:r>
                </w:p>
                <w:p>
                  <w:pPr>
                    <w:jc w:val="both"/>
                  </w:pPr>
                  <w:r>
                    <w:rPr>
                      <w:sz w:val="21"/>
                    </w:rPr>
                    <w:t>”内容中的第</w:t>
                  </w:r>
                  <w:r>
                    <w:rPr>
                      <w:sz w:val="21"/>
                    </w:rPr>
                    <w:t>3点服务频次要求执行</w:t>
                  </w:r>
                </w:p>
              </w:tc>
            </w:tr>
            <w:tr>
              <w:tc>
                <w:tcPr>
                  <w:tcW w:type="dxa" w:w="1399"/>
                  <w:vMerge/>
                  <w:tcBorders>
                    <w:top w:val="none" w:color="000000" w:sz="4"/>
                    <w:left w:val="single" w:color="000000" w:sz="4"/>
                    <w:bottom w:val="single" w:color="000000" w:sz="4"/>
                    <w:right w:val="single" w:color="000000" w:sz="4"/>
                  </w:tcBorders>
                </w:tcPr>
                <w:p/>
              </w:tc>
              <w:tc>
                <w:tcPr>
                  <w:tcW w:type="dxa" w:w="1399"/>
                  <w:tcBorders>
                    <w:top w:val="none" w:color="000000" w:sz="4"/>
                    <w:left w:val="single" w:color="000000" w:sz="4"/>
                    <w:bottom w:val="single" w:color="000000" w:sz="4"/>
                    <w:right w:val="single" w:color="000000" w:sz="4"/>
                  </w:tcBorders>
                  <w:vAlign w:val="top"/>
                </w:tcPr>
                <w:p>
                  <w:pPr>
                    <w:jc w:val="both"/>
                  </w:pPr>
                  <w:r>
                    <w:rPr>
                      <w:sz w:val="21"/>
                    </w:rPr>
                    <w:t>2.药物滞留喷洒灭成蚊</w:t>
                  </w:r>
                </w:p>
              </w:tc>
              <w:tc>
                <w:tcPr>
                  <w:tcW w:type="dxa" w:w="2013"/>
                  <w:tcBorders>
                    <w:top w:val="none" w:color="000000" w:sz="4"/>
                    <w:left w:val="single" w:color="000000" w:sz="4"/>
                    <w:bottom w:val="single" w:color="000000" w:sz="4"/>
                    <w:right w:val="single" w:color="000000" w:sz="4"/>
                  </w:tcBorders>
                  <w:vAlign w:val="top"/>
                </w:tcPr>
                <w:p>
                  <w:pPr>
                    <w:jc w:val="both"/>
                  </w:pPr>
                  <w:r>
                    <w:rPr>
                      <w:sz w:val="21"/>
                    </w:rPr>
                    <w:t>用背负式机动、电动喷雾机或大中型园林喷雾机对公园、广场、无物业住宅小区、废品收购站、绿化带进行药物滞留喷洒灭成蚊。要求：每次至少出动</w:t>
                  </w:r>
                  <w:r>
                    <w:rPr>
                      <w:sz w:val="21"/>
                    </w:rPr>
                    <w:t>8</w:t>
                  </w:r>
                  <w:r>
                    <w:rPr>
                      <w:sz w:val="21"/>
                    </w:rPr>
                    <w:t>台喷雾机同时进行，另安排</w:t>
                  </w:r>
                  <w:r>
                    <w:rPr>
                      <w:sz w:val="21"/>
                    </w:rPr>
                    <w:t>1—2人负责后勤保障工作。</w:t>
                  </w:r>
                </w:p>
              </w:tc>
              <w:tc>
                <w:tcPr>
                  <w:tcW w:type="dxa" w:w="786"/>
                  <w:tcBorders>
                    <w:top w:val="none" w:color="000000" w:sz="4"/>
                    <w:left w:val="single" w:color="000000" w:sz="4"/>
                    <w:bottom w:val="single" w:color="000000" w:sz="4"/>
                    <w:right w:val="single" w:color="000000" w:sz="4"/>
                  </w:tcBorders>
                  <w:vAlign w:val="top"/>
                </w:tcPr>
                <w:p>
                  <w:pPr>
                    <w:jc w:val="center"/>
                  </w:pPr>
                  <w:r>
                    <w:rPr>
                      <w:sz w:val="21"/>
                    </w:rPr>
                    <w:t>按</w:t>
                  </w:r>
                  <w:r>
                    <w:rPr>
                      <w:sz w:val="21"/>
                    </w:rPr>
                    <w:t>“服务内容、期限及频次</w:t>
                  </w:r>
                </w:p>
                <w:p>
                  <w:pPr>
                    <w:jc w:val="both"/>
                  </w:pPr>
                  <w:r>
                    <w:rPr>
                      <w:sz w:val="21"/>
                    </w:rPr>
                    <w:t>”内容中的第</w:t>
                  </w:r>
                  <w:r>
                    <w:rPr>
                      <w:sz w:val="21"/>
                    </w:rPr>
                    <w:t>3点服务频次要求执行</w:t>
                  </w:r>
                </w:p>
              </w:tc>
            </w:tr>
            <w:tr>
              <w:tc>
                <w:tcPr>
                  <w:tcW w:type="dxa" w:w="1399"/>
                  <w:vMerge/>
                  <w:tcBorders>
                    <w:top w:val="none" w:color="000000" w:sz="4"/>
                    <w:left w:val="single" w:color="000000" w:sz="4"/>
                    <w:bottom w:val="single" w:color="000000" w:sz="4"/>
                    <w:right w:val="single" w:color="000000" w:sz="4"/>
                  </w:tcBorders>
                </w:tcPr>
                <w:p/>
              </w:tc>
              <w:tc>
                <w:tcPr>
                  <w:tcW w:type="dxa" w:w="1399"/>
                  <w:tcBorders>
                    <w:top w:val="none" w:color="000000" w:sz="4"/>
                    <w:left w:val="single" w:color="000000" w:sz="4"/>
                    <w:bottom w:val="single" w:color="000000" w:sz="4"/>
                    <w:right w:val="single" w:color="000000" w:sz="4"/>
                  </w:tcBorders>
                  <w:vAlign w:val="top"/>
                </w:tcPr>
                <w:p>
                  <w:pPr>
                    <w:jc w:val="both"/>
                  </w:pPr>
                  <w:r>
                    <w:rPr>
                      <w:sz w:val="21"/>
                    </w:rPr>
                    <w:t>3.药泡木塞</w:t>
                  </w:r>
                  <w:r>
                    <w:rPr>
                      <w:sz w:val="21"/>
                    </w:rPr>
                    <w:t>或缓释包</w:t>
                  </w:r>
                  <w:r>
                    <w:rPr>
                      <w:sz w:val="21"/>
                    </w:rPr>
                    <w:t>控制蚊幼虫</w:t>
                  </w:r>
                </w:p>
              </w:tc>
              <w:tc>
                <w:tcPr>
                  <w:tcW w:type="dxa" w:w="2013"/>
                  <w:tcBorders>
                    <w:top w:val="none" w:color="000000" w:sz="4"/>
                    <w:left w:val="single" w:color="000000" w:sz="4"/>
                    <w:bottom w:val="single" w:color="000000" w:sz="4"/>
                    <w:right w:val="single" w:color="000000" w:sz="4"/>
                  </w:tcBorders>
                  <w:vAlign w:val="top"/>
                </w:tcPr>
                <w:p>
                  <w:pPr>
                    <w:jc w:val="both"/>
                  </w:pPr>
                  <w:r>
                    <w:rPr>
                      <w:sz w:val="21"/>
                    </w:rPr>
                    <w:t>用卫生杀虫剂充分浸泡过的软木塞</w:t>
                  </w:r>
                  <w:r>
                    <w:rPr>
                      <w:sz w:val="21"/>
                    </w:rPr>
                    <w:t>、缓释包</w:t>
                  </w:r>
                  <w:r>
                    <w:rPr>
                      <w:sz w:val="21"/>
                    </w:rPr>
                    <w:t>或灭蚊幼颗粒剂，投放于下水道进水口等蚊虫孳生地，防止蚊幼虫孳生。要求：木塞完全吊放入积水中，每次均用不同颜色的系绳区分，对失效的旧木塞进行回收。</w:t>
                  </w:r>
                </w:p>
              </w:tc>
              <w:tc>
                <w:tcPr>
                  <w:tcW w:type="dxa" w:w="786"/>
                  <w:tcBorders>
                    <w:top w:val="none" w:color="000000" w:sz="4"/>
                    <w:left w:val="single" w:color="000000" w:sz="4"/>
                    <w:bottom w:val="single" w:color="000000" w:sz="4"/>
                    <w:right w:val="single" w:color="000000" w:sz="4"/>
                  </w:tcBorders>
                  <w:vAlign w:val="top"/>
                </w:tcPr>
                <w:p>
                  <w:pPr>
                    <w:jc w:val="center"/>
                  </w:pPr>
                  <w:r>
                    <w:rPr>
                      <w:sz w:val="21"/>
                    </w:rPr>
                    <w:t>按</w:t>
                  </w:r>
                  <w:r>
                    <w:rPr>
                      <w:sz w:val="21"/>
                    </w:rPr>
                    <w:t>“服务内容、期限及频次</w:t>
                  </w:r>
                </w:p>
                <w:p>
                  <w:pPr>
                    <w:jc w:val="center"/>
                  </w:pPr>
                  <w:r>
                    <w:rPr>
                      <w:sz w:val="21"/>
                    </w:rPr>
                    <w:t>”内容中的第</w:t>
                  </w:r>
                  <w:r>
                    <w:rPr>
                      <w:sz w:val="21"/>
                    </w:rPr>
                    <w:t>3点服务频次要求执行</w:t>
                  </w:r>
                </w:p>
              </w:tc>
            </w:tr>
            <w:tr>
              <w:tc>
                <w:tcPr>
                  <w:tcW w:type="dxa" w:w="1399"/>
                  <w:vMerge/>
                  <w:tcBorders>
                    <w:top w:val="none" w:color="000000" w:sz="4"/>
                    <w:left w:val="single" w:color="000000" w:sz="4"/>
                    <w:bottom w:val="single" w:color="000000" w:sz="4"/>
                    <w:right w:val="single" w:color="000000" w:sz="4"/>
                  </w:tcBorders>
                </w:tcPr>
                <w:p/>
              </w:tc>
              <w:tc>
                <w:tcPr>
                  <w:tcW w:type="dxa" w:w="1399"/>
                  <w:tcBorders>
                    <w:top w:val="none" w:color="000000" w:sz="4"/>
                    <w:left w:val="single" w:color="000000" w:sz="4"/>
                    <w:bottom w:val="single" w:color="000000" w:sz="4"/>
                    <w:right w:val="single" w:color="000000" w:sz="4"/>
                  </w:tcBorders>
                  <w:vAlign w:val="top"/>
                </w:tcPr>
                <w:p>
                  <w:pPr>
                    <w:jc w:val="both"/>
                  </w:pPr>
                  <w:r>
                    <w:rPr>
                      <w:sz w:val="21"/>
                    </w:rPr>
                    <w:t>4.大中型水体防控</w:t>
                  </w:r>
                </w:p>
              </w:tc>
              <w:tc>
                <w:tcPr>
                  <w:tcW w:type="dxa" w:w="2013"/>
                  <w:tcBorders>
                    <w:top w:val="none" w:color="000000" w:sz="4"/>
                    <w:left w:val="single" w:color="000000" w:sz="4"/>
                    <w:bottom w:val="single" w:color="000000" w:sz="4"/>
                    <w:right w:val="single" w:color="000000" w:sz="4"/>
                  </w:tcBorders>
                  <w:vAlign w:val="top"/>
                </w:tcPr>
                <w:p>
                  <w:pPr>
                    <w:jc w:val="both"/>
                  </w:pPr>
                  <w:r>
                    <w:rPr>
                      <w:sz w:val="21"/>
                    </w:rPr>
                    <w:t>对承包范围内的大中型水体（如死水塘、污水涌等）进行定期跟踪检查，如发现蚊幼虫孳生，立即投药处理。</w:t>
                  </w:r>
                </w:p>
              </w:tc>
              <w:tc>
                <w:tcPr>
                  <w:tcW w:type="dxa" w:w="786"/>
                  <w:tcBorders>
                    <w:top w:val="none" w:color="000000" w:sz="4"/>
                    <w:left w:val="single" w:color="000000" w:sz="4"/>
                    <w:bottom w:val="single" w:color="000000" w:sz="4"/>
                    <w:right w:val="single" w:color="000000" w:sz="4"/>
                  </w:tcBorders>
                  <w:vAlign w:val="top"/>
                </w:tcPr>
                <w:p>
                  <w:pPr>
                    <w:jc w:val="center"/>
                  </w:pPr>
                  <w:r>
                    <w:rPr>
                      <w:sz w:val="21"/>
                    </w:rPr>
                    <w:t>按</w:t>
                  </w:r>
                  <w:r>
                    <w:rPr>
                      <w:sz w:val="21"/>
                    </w:rPr>
                    <w:t>“服务内容、期限及频次</w:t>
                  </w:r>
                </w:p>
                <w:p>
                  <w:pPr>
                    <w:jc w:val="center"/>
                  </w:pPr>
                  <w:r>
                    <w:rPr>
                      <w:sz w:val="21"/>
                    </w:rPr>
                    <w:t>”内容中的第</w:t>
                  </w:r>
                  <w:r>
                    <w:rPr>
                      <w:sz w:val="21"/>
                    </w:rPr>
                    <w:t>3点服务频次要求执行</w:t>
                  </w:r>
                </w:p>
              </w:tc>
            </w:tr>
            <w:tr>
              <w:tc>
                <w:tcPr>
                  <w:tcW w:type="dxa" w:w="1399"/>
                  <w:vMerge/>
                  <w:tcBorders>
                    <w:top w:val="none" w:color="000000" w:sz="4"/>
                    <w:left w:val="single" w:color="000000" w:sz="4"/>
                    <w:bottom w:val="single" w:color="000000" w:sz="4"/>
                    <w:right w:val="single" w:color="000000" w:sz="4"/>
                  </w:tcBorders>
                </w:tcPr>
                <w:p/>
              </w:tc>
              <w:tc>
                <w:tcPr>
                  <w:tcW w:type="dxa" w:w="1399"/>
                  <w:tcBorders>
                    <w:top w:val="none" w:color="000000" w:sz="4"/>
                    <w:left w:val="single" w:color="000000" w:sz="4"/>
                    <w:bottom w:val="single" w:color="000000" w:sz="4"/>
                    <w:right w:val="single" w:color="000000" w:sz="4"/>
                  </w:tcBorders>
                  <w:vAlign w:val="top"/>
                </w:tcPr>
                <w:p>
                  <w:pPr>
                    <w:jc w:val="both"/>
                  </w:pPr>
                  <w:r>
                    <w:rPr>
                      <w:sz w:val="21"/>
                    </w:rPr>
                    <w:t>5.各类小积水处理</w:t>
                  </w:r>
                </w:p>
              </w:tc>
              <w:tc>
                <w:tcPr>
                  <w:tcW w:type="dxa" w:w="2013"/>
                  <w:tcBorders>
                    <w:top w:val="none" w:color="000000" w:sz="4"/>
                    <w:left w:val="single" w:color="000000" w:sz="4"/>
                    <w:bottom w:val="single" w:color="000000" w:sz="4"/>
                    <w:right w:val="single" w:color="000000" w:sz="4"/>
                  </w:tcBorders>
                  <w:vAlign w:val="top"/>
                </w:tcPr>
                <w:p>
                  <w:pPr>
                    <w:jc w:val="both"/>
                  </w:pPr>
                  <w:r>
                    <w:rPr>
                      <w:sz w:val="21"/>
                    </w:rPr>
                    <w:t>对承包范围的公共外环境各类积水进行检查处理，对不能清理的蚊虫孳生地，要采取投药或放养鱼类等方法进行科学防制。</w:t>
                  </w:r>
                </w:p>
              </w:tc>
              <w:tc>
                <w:tcPr>
                  <w:tcW w:type="dxa" w:w="786"/>
                  <w:tcBorders>
                    <w:top w:val="none" w:color="000000" w:sz="4"/>
                    <w:left w:val="single" w:color="000000" w:sz="4"/>
                    <w:bottom w:val="single" w:color="000000" w:sz="4"/>
                    <w:right w:val="single" w:color="000000" w:sz="4"/>
                  </w:tcBorders>
                  <w:vAlign w:val="top"/>
                </w:tcPr>
                <w:p>
                  <w:pPr>
                    <w:jc w:val="center"/>
                  </w:pPr>
                  <w:r>
                    <w:rPr>
                      <w:sz w:val="21"/>
                    </w:rPr>
                    <w:t>按</w:t>
                  </w:r>
                  <w:r>
                    <w:rPr>
                      <w:sz w:val="21"/>
                    </w:rPr>
                    <w:t>“服务内容、期限及频次</w:t>
                  </w:r>
                </w:p>
                <w:p>
                  <w:pPr>
                    <w:jc w:val="center"/>
                  </w:pPr>
                  <w:r>
                    <w:rPr>
                      <w:sz w:val="21"/>
                    </w:rPr>
                    <w:t>”内容中的第</w:t>
                  </w:r>
                  <w:r>
                    <w:rPr>
                      <w:sz w:val="21"/>
                    </w:rPr>
                    <w:t>3点服务频次要求执行</w:t>
                  </w:r>
                </w:p>
              </w:tc>
            </w:tr>
            <w:tr>
              <w:tc>
                <w:tcPr>
                  <w:tcW w:type="dxa" w:w="1399"/>
                  <w:vMerge w:val="restart"/>
                  <w:tcBorders>
                    <w:top w:val="none" w:color="000000" w:sz="4"/>
                    <w:left w:val="single" w:color="000000" w:sz="4"/>
                    <w:bottom w:val="single" w:color="000000" w:sz="4"/>
                    <w:right w:val="single" w:color="000000" w:sz="4"/>
                  </w:tcBorders>
                  <w:vAlign w:val="top"/>
                </w:tcPr>
                <w:p>
                  <w:pPr>
                    <w:jc w:val="center"/>
                  </w:pPr>
                  <w:r>
                    <w:rPr>
                      <w:sz w:val="21"/>
                    </w:rPr>
                    <w:t>灭蝇</w:t>
                  </w:r>
                </w:p>
              </w:tc>
              <w:tc>
                <w:tcPr>
                  <w:tcW w:type="dxa" w:w="1399"/>
                  <w:tcBorders>
                    <w:top w:val="none" w:color="000000" w:sz="4"/>
                    <w:left w:val="single" w:color="000000" w:sz="4"/>
                    <w:bottom w:val="single" w:color="000000" w:sz="4"/>
                    <w:right w:val="single" w:color="000000" w:sz="4"/>
                  </w:tcBorders>
                  <w:vAlign w:val="top"/>
                </w:tcPr>
                <w:p>
                  <w:pPr>
                    <w:jc w:val="both"/>
                  </w:pPr>
                  <w:r>
                    <w:rPr>
                      <w:sz w:val="21"/>
                    </w:rPr>
                    <w:t>1.公厕、垃圾站灭蝇</w:t>
                  </w:r>
                </w:p>
              </w:tc>
              <w:tc>
                <w:tcPr>
                  <w:tcW w:type="dxa" w:w="2013"/>
                  <w:tcBorders>
                    <w:top w:val="none" w:color="000000" w:sz="4"/>
                    <w:left w:val="single" w:color="000000" w:sz="4"/>
                    <w:bottom w:val="single" w:color="000000" w:sz="4"/>
                    <w:right w:val="single" w:color="000000" w:sz="4"/>
                  </w:tcBorders>
                  <w:vAlign w:val="top"/>
                </w:tcPr>
                <w:p>
                  <w:pPr>
                    <w:jc w:val="both"/>
                  </w:pPr>
                  <w:r>
                    <w:rPr>
                      <w:sz w:val="21"/>
                    </w:rPr>
                    <w:t>用喷雾机定期对市政公厕、中转站、垃圾屋、垃圾池、垃圾桶、垃圾车以及卫生死角、垃圾堆进行空间、滞留喷药灭蝇，在市开展城市管理考评等迎检期间要加强防制。</w:t>
                  </w:r>
                </w:p>
              </w:tc>
              <w:tc>
                <w:tcPr>
                  <w:tcW w:type="dxa" w:w="786"/>
                  <w:tcBorders>
                    <w:top w:val="none" w:color="000000" w:sz="4"/>
                    <w:left w:val="single" w:color="000000" w:sz="4"/>
                    <w:bottom w:val="single" w:color="000000" w:sz="4"/>
                    <w:right w:val="single" w:color="000000" w:sz="4"/>
                  </w:tcBorders>
                  <w:vAlign w:val="top"/>
                </w:tcPr>
                <w:p>
                  <w:pPr>
                    <w:jc w:val="center"/>
                  </w:pPr>
                  <w:r>
                    <w:rPr>
                      <w:sz w:val="21"/>
                    </w:rPr>
                    <w:t>按</w:t>
                  </w:r>
                  <w:r>
                    <w:rPr>
                      <w:sz w:val="21"/>
                    </w:rPr>
                    <w:t>“服务内容、期限及频次</w:t>
                  </w:r>
                </w:p>
                <w:p>
                  <w:pPr>
                    <w:jc w:val="center"/>
                  </w:pPr>
                  <w:r>
                    <w:rPr>
                      <w:sz w:val="21"/>
                    </w:rPr>
                    <w:t>”内容中的第</w:t>
                  </w:r>
                  <w:r>
                    <w:rPr>
                      <w:sz w:val="21"/>
                    </w:rPr>
                    <w:t>3点服务频次要求执行</w:t>
                  </w:r>
                </w:p>
              </w:tc>
            </w:tr>
            <w:tr>
              <w:tc>
                <w:tcPr>
                  <w:tcW w:type="dxa" w:w="1399"/>
                  <w:vMerge/>
                  <w:tcBorders>
                    <w:top w:val="none" w:color="000000" w:sz="4"/>
                    <w:left w:val="single" w:color="000000" w:sz="4"/>
                    <w:bottom w:val="single" w:color="000000" w:sz="4"/>
                    <w:right w:val="single" w:color="000000" w:sz="4"/>
                  </w:tcBorders>
                </w:tcPr>
                <w:p/>
              </w:tc>
              <w:tc>
                <w:tcPr>
                  <w:tcW w:type="dxa" w:w="1399"/>
                  <w:tcBorders>
                    <w:top w:val="none" w:color="000000" w:sz="4"/>
                    <w:left w:val="single" w:color="000000" w:sz="4"/>
                    <w:bottom w:val="single" w:color="000000" w:sz="4"/>
                    <w:right w:val="single" w:color="000000" w:sz="4"/>
                  </w:tcBorders>
                  <w:vAlign w:val="top"/>
                </w:tcPr>
                <w:p>
                  <w:pPr>
                    <w:jc w:val="both"/>
                  </w:pPr>
                  <w:r>
                    <w:rPr>
                      <w:sz w:val="21"/>
                    </w:rPr>
                    <w:t>2.蝇类孳生地检查处理</w:t>
                  </w:r>
                </w:p>
              </w:tc>
              <w:tc>
                <w:tcPr>
                  <w:tcW w:type="dxa" w:w="2013"/>
                  <w:tcBorders>
                    <w:top w:val="none" w:color="000000" w:sz="4"/>
                    <w:left w:val="single" w:color="000000" w:sz="4"/>
                    <w:bottom w:val="single" w:color="000000" w:sz="4"/>
                    <w:right w:val="single" w:color="000000" w:sz="4"/>
                  </w:tcBorders>
                  <w:vAlign w:val="top"/>
                </w:tcPr>
                <w:p>
                  <w:pPr>
                    <w:jc w:val="both"/>
                  </w:pPr>
                  <w:r>
                    <w:rPr>
                      <w:sz w:val="21"/>
                    </w:rPr>
                    <w:t>检查处理蝇类孳生地，对不能清理的蝇类孳生地，进行投药防制。</w:t>
                  </w:r>
                </w:p>
              </w:tc>
              <w:tc>
                <w:tcPr>
                  <w:tcW w:type="dxa" w:w="786"/>
                  <w:tcBorders>
                    <w:top w:val="none" w:color="000000" w:sz="4"/>
                    <w:left w:val="single" w:color="000000" w:sz="4"/>
                    <w:bottom w:val="single" w:color="000000" w:sz="4"/>
                    <w:right w:val="single" w:color="000000" w:sz="4"/>
                  </w:tcBorders>
                  <w:vAlign w:val="top"/>
                </w:tcPr>
                <w:p>
                  <w:pPr>
                    <w:jc w:val="center"/>
                  </w:pPr>
                  <w:r>
                    <w:rPr>
                      <w:sz w:val="21"/>
                    </w:rPr>
                    <w:t>按</w:t>
                  </w:r>
                  <w:r>
                    <w:rPr>
                      <w:sz w:val="21"/>
                    </w:rPr>
                    <w:t>“服务内容、期限及频次</w:t>
                  </w:r>
                </w:p>
                <w:p>
                  <w:pPr>
                    <w:jc w:val="center"/>
                  </w:pPr>
                  <w:r>
                    <w:rPr>
                      <w:sz w:val="21"/>
                    </w:rPr>
                    <w:t>”内容中第</w:t>
                  </w:r>
                  <w:r>
                    <w:rPr>
                      <w:sz w:val="21"/>
                    </w:rPr>
                    <w:t>3点服务频次要求执行</w:t>
                  </w:r>
                </w:p>
              </w:tc>
            </w:tr>
            <w:tr>
              <w:tc>
                <w:tcPr>
                  <w:tcW w:type="dxa" w:w="1399"/>
                  <w:tcBorders>
                    <w:top w:val="none" w:color="000000" w:sz="4"/>
                    <w:left w:val="single" w:color="000000" w:sz="4"/>
                    <w:bottom w:val="single" w:color="000000" w:sz="4"/>
                    <w:right w:val="single" w:color="000000" w:sz="4"/>
                  </w:tcBorders>
                  <w:vAlign w:val="top"/>
                </w:tcPr>
                <w:p>
                  <w:pPr>
                    <w:jc w:val="center"/>
                  </w:pPr>
                  <w:r>
                    <w:rPr>
                      <w:sz w:val="21"/>
                    </w:rPr>
                    <w:t>灭蟑</w:t>
                  </w:r>
                </w:p>
              </w:tc>
              <w:tc>
                <w:tcPr>
                  <w:tcW w:type="dxa" w:w="1399"/>
                  <w:tcBorders>
                    <w:top w:val="none" w:color="000000" w:sz="4"/>
                    <w:left w:val="single" w:color="000000" w:sz="4"/>
                    <w:bottom w:val="single" w:color="000000" w:sz="4"/>
                    <w:right w:val="single" w:color="000000" w:sz="4"/>
                  </w:tcBorders>
                  <w:vAlign w:val="top"/>
                </w:tcPr>
                <w:p>
                  <w:pPr>
                    <w:jc w:val="both"/>
                  </w:pPr>
                  <w:r>
                    <w:rPr>
                      <w:sz w:val="21"/>
                    </w:rPr>
                    <w:t>下水道灭蟑螂</w:t>
                  </w:r>
                </w:p>
              </w:tc>
              <w:tc>
                <w:tcPr>
                  <w:tcW w:type="dxa" w:w="2013"/>
                  <w:tcBorders>
                    <w:top w:val="none" w:color="000000" w:sz="4"/>
                    <w:left w:val="single" w:color="000000" w:sz="4"/>
                    <w:bottom w:val="single" w:color="000000" w:sz="4"/>
                    <w:right w:val="single" w:color="000000" w:sz="4"/>
                  </w:tcBorders>
                  <w:vAlign w:val="top"/>
                </w:tcPr>
                <w:p>
                  <w:pPr>
                    <w:jc w:val="both"/>
                  </w:pPr>
                  <w:r>
                    <w:rPr>
                      <w:sz w:val="21"/>
                    </w:rPr>
                    <w:t>对下水道</w:t>
                  </w:r>
                  <w:r>
                    <w:rPr>
                      <w:sz w:val="21"/>
                    </w:rPr>
                    <w:t>、</w:t>
                  </w:r>
                  <w:r>
                    <w:rPr>
                      <w:sz w:val="21"/>
                    </w:rPr>
                    <w:t>阴沟角落等进行烟雾灭蟑。</w:t>
                  </w:r>
                </w:p>
              </w:tc>
              <w:tc>
                <w:tcPr>
                  <w:tcW w:type="dxa" w:w="786"/>
                  <w:tcBorders>
                    <w:top w:val="none" w:color="000000" w:sz="4"/>
                    <w:left w:val="single" w:color="000000" w:sz="4"/>
                    <w:bottom w:val="single" w:color="000000" w:sz="4"/>
                    <w:right w:val="single" w:color="000000" w:sz="4"/>
                  </w:tcBorders>
                  <w:vAlign w:val="top"/>
                </w:tcPr>
                <w:p>
                  <w:pPr>
                    <w:jc w:val="center"/>
                  </w:pPr>
                  <w:r>
                    <w:rPr>
                      <w:sz w:val="21"/>
                    </w:rPr>
                    <w:t>按</w:t>
                  </w:r>
                  <w:r>
                    <w:rPr>
                      <w:sz w:val="21"/>
                    </w:rPr>
                    <w:t>“服务内容、期限及频次</w:t>
                  </w:r>
                </w:p>
                <w:p>
                  <w:pPr>
                    <w:jc w:val="center"/>
                  </w:pPr>
                  <w:r>
                    <w:rPr>
                      <w:sz w:val="21"/>
                    </w:rPr>
                    <w:t>”内容中的第</w:t>
                  </w:r>
                  <w:r>
                    <w:rPr>
                      <w:sz w:val="21"/>
                    </w:rPr>
                    <w:t>3点服务频次要求执行</w:t>
                  </w:r>
                </w:p>
              </w:tc>
            </w:tr>
            <w:tr>
              <w:tc>
                <w:tcPr>
                  <w:tcW w:type="dxa" w:w="1399"/>
                  <w:tcBorders>
                    <w:top w:val="none" w:color="000000" w:sz="4"/>
                    <w:left w:val="single" w:color="000000" w:sz="4"/>
                    <w:bottom w:val="single" w:color="000000" w:sz="4"/>
                    <w:right w:val="single" w:color="000000" w:sz="4"/>
                  </w:tcBorders>
                  <w:vAlign w:val="top"/>
                </w:tcPr>
                <w:p>
                  <w:pPr>
                    <w:jc w:val="center"/>
                  </w:pPr>
                  <w:r>
                    <w:rPr>
                      <w:sz w:val="21"/>
                    </w:rPr>
                    <w:t>工作</w:t>
                  </w:r>
                </w:p>
                <w:p>
                  <w:pPr>
                    <w:jc w:val="center"/>
                  </w:pPr>
                  <w:r>
                    <w:rPr>
                      <w:sz w:val="21"/>
                    </w:rPr>
                    <w:t>登记</w:t>
                  </w:r>
                </w:p>
              </w:tc>
              <w:tc>
                <w:tcPr>
                  <w:tcW w:type="dxa" w:w="1399"/>
                  <w:tcBorders>
                    <w:top w:val="none" w:color="000000" w:sz="4"/>
                    <w:left w:val="single" w:color="000000" w:sz="4"/>
                    <w:bottom w:val="single" w:color="000000" w:sz="4"/>
                    <w:right w:val="single" w:color="000000" w:sz="4"/>
                  </w:tcBorders>
                  <w:vAlign w:val="top"/>
                </w:tcPr>
                <w:p>
                  <w:pPr>
                    <w:jc w:val="both"/>
                  </w:pPr>
                  <w:r>
                    <w:rPr>
                      <w:sz w:val="21"/>
                    </w:rPr>
                    <w:t>对消杀工作情况进行登记</w:t>
                  </w:r>
                </w:p>
              </w:tc>
              <w:tc>
                <w:tcPr>
                  <w:tcW w:type="dxa" w:w="2013"/>
                  <w:tcBorders>
                    <w:top w:val="none" w:color="000000" w:sz="4"/>
                    <w:left w:val="single" w:color="000000" w:sz="4"/>
                    <w:bottom w:val="single" w:color="000000" w:sz="4"/>
                    <w:right w:val="single" w:color="000000" w:sz="4"/>
                  </w:tcBorders>
                  <w:vAlign w:val="top"/>
                </w:tcPr>
                <w:p>
                  <w:pPr>
                    <w:jc w:val="both"/>
                  </w:pPr>
                  <w:r>
                    <w:rPr>
                      <w:sz w:val="21"/>
                    </w:rPr>
                    <w:t>设置专用的消杀情况登记薄，对每次开展消杀工作情况（含日期、地点、消杀内容、消杀人员姓名、使用药物、药量等）进行详细记录。</w:t>
                  </w:r>
                </w:p>
              </w:tc>
              <w:tc>
                <w:tcPr>
                  <w:tcW w:type="dxa" w:w="786"/>
                  <w:tcBorders>
                    <w:top w:val="none" w:color="000000" w:sz="4"/>
                    <w:left w:val="single" w:color="000000" w:sz="4"/>
                    <w:bottom w:val="single" w:color="000000" w:sz="4"/>
                    <w:right w:val="single" w:color="000000" w:sz="4"/>
                  </w:tcBorders>
                  <w:vAlign w:val="top"/>
                </w:tcPr>
                <w:p>
                  <w:pPr>
                    <w:jc w:val="center"/>
                  </w:pPr>
                  <w:r>
                    <w:rPr>
                      <w:sz w:val="21"/>
                    </w:rPr>
                    <w:t>每次服务完三天内提供</w:t>
                  </w:r>
                </w:p>
              </w:tc>
            </w:tr>
            <w:tr>
              <w:tc>
                <w:tcPr>
                  <w:tcW w:type="dxa" w:w="1399"/>
                  <w:tcBorders>
                    <w:top w:val="none" w:color="000000" w:sz="4"/>
                    <w:left w:val="single" w:color="000000" w:sz="4"/>
                    <w:bottom w:val="single" w:color="000000" w:sz="4"/>
                    <w:right w:val="single" w:color="000000" w:sz="4"/>
                  </w:tcBorders>
                  <w:vAlign w:val="top"/>
                </w:tcPr>
                <w:p>
                  <w:pPr>
                    <w:jc w:val="center"/>
                  </w:pPr>
                  <w:r>
                    <w:rPr>
                      <w:sz w:val="21"/>
                    </w:rPr>
                    <w:t>密度</w:t>
                  </w:r>
                </w:p>
                <w:p>
                  <w:pPr>
                    <w:jc w:val="center"/>
                  </w:pPr>
                  <w:r>
                    <w:rPr>
                      <w:sz w:val="21"/>
                    </w:rPr>
                    <w:t>监测</w:t>
                  </w:r>
                </w:p>
              </w:tc>
              <w:tc>
                <w:tcPr>
                  <w:tcW w:type="dxa" w:w="1399"/>
                  <w:tcBorders>
                    <w:top w:val="none" w:color="000000" w:sz="4"/>
                    <w:left w:val="single" w:color="000000" w:sz="4"/>
                    <w:bottom w:val="single" w:color="000000" w:sz="4"/>
                    <w:right w:val="single" w:color="000000" w:sz="4"/>
                  </w:tcBorders>
                  <w:vAlign w:val="top"/>
                </w:tcPr>
                <w:p>
                  <w:pPr>
                    <w:jc w:val="both"/>
                  </w:pPr>
                  <w:r>
                    <w:rPr>
                      <w:sz w:val="21"/>
                    </w:rPr>
                    <w:t>定期开展承包区域四害密度监测</w:t>
                  </w:r>
                </w:p>
              </w:tc>
              <w:tc>
                <w:tcPr>
                  <w:tcW w:type="dxa" w:w="2013"/>
                  <w:tcBorders>
                    <w:top w:val="none" w:color="000000" w:sz="4"/>
                    <w:left w:val="single" w:color="000000" w:sz="4"/>
                    <w:bottom w:val="single" w:color="000000" w:sz="4"/>
                    <w:right w:val="single" w:color="000000" w:sz="4"/>
                  </w:tcBorders>
                  <w:vAlign w:val="top"/>
                </w:tcPr>
                <w:p>
                  <w:pPr>
                    <w:jc w:val="both"/>
                  </w:pPr>
                  <w:r>
                    <w:rPr>
                      <w:sz w:val="21"/>
                    </w:rPr>
                    <w:t>按要求开展本承包区域的鼠、蚊、蝇、蟑螂密度监测。要求根据国家制定的标准要求与方法，定期监测一次，准确、如实记录、统计监测情况，每</w:t>
                  </w:r>
                  <w:r>
                    <w:rPr>
                      <w:sz w:val="21"/>
                    </w:rPr>
                    <w:t>季度将上一轮</w:t>
                  </w:r>
                  <w:r>
                    <w:rPr>
                      <w:sz w:val="21"/>
                    </w:rPr>
                    <w:t>的监测统计表及用药情况统计表书面报发包人。同时，完善全年的监测资料，建立健全档案专柜保管。</w:t>
                  </w:r>
                </w:p>
              </w:tc>
              <w:tc>
                <w:tcPr>
                  <w:tcW w:type="dxa" w:w="786"/>
                  <w:tcBorders>
                    <w:top w:val="none" w:color="000000" w:sz="4"/>
                    <w:left w:val="single" w:color="000000" w:sz="4"/>
                    <w:bottom w:val="single" w:color="000000" w:sz="4"/>
                    <w:right w:val="single" w:color="000000" w:sz="4"/>
                  </w:tcBorders>
                  <w:vAlign w:val="top"/>
                </w:tcPr>
                <w:p>
                  <w:pPr>
                    <w:jc w:val="center"/>
                  </w:pPr>
                  <w:r>
                    <w:rPr>
                      <w:sz w:val="21"/>
                    </w:rPr>
                    <w:t>每季度一次</w:t>
                  </w:r>
                </w:p>
              </w:tc>
            </w:tr>
            <w:tr>
              <w:tc>
                <w:tcPr>
                  <w:tcW w:type="dxa" w:w="1399"/>
                  <w:tcBorders>
                    <w:top w:val="none" w:color="000000" w:sz="4"/>
                    <w:left w:val="single" w:color="000000" w:sz="4"/>
                    <w:bottom w:val="single" w:color="000000" w:sz="4"/>
                    <w:right w:val="single" w:color="000000" w:sz="4"/>
                  </w:tcBorders>
                  <w:vAlign w:val="top"/>
                </w:tcPr>
                <w:p>
                  <w:pPr>
                    <w:jc w:val="center"/>
                  </w:pPr>
                  <w:r>
                    <w:rPr>
                      <w:sz w:val="21"/>
                    </w:rPr>
                    <w:t>应急响应</w:t>
                  </w:r>
                </w:p>
              </w:tc>
              <w:tc>
                <w:tcPr>
                  <w:tcW w:type="dxa" w:w="1399"/>
                  <w:tcBorders>
                    <w:top w:val="none" w:color="000000" w:sz="4"/>
                    <w:left w:val="single" w:color="000000" w:sz="4"/>
                    <w:bottom w:val="single" w:color="000000" w:sz="4"/>
                    <w:right w:val="single" w:color="000000" w:sz="4"/>
                  </w:tcBorders>
                  <w:vAlign w:val="top"/>
                </w:tcPr>
                <w:p>
                  <w:pPr>
                    <w:jc w:val="both"/>
                  </w:pPr>
                  <w:r>
                    <w:rPr>
                      <w:sz w:val="21"/>
                    </w:rPr>
                    <w:t>如遇重大疫情需应急响应</w:t>
                  </w:r>
                  <w:r>
                    <w:rPr>
                      <w:sz w:val="21"/>
                    </w:rPr>
                    <w:t>（</w:t>
                  </w:r>
                  <w:r>
                    <w:rPr>
                      <w:sz w:val="21"/>
                    </w:rPr>
                    <w:t>登革热</w:t>
                  </w:r>
                  <w:r>
                    <w:rPr>
                      <w:sz w:val="21"/>
                    </w:rPr>
                    <w:t>等传染病</w:t>
                  </w:r>
                  <w:r>
                    <w:rPr>
                      <w:sz w:val="21"/>
                    </w:rPr>
                    <w:t>高发</w:t>
                  </w:r>
                  <w:r>
                    <w:rPr>
                      <w:sz w:val="21"/>
                    </w:rPr>
                    <w:t>季节</w:t>
                  </w:r>
                  <w:r>
                    <w:rPr>
                      <w:sz w:val="21"/>
                    </w:rPr>
                    <w:t>）</w:t>
                  </w:r>
                </w:p>
              </w:tc>
              <w:tc>
                <w:tcPr>
                  <w:tcW w:type="dxa" w:w="2013"/>
                  <w:tcBorders>
                    <w:top w:val="none" w:color="000000" w:sz="4"/>
                    <w:left w:val="single" w:color="000000" w:sz="4"/>
                    <w:bottom w:val="single" w:color="000000" w:sz="4"/>
                    <w:right w:val="single" w:color="000000" w:sz="4"/>
                  </w:tcBorders>
                  <w:vAlign w:val="top"/>
                </w:tcPr>
                <w:p>
                  <w:pPr>
                    <w:jc w:val="both"/>
                  </w:pPr>
                  <w:r>
                    <w:rPr>
                      <w:sz w:val="21"/>
                    </w:rPr>
                    <w:t>遇到突发事件如登革热病等传播，另行开展登革热防控灭蚊专项行动（成蚊灭杀和孳生地处理），药物及服务费另安排预算。</w:t>
                  </w:r>
                </w:p>
              </w:tc>
              <w:tc>
                <w:tcPr>
                  <w:tcW w:type="dxa" w:w="786"/>
                  <w:tcBorders>
                    <w:top w:val="none" w:color="000000" w:sz="4"/>
                    <w:left w:val="single" w:color="000000" w:sz="4"/>
                    <w:bottom w:val="single" w:color="000000" w:sz="4"/>
                    <w:right w:val="single" w:color="000000" w:sz="4"/>
                  </w:tcBorders>
                  <w:vAlign w:val="top"/>
                </w:tcPr>
                <w:p>
                  <w:pPr>
                    <w:jc w:val="center"/>
                  </w:pPr>
                  <w:r>
                    <w:rPr>
                      <w:sz w:val="21"/>
                    </w:rPr>
                    <w:t>应急响应要</w:t>
                  </w:r>
                  <w:r>
                    <w:rPr>
                      <w:sz w:val="21"/>
                    </w:rPr>
                    <w:t>1小时内到达。</w:t>
                  </w:r>
                </w:p>
              </w:tc>
            </w:tr>
          </w:tbl>
        </w:tc>
      </w:tr>
      <w:tr>
        <w:tc>
          <w:tcPr>
            <w:tcW w:type="dxa" w:w="2076"/>
          </w:tcPr>
          <w:p/>
        </w:tc>
        <w:tc>
          <w:tcPr>
            <w:tcW w:type="dxa" w:w="415"/>
          </w:tcPr>
          <w:p>
            <w:r>
              <w:rPr/>
              <w:t>3</w:t>
            </w:r>
          </w:p>
        </w:tc>
        <w:tc>
          <w:tcPr>
            <w:tcW w:type="dxa" w:w="5814"/>
          </w:tcPr>
          <w:p>
            <w:r>
              <w:rPr/>
              <w:t>三、</w:t>
            </w:r>
            <w:r>
              <w:rPr>
                <w:b/>
                <w:sz w:val="21"/>
              </w:rPr>
              <w:t>服务质量标准要求</w:t>
            </w:r>
          </w:p>
          <w:p>
            <w:r>
              <w:rPr>
                <w:sz w:val="21"/>
              </w:rPr>
              <w:t>1、服务范围内的公共外环境病媒生物的质量控制执行如下标准：</w:t>
            </w:r>
          </w:p>
          <w:p>
            <w:r>
              <w:rPr>
                <w:sz w:val="21"/>
              </w:rPr>
              <w:t>2、密度水平控制标准：中华人民共和国卫生部、中国国家标准化管理委员会《病媒生物密度控制水平</w:t>
            </w:r>
            <w:r>
              <w:rPr>
                <w:sz w:val="21"/>
              </w:rPr>
              <w:t>—鼠类、蚊虫、蝇类、蜚蠊》的4个国家标准（GB／T27770、27771、27772、27773—2011）。鼠类、蚊虫、蝇类、蜚蠊达到C级或以上。</w:t>
            </w:r>
          </w:p>
          <w:p>
            <w:r>
              <w:rPr>
                <w:sz w:val="21"/>
              </w:rPr>
              <w:t>3、</w:t>
            </w:r>
            <w:r>
              <w:rPr>
                <w:sz w:val="21"/>
              </w:rPr>
              <w:t>密度监测标准：中华人民共和国国家质量监督检验检疫总局、中国国家标准化管理委员会《病媒生物密度监测方法</w:t>
            </w:r>
            <w:r>
              <w:rPr>
                <w:sz w:val="21"/>
              </w:rPr>
              <w:t>—蜚蠊、蝇类、蚊虫、鼠类》的4个国家标准（GB／T23795、23796、23797、23798—2009）。</w:t>
            </w:r>
          </w:p>
        </w:tc>
      </w:tr>
      <w:tr>
        <w:tc>
          <w:tcPr>
            <w:tcW w:type="dxa" w:w="2076"/>
          </w:tcPr>
          <w:p/>
        </w:tc>
        <w:tc>
          <w:tcPr>
            <w:tcW w:type="dxa" w:w="415"/>
          </w:tcPr>
          <w:p>
            <w:r>
              <w:rPr/>
              <w:t>4</w:t>
            </w:r>
          </w:p>
        </w:tc>
        <w:tc>
          <w:tcPr>
            <w:tcW w:type="dxa" w:w="5814"/>
          </w:tcPr>
          <w:p>
            <w:pPr>
              <w:jc w:val="left"/>
            </w:pPr>
            <w:r>
              <w:rPr>
                <w:b/>
                <w:sz w:val="21"/>
              </w:rPr>
              <w:t>四、药物要求</w:t>
            </w:r>
          </w:p>
          <w:tbl>
            <w:tblPr>
              <w:tblInd w:type="dxa" w:w="120"/>
              <w:tblBorders>
                <w:top w:val="none" w:color="000000" w:sz="4"/>
                <w:left w:val="none" w:color="000000" w:sz="4"/>
                <w:bottom w:val="none" w:color="000000" w:sz="4"/>
                <w:right w:val="none" w:color="000000" w:sz="4"/>
                <w:insideH w:val="none"/>
                <w:insideV w:val="none"/>
              </w:tblBorders>
            </w:tblPr>
            <w:tblGrid>
              <w:gridCol w:w="1490"/>
              <w:gridCol w:w="1769"/>
              <w:gridCol w:w="1232"/>
              <w:gridCol w:w="1104"/>
            </w:tblGrid>
            <w:tr>
              <w:tc>
                <w:tcPr>
                  <w:tcW w:type="dxa" w:w="1490"/>
                  <w:tcBorders>
                    <w:top w:val="single" w:color="000000" w:sz="4"/>
                    <w:left w:val="single" w:color="000000" w:sz="4"/>
                    <w:bottom w:val="single" w:color="000000" w:sz="4"/>
                    <w:right w:val="single" w:color="000000" w:sz="4"/>
                  </w:tcBorders>
                  <w:shd w:fill="FFFFFF"/>
                  <w:vAlign w:val="top"/>
                </w:tcPr>
                <w:p>
                  <w:pPr>
                    <w:jc w:val="center"/>
                  </w:pPr>
                  <w:r>
                    <w:rPr>
                      <w:b/>
                      <w:sz w:val="21"/>
                    </w:rPr>
                    <w:t>药物名称</w:t>
                  </w:r>
                </w:p>
              </w:tc>
              <w:tc>
                <w:tcPr>
                  <w:tcW w:type="dxa" w:w="1769"/>
                  <w:tcBorders>
                    <w:top w:val="single" w:color="000000" w:sz="4"/>
                    <w:left w:val="single" w:color="000000" w:sz="4"/>
                    <w:bottom w:val="single" w:color="000000" w:sz="4"/>
                    <w:right w:val="single" w:color="000000" w:sz="4"/>
                  </w:tcBorders>
                  <w:shd w:fill="FFFFFF"/>
                  <w:vAlign w:val="top"/>
                </w:tcPr>
                <w:p>
                  <w:pPr>
                    <w:jc w:val="center"/>
                  </w:pPr>
                  <w:r>
                    <w:rPr>
                      <w:b/>
                      <w:sz w:val="21"/>
                    </w:rPr>
                    <w:t>有效成份及含量</w:t>
                  </w:r>
                </w:p>
              </w:tc>
              <w:tc>
                <w:tcPr>
                  <w:tcW w:type="dxa" w:w="1232"/>
                  <w:tcBorders>
                    <w:top w:val="single" w:color="000000" w:sz="4"/>
                    <w:left w:val="single" w:color="000000" w:sz="4"/>
                    <w:bottom w:val="single" w:color="000000" w:sz="4"/>
                    <w:right w:val="single" w:color="000000" w:sz="4"/>
                  </w:tcBorders>
                  <w:shd w:fill="FFFFFF"/>
                  <w:vAlign w:val="top"/>
                </w:tcPr>
                <w:p>
                  <w:pPr>
                    <w:jc w:val="center"/>
                  </w:pPr>
                  <w:r>
                    <w:rPr>
                      <w:b/>
                      <w:sz w:val="21"/>
                    </w:rPr>
                    <w:t>灭杀对象</w:t>
                  </w:r>
                </w:p>
              </w:tc>
              <w:tc>
                <w:tcPr>
                  <w:tcW w:type="dxa" w:w="1104"/>
                  <w:tcBorders>
                    <w:top w:val="single" w:color="000000" w:sz="4"/>
                    <w:left w:val="single" w:color="000000" w:sz="4"/>
                    <w:bottom w:val="single" w:color="000000" w:sz="4"/>
                    <w:right w:val="single" w:color="000000" w:sz="4"/>
                  </w:tcBorders>
                  <w:shd w:fill="FFFFFF"/>
                  <w:vAlign w:val="top"/>
                </w:tcPr>
                <w:p>
                  <w:pPr>
                    <w:jc w:val="center"/>
                  </w:pPr>
                  <w:r>
                    <w:rPr>
                      <w:b/>
                      <w:sz w:val="21"/>
                    </w:rPr>
                    <w:t>剂型</w:t>
                  </w:r>
                </w:p>
              </w:tc>
            </w:tr>
            <w:tr>
              <w:tc>
                <w:tcPr>
                  <w:tcW w:type="dxa" w:w="1490"/>
                  <w:tcBorders>
                    <w:top w:val="none" w:color="000000" w:sz="4"/>
                    <w:left w:val="single" w:color="000000" w:sz="4"/>
                    <w:bottom w:val="single" w:color="000000" w:sz="4"/>
                    <w:right w:val="single" w:color="000000" w:sz="4"/>
                  </w:tcBorders>
                  <w:shd w:fill="FFFFFF"/>
                  <w:vAlign w:val="top"/>
                </w:tcPr>
                <w:p>
                  <w:pPr>
                    <w:jc w:val="center"/>
                  </w:pPr>
                  <w:r>
                    <w:rPr>
                      <w:sz w:val="21"/>
                    </w:rPr>
                    <w:t>溴敌隆毒谷</w:t>
                  </w:r>
                </w:p>
              </w:tc>
              <w:tc>
                <w:tcPr>
                  <w:tcW w:type="dxa" w:w="1769"/>
                  <w:tcBorders>
                    <w:top w:val="none" w:color="000000" w:sz="4"/>
                    <w:left w:val="single" w:color="000000" w:sz="4"/>
                    <w:bottom w:val="single" w:color="000000" w:sz="4"/>
                    <w:right w:val="single" w:color="000000" w:sz="4"/>
                  </w:tcBorders>
                  <w:shd w:fill="FFFFFF"/>
                  <w:vAlign w:val="top"/>
                </w:tcPr>
                <w:p>
                  <w:pPr>
                    <w:jc w:val="center"/>
                  </w:pPr>
                  <w:r>
                    <w:rPr>
                      <w:sz w:val="21"/>
                    </w:rPr>
                    <w:t>溴敌隆含量</w:t>
                  </w:r>
                  <w:r>
                    <w:rPr>
                      <w:sz w:val="21"/>
                    </w:rPr>
                    <w:t>≥0.005%（稻谷）</w:t>
                  </w:r>
                </w:p>
              </w:tc>
              <w:tc>
                <w:tcPr>
                  <w:tcW w:type="dxa" w:w="1232"/>
                  <w:tcBorders>
                    <w:top w:val="none" w:color="000000" w:sz="4"/>
                    <w:left w:val="single" w:color="000000" w:sz="4"/>
                    <w:bottom w:val="single" w:color="000000" w:sz="4"/>
                    <w:right w:val="single" w:color="000000" w:sz="4"/>
                  </w:tcBorders>
                  <w:shd w:fill="FFFFFF"/>
                  <w:vAlign w:val="top"/>
                </w:tcPr>
                <w:p>
                  <w:pPr>
                    <w:jc w:val="center"/>
                  </w:pPr>
                  <w:r>
                    <w:rPr>
                      <w:sz w:val="21"/>
                    </w:rPr>
                    <w:t>鼠</w:t>
                  </w:r>
                </w:p>
              </w:tc>
              <w:tc>
                <w:tcPr>
                  <w:tcW w:type="dxa" w:w="1104"/>
                  <w:tcBorders>
                    <w:top w:val="none" w:color="000000" w:sz="4"/>
                    <w:left w:val="single" w:color="000000" w:sz="4"/>
                    <w:bottom w:val="single" w:color="000000" w:sz="4"/>
                    <w:right w:val="single" w:color="000000" w:sz="4"/>
                  </w:tcBorders>
                  <w:shd w:fill="FFFFFF"/>
                  <w:vAlign w:val="top"/>
                </w:tcPr>
                <w:p>
                  <w:pPr>
                    <w:jc w:val="center"/>
                  </w:pPr>
                  <w:r>
                    <w:rPr>
                      <w:sz w:val="21"/>
                    </w:rPr>
                    <w:t>毒饵、饵剂</w:t>
                  </w:r>
                </w:p>
              </w:tc>
            </w:tr>
            <w:tr>
              <w:tc>
                <w:tcPr>
                  <w:tcW w:type="dxa" w:w="1490"/>
                  <w:tcBorders>
                    <w:top w:val="none" w:color="000000" w:sz="4"/>
                    <w:left w:val="single" w:color="000000" w:sz="4"/>
                    <w:bottom w:val="single" w:color="000000" w:sz="4"/>
                    <w:right w:val="single" w:color="000000" w:sz="4"/>
                  </w:tcBorders>
                  <w:shd w:fill="FFFFFF"/>
                  <w:vAlign w:val="top"/>
                </w:tcPr>
                <w:p>
                  <w:pPr>
                    <w:jc w:val="center"/>
                  </w:pPr>
                  <w:r>
                    <w:rPr>
                      <w:sz w:val="21"/>
                    </w:rPr>
                    <w:t>毒死蜱</w:t>
                  </w:r>
                  <w:r>
                    <w:rPr>
                      <w:sz w:val="21"/>
                    </w:rPr>
                    <w:t>·高效氯氰菊酯</w:t>
                  </w:r>
                </w:p>
              </w:tc>
              <w:tc>
                <w:tcPr>
                  <w:tcW w:type="dxa" w:w="1769"/>
                  <w:tcBorders>
                    <w:top w:val="none" w:color="000000" w:sz="4"/>
                    <w:left w:val="single" w:color="000000" w:sz="4"/>
                    <w:bottom w:val="single" w:color="000000" w:sz="4"/>
                    <w:right w:val="single" w:color="000000" w:sz="4"/>
                  </w:tcBorders>
                  <w:shd w:fill="FFFFFF"/>
                  <w:vAlign w:val="top"/>
                </w:tcPr>
                <w:p>
                  <w:pPr>
                    <w:jc w:val="center"/>
                  </w:pPr>
                  <w:r>
                    <w:rPr>
                      <w:sz w:val="21"/>
                    </w:rPr>
                    <w:t xml:space="preserve"> </w:t>
                  </w:r>
                  <w:r>
                    <w:rPr>
                      <w:sz w:val="21"/>
                    </w:rPr>
                    <w:t>毒死蜱含量</w:t>
                  </w:r>
                  <w:r>
                    <w:rPr>
                      <w:sz w:val="21"/>
                    </w:rPr>
                    <w:t>≥</w:t>
                  </w:r>
                  <w:r>
                    <w:rPr>
                      <w:sz w:val="21"/>
                    </w:rPr>
                    <w:t xml:space="preserve">9%    </w:t>
                  </w:r>
                </w:p>
                <w:p>
                  <w:pPr>
                    <w:jc w:val="center"/>
                  </w:pPr>
                  <w:r>
                    <w:rPr>
                      <w:sz w:val="21"/>
                    </w:rPr>
                    <w:t xml:space="preserve"> </w:t>
                  </w:r>
                  <w:r>
                    <w:rPr>
                      <w:sz w:val="21"/>
                    </w:rPr>
                    <w:t>高效氯氰菊酯含量</w:t>
                  </w:r>
                  <w:r>
                    <w:rPr>
                      <w:sz w:val="21"/>
                    </w:rPr>
                    <w:t>≥</w:t>
                  </w:r>
                  <w:r>
                    <w:rPr>
                      <w:sz w:val="21"/>
                    </w:rPr>
                    <w:t>3%</w:t>
                  </w:r>
                </w:p>
              </w:tc>
              <w:tc>
                <w:tcPr>
                  <w:tcW w:type="dxa" w:w="1232"/>
                  <w:tcBorders>
                    <w:top w:val="none" w:color="000000" w:sz="4"/>
                    <w:left w:val="single" w:color="000000" w:sz="4"/>
                    <w:bottom w:val="single" w:color="000000" w:sz="4"/>
                    <w:right w:val="single" w:color="000000" w:sz="4"/>
                  </w:tcBorders>
                  <w:shd w:fill="FFFFFF"/>
                  <w:vAlign w:val="top"/>
                </w:tcPr>
                <w:p>
                  <w:pPr>
                    <w:jc w:val="center"/>
                  </w:pPr>
                  <w:r>
                    <w:rPr>
                      <w:sz w:val="21"/>
                    </w:rPr>
                    <w:t>蚊</w:t>
                  </w:r>
                  <w:r>
                    <w:rPr>
                      <w:sz w:val="21"/>
                    </w:rPr>
                    <w:t>、蝇</w:t>
                  </w:r>
                </w:p>
              </w:tc>
              <w:tc>
                <w:tcPr>
                  <w:tcW w:type="dxa" w:w="1104"/>
                  <w:tcBorders>
                    <w:top w:val="none" w:color="000000" w:sz="4"/>
                    <w:left w:val="single" w:color="000000" w:sz="4"/>
                    <w:bottom w:val="single" w:color="000000" w:sz="4"/>
                    <w:right w:val="single" w:color="000000" w:sz="4"/>
                  </w:tcBorders>
                  <w:shd w:fill="FFFFFF"/>
                  <w:vAlign w:val="top"/>
                </w:tcPr>
                <w:p>
                  <w:pPr>
                    <w:jc w:val="center"/>
                  </w:pPr>
                  <w:r>
                    <w:rPr>
                      <w:sz w:val="21"/>
                    </w:rPr>
                    <w:t>乳油</w:t>
                  </w:r>
                </w:p>
              </w:tc>
            </w:tr>
            <w:tr>
              <w:tc>
                <w:tcPr>
                  <w:tcW w:type="dxa" w:w="1490"/>
                  <w:tcBorders>
                    <w:top w:val="none" w:color="000000" w:sz="4"/>
                    <w:left w:val="single" w:color="000000" w:sz="4"/>
                    <w:bottom w:val="single" w:color="000000" w:sz="4"/>
                    <w:right w:val="single" w:color="000000" w:sz="4"/>
                  </w:tcBorders>
                  <w:shd w:fill="FFFFFF"/>
                  <w:vAlign w:val="top"/>
                </w:tcPr>
                <w:p>
                  <w:pPr>
                    <w:jc w:val="center"/>
                  </w:pPr>
                  <w:r>
                    <w:rPr>
                      <w:sz w:val="21"/>
                    </w:rPr>
                    <w:t>高效氯氰菊酯</w:t>
                  </w:r>
                </w:p>
              </w:tc>
              <w:tc>
                <w:tcPr>
                  <w:tcW w:type="dxa" w:w="1769"/>
                  <w:tcBorders>
                    <w:top w:val="none" w:color="000000" w:sz="4"/>
                    <w:left w:val="single" w:color="000000" w:sz="4"/>
                    <w:bottom w:val="single" w:color="000000" w:sz="4"/>
                    <w:right w:val="single" w:color="000000" w:sz="4"/>
                  </w:tcBorders>
                  <w:shd w:fill="FFFFFF"/>
                  <w:vAlign w:val="top"/>
                </w:tcPr>
                <w:p>
                  <w:pPr>
                    <w:jc w:val="center"/>
                  </w:pPr>
                  <w:r>
                    <w:rPr>
                      <w:sz w:val="21"/>
                    </w:rPr>
                    <w:t>高效氯氰菊酯总含量</w:t>
                  </w:r>
                  <w:r>
                    <w:rPr>
                      <w:sz w:val="21"/>
                    </w:rPr>
                    <w:t>≥5%</w:t>
                  </w:r>
                </w:p>
              </w:tc>
              <w:tc>
                <w:tcPr>
                  <w:tcW w:type="dxa" w:w="1232"/>
                  <w:tcBorders>
                    <w:top w:val="none" w:color="000000" w:sz="4"/>
                    <w:left w:val="single" w:color="000000" w:sz="4"/>
                    <w:bottom w:val="single" w:color="000000" w:sz="4"/>
                    <w:right w:val="single" w:color="000000" w:sz="4"/>
                  </w:tcBorders>
                  <w:shd w:fill="FFFFFF"/>
                  <w:vAlign w:val="top"/>
                </w:tcPr>
                <w:p>
                  <w:pPr>
                    <w:jc w:val="center"/>
                  </w:pPr>
                  <w:r>
                    <w:rPr>
                      <w:sz w:val="21"/>
                    </w:rPr>
                    <w:t>蚊、蝇、蜚蠊</w:t>
                  </w:r>
                </w:p>
              </w:tc>
              <w:tc>
                <w:tcPr>
                  <w:tcW w:type="dxa" w:w="1104"/>
                  <w:tcBorders>
                    <w:top w:val="none" w:color="000000" w:sz="4"/>
                    <w:left w:val="single" w:color="000000" w:sz="4"/>
                    <w:bottom w:val="single" w:color="000000" w:sz="4"/>
                    <w:right w:val="single" w:color="000000" w:sz="4"/>
                  </w:tcBorders>
                  <w:shd w:fill="FFFFFF"/>
                  <w:vAlign w:val="top"/>
                </w:tcPr>
                <w:p>
                  <w:pPr>
                    <w:jc w:val="center"/>
                  </w:pPr>
                  <w:r>
                    <w:rPr>
                      <w:sz w:val="21"/>
                    </w:rPr>
                    <w:t>悬浮剂</w:t>
                  </w:r>
                </w:p>
              </w:tc>
            </w:tr>
            <w:tr>
              <w:tc>
                <w:tcPr>
                  <w:tcW w:type="dxa" w:w="1490"/>
                  <w:tcBorders>
                    <w:top w:val="none" w:color="000000" w:sz="4"/>
                    <w:left w:val="single" w:color="000000" w:sz="4"/>
                    <w:bottom w:val="single" w:color="000000" w:sz="4"/>
                    <w:right w:val="single" w:color="000000" w:sz="4"/>
                  </w:tcBorders>
                  <w:shd w:fill="FFFFFF"/>
                  <w:vAlign w:val="top"/>
                </w:tcPr>
                <w:p>
                  <w:pPr>
                    <w:jc w:val="center"/>
                  </w:pPr>
                  <w:r>
                    <w:rPr>
                      <w:sz w:val="21"/>
                    </w:rPr>
                    <w:t>吡丙醚杀虫颗粒</w:t>
                  </w:r>
                </w:p>
              </w:tc>
              <w:tc>
                <w:tcPr>
                  <w:tcW w:type="dxa" w:w="1769"/>
                  <w:tcBorders>
                    <w:top w:val="none" w:color="000000" w:sz="4"/>
                    <w:left w:val="single" w:color="000000" w:sz="4"/>
                    <w:bottom w:val="single" w:color="000000" w:sz="4"/>
                    <w:right w:val="single" w:color="000000" w:sz="4"/>
                  </w:tcBorders>
                  <w:shd w:fill="FFFFFF"/>
                  <w:vAlign w:val="top"/>
                </w:tcPr>
                <w:p>
                  <w:pPr>
                    <w:jc w:val="center"/>
                  </w:pPr>
                  <w:r>
                    <w:rPr>
                      <w:sz w:val="21"/>
                    </w:rPr>
                    <w:t>倍硫磷含量</w:t>
                  </w:r>
                  <w:r>
                    <w:rPr>
                      <w:sz w:val="21"/>
                    </w:rPr>
                    <w:t>≥4.5%</w:t>
                  </w:r>
                </w:p>
                <w:p>
                  <w:pPr>
                    <w:jc w:val="center"/>
                  </w:pPr>
                  <w:r>
                    <w:rPr>
                      <w:sz w:val="21"/>
                    </w:rPr>
                    <w:t>吡丙醚含量</w:t>
                  </w:r>
                  <w:r>
                    <w:rPr>
                      <w:sz w:val="21"/>
                    </w:rPr>
                    <w:t>≥0.5%</w:t>
                  </w:r>
                </w:p>
              </w:tc>
              <w:tc>
                <w:tcPr>
                  <w:tcW w:type="dxa" w:w="1232"/>
                  <w:tcBorders>
                    <w:top w:val="none" w:color="000000" w:sz="4"/>
                    <w:left w:val="single" w:color="000000" w:sz="4"/>
                    <w:bottom w:val="single" w:color="000000" w:sz="4"/>
                    <w:right w:val="single" w:color="000000" w:sz="4"/>
                  </w:tcBorders>
                  <w:shd w:fill="FFFFFF"/>
                  <w:vAlign w:val="top"/>
                </w:tcPr>
                <w:p>
                  <w:pPr>
                    <w:jc w:val="center"/>
                  </w:pPr>
                  <w:r>
                    <w:rPr>
                      <w:sz w:val="21"/>
                    </w:rPr>
                    <w:t>蚊幼虫、蝇幼虫</w:t>
                  </w:r>
                </w:p>
              </w:tc>
              <w:tc>
                <w:tcPr>
                  <w:tcW w:type="dxa" w:w="1104"/>
                  <w:tcBorders>
                    <w:top w:val="none" w:color="000000" w:sz="4"/>
                    <w:left w:val="single" w:color="000000" w:sz="4"/>
                    <w:bottom w:val="single" w:color="000000" w:sz="4"/>
                    <w:right w:val="single" w:color="000000" w:sz="4"/>
                  </w:tcBorders>
                  <w:shd w:fill="FFFFFF"/>
                  <w:vAlign w:val="top"/>
                </w:tcPr>
                <w:p>
                  <w:pPr>
                    <w:jc w:val="center"/>
                  </w:pPr>
                  <w:r>
                    <w:rPr>
                      <w:sz w:val="21"/>
                    </w:rPr>
                    <w:t>颗粒剂</w:t>
                  </w:r>
                </w:p>
              </w:tc>
            </w:tr>
            <w:tr>
              <w:tc>
                <w:tcPr>
                  <w:tcW w:type="dxa" w:w="1490"/>
                  <w:tcBorders>
                    <w:top w:val="none" w:color="000000" w:sz="4"/>
                    <w:left w:val="single" w:color="000000" w:sz="4"/>
                    <w:bottom w:val="single" w:color="000000" w:sz="4"/>
                    <w:right w:val="single" w:color="000000" w:sz="4"/>
                  </w:tcBorders>
                  <w:shd w:fill="FFFFFF"/>
                  <w:vAlign w:val="top"/>
                </w:tcPr>
                <w:p>
                  <w:pPr>
                    <w:jc w:val="center"/>
                  </w:pPr>
                  <w:r>
                    <w:rPr>
                      <w:sz w:val="21"/>
                    </w:rPr>
                    <w:t>热雾剂</w:t>
                  </w:r>
                </w:p>
              </w:tc>
              <w:tc>
                <w:tcPr>
                  <w:tcW w:type="dxa" w:w="1769"/>
                  <w:tcBorders>
                    <w:top w:val="none" w:color="000000" w:sz="4"/>
                    <w:left w:val="single" w:color="000000" w:sz="4"/>
                    <w:bottom w:val="single" w:color="000000" w:sz="4"/>
                    <w:right w:val="single" w:color="000000" w:sz="4"/>
                  </w:tcBorders>
                  <w:shd w:fill="FFFFFF"/>
                  <w:vAlign w:val="top"/>
                </w:tcPr>
                <w:p>
                  <w:pPr>
                    <w:jc w:val="center"/>
                  </w:pPr>
                  <w:r>
                    <w:rPr>
                      <w:sz w:val="21"/>
                    </w:rPr>
                    <w:t>胺菊酯</w:t>
                  </w:r>
                  <w:r>
                    <w:rPr>
                      <w:sz w:val="21"/>
                    </w:rPr>
                    <w:t>含量</w:t>
                  </w:r>
                  <w:r>
                    <w:rPr>
                      <w:sz w:val="21"/>
                    </w:rPr>
                    <w:t>≥</w:t>
                  </w:r>
                  <w:r>
                    <w:rPr>
                      <w:sz w:val="21"/>
                    </w:rPr>
                    <w:t>0.5%</w:t>
                  </w:r>
                </w:p>
                <w:p>
                  <w:pPr>
                    <w:jc w:val="center"/>
                  </w:pPr>
                  <w:r>
                    <w:rPr>
                      <w:sz w:val="21"/>
                    </w:rPr>
                    <w:t>氯氰菊酯</w:t>
                  </w:r>
                  <w:r>
                    <w:rPr>
                      <w:sz w:val="21"/>
                    </w:rPr>
                    <w:t>含量</w:t>
                  </w:r>
                  <w:r>
                    <w:rPr>
                      <w:sz w:val="21"/>
                    </w:rPr>
                    <w:t>≥</w:t>
                  </w:r>
                  <w:r>
                    <w:rPr>
                      <w:sz w:val="21"/>
                    </w:rPr>
                    <w:t>1.5%</w:t>
                  </w:r>
                </w:p>
              </w:tc>
              <w:tc>
                <w:tcPr>
                  <w:tcW w:type="dxa" w:w="1232"/>
                  <w:tcBorders>
                    <w:top w:val="none" w:color="000000" w:sz="4"/>
                    <w:left w:val="single" w:color="000000" w:sz="4"/>
                    <w:bottom w:val="single" w:color="000000" w:sz="4"/>
                    <w:right w:val="single" w:color="000000" w:sz="4"/>
                  </w:tcBorders>
                  <w:shd w:fill="FFFFFF"/>
                  <w:vAlign w:val="top"/>
                </w:tcPr>
                <w:p>
                  <w:pPr>
                    <w:jc w:val="center"/>
                  </w:pPr>
                  <w:r>
                    <w:rPr>
                      <w:sz w:val="21"/>
                    </w:rPr>
                    <w:t>蜚蠊、蚊</w:t>
                  </w:r>
                </w:p>
              </w:tc>
              <w:tc>
                <w:tcPr>
                  <w:tcW w:type="dxa" w:w="1104"/>
                  <w:tcBorders>
                    <w:top w:val="none" w:color="000000" w:sz="4"/>
                    <w:left w:val="single" w:color="000000" w:sz="4"/>
                    <w:bottom w:val="single" w:color="000000" w:sz="4"/>
                    <w:right w:val="single" w:color="000000" w:sz="4"/>
                  </w:tcBorders>
                  <w:shd w:fill="FFFFFF"/>
                  <w:vAlign w:val="top"/>
                </w:tcPr>
                <w:p>
                  <w:pPr>
                    <w:jc w:val="center"/>
                  </w:pPr>
                  <w:r>
                    <w:rPr>
                      <w:sz w:val="21"/>
                    </w:rPr>
                    <w:t>热雾剂</w:t>
                  </w:r>
                </w:p>
              </w:tc>
            </w:tr>
            <w:tr>
              <w:tc>
                <w:tcPr>
                  <w:tcW w:type="dxa" w:w="1490"/>
                  <w:tcBorders>
                    <w:top w:val="none" w:color="000000" w:sz="4"/>
                    <w:left w:val="single" w:color="000000" w:sz="4"/>
                    <w:bottom w:val="single" w:color="000000" w:sz="4"/>
                    <w:right w:val="single" w:color="000000" w:sz="4"/>
                  </w:tcBorders>
                  <w:shd w:fill="FFFFFF"/>
                  <w:vAlign w:val="top"/>
                </w:tcPr>
                <w:p>
                  <w:pPr>
                    <w:jc w:val="center"/>
                  </w:pPr>
                  <w:r>
                    <w:rPr>
                      <w:sz w:val="21"/>
                    </w:rPr>
                    <w:t>杀蝇饵剂</w:t>
                  </w:r>
                </w:p>
              </w:tc>
              <w:tc>
                <w:tcPr>
                  <w:tcW w:type="dxa" w:w="1769"/>
                  <w:tcBorders>
                    <w:top w:val="none" w:color="000000" w:sz="4"/>
                    <w:left w:val="single" w:color="000000" w:sz="4"/>
                    <w:bottom w:val="single" w:color="000000" w:sz="4"/>
                    <w:right w:val="single" w:color="000000" w:sz="4"/>
                  </w:tcBorders>
                  <w:shd w:fill="FFFFFF"/>
                  <w:vAlign w:val="top"/>
                </w:tcPr>
                <w:p>
                  <w:pPr>
                    <w:jc w:val="center"/>
                  </w:pPr>
                  <w:r>
                    <w:rPr>
                      <w:sz w:val="21"/>
                    </w:rPr>
                    <w:t>甲基吡噁磷</w:t>
                  </w:r>
                  <w:r>
                    <w:rPr>
                      <w:sz w:val="21"/>
                    </w:rPr>
                    <w:t>含量</w:t>
                  </w:r>
                  <w:r>
                    <w:rPr>
                      <w:sz w:val="21"/>
                    </w:rPr>
                    <w:t>≥1%</w:t>
                  </w:r>
                </w:p>
              </w:tc>
              <w:tc>
                <w:tcPr>
                  <w:tcW w:type="dxa" w:w="1232"/>
                  <w:tcBorders>
                    <w:top w:val="none" w:color="000000" w:sz="4"/>
                    <w:left w:val="single" w:color="000000" w:sz="4"/>
                    <w:bottom w:val="single" w:color="000000" w:sz="4"/>
                    <w:right w:val="single" w:color="000000" w:sz="4"/>
                  </w:tcBorders>
                  <w:shd w:fill="FFFFFF"/>
                  <w:vAlign w:val="top"/>
                </w:tcPr>
                <w:p>
                  <w:pPr>
                    <w:jc w:val="center"/>
                  </w:pPr>
                  <w:r>
                    <w:rPr>
                      <w:sz w:val="21"/>
                    </w:rPr>
                    <w:t>蝇</w:t>
                  </w:r>
                </w:p>
              </w:tc>
              <w:tc>
                <w:tcPr>
                  <w:tcW w:type="dxa" w:w="1104"/>
                  <w:tcBorders>
                    <w:top w:val="none" w:color="000000" w:sz="4"/>
                    <w:left w:val="single" w:color="000000" w:sz="4"/>
                    <w:bottom w:val="single" w:color="000000" w:sz="4"/>
                    <w:right w:val="single" w:color="000000" w:sz="4"/>
                  </w:tcBorders>
                  <w:shd w:fill="FFFFFF"/>
                  <w:vAlign w:val="top"/>
                </w:tcPr>
                <w:p>
                  <w:pPr>
                    <w:jc w:val="center"/>
                  </w:pPr>
                  <w:r>
                    <w:rPr>
                      <w:sz w:val="21"/>
                    </w:rPr>
                    <w:t>饵剂</w:t>
                  </w:r>
                </w:p>
              </w:tc>
            </w:tr>
          </w:tbl>
          <w:p>
            <w:pPr>
              <w:jc w:val="both"/>
            </w:pPr>
          </w:p>
          <w:p>
            <w:pPr>
              <w:ind w:firstLine="420"/>
              <w:jc w:val="both"/>
            </w:pPr>
            <w:r>
              <w:rPr>
                <w:sz w:val="21"/>
              </w:rPr>
              <w:t>注：以上药物具有农药</w:t>
            </w:r>
            <w:r>
              <w:rPr>
                <w:sz w:val="21"/>
              </w:rPr>
              <w:t>“三证</w:t>
            </w:r>
            <w:r>
              <w:rPr>
                <w:sz w:val="21"/>
              </w:rPr>
              <w:t>”</w:t>
            </w:r>
            <w:r>
              <w:rPr>
                <w:sz w:val="21"/>
              </w:rPr>
              <w:t>。</w:t>
            </w:r>
          </w:p>
        </w:tc>
      </w:tr>
      <w:tr>
        <w:tc>
          <w:tcPr>
            <w:tcW w:type="dxa" w:w="2076"/>
          </w:tcPr>
          <w:p/>
        </w:tc>
        <w:tc>
          <w:tcPr>
            <w:tcW w:type="dxa" w:w="415"/>
          </w:tcPr>
          <w:p>
            <w:r>
              <w:rPr/>
              <w:t>5</w:t>
            </w:r>
          </w:p>
        </w:tc>
        <w:tc>
          <w:tcPr>
            <w:tcW w:type="dxa" w:w="5814"/>
          </w:tcPr>
          <w:p>
            <w:pPr>
              <w:jc w:val="left"/>
            </w:pPr>
            <w:r>
              <w:rPr>
                <w:b/>
                <w:sz w:val="21"/>
              </w:rPr>
              <w:t>五、供应商技术人员配备要求</w:t>
            </w:r>
          </w:p>
          <w:p>
            <w:pPr>
              <w:jc w:val="both"/>
            </w:pPr>
            <w:r>
              <w:rPr>
                <w:sz w:val="21"/>
              </w:rPr>
              <w:t>投标供应商必须具备病媒生物防制的技术力量，有从事病媒生物防制</w:t>
            </w:r>
            <w:r>
              <w:rPr>
                <w:sz w:val="21"/>
              </w:rPr>
              <w:t>项目负责人、主要技术人员、其他成员等。</w:t>
            </w:r>
          </w:p>
        </w:tc>
      </w:tr>
      <w:tr>
        <w:tc>
          <w:tcPr>
            <w:tcW w:type="dxa" w:w="2076"/>
          </w:tcPr>
          <w:p/>
        </w:tc>
        <w:tc>
          <w:tcPr>
            <w:tcW w:type="dxa" w:w="415"/>
          </w:tcPr>
          <w:p>
            <w:r>
              <w:rPr/>
              <w:t>6</w:t>
            </w:r>
          </w:p>
        </w:tc>
        <w:tc>
          <w:tcPr>
            <w:tcW w:type="dxa" w:w="5814"/>
          </w:tcPr>
          <w:p>
            <w:pPr>
              <w:jc w:val="left"/>
            </w:pPr>
            <w:r>
              <w:rPr>
                <w:sz w:val="21"/>
              </w:rPr>
              <w:t>六、</w:t>
            </w:r>
            <w:r>
              <w:rPr>
                <w:b/>
                <w:sz w:val="21"/>
              </w:rPr>
              <w:t>供应商办公场所要求</w:t>
            </w:r>
          </w:p>
          <w:p>
            <w:pPr>
              <w:jc w:val="both"/>
            </w:pPr>
            <w:r>
              <w:rPr>
                <w:sz w:val="21"/>
              </w:rPr>
              <w:t>办公场所（自有或租赁）</w:t>
            </w:r>
          </w:p>
        </w:tc>
      </w:tr>
      <w:tr>
        <w:tc>
          <w:tcPr>
            <w:tcW w:type="dxa" w:w="2076"/>
          </w:tcPr>
          <w:p/>
        </w:tc>
        <w:tc>
          <w:tcPr>
            <w:tcW w:type="dxa" w:w="415"/>
          </w:tcPr>
          <w:p>
            <w:r>
              <w:rPr/>
              <w:t>7</w:t>
            </w:r>
          </w:p>
        </w:tc>
        <w:tc>
          <w:tcPr>
            <w:tcW w:type="dxa" w:w="5814"/>
          </w:tcPr>
          <w:p>
            <w:pPr>
              <w:jc w:val="left"/>
            </w:pPr>
            <w:r>
              <w:rPr>
                <w:sz w:val="21"/>
              </w:rPr>
              <w:t>七、</w:t>
            </w:r>
            <w:r>
              <w:rPr>
                <w:b/>
                <w:sz w:val="21"/>
              </w:rPr>
              <w:t>服务质量考评办法</w:t>
            </w:r>
          </w:p>
          <w:p>
            <w:pPr>
              <w:jc w:val="left"/>
            </w:pPr>
            <w:r>
              <w:rPr>
                <w:sz w:val="21"/>
              </w:rPr>
              <w:t>1、参与考核的单位进行的考核满分均为百分制，采取倒扣分制。</w:t>
            </w:r>
          </w:p>
          <w:p>
            <w:pPr>
              <w:jc w:val="left"/>
            </w:pPr>
            <w:r>
              <w:rPr>
                <w:sz w:val="21"/>
              </w:rPr>
              <w:t>2、参与考核的单位必须根据高要建成区公共外环境除</w:t>
            </w:r>
            <w:r>
              <w:rPr>
                <w:sz w:val="21"/>
              </w:rPr>
              <w:t>“四害”管理服务项目管理及考核标准执行。</w:t>
            </w:r>
          </w:p>
          <w:p>
            <w:pPr>
              <w:jc w:val="both"/>
            </w:pPr>
            <w:r>
              <w:rPr>
                <w:sz w:val="21"/>
              </w:rPr>
              <w:t>3、考评费用：根据国家标准，并进行4次考评。按照总标的价的每次10000.00元作为委托第三方机构考评费用，该项费用由中标服务商承担。</w:t>
            </w:r>
          </w:p>
          <w:p>
            <w:pPr>
              <w:jc w:val="both"/>
            </w:pPr>
            <w:r>
              <w:rPr>
                <w:sz w:val="21"/>
              </w:rPr>
              <w:t>4、考核总分以权重比例计算构成，具体比例如下：</w:t>
            </w:r>
          </w:p>
          <w:tbl>
            <w:tblPr>
              <w:tblBorders>
                <w:top w:val="none" w:color="000000" w:sz="4"/>
                <w:left w:val="none" w:color="000000" w:sz="4"/>
                <w:bottom w:val="none" w:color="000000" w:sz="4"/>
                <w:right w:val="none" w:color="000000" w:sz="4"/>
                <w:insideH w:val="none"/>
                <w:insideV w:val="none"/>
              </w:tblBorders>
            </w:tblPr>
            <w:tblGrid>
              <w:gridCol w:w="2799"/>
              <w:gridCol w:w="2799"/>
            </w:tblGrid>
            <w:tr>
              <w:tc>
                <w:tcPr>
                  <w:tcW w:type="dxa" w:w="2799"/>
                  <w:tcBorders>
                    <w:top w:val="single" w:color="000000" w:sz="4"/>
                    <w:left w:val="single" w:color="000000" w:sz="4"/>
                    <w:bottom w:val="single" w:color="000000" w:sz="4"/>
                    <w:right w:val="single" w:color="000000" w:sz="4"/>
                  </w:tcBorders>
                  <w:vAlign w:val="top"/>
                </w:tcPr>
                <w:p>
                  <w:pPr>
                    <w:jc w:val="center"/>
                  </w:pPr>
                  <w:r>
                    <w:rPr>
                      <w:sz w:val="21"/>
                    </w:rPr>
                    <w:t>检查形式</w:t>
                  </w:r>
                </w:p>
              </w:tc>
              <w:tc>
                <w:tcPr>
                  <w:tcW w:type="dxa" w:w="2799"/>
                  <w:tcBorders>
                    <w:top w:val="single" w:color="000000" w:sz="4"/>
                    <w:left w:val="single" w:color="000000" w:sz="4"/>
                    <w:bottom w:val="single" w:color="000000" w:sz="4"/>
                    <w:right w:val="single" w:color="000000" w:sz="4"/>
                  </w:tcBorders>
                  <w:vAlign w:val="top"/>
                </w:tcPr>
                <w:p>
                  <w:pPr>
                    <w:jc w:val="center"/>
                  </w:pPr>
                  <w:r>
                    <w:rPr>
                      <w:sz w:val="21"/>
                    </w:rPr>
                    <w:t>具体操作方法</w:t>
                  </w:r>
                </w:p>
              </w:tc>
            </w:tr>
            <w:tr>
              <w:tc>
                <w:tcPr>
                  <w:tcW w:type="dxa" w:w="2799"/>
                  <w:tcBorders>
                    <w:top w:val="none" w:color="000000" w:sz="4"/>
                    <w:left w:val="single" w:color="000000" w:sz="4"/>
                    <w:bottom w:val="single" w:color="000000" w:sz="4"/>
                    <w:right w:val="single" w:color="000000" w:sz="4"/>
                  </w:tcBorders>
                  <w:vAlign w:val="top"/>
                </w:tcPr>
                <w:p>
                  <w:pPr>
                    <w:jc w:val="center"/>
                  </w:pPr>
                  <w:r>
                    <w:rPr>
                      <w:sz w:val="21"/>
                    </w:rPr>
                    <w:t>专业考核</w:t>
                  </w:r>
                </w:p>
                <w:p>
                  <w:pPr>
                    <w:jc w:val="center"/>
                  </w:pPr>
                  <w:r>
                    <w:rPr>
                      <w:sz w:val="21"/>
                    </w:rPr>
                    <w:t>（</w:t>
                  </w:r>
                  <w:r>
                    <w:rPr>
                      <w:sz w:val="21"/>
                    </w:rPr>
                    <w:t>60%）</w:t>
                  </w:r>
                </w:p>
              </w:tc>
              <w:tc>
                <w:tcPr>
                  <w:tcW w:type="dxa" w:w="2799"/>
                  <w:tcBorders>
                    <w:top w:val="none" w:color="000000" w:sz="4"/>
                    <w:left w:val="single" w:color="000000" w:sz="4"/>
                    <w:bottom w:val="single" w:color="000000" w:sz="4"/>
                    <w:right w:val="single" w:color="000000" w:sz="4"/>
                  </w:tcBorders>
                  <w:vAlign w:val="top"/>
                </w:tcPr>
                <w:p>
                  <w:pPr>
                    <w:ind w:firstLine="420"/>
                    <w:jc w:val="both"/>
                  </w:pPr>
                  <w:r>
                    <w:rPr>
                      <w:sz w:val="21"/>
                    </w:rPr>
                    <w:t>由采购单位牵头，委托市级以上的有害生物防防制协会或专家库组成专家组根据国家</w:t>
                  </w:r>
                  <w:r>
                    <w:rPr>
                      <w:sz w:val="21"/>
                    </w:rPr>
                    <w:t>“四害”密度监测标准与方法的相关标准进行专业考核监测，并出具质量考核报告。</w:t>
                  </w:r>
                </w:p>
              </w:tc>
            </w:tr>
            <w:tr>
              <w:tc>
                <w:tcPr>
                  <w:tcW w:type="dxa" w:w="2799"/>
                  <w:tcBorders>
                    <w:top w:val="none" w:color="000000" w:sz="4"/>
                    <w:left w:val="single" w:color="000000" w:sz="4"/>
                    <w:bottom w:val="single" w:color="000000" w:sz="4"/>
                    <w:right w:val="single" w:color="000000" w:sz="4"/>
                  </w:tcBorders>
                  <w:vAlign w:val="top"/>
                </w:tcPr>
                <w:p>
                  <w:pPr>
                    <w:jc w:val="center"/>
                  </w:pPr>
                  <w:r>
                    <w:rPr>
                      <w:sz w:val="21"/>
                    </w:rPr>
                    <w:t>日常工作考核</w:t>
                  </w:r>
                </w:p>
                <w:p>
                  <w:pPr>
                    <w:jc w:val="center"/>
                  </w:pPr>
                  <w:r>
                    <w:rPr>
                      <w:sz w:val="21"/>
                    </w:rPr>
                    <w:t>（</w:t>
                  </w:r>
                  <w:r>
                    <w:rPr>
                      <w:sz w:val="21"/>
                    </w:rPr>
                    <w:t>40%）</w:t>
                  </w:r>
                </w:p>
              </w:tc>
              <w:tc>
                <w:tcPr>
                  <w:tcW w:type="dxa" w:w="2799"/>
                  <w:tcBorders>
                    <w:top w:val="none" w:color="000000" w:sz="4"/>
                    <w:left w:val="single" w:color="000000" w:sz="4"/>
                    <w:bottom w:val="single" w:color="000000" w:sz="4"/>
                    <w:right w:val="single" w:color="000000" w:sz="4"/>
                  </w:tcBorders>
                  <w:vAlign w:val="top"/>
                </w:tcPr>
                <w:p>
                  <w:pPr>
                    <w:ind w:firstLine="420"/>
                    <w:jc w:val="both"/>
                  </w:pPr>
                  <w:r>
                    <w:rPr>
                      <w:sz w:val="21"/>
                    </w:rPr>
                    <w:t>由</w:t>
                  </w:r>
                  <w:r>
                    <w:rPr>
                      <w:sz w:val="21"/>
                    </w:rPr>
                    <w:t>区卫健局爱卫主管部门</w:t>
                  </w:r>
                  <w:r>
                    <w:rPr>
                      <w:sz w:val="21"/>
                    </w:rPr>
                    <w:t>安排专职人员，负责对除</w:t>
                  </w:r>
                  <w:r>
                    <w:rPr>
                      <w:sz w:val="21"/>
                    </w:rPr>
                    <w:t>“四害”专业队日常放药、喷洒、治理孳生地、栖生地和成蚊等工作进行跟进并签名确认，每次服务完成后对服务范围内的除“四害”工作进行一次检查考核。</w:t>
                  </w:r>
                </w:p>
              </w:tc>
            </w:tr>
          </w:tbl>
          <w:p>
            <w:pPr>
              <w:jc w:val="both"/>
            </w:pPr>
            <w:r>
              <w:rPr>
                <w:sz w:val="21"/>
              </w:rPr>
              <w:t>5、每期考核总分作为每期服务费发放的依据。</w:t>
            </w:r>
            <w:r>
              <w:rPr>
                <w:sz w:val="21"/>
              </w:rPr>
              <w:t>区卫健局爱卫主管部门</w:t>
            </w:r>
            <w:r>
              <w:rPr>
                <w:sz w:val="21"/>
              </w:rPr>
              <w:t>将专业考核、日常工作考核分数统一汇总，评出承包管理单位的考核总分，上报区财政结算中心，根据该期考核结果确定支付的服务费用，并以转账方式支付给各承包管理单位。</w:t>
            </w:r>
          </w:p>
        </w:tc>
      </w:tr>
      <w:tr>
        <w:tc>
          <w:tcPr>
            <w:tcW w:type="dxa" w:w="2076"/>
          </w:tcPr>
          <w:p/>
        </w:tc>
        <w:tc>
          <w:tcPr>
            <w:tcW w:type="dxa" w:w="415"/>
          </w:tcPr>
          <w:p>
            <w:r>
              <w:rPr/>
              <w:t>8</w:t>
            </w:r>
          </w:p>
        </w:tc>
        <w:tc>
          <w:tcPr>
            <w:tcW w:type="dxa" w:w="5814"/>
          </w:tcPr>
          <w:p>
            <w:pPr>
              <w:jc w:val="left"/>
            </w:pPr>
            <w:r>
              <w:rPr>
                <w:b/>
                <w:sz w:val="21"/>
              </w:rPr>
              <w:t>八、奖惩措施</w:t>
            </w:r>
          </w:p>
          <w:p>
            <w:pPr>
              <w:ind w:firstLine="420"/>
              <w:jc w:val="both"/>
            </w:pPr>
            <w:r>
              <w:rPr>
                <w:sz w:val="21"/>
              </w:rPr>
              <w:t>对高要建成区公共外环境除</w:t>
            </w:r>
            <w:r>
              <w:rPr>
                <w:sz w:val="21"/>
              </w:rPr>
              <w:t>“四害”管理服务项目质量的检查考核采用以下措施实施奖惩：</w:t>
            </w:r>
          </w:p>
          <w:p>
            <w:pPr>
              <w:ind w:firstLine="420"/>
              <w:jc w:val="both"/>
            </w:pPr>
            <w:r>
              <w:rPr>
                <w:sz w:val="21"/>
              </w:rPr>
              <w:t xml:space="preserve">  1、</w:t>
            </w:r>
            <w:r>
              <w:rPr>
                <w:sz w:val="21"/>
              </w:rPr>
              <w:t>罚则</w:t>
            </w:r>
          </w:p>
          <w:p>
            <w:pPr>
              <w:ind w:firstLine="420"/>
              <w:jc w:val="both"/>
            </w:pPr>
            <w:r>
              <w:rPr>
                <w:sz w:val="21"/>
              </w:rPr>
              <w:t>每期服务费由高要</w:t>
            </w:r>
            <w:r>
              <w:rPr>
                <w:sz w:val="21"/>
              </w:rPr>
              <w:t>区卫健局爱卫主管部门</w:t>
            </w:r>
            <w:r>
              <w:rPr>
                <w:sz w:val="21"/>
              </w:rPr>
              <w:t>办审批后，按考核结果支付。</w:t>
            </w:r>
          </w:p>
          <w:p>
            <w:pPr>
              <w:ind w:firstLine="420"/>
              <w:jc w:val="both"/>
            </w:pPr>
            <w:r>
              <w:rPr>
                <w:sz w:val="21"/>
              </w:rPr>
              <w:t>（</w:t>
            </w:r>
            <w:r>
              <w:rPr>
                <w:sz w:val="21"/>
              </w:rPr>
              <w:t>1）每期服务费金额与每期管理质量总分挂钩。</w:t>
            </w:r>
          </w:p>
          <w:p>
            <w:pPr>
              <w:ind w:firstLine="420"/>
              <w:jc w:val="both"/>
            </w:pPr>
            <w:r>
              <w:rPr>
                <w:sz w:val="21"/>
              </w:rPr>
              <w:t>（</w:t>
            </w:r>
            <w:r>
              <w:rPr>
                <w:sz w:val="21"/>
              </w:rPr>
              <w:t>2）按考核总分情况调整发放每期服务费。经考核评定，考核总分高于或等于85分的为合格，低于85分的为不合格。其中，考核总分高于或等于85分的，不扣减该期服务费；考核总分低于85分，高于或等于60分的，每低1分对应须扣减该期服务费1%，不足1分的按1分计算；考核总分低于60分，高于或等于30分的，扣减该期服务费50%；考核总分低于30分的，不支付该期服务费。</w:t>
            </w:r>
          </w:p>
          <w:p>
            <w:pPr>
              <w:ind w:firstLine="420"/>
              <w:jc w:val="both"/>
            </w:pPr>
            <w:r>
              <w:rPr>
                <w:sz w:val="21"/>
              </w:rPr>
              <w:t xml:space="preserve"> 2、合同期内连续两期考核总分低于</w:t>
            </w:r>
            <w:r>
              <w:rPr>
                <w:sz w:val="21"/>
              </w:rPr>
              <w:t>85分或出现一期考核总分低于60分的，采购人有权解除中标人合同。</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1.采购代理机构：本项目是指广东鼎建工程咨询监理有限公司，负责整个采购活动的组织，依法负责编制和发布磋商文件，对磋商文件拥有最终的解释权，不以任何身份出任磋商小组成员。</w:t>
      </w:r>
    </w:p>
    <w:p>
      <w:pPr>
        <w:ind w:firstLine="480"/>
      </w:pPr>
      <w:r>
        <w:rPr/>
        <w:t>2.采购人：本项目是指</w:t>
      </w:r>
      <w:r>
        <w:rPr/>
        <w:t>肇庆市高要区卫生健康局</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收费标准参照中华人民共和国国家计划发展委员会颁布的《招标代理服务收费管理暂行办法》（计价格[2002]1980号）、发改价格[2011]534号文及[2015]299号文规定执行，采购代理服务费以中标价为计费基数。</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1</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广东鼎建工程咨询监理有限公司</w:t>
      </w:r>
      <w:r>
        <w:rPr/>
        <w:t>代收。具体操作要求详见</w:t>
      </w:r>
      <w:r>
        <w:rPr/>
        <w:t>广东鼎建工程咨询监理有限公司</w:t>
      </w:r>
      <w:r>
        <w:rPr/>
        <w:t>有关指引，递交事宜请自行咨询</w:t>
      </w:r>
      <w:r>
        <w:rPr/>
        <w:t>广东鼎建工程咨询监理有限公司</w:t>
      </w:r>
      <w:r>
        <w:rPr/>
        <w:t>；请各供应商在响应文件递交截止时间前按须知前附表规定的金额递交至</w:t>
      </w:r>
      <w:r>
        <w:rPr/>
        <w:t>广东鼎建工程咨询监理有限公司</w:t>
      </w:r>
      <w:r>
        <w:rPr/>
        <w:t>，到账情况以开启时</w:t>
      </w:r>
      <w:r>
        <w:rPr/>
        <w:t>广东鼎建工程咨询监理有限公司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何小姐</w:t>
      </w:r>
    </w:p>
    <w:p>
      <w:pPr>
        <w:ind w:firstLine="480"/>
      </w:pPr>
      <w:r>
        <w:rPr/>
        <w:t>电话：</w:t>
      </w:r>
      <w:r>
        <w:rPr/>
        <w:t>0758-2668666</w:t>
      </w:r>
    </w:p>
    <w:p>
      <w:pPr>
        <w:ind w:firstLine="480"/>
      </w:pPr>
      <w:r>
        <w:rPr/>
        <w:t>传真：</w:t>
      </w:r>
      <w:r>
        <w:rPr/>
        <w:t>/</w:t>
      </w:r>
    </w:p>
    <w:p>
      <w:pPr>
        <w:ind w:firstLine="480"/>
      </w:pPr>
      <w:r>
        <w:rPr/>
        <w:t>邮箱：</w:t>
      </w:r>
      <w:r>
        <w:rPr/>
        <w:t>D.J2621135@163.com</w:t>
      </w:r>
    </w:p>
    <w:p>
      <w:pPr>
        <w:ind w:firstLine="480"/>
      </w:pPr>
      <w:r>
        <w:rPr/>
        <w:t>地址：</w:t>
      </w:r>
      <w:r>
        <w:rPr/>
        <w:t>肇庆市鼎湖区新城64区桃园路东1号A景竣名苑D栋商铺302、303、305卡</w:t>
      </w:r>
    </w:p>
    <w:p>
      <w:pPr>
        <w:ind w:firstLine="480"/>
      </w:pPr>
      <w:r>
        <w:rPr/>
        <w:t>邮编：</w:t>
      </w:r>
      <w:r>
        <w:rPr/>
        <w:t>526070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政府采购监督管理机构名称：肇庆市高要区政府采购管理办公室</w:t>
      </w:r>
    </w:p>
    <w:p>
      <w:r>
        <w:rPr/>
        <w:t>地  址：肇庆市高要区府前大街102号</w:t>
      </w:r>
    </w:p>
    <w:p>
      <w:r>
        <w:rPr/>
        <w:t>电  话：0758-8399518</w:t>
      </w:r>
    </w:p>
    <w:p>
      <w:r>
        <w:rPr/>
        <w:t>邮  编：526100</w:t>
      </w:r>
    </w:p>
    <w:p>
      <w:r>
        <w:rPr/>
        <w:t>传  真：0758-8399868</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高要区巩固国家卫生城市创建成果建城区病媒生物预防控制服务（2023年高要区国家卫生城市公共外环境病媒生物防制）)：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广东鼎建工程咨询监理有限公司</w:t>
      </w:r>
      <w:r>
        <w:rPr/>
        <w:t>统一对外发布。</w:t>
      </w:r>
    </w:p>
    <w:p>
      <w:pPr>
        <w:ind w:firstLine="480"/>
      </w:pPr>
      <w:r>
        <w:rPr/>
        <w:t>（2）对</w:t>
      </w:r>
      <w:r>
        <w:rPr/>
        <w:t>广东鼎建工程咨询监理有限公司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采购包1（高要区巩固国家卫生城市创建成果建城区病媒生物预防控制服务（2023年高要区国家卫生城市公共外环境病媒生物防制））：</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采购包1（高要区巩固国家卫生城市创建成果建城区病媒生物预防控制服务（2023年高要区国家卫生城市公共外环境病媒生物防制））：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投标（响应）文件中提供《资格条件承诺函》，《资格条件承诺函》模板详见公告附件。</w:t>
            </w:r>
          </w:p>
        </w:tc>
      </w:tr>
      <w:tr>
        <w:tc>
          <w:tcPr>
            <w:tcW w:type="dxa" w:w="890"/>
          </w:tcPr>
          <w:p>
            <w:r>
              <w:rPr/>
              <w:t>3</w:t>
            </w:r>
          </w:p>
        </w:tc>
        <w:tc>
          <w:tcPr>
            <w:tcW w:type="dxa" w:w="3178"/>
          </w:tcPr>
          <w:p>
            <w:r>
              <w:rPr/>
              <w:t>具有良好的商业信誉和健全的财务会计制度</w:t>
            </w:r>
          </w:p>
        </w:tc>
        <w:tc>
          <w:tcPr>
            <w:tcW w:type="dxa" w:w="4238"/>
          </w:tcPr>
          <w:p>
            <w:r>
              <w:rPr/>
              <w:t>投标（响应）文件中提供《资格条件承诺函》，《资格条件承诺函》模板详见公告附件。</w:t>
            </w:r>
          </w:p>
        </w:tc>
      </w:tr>
      <w:tr>
        <w:tc>
          <w:tcPr>
            <w:tcW w:type="dxa" w:w="890"/>
          </w:tcPr>
          <w:p>
            <w:r>
              <w:rPr/>
              <w:t>4</w:t>
            </w:r>
          </w:p>
        </w:tc>
        <w:tc>
          <w:tcPr>
            <w:tcW w:type="dxa" w:w="3178"/>
          </w:tcPr>
          <w:p>
            <w:r>
              <w:rPr/>
              <w:t>履行合同所必需的设备和专业技术能力</w:t>
            </w:r>
          </w:p>
        </w:tc>
        <w:tc>
          <w:tcPr>
            <w:tcW w:type="dxa" w:w="4238"/>
          </w:tcPr>
          <w:p>
            <w:r>
              <w:rPr/>
              <w:t>投标（响应）文件中提供《资格条件承诺函》，《资格条件承诺函》模板详见公告附件。</w:t>
            </w:r>
          </w:p>
        </w:tc>
      </w:tr>
      <w:tr>
        <w:tc>
          <w:tcPr>
            <w:tcW w:type="dxa" w:w="890"/>
          </w:tcPr>
          <w:p>
            <w:r>
              <w:rPr/>
              <w:t>5</w:t>
            </w:r>
          </w:p>
        </w:tc>
        <w:tc>
          <w:tcPr>
            <w:tcW w:type="dxa" w:w="3178"/>
          </w:tcPr>
          <w:p>
            <w:r>
              <w:rPr/>
              <w:t>参加采购活动前3年内，在经营活动中没有重大违法记录</w:t>
            </w:r>
          </w:p>
        </w:tc>
        <w:tc>
          <w:tcPr>
            <w:tcW w:type="dxa" w:w="4238"/>
          </w:tcPr>
          <w:p>
            <w:r>
              <w:rPr/>
              <w:t>投标（响应）文件中提供《资格条件承诺函》，《资格条件承诺函》模板详见公告附件。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本采购包专门面向中小企业采购</w:t>
            </w:r>
          </w:p>
        </w:tc>
        <w:tc>
          <w:tcPr>
            <w:tcW w:type="dxa" w:w="4238"/>
          </w:tcPr>
          <w:p>
            <w:r>
              <w:rPr/>
              <w:t>参与的供应商（联合体）服务全部由符合政策要求的中小企业承接。</w:t>
            </w:r>
          </w:p>
        </w:tc>
      </w:tr>
    </w:tbl>
    <w:p/>
    <w:p>
      <w:pPr>
        <w:ind w:firstLine="480"/>
      </w:pPr>
      <w:r>
        <w:rPr/>
        <w:t>表二符合性审查表：</w:t>
      </w:r>
    </w:p>
    <w:p>
      <w:pPr>
        <w:ind w:firstLine="480"/>
      </w:pPr>
    </w:p>
    <w:p/>
    <w:p>
      <w:r>
        <w:rPr/>
        <w:t>采购包1（高要区巩固国家卫生城市创建成果建城区病媒生物预防控制服务（2023年高要区国家卫生城市公共外环境病媒生物防制））：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响应承诺函</w:t>
            </w:r>
          </w:p>
        </w:tc>
        <w:tc>
          <w:tcPr>
            <w:tcW w:type="dxa" w:w="4238"/>
          </w:tcPr>
          <w:p>
            <w:r>
              <w:rPr/>
              <w:t>响应承诺已提交并符合磋商文件格式要求</w:t>
            </w:r>
          </w:p>
        </w:tc>
      </w:tr>
      <w:tr>
        <w:tc>
          <w:tcPr>
            <w:tcW w:type="dxa" w:w="890"/>
          </w:tcPr>
          <w:p>
            <w:r>
              <w:rPr/>
              <w:t>2</w:t>
            </w:r>
          </w:p>
        </w:tc>
        <w:tc>
          <w:tcPr>
            <w:tcW w:type="dxa" w:w="3178"/>
          </w:tcPr>
          <w:p>
            <w:r>
              <w:rPr/>
              <w:t>关于报价</w:t>
            </w:r>
          </w:p>
        </w:tc>
        <w:tc>
          <w:tcPr>
            <w:tcW w:type="dxa" w:w="4238"/>
          </w:tcPr>
          <w:p>
            <w:r>
              <w:rPr/>
              <w:t>响应文件未出现选择性报价或有附加条件报价的情形</w:t>
            </w:r>
          </w:p>
        </w:tc>
      </w:tr>
      <w:tr>
        <w:tc>
          <w:tcPr>
            <w:tcW w:type="dxa" w:w="890"/>
          </w:tcPr>
          <w:p>
            <w:r>
              <w:rPr/>
              <w:t>3</w:t>
            </w:r>
          </w:p>
        </w:tc>
        <w:tc>
          <w:tcPr>
            <w:tcW w:type="dxa" w:w="3178"/>
          </w:tcPr>
          <w:p>
            <w:r>
              <w:rPr/>
              <w:t>投标报价</w:t>
            </w:r>
          </w:p>
        </w:tc>
        <w:tc>
          <w:tcPr>
            <w:tcW w:type="dxa" w:w="4238"/>
          </w:tcPr>
          <w:p>
            <w:r>
              <w:rPr/>
              <w:t>最后报价未超过本项目最高限价的</w:t>
            </w:r>
          </w:p>
        </w:tc>
      </w:tr>
      <w:tr>
        <w:tc>
          <w:tcPr>
            <w:tcW w:type="dxa" w:w="890"/>
          </w:tcPr>
          <w:p>
            <w:r>
              <w:rPr/>
              <w:t>4</w:t>
            </w:r>
          </w:p>
        </w:tc>
        <w:tc>
          <w:tcPr>
            <w:tcW w:type="dxa" w:w="3178"/>
          </w:tcPr>
          <w:p>
            <w:r>
              <w:rPr/>
              <w:t>法定代表人或授权有效签署</w:t>
            </w:r>
          </w:p>
        </w:tc>
        <w:tc>
          <w:tcPr>
            <w:tcW w:type="dxa" w:w="4238"/>
          </w:tcPr>
          <w:p>
            <w:r>
              <w:rPr/>
              <w:t>按照磋商文件规定要求签署、盖章且响应文件有法定代表人签字或盖个人名章（或签字人有法定代表人有效授权书）的</w:t>
            </w:r>
          </w:p>
        </w:tc>
      </w:tr>
      <w:tr>
        <w:tc>
          <w:tcPr>
            <w:tcW w:type="dxa" w:w="890"/>
          </w:tcPr>
          <w:p>
            <w:r>
              <w:rPr/>
              <w:t>5</w:t>
            </w:r>
          </w:p>
        </w:tc>
        <w:tc>
          <w:tcPr>
            <w:tcW w:type="dxa" w:w="3178"/>
          </w:tcPr>
          <w:p>
            <w:r>
              <w:rPr/>
              <w:t>投标的有效期</w:t>
            </w:r>
          </w:p>
        </w:tc>
        <w:tc>
          <w:tcPr>
            <w:tcW w:type="dxa" w:w="4238"/>
          </w:tcPr>
          <w:p>
            <w:r>
              <w:rPr/>
              <w:t>投标有效期满足磋商文件要求</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采购包1(高要区巩固国家卫生城市创建成果建城区病媒生物预防控制服务（2023年高要区国家卫生城市公共外环境病媒生物防制）):</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商务部分45.0分</w:t>
            </w:r>
          </w:p>
          <w:p>
            <w:r>
              <w:rPr/>
              <w:t>技术部分45.0分</w:t>
            </w:r>
          </w:p>
          <w:p>
            <w:r>
              <w:rPr/>
              <w:t>报价得分10.0分</w:t>
            </w:r>
          </w:p>
        </w:tc>
      </w:tr>
      <w:tr>
        <w:tc>
          <w:tcPr>
            <w:tcW w:type="dxa" w:w="922"/>
            <w:gridSpan w:val="2"/>
            <w:vMerge w:val="restart"/>
          </w:tcPr>
          <w:p>
            <w:pPr>
              <w:jc w:val="center"/>
            </w:pPr>
            <w:r>
              <w:rPr/>
              <w:t>技术部分</w:t>
            </w:r>
          </w:p>
        </w:tc>
        <w:tc>
          <w:tcPr>
            <w:tcW w:type="dxa" w:w="2307"/>
          </w:tcPr>
          <w:p>
            <w:pPr>
              <w:jc w:val="left"/>
            </w:pPr>
            <w:r>
              <w:rPr/>
              <w:t>项目实施的重点、难点和解决方案 (15.0分)</w:t>
            </w:r>
            <w:r>
              <w:rPr/>
              <w:t>，（等次分值选择：</w:t>
            </w:r>
            <w:r>
              <w:rPr/>
              <w:t>0.0;</w:t>
            </w:r>
            <w:r>
              <w:rPr/>
              <w:t>1.0;</w:t>
            </w:r>
            <w:r>
              <w:rPr/>
              <w:t>5.0;</w:t>
            </w:r>
            <w:r>
              <w:rPr/>
              <w:t>10.0;</w:t>
            </w:r>
            <w:r>
              <w:rPr/>
              <w:t>15.0;</w:t>
            </w:r>
            <w:r>
              <w:rPr/>
              <w:t>）</w:t>
            </w:r>
          </w:p>
        </w:tc>
        <w:tc>
          <w:tcPr>
            <w:tcW w:type="dxa" w:w="5076"/>
          </w:tcPr>
          <w:p>
            <w:pPr>
              <w:jc w:val="left"/>
            </w:pPr>
            <w:r>
              <w:rPr/>
              <w:t>根据供应商提供的项目实施的重点、难点和解决方案（包括但不限于：项目现场的熟悉程度、周边环境状况分析具体程度、重点难点的解决方案等）进行评审： 1、对项目现场十分熟悉、周边环境状况及本项目实施的重点难点分析透彻、完全可行，得15分； 2、对项目现场比较熟悉、周边环境状况及本项目实施的重点难点分析较适合、对重点难点的解决方案有较大可行性，得10分； 3、对项目现场基本熟悉、周边环境状况及本项目实施的重点难点分析基本完整，项目实施的重点、难点和解决方案基本符合项目需求的，得5分； 4、对项目现场不熟悉、周边环境状况及本项目实施的重点难点分析不完整，项目实施的重点、难点和解决方案不符合项目需求的，得1分；5、不提供或其它不得分。</w:t>
            </w:r>
          </w:p>
        </w:tc>
      </w:tr>
      <w:tr>
        <w:tc>
          <w:tcPr>
            <w:tcW w:type="dxa" w:w="922"/>
            <w:gridSpan w:val="2"/>
            <w:vMerge/>
          </w:tcPr>
          <w:p/>
        </w:tc>
        <w:tc>
          <w:tcPr>
            <w:tcW w:type="dxa" w:w="2307"/>
          </w:tcPr>
          <w:p>
            <w:pPr>
              <w:jc w:val="left"/>
            </w:pPr>
            <w:r>
              <w:rPr/>
              <w:t>服务实施方案 (10.0分)</w:t>
            </w:r>
            <w:r>
              <w:rPr/>
              <w:t>，（等次分值选择：</w:t>
            </w:r>
            <w:r>
              <w:rPr/>
              <w:t>0.0;</w:t>
            </w:r>
            <w:r>
              <w:rPr/>
              <w:t>1.0;</w:t>
            </w:r>
            <w:r>
              <w:rPr/>
              <w:t>4.0;</w:t>
            </w:r>
            <w:r>
              <w:rPr/>
              <w:t>7.0;</w:t>
            </w:r>
            <w:r>
              <w:rPr/>
              <w:t>10.0;</w:t>
            </w:r>
            <w:r>
              <w:rPr/>
              <w:t>）</w:t>
            </w:r>
          </w:p>
        </w:tc>
        <w:tc>
          <w:tcPr>
            <w:tcW w:type="dxa" w:w="5076"/>
          </w:tcPr>
          <w:p>
            <w:pPr>
              <w:jc w:val="left"/>
            </w:pPr>
            <w:r>
              <w:rPr/>
              <w:t>根据供应商提供的服务实施方案（包括但不限于：除四害消杀作业等）进行评审： 1、除四害消杀作业方案具有完善的执行性，项目管理与实施进度安排合理、完全符合本项目需求，得10分； 2、除四害消杀作业方案具有较完整的执行性，项目管理与实施进度安排较合理、较符合本项目需求，得7分； 3、除四害消杀作业方案具有基本执行性，项目管理与实施进度安排基本合理、基本符合本项目需求，得4分； 4、除四害消杀作业方案不具有执行性，项目管理与实施进度安排不合理、不符合本项目需求，得1分；  5、不提供或其它不得分。</w:t>
            </w:r>
          </w:p>
        </w:tc>
      </w:tr>
      <w:tr>
        <w:tc>
          <w:tcPr>
            <w:tcW w:type="dxa" w:w="922"/>
            <w:gridSpan w:val="2"/>
            <w:vMerge/>
          </w:tcPr>
          <w:p/>
        </w:tc>
        <w:tc>
          <w:tcPr>
            <w:tcW w:type="dxa" w:w="2307"/>
          </w:tcPr>
          <w:p>
            <w:pPr>
              <w:jc w:val="left"/>
            </w:pPr>
            <w:r>
              <w:rPr/>
              <w:t>应急处理方案 (10.0分)</w:t>
            </w:r>
            <w:r>
              <w:rPr/>
              <w:t>，（等次分值选择：</w:t>
            </w:r>
            <w:r>
              <w:rPr/>
              <w:t>0.0;</w:t>
            </w:r>
            <w:r>
              <w:rPr/>
              <w:t>1.0;</w:t>
            </w:r>
            <w:r>
              <w:rPr/>
              <w:t>4.0;</w:t>
            </w:r>
            <w:r>
              <w:rPr/>
              <w:t>7.0;</w:t>
            </w:r>
            <w:r>
              <w:rPr/>
              <w:t>10.0;</w:t>
            </w:r>
            <w:r>
              <w:rPr/>
              <w:t>）</w:t>
            </w:r>
          </w:p>
        </w:tc>
        <w:tc>
          <w:tcPr>
            <w:tcW w:type="dxa" w:w="5076"/>
          </w:tcPr>
          <w:p>
            <w:pPr>
              <w:jc w:val="left"/>
            </w:pPr>
            <w:r>
              <w:rPr/>
              <w:t>根据供应商提供的应急处理方案（包括但不限于：应急准备、应急响应、应急处置等）进行评审： 1、应急方案计划周全，人员响应快速，处理措施完善合理的，得10分； 2、应急方案计划较为全面，人员响应较为快速，处理措施较完善合理的，得7分； 3、应急方案计划简单，基本可行，得4分； 4、应急方案计划简单，不可行，得1分； 5、不提供或其它不得分。</w:t>
            </w:r>
          </w:p>
        </w:tc>
      </w:tr>
      <w:tr>
        <w:tc>
          <w:tcPr>
            <w:tcW w:type="dxa" w:w="922"/>
            <w:gridSpan w:val="2"/>
            <w:vMerge/>
          </w:tcPr>
          <w:p/>
        </w:tc>
        <w:tc>
          <w:tcPr>
            <w:tcW w:type="dxa" w:w="2307"/>
          </w:tcPr>
          <w:p>
            <w:pPr>
              <w:jc w:val="left"/>
            </w:pPr>
            <w:r>
              <w:rPr/>
              <w:t>服务便利性 (10.0分)</w:t>
            </w:r>
            <w:r>
              <w:rPr/>
              <w:t>，（等次分值选择：</w:t>
            </w:r>
            <w:r>
              <w:rPr/>
              <w:t>0.0;</w:t>
            </w:r>
            <w:r>
              <w:rPr/>
              <w:t>4.0;</w:t>
            </w:r>
            <w:r>
              <w:rPr/>
              <w:t>7.0;</w:t>
            </w:r>
            <w:r>
              <w:rPr/>
              <w:t>10.0;</w:t>
            </w:r>
            <w:r>
              <w:rPr/>
              <w:t>）</w:t>
            </w:r>
          </w:p>
        </w:tc>
        <w:tc>
          <w:tcPr>
            <w:tcW w:type="dxa" w:w="5076"/>
          </w:tcPr>
          <w:p>
            <w:pPr>
              <w:jc w:val="left"/>
            </w:pPr>
            <w:r>
              <w:rPr/>
              <w:t>根据供应商提供的履约便利程度和服务经验进行评审： 1、售后服务方案详细具体、有效可行、供应商机构的稳定、服务便捷、履约能力强、质保期时间以及完工期优于并满足用户要求。得10分； 2、售后服务方案较详细具体，具有一定的可行性，供应商机构稳定性一般、具有一定的服务履约能力，质保期时间以及完工期基本符合用户要求，得7分；  3、售后服务方案不详细具体，供应商机构的稳定性差、服务的便捷性差，不符合用户要求，得4分；  4、不提供或其它不得分。 注：提供相关佐证材料作为评审依据，包括但不限于“百度地图”截图和供应商或其分支机构的营业执照复印件或办公地点租赁合同，复印件加盖公章。不提供不得分。</w:t>
            </w:r>
          </w:p>
        </w:tc>
      </w:tr>
      <w:tr>
        <w:tc>
          <w:tcPr>
            <w:tcW w:type="dxa" w:w="922"/>
            <w:gridSpan w:val="2"/>
            <w:vMerge w:val="restart"/>
          </w:tcPr>
          <w:p>
            <w:pPr>
              <w:jc w:val="center"/>
            </w:pPr>
            <w:r>
              <w:rPr/>
              <w:t>商务部分</w:t>
            </w:r>
          </w:p>
        </w:tc>
        <w:tc>
          <w:tcPr>
            <w:tcW w:type="dxa" w:w="2307"/>
          </w:tcPr>
          <w:p>
            <w:pPr>
              <w:jc w:val="left"/>
            </w:pPr>
            <w:r>
              <w:rPr/>
              <w:t>同类业绩 (10.0分)</w:t>
            </w:r>
          </w:p>
        </w:tc>
        <w:tc>
          <w:tcPr>
            <w:tcW w:type="dxa" w:w="5076"/>
          </w:tcPr>
          <w:p>
            <w:pPr>
              <w:jc w:val="left"/>
            </w:pPr>
            <w:r>
              <w:rPr/>
              <w:t>根据响应供应商2020年1月至今完成过的同类项目业绩情况进行评分，每项得1分，满分为10分。 注：须提供项目业绩合同复印件加盖供应商公章作为评审依据，否则本项不得分。</w:t>
            </w:r>
          </w:p>
        </w:tc>
      </w:tr>
      <w:tr>
        <w:tc>
          <w:tcPr>
            <w:tcW w:type="dxa" w:w="922"/>
            <w:gridSpan w:val="2"/>
            <w:vMerge/>
          </w:tcPr>
          <w:p/>
        </w:tc>
        <w:tc>
          <w:tcPr>
            <w:tcW w:type="dxa" w:w="2307"/>
          </w:tcPr>
          <w:p>
            <w:pPr>
              <w:jc w:val="left"/>
            </w:pPr>
            <w:r>
              <w:rPr/>
              <w:t>技术人员配备  (15.0分)</w:t>
            </w:r>
          </w:p>
        </w:tc>
        <w:tc>
          <w:tcPr>
            <w:tcW w:type="dxa" w:w="5076"/>
          </w:tcPr>
          <w:p>
            <w:pPr>
              <w:jc w:val="left"/>
            </w:pPr>
            <w:r>
              <w:rPr/>
              <w:t>根据响应供应商拟投入本项目的人员配备情况进行评分：  1.拟投入本项目的项目负责人具有公共卫生、病媒生物预防控制、昆虫学、制药工程、农药学相关专业中任意一专业本科或以上学历，且取得人社部门（包括原劳动部门）颁发的病媒生物（有害生物）高级（三级）职业技术资格证书的得3分，否则不得分； 除项目负责人外，拟派项目技术人员具有人社部门（包括原劳动部门）颁发的病媒生物（有害生物）高级（三级或以上）的职业技术资格证书每个得1分，中级（四级）的每个得0.5分，初级的每个得0.2分；或具有省级或以上有害生物防制协会颁发的有害生物防制员高级或以上证书的每个得1分；取得中级证书的每个得0.5分；取得初级证书的每个得0.2分；本项最高得12分。 注：须提供上述人员的资格证书复印件、项目负责人还须提供学历证书复印件，并提供以上人员近6个月本单位购买社保凭证复印件（招标公告发布当月不计）作为评审依据。同一个人具有两种证书的，只按1种证书计分。不提供不得分。</w:t>
            </w:r>
          </w:p>
        </w:tc>
      </w:tr>
      <w:tr>
        <w:tc>
          <w:tcPr>
            <w:tcW w:type="dxa" w:w="922"/>
            <w:gridSpan w:val="2"/>
            <w:vMerge/>
          </w:tcPr>
          <w:p/>
        </w:tc>
        <w:tc>
          <w:tcPr>
            <w:tcW w:type="dxa" w:w="2307"/>
          </w:tcPr>
          <w:p>
            <w:pPr>
              <w:jc w:val="left"/>
            </w:pPr>
            <w:r>
              <w:rPr/>
              <w:t>企业实力情况 (10.0分)</w:t>
            </w:r>
          </w:p>
        </w:tc>
        <w:tc>
          <w:tcPr>
            <w:tcW w:type="dxa" w:w="5076"/>
          </w:tcPr>
          <w:p>
            <w:pPr>
              <w:jc w:val="left"/>
            </w:pPr>
            <w:r>
              <w:rPr/>
              <w:t>①供应商2020年1月1日以来获得过全国有害生物防制相关奖项的得3分，获得省级奖项的得2分，获得市级奖项的得1分。 ②供应商具有有效质量管理体系、环境安全管理体系、职业健康安全安全体系认证认证书的，每具有1个得1分，满分得3分； ③供应商参加过登革热防控并收到县（区）级或以上政府部门通报表彰的得2分；参加过登革热防控并收到县级以下政府部门通报表彰的得1分； ④供应商承担过的“除四害”服务并获得县（区）级或以上政府部门表彰的得2分；承担过的“除四害”服务并获得县（区）级以下政府部门表彰的得1分； 注：响应文件中提供相关证明文件复印件加盖供应商公章作为评审依据，不提供不得分。</w:t>
            </w:r>
          </w:p>
        </w:tc>
      </w:tr>
      <w:tr>
        <w:tc>
          <w:tcPr>
            <w:tcW w:type="dxa" w:w="922"/>
            <w:gridSpan w:val="2"/>
            <w:vMerge/>
          </w:tcPr>
          <w:p/>
        </w:tc>
        <w:tc>
          <w:tcPr>
            <w:tcW w:type="dxa" w:w="2307"/>
          </w:tcPr>
          <w:p>
            <w:pPr>
              <w:jc w:val="left"/>
            </w:pPr>
            <w:r>
              <w:rPr/>
              <w:t>拟投入本项目的药械配备情况 (10.0分)</w:t>
            </w:r>
          </w:p>
        </w:tc>
        <w:tc>
          <w:tcPr>
            <w:tcW w:type="dxa" w:w="5076"/>
          </w:tcPr>
          <w:p>
            <w:pPr>
              <w:jc w:val="left"/>
            </w:pPr>
            <w:r>
              <w:rPr/>
              <w:t>根据供应商针对本项目拟投入的配备情况进行评分： ①配备无人机监测设备的得1分； ②配备车载式喷雾器的得1分； ③同时配备热烟雾机、配备电动或机动超低容量喷雾机、配备电动或机动常量喷雾机的，得2分； ④配备的施工车辆2台或以上的得1分； 注：响应文件须提供购买设备的发票复印件、施工车辆的登记证复印件并加盖供应商公章（购买人必须为供应商），施工车辆必须是货车或消杀作业车（以车辆登记证或行驶证所载明车辆类型为准,上述车辆不包括用于载人的轿车、客车。）且车辆所有人的名称与供应商名称一致，未按要求提供的不得分。 ⑤.取得所用药物（详见用户需求书中的药物清单）生产厂家或经销商授权书（经销商需有厂家授权）及药物三证的得5分，少一种药物资料扣2分，扣完为止。 注：须在响应文件中提供药物生产厂家或经销商授权书的复印件作为证明资料（经销商授权的需同时提供生产厂家对经销商的授权文件），否则本项不得分。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sz w:val="36"/>
        </w:rPr>
        <w:t>高要区巩固国家卫生城市创建成果建城区病媒生物预防控制服务（2023年高要区国家卫生城市公共外环境病媒生物防制）采购合同</w:t>
      </w:r>
    </w:p>
    <w:p/>
    <w:p>
      <w:pPr>
        <w:jc w:val="both"/>
      </w:pPr>
      <w:r>
        <w:rPr>
          <w:b/>
          <w:sz w:val="21"/>
        </w:rPr>
        <w:t>甲</w:t>
      </w:r>
      <w:r>
        <w:rPr>
          <w:b/>
          <w:sz w:val="21"/>
        </w:rPr>
        <w:t xml:space="preserve">   </w:t>
      </w:r>
      <w:r>
        <w:rPr>
          <w:b/>
          <w:sz w:val="21"/>
        </w:rPr>
        <w:t>方</w:t>
      </w:r>
      <w:r>
        <w:rPr>
          <w:sz w:val="21"/>
        </w:rPr>
        <w:t>：肇庆市高要区卫生健康局</w:t>
      </w:r>
    </w:p>
    <w:p>
      <w:pPr>
        <w:jc w:val="both"/>
      </w:pPr>
      <w:r>
        <w:rPr>
          <w:color w:val="000000"/>
          <w:sz w:val="21"/>
        </w:rPr>
        <w:t>电</w:t>
      </w:r>
      <w:r>
        <w:rPr>
          <w:color w:val="000000"/>
          <w:sz w:val="21"/>
        </w:rPr>
        <w:t xml:space="preserve">   </w:t>
      </w:r>
      <w:r>
        <w:rPr>
          <w:color w:val="000000"/>
          <w:sz w:val="21"/>
        </w:rPr>
        <w:t>话：</w:t>
      </w:r>
      <w:r>
        <w:rPr>
          <w:color w:val="000000"/>
          <w:sz w:val="21"/>
        </w:rPr>
        <w:t>0758-8392312      传  真：      地  址：肇庆市高要区广新一路139号</w:t>
      </w:r>
    </w:p>
    <w:p>
      <w:pPr>
        <w:jc w:val="both"/>
      </w:pPr>
      <w:r>
        <w:rPr>
          <w:b/>
          <w:sz w:val="21"/>
        </w:rPr>
        <w:t xml:space="preserve"> </w:t>
      </w:r>
    </w:p>
    <w:p>
      <w:pPr>
        <w:jc w:val="both"/>
      </w:pPr>
      <w:r>
        <w:rPr>
          <w:b/>
          <w:color w:val="000000"/>
          <w:sz w:val="21"/>
        </w:rPr>
        <w:t>乙</w:t>
      </w:r>
      <w:r>
        <w:rPr>
          <w:b/>
          <w:color w:val="000000"/>
          <w:sz w:val="21"/>
        </w:rPr>
        <w:t xml:space="preserve">   </w:t>
      </w:r>
      <w:r>
        <w:rPr>
          <w:b/>
          <w:color w:val="000000"/>
          <w:sz w:val="21"/>
        </w:rPr>
        <w:t>方</w:t>
      </w:r>
      <w:r>
        <w:rPr>
          <w:color w:val="000000"/>
          <w:sz w:val="21"/>
        </w:rPr>
        <w:t>（成交供应商）：</w:t>
      </w:r>
    </w:p>
    <w:p>
      <w:pPr>
        <w:jc w:val="both"/>
      </w:pPr>
      <w:r>
        <w:rPr>
          <w:color w:val="000000"/>
          <w:sz w:val="21"/>
        </w:rPr>
        <w:t>电</w:t>
      </w:r>
      <w:r>
        <w:rPr>
          <w:color w:val="000000"/>
          <w:sz w:val="21"/>
        </w:rPr>
        <w:t xml:space="preserve">   </w:t>
      </w:r>
      <w:r>
        <w:rPr>
          <w:color w:val="000000"/>
          <w:sz w:val="21"/>
        </w:rPr>
        <w:t>话：</w:t>
      </w:r>
      <w:r>
        <w:rPr>
          <w:color w:val="000000"/>
          <w:sz w:val="21"/>
        </w:rPr>
        <w:t xml:space="preserve">                  </w:t>
      </w:r>
      <w:r>
        <w:rPr>
          <w:color w:val="000000"/>
          <w:sz w:val="21"/>
        </w:rPr>
        <w:t>传</w:t>
      </w:r>
      <w:r>
        <w:rPr>
          <w:color w:val="000000"/>
          <w:sz w:val="21"/>
        </w:rPr>
        <w:t xml:space="preserve"> </w:t>
      </w:r>
      <w:r>
        <w:rPr>
          <w:color w:val="000000"/>
          <w:sz w:val="21"/>
        </w:rPr>
        <w:t>真：</w:t>
      </w:r>
      <w:r>
        <w:rPr>
          <w:color w:val="000000"/>
          <w:sz w:val="21"/>
        </w:rPr>
        <w:t xml:space="preserve">     </w:t>
      </w:r>
      <w:r>
        <w:rPr>
          <w:color w:val="000000"/>
          <w:sz w:val="21"/>
        </w:rPr>
        <w:t>地</w:t>
      </w:r>
      <w:r>
        <w:rPr>
          <w:color w:val="000000"/>
          <w:sz w:val="21"/>
        </w:rPr>
        <w:t xml:space="preserve"> </w:t>
      </w:r>
      <w:r>
        <w:rPr>
          <w:color w:val="000000"/>
          <w:sz w:val="21"/>
        </w:rPr>
        <w:t>址：</w:t>
      </w:r>
    </w:p>
    <w:p>
      <w:pPr>
        <w:ind w:firstLine="420"/>
        <w:jc w:val="both"/>
      </w:pPr>
      <w:r>
        <w:rPr>
          <w:color w:val="000000"/>
          <w:sz w:val="21"/>
        </w:rPr>
        <w:t>根据</w:t>
      </w:r>
      <w:r>
        <w:rPr>
          <w:color w:val="000000"/>
          <w:sz w:val="21"/>
          <w:u w:val="single"/>
        </w:rPr>
        <w:t>项目名称：</w:t>
      </w:r>
      <w:r>
        <w:rPr>
          <w:color w:val="000000"/>
          <w:sz w:val="21"/>
          <w:u w:val="single"/>
        </w:rPr>
        <w:t>高要区巩固国家卫生城市创建成果建城区病媒生物预防控制服务（</w:t>
      </w:r>
      <w:r>
        <w:rPr>
          <w:color w:val="000000"/>
          <w:sz w:val="21"/>
          <w:u w:val="single"/>
        </w:rPr>
        <w:t>2023年高要区国家卫生城市公共外环境病媒生物防制）</w:t>
      </w:r>
      <w:r>
        <w:rPr>
          <w:color w:val="000000"/>
          <w:sz w:val="21"/>
          <w:u w:val="single"/>
        </w:rPr>
        <w:t>（项目编号：</w:t>
      </w:r>
      <w:r>
        <w:rPr>
          <w:color w:val="000000"/>
          <w:sz w:val="21"/>
          <w:u w:val="single"/>
        </w:rPr>
        <w:t xml:space="preserve">     </w:t>
      </w:r>
      <w:r>
        <w:rPr>
          <w:color w:val="000000"/>
          <w:sz w:val="21"/>
        </w:rPr>
        <w:t>的采购结果，按照《中华人民共和国政府采购法》和《中华人民共和国民法典》的规定，</w:t>
      </w:r>
      <w:r>
        <w:rPr>
          <w:color w:val="000000"/>
          <w:sz w:val="21"/>
        </w:rPr>
        <w:t>经双方协商，</w:t>
      </w:r>
      <w:r>
        <w:rPr>
          <w:color w:val="000000"/>
          <w:sz w:val="21"/>
        </w:rPr>
        <w:t>本着平等互利和诚实信用的原则，</w:t>
      </w:r>
      <w:r>
        <w:rPr>
          <w:color w:val="000000"/>
          <w:sz w:val="21"/>
        </w:rPr>
        <w:t>一致同意签订本合同如下。</w:t>
      </w:r>
    </w:p>
    <w:p>
      <w:pPr>
        <w:ind w:firstLine="420"/>
        <w:jc w:val="both"/>
      </w:pPr>
    </w:p>
    <w:p>
      <w:pPr>
        <w:jc w:val="left"/>
      </w:pPr>
      <w:r>
        <w:rPr>
          <w:b/>
          <w:color w:val="000000"/>
          <w:sz w:val="21"/>
        </w:rPr>
        <w:t>一、合同金额</w:t>
      </w:r>
    </w:p>
    <w:p>
      <w:pPr>
        <w:jc w:val="both"/>
      </w:pPr>
      <w:r>
        <w:rPr>
          <w:color w:val="000000"/>
          <w:sz w:val="21"/>
        </w:rPr>
        <w:t>合同金额为（大写）：人民币</w:t>
      </w:r>
      <w:r>
        <w:rPr>
          <w:color w:val="000000"/>
          <w:sz w:val="21"/>
          <w:u w:val="single"/>
        </w:rPr>
        <w:t xml:space="preserve">               </w:t>
      </w:r>
      <w:r>
        <w:rPr>
          <w:color w:val="000000"/>
          <w:sz w:val="21"/>
          <w:u w:val="single"/>
        </w:rPr>
        <w:t>元整（</w:t>
      </w:r>
      <w:r>
        <w:rPr>
          <w:color w:val="000000"/>
          <w:sz w:val="21"/>
        </w:rPr>
        <w:t>￥</w:t>
      </w:r>
      <w:r>
        <w:rPr>
          <w:color w:val="000000"/>
          <w:sz w:val="21"/>
        </w:rPr>
        <w:t xml:space="preserve">     </w:t>
      </w:r>
      <w:r>
        <w:rPr>
          <w:color w:val="000000"/>
          <w:sz w:val="21"/>
        </w:rPr>
        <w:t>元）。</w:t>
      </w:r>
    </w:p>
    <w:p>
      <w:pPr>
        <w:jc w:val="both"/>
      </w:pPr>
    </w:p>
    <w:p>
      <w:pPr>
        <w:jc w:val="left"/>
      </w:pPr>
      <w:r>
        <w:rPr>
          <w:b/>
          <w:color w:val="000000"/>
          <w:sz w:val="21"/>
        </w:rPr>
        <w:t>二、服务内容、期限及频次</w:t>
      </w:r>
    </w:p>
    <w:p>
      <w:pPr>
        <w:jc w:val="both"/>
      </w:pPr>
      <w:r>
        <w:rPr>
          <w:sz w:val="21"/>
        </w:rPr>
        <w:t>1、服务内容：建立健全国家卫生城市</w:t>
      </w:r>
      <w:r>
        <w:rPr>
          <w:sz w:val="21"/>
        </w:rPr>
        <w:t>“病媒生物预防控制”内容所需的相关资料；全面投药杀灭鼠、蝇、蚊、蟑螂等病媒生物防制服务工作。</w:t>
      </w:r>
    </w:p>
    <w:p>
      <w:pPr>
        <w:jc w:val="both"/>
      </w:pPr>
      <w:r>
        <w:rPr>
          <w:sz w:val="21"/>
        </w:rPr>
        <w:t>2、服务期限：自签订合同生效起一年。</w:t>
      </w:r>
    </w:p>
    <w:p>
      <w:pPr>
        <w:jc w:val="both"/>
      </w:pPr>
      <w:r>
        <w:rPr>
          <w:sz w:val="21"/>
        </w:rPr>
        <w:t>3、服务频次：</w:t>
      </w:r>
      <w:r>
        <w:rPr>
          <w:color w:val="000000"/>
          <w:sz w:val="21"/>
        </w:rPr>
        <w:t>金渡、马安区域、莲塘北部以上区域的城乡结合部，根据甲方需求安排实施，合同期内共服务</w:t>
      </w:r>
      <w:r>
        <w:rPr>
          <w:color w:val="000000"/>
          <w:sz w:val="21"/>
        </w:rPr>
        <w:t>11轮。南岸城区、马安、江口片区以上区域，根据甲方需求安排实施，合同期内共服务8轮。</w:t>
      </w:r>
    </w:p>
    <w:p>
      <w:pPr>
        <w:jc w:val="both"/>
      </w:pPr>
      <w:r>
        <w:rPr>
          <w:sz w:val="21"/>
        </w:rPr>
        <w:t>4、服务范围：肇庆市高要区（包括南岸城区、金渡、马安、莲塘北部等区域。四至范围：东至紫云大道、西至蛇山及马安中心小学、南至天资工业园、北至西江沿岸）。各个地理方位的主要街道、背街小巷、城中村、闲置（待建）地和公园等公共外环境。</w:t>
      </w:r>
    </w:p>
    <w:p>
      <w:pPr>
        <w:jc w:val="left"/>
      </w:pPr>
      <w:r>
        <w:rPr>
          <w:b/>
          <w:sz w:val="21"/>
        </w:rPr>
        <w:t>三、详细服务要求</w:t>
      </w:r>
    </w:p>
    <w:p>
      <w:pPr>
        <w:jc w:val="both"/>
      </w:pPr>
      <w:r>
        <w:rPr>
          <w:sz w:val="24"/>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82"/>
        <w:gridCol w:w="1441"/>
        <w:gridCol w:w="4362"/>
        <w:gridCol w:w="2016"/>
      </w:tblGrid>
      <w:tr>
        <w:tc>
          <w:tcPr>
            <w:tcW w:type="dxa" w:w="482"/>
            <w:tcBorders>
              <w:top w:val="single" w:color="000000" w:sz="4"/>
              <w:left w:val="single" w:color="000000" w:sz="4"/>
              <w:bottom w:val="single" w:color="000000" w:sz="4"/>
              <w:right w:val="single" w:color="000000" w:sz="4"/>
            </w:tcBorders>
            <w:vAlign w:val="top"/>
          </w:tcPr>
          <w:p>
            <w:pPr>
              <w:jc w:val="center"/>
            </w:pPr>
            <w:r>
              <w:rPr>
                <w:b/>
                <w:sz w:val="21"/>
              </w:rPr>
              <w:t>项目</w:t>
            </w:r>
          </w:p>
        </w:tc>
        <w:tc>
          <w:tcPr>
            <w:tcW w:type="dxa" w:w="1441"/>
            <w:tcBorders>
              <w:top w:val="single" w:color="000000" w:sz="4"/>
              <w:left w:val="single" w:color="000000" w:sz="4"/>
              <w:bottom w:val="single" w:color="000000" w:sz="4"/>
              <w:right w:val="single" w:color="000000" w:sz="4"/>
            </w:tcBorders>
            <w:vAlign w:val="top"/>
          </w:tcPr>
          <w:p>
            <w:pPr>
              <w:jc w:val="center"/>
            </w:pPr>
            <w:r>
              <w:rPr>
                <w:b/>
                <w:sz w:val="21"/>
              </w:rPr>
              <w:t>工作内容</w:t>
            </w:r>
          </w:p>
        </w:tc>
        <w:tc>
          <w:tcPr>
            <w:tcW w:type="dxa" w:w="4362"/>
            <w:tcBorders>
              <w:top w:val="single" w:color="000000" w:sz="4"/>
              <w:left w:val="single" w:color="000000" w:sz="4"/>
              <w:bottom w:val="single" w:color="000000" w:sz="4"/>
              <w:right w:val="single" w:color="000000" w:sz="4"/>
            </w:tcBorders>
            <w:vAlign w:val="top"/>
          </w:tcPr>
          <w:p>
            <w:pPr>
              <w:jc w:val="center"/>
            </w:pPr>
            <w:r>
              <w:rPr>
                <w:b/>
                <w:sz w:val="21"/>
              </w:rPr>
              <w:t>操作规范和要求</w:t>
            </w:r>
          </w:p>
        </w:tc>
        <w:tc>
          <w:tcPr>
            <w:tcW w:type="dxa" w:w="2016"/>
            <w:tcBorders>
              <w:top w:val="single" w:color="000000" w:sz="4"/>
              <w:left w:val="single" w:color="000000" w:sz="4"/>
              <w:bottom w:val="single" w:color="000000" w:sz="4"/>
              <w:right w:val="single" w:color="000000" w:sz="4"/>
            </w:tcBorders>
            <w:vAlign w:val="top"/>
          </w:tcPr>
          <w:p>
            <w:pPr>
              <w:jc w:val="center"/>
            </w:pPr>
            <w:r>
              <w:rPr>
                <w:b/>
                <w:sz w:val="21"/>
              </w:rPr>
              <w:t>频次</w:t>
            </w:r>
          </w:p>
        </w:tc>
      </w:tr>
      <w:tr>
        <w:tc>
          <w:tcPr>
            <w:tcW w:type="dxa" w:w="482"/>
            <w:vMerge w:val="restart"/>
            <w:tcBorders>
              <w:top w:val="none" w:color="000000" w:sz="4"/>
              <w:left w:val="single" w:color="000000" w:sz="4"/>
              <w:bottom w:val="single" w:color="000000" w:sz="4"/>
              <w:right w:val="single" w:color="000000" w:sz="4"/>
            </w:tcBorders>
            <w:vAlign w:val="top"/>
          </w:tcPr>
          <w:p>
            <w:pPr>
              <w:jc w:val="center"/>
            </w:pPr>
            <w:r>
              <w:rPr>
                <w:sz w:val="21"/>
              </w:rPr>
              <w:t>灭鼠</w:t>
            </w:r>
          </w:p>
        </w:tc>
        <w:tc>
          <w:tcPr>
            <w:tcW w:type="dxa" w:w="1441"/>
            <w:tcBorders>
              <w:top w:val="none" w:color="000000" w:sz="4"/>
              <w:left w:val="single" w:color="000000" w:sz="4"/>
              <w:bottom w:val="single" w:color="000000" w:sz="4"/>
              <w:right w:val="single" w:color="000000" w:sz="4"/>
            </w:tcBorders>
            <w:vAlign w:val="top"/>
          </w:tcPr>
          <w:p>
            <w:pPr>
              <w:jc w:val="both"/>
            </w:pPr>
            <w:r>
              <w:rPr>
                <w:sz w:val="21"/>
              </w:rPr>
              <w:t>1.公共外环境统一全面投药灭鼠</w:t>
            </w:r>
          </w:p>
        </w:tc>
        <w:tc>
          <w:tcPr>
            <w:tcW w:type="dxa" w:w="4362"/>
            <w:tcBorders>
              <w:top w:val="none" w:color="000000" w:sz="4"/>
              <w:left w:val="single" w:color="000000" w:sz="4"/>
              <w:bottom w:val="single" w:color="000000" w:sz="4"/>
              <w:right w:val="single" w:color="000000" w:sz="4"/>
            </w:tcBorders>
            <w:vAlign w:val="top"/>
          </w:tcPr>
          <w:p>
            <w:pPr>
              <w:jc w:val="both"/>
            </w:pPr>
            <w:r>
              <w:rPr>
                <w:sz w:val="21"/>
              </w:rPr>
              <w:t>灭鼠</w:t>
            </w:r>
            <w:r>
              <w:rPr>
                <w:color w:val="000000"/>
                <w:sz w:val="21"/>
              </w:rPr>
              <w:t>8轮或11轮,</w:t>
            </w:r>
            <w:r>
              <w:rPr>
                <w:sz w:val="21"/>
              </w:rPr>
              <w:t>每轮</w:t>
            </w:r>
            <w:r>
              <w:rPr>
                <w:sz w:val="21"/>
              </w:rPr>
              <w:t>3次（包括安装足量毒鼠筒、投药、补药、清鼠迹、检查等工作），药物必须使用合法灭鼠药物，新鲜、适口性强，投放点多、量饱和，勤跟踪，及时补药。</w:t>
            </w:r>
          </w:p>
        </w:tc>
        <w:tc>
          <w:tcPr>
            <w:tcW w:type="dxa" w:w="2016"/>
            <w:tcBorders>
              <w:top w:val="none" w:color="000000" w:sz="4"/>
              <w:left w:val="single" w:color="000000" w:sz="4"/>
              <w:bottom w:val="single" w:color="000000" w:sz="4"/>
              <w:right w:val="single" w:color="000000" w:sz="4"/>
            </w:tcBorders>
            <w:vAlign w:val="top"/>
          </w:tcPr>
          <w:p>
            <w:pPr>
              <w:jc w:val="left"/>
            </w:pPr>
            <w:r>
              <w:rPr>
                <w:sz w:val="21"/>
              </w:rPr>
              <w:t>按</w:t>
            </w:r>
            <w:r>
              <w:rPr>
                <w:sz w:val="21"/>
              </w:rPr>
              <w:t>“服务内容、期限及频次”内容中的第3点服务频次要求执行</w:t>
            </w:r>
          </w:p>
        </w:tc>
      </w:tr>
      <w:tr>
        <w:tc>
          <w:tcPr>
            <w:tcW w:type="dxa" w:w="482"/>
            <w:vMerge/>
            <w:tcBorders>
              <w:top w:val="none" w:color="000000" w:sz="4"/>
              <w:left w:val="single" w:color="000000" w:sz="4"/>
              <w:bottom w:val="single" w:color="000000" w:sz="4"/>
              <w:right w:val="single" w:color="000000" w:sz="4"/>
            </w:tcBorders>
          </w:tcPr>
          <w:p/>
        </w:tc>
        <w:tc>
          <w:tcPr>
            <w:tcW w:type="dxa" w:w="1441"/>
            <w:tcBorders>
              <w:top w:val="none" w:color="000000" w:sz="4"/>
              <w:left w:val="single" w:color="000000" w:sz="4"/>
              <w:bottom w:val="single" w:color="000000" w:sz="4"/>
              <w:right w:val="single" w:color="000000" w:sz="4"/>
            </w:tcBorders>
            <w:vAlign w:val="top"/>
          </w:tcPr>
          <w:p>
            <w:pPr>
              <w:jc w:val="both"/>
            </w:pPr>
            <w:r>
              <w:rPr>
                <w:sz w:val="21"/>
              </w:rPr>
              <w:t>2.日常跟踪公共外环境灭鼠效果。</w:t>
            </w:r>
          </w:p>
        </w:tc>
        <w:tc>
          <w:tcPr>
            <w:tcW w:type="dxa" w:w="4362"/>
            <w:tcBorders>
              <w:top w:val="none" w:color="000000" w:sz="4"/>
              <w:left w:val="single" w:color="000000" w:sz="4"/>
              <w:bottom w:val="single" w:color="000000" w:sz="4"/>
              <w:right w:val="single" w:color="000000" w:sz="4"/>
            </w:tcBorders>
            <w:vAlign w:val="top"/>
          </w:tcPr>
          <w:p>
            <w:pPr>
              <w:jc w:val="both"/>
            </w:pPr>
            <w:r>
              <w:rPr>
                <w:sz w:val="21"/>
              </w:rPr>
              <w:t>每次检查鼠迹，发现鼠迹立即清理并及时投放和补充足量灭鼠毒饵。</w:t>
            </w:r>
          </w:p>
        </w:tc>
        <w:tc>
          <w:tcPr>
            <w:tcW w:type="dxa" w:w="2016"/>
            <w:tcBorders>
              <w:top w:val="none" w:color="000000" w:sz="4"/>
              <w:left w:val="single" w:color="000000" w:sz="4"/>
              <w:bottom w:val="single" w:color="000000" w:sz="4"/>
              <w:right w:val="single" w:color="000000" w:sz="4"/>
            </w:tcBorders>
            <w:vAlign w:val="top"/>
          </w:tcPr>
          <w:p>
            <w:pPr>
              <w:jc w:val="left"/>
            </w:pPr>
            <w:r>
              <w:rPr>
                <w:sz w:val="21"/>
              </w:rPr>
              <w:t>按计划服务</w:t>
            </w:r>
          </w:p>
        </w:tc>
      </w:tr>
      <w:tr>
        <w:tc>
          <w:tcPr>
            <w:tcW w:type="dxa" w:w="482"/>
            <w:vMerge/>
            <w:tcBorders>
              <w:top w:val="none" w:color="000000" w:sz="4"/>
              <w:left w:val="single" w:color="000000" w:sz="4"/>
              <w:bottom w:val="single" w:color="000000" w:sz="4"/>
              <w:right w:val="single" w:color="000000" w:sz="4"/>
            </w:tcBorders>
          </w:tcPr>
          <w:p/>
        </w:tc>
        <w:tc>
          <w:tcPr>
            <w:tcW w:type="dxa" w:w="1441"/>
            <w:tcBorders>
              <w:top w:val="none" w:color="000000" w:sz="4"/>
              <w:left w:val="single" w:color="000000" w:sz="4"/>
              <w:bottom w:val="single" w:color="000000" w:sz="4"/>
              <w:right w:val="single" w:color="000000" w:sz="4"/>
            </w:tcBorders>
            <w:vAlign w:val="top"/>
          </w:tcPr>
          <w:p>
            <w:pPr>
              <w:jc w:val="both"/>
            </w:pPr>
            <w:r>
              <w:rPr>
                <w:sz w:val="21"/>
              </w:rPr>
              <w:t>3.开展鼠情监测</w:t>
            </w:r>
          </w:p>
        </w:tc>
        <w:tc>
          <w:tcPr>
            <w:tcW w:type="dxa" w:w="4362"/>
            <w:tcBorders>
              <w:top w:val="none" w:color="000000" w:sz="4"/>
              <w:left w:val="single" w:color="000000" w:sz="4"/>
              <w:bottom w:val="single" w:color="000000" w:sz="4"/>
              <w:right w:val="single" w:color="000000" w:sz="4"/>
            </w:tcBorders>
            <w:vAlign w:val="top"/>
          </w:tcPr>
          <w:p>
            <w:pPr>
              <w:jc w:val="both"/>
            </w:pPr>
            <w:r>
              <w:rPr>
                <w:sz w:val="21"/>
              </w:rPr>
              <w:t>每季度对重点单位如食品加工场所、市场、餐饮旅业、学校饭堂、居民住宅区等会同我区相关专业人员按标准要求做好密度监测，并对重点单位做好防鼠设施指导工作。同时，做好监测记录和统计等相关资料。</w:t>
            </w:r>
          </w:p>
        </w:tc>
        <w:tc>
          <w:tcPr>
            <w:tcW w:type="dxa" w:w="2016"/>
            <w:tcBorders>
              <w:top w:val="none" w:color="000000" w:sz="4"/>
              <w:left w:val="single" w:color="000000" w:sz="4"/>
              <w:bottom w:val="single" w:color="000000" w:sz="4"/>
              <w:right w:val="single" w:color="000000" w:sz="4"/>
            </w:tcBorders>
            <w:vAlign w:val="top"/>
          </w:tcPr>
          <w:p>
            <w:pPr>
              <w:jc w:val="left"/>
            </w:pPr>
            <w:r>
              <w:rPr>
                <w:sz w:val="21"/>
              </w:rPr>
              <w:t>每季度</w:t>
            </w:r>
          </w:p>
        </w:tc>
      </w:tr>
      <w:tr>
        <w:tc>
          <w:tcPr>
            <w:tcW w:type="dxa" w:w="482"/>
            <w:vMerge w:val="restart"/>
            <w:tcBorders>
              <w:top w:val="none" w:color="000000" w:sz="4"/>
              <w:left w:val="single" w:color="000000" w:sz="4"/>
              <w:bottom w:val="single" w:color="000000" w:sz="4"/>
              <w:right w:val="single" w:color="000000" w:sz="4"/>
            </w:tcBorders>
            <w:vAlign w:val="top"/>
          </w:tcPr>
          <w:p>
            <w:pPr>
              <w:jc w:val="center"/>
            </w:pPr>
            <w:r>
              <w:rPr>
                <w:sz w:val="21"/>
              </w:rPr>
              <w:t>灭蚊</w:t>
            </w:r>
          </w:p>
        </w:tc>
        <w:tc>
          <w:tcPr>
            <w:tcW w:type="dxa" w:w="1441"/>
            <w:tcBorders>
              <w:top w:val="none" w:color="000000" w:sz="4"/>
              <w:left w:val="single" w:color="000000" w:sz="4"/>
              <w:bottom w:val="single" w:color="000000" w:sz="4"/>
              <w:right w:val="single" w:color="000000" w:sz="4"/>
            </w:tcBorders>
            <w:vAlign w:val="top"/>
          </w:tcPr>
          <w:p>
            <w:pPr>
              <w:jc w:val="both"/>
            </w:pPr>
            <w:r>
              <w:rPr>
                <w:sz w:val="21"/>
              </w:rPr>
              <w:t>1.热烟雾灭成蚊</w:t>
            </w:r>
          </w:p>
        </w:tc>
        <w:tc>
          <w:tcPr>
            <w:tcW w:type="dxa" w:w="4362"/>
            <w:tcBorders>
              <w:top w:val="none" w:color="000000" w:sz="4"/>
              <w:left w:val="single" w:color="000000" w:sz="4"/>
              <w:bottom w:val="single" w:color="000000" w:sz="4"/>
              <w:right w:val="single" w:color="000000" w:sz="4"/>
            </w:tcBorders>
            <w:vAlign w:val="top"/>
          </w:tcPr>
          <w:p>
            <w:pPr>
              <w:jc w:val="both"/>
            </w:pPr>
            <w:r>
              <w:rPr>
                <w:sz w:val="21"/>
              </w:rPr>
              <w:t>用热烟雾机、烟雾剂对下水道、小区绿化丛林、公共车库、阴沟角落等进行地毯式烟薰杀灭成蚊（同时灭蝇、蟑螂）。</w:t>
            </w:r>
          </w:p>
        </w:tc>
        <w:tc>
          <w:tcPr>
            <w:tcW w:type="dxa" w:w="2016"/>
            <w:tcBorders>
              <w:top w:val="none" w:color="000000" w:sz="4"/>
              <w:left w:val="single" w:color="000000" w:sz="4"/>
              <w:bottom w:val="single" w:color="000000" w:sz="4"/>
              <w:right w:val="single" w:color="000000" w:sz="4"/>
            </w:tcBorders>
            <w:vAlign w:val="top"/>
          </w:tcPr>
          <w:p>
            <w:pPr>
              <w:jc w:val="left"/>
            </w:pPr>
            <w:r>
              <w:rPr>
                <w:sz w:val="21"/>
              </w:rPr>
              <w:t>按</w:t>
            </w:r>
            <w:r>
              <w:rPr>
                <w:sz w:val="21"/>
              </w:rPr>
              <w:t>“服务内容、期限及频次”内容中的第3点服务频次要求执行</w:t>
            </w:r>
          </w:p>
        </w:tc>
      </w:tr>
      <w:tr>
        <w:tc>
          <w:tcPr>
            <w:tcW w:type="dxa" w:w="482"/>
            <w:vMerge/>
            <w:tcBorders>
              <w:top w:val="none" w:color="000000" w:sz="4"/>
              <w:left w:val="single" w:color="000000" w:sz="4"/>
              <w:bottom w:val="single" w:color="000000" w:sz="4"/>
              <w:right w:val="single" w:color="000000" w:sz="4"/>
            </w:tcBorders>
          </w:tcPr>
          <w:p/>
        </w:tc>
        <w:tc>
          <w:tcPr>
            <w:tcW w:type="dxa" w:w="1441"/>
            <w:tcBorders>
              <w:top w:val="none" w:color="000000" w:sz="4"/>
              <w:left w:val="single" w:color="000000" w:sz="4"/>
              <w:bottom w:val="single" w:color="000000" w:sz="4"/>
              <w:right w:val="single" w:color="000000" w:sz="4"/>
            </w:tcBorders>
            <w:vAlign w:val="top"/>
          </w:tcPr>
          <w:p>
            <w:pPr>
              <w:jc w:val="both"/>
            </w:pPr>
            <w:r>
              <w:rPr>
                <w:sz w:val="21"/>
              </w:rPr>
              <w:t>2.药物滞留喷洒灭成蚊</w:t>
            </w:r>
          </w:p>
        </w:tc>
        <w:tc>
          <w:tcPr>
            <w:tcW w:type="dxa" w:w="4362"/>
            <w:tcBorders>
              <w:top w:val="none" w:color="000000" w:sz="4"/>
              <w:left w:val="single" w:color="000000" w:sz="4"/>
              <w:bottom w:val="single" w:color="000000" w:sz="4"/>
              <w:right w:val="single" w:color="000000" w:sz="4"/>
            </w:tcBorders>
            <w:vAlign w:val="top"/>
          </w:tcPr>
          <w:p>
            <w:pPr>
              <w:jc w:val="both"/>
            </w:pPr>
            <w:r>
              <w:rPr>
                <w:sz w:val="21"/>
              </w:rPr>
              <w:t>用背负式机动、电动喷雾机或大中型园林喷雾机对公园、广场、无物业住宅小区、废品收购站、绿化带进行药物滞留喷洒灭成蚊。要求：每次至少出动</w:t>
            </w:r>
            <w:r>
              <w:rPr>
                <w:sz w:val="21"/>
              </w:rPr>
              <w:t>8台喷雾机同时进行，另安排1—2人负责后勤保障工作。</w:t>
            </w:r>
          </w:p>
        </w:tc>
        <w:tc>
          <w:tcPr>
            <w:tcW w:type="dxa" w:w="2016"/>
            <w:tcBorders>
              <w:top w:val="none" w:color="000000" w:sz="4"/>
              <w:left w:val="single" w:color="000000" w:sz="4"/>
              <w:bottom w:val="single" w:color="000000" w:sz="4"/>
              <w:right w:val="single" w:color="000000" w:sz="4"/>
            </w:tcBorders>
            <w:vAlign w:val="top"/>
          </w:tcPr>
          <w:p>
            <w:pPr>
              <w:jc w:val="left"/>
            </w:pPr>
            <w:r>
              <w:rPr>
                <w:sz w:val="21"/>
              </w:rPr>
              <w:t>按</w:t>
            </w:r>
            <w:r>
              <w:rPr>
                <w:sz w:val="21"/>
              </w:rPr>
              <w:t>“服务内容、期限及频次”内容中的第3点服务频次要求执行</w:t>
            </w:r>
          </w:p>
        </w:tc>
      </w:tr>
      <w:tr>
        <w:tc>
          <w:tcPr>
            <w:tcW w:type="dxa" w:w="482"/>
            <w:vMerge/>
            <w:tcBorders>
              <w:top w:val="none" w:color="000000" w:sz="4"/>
              <w:left w:val="single" w:color="000000" w:sz="4"/>
              <w:bottom w:val="single" w:color="000000" w:sz="4"/>
              <w:right w:val="single" w:color="000000" w:sz="4"/>
            </w:tcBorders>
          </w:tcPr>
          <w:p/>
        </w:tc>
        <w:tc>
          <w:tcPr>
            <w:tcW w:type="dxa" w:w="1441"/>
            <w:tcBorders>
              <w:top w:val="none" w:color="000000" w:sz="4"/>
              <w:left w:val="single" w:color="000000" w:sz="4"/>
              <w:bottom w:val="single" w:color="000000" w:sz="4"/>
              <w:right w:val="single" w:color="000000" w:sz="4"/>
            </w:tcBorders>
            <w:vAlign w:val="top"/>
          </w:tcPr>
          <w:p>
            <w:pPr>
              <w:jc w:val="both"/>
            </w:pPr>
            <w:r>
              <w:rPr>
                <w:sz w:val="21"/>
              </w:rPr>
              <w:t>3.药泡木塞或缓释包控制蚊幼虫</w:t>
            </w:r>
          </w:p>
        </w:tc>
        <w:tc>
          <w:tcPr>
            <w:tcW w:type="dxa" w:w="4362"/>
            <w:tcBorders>
              <w:top w:val="none" w:color="000000" w:sz="4"/>
              <w:left w:val="single" w:color="000000" w:sz="4"/>
              <w:bottom w:val="single" w:color="000000" w:sz="4"/>
              <w:right w:val="single" w:color="000000" w:sz="4"/>
            </w:tcBorders>
            <w:vAlign w:val="top"/>
          </w:tcPr>
          <w:p>
            <w:pPr>
              <w:jc w:val="both"/>
            </w:pPr>
            <w:r>
              <w:rPr>
                <w:sz w:val="21"/>
              </w:rPr>
              <w:t>用卫生杀虫剂充分浸泡过的软木塞、缓释包或灭蚊幼颗粒剂，投放于下水道进水口等蚊虫孳生地，防止蚊幼虫孳生。要求：木塞完全吊放入积水中，每次均用不同颜色的系绳区分，对失效的旧木塞进行回收。</w:t>
            </w:r>
          </w:p>
        </w:tc>
        <w:tc>
          <w:tcPr>
            <w:tcW w:type="dxa" w:w="2016"/>
            <w:tcBorders>
              <w:top w:val="none" w:color="000000" w:sz="4"/>
              <w:left w:val="single" w:color="000000" w:sz="4"/>
              <w:bottom w:val="single" w:color="000000" w:sz="4"/>
              <w:right w:val="single" w:color="000000" w:sz="4"/>
            </w:tcBorders>
            <w:vAlign w:val="top"/>
          </w:tcPr>
          <w:p>
            <w:pPr>
              <w:jc w:val="left"/>
            </w:pPr>
            <w:r>
              <w:rPr>
                <w:sz w:val="21"/>
              </w:rPr>
              <w:t>按</w:t>
            </w:r>
            <w:r>
              <w:rPr>
                <w:sz w:val="21"/>
              </w:rPr>
              <w:t>“服务内容、期限及频次”内容中的第3点服务频次要求执行</w:t>
            </w:r>
          </w:p>
        </w:tc>
      </w:tr>
      <w:tr>
        <w:tc>
          <w:tcPr>
            <w:tcW w:type="dxa" w:w="482"/>
            <w:vMerge/>
            <w:tcBorders>
              <w:top w:val="none" w:color="000000" w:sz="4"/>
              <w:left w:val="single" w:color="000000" w:sz="4"/>
              <w:bottom w:val="single" w:color="000000" w:sz="4"/>
              <w:right w:val="single" w:color="000000" w:sz="4"/>
            </w:tcBorders>
          </w:tcPr>
          <w:p/>
        </w:tc>
        <w:tc>
          <w:tcPr>
            <w:tcW w:type="dxa" w:w="1441"/>
            <w:tcBorders>
              <w:top w:val="none" w:color="000000" w:sz="4"/>
              <w:left w:val="single" w:color="000000" w:sz="4"/>
              <w:bottom w:val="single" w:color="000000" w:sz="4"/>
              <w:right w:val="single" w:color="000000" w:sz="4"/>
            </w:tcBorders>
            <w:vAlign w:val="top"/>
          </w:tcPr>
          <w:p>
            <w:pPr>
              <w:jc w:val="both"/>
            </w:pPr>
            <w:r>
              <w:rPr>
                <w:sz w:val="21"/>
              </w:rPr>
              <w:t>4.大中型水体防控</w:t>
            </w:r>
          </w:p>
        </w:tc>
        <w:tc>
          <w:tcPr>
            <w:tcW w:type="dxa" w:w="4362"/>
            <w:tcBorders>
              <w:top w:val="none" w:color="000000" w:sz="4"/>
              <w:left w:val="single" w:color="000000" w:sz="4"/>
              <w:bottom w:val="single" w:color="000000" w:sz="4"/>
              <w:right w:val="single" w:color="000000" w:sz="4"/>
            </w:tcBorders>
            <w:vAlign w:val="top"/>
          </w:tcPr>
          <w:p>
            <w:pPr>
              <w:jc w:val="both"/>
            </w:pPr>
            <w:r>
              <w:rPr>
                <w:sz w:val="21"/>
              </w:rPr>
              <w:t>对承包范围内的大中型水体（如死水塘、污水涌等）进行定期跟踪检查，如发现蚊幼虫孳生，立即投药处理。</w:t>
            </w:r>
          </w:p>
        </w:tc>
        <w:tc>
          <w:tcPr>
            <w:tcW w:type="dxa" w:w="2016"/>
            <w:tcBorders>
              <w:top w:val="none" w:color="000000" w:sz="4"/>
              <w:left w:val="single" w:color="000000" w:sz="4"/>
              <w:bottom w:val="single" w:color="000000" w:sz="4"/>
              <w:right w:val="single" w:color="000000" w:sz="4"/>
            </w:tcBorders>
            <w:vAlign w:val="top"/>
          </w:tcPr>
          <w:p>
            <w:pPr>
              <w:jc w:val="left"/>
            </w:pPr>
            <w:r>
              <w:rPr>
                <w:sz w:val="21"/>
              </w:rPr>
              <w:t>按</w:t>
            </w:r>
            <w:r>
              <w:rPr>
                <w:sz w:val="21"/>
              </w:rPr>
              <w:t>“服务内容、期限及频次”内容中的第3点服务频次要求执行</w:t>
            </w:r>
          </w:p>
        </w:tc>
      </w:tr>
      <w:tr>
        <w:tc>
          <w:tcPr>
            <w:tcW w:type="dxa" w:w="482"/>
            <w:vMerge/>
            <w:tcBorders>
              <w:top w:val="none" w:color="000000" w:sz="4"/>
              <w:left w:val="single" w:color="000000" w:sz="4"/>
              <w:bottom w:val="single" w:color="000000" w:sz="4"/>
              <w:right w:val="single" w:color="000000" w:sz="4"/>
            </w:tcBorders>
          </w:tcPr>
          <w:p/>
        </w:tc>
        <w:tc>
          <w:tcPr>
            <w:tcW w:type="dxa" w:w="1441"/>
            <w:tcBorders>
              <w:top w:val="none" w:color="000000" w:sz="4"/>
              <w:left w:val="single" w:color="000000" w:sz="4"/>
              <w:bottom w:val="single" w:color="000000" w:sz="4"/>
              <w:right w:val="single" w:color="000000" w:sz="4"/>
            </w:tcBorders>
            <w:vAlign w:val="top"/>
          </w:tcPr>
          <w:p>
            <w:pPr>
              <w:jc w:val="both"/>
            </w:pPr>
            <w:r>
              <w:rPr>
                <w:sz w:val="21"/>
              </w:rPr>
              <w:t>5.各类小积水处理</w:t>
            </w:r>
          </w:p>
        </w:tc>
        <w:tc>
          <w:tcPr>
            <w:tcW w:type="dxa" w:w="4362"/>
            <w:tcBorders>
              <w:top w:val="none" w:color="000000" w:sz="4"/>
              <w:left w:val="single" w:color="000000" w:sz="4"/>
              <w:bottom w:val="single" w:color="000000" w:sz="4"/>
              <w:right w:val="single" w:color="000000" w:sz="4"/>
            </w:tcBorders>
            <w:vAlign w:val="top"/>
          </w:tcPr>
          <w:p>
            <w:pPr>
              <w:jc w:val="both"/>
            </w:pPr>
            <w:r>
              <w:rPr>
                <w:sz w:val="21"/>
              </w:rPr>
              <w:t>对承包范围的公共外环境各类积水进行检查处理，对不能清理的蚊虫孳生地，要采取投药或放养鱼类等方法进行科学防制。</w:t>
            </w:r>
          </w:p>
        </w:tc>
        <w:tc>
          <w:tcPr>
            <w:tcW w:type="dxa" w:w="2016"/>
            <w:tcBorders>
              <w:top w:val="none" w:color="000000" w:sz="4"/>
              <w:left w:val="single" w:color="000000" w:sz="4"/>
              <w:bottom w:val="single" w:color="000000" w:sz="4"/>
              <w:right w:val="single" w:color="000000" w:sz="4"/>
            </w:tcBorders>
            <w:vAlign w:val="top"/>
          </w:tcPr>
          <w:p>
            <w:pPr>
              <w:jc w:val="left"/>
            </w:pPr>
            <w:r>
              <w:rPr>
                <w:sz w:val="21"/>
              </w:rPr>
              <w:t>按</w:t>
            </w:r>
            <w:r>
              <w:rPr>
                <w:sz w:val="21"/>
              </w:rPr>
              <w:t>“服务内容、期限及频次”内容中的第3点服务频次要求执行</w:t>
            </w:r>
          </w:p>
        </w:tc>
      </w:tr>
      <w:tr>
        <w:tc>
          <w:tcPr>
            <w:tcW w:type="dxa" w:w="482"/>
            <w:vMerge w:val="restart"/>
            <w:tcBorders>
              <w:top w:val="none" w:color="000000" w:sz="4"/>
              <w:left w:val="single" w:color="000000" w:sz="4"/>
              <w:bottom w:val="single" w:color="000000" w:sz="4"/>
              <w:right w:val="single" w:color="000000" w:sz="4"/>
            </w:tcBorders>
            <w:vAlign w:val="top"/>
          </w:tcPr>
          <w:p>
            <w:pPr>
              <w:jc w:val="center"/>
            </w:pPr>
            <w:r>
              <w:rPr>
                <w:sz w:val="21"/>
              </w:rPr>
              <w:t>灭蝇</w:t>
            </w:r>
          </w:p>
        </w:tc>
        <w:tc>
          <w:tcPr>
            <w:tcW w:type="dxa" w:w="1441"/>
            <w:tcBorders>
              <w:top w:val="none" w:color="000000" w:sz="4"/>
              <w:left w:val="single" w:color="000000" w:sz="4"/>
              <w:bottom w:val="single" w:color="000000" w:sz="4"/>
              <w:right w:val="single" w:color="000000" w:sz="4"/>
            </w:tcBorders>
            <w:vAlign w:val="top"/>
          </w:tcPr>
          <w:p>
            <w:pPr>
              <w:jc w:val="both"/>
            </w:pPr>
            <w:r>
              <w:rPr>
                <w:sz w:val="21"/>
              </w:rPr>
              <w:t>1.公厕、垃圾站灭蝇</w:t>
            </w:r>
          </w:p>
        </w:tc>
        <w:tc>
          <w:tcPr>
            <w:tcW w:type="dxa" w:w="4362"/>
            <w:tcBorders>
              <w:top w:val="none" w:color="000000" w:sz="4"/>
              <w:left w:val="single" w:color="000000" w:sz="4"/>
              <w:bottom w:val="single" w:color="000000" w:sz="4"/>
              <w:right w:val="single" w:color="000000" w:sz="4"/>
            </w:tcBorders>
            <w:vAlign w:val="top"/>
          </w:tcPr>
          <w:p>
            <w:pPr>
              <w:jc w:val="both"/>
            </w:pPr>
            <w:r>
              <w:rPr>
                <w:sz w:val="21"/>
              </w:rPr>
              <w:t>用喷雾机定期对市政公厕、中转站、垃圾屋、垃圾池、垃圾桶、垃圾车以及卫生死角、垃圾堆进行空间、滞留喷药灭蝇，在市开展城市管理考评等迎检期间要加强防制。</w:t>
            </w:r>
          </w:p>
        </w:tc>
        <w:tc>
          <w:tcPr>
            <w:tcW w:type="dxa" w:w="2016"/>
            <w:tcBorders>
              <w:top w:val="none" w:color="000000" w:sz="4"/>
              <w:left w:val="single" w:color="000000" w:sz="4"/>
              <w:bottom w:val="single" w:color="000000" w:sz="4"/>
              <w:right w:val="single" w:color="000000" w:sz="4"/>
            </w:tcBorders>
            <w:vAlign w:val="top"/>
          </w:tcPr>
          <w:p>
            <w:pPr>
              <w:jc w:val="left"/>
            </w:pPr>
            <w:r>
              <w:rPr>
                <w:sz w:val="21"/>
              </w:rPr>
              <w:t>按</w:t>
            </w:r>
            <w:r>
              <w:rPr>
                <w:sz w:val="21"/>
              </w:rPr>
              <w:t>“服务内容、期限及频次”内容中的第3点服务频次要求执行</w:t>
            </w:r>
          </w:p>
        </w:tc>
      </w:tr>
      <w:tr>
        <w:tc>
          <w:tcPr>
            <w:tcW w:type="dxa" w:w="482"/>
            <w:vMerge/>
            <w:tcBorders>
              <w:top w:val="none" w:color="000000" w:sz="4"/>
              <w:left w:val="single" w:color="000000" w:sz="4"/>
              <w:bottom w:val="single" w:color="000000" w:sz="4"/>
              <w:right w:val="single" w:color="000000" w:sz="4"/>
            </w:tcBorders>
          </w:tcPr>
          <w:p/>
        </w:tc>
        <w:tc>
          <w:tcPr>
            <w:tcW w:type="dxa" w:w="1441"/>
            <w:tcBorders>
              <w:top w:val="none" w:color="000000" w:sz="4"/>
              <w:left w:val="single" w:color="000000" w:sz="4"/>
              <w:bottom w:val="single" w:color="000000" w:sz="4"/>
              <w:right w:val="single" w:color="000000" w:sz="4"/>
            </w:tcBorders>
            <w:vAlign w:val="top"/>
          </w:tcPr>
          <w:p>
            <w:pPr>
              <w:jc w:val="both"/>
            </w:pPr>
            <w:r>
              <w:rPr>
                <w:sz w:val="21"/>
              </w:rPr>
              <w:t>2.蝇类孳生地检查处理</w:t>
            </w:r>
          </w:p>
        </w:tc>
        <w:tc>
          <w:tcPr>
            <w:tcW w:type="dxa" w:w="4362"/>
            <w:tcBorders>
              <w:top w:val="none" w:color="000000" w:sz="4"/>
              <w:left w:val="single" w:color="000000" w:sz="4"/>
              <w:bottom w:val="single" w:color="000000" w:sz="4"/>
              <w:right w:val="single" w:color="000000" w:sz="4"/>
            </w:tcBorders>
            <w:vAlign w:val="top"/>
          </w:tcPr>
          <w:p>
            <w:pPr>
              <w:jc w:val="both"/>
            </w:pPr>
            <w:r>
              <w:rPr>
                <w:sz w:val="21"/>
              </w:rPr>
              <w:t>检查处理蝇类孳生地，对不能清理的蝇类孳生地，进行投药防制。</w:t>
            </w:r>
          </w:p>
        </w:tc>
        <w:tc>
          <w:tcPr>
            <w:tcW w:type="dxa" w:w="2016"/>
            <w:tcBorders>
              <w:top w:val="none" w:color="000000" w:sz="4"/>
              <w:left w:val="single" w:color="000000" w:sz="4"/>
              <w:bottom w:val="single" w:color="000000" w:sz="4"/>
              <w:right w:val="single" w:color="000000" w:sz="4"/>
            </w:tcBorders>
            <w:vAlign w:val="top"/>
          </w:tcPr>
          <w:p>
            <w:pPr>
              <w:jc w:val="left"/>
            </w:pPr>
            <w:r>
              <w:rPr>
                <w:sz w:val="21"/>
              </w:rPr>
              <w:t>按</w:t>
            </w:r>
            <w:r>
              <w:rPr>
                <w:sz w:val="21"/>
              </w:rPr>
              <w:t>“服务内容、期限及频次”内容中第3点服务频次要求执行</w:t>
            </w:r>
          </w:p>
        </w:tc>
      </w:tr>
      <w:tr>
        <w:tc>
          <w:tcPr>
            <w:tcW w:type="dxa" w:w="482"/>
            <w:tcBorders>
              <w:top w:val="none" w:color="000000" w:sz="4"/>
              <w:left w:val="single" w:color="000000" w:sz="4"/>
              <w:bottom w:val="single" w:color="000000" w:sz="4"/>
              <w:right w:val="single" w:color="000000" w:sz="4"/>
            </w:tcBorders>
            <w:vAlign w:val="top"/>
          </w:tcPr>
          <w:p>
            <w:pPr>
              <w:jc w:val="center"/>
            </w:pPr>
            <w:r>
              <w:rPr>
                <w:sz w:val="21"/>
              </w:rPr>
              <w:t>灭蟑</w:t>
            </w:r>
          </w:p>
        </w:tc>
        <w:tc>
          <w:tcPr>
            <w:tcW w:type="dxa" w:w="1441"/>
            <w:tcBorders>
              <w:top w:val="none" w:color="000000" w:sz="4"/>
              <w:left w:val="single" w:color="000000" w:sz="4"/>
              <w:bottom w:val="single" w:color="000000" w:sz="4"/>
              <w:right w:val="single" w:color="000000" w:sz="4"/>
            </w:tcBorders>
            <w:vAlign w:val="top"/>
          </w:tcPr>
          <w:p>
            <w:pPr>
              <w:jc w:val="both"/>
            </w:pPr>
            <w:r>
              <w:rPr>
                <w:sz w:val="21"/>
              </w:rPr>
              <w:t>下水道灭蟑螂</w:t>
            </w:r>
          </w:p>
        </w:tc>
        <w:tc>
          <w:tcPr>
            <w:tcW w:type="dxa" w:w="4362"/>
            <w:tcBorders>
              <w:top w:val="none" w:color="000000" w:sz="4"/>
              <w:left w:val="single" w:color="000000" w:sz="4"/>
              <w:bottom w:val="single" w:color="000000" w:sz="4"/>
              <w:right w:val="single" w:color="000000" w:sz="4"/>
            </w:tcBorders>
            <w:vAlign w:val="top"/>
          </w:tcPr>
          <w:p>
            <w:pPr>
              <w:jc w:val="both"/>
            </w:pPr>
            <w:r>
              <w:rPr>
                <w:sz w:val="21"/>
              </w:rPr>
              <w:t>对下水道、阴沟角落等进行烟雾灭蟑。</w:t>
            </w:r>
          </w:p>
        </w:tc>
        <w:tc>
          <w:tcPr>
            <w:tcW w:type="dxa" w:w="2016"/>
            <w:tcBorders>
              <w:top w:val="none" w:color="000000" w:sz="4"/>
              <w:left w:val="single" w:color="000000" w:sz="4"/>
              <w:bottom w:val="single" w:color="000000" w:sz="4"/>
              <w:right w:val="single" w:color="000000" w:sz="4"/>
            </w:tcBorders>
            <w:vAlign w:val="top"/>
          </w:tcPr>
          <w:p>
            <w:pPr>
              <w:jc w:val="left"/>
            </w:pPr>
            <w:r>
              <w:rPr>
                <w:sz w:val="21"/>
              </w:rPr>
              <w:t>按</w:t>
            </w:r>
            <w:r>
              <w:rPr>
                <w:sz w:val="21"/>
              </w:rPr>
              <w:t>“服务内容、期限及频次”内容中的第3点服务频次要求执行</w:t>
            </w:r>
          </w:p>
        </w:tc>
      </w:tr>
      <w:tr>
        <w:tc>
          <w:tcPr>
            <w:tcW w:type="dxa" w:w="482"/>
            <w:tcBorders>
              <w:top w:val="none" w:color="000000" w:sz="4"/>
              <w:left w:val="single" w:color="000000" w:sz="4"/>
              <w:bottom w:val="single" w:color="000000" w:sz="4"/>
              <w:right w:val="single" w:color="000000" w:sz="4"/>
            </w:tcBorders>
            <w:vAlign w:val="top"/>
          </w:tcPr>
          <w:p>
            <w:pPr>
              <w:jc w:val="center"/>
            </w:pPr>
            <w:r>
              <w:rPr>
                <w:sz w:val="21"/>
              </w:rPr>
              <w:t>工作</w:t>
            </w:r>
          </w:p>
          <w:p>
            <w:pPr>
              <w:jc w:val="center"/>
            </w:pPr>
            <w:r>
              <w:rPr>
                <w:sz w:val="21"/>
              </w:rPr>
              <w:t>登记</w:t>
            </w:r>
          </w:p>
        </w:tc>
        <w:tc>
          <w:tcPr>
            <w:tcW w:type="dxa" w:w="1441"/>
            <w:tcBorders>
              <w:top w:val="none" w:color="000000" w:sz="4"/>
              <w:left w:val="single" w:color="000000" w:sz="4"/>
              <w:bottom w:val="single" w:color="000000" w:sz="4"/>
              <w:right w:val="single" w:color="000000" w:sz="4"/>
            </w:tcBorders>
            <w:vAlign w:val="top"/>
          </w:tcPr>
          <w:p>
            <w:pPr>
              <w:jc w:val="both"/>
            </w:pPr>
            <w:r>
              <w:rPr>
                <w:sz w:val="21"/>
              </w:rPr>
              <w:t>对消杀工作情况进行登记</w:t>
            </w:r>
          </w:p>
        </w:tc>
        <w:tc>
          <w:tcPr>
            <w:tcW w:type="dxa" w:w="4362"/>
            <w:tcBorders>
              <w:top w:val="none" w:color="000000" w:sz="4"/>
              <w:left w:val="single" w:color="000000" w:sz="4"/>
              <w:bottom w:val="single" w:color="000000" w:sz="4"/>
              <w:right w:val="single" w:color="000000" w:sz="4"/>
            </w:tcBorders>
            <w:vAlign w:val="top"/>
          </w:tcPr>
          <w:p>
            <w:pPr>
              <w:jc w:val="both"/>
            </w:pPr>
            <w:r>
              <w:rPr>
                <w:sz w:val="21"/>
              </w:rPr>
              <w:t>设置专用的消杀情况登记薄，对每次开展消杀工作情况（含日期、地点、消杀内容、消杀人员姓名、使用药物、药量等）进行详细记录。</w:t>
            </w:r>
          </w:p>
        </w:tc>
        <w:tc>
          <w:tcPr>
            <w:tcW w:type="dxa" w:w="2016"/>
            <w:tcBorders>
              <w:top w:val="none" w:color="000000" w:sz="4"/>
              <w:left w:val="single" w:color="000000" w:sz="4"/>
              <w:bottom w:val="single" w:color="000000" w:sz="4"/>
              <w:right w:val="single" w:color="000000" w:sz="4"/>
            </w:tcBorders>
            <w:vAlign w:val="top"/>
          </w:tcPr>
          <w:p>
            <w:pPr>
              <w:jc w:val="left"/>
            </w:pPr>
            <w:r>
              <w:rPr>
                <w:sz w:val="21"/>
              </w:rPr>
              <w:t>每次服务完三天内提供</w:t>
            </w:r>
          </w:p>
        </w:tc>
      </w:tr>
      <w:tr>
        <w:tc>
          <w:tcPr>
            <w:tcW w:type="dxa" w:w="482"/>
            <w:tcBorders>
              <w:top w:val="none" w:color="000000" w:sz="4"/>
              <w:left w:val="single" w:color="000000" w:sz="4"/>
              <w:bottom w:val="single" w:color="000000" w:sz="4"/>
              <w:right w:val="single" w:color="000000" w:sz="4"/>
            </w:tcBorders>
            <w:vAlign w:val="top"/>
          </w:tcPr>
          <w:p>
            <w:pPr>
              <w:jc w:val="center"/>
            </w:pPr>
            <w:r>
              <w:rPr>
                <w:sz w:val="21"/>
              </w:rPr>
              <w:t>密度</w:t>
            </w:r>
          </w:p>
          <w:p>
            <w:pPr>
              <w:jc w:val="center"/>
            </w:pPr>
            <w:r>
              <w:rPr>
                <w:sz w:val="21"/>
              </w:rPr>
              <w:t>监测</w:t>
            </w:r>
          </w:p>
        </w:tc>
        <w:tc>
          <w:tcPr>
            <w:tcW w:type="dxa" w:w="1441"/>
            <w:tcBorders>
              <w:top w:val="none" w:color="000000" w:sz="4"/>
              <w:left w:val="single" w:color="000000" w:sz="4"/>
              <w:bottom w:val="single" w:color="000000" w:sz="4"/>
              <w:right w:val="single" w:color="000000" w:sz="4"/>
            </w:tcBorders>
            <w:vAlign w:val="top"/>
          </w:tcPr>
          <w:p>
            <w:pPr>
              <w:jc w:val="both"/>
            </w:pPr>
            <w:r>
              <w:rPr>
                <w:sz w:val="21"/>
              </w:rPr>
              <w:t>定期开展承包区域四害密度监测</w:t>
            </w:r>
          </w:p>
        </w:tc>
        <w:tc>
          <w:tcPr>
            <w:tcW w:type="dxa" w:w="4362"/>
            <w:tcBorders>
              <w:top w:val="none" w:color="000000" w:sz="4"/>
              <w:left w:val="single" w:color="000000" w:sz="4"/>
              <w:bottom w:val="single" w:color="000000" w:sz="4"/>
              <w:right w:val="single" w:color="000000" w:sz="4"/>
            </w:tcBorders>
            <w:vAlign w:val="top"/>
          </w:tcPr>
          <w:p>
            <w:pPr>
              <w:jc w:val="both"/>
            </w:pPr>
            <w:r>
              <w:rPr>
                <w:sz w:val="21"/>
              </w:rPr>
              <w:t>按要求开展本承包区域的鼠、蚊、蝇、蟑螂密度监测。要求根据国家制定的标准要求与方法，定期监测一次，准确、如实记录、统计监测情况，每季度将上一轮的监测统计表及用药情况统计表书面报发包人。同时，完善全年的监测资料，建立健全档案专柜保管。</w:t>
            </w:r>
          </w:p>
        </w:tc>
        <w:tc>
          <w:tcPr>
            <w:tcW w:type="dxa" w:w="2016"/>
            <w:tcBorders>
              <w:top w:val="none" w:color="000000" w:sz="4"/>
              <w:left w:val="single" w:color="000000" w:sz="4"/>
              <w:bottom w:val="single" w:color="000000" w:sz="4"/>
              <w:right w:val="single" w:color="000000" w:sz="4"/>
            </w:tcBorders>
            <w:vAlign w:val="top"/>
          </w:tcPr>
          <w:p>
            <w:pPr>
              <w:jc w:val="left"/>
            </w:pPr>
            <w:r>
              <w:rPr>
                <w:sz w:val="21"/>
              </w:rPr>
              <w:t>每季度一次</w:t>
            </w:r>
          </w:p>
        </w:tc>
      </w:tr>
      <w:tr>
        <w:tc>
          <w:tcPr>
            <w:tcW w:type="dxa" w:w="482"/>
            <w:tcBorders>
              <w:top w:val="none" w:color="000000" w:sz="4"/>
              <w:left w:val="single" w:color="000000" w:sz="4"/>
              <w:bottom w:val="single" w:color="000000" w:sz="4"/>
              <w:right w:val="single" w:color="000000" w:sz="4"/>
            </w:tcBorders>
            <w:vAlign w:val="top"/>
          </w:tcPr>
          <w:p>
            <w:pPr>
              <w:jc w:val="center"/>
            </w:pPr>
            <w:r>
              <w:rPr>
                <w:sz w:val="21"/>
              </w:rPr>
              <w:t>应急响应</w:t>
            </w:r>
          </w:p>
        </w:tc>
        <w:tc>
          <w:tcPr>
            <w:tcW w:type="dxa" w:w="1441"/>
            <w:tcBorders>
              <w:top w:val="none" w:color="000000" w:sz="4"/>
              <w:left w:val="single" w:color="000000" w:sz="4"/>
              <w:bottom w:val="single" w:color="000000" w:sz="4"/>
              <w:right w:val="single" w:color="000000" w:sz="4"/>
            </w:tcBorders>
            <w:vAlign w:val="top"/>
          </w:tcPr>
          <w:p>
            <w:pPr>
              <w:jc w:val="both"/>
            </w:pPr>
            <w:r>
              <w:rPr>
                <w:sz w:val="21"/>
              </w:rPr>
              <w:t>如遇重大疫情需应急响应（</w:t>
            </w:r>
            <w:r>
              <w:rPr>
                <w:sz w:val="21"/>
              </w:rPr>
              <w:t>登革热等传染病</w:t>
            </w:r>
            <w:r>
              <w:rPr>
                <w:sz w:val="21"/>
              </w:rPr>
              <w:t>高发</w:t>
            </w:r>
            <w:r>
              <w:rPr>
                <w:sz w:val="21"/>
              </w:rPr>
              <w:t>季节</w:t>
            </w:r>
            <w:r>
              <w:rPr>
                <w:sz w:val="21"/>
              </w:rPr>
              <w:t>）</w:t>
            </w:r>
          </w:p>
        </w:tc>
        <w:tc>
          <w:tcPr>
            <w:tcW w:type="dxa" w:w="4362"/>
            <w:tcBorders>
              <w:top w:val="none" w:color="000000" w:sz="4"/>
              <w:left w:val="single" w:color="000000" w:sz="4"/>
              <w:bottom w:val="single" w:color="000000" w:sz="4"/>
              <w:right w:val="single" w:color="000000" w:sz="4"/>
            </w:tcBorders>
            <w:vAlign w:val="top"/>
          </w:tcPr>
          <w:p>
            <w:pPr>
              <w:jc w:val="both"/>
            </w:pPr>
            <w:r>
              <w:rPr>
                <w:sz w:val="21"/>
              </w:rPr>
              <w:t>遇到突发事件如登革热病等传播，另行开展登革热防控灭蚊专项行动（成蚊灭杀和孳生地处理），药物及服务费另安排预算。</w:t>
            </w:r>
          </w:p>
        </w:tc>
        <w:tc>
          <w:tcPr>
            <w:tcW w:type="dxa" w:w="2016"/>
            <w:tcBorders>
              <w:top w:val="none" w:color="000000" w:sz="4"/>
              <w:left w:val="single" w:color="000000" w:sz="4"/>
              <w:bottom w:val="single" w:color="000000" w:sz="4"/>
              <w:right w:val="single" w:color="000000" w:sz="4"/>
            </w:tcBorders>
            <w:vAlign w:val="top"/>
          </w:tcPr>
          <w:p>
            <w:pPr>
              <w:jc w:val="left"/>
            </w:pPr>
            <w:r>
              <w:rPr>
                <w:sz w:val="21"/>
              </w:rPr>
              <w:t>应急响应要</w:t>
            </w:r>
            <w:r>
              <w:rPr>
                <w:sz w:val="21"/>
              </w:rPr>
              <w:t>1小时内到达。</w:t>
            </w:r>
          </w:p>
        </w:tc>
      </w:tr>
    </w:tbl>
    <w:p>
      <w:pPr>
        <w:jc w:val="both"/>
      </w:pPr>
    </w:p>
    <w:p>
      <w:pPr>
        <w:jc w:val="left"/>
      </w:pPr>
      <w:r>
        <w:rPr>
          <w:b/>
          <w:sz w:val="21"/>
        </w:rPr>
        <w:t>四、服务质量标准要求</w:t>
      </w:r>
    </w:p>
    <w:p>
      <w:pPr>
        <w:jc w:val="both"/>
      </w:pPr>
      <w:r>
        <w:rPr>
          <w:sz w:val="21"/>
        </w:rPr>
        <w:t>1、服务范围内的公共外环境病媒生物的质量控制执行如下标准：</w:t>
      </w:r>
    </w:p>
    <w:p>
      <w:pPr>
        <w:jc w:val="both"/>
      </w:pPr>
      <w:r>
        <w:rPr>
          <w:sz w:val="21"/>
        </w:rPr>
        <w:t>2、</w:t>
      </w:r>
      <w:r>
        <w:rPr>
          <w:sz w:val="21"/>
        </w:rPr>
        <w:t>密度水平控制标准：中华人民共和国卫生部、中国国家标准化管理委员会《病媒生物密度控制水平</w:t>
      </w:r>
      <w:r>
        <w:rPr>
          <w:sz w:val="21"/>
        </w:rPr>
        <w:t>—鼠类、蚊虫、蝇类、蜚蠊》的4个国家标准（GB／T27770、27771、27772、27773—2011）。鼠类、蚊虫、蝇类、蜚蠊达到C级或以上。</w:t>
      </w:r>
    </w:p>
    <w:p>
      <w:pPr>
        <w:jc w:val="both"/>
      </w:pPr>
      <w:r>
        <w:rPr>
          <w:sz w:val="21"/>
        </w:rPr>
        <w:t>3、</w:t>
      </w:r>
      <w:r>
        <w:rPr>
          <w:sz w:val="21"/>
        </w:rPr>
        <w:t>密度监测标准：中华人民共和国国家质量监督检验检疫总局、中国国家标准化管理委员会《病媒生物密度监测方法</w:t>
      </w:r>
      <w:r>
        <w:rPr>
          <w:sz w:val="21"/>
        </w:rPr>
        <w:t>—蜚蠊、蝇类、蚊虫、鼠类》的4个国家标准（GB／T23795、23796、23797、23798—2009）。</w:t>
      </w:r>
    </w:p>
    <w:p>
      <w:pPr>
        <w:jc w:val="left"/>
      </w:pPr>
      <w:r>
        <w:rPr>
          <w:b/>
          <w:sz w:val="21"/>
        </w:rPr>
        <w:t>五、付款方式</w:t>
      </w:r>
    </w:p>
    <w:p>
      <w:pPr>
        <w:jc w:val="both"/>
      </w:pPr>
      <w:r>
        <w:rPr>
          <w:color w:val="000000"/>
          <w:sz w:val="21"/>
        </w:rPr>
        <w:t>1、</w:t>
      </w:r>
      <w:r>
        <w:rPr>
          <w:sz w:val="21"/>
        </w:rPr>
        <w:t>支付比例</w:t>
      </w:r>
      <w:r>
        <w:rPr>
          <w:sz w:val="21"/>
        </w:rPr>
        <w:t>25%,合同款项以人民币转账方式支付，分四期支付服务费，第一期支付合同总额25%，第一季度服务后10天内经第三方验收合格后，成交供应商提供发票，采购人一个月内支付服务费。</w:t>
      </w:r>
    </w:p>
    <w:p>
      <w:pPr>
        <w:jc w:val="both"/>
      </w:pPr>
      <w:r>
        <w:rPr>
          <w:sz w:val="21"/>
        </w:rPr>
        <w:t>2期：支付比例25%,第二期支付合同总额25%，第二季度服务后10天内经第三方验收合格后，成交供应商提供发票，采购人一个月内支付服务费。</w:t>
      </w:r>
    </w:p>
    <w:p>
      <w:pPr>
        <w:jc w:val="both"/>
      </w:pPr>
      <w:r>
        <w:rPr>
          <w:sz w:val="21"/>
        </w:rPr>
        <w:t>3期：支付比例25%,第三期支付合同总额25%，第三季度服务后10天内经第三方验收合格后，成交供应商提供发票，采购人一个月内支付服务费。</w:t>
      </w:r>
    </w:p>
    <w:p>
      <w:pPr>
        <w:jc w:val="left"/>
      </w:pPr>
      <w:r>
        <w:rPr>
          <w:sz w:val="21"/>
        </w:rPr>
        <w:t>4期：支付比例25%,第四期支付合同总额25%，第四季度服务后10天内经第三方验收合格后，成交供应商提供发票，采购人一个月内支付服务费。</w:t>
      </w:r>
    </w:p>
    <w:p>
      <w:pPr>
        <w:jc w:val="left"/>
      </w:pPr>
      <w:r>
        <w:rPr>
          <w:sz w:val="21"/>
        </w:rPr>
        <w:t>2、乙方凭以下有效的文件由甲方支付合同款：</w:t>
      </w:r>
    </w:p>
    <w:p>
      <w:pPr>
        <w:jc w:val="left"/>
      </w:pPr>
      <w:r>
        <w:rPr>
          <w:sz w:val="21"/>
        </w:rPr>
        <w:t>合同；</w:t>
      </w:r>
    </w:p>
    <w:p>
      <w:pPr>
        <w:jc w:val="left"/>
      </w:pPr>
      <w:r>
        <w:rPr>
          <w:sz w:val="21"/>
        </w:rPr>
        <w:t>乙方开具的正式发票等；</w:t>
      </w:r>
    </w:p>
    <w:p>
      <w:pPr>
        <w:jc w:val="left"/>
      </w:pPr>
      <w:r>
        <w:rPr>
          <w:sz w:val="21"/>
        </w:rPr>
        <w:t>成交通知书；</w:t>
      </w:r>
    </w:p>
    <w:p>
      <w:pPr>
        <w:jc w:val="left"/>
      </w:pPr>
      <w:r>
        <w:rPr>
          <w:sz w:val="21"/>
        </w:rPr>
        <w:t>市级以上协会或专家库出具的第三方监测报告；</w:t>
      </w:r>
    </w:p>
    <w:p>
      <w:pPr>
        <w:jc w:val="left"/>
      </w:pPr>
      <w:r>
        <w:rPr>
          <w:sz w:val="21"/>
        </w:rPr>
        <w:t>考核表。</w:t>
      </w:r>
    </w:p>
    <w:p>
      <w:pPr>
        <w:jc w:val="left"/>
      </w:pPr>
      <w:r>
        <w:rPr>
          <w:sz w:val="21"/>
        </w:rPr>
        <w:t>3、甲方办理财政请款手续即视为已履行支付义务，具体支付时间以财政支付为准，甲方不承担因财政资金不能及时到位给乙方造成的任何损失。</w:t>
      </w:r>
    </w:p>
    <w:p>
      <w:pPr>
        <w:jc w:val="left"/>
      </w:pPr>
      <w:r>
        <w:rPr>
          <w:b/>
          <w:sz w:val="21"/>
        </w:rPr>
        <w:t>六、服务质量考评办法</w:t>
      </w:r>
    </w:p>
    <w:p>
      <w:pPr>
        <w:jc w:val="both"/>
      </w:pPr>
      <w:r>
        <w:rPr>
          <w:sz w:val="21"/>
        </w:rPr>
        <w:t>1、参与考核的单位进行的考核满分均为百分制，采取倒扣分制。</w:t>
      </w:r>
    </w:p>
    <w:p>
      <w:pPr>
        <w:jc w:val="both"/>
      </w:pPr>
      <w:r>
        <w:rPr>
          <w:sz w:val="21"/>
        </w:rPr>
        <w:t>2、参与考核的单位必须根据高要建成区公共外环境除“四害”管理服务项目管理及考核标准执行。</w:t>
      </w:r>
    </w:p>
    <w:p>
      <w:pPr>
        <w:jc w:val="both"/>
      </w:pPr>
      <w:r>
        <w:rPr>
          <w:sz w:val="21"/>
        </w:rPr>
        <w:t>3、考评费用：根据国家标准，并进行4次考评。按照每次10000.00元作为委托第三方机构考评费用，该项费用由中标服务商承担。</w:t>
      </w:r>
    </w:p>
    <w:p>
      <w:pPr>
        <w:jc w:val="both"/>
      </w:pPr>
      <w:r>
        <w:rPr>
          <w:sz w:val="21"/>
        </w:rPr>
        <w:t>4、考核总分以权重比例计算构成，具体比例如下：</w:t>
      </w:r>
    </w:p>
    <w:tbl>
      <w:tblPr>
        <w:tblW w:w="0" w:type="auto"/>
        <w:tblBorders>
          <w:top w:val="none" w:color="000000" w:sz="4"/>
          <w:left w:val="none" w:color="000000" w:sz="4"/>
          <w:bottom w:val="none" w:color="000000" w:sz="4"/>
          <w:right w:val="none" w:color="000000" w:sz="4"/>
          <w:insideH w:val="none"/>
          <w:insideV w:val="none"/>
        </w:tblBorders>
      </w:tblPr>
      <w:tblGrid>
        <w:gridCol w:w="1946"/>
        <w:gridCol w:w="6346"/>
      </w:tblGrid>
      <w:tr>
        <w:tc>
          <w:tcPr>
            <w:tcW w:type="dxa" w:w="1946"/>
            <w:tcBorders>
              <w:top w:val="single" w:color="000000" w:sz="4"/>
              <w:left w:val="single" w:color="000000" w:sz="4"/>
              <w:bottom w:val="single" w:color="000000" w:sz="4"/>
              <w:right w:val="single" w:color="000000" w:sz="4"/>
            </w:tcBorders>
            <w:vAlign w:val="top"/>
          </w:tcPr>
          <w:p>
            <w:pPr>
              <w:jc w:val="center"/>
            </w:pPr>
            <w:r>
              <w:rPr>
                <w:sz w:val="21"/>
              </w:rPr>
              <w:t>检查形式</w:t>
            </w:r>
          </w:p>
        </w:tc>
        <w:tc>
          <w:tcPr>
            <w:tcW w:type="dxa" w:w="6346"/>
            <w:tcBorders>
              <w:top w:val="single" w:color="000000" w:sz="4"/>
              <w:left w:val="none" w:color="000000" w:sz="4"/>
              <w:bottom w:val="single" w:color="000000" w:sz="4"/>
              <w:right w:val="single" w:color="000000" w:sz="4"/>
            </w:tcBorders>
            <w:vAlign w:val="top"/>
          </w:tcPr>
          <w:p>
            <w:pPr>
              <w:jc w:val="center"/>
            </w:pPr>
            <w:r>
              <w:rPr>
                <w:sz w:val="21"/>
              </w:rPr>
              <w:t>具体操作方法</w:t>
            </w:r>
          </w:p>
        </w:tc>
      </w:tr>
      <w:tr>
        <w:tc>
          <w:tcPr>
            <w:tcW w:type="dxa" w:w="1946"/>
            <w:tcBorders>
              <w:top w:val="none" w:color="000000" w:sz="4"/>
              <w:left w:val="single" w:color="000000" w:sz="4"/>
              <w:bottom w:val="single" w:color="000000" w:sz="4"/>
              <w:right w:val="single" w:color="000000" w:sz="4"/>
            </w:tcBorders>
            <w:vAlign w:val="top"/>
          </w:tcPr>
          <w:p>
            <w:pPr>
              <w:jc w:val="center"/>
            </w:pPr>
            <w:r>
              <w:rPr>
                <w:sz w:val="21"/>
              </w:rPr>
              <w:t>专业考核</w:t>
            </w:r>
          </w:p>
          <w:p>
            <w:pPr>
              <w:jc w:val="center"/>
            </w:pPr>
            <w:r>
              <w:rPr>
                <w:sz w:val="21"/>
              </w:rPr>
              <w:t>（</w:t>
            </w:r>
            <w:r>
              <w:rPr>
                <w:sz w:val="21"/>
              </w:rPr>
              <w:t>60%）</w:t>
            </w:r>
          </w:p>
        </w:tc>
        <w:tc>
          <w:tcPr>
            <w:tcW w:type="dxa" w:w="6346"/>
            <w:tcBorders>
              <w:top w:val="none" w:color="000000" w:sz="4"/>
              <w:left w:val="none" w:color="000000" w:sz="4"/>
              <w:bottom w:val="single" w:color="000000" w:sz="4"/>
              <w:right w:val="single" w:color="000000" w:sz="4"/>
            </w:tcBorders>
            <w:vAlign w:val="top"/>
          </w:tcPr>
          <w:p>
            <w:pPr>
              <w:ind w:firstLine="420"/>
              <w:jc w:val="both"/>
            </w:pPr>
            <w:r>
              <w:rPr>
                <w:sz w:val="21"/>
              </w:rPr>
              <w:t>由采购单位牵头，委托市级以上的有害生物防防制协会或专家库组成专家组根据国家</w:t>
            </w:r>
            <w:r>
              <w:rPr>
                <w:sz w:val="21"/>
              </w:rPr>
              <w:t>“四害”密度监测标准与方法的相关标准进行专业考核监测，并出具质量考核报告。</w:t>
            </w:r>
          </w:p>
        </w:tc>
      </w:tr>
      <w:tr>
        <w:tc>
          <w:tcPr>
            <w:tcW w:type="dxa" w:w="1946"/>
            <w:tcBorders>
              <w:top w:val="none" w:color="000000" w:sz="4"/>
              <w:left w:val="single" w:color="000000" w:sz="4"/>
              <w:bottom w:val="single" w:color="000000" w:sz="4"/>
              <w:right w:val="single" w:color="000000" w:sz="4"/>
            </w:tcBorders>
            <w:vAlign w:val="top"/>
          </w:tcPr>
          <w:p>
            <w:pPr>
              <w:jc w:val="center"/>
            </w:pPr>
            <w:r>
              <w:rPr>
                <w:sz w:val="21"/>
              </w:rPr>
              <w:t>日常工作考核</w:t>
            </w:r>
          </w:p>
          <w:p>
            <w:pPr>
              <w:jc w:val="center"/>
            </w:pPr>
            <w:r>
              <w:rPr>
                <w:sz w:val="21"/>
              </w:rPr>
              <w:t>（</w:t>
            </w:r>
            <w:r>
              <w:rPr>
                <w:sz w:val="21"/>
              </w:rPr>
              <w:t>40%）</w:t>
            </w:r>
          </w:p>
        </w:tc>
        <w:tc>
          <w:tcPr>
            <w:tcW w:type="dxa" w:w="6346"/>
            <w:tcBorders>
              <w:top w:val="none" w:color="000000" w:sz="4"/>
              <w:left w:val="none" w:color="000000" w:sz="4"/>
              <w:bottom w:val="single" w:color="000000" w:sz="4"/>
              <w:right w:val="single" w:color="000000" w:sz="4"/>
            </w:tcBorders>
            <w:vAlign w:val="top"/>
          </w:tcPr>
          <w:p>
            <w:pPr>
              <w:ind w:firstLine="420"/>
              <w:jc w:val="both"/>
            </w:pPr>
            <w:r>
              <w:rPr>
                <w:sz w:val="21"/>
              </w:rPr>
              <w:t>由爱卫主管部门安排专职人员，负责对除</w:t>
            </w:r>
            <w:r>
              <w:rPr>
                <w:sz w:val="21"/>
              </w:rPr>
              <w:t>“四害”专业队日常放药、喷洒、治理孳生地、栖生地和成蚊等工作进行跟进并签名确认，每次服务完成后对服务范围内的除“四害”工作进行一次检查考核。</w:t>
            </w:r>
          </w:p>
        </w:tc>
      </w:tr>
    </w:tbl>
    <w:p>
      <w:pPr>
        <w:jc w:val="both"/>
      </w:pPr>
      <w:r>
        <w:rPr>
          <w:sz w:val="21"/>
        </w:rPr>
        <w:t>5、每期考核总分作为每期服务费发放的依据。区爱卫部门将专业考核、日常工作考核分数统一汇总，评出承包管理单位的考核总分，上报区财政结算中心，根据该期考核结果确定支付的服务费用，并以转账方式支付给各承包管理单位。</w:t>
      </w:r>
    </w:p>
    <w:p>
      <w:pPr>
        <w:jc w:val="left"/>
      </w:pPr>
      <w:r>
        <w:rPr>
          <w:b/>
          <w:sz w:val="21"/>
        </w:rPr>
        <w:t>七、奖惩措施</w:t>
      </w:r>
    </w:p>
    <w:p>
      <w:pPr>
        <w:ind w:firstLine="420"/>
        <w:jc w:val="both"/>
      </w:pPr>
      <w:r>
        <w:rPr>
          <w:sz w:val="21"/>
        </w:rPr>
        <w:t>对高要建成区公共外环境除</w:t>
      </w:r>
      <w:r>
        <w:rPr>
          <w:sz w:val="21"/>
        </w:rPr>
        <w:t>“四害”管理服务项目质量的检查考核采用以下措施实施奖惩：</w:t>
      </w:r>
    </w:p>
    <w:p>
      <w:pPr>
        <w:jc w:val="both"/>
      </w:pPr>
      <w:r>
        <w:rPr>
          <w:sz w:val="21"/>
        </w:rPr>
        <w:t>1、罚则</w:t>
      </w:r>
    </w:p>
    <w:p>
      <w:pPr>
        <w:ind w:firstLine="420"/>
        <w:jc w:val="both"/>
      </w:pPr>
      <w:r>
        <w:rPr>
          <w:sz w:val="21"/>
        </w:rPr>
        <w:t>每期服务费由高要区爱卫办审批后，按考核结果支付。</w:t>
      </w:r>
    </w:p>
    <w:p>
      <w:pPr>
        <w:ind w:firstLine="420"/>
        <w:jc w:val="both"/>
      </w:pPr>
      <w:r>
        <w:rPr>
          <w:sz w:val="21"/>
        </w:rPr>
        <w:t>（</w:t>
      </w:r>
      <w:r>
        <w:rPr>
          <w:sz w:val="21"/>
        </w:rPr>
        <w:t>1）每期服务费金额与每期管理质量总分挂钩。</w:t>
      </w:r>
    </w:p>
    <w:p>
      <w:pPr>
        <w:ind w:firstLine="420"/>
        <w:jc w:val="both"/>
      </w:pPr>
      <w:r>
        <w:rPr>
          <w:sz w:val="21"/>
        </w:rPr>
        <w:t>（</w:t>
      </w:r>
      <w:r>
        <w:rPr>
          <w:sz w:val="21"/>
        </w:rPr>
        <w:t>2）按考核总分情况调整发放每期服务费。经考核评定，考核总分高于或等于85分的为合格，低于85分的为不合格。其中，考核总分高于或等于85分的，不扣减该期服务费；考核总分低于85分，高于或等于60分的，每低1分对应须扣减该期服务费1%，不足1分的按1分计算；考核总分低于60分，高于或等于30分的，扣减该期服务费50%；考核总分低于30分的，不支付该期服务费。</w:t>
      </w:r>
    </w:p>
    <w:p>
      <w:pPr>
        <w:jc w:val="both"/>
      </w:pPr>
      <w:r>
        <w:rPr>
          <w:sz w:val="21"/>
        </w:rPr>
        <w:t>2、合同期内连续两期考核总分低于85分或出现一期考核总分低于60分的，采购人有权解除中标人合同。</w:t>
      </w:r>
    </w:p>
    <w:p>
      <w:pPr>
        <w:ind w:firstLine="420"/>
        <w:jc w:val="both"/>
      </w:pPr>
      <w:r>
        <w:rPr>
          <w:sz w:val="21"/>
        </w:rPr>
        <w:t>后附考评表：</w:t>
      </w:r>
    </w:p>
    <w:p>
      <w:pPr>
        <w:ind w:firstLine="420"/>
        <w:jc w:val="both"/>
      </w:pPr>
      <w:r>
        <w:rPr>
          <w:sz w:val="21"/>
        </w:rPr>
        <w:t>附表一《公共外环境病媒生物密度监测表》</w:t>
      </w:r>
    </w:p>
    <w:p>
      <w:pPr>
        <w:ind w:firstLine="420"/>
        <w:jc w:val="both"/>
      </w:pPr>
      <w:r>
        <w:rPr>
          <w:sz w:val="21"/>
        </w:rPr>
        <w:t>附表二《公共外环境病媒生物密度监测汇总表》</w:t>
      </w:r>
    </w:p>
    <w:p>
      <w:pPr>
        <w:ind w:firstLine="420"/>
        <w:jc w:val="both"/>
      </w:pPr>
      <w:r>
        <w:rPr>
          <w:sz w:val="21"/>
        </w:rPr>
        <w:t>附表三《公共外环境病媒生物防制服务项目专家考评计分表》</w:t>
      </w:r>
    </w:p>
    <w:p>
      <w:pPr>
        <w:jc w:val="left"/>
      </w:pPr>
      <w:r>
        <w:rPr>
          <w:b/>
          <w:sz w:val="21"/>
        </w:rPr>
        <w:t>八、合同生效、失效和终止</w:t>
      </w:r>
    </w:p>
    <w:p>
      <w:pPr>
        <w:jc w:val="both"/>
      </w:pPr>
      <w:r>
        <w:rPr>
          <w:sz w:val="21"/>
        </w:rPr>
        <w:t>1</w:t>
      </w:r>
      <w:r>
        <w:rPr>
          <w:sz w:val="21"/>
        </w:rPr>
        <w:t>合同生效：</w:t>
      </w:r>
    </w:p>
    <w:p>
      <w:pPr>
        <w:jc w:val="both"/>
      </w:pPr>
      <w:r>
        <w:rPr>
          <w:sz w:val="21"/>
        </w:rPr>
        <w:t>（</w:t>
      </w:r>
      <w:r>
        <w:rPr>
          <w:sz w:val="21"/>
        </w:rPr>
        <w:t>1）合同经双方授权代表签字并经单位盖章后生效；</w:t>
      </w:r>
    </w:p>
    <w:p>
      <w:pPr>
        <w:jc w:val="both"/>
      </w:pPr>
      <w:r>
        <w:rPr>
          <w:color w:val="000000"/>
          <w:sz w:val="21"/>
        </w:rPr>
        <w:t>（</w:t>
      </w:r>
      <w:r>
        <w:rPr>
          <w:color w:val="000000"/>
          <w:sz w:val="21"/>
        </w:rPr>
        <w:t>2）本合同一式伍份；甲方贰份，乙方壹份，采购办壹份，采购代理机构壹份。</w:t>
      </w:r>
    </w:p>
    <w:p>
      <w:pPr>
        <w:jc w:val="left"/>
      </w:pPr>
      <w:r>
        <w:rPr>
          <w:b/>
          <w:color w:val="000000"/>
          <w:sz w:val="21"/>
        </w:rPr>
        <w:t>九、合同文件</w:t>
      </w:r>
    </w:p>
    <w:p>
      <w:pPr>
        <w:jc w:val="both"/>
      </w:pPr>
      <w:r>
        <w:rPr>
          <w:color w:val="000000"/>
          <w:sz w:val="21"/>
        </w:rPr>
        <w:t>1  肇庆市高要区巩固国家卫生城市创建成果建成区病媒生物预防控制服务采购项目磋商文件。</w:t>
      </w:r>
    </w:p>
    <w:p>
      <w:pPr>
        <w:jc w:val="both"/>
      </w:pPr>
      <w:r>
        <w:rPr>
          <w:color w:val="000000"/>
          <w:sz w:val="21"/>
        </w:rPr>
        <w:t>2  肇庆市高要区巩固国家卫生城市创建成果建成区病媒生物预防控制服务采购项目响应文件及澄清资料。</w:t>
      </w:r>
    </w:p>
    <w:p>
      <w:pPr>
        <w:jc w:val="both"/>
      </w:pPr>
      <w:r>
        <w:rPr>
          <w:color w:val="000000"/>
          <w:sz w:val="21"/>
        </w:rPr>
        <w:t xml:space="preserve">3  </w:t>
      </w:r>
      <w:r>
        <w:rPr>
          <w:color w:val="000000"/>
          <w:sz w:val="21"/>
        </w:rPr>
        <w:t>成交通知书</w:t>
      </w:r>
      <w:r>
        <w:rPr>
          <w:color w:val="000000"/>
          <w:sz w:val="21"/>
        </w:rPr>
        <w:t>。</w:t>
      </w:r>
    </w:p>
    <w:p>
      <w:pPr>
        <w:jc w:val="both"/>
      </w:pPr>
      <w:r>
        <w:rPr>
          <w:color w:val="000000"/>
          <w:sz w:val="21"/>
        </w:rPr>
        <w:t>4   附件</w:t>
      </w:r>
    </w:p>
    <w:p>
      <w:pPr>
        <w:jc w:val="both"/>
      </w:pPr>
      <w:r>
        <w:rPr>
          <w:color w:val="000000"/>
          <w:sz w:val="21"/>
        </w:rPr>
        <w:t>附件</w:t>
      </w:r>
      <w:r>
        <w:rPr>
          <w:color w:val="000000"/>
          <w:sz w:val="21"/>
        </w:rPr>
        <w:t>1、甲乙双方根据本合同的规定签订的补充合同约定</w:t>
      </w:r>
    </w:p>
    <w:p>
      <w:pPr>
        <w:jc w:val="both"/>
      </w:pPr>
      <w:r>
        <w:rPr>
          <w:color w:val="000000"/>
          <w:sz w:val="21"/>
        </w:rPr>
        <w:t>附件</w:t>
      </w:r>
      <w:r>
        <w:rPr>
          <w:color w:val="000000"/>
          <w:sz w:val="21"/>
        </w:rPr>
        <w:t>2、服务承诺书</w:t>
      </w:r>
    </w:p>
    <w:p>
      <w:pPr>
        <w:jc w:val="both"/>
      </w:pPr>
      <w:r>
        <w:rPr>
          <w:color w:val="000000"/>
          <w:sz w:val="21"/>
        </w:rPr>
        <w:t>附件</w:t>
      </w:r>
      <w:r>
        <w:rPr>
          <w:color w:val="000000"/>
          <w:sz w:val="21"/>
        </w:rPr>
        <w:t>3、合同执行过程中需补充的协议</w:t>
      </w:r>
    </w:p>
    <w:p>
      <w:pPr>
        <w:jc w:val="both"/>
      </w:pPr>
      <w:r>
        <w:rPr>
          <w:color w:val="000000"/>
          <w:sz w:val="21"/>
        </w:rPr>
        <w:t>以上文件为本合同的组成部分，具同样的法律效力。</w:t>
      </w:r>
    </w:p>
    <w:p>
      <w:pPr>
        <w:jc w:val="left"/>
      </w:pPr>
      <w:r>
        <w:rPr>
          <w:b/>
          <w:color w:val="000000"/>
          <w:sz w:val="21"/>
        </w:rPr>
        <w:t>十、质量纠纷的鉴定</w:t>
      </w:r>
    </w:p>
    <w:p>
      <w:pPr>
        <w:ind w:firstLine="486"/>
        <w:jc w:val="both"/>
      </w:pPr>
      <w:r>
        <w:rPr>
          <w:color w:val="000000"/>
          <w:sz w:val="21"/>
        </w:rPr>
        <w:t>因防制服务的质量问题发生争议，双方委托国家规定的质量鉴定部门进行质量鉴定，该鉴定结论是终局的，甲乙双方应予以接受。</w:t>
      </w:r>
    </w:p>
    <w:p>
      <w:pPr>
        <w:jc w:val="left"/>
      </w:pPr>
      <w:r>
        <w:rPr>
          <w:b/>
          <w:color w:val="000000"/>
          <w:sz w:val="21"/>
        </w:rPr>
        <w:t>十一、纠纷解决办法</w:t>
      </w:r>
    </w:p>
    <w:p>
      <w:pPr>
        <w:ind w:firstLine="411"/>
        <w:jc w:val="both"/>
      </w:pPr>
      <w:r>
        <w:rPr>
          <w:color w:val="000000"/>
          <w:sz w:val="21"/>
        </w:rPr>
        <w:t>执行本合同发生争议，由当事人双方协商解决，协商不成，可向人民法院起诉。</w:t>
      </w:r>
    </w:p>
    <w:p>
      <w:pPr>
        <w:jc w:val="both"/>
      </w:pPr>
      <w:r>
        <w:rPr>
          <w:color w:val="000000"/>
          <w:sz w:val="21"/>
        </w:rPr>
        <w:t>甲方（盖章）：</w:t>
      </w:r>
      <w:r>
        <w:rPr>
          <w:color w:val="000000"/>
          <w:sz w:val="21"/>
        </w:rPr>
        <w:t xml:space="preserve">                             </w:t>
      </w:r>
      <w:r>
        <w:rPr>
          <w:color w:val="000000"/>
          <w:sz w:val="21"/>
        </w:rPr>
        <w:t>乙方（盖章）：</w:t>
      </w:r>
    </w:p>
    <w:p>
      <w:pPr>
        <w:jc w:val="both"/>
      </w:pPr>
      <w:r>
        <w:rPr>
          <w:color w:val="000000"/>
          <w:sz w:val="21"/>
        </w:rPr>
        <w:t>甲方授权代表（签字）：</w:t>
      </w:r>
      <w:r>
        <w:rPr>
          <w:color w:val="000000"/>
          <w:sz w:val="21"/>
        </w:rPr>
        <w:t xml:space="preserve">                     </w:t>
      </w:r>
      <w:r>
        <w:rPr>
          <w:color w:val="000000"/>
          <w:sz w:val="21"/>
        </w:rPr>
        <w:t>乙方授权代表（签字）：</w:t>
      </w:r>
    </w:p>
    <w:p>
      <w:pPr>
        <w:jc w:val="both"/>
      </w:pPr>
      <w:r>
        <w:rPr>
          <w:color w:val="000000"/>
          <w:sz w:val="21"/>
        </w:rPr>
        <w:t>地</w:t>
      </w:r>
      <w:r>
        <w:rPr>
          <w:color w:val="000000"/>
          <w:sz w:val="21"/>
        </w:rPr>
        <w:t xml:space="preserve">    </w:t>
      </w:r>
      <w:r>
        <w:rPr>
          <w:color w:val="000000"/>
          <w:sz w:val="21"/>
        </w:rPr>
        <w:t>址：</w:t>
      </w:r>
      <w:r>
        <w:rPr>
          <w:color w:val="000000"/>
          <w:sz w:val="21"/>
        </w:rPr>
        <w:t>肇庆市高要区广新一路</w:t>
      </w:r>
      <w:r>
        <w:rPr>
          <w:color w:val="000000"/>
          <w:sz w:val="21"/>
        </w:rPr>
        <w:t>139号     地     址：</w:t>
      </w:r>
    </w:p>
    <w:p>
      <w:pPr>
        <w:jc w:val="both"/>
      </w:pPr>
      <w:r>
        <w:rPr>
          <w:color w:val="000000"/>
          <w:sz w:val="21"/>
        </w:rPr>
        <w:t>邮政编码：</w:t>
      </w:r>
      <w:r>
        <w:rPr>
          <w:color w:val="000000"/>
          <w:sz w:val="21"/>
        </w:rPr>
        <w:t xml:space="preserve">                                </w:t>
      </w:r>
      <w:r>
        <w:rPr>
          <w:color w:val="000000"/>
          <w:sz w:val="21"/>
        </w:rPr>
        <w:t>邮政编码：</w:t>
      </w:r>
    </w:p>
    <w:p>
      <w:pPr>
        <w:jc w:val="both"/>
      </w:pPr>
      <w:r>
        <w:rPr>
          <w:color w:val="000000"/>
          <w:sz w:val="21"/>
        </w:rPr>
        <w:t>电</w:t>
      </w:r>
      <w:r>
        <w:rPr>
          <w:color w:val="000000"/>
          <w:sz w:val="21"/>
        </w:rPr>
        <w:t xml:space="preserve">    </w:t>
      </w:r>
      <w:r>
        <w:rPr>
          <w:color w:val="000000"/>
          <w:sz w:val="21"/>
        </w:rPr>
        <w:t>话：</w:t>
      </w:r>
      <w:r>
        <w:rPr>
          <w:color w:val="000000"/>
          <w:sz w:val="21"/>
        </w:rPr>
        <w:t>0758-8392312                    电     话：</w:t>
      </w:r>
    </w:p>
    <w:p>
      <w:pPr>
        <w:jc w:val="both"/>
      </w:pPr>
      <w:r>
        <w:rPr>
          <w:color w:val="000000"/>
          <w:sz w:val="21"/>
        </w:rPr>
        <w:t>传</w:t>
      </w:r>
      <w:r>
        <w:rPr>
          <w:color w:val="000000"/>
          <w:sz w:val="21"/>
        </w:rPr>
        <w:t xml:space="preserve">    </w:t>
      </w:r>
      <w:r>
        <w:rPr>
          <w:color w:val="000000"/>
          <w:sz w:val="21"/>
        </w:rPr>
        <w:t>真：</w:t>
      </w:r>
      <w:r>
        <w:rPr>
          <w:color w:val="000000"/>
          <w:sz w:val="21"/>
        </w:rPr>
        <w:t xml:space="preserve">                               </w:t>
      </w:r>
      <w:r>
        <w:rPr>
          <w:color w:val="000000"/>
          <w:sz w:val="21"/>
        </w:rPr>
        <w:t>传</w:t>
      </w:r>
      <w:r>
        <w:rPr>
          <w:color w:val="000000"/>
          <w:sz w:val="21"/>
        </w:rPr>
        <w:t xml:space="preserve">    </w:t>
      </w:r>
      <w:r>
        <w:rPr>
          <w:color w:val="000000"/>
          <w:sz w:val="21"/>
        </w:rPr>
        <w:t>真：</w:t>
      </w:r>
      <w:r>
        <w:rPr>
          <w:color w:val="000000"/>
          <w:sz w:val="21"/>
        </w:rPr>
        <w:t>/</w:t>
      </w:r>
    </w:p>
    <w:p>
      <w:pPr>
        <w:jc w:val="both"/>
      </w:pPr>
      <w:r>
        <w:rPr>
          <w:color w:val="000000"/>
          <w:sz w:val="21"/>
        </w:rPr>
        <w:t>开户银行：</w:t>
      </w:r>
      <w:r>
        <w:rPr>
          <w:color w:val="000000"/>
          <w:sz w:val="21"/>
        </w:rPr>
        <w:t xml:space="preserve">                                </w:t>
      </w:r>
      <w:r>
        <w:rPr>
          <w:color w:val="000000"/>
          <w:sz w:val="21"/>
        </w:rPr>
        <w:t>开户银行：</w:t>
      </w:r>
    </w:p>
    <w:p>
      <w:pPr>
        <w:jc w:val="both"/>
      </w:pPr>
      <w:r>
        <w:rPr>
          <w:color w:val="000000"/>
          <w:sz w:val="21"/>
        </w:rPr>
        <w:t>开户帐号：</w:t>
      </w:r>
      <w:r>
        <w:rPr>
          <w:color w:val="000000"/>
          <w:sz w:val="21"/>
        </w:rPr>
        <w:t xml:space="preserve">                                </w:t>
      </w:r>
      <w:r>
        <w:rPr>
          <w:color w:val="000000"/>
          <w:sz w:val="21"/>
        </w:rPr>
        <w:t>开户帐号：</w:t>
      </w:r>
    </w:p>
    <w:p>
      <w:pPr>
        <w:jc w:val="both"/>
      </w:pPr>
      <w:r>
        <w:rPr>
          <w:sz w:val="21"/>
        </w:rPr>
        <w:t>签约时间：</w:t>
      </w:r>
      <w:r>
        <w:rPr>
          <w:sz w:val="21"/>
        </w:rPr>
        <w:t xml:space="preserve">     </w:t>
      </w:r>
      <w:r>
        <w:rPr>
          <w:sz w:val="21"/>
        </w:rPr>
        <w:t>年</w:t>
      </w:r>
      <w:r>
        <w:rPr>
          <w:sz w:val="21"/>
        </w:rPr>
        <w:t xml:space="preserve">   </w:t>
      </w:r>
      <w:r>
        <w:rPr>
          <w:sz w:val="21"/>
        </w:rPr>
        <w:t>月</w:t>
      </w:r>
      <w:r>
        <w:rPr>
          <w:sz w:val="21"/>
        </w:rPr>
        <w:t xml:space="preserve">   </w:t>
      </w:r>
      <w:r>
        <w:rPr>
          <w:sz w:val="21"/>
        </w:rPr>
        <w:t>日</w:t>
      </w:r>
    </w:p>
    <w:p>
      <w:pPr>
        <w:jc w:val="both"/>
      </w:pPr>
      <w:r>
        <w:rPr>
          <w:b/>
          <w:sz w:val="21"/>
        </w:rPr>
        <w:t>合同附件（合同编号：</w:t>
      </w:r>
      <w:r>
        <w:rPr>
          <w:b/>
          <w:sz w:val="21"/>
        </w:rPr>
        <w:t xml:space="preserve">        </w:t>
      </w:r>
      <w:r>
        <w:rPr>
          <w:b/>
          <w:sz w:val="21"/>
        </w:rPr>
        <w:t>）</w:t>
      </w:r>
    </w:p>
    <w:p>
      <w:pPr>
        <w:jc w:val="both"/>
      </w:pPr>
      <w:r>
        <w:rPr>
          <w:sz w:val="21"/>
        </w:rPr>
        <w:t>1．成交通知书</w:t>
      </w:r>
    </w:p>
    <w:p>
      <w:pPr>
        <w:jc w:val="both"/>
      </w:pPr>
      <w:r>
        <w:rPr>
          <w:sz w:val="21"/>
        </w:rPr>
        <w:t>2．磋商文件及其澄清、修改及补充文件</w:t>
      </w:r>
    </w:p>
    <w:p>
      <w:pPr>
        <w:jc w:val="both"/>
      </w:pPr>
      <w:r>
        <w:rPr>
          <w:sz w:val="21"/>
        </w:rPr>
        <w:t>3．成交供应商响应文件及其澄清、修改及补充文件</w:t>
      </w:r>
    </w:p>
    <w:p>
      <w:pPr>
        <w:jc w:val="both"/>
      </w:pPr>
      <w:r>
        <w:rPr>
          <w:sz w:val="21"/>
        </w:rPr>
        <w:t>4．技术文件（包括图纸、手册等）</w:t>
      </w:r>
    </w:p>
    <w:p>
      <w:pPr>
        <w:jc w:val="both"/>
      </w:pPr>
      <w:r>
        <w:rPr>
          <w:sz w:val="21"/>
        </w:rPr>
        <w:t>备注：</w:t>
      </w:r>
    </w:p>
    <w:p>
      <w:pPr>
        <w:jc w:val="both"/>
      </w:pPr>
      <w:r>
        <w:rPr>
          <w:sz w:val="21"/>
        </w:rPr>
        <w:t>本合同所有附件均在签定合同时编制，其编制依据是磋商文件</w:t>
      </w:r>
      <w:r>
        <w:rPr>
          <w:sz w:val="21"/>
        </w:rPr>
        <w:t>“用户需求书”中的要求和成交供应商的响应文件中的相应内容；</w:t>
      </w:r>
    </w:p>
    <w:p>
      <w:pPr>
        <w:jc w:val="both"/>
      </w:pPr>
    </w:p>
    <w:p>
      <w:pPr>
        <w:jc w:val="both"/>
      </w:pPr>
      <w:r>
        <w:rPr>
          <w:sz w:val="21"/>
        </w:rPr>
        <w:t>合同附件的具体内容由双方在签定合同时确认。</w:t>
      </w:r>
    </w:p>
    <w:p>
      <w:pPr>
        <w:ind w:firstLine="420"/>
        <w:jc w:val="both"/>
      </w:pPr>
      <w:r>
        <w:rPr>
          <w:sz w:val="24"/>
        </w:rPr>
        <w:t xml:space="preserve"> </w:t>
      </w:r>
    </w:p>
    <w:p/>
    <w:p/>
    <w:p>
      <w:pPr>
        <w:ind w:firstLine="680"/>
        <w:jc w:val="both"/>
      </w:pPr>
      <w:r>
        <w:rPr>
          <w:sz w:val="30"/>
        </w:rPr>
        <w:t>附件一：</w:t>
      </w:r>
    </w:p>
    <w:p>
      <w:r>
        <w:rPr>
          <w:sz w:val="30"/>
        </w:rPr>
        <w:t>肇庆市高要建成区公共外环境病媒生物密度监测记录表</w:t>
      </w:r>
    </w:p>
    <w:tbl>
      <w:tblPr>
        <w:tblW w:w="0" w:type="auto"/>
        <w:tblBorders>
          <w:top w:val="none" w:color="000000" w:sz="4"/>
          <w:left w:val="none" w:color="000000" w:sz="4"/>
          <w:bottom w:val="none" w:color="000000" w:sz="4"/>
          <w:right w:val="none" w:color="000000" w:sz="4"/>
          <w:insideH w:val="none"/>
          <w:insideV w:val="none"/>
        </w:tblBorders>
      </w:tblPr>
      <w:tblGrid>
        <w:gridCol w:w="1998"/>
        <w:gridCol w:w="624"/>
        <w:gridCol w:w="428"/>
        <w:gridCol w:w="535"/>
        <w:gridCol w:w="535"/>
        <w:gridCol w:w="428"/>
        <w:gridCol w:w="535"/>
        <w:gridCol w:w="535"/>
        <w:gridCol w:w="428"/>
        <w:gridCol w:w="428"/>
        <w:gridCol w:w="428"/>
        <w:gridCol w:w="428"/>
        <w:gridCol w:w="428"/>
        <w:gridCol w:w="535"/>
      </w:tblGrid>
      <w:tr>
        <w:tc>
          <w:tcPr>
            <w:tcW w:type="dxa" w:w="1998"/>
            <w:vMerge w:val="restart"/>
            <w:tcBorders>
              <w:top w:val="single" w:color="000000" w:sz="4"/>
              <w:left w:val="single" w:color="000000" w:sz="4"/>
              <w:bottom w:val="single" w:color="000000" w:sz="4"/>
              <w:right w:val="single" w:color="000000" w:sz="4"/>
            </w:tcBorders>
            <w:vAlign w:val="top"/>
          </w:tcPr>
          <w:p>
            <w:pPr>
              <w:jc w:val="center"/>
            </w:pPr>
            <w:r>
              <w:rPr>
                <w:b/>
                <w:sz w:val="20"/>
              </w:rPr>
              <w:t>检查场所名称</w:t>
            </w:r>
          </w:p>
        </w:tc>
        <w:tc>
          <w:tcPr>
            <w:tcW w:type="dxa" w:w="1052"/>
            <w:gridSpan w:val="2"/>
            <w:tcBorders>
              <w:top w:val="single" w:color="000000" w:sz="4"/>
              <w:left w:val="none" w:color="000000" w:sz="4"/>
              <w:bottom w:val="single" w:color="000000" w:sz="4"/>
              <w:right w:val="single" w:color="000000" w:sz="4"/>
            </w:tcBorders>
            <w:vAlign w:val="top"/>
          </w:tcPr>
          <w:p>
            <w:r>
              <w:rPr>
                <w:b/>
                <w:sz w:val="21"/>
              </w:rPr>
              <w:t>灭鼠检查</w:t>
            </w:r>
          </w:p>
        </w:tc>
        <w:tc>
          <w:tcPr>
            <w:tcW w:type="dxa" w:w="1070"/>
            <w:gridSpan w:val="2"/>
            <w:tcBorders>
              <w:top w:val="single" w:color="000000" w:sz="4"/>
              <w:left w:val="none" w:color="000000" w:sz="4"/>
              <w:bottom w:val="single" w:color="000000" w:sz="4"/>
              <w:right w:val="single" w:color="000000" w:sz="4"/>
            </w:tcBorders>
            <w:vAlign w:val="top"/>
          </w:tcPr>
          <w:p>
            <w:r>
              <w:rPr>
                <w:b/>
                <w:sz w:val="21"/>
              </w:rPr>
              <w:t>灭蝇检查</w:t>
            </w:r>
          </w:p>
        </w:tc>
        <w:tc>
          <w:tcPr>
            <w:tcW w:type="dxa" w:w="963"/>
            <w:gridSpan w:val="2"/>
            <w:tcBorders>
              <w:top w:val="single" w:color="000000" w:sz="4"/>
              <w:left w:val="none" w:color="000000" w:sz="4"/>
              <w:bottom w:val="single" w:color="000000" w:sz="4"/>
              <w:right w:val="single" w:color="000000" w:sz="4"/>
            </w:tcBorders>
            <w:vAlign w:val="top"/>
          </w:tcPr>
          <w:p>
            <w:pPr>
              <w:ind w:firstLine="241"/>
            </w:pPr>
            <w:r>
              <w:rPr>
                <w:b/>
                <w:sz w:val="20"/>
              </w:rPr>
              <w:t>灭蟑检查</w:t>
            </w:r>
          </w:p>
        </w:tc>
        <w:tc>
          <w:tcPr>
            <w:tcW w:type="dxa" w:w="3210"/>
            <w:gridSpan w:val="7"/>
            <w:tcBorders>
              <w:top w:val="single" w:color="000000" w:sz="4"/>
              <w:left w:val="none" w:color="000000" w:sz="4"/>
              <w:bottom w:val="single" w:color="000000" w:sz="4"/>
              <w:right w:val="single" w:color="000000" w:sz="4"/>
            </w:tcBorders>
            <w:vAlign w:val="top"/>
          </w:tcPr>
          <w:p>
            <w:pPr>
              <w:jc w:val="center"/>
            </w:pPr>
            <w:r>
              <w:rPr>
                <w:b/>
                <w:sz w:val="20"/>
              </w:rPr>
              <w:t>灭蚊检査</w:t>
            </w:r>
          </w:p>
        </w:tc>
      </w:tr>
      <w:tr>
        <w:tc>
          <w:tcPr>
            <w:tcW w:type="dxa" w:w="1998"/>
            <w:vMerge/>
            <w:tcBorders>
              <w:top w:val="single" w:color="000000" w:sz="4"/>
              <w:left w:val="single" w:color="000000" w:sz="4"/>
              <w:bottom w:val="single" w:color="000000" w:sz="4"/>
              <w:right w:val="single" w:color="000000" w:sz="4"/>
            </w:tcBorders>
          </w:tcPr>
          <w:p/>
        </w:tc>
        <w:tc>
          <w:tcPr>
            <w:tcW w:type="dxa" w:w="1052"/>
            <w:gridSpan w:val="2"/>
            <w:tcBorders>
              <w:top w:val="none" w:color="000000" w:sz="4"/>
              <w:left w:val="none" w:color="000000" w:sz="4"/>
              <w:bottom w:val="single" w:color="000000" w:sz="4"/>
              <w:right w:val="single" w:color="000000" w:sz="4"/>
            </w:tcBorders>
            <w:vAlign w:val="top"/>
          </w:tcPr>
          <w:p>
            <w:pPr>
              <w:jc w:val="center"/>
            </w:pPr>
            <w:r>
              <w:rPr>
                <w:b/>
                <w:sz w:val="20"/>
              </w:rPr>
              <w:t>外环境鼠迹</w:t>
            </w:r>
          </w:p>
        </w:tc>
        <w:tc>
          <w:tcPr>
            <w:tcW w:type="dxa" w:w="1070"/>
            <w:gridSpan w:val="2"/>
            <w:tcBorders>
              <w:top w:val="none" w:color="000000" w:sz="4"/>
              <w:left w:val="none" w:color="000000" w:sz="4"/>
              <w:bottom w:val="single" w:color="000000" w:sz="4"/>
              <w:right w:val="single" w:color="000000" w:sz="4"/>
            </w:tcBorders>
            <w:vAlign w:val="top"/>
          </w:tcPr>
          <w:p>
            <w:pPr>
              <w:jc w:val="center"/>
            </w:pPr>
            <w:r>
              <w:rPr>
                <w:b/>
                <w:sz w:val="20"/>
              </w:rPr>
              <w:t>蝇孽生地</w:t>
            </w:r>
          </w:p>
        </w:tc>
        <w:tc>
          <w:tcPr>
            <w:tcW w:type="dxa" w:w="963"/>
            <w:gridSpan w:val="2"/>
            <w:tcBorders>
              <w:top w:val="none" w:color="000000" w:sz="4"/>
              <w:left w:val="none" w:color="000000" w:sz="4"/>
              <w:bottom w:val="single" w:color="000000" w:sz="4"/>
              <w:right w:val="single" w:color="000000" w:sz="4"/>
            </w:tcBorders>
            <w:vAlign w:val="top"/>
          </w:tcPr>
          <w:p>
            <w:pPr>
              <w:jc w:val="center"/>
            </w:pPr>
            <w:r>
              <w:rPr>
                <w:b/>
                <w:sz w:val="20"/>
              </w:rPr>
              <w:t>蟑迹</w:t>
            </w:r>
          </w:p>
        </w:tc>
        <w:tc>
          <w:tcPr>
            <w:tcW w:type="dxa" w:w="963"/>
            <w:gridSpan w:val="2"/>
            <w:tcBorders>
              <w:top w:val="none" w:color="000000" w:sz="4"/>
              <w:left w:val="none" w:color="000000" w:sz="4"/>
              <w:bottom w:val="single" w:color="000000" w:sz="4"/>
              <w:right w:val="single" w:color="000000" w:sz="4"/>
            </w:tcBorders>
            <w:vAlign w:val="top"/>
          </w:tcPr>
          <w:p>
            <w:pPr>
              <w:jc w:val="both"/>
            </w:pPr>
            <w:r>
              <w:rPr>
                <w:b/>
                <w:sz w:val="21"/>
              </w:rPr>
              <w:t>小型积水</w:t>
            </w:r>
          </w:p>
        </w:tc>
        <w:tc>
          <w:tcPr>
            <w:tcW w:type="dxa" w:w="1284"/>
            <w:gridSpan w:val="3"/>
            <w:tcBorders>
              <w:top w:val="single" w:color="000000" w:sz="4"/>
              <w:left w:val="none" w:color="000000" w:sz="4"/>
              <w:bottom w:val="single" w:color="000000" w:sz="4"/>
              <w:right w:val="single" w:color="000000" w:sz="4"/>
            </w:tcBorders>
            <w:vAlign w:val="top"/>
          </w:tcPr>
          <w:p>
            <w:pPr>
              <w:jc w:val="both"/>
            </w:pPr>
            <w:r>
              <w:rPr>
                <w:b/>
                <w:sz w:val="21"/>
              </w:rPr>
              <w:t>大、中型水体</w:t>
            </w:r>
          </w:p>
        </w:tc>
        <w:tc>
          <w:tcPr>
            <w:tcW w:type="dxa" w:w="963"/>
            <w:gridSpan w:val="2"/>
            <w:tcBorders>
              <w:top w:val="single" w:color="000000" w:sz="4"/>
              <w:left w:val="none" w:color="000000" w:sz="4"/>
              <w:bottom w:val="single" w:color="000000" w:sz="4"/>
              <w:right w:val="single" w:color="000000" w:sz="4"/>
            </w:tcBorders>
            <w:vAlign w:val="top"/>
          </w:tcPr>
          <w:p>
            <w:pPr>
              <w:jc w:val="both"/>
            </w:pPr>
            <w:r>
              <w:rPr>
                <w:b/>
                <w:sz w:val="21"/>
              </w:rPr>
              <w:t>诱蚊（</w:t>
            </w:r>
            <w:r>
              <w:rPr>
                <w:sz w:val="21"/>
              </w:rPr>
              <w:t>30min)</w:t>
            </w:r>
          </w:p>
        </w:tc>
      </w:tr>
      <w:tr>
        <w:tc>
          <w:tcPr>
            <w:tcW w:type="dxa" w:w="1998"/>
            <w:vMerge/>
            <w:tcBorders>
              <w:top w:val="single" w:color="000000" w:sz="4"/>
              <w:left w:val="singl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both"/>
            </w:pPr>
            <w:r>
              <w:rPr>
                <w:b/>
                <w:sz w:val="21"/>
              </w:rPr>
              <w:t>延长线</w:t>
            </w:r>
          </w:p>
        </w:tc>
        <w:tc>
          <w:tcPr>
            <w:tcW w:type="dxa" w:w="428"/>
            <w:tcBorders>
              <w:top w:val="none" w:color="000000" w:sz="4"/>
              <w:left w:val="none" w:color="000000" w:sz="4"/>
              <w:bottom w:val="single" w:color="000000" w:sz="4"/>
              <w:right w:val="single" w:color="000000" w:sz="4"/>
            </w:tcBorders>
            <w:vAlign w:val="top"/>
          </w:tcPr>
          <w:p>
            <w:pPr>
              <w:jc w:val="both"/>
            </w:pPr>
            <w:r>
              <w:rPr>
                <w:b/>
                <w:sz w:val="21"/>
              </w:rPr>
              <w:t>鼠迹处</w:t>
            </w:r>
          </w:p>
        </w:tc>
        <w:tc>
          <w:tcPr>
            <w:tcW w:type="dxa" w:w="535"/>
            <w:tcBorders>
              <w:top w:val="none" w:color="000000" w:sz="4"/>
              <w:left w:val="none" w:color="000000" w:sz="4"/>
              <w:bottom w:val="single" w:color="000000" w:sz="4"/>
              <w:right w:val="single" w:color="000000" w:sz="4"/>
            </w:tcBorders>
            <w:vAlign w:val="top"/>
          </w:tcPr>
          <w:p>
            <w:pPr>
              <w:jc w:val="both"/>
            </w:pPr>
            <w:r>
              <w:rPr>
                <w:b/>
                <w:sz w:val="21"/>
              </w:rPr>
              <w:t>检査</w:t>
            </w:r>
          </w:p>
          <w:p>
            <w:pPr>
              <w:jc w:val="both"/>
            </w:pPr>
            <w:r>
              <w:rPr>
                <w:b/>
                <w:sz w:val="21"/>
              </w:rPr>
              <w:t>处数</w:t>
            </w:r>
          </w:p>
        </w:tc>
        <w:tc>
          <w:tcPr>
            <w:tcW w:type="dxa" w:w="535"/>
            <w:tcBorders>
              <w:top w:val="none" w:color="000000" w:sz="4"/>
              <w:left w:val="none" w:color="000000" w:sz="4"/>
              <w:bottom w:val="single" w:color="000000" w:sz="4"/>
              <w:right w:val="single" w:color="000000" w:sz="4"/>
            </w:tcBorders>
            <w:vAlign w:val="top"/>
          </w:tcPr>
          <w:p>
            <w:pPr>
              <w:jc w:val="both"/>
            </w:pPr>
            <w:r>
              <w:rPr>
                <w:b/>
                <w:sz w:val="21"/>
              </w:rPr>
              <w:t>阳性</w:t>
            </w:r>
          </w:p>
          <w:p>
            <w:pPr>
              <w:jc w:val="both"/>
            </w:pPr>
            <w:r>
              <w:rPr>
                <w:b/>
                <w:sz w:val="21"/>
              </w:rPr>
              <w:t>处数</w:t>
            </w:r>
          </w:p>
        </w:tc>
        <w:tc>
          <w:tcPr>
            <w:tcW w:type="dxa" w:w="428"/>
            <w:tcBorders>
              <w:top w:val="none" w:color="000000" w:sz="4"/>
              <w:left w:val="none" w:color="000000" w:sz="4"/>
              <w:bottom w:val="single" w:color="000000" w:sz="4"/>
              <w:right w:val="single" w:color="000000" w:sz="4"/>
            </w:tcBorders>
            <w:vAlign w:val="top"/>
          </w:tcPr>
          <w:p>
            <w:pPr>
              <w:jc w:val="both"/>
            </w:pPr>
            <w:r>
              <w:rPr>
                <w:b/>
                <w:sz w:val="21"/>
              </w:rPr>
              <w:t>检查</w:t>
            </w:r>
          </w:p>
          <w:p>
            <w:pPr>
              <w:jc w:val="both"/>
            </w:pPr>
            <w:r>
              <w:rPr>
                <w:b/>
                <w:sz w:val="21"/>
              </w:rPr>
              <w:t>点数</w:t>
            </w:r>
          </w:p>
        </w:tc>
        <w:tc>
          <w:tcPr>
            <w:tcW w:type="dxa" w:w="535"/>
            <w:tcBorders>
              <w:top w:val="none" w:color="000000" w:sz="4"/>
              <w:left w:val="none" w:color="000000" w:sz="4"/>
              <w:bottom w:val="single" w:color="000000" w:sz="4"/>
              <w:right w:val="single" w:color="000000" w:sz="4"/>
            </w:tcBorders>
            <w:vAlign w:val="top"/>
          </w:tcPr>
          <w:p>
            <w:pPr>
              <w:jc w:val="both"/>
            </w:pPr>
            <w:r>
              <w:rPr>
                <w:b/>
                <w:sz w:val="21"/>
              </w:rPr>
              <w:t>阳性</w:t>
            </w:r>
          </w:p>
          <w:p>
            <w:pPr>
              <w:jc w:val="both"/>
            </w:pPr>
            <w:r>
              <w:rPr>
                <w:b/>
                <w:sz w:val="21"/>
              </w:rPr>
              <w:t>点数</w:t>
            </w:r>
          </w:p>
        </w:tc>
        <w:tc>
          <w:tcPr>
            <w:tcW w:type="dxa" w:w="535"/>
            <w:tcBorders>
              <w:top w:val="single" w:color="000000" w:sz="4"/>
              <w:left w:val="none" w:color="000000" w:sz="4"/>
              <w:bottom w:val="single" w:color="000000" w:sz="4"/>
              <w:right w:val="single" w:color="000000" w:sz="4"/>
            </w:tcBorders>
            <w:vAlign w:val="top"/>
          </w:tcPr>
          <w:p>
            <w:pPr>
              <w:jc w:val="both"/>
            </w:pPr>
            <w:r>
              <w:rPr>
                <w:b/>
                <w:sz w:val="21"/>
              </w:rPr>
              <w:t>延长米</w:t>
            </w:r>
          </w:p>
        </w:tc>
        <w:tc>
          <w:tcPr>
            <w:tcW w:type="dxa" w:w="428"/>
            <w:tcBorders>
              <w:top w:val="single" w:color="000000" w:sz="4"/>
              <w:left w:val="none" w:color="000000" w:sz="4"/>
              <w:bottom w:val="single" w:color="000000" w:sz="4"/>
              <w:right w:val="single" w:color="000000" w:sz="4"/>
            </w:tcBorders>
            <w:vAlign w:val="top"/>
          </w:tcPr>
          <w:p>
            <w:pPr>
              <w:jc w:val="both"/>
            </w:pPr>
            <w:r>
              <w:rPr>
                <w:b/>
                <w:sz w:val="21"/>
              </w:rPr>
              <w:t>阳性</w:t>
            </w:r>
          </w:p>
          <w:p>
            <w:pPr>
              <w:jc w:val="both"/>
            </w:pPr>
            <w:r>
              <w:rPr>
                <w:b/>
                <w:sz w:val="21"/>
              </w:rPr>
              <w:t>处数</w:t>
            </w:r>
          </w:p>
        </w:tc>
        <w:tc>
          <w:tcPr>
            <w:tcW w:type="dxa" w:w="428"/>
            <w:tcBorders>
              <w:top w:val="single" w:color="000000" w:sz="4"/>
              <w:left w:val="none" w:color="000000" w:sz="4"/>
              <w:bottom w:val="single" w:color="000000" w:sz="4"/>
              <w:right w:val="single" w:color="000000" w:sz="4"/>
            </w:tcBorders>
            <w:vAlign w:val="top"/>
          </w:tcPr>
          <w:p>
            <w:pPr>
              <w:jc w:val="both"/>
            </w:pPr>
            <w:r>
              <w:rPr>
                <w:b/>
                <w:sz w:val="21"/>
              </w:rPr>
              <w:t>采样</w:t>
            </w:r>
          </w:p>
          <w:p>
            <w:pPr>
              <w:jc w:val="both"/>
            </w:pPr>
            <w:r>
              <w:rPr>
                <w:b/>
                <w:sz w:val="21"/>
              </w:rPr>
              <w:t>勺数</w:t>
            </w:r>
          </w:p>
        </w:tc>
        <w:tc>
          <w:tcPr>
            <w:tcW w:type="dxa" w:w="428"/>
            <w:tcBorders>
              <w:top w:val="single" w:color="000000" w:sz="4"/>
              <w:left w:val="none" w:color="000000" w:sz="4"/>
              <w:bottom w:val="single" w:color="000000" w:sz="4"/>
              <w:right w:val="single" w:color="000000" w:sz="4"/>
            </w:tcBorders>
            <w:vAlign w:val="top"/>
          </w:tcPr>
          <w:p>
            <w:pPr>
              <w:jc w:val="both"/>
            </w:pPr>
            <w:r>
              <w:rPr>
                <w:b/>
                <w:sz w:val="21"/>
              </w:rPr>
              <w:t>阳性</w:t>
            </w:r>
          </w:p>
          <w:p>
            <w:pPr>
              <w:jc w:val="both"/>
            </w:pPr>
            <w:r>
              <w:rPr>
                <w:b/>
                <w:sz w:val="21"/>
              </w:rPr>
              <w:t>勺数</w:t>
            </w:r>
          </w:p>
        </w:tc>
        <w:tc>
          <w:tcPr>
            <w:tcW w:type="dxa" w:w="428"/>
            <w:tcBorders>
              <w:top w:val="single" w:color="000000" w:sz="4"/>
              <w:left w:val="none" w:color="000000" w:sz="4"/>
              <w:bottom w:val="single" w:color="000000" w:sz="4"/>
              <w:right w:val="single" w:color="000000" w:sz="4"/>
            </w:tcBorders>
            <w:vAlign w:val="top"/>
          </w:tcPr>
          <w:p>
            <w:pPr>
              <w:jc w:val="both"/>
            </w:pPr>
            <w:r>
              <w:rPr>
                <w:b/>
                <w:sz w:val="21"/>
              </w:rPr>
              <w:t>幼虫或</w:t>
            </w:r>
          </w:p>
          <w:p>
            <w:pPr>
              <w:jc w:val="both"/>
            </w:pPr>
            <w:r>
              <w:rPr>
                <w:b/>
                <w:sz w:val="21"/>
              </w:rPr>
              <w:t>蛹数</w:t>
            </w:r>
          </w:p>
        </w:tc>
        <w:tc>
          <w:tcPr>
            <w:tcW w:type="dxa" w:w="428"/>
            <w:tcBorders>
              <w:top w:val="single" w:color="000000" w:sz="4"/>
              <w:left w:val="none" w:color="000000" w:sz="4"/>
              <w:bottom w:val="single" w:color="000000" w:sz="4"/>
              <w:right w:val="single" w:color="000000" w:sz="4"/>
            </w:tcBorders>
            <w:vAlign w:val="top"/>
          </w:tcPr>
          <w:p>
            <w:pPr>
              <w:jc w:val="both"/>
            </w:pPr>
            <w:r>
              <w:rPr>
                <w:b/>
                <w:sz w:val="21"/>
              </w:rPr>
              <w:t>诱蚊</w:t>
            </w:r>
          </w:p>
          <w:p>
            <w:pPr>
              <w:jc w:val="both"/>
            </w:pPr>
            <w:r>
              <w:rPr>
                <w:b/>
                <w:sz w:val="21"/>
              </w:rPr>
              <w:t>人次</w:t>
            </w:r>
          </w:p>
        </w:tc>
        <w:tc>
          <w:tcPr>
            <w:tcW w:type="dxa" w:w="535"/>
            <w:tcBorders>
              <w:top w:val="single" w:color="000000" w:sz="4"/>
              <w:left w:val="none" w:color="000000" w:sz="4"/>
              <w:bottom w:val="single" w:color="000000" w:sz="4"/>
              <w:right w:val="single" w:color="000000" w:sz="4"/>
            </w:tcBorders>
            <w:vAlign w:val="top"/>
          </w:tcPr>
          <w:p>
            <w:pPr>
              <w:jc w:val="both"/>
            </w:pPr>
            <w:r>
              <w:rPr>
                <w:b/>
                <w:sz w:val="21"/>
              </w:rPr>
              <w:t>叮咬成</w:t>
            </w:r>
          </w:p>
          <w:p>
            <w:pPr>
              <w:jc w:val="both"/>
            </w:pPr>
            <w:r>
              <w:rPr>
                <w:b/>
                <w:sz w:val="21"/>
              </w:rPr>
              <w:t>蚊数</w:t>
            </w:r>
          </w:p>
        </w:tc>
      </w:tr>
      <w:tr>
        <w:tc>
          <w:tcPr>
            <w:tcW w:type="dxa" w:w="1998"/>
            <w:tcBorders>
              <w:top w:val="none" w:color="000000" w:sz="4"/>
              <w:left w:val="single" w:color="000000" w:sz="4"/>
              <w:bottom w:val="single" w:color="000000" w:sz="4"/>
              <w:right w:val="single" w:color="000000" w:sz="4"/>
            </w:tcBorders>
            <w:vAlign w:val="top"/>
          </w:tcPr>
          <w:p/>
        </w:tc>
        <w:tc>
          <w:tcPr>
            <w:tcW w:type="dxa" w:w="624"/>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535"/>
            <w:tcBorders>
              <w:top w:val="none" w:color="000000" w:sz="4"/>
              <w:left w:val="none" w:color="000000" w:sz="4"/>
              <w:bottom w:val="single" w:color="000000" w:sz="4"/>
              <w:right w:val="single" w:color="000000" w:sz="4"/>
            </w:tcBorders>
            <w:vAlign w:val="top"/>
          </w:tcPr>
          <w:p/>
        </w:tc>
        <w:tc>
          <w:tcPr>
            <w:tcW w:type="dxa" w:w="535"/>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535"/>
            <w:tcBorders>
              <w:top w:val="none" w:color="000000" w:sz="4"/>
              <w:left w:val="none" w:color="000000" w:sz="4"/>
              <w:bottom w:val="single" w:color="000000" w:sz="4"/>
              <w:right w:val="single" w:color="000000" w:sz="4"/>
            </w:tcBorders>
            <w:vAlign w:val="top"/>
          </w:tcPr>
          <w:p/>
        </w:tc>
        <w:tc>
          <w:tcPr>
            <w:tcW w:type="dxa" w:w="535"/>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535"/>
            <w:tcBorders>
              <w:top w:val="none" w:color="000000" w:sz="4"/>
              <w:left w:val="none" w:color="000000" w:sz="4"/>
              <w:bottom w:val="single" w:color="000000" w:sz="4"/>
              <w:right w:val="single" w:color="000000" w:sz="4"/>
            </w:tcBorders>
            <w:vAlign w:val="top"/>
          </w:tcPr>
          <w:p/>
          <w:p/>
        </w:tc>
      </w:tr>
      <w:tr>
        <w:tc>
          <w:tcPr>
            <w:tcW w:type="dxa" w:w="1998"/>
            <w:tcBorders>
              <w:top w:val="none" w:color="000000" w:sz="4"/>
              <w:left w:val="single" w:color="000000" w:sz="4"/>
              <w:bottom w:val="single" w:color="000000" w:sz="4"/>
              <w:right w:val="single" w:color="000000" w:sz="4"/>
            </w:tcBorders>
            <w:vAlign w:val="top"/>
          </w:tcPr>
          <w:p/>
        </w:tc>
        <w:tc>
          <w:tcPr>
            <w:tcW w:type="dxa" w:w="624"/>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535"/>
            <w:tcBorders>
              <w:top w:val="none" w:color="000000" w:sz="4"/>
              <w:left w:val="none" w:color="000000" w:sz="4"/>
              <w:bottom w:val="single" w:color="000000" w:sz="4"/>
              <w:right w:val="single" w:color="000000" w:sz="4"/>
            </w:tcBorders>
            <w:vAlign w:val="top"/>
          </w:tcPr>
          <w:p/>
        </w:tc>
        <w:tc>
          <w:tcPr>
            <w:tcW w:type="dxa" w:w="535"/>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535"/>
            <w:tcBorders>
              <w:top w:val="none" w:color="000000" w:sz="4"/>
              <w:left w:val="none" w:color="000000" w:sz="4"/>
              <w:bottom w:val="single" w:color="000000" w:sz="4"/>
              <w:right w:val="single" w:color="000000" w:sz="4"/>
            </w:tcBorders>
            <w:vAlign w:val="top"/>
          </w:tcPr>
          <w:p/>
        </w:tc>
        <w:tc>
          <w:tcPr>
            <w:tcW w:type="dxa" w:w="535"/>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535"/>
            <w:tcBorders>
              <w:top w:val="none" w:color="000000" w:sz="4"/>
              <w:left w:val="none" w:color="000000" w:sz="4"/>
              <w:bottom w:val="single" w:color="000000" w:sz="4"/>
              <w:right w:val="single" w:color="000000" w:sz="4"/>
            </w:tcBorders>
            <w:vAlign w:val="top"/>
          </w:tcPr>
          <w:p/>
          <w:p/>
        </w:tc>
      </w:tr>
      <w:tr>
        <w:tc>
          <w:tcPr>
            <w:tcW w:type="dxa" w:w="1998"/>
            <w:tcBorders>
              <w:top w:val="none" w:color="000000" w:sz="4"/>
              <w:left w:val="single" w:color="000000" w:sz="4"/>
              <w:bottom w:val="single" w:color="000000" w:sz="4"/>
              <w:right w:val="single" w:color="000000" w:sz="4"/>
            </w:tcBorders>
            <w:vAlign w:val="top"/>
          </w:tcPr>
          <w:p/>
        </w:tc>
        <w:tc>
          <w:tcPr>
            <w:tcW w:type="dxa" w:w="624"/>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535"/>
            <w:tcBorders>
              <w:top w:val="none" w:color="000000" w:sz="4"/>
              <w:left w:val="none" w:color="000000" w:sz="4"/>
              <w:bottom w:val="single" w:color="000000" w:sz="4"/>
              <w:right w:val="single" w:color="000000" w:sz="4"/>
            </w:tcBorders>
            <w:vAlign w:val="top"/>
          </w:tcPr>
          <w:p/>
        </w:tc>
        <w:tc>
          <w:tcPr>
            <w:tcW w:type="dxa" w:w="535"/>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535"/>
            <w:tcBorders>
              <w:top w:val="none" w:color="000000" w:sz="4"/>
              <w:left w:val="none" w:color="000000" w:sz="4"/>
              <w:bottom w:val="single" w:color="000000" w:sz="4"/>
              <w:right w:val="single" w:color="000000" w:sz="4"/>
            </w:tcBorders>
            <w:vAlign w:val="top"/>
          </w:tcPr>
          <w:p/>
        </w:tc>
        <w:tc>
          <w:tcPr>
            <w:tcW w:type="dxa" w:w="535"/>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535"/>
            <w:tcBorders>
              <w:top w:val="none" w:color="000000" w:sz="4"/>
              <w:left w:val="none" w:color="000000" w:sz="4"/>
              <w:bottom w:val="single" w:color="000000" w:sz="4"/>
              <w:right w:val="single" w:color="000000" w:sz="4"/>
            </w:tcBorders>
            <w:vAlign w:val="top"/>
          </w:tcPr>
          <w:p/>
          <w:p/>
        </w:tc>
      </w:tr>
      <w:tr>
        <w:tc>
          <w:tcPr>
            <w:tcW w:type="dxa" w:w="1998"/>
            <w:tcBorders>
              <w:top w:val="none" w:color="000000" w:sz="4"/>
              <w:left w:val="single" w:color="000000" w:sz="4"/>
              <w:bottom w:val="single" w:color="000000" w:sz="4"/>
              <w:right w:val="single" w:color="000000" w:sz="4"/>
            </w:tcBorders>
            <w:vAlign w:val="top"/>
          </w:tcPr>
          <w:p/>
        </w:tc>
        <w:tc>
          <w:tcPr>
            <w:tcW w:type="dxa" w:w="624"/>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535"/>
            <w:tcBorders>
              <w:top w:val="none" w:color="000000" w:sz="4"/>
              <w:left w:val="none" w:color="000000" w:sz="4"/>
              <w:bottom w:val="single" w:color="000000" w:sz="4"/>
              <w:right w:val="single" w:color="000000" w:sz="4"/>
            </w:tcBorders>
            <w:vAlign w:val="top"/>
          </w:tcPr>
          <w:p/>
        </w:tc>
        <w:tc>
          <w:tcPr>
            <w:tcW w:type="dxa" w:w="535"/>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535"/>
            <w:tcBorders>
              <w:top w:val="none" w:color="000000" w:sz="4"/>
              <w:left w:val="none" w:color="000000" w:sz="4"/>
              <w:bottom w:val="single" w:color="000000" w:sz="4"/>
              <w:right w:val="single" w:color="000000" w:sz="4"/>
            </w:tcBorders>
            <w:vAlign w:val="top"/>
          </w:tcPr>
          <w:p/>
        </w:tc>
        <w:tc>
          <w:tcPr>
            <w:tcW w:type="dxa" w:w="535"/>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535"/>
            <w:tcBorders>
              <w:top w:val="none" w:color="000000" w:sz="4"/>
              <w:left w:val="none" w:color="000000" w:sz="4"/>
              <w:bottom w:val="single" w:color="000000" w:sz="4"/>
              <w:right w:val="single" w:color="000000" w:sz="4"/>
            </w:tcBorders>
            <w:vAlign w:val="top"/>
          </w:tcPr>
          <w:p/>
          <w:p/>
        </w:tc>
      </w:tr>
      <w:tr>
        <w:tc>
          <w:tcPr>
            <w:tcW w:type="dxa" w:w="1998"/>
            <w:tcBorders>
              <w:top w:val="none" w:color="000000" w:sz="4"/>
              <w:left w:val="single" w:color="000000" w:sz="4"/>
              <w:bottom w:val="single" w:color="000000" w:sz="4"/>
              <w:right w:val="single" w:color="000000" w:sz="4"/>
            </w:tcBorders>
            <w:vAlign w:val="top"/>
          </w:tcPr>
          <w:p/>
        </w:tc>
        <w:tc>
          <w:tcPr>
            <w:tcW w:type="dxa" w:w="624"/>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535"/>
            <w:tcBorders>
              <w:top w:val="none" w:color="000000" w:sz="4"/>
              <w:left w:val="none" w:color="000000" w:sz="4"/>
              <w:bottom w:val="single" w:color="000000" w:sz="4"/>
              <w:right w:val="single" w:color="000000" w:sz="4"/>
            </w:tcBorders>
            <w:vAlign w:val="top"/>
          </w:tcPr>
          <w:p/>
        </w:tc>
        <w:tc>
          <w:tcPr>
            <w:tcW w:type="dxa" w:w="535"/>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535"/>
            <w:tcBorders>
              <w:top w:val="none" w:color="000000" w:sz="4"/>
              <w:left w:val="none" w:color="000000" w:sz="4"/>
              <w:bottom w:val="single" w:color="000000" w:sz="4"/>
              <w:right w:val="single" w:color="000000" w:sz="4"/>
            </w:tcBorders>
            <w:vAlign w:val="top"/>
          </w:tcPr>
          <w:p/>
        </w:tc>
        <w:tc>
          <w:tcPr>
            <w:tcW w:type="dxa" w:w="535"/>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535"/>
            <w:tcBorders>
              <w:top w:val="none" w:color="000000" w:sz="4"/>
              <w:left w:val="none" w:color="000000" w:sz="4"/>
              <w:bottom w:val="single" w:color="000000" w:sz="4"/>
              <w:right w:val="single" w:color="000000" w:sz="4"/>
            </w:tcBorders>
            <w:vAlign w:val="top"/>
          </w:tcPr>
          <w:p/>
          <w:p/>
        </w:tc>
      </w:tr>
      <w:tr>
        <w:tc>
          <w:tcPr>
            <w:tcW w:type="dxa" w:w="1998"/>
            <w:tcBorders>
              <w:top w:val="none" w:color="000000" w:sz="4"/>
              <w:left w:val="single" w:color="000000" w:sz="4"/>
              <w:bottom w:val="single" w:color="000000" w:sz="4"/>
              <w:right w:val="single" w:color="000000" w:sz="4"/>
            </w:tcBorders>
            <w:vAlign w:val="top"/>
          </w:tcPr>
          <w:p/>
        </w:tc>
        <w:tc>
          <w:tcPr>
            <w:tcW w:type="dxa" w:w="624"/>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535"/>
            <w:tcBorders>
              <w:top w:val="none" w:color="000000" w:sz="4"/>
              <w:left w:val="none" w:color="000000" w:sz="4"/>
              <w:bottom w:val="single" w:color="000000" w:sz="4"/>
              <w:right w:val="single" w:color="000000" w:sz="4"/>
            </w:tcBorders>
            <w:vAlign w:val="top"/>
          </w:tcPr>
          <w:p/>
        </w:tc>
        <w:tc>
          <w:tcPr>
            <w:tcW w:type="dxa" w:w="535"/>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535"/>
            <w:tcBorders>
              <w:top w:val="none" w:color="000000" w:sz="4"/>
              <w:left w:val="none" w:color="000000" w:sz="4"/>
              <w:bottom w:val="single" w:color="000000" w:sz="4"/>
              <w:right w:val="single" w:color="000000" w:sz="4"/>
            </w:tcBorders>
            <w:vAlign w:val="top"/>
          </w:tcPr>
          <w:p/>
        </w:tc>
        <w:tc>
          <w:tcPr>
            <w:tcW w:type="dxa" w:w="535"/>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535"/>
            <w:tcBorders>
              <w:top w:val="none" w:color="000000" w:sz="4"/>
              <w:left w:val="none" w:color="000000" w:sz="4"/>
              <w:bottom w:val="single" w:color="000000" w:sz="4"/>
              <w:right w:val="single" w:color="000000" w:sz="4"/>
            </w:tcBorders>
            <w:vAlign w:val="top"/>
          </w:tcPr>
          <w:p/>
          <w:p/>
        </w:tc>
      </w:tr>
      <w:tr>
        <w:tc>
          <w:tcPr>
            <w:tcW w:type="dxa" w:w="1998"/>
            <w:tcBorders>
              <w:top w:val="none" w:color="000000" w:sz="4"/>
              <w:left w:val="single" w:color="000000" w:sz="4"/>
              <w:bottom w:val="single" w:color="000000" w:sz="4"/>
              <w:right w:val="single" w:color="000000" w:sz="4"/>
            </w:tcBorders>
            <w:vAlign w:val="top"/>
          </w:tcPr>
          <w:p/>
        </w:tc>
        <w:tc>
          <w:tcPr>
            <w:tcW w:type="dxa" w:w="624"/>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535"/>
            <w:tcBorders>
              <w:top w:val="none" w:color="000000" w:sz="4"/>
              <w:left w:val="none" w:color="000000" w:sz="4"/>
              <w:bottom w:val="single" w:color="000000" w:sz="4"/>
              <w:right w:val="single" w:color="000000" w:sz="4"/>
            </w:tcBorders>
            <w:vAlign w:val="top"/>
          </w:tcPr>
          <w:p/>
        </w:tc>
        <w:tc>
          <w:tcPr>
            <w:tcW w:type="dxa" w:w="535"/>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535"/>
            <w:tcBorders>
              <w:top w:val="none" w:color="000000" w:sz="4"/>
              <w:left w:val="none" w:color="000000" w:sz="4"/>
              <w:bottom w:val="single" w:color="000000" w:sz="4"/>
              <w:right w:val="single" w:color="000000" w:sz="4"/>
            </w:tcBorders>
            <w:vAlign w:val="top"/>
          </w:tcPr>
          <w:p/>
        </w:tc>
        <w:tc>
          <w:tcPr>
            <w:tcW w:type="dxa" w:w="535"/>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535"/>
            <w:tcBorders>
              <w:top w:val="none" w:color="000000" w:sz="4"/>
              <w:left w:val="none" w:color="000000" w:sz="4"/>
              <w:bottom w:val="single" w:color="000000" w:sz="4"/>
              <w:right w:val="single" w:color="000000" w:sz="4"/>
            </w:tcBorders>
            <w:vAlign w:val="top"/>
          </w:tcPr>
          <w:p/>
          <w:p/>
        </w:tc>
      </w:tr>
      <w:tr>
        <w:tc>
          <w:tcPr>
            <w:tcW w:type="dxa" w:w="1998"/>
            <w:tcBorders>
              <w:top w:val="none" w:color="000000" w:sz="4"/>
              <w:left w:val="single" w:color="000000" w:sz="4"/>
              <w:bottom w:val="single" w:color="000000" w:sz="4"/>
              <w:right w:val="single" w:color="000000" w:sz="4"/>
            </w:tcBorders>
            <w:vAlign w:val="top"/>
          </w:tcPr>
          <w:p>
            <w:r>
              <w:rPr>
                <w:b/>
                <w:sz w:val="20"/>
              </w:rPr>
              <w:t>合计</w:t>
            </w:r>
          </w:p>
        </w:tc>
        <w:tc>
          <w:tcPr>
            <w:tcW w:type="dxa" w:w="624"/>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535"/>
            <w:tcBorders>
              <w:top w:val="none" w:color="000000" w:sz="4"/>
              <w:left w:val="none" w:color="000000" w:sz="4"/>
              <w:bottom w:val="single" w:color="000000" w:sz="4"/>
              <w:right w:val="single" w:color="000000" w:sz="4"/>
            </w:tcBorders>
            <w:vAlign w:val="top"/>
          </w:tcPr>
          <w:p/>
        </w:tc>
        <w:tc>
          <w:tcPr>
            <w:tcW w:type="dxa" w:w="535"/>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535"/>
            <w:tcBorders>
              <w:top w:val="none" w:color="000000" w:sz="4"/>
              <w:left w:val="none" w:color="000000" w:sz="4"/>
              <w:bottom w:val="single" w:color="000000" w:sz="4"/>
              <w:right w:val="single" w:color="000000" w:sz="4"/>
            </w:tcBorders>
            <w:vAlign w:val="top"/>
          </w:tcPr>
          <w:p/>
        </w:tc>
        <w:tc>
          <w:tcPr>
            <w:tcW w:type="dxa" w:w="535"/>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428"/>
            <w:tcBorders>
              <w:top w:val="none" w:color="000000" w:sz="4"/>
              <w:left w:val="none" w:color="000000" w:sz="4"/>
              <w:bottom w:val="single" w:color="000000" w:sz="4"/>
              <w:right w:val="single" w:color="000000" w:sz="4"/>
            </w:tcBorders>
            <w:vAlign w:val="top"/>
          </w:tcPr>
          <w:p/>
        </w:tc>
        <w:tc>
          <w:tcPr>
            <w:tcW w:type="dxa" w:w="535"/>
            <w:tcBorders>
              <w:top w:val="none" w:color="000000" w:sz="4"/>
              <w:left w:val="none" w:color="000000" w:sz="4"/>
              <w:bottom w:val="single" w:color="000000" w:sz="4"/>
              <w:right w:val="single" w:color="000000" w:sz="4"/>
            </w:tcBorders>
            <w:vAlign w:val="top"/>
          </w:tcPr>
          <w:p/>
          <w:p/>
        </w:tc>
      </w:tr>
    </w:tbl>
    <w:p>
      <w:r>
        <w:rPr>
          <w:sz w:val="21"/>
        </w:rPr>
        <w:t>统计人：</w:t>
      </w:r>
      <w:r>
        <w:rPr/>
        <w:t xml:space="preserve">                                                                                        </w:t>
      </w:r>
      <w:r>
        <w:rPr>
          <w:sz w:val="21"/>
        </w:rPr>
        <w:t>统计日期：</w:t>
      </w:r>
      <w:r>
        <w:rPr>
          <w:b/>
        </w:rPr>
        <w:t xml:space="preserve"> </w:t>
      </w:r>
      <w:r>
        <w:rPr>
          <w:sz w:val="21"/>
        </w:rPr>
        <w:t>年</w:t>
      </w:r>
      <w:r>
        <w:rPr/>
        <w:t xml:space="preserve">  </w:t>
      </w:r>
      <w:r>
        <w:rPr>
          <w:sz w:val="21"/>
        </w:rPr>
        <w:t>月</w:t>
      </w:r>
      <w:r>
        <w:rPr/>
        <w:t xml:space="preserve">   </w:t>
      </w:r>
      <w:r>
        <w:rPr>
          <w:sz w:val="21"/>
        </w:rPr>
        <w:t>日</w:t>
      </w:r>
    </w:p>
    <w:p>
      <w:r>
        <w:rPr/>
        <w:t xml:space="preserve"> </w:t>
      </w:r>
    </w:p>
    <w:p>
      <w:pPr>
        <w:jc w:val="both"/>
      </w:pPr>
    </w:p>
    <w:p>
      <w:r>
        <w:rPr>
          <w:sz w:val="30"/>
        </w:rPr>
        <w:t>附件二：</w:t>
      </w:r>
    </w:p>
    <w:p>
      <w:r>
        <w:rPr/>
        <w:t xml:space="preserve"> </w:t>
      </w:r>
    </w:p>
    <w:p>
      <w:r>
        <w:rPr>
          <w:sz w:val="30"/>
        </w:rPr>
        <w:t>肇庆市高要建成区公共外环境病媒生物密度监测汇总表</w:t>
      </w:r>
    </w:p>
    <w:tbl>
      <w:tblPr>
        <w:tblW w:w="0" w:type="auto"/>
        <w:tblInd w:type="dxa" w:w="210"/>
        <w:tblBorders>
          <w:top w:val="none" w:color="000000" w:sz="4"/>
          <w:left w:val="none" w:color="000000" w:sz="4"/>
          <w:bottom w:val="none" w:color="000000" w:sz="4"/>
          <w:right w:val="none" w:color="000000" w:sz="4"/>
          <w:insideH w:val="none"/>
          <w:insideV w:val="none"/>
        </w:tblBorders>
      </w:tblPr>
      <w:tblGrid>
        <w:gridCol w:w="939"/>
        <w:gridCol w:w="1356"/>
        <w:gridCol w:w="1313"/>
        <w:gridCol w:w="1226"/>
        <w:gridCol w:w="817"/>
        <w:gridCol w:w="982"/>
        <w:gridCol w:w="895"/>
        <w:gridCol w:w="739"/>
      </w:tblGrid>
      <w:tr>
        <w:tc>
          <w:tcPr>
            <w:tcW w:type="dxa" w:w="939"/>
            <w:vMerge w:val="restart"/>
            <w:tcBorders>
              <w:top w:val="single" w:color="000000" w:sz="4"/>
              <w:left w:val="single" w:color="000000" w:sz="4"/>
              <w:bottom w:val="none" w:color="000000" w:sz="4"/>
              <w:right w:val="none" w:color="000000" w:sz="4"/>
            </w:tcBorders>
            <w:shd w:fill="FFFFFF"/>
            <w:vAlign w:val="top"/>
          </w:tcPr>
          <w:p>
            <w:r>
              <w:rPr>
                <w:b/>
                <w:sz w:val="24"/>
              </w:rPr>
              <w:t>标准</w:t>
            </w:r>
          </w:p>
          <w:p>
            <w:r>
              <w:rPr>
                <w:b/>
                <w:sz w:val="24"/>
              </w:rPr>
              <w:t>分级</w:t>
            </w:r>
          </w:p>
        </w:tc>
        <w:tc>
          <w:tcPr>
            <w:tcW w:type="dxa" w:w="1356"/>
            <w:tcBorders>
              <w:top w:val="single" w:color="000000" w:sz="4"/>
              <w:left w:val="single" w:color="000000" w:sz="4"/>
              <w:bottom w:val="none" w:color="000000" w:sz="4"/>
              <w:right w:val="none" w:color="000000" w:sz="4"/>
            </w:tcBorders>
            <w:shd w:fill="FFFFFF"/>
            <w:vAlign w:val="top"/>
          </w:tcPr>
          <w:p>
            <w:r>
              <w:rPr>
                <w:b/>
                <w:sz w:val="24"/>
              </w:rPr>
              <w:t>灭鼠检查</w:t>
            </w:r>
          </w:p>
        </w:tc>
        <w:tc>
          <w:tcPr>
            <w:tcW w:type="dxa" w:w="1313"/>
            <w:tcBorders>
              <w:top w:val="single" w:color="000000" w:sz="4"/>
              <w:left w:val="single" w:color="000000" w:sz="4"/>
              <w:bottom w:val="none" w:color="000000" w:sz="4"/>
              <w:right w:val="none" w:color="000000" w:sz="4"/>
            </w:tcBorders>
            <w:shd w:fill="FFFFFF"/>
            <w:vAlign w:val="top"/>
          </w:tcPr>
          <w:p>
            <w:r>
              <w:rPr>
                <w:b/>
                <w:sz w:val="24"/>
              </w:rPr>
              <w:t>灭蟑检查</w:t>
            </w:r>
          </w:p>
        </w:tc>
        <w:tc>
          <w:tcPr>
            <w:tcW w:type="dxa" w:w="1226"/>
            <w:tcBorders>
              <w:top w:val="single" w:color="000000" w:sz="4"/>
              <w:left w:val="single" w:color="000000" w:sz="4"/>
              <w:bottom w:val="none" w:color="000000" w:sz="4"/>
              <w:right w:val="none" w:color="000000" w:sz="4"/>
            </w:tcBorders>
            <w:shd w:fill="FFFFFF"/>
            <w:vAlign w:val="top"/>
          </w:tcPr>
          <w:p>
            <w:r>
              <w:rPr>
                <w:b/>
                <w:sz w:val="24"/>
              </w:rPr>
              <w:t>灭蝇检査</w:t>
            </w:r>
          </w:p>
        </w:tc>
        <w:tc>
          <w:tcPr>
            <w:tcW w:type="dxa" w:w="3433"/>
            <w:gridSpan w:val="4"/>
            <w:tcBorders>
              <w:top w:val="single" w:color="000000" w:sz="4"/>
              <w:left w:val="single" w:color="000000" w:sz="4"/>
              <w:bottom w:val="none" w:color="000000" w:sz="4"/>
              <w:right w:val="single" w:color="000000" w:sz="4"/>
            </w:tcBorders>
            <w:shd w:fill="FFFFFF"/>
            <w:vAlign w:val="top"/>
          </w:tcPr>
          <w:p>
            <w:r>
              <w:rPr>
                <w:b/>
                <w:sz w:val="24"/>
              </w:rPr>
              <w:t>灭蚊检查</w:t>
            </w:r>
          </w:p>
        </w:tc>
      </w:tr>
      <w:tr>
        <w:tc>
          <w:tcPr>
            <w:tcW w:type="dxa" w:w="939"/>
            <w:vMerge/>
            <w:tcBorders>
              <w:top w:val="single" w:color="000000" w:sz="4"/>
              <w:left w:val="single" w:color="000000" w:sz="4"/>
              <w:bottom w:val="none" w:color="000000" w:sz="4"/>
              <w:right w:val="none" w:color="000000" w:sz="4"/>
            </w:tcBorders>
          </w:tcPr>
          <w:p/>
        </w:tc>
        <w:tc>
          <w:tcPr>
            <w:tcW w:type="dxa" w:w="1356"/>
            <w:tcBorders>
              <w:top w:val="single" w:color="000000" w:sz="4"/>
              <w:left w:val="single" w:color="000000" w:sz="4"/>
              <w:bottom w:val="none" w:color="000000" w:sz="4"/>
              <w:right w:val="none" w:color="000000" w:sz="4"/>
            </w:tcBorders>
            <w:shd w:fill="FFFFFF"/>
            <w:vAlign w:val="top"/>
          </w:tcPr>
          <w:p>
            <w:r>
              <w:rPr>
                <w:b/>
                <w:sz w:val="24"/>
              </w:rPr>
              <w:t>外环境鼠迹</w:t>
            </w:r>
          </w:p>
        </w:tc>
        <w:tc>
          <w:tcPr>
            <w:tcW w:type="dxa" w:w="1313"/>
            <w:tcBorders>
              <w:top w:val="single" w:color="000000" w:sz="4"/>
              <w:left w:val="single" w:color="000000" w:sz="4"/>
              <w:bottom w:val="none" w:color="000000" w:sz="4"/>
              <w:right w:val="none" w:color="000000" w:sz="4"/>
            </w:tcBorders>
            <w:shd w:fill="FFFFFF"/>
            <w:vAlign w:val="top"/>
          </w:tcPr>
          <w:p>
            <w:r>
              <w:rPr>
                <w:b/>
                <w:sz w:val="24"/>
              </w:rPr>
              <w:t>蟑迹</w:t>
            </w:r>
          </w:p>
        </w:tc>
        <w:tc>
          <w:tcPr>
            <w:tcW w:type="dxa" w:w="1226"/>
            <w:tcBorders>
              <w:top w:val="single" w:color="000000" w:sz="4"/>
              <w:left w:val="single" w:color="000000" w:sz="4"/>
              <w:bottom w:val="none" w:color="000000" w:sz="4"/>
              <w:right w:val="none" w:color="000000" w:sz="4"/>
            </w:tcBorders>
            <w:shd w:fill="FFFFFF"/>
            <w:vAlign w:val="top"/>
          </w:tcPr>
          <w:p>
            <w:r>
              <w:rPr>
                <w:b/>
                <w:sz w:val="24"/>
              </w:rPr>
              <w:t>蝇孳生地</w:t>
            </w:r>
          </w:p>
        </w:tc>
        <w:tc>
          <w:tcPr>
            <w:tcW w:type="dxa" w:w="817"/>
            <w:tcBorders>
              <w:top w:val="single" w:color="000000" w:sz="4"/>
              <w:left w:val="single" w:color="000000" w:sz="4"/>
              <w:bottom w:val="none" w:color="000000" w:sz="4"/>
              <w:right w:val="none" w:color="000000" w:sz="4"/>
            </w:tcBorders>
            <w:shd w:fill="FFFFFF"/>
            <w:vAlign w:val="top"/>
          </w:tcPr>
          <w:p>
            <w:r>
              <w:rPr>
                <w:b/>
                <w:sz w:val="24"/>
              </w:rPr>
              <w:t>小型积水</w:t>
            </w:r>
          </w:p>
        </w:tc>
        <w:tc>
          <w:tcPr>
            <w:tcW w:type="dxa" w:w="1877"/>
            <w:gridSpan w:val="2"/>
            <w:tcBorders>
              <w:top w:val="single" w:color="000000" w:sz="4"/>
              <w:left w:val="single" w:color="000000" w:sz="4"/>
              <w:bottom w:val="none" w:color="000000" w:sz="4"/>
              <w:right w:val="none" w:color="000000" w:sz="4"/>
            </w:tcBorders>
            <w:shd w:fill="FFFFFF"/>
            <w:vAlign w:val="top"/>
          </w:tcPr>
          <w:p>
            <w:r>
              <w:rPr>
                <w:b/>
                <w:sz w:val="24"/>
              </w:rPr>
              <w:t>大、中型水体</w:t>
            </w:r>
          </w:p>
        </w:tc>
        <w:tc>
          <w:tcPr>
            <w:tcW w:type="dxa" w:w="739"/>
            <w:tcBorders>
              <w:top w:val="single" w:color="000000" w:sz="4"/>
              <w:left w:val="single" w:color="000000" w:sz="4"/>
              <w:bottom w:val="none" w:color="000000" w:sz="4"/>
              <w:right w:val="single" w:color="000000" w:sz="4"/>
            </w:tcBorders>
            <w:shd w:fill="FFFFFF"/>
            <w:vAlign w:val="top"/>
          </w:tcPr>
          <w:p>
            <w:r>
              <w:rPr>
                <w:b/>
                <w:sz w:val="24"/>
              </w:rPr>
              <w:t>诱蚊</w:t>
            </w:r>
          </w:p>
          <w:p>
            <w:r>
              <w:rPr>
                <w:sz w:val="24"/>
              </w:rPr>
              <w:t>30min</w:t>
            </w:r>
          </w:p>
        </w:tc>
      </w:tr>
      <w:tr>
        <w:tc>
          <w:tcPr>
            <w:tcW w:type="dxa" w:w="939"/>
            <w:vMerge/>
            <w:tcBorders>
              <w:top w:val="single" w:color="000000" w:sz="4"/>
              <w:left w:val="single" w:color="000000" w:sz="4"/>
              <w:bottom w:val="none" w:color="000000" w:sz="4"/>
              <w:right w:val="none" w:color="000000" w:sz="4"/>
            </w:tcBorders>
          </w:tcPr>
          <w:p/>
        </w:tc>
        <w:tc>
          <w:tcPr>
            <w:tcW w:type="dxa" w:w="1356"/>
            <w:tcBorders>
              <w:top w:val="single" w:color="000000" w:sz="4"/>
              <w:left w:val="single" w:color="000000" w:sz="4"/>
              <w:bottom w:val="none" w:color="000000" w:sz="4"/>
              <w:right w:val="none" w:color="000000" w:sz="4"/>
            </w:tcBorders>
            <w:shd w:fill="FFFFFF"/>
            <w:vAlign w:val="top"/>
          </w:tcPr>
          <w:p>
            <w:r>
              <w:rPr>
                <w:b/>
                <w:sz w:val="24"/>
              </w:rPr>
              <w:t>路径指数</w:t>
            </w:r>
          </w:p>
        </w:tc>
        <w:tc>
          <w:tcPr>
            <w:tcW w:type="dxa" w:w="1313"/>
            <w:tcBorders>
              <w:top w:val="single" w:color="000000" w:sz="4"/>
              <w:left w:val="single" w:color="000000" w:sz="4"/>
              <w:bottom w:val="none" w:color="000000" w:sz="4"/>
              <w:right w:val="none" w:color="000000" w:sz="4"/>
            </w:tcBorders>
            <w:shd w:fill="FFFFFF"/>
            <w:vAlign w:val="top"/>
          </w:tcPr>
          <w:p>
            <w:r>
              <w:rPr>
                <w:b/>
                <w:sz w:val="24"/>
              </w:rPr>
              <w:t>查获率％</w:t>
            </w:r>
          </w:p>
        </w:tc>
        <w:tc>
          <w:tcPr>
            <w:tcW w:type="dxa" w:w="1226"/>
            <w:tcBorders>
              <w:top w:val="single" w:color="000000" w:sz="4"/>
              <w:left w:val="single" w:color="000000" w:sz="4"/>
              <w:bottom w:val="none" w:color="000000" w:sz="4"/>
              <w:right w:val="none" w:color="000000" w:sz="4"/>
            </w:tcBorders>
            <w:shd w:fill="FFFFFF"/>
            <w:vAlign w:val="top"/>
          </w:tcPr>
          <w:p>
            <w:r>
              <w:rPr>
                <w:b/>
                <w:sz w:val="24"/>
              </w:rPr>
              <w:t>阳性率％</w:t>
            </w:r>
          </w:p>
        </w:tc>
        <w:tc>
          <w:tcPr>
            <w:tcW w:type="dxa" w:w="817"/>
            <w:tcBorders>
              <w:top w:val="single" w:color="000000" w:sz="4"/>
              <w:left w:val="single" w:color="000000" w:sz="4"/>
              <w:bottom w:val="none" w:color="000000" w:sz="4"/>
              <w:right w:val="none" w:color="000000" w:sz="4"/>
            </w:tcBorders>
            <w:shd w:fill="FFFFFF"/>
            <w:vAlign w:val="top"/>
          </w:tcPr>
          <w:p>
            <w:r>
              <w:rPr>
                <w:b/>
                <w:sz w:val="24"/>
              </w:rPr>
              <w:t>路径指数</w:t>
            </w:r>
          </w:p>
        </w:tc>
        <w:tc>
          <w:tcPr>
            <w:tcW w:type="dxa" w:w="982"/>
            <w:tcBorders>
              <w:top w:val="single" w:color="000000" w:sz="4"/>
              <w:left w:val="single" w:color="000000" w:sz="4"/>
              <w:bottom w:val="none" w:color="000000" w:sz="4"/>
              <w:right w:val="none" w:color="000000" w:sz="4"/>
            </w:tcBorders>
            <w:shd w:fill="FFFFFF"/>
            <w:vAlign w:val="top"/>
          </w:tcPr>
          <w:p>
            <w:r>
              <w:rPr>
                <w:b/>
                <w:sz w:val="24"/>
              </w:rPr>
              <w:t>采样勺指数％</w:t>
            </w:r>
          </w:p>
        </w:tc>
        <w:tc>
          <w:tcPr>
            <w:tcW w:type="dxa" w:w="895"/>
            <w:tcBorders>
              <w:top w:val="single" w:color="000000" w:sz="4"/>
              <w:left w:val="single" w:color="000000" w:sz="4"/>
              <w:bottom w:val="none" w:color="000000" w:sz="4"/>
              <w:right w:val="none" w:color="000000" w:sz="4"/>
            </w:tcBorders>
            <w:shd w:fill="FFFFFF"/>
            <w:vAlign w:val="top"/>
          </w:tcPr>
          <w:p>
            <w:r>
              <w:rPr>
                <w:b/>
                <w:sz w:val="24"/>
              </w:rPr>
              <w:t>阳性勺虫数</w:t>
            </w:r>
          </w:p>
        </w:tc>
        <w:tc>
          <w:tcPr>
            <w:tcW w:type="dxa" w:w="739"/>
            <w:tcBorders>
              <w:top w:val="single" w:color="000000" w:sz="4"/>
              <w:left w:val="single" w:color="000000" w:sz="4"/>
              <w:bottom w:val="none" w:color="000000" w:sz="4"/>
              <w:right w:val="single" w:color="000000" w:sz="4"/>
            </w:tcBorders>
            <w:shd w:fill="FFFFFF"/>
            <w:vAlign w:val="top"/>
          </w:tcPr>
          <w:p>
            <w:r>
              <w:rPr>
                <w:b/>
                <w:sz w:val="24"/>
              </w:rPr>
              <w:t>停落指数</w:t>
            </w:r>
          </w:p>
        </w:tc>
      </w:tr>
      <w:tr>
        <w:tc>
          <w:tcPr>
            <w:tcW w:type="dxa" w:w="939"/>
            <w:tcBorders>
              <w:top w:val="single" w:color="000000" w:sz="4"/>
              <w:left w:val="single" w:color="000000" w:sz="4"/>
              <w:bottom w:val="none" w:color="000000" w:sz="4"/>
              <w:right w:val="none" w:color="000000" w:sz="4"/>
            </w:tcBorders>
            <w:shd w:fill="FFFFFF"/>
            <w:vAlign w:val="top"/>
          </w:tcPr>
          <w:p>
            <w:r>
              <w:rPr>
                <w:sz w:val="24"/>
              </w:rPr>
              <w:t>A</w:t>
            </w:r>
            <w:r>
              <w:rPr>
                <w:b/>
                <w:sz w:val="24"/>
              </w:rPr>
              <w:t>级</w:t>
            </w:r>
          </w:p>
        </w:tc>
        <w:tc>
          <w:tcPr>
            <w:tcW w:type="dxa" w:w="1356"/>
            <w:tcBorders>
              <w:top w:val="single" w:color="000000" w:sz="4"/>
              <w:left w:val="single" w:color="000000" w:sz="4"/>
              <w:bottom w:val="none" w:color="000000" w:sz="4"/>
              <w:right w:val="none" w:color="000000" w:sz="4"/>
            </w:tcBorders>
            <w:shd w:fill="FFFFFF"/>
            <w:vAlign w:val="top"/>
          </w:tcPr>
          <w:p>
            <w:r>
              <w:rPr>
                <w:sz w:val="24"/>
              </w:rPr>
              <w:t>1</w:t>
            </w:r>
          </w:p>
        </w:tc>
        <w:tc>
          <w:tcPr>
            <w:tcW w:type="dxa" w:w="1313"/>
            <w:tcBorders>
              <w:top w:val="single" w:color="000000" w:sz="4"/>
              <w:left w:val="single" w:color="000000" w:sz="4"/>
              <w:bottom w:val="none" w:color="000000" w:sz="4"/>
              <w:right w:val="none" w:color="000000" w:sz="4"/>
            </w:tcBorders>
            <w:shd w:fill="FFFFFF"/>
            <w:vAlign w:val="top"/>
          </w:tcPr>
          <w:p>
            <w:r>
              <w:rPr>
                <w:sz w:val="24"/>
              </w:rPr>
              <w:t>3</w:t>
            </w:r>
          </w:p>
        </w:tc>
        <w:tc>
          <w:tcPr>
            <w:tcW w:type="dxa" w:w="1226"/>
            <w:tcBorders>
              <w:top w:val="single" w:color="000000" w:sz="4"/>
              <w:left w:val="single" w:color="000000" w:sz="4"/>
              <w:bottom w:val="none" w:color="000000" w:sz="4"/>
              <w:right w:val="none" w:color="000000" w:sz="4"/>
            </w:tcBorders>
            <w:shd w:fill="FFFFFF"/>
            <w:vAlign w:val="top"/>
          </w:tcPr>
          <w:p>
            <w:r>
              <w:rPr>
                <w:sz w:val="24"/>
              </w:rPr>
              <w:t>1</w:t>
            </w:r>
          </w:p>
        </w:tc>
        <w:tc>
          <w:tcPr>
            <w:tcW w:type="dxa" w:w="817"/>
            <w:tcBorders>
              <w:top w:val="single" w:color="000000" w:sz="4"/>
              <w:left w:val="single" w:color="000000" w:sz="4"/>
              <w:bottom w:val="none" w:color="000000" w:sz="4"/>
              <w:right w:val="none" w:color="000000" w:sz="4"/>
            </w:tcBorders>
            <w:shd w:fill="FFFFFF"/>
            <w:vAlign w:val="top"/>
          </w:tcPr>
          <w:p>
            <w:r>
              <w:rPr>
                <w:sz w:val="24"/>
              </w:rPr>
              <w:t>0. 1</w:t>
            </w:r>
          </w:p>
        </w:tc>
        <w:tc>
          <w:tcPr>
            <w:tcW w:type="dxa" w:w="982"/>
            <w:tcBorders>
              <w:top w:val="single" w:color="000000" w:sz="4"/>
              <w:left w:val="single" w:color="000000" w:sz="4"/>
              <w:bottom w:val="none" w:color="000000" w:sz="4"/>
              <w:right w:val="none" w:color="000000" w:sz="4"/>
            </w:tcBorders>
            <w:shd w:fill="FFFFFF"/>
            <w:vAlign w:val="top"/>
          </w:tcPr>
          <w:p>
            <w:r>
              <w:rPr>
                <w:sz w:val="24"/>
              </w:rPr>
              <w:t>1</w:t>
            </w:r>
          </w:p>
        </w:tc>
        <w:tc>
          <w:tcPr>
            <w:tcW w:type="dxa" w:w="895"/>
            <w:tcBorders>
              <w:top w:val="single" w:color="000000" w:sz="4"/>
              <w:left w:val="single" w:color="000000" w:sz="4"/>
              <w:bottom w:val="none" w:color="000000" w:sz="4"/>
              <w:right w:val="none" w:color="000000" w:sz="4"/>
            </w:tcBorders>
            <w:shd w:fill="FFFFFF"/>
            <w:vAlign w:val="top"/>
          </w:tcPr>
          <w:p>
            <w:r>
              <w:rPr>
                <w:sz w:val="24"/>
              </w:rPr>
              <w:t>2</w:t>
            </w:r>
          </w:p>
        </w:tc>
        <w:tc>
          <w:tcPr>
            <w:tcW w:type="dxa" w:w="739"/>
            <w:tcBorders>
              <w:top w:val="single" w:color="000000" w:sz="4"/>
              <w:left w:val="single" w:color="000000" w:sz="4"/>
              <w:bottom w:val="none" w:color="000000" w:sz="4"/>
              <w:right w:val="single" w:color="000000" w:sz="4"/>
            </w:tcBorders>
            <w:shd w:fill="FFFFFF"/>
            <w:vAlign w:val="top"/>
          </w:tcPr>
          <w:p>
            <w:r>
              <w:rPr>
                <w:sz w:val="24"/>
              </w:rPr>
              <w:t>0.5</w:t>
            </w:r>
          </w:p>
        </w:tc>
      </w:tr>
      <w:tr>
        <w:tc>
          <w:tcPr>
            <w:tcW w:type="dxa" w:w="939"/>
            <w:tcBorders>
              <w:top w:val="single" w:color="000000" w:sz="4"/>
              <w:left w:val="single" w:color="000000" w:sz="4"/>
              <w:bottom w:val="none" w:color="000000" w:sz="4"/>
              <w:right w:val="none" w:color="000000" w:sz="4"/>
            </w:tcBorders>
            <w:shd w:fill="FFFFFF"/>
            <w:vAlign w:val="top"/>
          </w:tcPr>
          <w:p>
            <w:r>
              <w:rPr>
                <w:sz w:val="24"/>
              </w:rPr>
              <w:t>B</w:t>
            </w:r>
            <w:r>
              <w:rPr>
                <w:b/>
                <w:sz w:val="24"/>
              </w:rPr>
              <w:t>级</w:t>
            </w:r>
          </w:p>
        </w:tc>
        <w:tc>
          <w:tcPr>
            <w:tcW w:type="dxa" w:w="1356"/>
            <w:tcBorders>
              <w:top w:val="single" w:color="000000" w:sz="4"/>
              <w:left w:val="single" w:color="000000" w:sz="4"/>
              <w:bottom w:val="none" w:color="000000" w:sz="4"/>
              <w:right w:val="none" w:color="000000" w:sz="4"/>
            </w:tcBorders>
            <w:shd w:fill="FFFFFF"/>
            <w:vAlign w:val="top"/>
          </w:tcPr>
          <w:p>
            <w:r>
              <w:rPr>
                <w:sz w:val="24"/>
              </w:rPr>
              <w:t>3</w:t>
            </w:r>
          </w:p>
        </w:tc>
        <w:tc>
          <w:tcPr>
            <w:tcW w:type="dxa" w:w="1313"/>
            <w:tcBorders>
              <w:top w:val="single" w:color="000000" w:sz="4"/>
              <w:left w:val="single" w:color="000000" w:sz="4"/>
              <w:bottom w:val="none" w:color="000000" w:sz="4"/>
              <w:right w:val="none" w:color="000000" w:sz="4"/>
            </w:tcBorders>
            <w:shd w:fill="FFFFFF"/>
            <w:vAlign w:val="top"/>
          </w:tcPr>
          <w:p>
            <w:r>
              <w:rPr>
                <w:sz w:val="24"/>
              </w:rPr>
              <w:t>5</w:t>
            </w:r>
          </w:p>
        </w:tc>
        <w:tc>
          <w:tcPr>
            <w:tcW w:type="dxa" w:w="1226"/>
            <w:tcBorders>
              <w:top w:val="single" w:color="000000" w:sz="4"/>
              <w:left w:val="single" w:color="000000" w:sz="4"/>
              <w:bottom w:val="none" w:color="000000" w:sz="4"/>
              <w:right w:val="none" w:color="000000" w:sz="4"/>
            </w:tcBorders>
            <w:shd w:fill="FFFFFF"/>
            <w:vAlign w:val="top"/>
          </w:tcPr>
          <w:p>
            <w:r>
              <w:rPr>
                <w:sz w:val="24"/>
              </w:rPr>
              <w:t>3</w:t>
            </w:r>
          </w:p>
        </w:tc>
        <w:tc>
          <w:tcPr>
            <w:tcW w:type="dxa" w:w="817"/>
            <w:tcBorders>
              <w:top w:val="single" w:color="000000" w:sz="4"/>
              <w:left w:val="single" w:color="000000" w:sz="4"/>
              <w:bottom w:val="none" w:color="000000" w:sz="4"/>
              <w:right w:val="none" w:color="000000" w:sz="4"/>
            </w:tcBorders>
            <w:shd w:fill="FFFFFF"/>
            <w:vAlign w:val="top"/>
          </w:tcPr>
          <w:p>
            <w:r>
              <w:rPr>
                <w:sz w:val="24"/>
              </w:rPr>
              <w:t>0.5</w:t>
            </w:r>
          </w:p>
        </w:tc>
        <w:tc>
          <w:tcPr>
            <w:tcW w:type="dxa" w:w="982"/>
            <w:tcBorders>
              <w:top w:val="single" w:color="000000" w:sz="4"/>
              <w:left w:val="single" w:color="000000" w:sz="4"/>
              <w:bottom w:val="none" w:color="000000" w:sz="4"/>
              <w:right w:val="none" w:color="000000" w:sz="4"/>
            </w:tcBorders>
            <w:shd w:fill="FFFFFF"/>
            <w:vAlign w:val="top"/>
          </w:tcPr>
          <w:p>
            <w:r>
              <w:rPr>
                <w:sz w:val="24"/>
              </w:rPr>
              <w:t>3</w:t>
            </w:r>
          </w:p>
        </w:tc>
        <w:tc>
          <w:tcPr>
            <w:tcW w:type="dxa" w:w="895"/>
            <w:tcBorders>
              <w:top w:val="single" w:color="000000" w:sz="4"/>
              <w:left w:val="single" w:color="000000" w:sz="4"/>
              <w:bottom w:val="none" w:color="000000" w:sz="4"/>
              <w:right w:val="none" w:color="000000" w:sz="4"/>
            </w:tcBorders>
            <w:shd w:fill="FFFFFF"/>
            <w:vAlign w:val="top"/>
          </w:tcPr>
          <w:p>
            <w:r>
              <w:rPr>
                <w:sz w:val="24"/>
              </w:rPr>
              <w:t>5</w:t>
            </w:r>
          </w:p>
        </w:tc>
        <w:tc>
          <w:tcPr>
            <w:tcW w:type="dxa" w:w="739"/>
            <w:tcBorders>
              <w:top w:val="single" w:color="000000" w:sz="4"/>
              <w:left w:val="single" w:color="000000" w:sz="4"/>
              <w:bottom w:val="none" w:color="000000" w:sz="4"/>
              <w:right w:val="single" w:color="000000" w:sz="4"/>
            </w:tcBorders>
            <w:shd w:fill="FFFFFF"/>
            <w:vAlign w:val="top"/>
          </w:tcPr>
          <w:p>
            <w:r>
              <w:rPr>
                <w:sz w:val="24"/>
              </w:rPr>
              <w:t>1</w:t>
            </w:r>
          </w:p>
        </w:tc>
      </w:tr>
      <w:tr>
        <w:tc>
          <w:tcPr>
            <w:tcW w:type="dxa" w:w="939"/>
            <w:tcBorders>
              <w:top w:val="single" w:color="000000" w:sz="4"/>
              <w:left w:val="single" w:color="000000" w:sz="4"/>
              <w:bottom w:val="none" w:color="000000" w:sz="4"/>
              <w:right w:val="none" w:color="000000" w:sz="4"/>
            </w:tcBorders>
            <w:shd w:fill="FFFFFF"/>
            <w:vAlign w:val="top"/>
          </w:tcPr>
          <w:p>
            <w:r>
              <w:rPr>
                <w:sz w:val="24"/>
              </w:rPr>
              <w:t>C</w:t>
            </w:r>
            <w:r>
              <w:rPr>
                <w:b/>
                <w:sz w:val="24"/>
              </w:rPr>
              <w:t>级</w:t>
            </w:r>
          </w:p>
        </w:tc>
        <w:tc>
          <w:tcPr>
            <w:tcW w:type="dxa" w:w="1356"/>
            <w:tcBorders>
              <w:top w:val="single" w:color="000000" w:sz="4"/>
              <w:left w:val="single" w:color="000000" w:sz="4"/>
              <w:bottom w:val="none" w:color="000000" w:sz="4"/>
              <w:right w:val="none" w:color="000000" w:sz="4"/>
            </w:tcBorders>
            <w:shd w:fill="FFFFFF"/>
            <w:vAlign w:val="top"/>
          </w:tcPr>
          <w:p>
            <w:r>
              <w:rPr>
                <w:sz w:val="24"/>
              </w:rPr>
              <w:t>5</w:t>
            </w:r>
          </w:p>
        </w:tc>
        <w:tc>
          <w:tcPr>
            <w:tcW w:type="dxa" w:w="1313"/>
            <w:tcBorders>
              <w:top w:val="single" w:color="000000" w:sz="4"/>
              <w:left w:val="single" w:color="000000" w:sz="4"/>
              <w:bottom w:val="none" w:color="000000" w:sz="4"/>
              <w:right w:val="none" w:color="000000" w:sz="4"/>
            </w:tcBorders>
            <w:shd w:fill="FFFFFF"/>
            <w:vAlign w:val="top"/>
          </w:tcPr>
          <w:p>
            <w:r>
              <w:rPr>
                <w:sz w:val="24"/>
              </w:rPr>
              <w:t>7</w:t>
            </w:r>
          </w:p>
        </w:tc>
        <w:tc>
          <w:tcPr>
            <w:tcW w:type="dxa" w:w="1226"/>
            <w:tcBorders>
              <w:top w:val="single" w:color="000000" w:sz="4"/>
              <w:left w:val="single" w:color="000000" w:sz="4"/>
              <w:bottom w:val="none" w:color="000000" w:sz="4"/>
              <w:right w:val="none" w:color="000000" w:sz="4"/>
            </w:tcBorders>
            <w:shd w:fill="FFFFFF"/>
            <w:vAlign w:val="top"/>
          </w:tcPr>
          <w:p>
            <w:r>
              <w:rPr>
                <w:sz w:val="24"/>
              </w:rPr>
              <w:t>5</w:t>
            </w:r>
          </w:p>
        </w:tc>
        <w:tc>
          <w:tcPr>
            <w:tcW w:type="dxa" w:w="817"/>
            <w:tcBorders>
              <w:top w:val="single" w:color="000000" w:sz="4"/>
              <w:left w:val="single" w:color="000000" w:sz="4"/>
              <w:bottom w:val="none" w:color="000000" w:sz="4"/>
              <w:right w:val="none" w:color="000000" w:sz="4"/>
            </w:tcBorders>
            <w:shd w:fill="FFFFFF"/>
            <w:vAlign w:val="top"/>
          </w:tcPr>
          <w:p>
            <w:r>
              <w:rPr>
                <w:sz w:val="24"/>
              </w:rPr>
              <w:t>0.8</w:t>
            </w:r>
          </w:p>
        </w:tc>
        <w:tc>
          <w:tcPr>
            <w:tcW w:type="dxa" w:w="982"/>
            <w:tcBorders>
              <w:top w:val="single" w:color="000000" w:sz="4"/>
              <w:left w:val="single" w:color="000000" w:sz="4"/>
              <w:bottom w:val="none" w:color="000000" w:sz="4"/>
              <w:right w:val="none" w:color="000000" w:sz="4"/>
            </w:tcBorders>
            <w:shd w:fill="FFFFFF"/>
            <w:vAlign w:val="top"/>
          </w:tcPr>
          <w:p>
            <w:r>
              <w:rPr>
                <w:sz w:val="24"/>
              </w:rPr>
              <w:t>5</w:t>
            </w:r>
          </w:p>
        </w:tc>
        <w:tc>
          <w:tcPr>
            <w:tcW w:type="dxa" w:w="895"/>
            <w:tcBorders>
              <w:top w:val="single" w:color="000000" w:sz="4"/>
              <w:left w:val="single" w:color="000000" w:sz="4"/>
              <w:bottom w:val="none" w:color="000000" w:sz="4"/>
              <w:right w:val="none" w:color="000000" w:sz="4"/>
            </w:tcBorders>
            <w:shd w:fill="FFFFFF"/>
            <w:vAlign w:val="top"/>
          </w:tcPr>
          <w:p>
            <w:r>
              <w:rPr>
                <w:sz w:val="24"/>
              </w:rPr>
              <w:t>8</w:t>
            </w:r>
          </w:p>
        </w:tc>
        <w:tc>
          <w:tcPr>
            <w:tcW w:type="dxa" w:w="739"/>
            <w:tcBorders>
              <w:top w:val="single" w:color="000000" w:sz="4"/>
              <w:left w:val="single" w:color="000000" w:sz="4"/>
              <w:bottom w:val="none" w:color="000000" w:sz="4"/>
              <w:right w:val="single" w:color="000000" w:sz="4"/>
            </w:tcBorders>
            <w:shd w:fill="FFFFFF"/>
            <w:vAlign w:val="top"/>
          </w:tcPr>
          <w:p>
            <w:r>
              <w:rPr>
                <w:sz w:val="24"/>
              </w:rPr>
              <w:t>1.5</w:t>
            </w:r>
          </w:p>
        </w:tc>
      </w:tr>
      <w:tr>
        <w:tc>
          <w:tcPr>
            <w:tcW w:type="dxa" w:w="939"/>
            <w:tcBorders>
              <w:top w:val="single" w:color="000000" w:sz="4"/>
              <w:left w:val="single" w:color="000000" w:sz="4"/>
              <w:bottom w:val="none" w:color="000000" w:sz="4"/>
              <w:right w:val="none" w:color="000000" w:sz="4"/>
            </w:tcBorders>
            <w:shd w:fill="FFFFFF"/>
            <w:vAlign w:val="top"/>
          </w:tcPr>
          <w:p>
            <w:r>
              <w:rPr>
                <w:b/>
                <w:sz w:val="24"/>
              </w:rPr>
              <w:t>达到标准级别</w:t>
            </w:r>
          </w:p>
        </w:tc>
        <w:tc>
          <w:tcPr>
            <w:tcW w:type="dxa" w:w="1356"/>
            <w:tcBorders>
              <w:top w:val="single" w:color="000000" w:sz="4"/>
              <w:left w:val="single" w:color="000000" w:sz="4"/>
              <w:bottom w:val="none" w:color="000000" w:sz="4"/>
              <w:right w:val="none" w:color="000000" w:sz="4"/>
            </w:tcBorders>
            <w:shd w:fill="FFFFFF"/>
            <w:vAlign w:val="top"/>
          </w:tcPr>
          <w:p>
            <w:pPr>
              <w:jc w:val="center"/>
            </w:pPr>
          </w:p>
        </w:tc>
        <w:tc>
          <w:tcPr>
            <w:tcW w:type="dxa" w:w="1313"/>
            <w:tcBorders>
              <w:top w:val="single" w:color="000000" w:sz="4"/>
              <w:left w:val="single" w:color="000000" w:sz="4"/>
              <w:bottom w:val="none" w:color="000000" w:sz="4"/>
              <w:right w:val="none" w:color="000000" w:sz="4"/>
            </w:tcBorders>
            <w:shd w:fill="FFFFFF"/>
            <w:vAlign w:val="top"/>
          </w:tcPr>
          <w:p>
            <w:pPr>
              <w:jc w:val="center"/>
            </w:pPr>
          </w:p>
        </w:tc>
        <w:tc>
          <w:tcPr>
            <w:tcW w:type="dxa" w:w="1226"/>
            <w:tcBorders>
              <w:top w:val="single" w:color="000000" w:sz="4"/>
              <w:left w:val="single" w:color="000000" w:sz="4"/>
              <w:bottom w:val="none" w:color="000000" w:sz="4"/>
              <w:right w:val="none" w:color="000000" w:sz="4"/>
            </w:tcBorders>
            <w:shd w:fill="FFFFFF"/>
            <w:vAlign w:val="top"/>
          </w:tcPr>
          <w:p>
            <w:pPr>
              <w:jc w:val="center"/>
            </w:pPr>
          </w:p>
        </w:tc>
        <w:tc>
          <w:tcPr>
            <w:tcW w:type="dxa" w:w="817"/>
            <w:tcBorders>
              <w:top w:val="single" w:color="000000" w:sz="4"/>
              <w:left w:val="single" w:color="000000" w:sz="4"/>
              <w:bottom w:val="none" w:color="000000" w:sz="4"/>
              <w:right w:val="none" w:color="000000" w:sz="4"/>
            </w:tcBorders>
            <w:shd w:fill="FFFFFF"/>
            <w:vAlign w:val="top"/>
          </w:tcPr>
          <w:p>
            <w:pPr>
              <w:jc w:val="center"/>
            </w:pPr>
          </w:p>
        </w:tc>
        <w:tc>
          <w:tcPr>
            <w:tcW w:type="dxa" w:w="982"/>
            <w:tcBorders>
              <w:top w:val="single" w:color="000000" w:sz="4"/>
              <w:left w:val="single" w:color="000000" w:sz="4"/>
              <w:bottom w:val="none" w:color="000000" w:sz="4"/>
              <w:right w:val="none" w:color="000000" w:sz="4"/>
            </w:tcBorders>
            <w:shd w:fill="FFFFFF"/>
            <w:vAlign w:val="top"/>
          </w:tcPr>
          <w:p>
            <w:pPr>
              <w:jc w:val="center"/>
            </w:pPr>
          </w:p>
        </w:tc>
        <w:tc>
          <w:tcPr>
            <w:tcW w:type="dxa" w:w="895"/>
            <w:tcBorders>
              <w:top w:val="single" w:color="000000" w:sz="4"/>
              <w:left w:val="single" w:color="000000" w:sz="4"/>
              <w:bottom w:val="none" w:color="000000" w:sz="4"/>
              <w:right w:val="none" w:color="000000" w:sz="4"/>
            </w:tcBorders>
            <w:shd w:fill="FFFFFF"/>
            <w:vAlign w:val="top"/>
          </w:tcPr>
          <w:p>
            <w:pPr>
              <w:jc w:val="center"/>
            </w:pPr>
          </w:p>
        </w:tc>
        <w:tc>
          <w:tcPr>
            <w:tcW w:type="dxa" w:w="739"/>
            <w:tcBorders>
              <w:top w:val="single" w:color="000000" w:sz="4"/>
              <w:left w:val="single" w:color="000000" w:sz="4"/>
              <w:bottom w:val="none" w:color="000000" w:sz="4"/>
              <w:right w:val="single" w:color="000000" w:sz="4"/>
            </w:tcBorders>
            <w:shd w:fill="FFFFFF"/>
            <w:vAlign w:val="top"/>
          </w:tcPr>
          <w:p>
            <w:pPr>
              <w:jc w:val="center"/>
            </w:pPr>
          </w:p>
        </w:tc>
      </w:tr>
      <w:tr>
        <w:tc>
          <w:tcPr>
            <w:tcW w:type="dxa" w:w="939"/>
            <w:tcBorders>
              <w:top w:val="single" w:color="000000" w:sz="4"/>
              <w:left w:val="single" w:color="000000" w:sz="4"/>
              <w:bottom w:val="single" w:color="000000" w:sz="4"/>
              <w:right w:val="none" w:color="000000" w:sz="4"/>
            </w:tcBorders>
            <w:shd w:fill="FFFFFF"/>
            <w:vAlign w:val="top"/>
          </w:tcPr>
          <w:p>
            <w:r>
              <w:rPr>
                <w:b/>
                <w:sz w:val="24"/>
              </w:rPr>
              <w:t>总体</w:t>
            </w:r>
          </w:p>
          <w:p>
            <w:r>
              <w:rPr>
                <w:b/>
                <w:sz w:val="24"/>
              </w:rPr>
              <w:t>评价</w:t>
            </w:r>
          </w:p>
        </w:tc>
        <w:tc>
          <w:tcPr>
            <w:tcW w:type="dxa" w:w="1356"/>
            <w:tcBorders>
              <w:top w:val="single" w:color="000000" w:sz="4"/>
              <w:left w:val="single" w:color="000000" w:sz="4"/>
              <w:bottom w:val="single" w:color="000000" w:sz="4"/>
              <w:right w:val="none" w:color="000000" w:sz="4"/>
            </w:tcBorders>
            <w:shd w:fill="FFFFFF"/>
            <w:vAlign w:val="top"/>
          </w:tcPr>
          <w:p>
            <w:pPr>
              <w:jc w:val="center"/>
            </w:pPr>
          </w:p>
        </w:tc>
        <w:tc>
          <w:tcPr>
            <w:tcW w:type="dxa" w:w="1313"/>
            <w:tcBorders>
              <w:top w:val="single" w:color="000000" w:sz="4"/>
              <w:left w:val="single" w:color="000000" w:sz="4"/>
              <w:bottom w:val="single" w:color="000000" w:sz="4"/>
              <w:right w:val="none" w:color="000000" w:sz="4"/>
            </w:tcBorders>
            <w:shd w:fill="FFFFFF"/>
            <w:vAlign w:val="top"/>
          </w:tcPr>
          <w:p>
            <w:pPr>
              <w:jc w:val="center"/>
            </w:pPr>
          </w:p>
        </w:tc>
        <w:tc>
          <w:tcPr>
            <w:tcW w:type="dxa" w:w="1226"/>
            <w:tcBorders>
              <w:top w:val="single" w:color="000000" w:sz="4"/>
              <w:left w:val="single" w:color="000000" w:sz="4"/>
              <w:bottom w:val="single" w:color="000000" w:sz="4"/>
              <w:right w:val="none" w:color="000000" w:sz="4"/>
            </w:tcBorders>
            <w:shd w:fill="FFFFFF"/>
            <w:vAlign w:val="top"/>
          </w:tcPr>
          <w:p>
            <w:pPr>
              <w:jc w:val="center"/>
            </w:pPr>
          </w:p>
        </w:tc>
        <w:tc>
          <w:tcPr>
            <w:tcW w:type="dxa" w:w="3433"/>
            <w:gridSpan w:val="4"/>
            <w:tcBorders>
              <w:top w:val="single" w:color="000000" w:sz="4"/>
              <w:left w:val="single" w:color="000000" w:sz="4"/>
              <w:bottom w:val="single" w:color="000000" w:sz="4"/>
              <w:right w:val="single" w:color="000000" w:sz="4"/>
            </w:tcBorders>
            <w:shd w:fill="FFFFFF"/>
            <w:vAlign w:val="top"/>
          </w:tcPr>
          <w:p>
            <w:pPr>
              <w:jc w:val="center"/>
            </w:pPr>
          </w:p>
        </w:tc>
      </w:tr>
    </w:tbl>
    <w:p>
      <w:r>
        <w:rPr/>
        <w:t xml:space="preserve"> </w:t>
      </w:r>
    </w:p>
    <w:p>
      <w:r>
        <w:rPr>
          <w:sz w:val="21"/>
        </w:rPr>
        <w:t>统计人：</w:t>
      </w:r>
      <w:r>
        <w:rPr>
          <w:sz w:val="21"/>
        </w:rPr>
        <w:t>统计日期：</w:t>
      </w:r>
      <w:r>
        <w:rPr>
          <w:b/>
        </w:rPr>
        <w:t xml:space="preserve"> </w:t>
      </w:r>
      <w:r>
        <w:rPr>
          <w:sz w:val="21"/>
        </w:rPr>
        <w:t>年</w:t>
      </w:r>
      <w:r>
        <w:rPr>
          <w:sz w:val="21"/>
        </w:rPr>
        <w:t xml:space="preserve"> </w:t>
      </w:r>
      <w:r>
        <w:rPr>
          <w:sz w:val="21"/>
        </w:rPr>
        <w:t>月</w:t>
      </w:r>
      <w:r>
        <w:rPr>
          <w:sz w:val="21"/>
        </w:rPr>
        <w:t xml:space="preserve"> </w:t>
      </w:r>
      <w:r>
        <w:rPr>
          <w:sz w:val="21"/>
        </w:rPr>
        <w:t>日</w:t>
      </w:r>
    </w:p>
    <w:p/>
    <w:p>
      <w:pPr>
        <w:jc w:val="both"/>
      </w:pPr>
      <w:r>
        <w:rPr>
          <w:sz w:val="30"/>
        </w:rPr>
        <w:t>附件三：</w:t>
      </w:r>
    </w:p>
    <w:p>
      <w:r>
        <w:rPr>
          <w:b/>
        </w:rPr>
        <w:t xml:space="preserve">      </w:t>
      </w:r>
      <w:r>
        <w:rPr>
          <w:b/>
          <w:sz w:val="24"/>
        </w:rPr>
        <w:t>年高要建成区公共外环境病媒生物防制服务项目专家考评计分表</w:t>
      </w:r>
    </w:p>
    <w:p>
      <w:pPr>
        <w:jc w:val="left"/>
      </w:pPr>
      <w:r>
        <w:rPr>
          <w:sz w:val="21"/>
        </w:rPr>
        <w:t>考核对象：</w:t>
      </w:r>
      <w:r>
        <w:rPr/>
        <w:t xml:space="preserve">                       </w:t>
      </w:r>
      <w:r>
        <w:rPr>
          <w:sz w:val="21"/>
        </w:rPr>
        <w:t>本轮服务时间</w:t>
      </w:r>
      <w:r>
        <w:rPr/>
        <w:t xml:space="preserve">   </w:t>
      </w:r>
      <w:r>
        <w:rPr>
          <w:sz w:val="21"/>
        </w:rPr>
        <w:t>年</w:t>
      </w:r>
      <w:r>
        <w:rPr/>
        <w:t xml:space="preserve">  </w:t>
      </w:r>
      <w:r>
        <w:rPr>
          <w:sz w:val="21"/>
        </w:rPr>
        <w:t>月</w:t>
      </w:r>
      <w:r>
        <w:rPr/>
        <w:t xml:space="preserve"> </w:t>
      </w:r>
      <w:r>
        <w:rPr>
          <w:sz w:val="21"/>
        </w:rPr>
        <w:t>日</w:t>
      </w:r>
      <w:r>
        <w:rPr>
          <w:sz w:val="21"/>
        </w:rPr>
        <w:t>-</w:t>
      </w:r>
      <w:r>
        <w:rPr>
          <w:sz w:val="21"/>
        </w:rPr>
        <w:t>月</w:t>
      </w:r>
      <w:r>
        <w:rPr/>
        <w:t xml:space="preserve"> </w:t>
      </w:r>
      <w:r>
        <w:rPr>
          <w:sz w:val="21"/>
        </w:rPr>
        <w:t>日</w:t>
      </w:r>
    </w:p>
    <w:tbl>
      <w:tblPr>
        <w:tblW w:w="0" w:type="auto"/>
        <w:tblBorders>
          <w:top w:val="none" w:color="000000" w:sz="4"/>
          <w:left w:val="none" w:color="000000" w:sz="4"/>
          <w:bottom w:val="none" w:color="000000" w:sz="4"/>
          <w:right w:val="none" w:color="000000" w:sz="4"/>
          <w:insideH w:val="none"/>
          <w:insideV w:val="none"/>
        </w:tblBorders>
      </w:tblPr>
      <w:tblGrid>
        <w:gridCol w:w="796"/>
        <w:gridCol w:w="410"/>
        <w:gridCol w:w="5311"/>
        <w:gridCol w:w="434"/>
        <w:gridCol w:w="845"/>
        <w:gridCol w:w="470"/>
      </w:tblGrid>
      <w:tr>
        <w:tc>
          <w:tcPr>
            <w:tcW w:type="dxa" w:w="796"/>
            <w:tcBorders>
              <w:top w:val="single" w:color="000000" w:sz="4"/>
              <w:left w:val="single" w:color="000000" w:sz="4"/>
              <w:bottom w:val="single" w:color="000000" w:sz="4"/>
              <w:right w:val="none" w:color="000000" w:sz="4"/>
            </w:tcBorders>
            <w:shd w:fill="FFFFFF"/>
            <w:vAlign w:val="top"/>
          </w:tcPr>
          <w:p>
            <w:r>
              <w:rPr>
                <w:b/>
                <w:sz w:val="20"/>
              </w:rPr>
              <w:t>评价项目</w:t>
            </w:r>
          </w:p>
        </w:tc>
        <w:tc>
          <w:tcPr>
            <w:tcW w:type="dxa" w:w="410"/>
            <w:tcBorders>
              <w:top w:val="single" w:color="000000" w:sz="4"/>
              <w:left w:val="single" w:color="000000" w:sz="4"/>
              <w:bottom w:val="single" w:color="000000" w:sz="4"/>
              <w:right w:val="none" w:color="000000" w:sz="4"/>
            </w:tcBorders>
            <w:shd w:fill="FFFFFF"/>
            <w:vAlign w:val="top"/>
          </w:tcPr>
          <w:p>
            <w:r>
              <w:rPr>
                <w:b/>
                <w:sz w:val="20"/>
              </w:rPr>
              <w:t>标准得分</w:t>
            </w:r>
          </w:p>
        </w:tc>
        <w:tc>
          <w:tcPr>
            <w:tcW w:type="dxa" w:w="5311"/>
            <w:tcBorders>
              <w:top w:val="single" w:color="000000" w:sz="4"/>
              <w:left w:val="single" w:color="000000" w:sz="4"/>
              <w:bottom w:val="single" w:color="000000" w:sz="4"/>
              <w:right w:val="none" w:color="000000" w:sz="4"/>
            </w:tcBorders>
            <w:shd w:fill="FFFFFF"/>
            <w:vAlign w:val="top"/>
          </w:tcPr>
          <w:p>
            <w:r>
              <w:rPr>
                <w:b/>
                <w:sz w:val="20"/>
              </w:rPr>
              <w:t>评分内容及计分办法</w:t>
            </w:r>
          </w:p>
        </w:tc>
        <w:tc>
          <w:tcPr>
            <w:tcW w:type="dxa" w:w="434"/>
            <w:tcBorders>
              <w:top w:val="single" w:color="000000" w:sz="4"/>
              <w:left w:val="single" w:color="000000" w:sz="4"/>
              <w:bottom w:val="single" w:color="000000" w:sz="4"/>
              <w:right w:val="none" w:color="000000" w:sz="4"/>
            </w:tcBorders>
            <w:shd w:fill="FFFFFF"/>
            <w:vAlign w:val="top"/>
          </w:tcPr>
          <w:p>
            <w:pPr>
              <w:ind w:firstLine="145"/>
            </w:pPr>
            <w:r>
              <w:rPr>
                <w:b/>
                <w:sz w:val="20"/>
              </w:rPr>
              <w:t>实际得分</w:t>
            </w:r>
          </w:p>
        </w:tc>
        <w:tc>
          <w:tcPr>
            <w:tcW w:type="dxa" w:w="845"/>
            <w:tcBorders>
              <w:top w:val="single" w:color="000000" w:sz="4"/>
              <w:left w:val="single" w:color="000000" w:sz="4"/>
              <w:bottom w:val="single" w:color="000000" w:sz="4"/>
              <w:right w:val="none" w:color="000000" w:sz="4"/>
            </w:tcBorders>
            <w:shd w:fill="FFFFFF"/>
            <w:vAlign w:val="top"/>
          </w:tcPr>
          <w:p>
            <w:pPr>
              <w:ind w:firstLine="145"/>
            </w:pPr>
            <w:r>
              <w:rPr>
                <w:b/>
                <w:sz w:val="20"/>
              </w:rPr>
              <w:t>举证材料</w:t>
            </w:r>
          </w:p>
        </w:tc>
        <w:tc>
          <w:tcPr>
            <w:tcW w:type="dxa" w:w="470"/>
            <w:tcBorders>
              <w:top w:val="single" w:color="000000" w:sz="4"/>
              <w:left w:val="single" w:color="000000" w:sz="4"/>
              <w:bottom w:val="single" w:color="000000" w:sz="4"/>
              <w:right w:val="single" w:color="000000" w:sz="4"/>
            </w:tcBorders>
            <w:shd w:fill="FFFFFF"/>
            <w:vAlign w:val="top"/>
          </w:tcPr>
          <w:p>
            <w:r>
              <w:rPr>
                <w:b/>
                <w:sz w:val="20"/>
              </w:rPr>
              <w:t>扣分说明</w:t>
            </w:r>
          </w:p>
        </w:tc>
      </w:tr>
      <w:tr>
        <w:tc>
          <w:tcPr>
            <w:tcW w:type="dxa" w:w="796"/>
            <w:vMerge w:val="restart"/>
            <w:tcBorders>
              <w:top w:val="none" w:color="000000" w:sz="4"/>
              <w:left w:val="single" w:color="000000" w:sz="4"/>
              <w:bottom w:val="none" w:color="000000" w:sz="4"/>
              <w:right w:val="none" w:color="000000" w:sz="4"/>
            </w:tcBorders>
            <w:shd w:fill="FFFFFF"/>
            <w:vAlign w:val="top"/>
          </w:tcPr>
          <w:p>
            <w:pPr>
              <w:ind w:firstLine="208"/>
            </w:pPr>
            <w:r>
              <w:rPr>
                <w:sz w:val="20"/>
              </w:rPr>
              <w:t>1、日常工作</w:t>
            </w:r>
          </w:p>
          <w:p>
            <w:pPr>
              <w:ind w:firstLine="208"/>
            </w:pPr>
            <w:r>
              <w:rPr>
                <w:sz w:val="20"/>
              </w:rPr>
              <w:t>（</w:t>
            </w:r>
            <w:r>
              <w:rPr>
                <w:sz w:val="20"/>
              </w:rPr>
              <w:t>40%）</w:t>
            </w:r>
          </w:p>
          <w:p>
            <w:pPr>
              <w:ind w:firstLine="208"/>
            </w:pPr>
          </w:p>
        </w:tc>
        <w:tc>
          <w:tcPr>
            <w:tcW w:type="dxa" w:w="410"/>
            <w:tcBorders>
              <w:top w:val="none" w:color="000000" w:sz="4"/>
              <w:left w:val="single" w:color="000000" w:sz="4"/>
              <w:bottom w:val="none" w:color="000000" w:sz="4"/>
              <w:right w:val="none" w:color="000000" w:sz="4"/>
            </w:tcBorders>
            <w:shd w:fill="FFFFFF"/>
            <w:vAlign w:val="top"/>
          </w:tcPr>
          <w:p>
            <w:pPr>
              <w:jc w:val="center"/>
            </w:pPr>
            <w:r>
              <w:rPr>
                <w:sz w:val="21"/>
              </w:rPr>
              <w:t>4</w:t>
            </w:r>
          </w:p>
        </w:tc>
        <w:tc>
          <w:tcPr>
            <w:tcW w:type="dxa" w:w="5311"/>
            <w:tcBorders>
              <w:top w:val="none" w:color="000000" w:sz="4"/>
              <w:left w:val="single" w:color="000000" w:sz="4"/>
              <w:bottom w:val="none" w:color="000000" w:sz="4"/>
              <w:right w:val="none" w:color="000000" w:sz="4"/>
            </w:tcBorders>
            <w:shd w:fill="FFFFFF"/>
            <w:vAlign w:val="top"/>
          </w:tcPr>
          <w:p>
            <w:pPr>
              <w:jc w:val="both"/>
            </w:pPr>
            <w:r>
              <w:rPr>
                <w:sz w:val="20"/>
              </w:rPr>
              <w:t>每次开展服务前，按要求开展本底调查，并提交本底调查资料，缺</w:t>
            </w:r>
            <w:r>
              <w:rPr>
                <w:sz w:val="20"/>
              </w:rPr>
              <w:t>1</w:t>
            </w:r>
            <w:r>
              <w:rPr>
                <w:sz w:val="20"/>
              </w:rPr>
              <w:t>次扣</w:t>
            </w:r>
            <w:r>
              <w:rPr>
                <w:sz w:val="20"/>
              </w:rPr>
              <w:t>2</w:t>
            </w:r>
            <w:r>
              <w:rPr>
                <w:sz w:val="20"/>
              </w:rPr>
              <w:t>分。</w:t>
            </w:r>
          </w:p>
        </w:tc>
        <w:tc>
          <w:tcPr>
            <w:tcW w:type="dxa" w:w="434"/>
            <w:tcBorders>
              <w:top w:val="none" w:color="000000" w:sz="4"/>
              <w:left w:val="single" w:color="000000" w:sz="4"/>
              <w:bottom w:val="none" w:color="000000" w:sz="4"/>
              <w:right w:val="none" w:color="000000" w:sz="4"/>
            </w:tcBorders>
            <w:shd w:fill="FFFFFF"/>
            <w:vAlign w:val="top"/>
          </w:tcPr>
          <w:p>
            <w:pPr>
              <w:jc w:val="both"/>
            </w:pPr>
          </w:p>
        </w:tc>
        <w:tc>
          <w:tcPr>
            <w:tcW w:type="dxa" w:w="845"/>
            <w:tcBorders>
              <w:top w:val="none" w:color="000000" w:sz="4"/>
              <w:left w:val="single" w:color="000000" w:sz="4"/>
              <w:bottom w:val="none" w:color="000000" w:sz="4"/>
              <w:right w:val="none" w:color="000000" w:sz="4"/>
            </w:tcBorders>
            <w:shd w:fill="FFFFFF"/>
            <w:vAlign w:val="top"/>
          </w:tcPr>
          <w:p>
            <w:pPr>
              <w:jc w:val="both"/>
            </w:pPr>
            <w:r>
              <w:rPr>
                <w:sz w:val="20"/>
              </w:rPr>
              <w:t>查看记录</w:t>
            </w:r>
          </w:p>
        </w:tc>
        <w:tc>
          <w:tcPr>
            <w:tcW w:type="dxa" w:w="470"/>
            <w:tcBorders>
              <w:top w:val="none" w:color="000000" w:sz="4"/>
              <w:left w:val="single" w:color="000000" w:sz="4"/>
              <w:bottom w:val="none" w:color="000000" w:sz="4"/>
              <w:right w:val="single" w:color="000000" w:sz="4"/>
            </w:tcBorders>
            <w:shd w:fill="FFFFFF"/>
            <w:vAlign w:val="top"/>
          </w:tcPr>
          <w:p>
            <w:pPr>
              <w:jc w:val="both"/>
            </w:pPr>
          </w:p>
        </w:tc>
      </w:tr>
      <w:tr>
        <w:tc>
          <w:tcPr>
            <w:tcW w:type="dxa" w:w="796"/>
            <w:vMerge/>
            <w:tcBorders>
              <w:top w:val="none" w:color="000000" w:sz="4"/>
              <w:left w:val="single" w:color="000000" w:sz="4"/>
              <w:bottom w:val="none" w:color="000000" w:sz="4"/>
              <w:right w:val="none" w:color="000000" w:sz="4"/>
            </w:tcBorders>
          </w:tcPr>
          <w:p/>
        </w:tc>
        <w:tc>
          <w:tcPr>
            <w:tcW w:type="dxa" w:w="410"/>
            <w:tcBorders>
              <w:top w:val="single" w:color="000000" w:sz="4"/>
              <w:left w:val="single" w:color="000000" w:sz="4"/>
              <w:bottom w:val="none" w:color="000000" w:sz="4"/>
              <w:right w:val="none" w:color="000000" w:sz="4"/>
            </w:tcBorders>
            <w:shd w:fill="FFFFFF"/>
            <w:vAlign w:val="top"/>
          </w:tcPr>
          <w:p>
            <w:pPr>
              <w:jc w:val="center"/>
            </w:pPr>
            <w:r>
              <w:rPr>
                <w:sz w:val="21"/>
              </w:rPr>
              <w:t>2</w:t>
            </w:r>
          </w:p>
        </w:tc>
        <w:tc>
          <w:tcPr>
            <w:tcW w:type="dxa" w:w="5311"/>
            <w:tcBorders>
              <w:top w:val="single" w:color="000000" w:sz="4"/>
              <w:left w:val="single" w:color="000000" w:sz="4"/>
              <w:bottom w:val="none" w:color="000000" w:sz="4"/>
              <w:right w:val="none" w:color="000000" w:sz="4"/>
            </w:tcBorders>
            <w:shd w:fill="FFFFFF"/>
            <w:vAlign w:val="top"/>
          </w:tcPr>
          <w:p>
            <w:pPr>
              <w:jc w:val="both"/>
            </w:pPr>
            <w:r>
              <w:rPr>
                <w:sz w:val="20"/>
              </w:rPr>
              <w:t>每次开展服务前提交服务方案，</w:t>
            </w:r>
            <w:r>
              <w:rPr>
                <w:sz w:val="20"/>
              </w:rPr>
              <w:t>不提出交不得分</w:t>
            </w:r>
            <w:r>
              <w:rPr>
                <w:sz w:val="20"/>
              </w:rPr>
              <w:t>。</w:t>
            </w:r>
          </w:p>
        </w:tc>
        <w:tc>
          <w:tcPr>
            <w:tcW w:type="dxa" w:w="434"/>
            <w:tcBorders>
              <w:top w:val="single" w:color="000000" w:sz="4"/>
              <w:left w:val="single" w:color="000000" w:sz="4"/>
              <w:bottom w:val="none" w:color="000000" w:sz="4"/>
              <w:right w:val="none" w:color="000000" w:sz="4"/>
            </w:tcBorders>
            <w:shd w:fill="FFFFFF"/>
            <w:vAlign w:val="top"/>
          </w:tcPr>
          <w:p>
            <w:pPr>
              <w:jc w:val="both"/>
            </w:pPr>
          </w:p>
        </w:tc>
        <w:tc>
          <w:tcPr>
            <w:tcW w:type="dxa" w:w="845"/>
            <w:tcBorders>
              <w:top w:val="single" w:color="000000" w:sz="4"/>
              <w:left w:val="single" w:color="000000" w:sz="4"/>
              <w:bottom w:val="none" w:color="000000" w:sz="4"/>
              <w:right w:val="none" w:color="000000" w:sz="4"/>
            </w:tcBorders>
            <w:shd w:fill="FFFFFF"/>
            <w:vAlign w:val="top"/>
          </w:tcPr>
          <w:p>
            <w:pPr>
              <w:jc w:val="both"/>
            </w:pPr>
            <w:r>
              <w:rPr>
                <w:sz w:val="20"/>
              </w:rPr>
              <w:t>查看记录</w:t>
            </w:r>
          </w:p>
        </w:tc>
        <w:tc>
          <w:tcPr>
            <w:tcW w:type="dxa" w:w="470"/>
            <w:tcBorders>
              <w:top w:val="single" w:color="000000" w:sz="4"/>
              <w:left w:val="single" w:color="000000" w:sz="4"/>
              <w:bottom w:val="none" w:color="000000" w:sz="4"/>
              <w:right w:val="single" w:color="000000" w:sz="4"/>
            </w:tcBorders>
            <w:shd w:fill="FFFFFF"/>
            <w:vAlign w:val="top"/>
          </w:tcPr>
          <w:p>
            <w:pPr>
              <w:jc w:val="both"/>
            </w:pPr>
          </w:p>
        </w:tc>
      </w:tr>
      <w:tr>
        <w:tc>
          <w:tcPr>
            <w:tcW w:type="dxa" w:w="796"/>
            <w:vMerge/>
            <w:tcBorders>
              <w:top w:val="none" w:color="000000" w:sz="4"/>
              <w:left w:val="single" w:color="000000" w:sz="4"/>
              <w:bottom w:val="none" w:color="000000" w:sz="4"/>
              <w:right w:val="none" w:color="000000" w:sz="4"/>
            </w:tcBorders>
          </w:tcPr>
          <w:p/>
        </w:tc>
        <w:tc>
          <w:tcPr>
            <w:tcW w:type="dxa" w:w="410"/>
            <w:tcBorders>
              <w:top w:val="single" w:color="000000" w:sz="4"/>
              <w:left w:val="single" w:color="000000" w:sz="4"/>
              <w:bottom w:val="none" w:color="000000" w:sz="4"/>
              <w:right w:val="none" w:color="000000" w:sz="4"/>
            </w:tcBorders>
            <w:shd w:fill="FFFFFF"/>
            <w:vAlign w:val="top"/>
          </w:tcPr>
          <w:p>
            <w:pPr>
              <w:jc w:val="center"/>
            </w:pPr>
            <w:r>
              <w:rPr>
                <w:sz w:val="21"/>
              </w:rPr>
              <w:t>3</w:t>
            </w:r>
          </w:p>
        </w:tc>
        <w:tc>
          <w:tcPr>
            <w:tcW w:type="dxa" w:w="5311"/>
            <w:tcBorders>
              <w:top w:val="single" w:color="000000" w:sz="4"/>
              <w:left w:val="single" w:color="000000" w:sz="4"/>
              <w:bottom w:val="none" w:color="000000" w:sz="4"/>
              <w:right w:val="none" w:color="000000" w:sz="4"/>
            </w:tcBorders>
            <w:shd w:fill="FFFFFF"/>
            <w:vAlign w:val="top"/>
          </w:tcPr>
          <w:p>
            <w:pPr>
              <w:jc w:val="both"/>
            </w:pPr>
            <w:r>
              <w:rPr>
                <w:sz w:val="20"/>
              </w:rPr>
              <w:t>每次服务结束后须提交完整的药物使用表及施工记录表，缺</w:t>
            </w:r>
            <w:r>
              <w:rPr>
                <w:sz w:val="20"/>
              </w:rPr>
              <w:t>1</w:t>
            </w:r>
            <w:r>
              <w:rPr>
                <w:sz w:val="20"/>
              </w:rPr>
              <w:t>次扣</w:t>
            </w:r>
            <w:r>
              <w:rPr>
                <w:sz w:val="20"/>
              </w:rPr>
              <w:t>1</w:t>
            </w:r>
            <w:r>
              <w:rPr>
                <w:sz w:val="20"/>
              </w:rPr>
              <w:t>分。</w:t>
            </w:r>
          </w:p>
        </w:tc>
        <w:tc>
          <w:tcPr>
            <w:tcW w:type="dxa" w:w="434"/>
            <w:tcBorders>
              <w:top w:val="single" w:color="000000" w:sz="4"/>
              <w:left w:val="single" w:color="000000" w:sz="4"/>
              <w:bottom w:val="none" w:color="000000" w:sz="4"/>
              <w:right w:val="none" w:color="000000" w:sz="4"/>
            </w:tcBorders>
            <w:shd w:fill="FFFFFF"/>
            <w:vAlign w:val="top"/>
          </w:tcPr>
          <w:p>
            <w:pPr>
              <w:jc w:val="both"/>
            </w:pPr>
          </w:p>
        </w:tc>
        <w:tc>
          <w:tcPr>
            <w:tcW w:type="dxa" w:w="845"/>
            <w:tcBorders>
              <w:top w:val="single" w:color="000000" w:sz="4"/>
              <w:left w:val="single" w:color="000000" w:sz="4"/>
              <w:bottom w:val="none" w:color="000000" w:sz="4"/>
              <w:right w:val="none" w:color="000000" w:sz="4"/>
            </w:tcBorders>
            <w:shd w:fill="FFFFFF"/>
            <w:vAlign w:val="top"/>
          </w:tcPr>
          <w:p>
            <w:pPr>
              <w:jc w:val="both"/>
            </w:pPr>
            <w:r>
              <w:rPr>
                <w:sz w:val="20"/>
              </w:rPr>
              <w:t>査看记录</w:t>
            </w:r>
          </w:p>
        </w:tc>
        <w:tc>
          <w:tcPr>
            <w:tcW w:type="dxa" w:w="470"/>
            <w:tcBorders>
              <w:top w:val="single" w:color="000000" w:sz="4"/>
              <w:left w:val="single" w:color="000000" w:sz="4"/>
              <w:bottom w:val="none" w:color="000000" w:sz="4"/>
              <w:right w:val="single" w:color="000000" w:sz="4"/>
            </w:tcBorders>
            <w:shd w:fill="FFFFFF"/>
            <w:vAlign w:val="top"/>
          </w:tcPr>
          <w:p>
            <w:pPr>
              <w:jc w:val="both"/>
            </w:pPr>
          </w:p>
        </w:tc>
      </w:tr>
      <w:tr>
        <w:tc>
          <w:tcPr>
            <w:tcW w:type="dxa" w:w="796"/>
            <w:vMerge/>
            <w:tcBorders>
              <w:top w:val="none" w:color="000000" w:sz="4"/>
              <w:left w:val="single" w:color="000000" w:sz="4"/>
              <w:bottom w:val="none" w:color="000000" w:sz="4"/>
              <w:right w:val="none" w:color="000000" w:sz="4"/>
            </w:tcBorders>
          </w:tcPr>
          <w:p/>
        </w:tc>
        <w:tc>
          <w:tcPr>
            <w:tcW w:type="dxa" w:w="410"/>
            <w:tcBorders>
              <w:top w:val="single" w:color="000000" w:sz="4"/>
              <w:left w:val="single" w:color="000000" w:sz="4"/>
              <w:bottom w:val="none" w:color="000000" w:sz="4"/>
              <w:right w:val="none" w:color="000000" w:sz="4"/>
            </w:tcBorders>
            <w:shd w:fill="FFFFFF"/>
            <w:vAlign w:val="top"/>
          </w:tcPr>
          <w:p>
            <w:pPr>
              <w:jc w:val="center"/>
            </w:pPr>
            <w:r>
              <w:rPr>
                <w:sz w:val="21"/>
              </w:rPr>
              <w:t>3</w:t>
            </w:r>
          </w:p>
        </w:tc>
        <w:tc>
          <w:tcPr>
            <w:tcW w:type="dxa" w:w="5311"/>
            <w:tcBorders>
              <w:top w:val="single" w:color="000000" w:sz="4"/>
              <w:left w:val="single" w:color="000000" w:sz="4"/>
              <w:bottom w:val="none" w:color="000000" w:sz="4"/>
              <w:right w:val="none" w:color="000000" w:sz="4"/>
            </w:tcBorders>
            <w:shd w:fill="FFFFFF"/>
            <w:vAlign w:val="top"/>
          </w:tcPr>
          <w:p>
            <w:pPr>
              <w:jc w:val="both"/>
            </w:pPr>
            <w:r>
              <w:rPr>
                <w:sz w:val="20"/>
              </w:rPr>
              <w:t>每次</w:t>
            </w:r>
            <w:r>
              <w:rPr>
                <w:sz w:val="20"/>
              </w:rPr>
              <w:t>服务后提供病媒生物密度监测报告</w:t>
            </w:r>
          </w:p>
        </w:tc>
        <w:tc>
          <w:tcPr>
            <w:tcW w:type="dxa" w:w="434"/>
            <w:tcBorders>
              <w:top w:val="single" w:color="000000" w:sz="4"/>
              <w:left w:val="single" w:color="000000" w:sz="4"/>
              <w:bottom w:val="none" w:color="000000" w:sz="4"/>
              <w:right w:val="none" w:color="000000" w:sz="4"/>
            </w:tcBorders>
            <w:shd w:fill="FFFFFF"/>
            <w:vAlign w:val="top"/>
          </w:tcPr>
          <w:p>
            <w:pPr>
              <w:jc w:val="both"/>
            </w:pPr>
          </w:p>
        </w:tc>
        <w:tc>
          <w:tcPr>
            <w:tcW w:type="dxa" w:w="845"/>
            <w:tcBorders>
              <w:top w:val="single" w:color="000000" w:sz="4"/>
              <w:left w:val="single" w:color="000000" w:sz="4"/>
              <w:bottom w:val="none" w:color="000000" w:sz="4"/>
              <w:right w:val="none" w:color="000000" w:sz="4"/>
            </w:tcBorders>
            <w:shd w:fill="FFFFFF"/>
            <w:vAlign w:val="top"/>
          </w:tcPr>
          <w:p>
            <w:pPr>
              <w:jc w:val="both"/>
            </w:pPr>
            <w:r>
              <w:rPr>
                <w:sz w:val="20"/>
              </w:rPr>
              <w:t>査看记录</w:t>
            </w:r>
          </w:p>
        </w:tc>
        <w:tc>
          <w:tcPr>
            <w:tcW w:type="dxa" w:w="470"/>
            <w:tcBorders>
              <w:top w:val="single" w:color="000000" w:sz="4"/>
              <w:left w:val="single" w:color="000000" w:sz="4"/>
              <w:bottom w:val="none" w:color="000000" w:sz="4"/>
              <w:right w:val="single" w:color="000000" w:sz="4"/>
            </w:tcBorders>
            <w:shd w:fill="FFFFFF"/>
            <w:vAlign w:val="top"/>
          </w:tcPr>
          <w:p>
            <w:pPr>
              <w:jc w:val="both"/>
            </w:pPr>
          </w:p>
        </w:tc>
      </w:tr>
      <w:tr>
        <w:tc>
          <w:tcPr>
            <w:tcW w:type="dxa" w:w="796"/>
            <w:vMerge/>
            <w:tcBorders>
              <w:top w:val="none" w:color="000000" w:sz="4"/>
              <w:left w:val="single" w:color="000000" w:sz="4"/>
              <w:bottom w:val="none" w:color="000000" w:sz="4"/>
              <w:right w:val="none" w:color="000000" w:sz="4"/>
            </w:tcBorders>
          </w:tcPr>
          <w:p/>
        </w:tc>
        <w:tc>
          <w:tcPr>
            <w:tcW w:type="dxa" w:w="410"/>
            <w:tcBorders>
              <w:top w:val="single" w:color="000000" w:sz="4"/>
              <w:left w:val="single" w:color="000000" w:sz="4"/>
              <w:bottom w:val="none" w:color="000000" w:sz="4"/>
              <w:right w:val="none" w:color="000000" w:sz="4"/>
            </w:tcBorders>
            <w:shd w:fill="FFFFFF"/>
            <w:vAlign w:val="top"/>
          </w:tcPr>
          <w:p>
            <w:pPr>
              <w:jc w:val="center"/>
            </w:pPr>
            <w:r>
              <w:rPr>
                <w:sz w:val="21"/>
              </w:rPr>
              <w:t>4</w:t>
            </w:r>
          </w:p>
        </w:tc>
        <w:tc>
          <w:tcPr>
            <w:tcW w:type="dxa" w:w="5311"/>
            <w:tcBorders>
              <w:top w:val="single" w:color="000000" w:sz="4"/>
              <w:left w:val="single" w:color="000000" w:sz="4"/>
              <w:bottom w:val="none" w:color="000000" w:sz="4"/>
              <w:right w:val="none" w:color="000000" w:sz="4"/>
            </w:tcBorders>
            <w:shd w:fill="FFFFFF"/>
            <w:vAlign w:val="top"/>
          </w:tcPr>
          <w:p>
            <w:pPr>
              <w:jc w:val="both"/>
            </w:pPr>
            <w:r>
              <w:rPr>
                <w:sz w:val="20"/>
              </w:rPr>
              <w:t>下水道进水口吊放浸药木塞，大中型水体投药灭蚊幼</w:t>
            </w:r>
            <w:r>
              <w:rPr>
                <w:sz w:val="20"/>
              </w:rPr>
              <w:t>、</w:t>
            </w:r>
            <w:r>
              <w:rPr>
                <w:sz w:val="20"/>
              </w:rPr>
              <w:t>不得漏放；发现漏放的要及时补放。如不按要求补放的每次扣</w:t>
            </w:r>
            <w:r>
              <w:rPr>
                <w:sz w:val="20"/>
              </w:rPr>
              <w:t>1</w:t>
            </w:r>
            <w:r>
              <w:rPr>
                <w:sz w:val="20"/>
              </w:rPr>
              <w:t>分</w:t>
            </w:r>
            <w:r>
              <w:rPr>
                <w:sz w:val="20"/>
              </w:rPr>
              <w:t>。</w:t>
            </w:r>
          </w:p>
        </w:tc>
        <w:tc>
          <w:tcPr>
            <w:tcW w:type="dxa" w:w="434"/>
            <w:tcBorders>
              <w:top w:val="single" w:color="000000" w:sz="4"/>
              <w:left w:val="single" w:color="000000" w:sz="4"/>
              <w:bottom w:val="none" w:color="000000" w:sz="4"/>
              <w:right w:val="none" w:color="000000" w:sz="4"/>
            </w:tcBorders>
            <w:shd w:fill="FFFFFF"/>
            <w:vAlign w:val="top"/>
          </w:tcPr>
          <w:p>
            <w:pPr>
              <w:jc w:val="both"/>
            </w:pPr>
          </w:p>
        </w:tc>
        <w:tc>
          <w:tcPr>
            <w:tcW w:type="dxa" w:w="845"/>
            <w:tcBorders>
              <w:top w:val="single" w:color="000000" w:sz="4"/>
              <w:left w:val="single" w:color="000000" w:sz="4"/>
              <w:bottom w:val="none" w:color="000000" w:sz="4"/>
              <w:right w:val="none" w:color="000000" w:sz="4"/>
            </w:tcBorders>
            <w:shd w:fill="FFFFFF"/>
            <w:vAlign w:val="top"/>
          </w:tcPr>
          <w:p>
            <w:pPr>
              <w:jc w:val="both"/>
            </w:pPr>
            <w:r>
              <w:rPr>
                <w:sz w:val="20"/>
              </w:rPr>
              <w:t>现场抽检</w:t>
            </w:r>
          </w:p>
        </w:tc>
        <w:tc>
          <w:tcPr>
            <w:tcW w:type="dxa" w:w="470"/>
            <w:tcBorders>
              <w:top w:val="single" w:color="000000" w:sz="4"/>
              <w:left w:val="single" w:color="000000" w:sz="4"/>
              <w:bottom w:val="none" w:color="000000" w:sz="4"/>
              <w:right w:val="single" w:color="000000" w:sz="4"/>
            </w:tcBorders>
            <w:shd w:fill="FFFFFF"/>
            <w:vAlign w:val="top"/>
          </w:tcPr>
          <w:p>
            <w:pPr>
              <w:jc w:val="both"/>
            </w:pPr>
          </w:p>
        </w:tc>
      </w:tr>
      <w:tr>
        <w:tc>
          <w:tcPr>
            <w:tcW w:type="dxa" w:w="796"/>
            <w:vMerge/>
            <w:tcBorders>
              <w:top w:val="none" w:color="000000" w:sz="4"/>
              <w:left w:val="single" w:color="000000" w:sz="4"/>
              <w:bottom w:val="none" w:color="000000" w:sz="4"/>
              <w:right w:val="none" w:color="000000" w:sz="4"/>
            </w:tcBorders>
          </w:tcPr>
          <w:p/>
        </w:tc>
        <w:tc>
          <w:tcPr>
            <w:tcW w:type="dxa" w:w="410"/>
            <w:tcBorders>
              <w:top w:val="single" w:color="000000" w:sz="4"/>
              <w:left w:val="single" w:color="000000" w:sz="4"/>
              <w:bottom w:val="none" w:color="000000" w:sz="4"/>
              <w:right w:val="none" w:color="000000" w:sz="4"/>
            </w:tcBorders>
            <w:shd w:fill="FFFFFF"/>
            <w:vAlign w:val="top"/>
          </w:tcPr>
          <w:p>
            <w:pPr>
              <w:jc w:val="center"/>
            </w:pPr>
            <w:r>
              <w:rPr>
                <w:sz w:val="21"/>
              </w:rPr>
              <w:t>4</w:t>
            </w:r>
          </w:p>
        </w:tc>
        <w:tc>
          <w:tcPr>
            <w:tcW w:type="dxa" w:w="5311"/>
            <w:tcBorders>
              <w:top w:val="single" w:color="000000" w:sz="4"/>
              <w:left w:val="single" w:color="000000" w:sz="4"/>
              <w:bottom w:val="none" w:color="000000" w:sz="4"/>
              <w:right w:val="none" w:color="000000" w:sz="4"/>
            </w:tcBorders>
            <w:shd w:fill="FFFFFF"/>
            <w:vAlign w:val="top"/>
          </w:tcPr>
          <w:p>
            <w:pPr>
              <w:jc w:val="both"/>
            </w:pPr>
            <w:r>
              <w:rPr>
                <w:sz w:val="20"/>
              </w:rPr>
              <w:t>每次投药灭鼠必须进行</w:t>
            </w:r>
            <w:r>
              <w:rPr>
                <w:sz w:val="20"/>
              </w:rPr>
              <w:t>2</w:t>
            </w:r>
            <w:r>
              <w:rPr>
                <w:sz w:val="20"/>
              </w:rPr>
              <w:t>轮以上补投。最后一次补投后要及时堵塞鼠洞。如发现漏投、漏补现象未按要求补投的，每发现</w:t>
            </w:r>
            <w:r>
              <w:rPr>
                <w:sz w:val="20"/>
              </w:rPr>
              <w:t>1</w:t>
            </w:r>
            <w:r>
              <w:rPr>
                <w:sz w:val="20"/>
              </w:rPr>
              <w:t>次扣</w:t>
            </w:r>
            <w:r>
              <w:rPr>
                <w:sz w:val="20"/>
              </w:rPr>
              <w:t>1</w:t>
            </w:r>
            <w:r>
              <w:rPr>
                <w:sz w:val="20"/>
              </w:rPr>
              <w:t>分</w:t>
            </w:r>
            <w:r>
              <w:rPr>
                <w:sz w:val="20"/>
              </w:rPr>
              <w:t>。</w:t>
            </w:r>
          </w:p>
        </w:tc>
        <w:tc>
          <w:tcPr>
            <w:tcW w:type="dxa" w:w="434"/>
            <w:tcBorders>
              <w:top w:val="single" w:color="000000" w:sz="4"/>
              <w:left w:val="single" w:color="000000" w:sz="4"/>
              <w:bottom w:val="none" w:color="000000" w:sz="4"/>
              <w:right w:val="none" w:color="000000" w:sz="4"/>
            </w:tcBorders>
            <w:shd w:fill="FFFFFF"/>
            <w:vAlign w:val="top"/>
          </w:tcPr>
          <w:p>
            <w:pPr>
              <w:jc w:val="both"/>
            </w:pPr>
          </w:p>
        </w:tc>
        <w:tc>
          <w:tcPr>
            <w:tcW w:type="dxa" w:w="845"/>
            <w:tcBorders>
              <w:top w:val="single" w:color="000000" w:sz="4"/>
              <w:left w:val="single" w:color="000000" w:sz="4"/>
              <w:bottom w:val="none" w:color="000000" w:sz="4"/>
              <w:right w:val="none" w:color="000000" w:sz="4"/>
            </w:tcBorders>
            <w:shd w:fill="FFFFFF"/>
            <w:vAlign w:val="top"/>
          </w:tcPr>
          <w:p>
            <w:pPr>
              <w:jc w:val="both"/>
            </w:pPr>
            <w:r>
              <w:rPr>
                <w:sz w:val="20"/>
              </w:rPr>
              <w:t>现场抽检</w:t>
            </w:r>
          </w:p>
        </w:tc>
        <w:tc>
          <w:tcPr>
            <w:tcW w:type="dxa" w:w="470"/>
            <w:tcBorders>
              <w:top w:val="single" w:color="000000" w:sz="4"/>
              <w:left w:val="single" w:color="000000" w:sz="4"/>
              <w:bottom w:val="none" w:color="000000" w:sz="4"/>
              <w:right w:val="single" w:color="000000" w:sz="4"/>
            </w:tcBorders>
            <w:shd w:fill="FFFFFF"/>
            <w:vAlign w:val="top"/>
          </w:tcPr>
          <w:p>
            <w:pPr>
              <w:jc w:val="both"/>
            </w:pPr>
          </w:p>
        </w:tc>
      </w:tr>
      <w:tr>
        <w:tc>
          <w:tcPr>
            <w:tcW w:type="dxa" w:w="796"/>
            <w:vMerge/>
            <w:tcBorders>
              <w:top w:val="none" w:color="000000" w:sz="4"/>
              <w:left w:val="single" w:color="000000" w:sz="4"/>
              <w:bottom w:val="none" w:color="000000" w:sz="4"/>
              <w:right w:val="none" w:color="000000" w:sz="4"/>
            </w:tcBorders>
          </w:tcPr>
          <w:p/>
        </w:tc>
        <w:tc>
          <w:tcPr>
            <w:tcW w:type="dxa" w:w="410"/>
            <w:tcBorders>
              <w:top w:val="single" w:color="000000" w:sz="4"/>
              <w:left w:val="single" w:color="000000" w:sz="4"/>
              <w:bottom w:val="none" w:color="000000" w:sz="4"/>
              <w:right w:val="none" w:color="000000" w:sz="4"/>
            </w:tcBorders>
            <w:shd w:fill="FFFFFF"/>
            <w:vAlign w:val="top"/>
          </w:tcPr>
          <w:p>
            <w:pPr>
              <w:jc w:val="center"/>
            </w:pPr>
            <w:r>
              <w:rPr>
                <w:sz w:val="21"/>
              </w:rPr>
              <w:t>4</w:t>
            </w:r>
          </w:p>
        </w:tc>
        <w:tc>
          <w:tcPr>
            <w:tcW w:type="dxa" w:w="5311"/>
            <w:tcBorders>
              <w:top w:val="single" w:color="000000" w:sz="4"/>
              <w:left w:val="single" w:color="000000" w:sz="4"/>
              <w:bottom w:val="none" w:color="000000" w:sz="4"/>
              <w:right w:val="none" w:color="000000" w:sz="4"/>
            </w:tcBorders>
            <w:shd w:fill="FFFFFF"/>
            <w:vAlign w:val="top"/>
          </w:tcPr>
          <w:p>
            <w:pPr>
              <w:jc w:val="both"/>
            </w:pPr>
            <w:r>
              <w:rPr>
                <w:sz w:val="20"/>
              </w:rPr>
              <w:t>每次施工要按照要求配置足够人员；现场施工人员落实到位。发现缺</w:t>
            </w:r>
            <w:r>
              <w:rPr>
                <w:sz w:val="20"/>
              </w:rPr>
              <w:t>1</w:t>
            </w:r>
            <w:r>
              <w:rPr>
                <w:sz w:val="20"/>
              </w:rPr>
              <w:t>项扣</w:t>
            </w:r>
            <w:r>
              <w:rPr>
                <w:sz w:val="20"/>
              </w:rPr>
              <w:t>1</w:t>
            </w:r>
            <w:r>
              <w:rPr>
                <w:sz w:val="20"/>
              </w:rPr>
              <w:t>分</w:t>
            </w:r>
            <w:r>
              <w:rPr>
                <w:sz w:val="20"/>
              </w:rPr>
              <w:t>。</w:t>
            </w:r>
          </w:p>
        </w:tc>
        <w:tc>
          <w:tcPr>
            <w:tcW w:type="dxa" w:w="434"/>
            <w:tcBorders>
              <w:top w:val="single" w:color="000000" w:sz="4"/>
              <w:left w:val="single" w:color="000000" w:sz="4"/>
              <w:bottom w:val="none" w:color="000000" w:sz="4"/>
              <w:right w:val="none" w:color="000000" w:sz="4"/>
            </w:tcBorders>
            <w:shd w:fill="FFFFFF"/>
            <w:vAlign w:val="top"/>
          </w:tcPr>
          <w:p>
            <w:pPr>
              <w:jc w:val="both"/>
            </w:pPr>
          </w:p>
        </w:tc>
        <w:tc>
          <w:tcPr>
            <w:tcW w:type="dxa" w:w="845"/>
            <w:tcBorders>
              <w:top w:val="single" w:color="000000" w:sz="4"/>
              <w:left w:val="single" w:color="000000" w:sz="4"/>
              <w:bottom w:val="none" w:color="000000" w:sz="4"/>
              <w:right w:val="none" w:color="000000" w:sz="4"/>
            </w:tcBorders>
            <w:shd w:fill="FFFFFF"/>
            <w:vAlign w:val="top"/>
          </w:tcPr>
          <w:p>
            <w:pPr>
              <w:jc w:val="both"/>
            </w:pPr>
            <w:r>
              <w:rPr>
                <w:sz w:val="20"/>
              </w:rPr>
              <w:t>现场抽检</w:t>
            </w:r>
          </w:p>
        </w:tc>
        <w:tc>
          <w:tcPr>
            <w:tcW w:type="dxa" w:w="470"/>
            <w:tcBorders>
              <w:top w:val="single" w:color="000000" w:sz="4"/>
              <w:left w:val="single" w:color="000000" w:sz="4"/>
              <w:bottom w:val="none" w:color="000000" w:sz="4"/>
              <w:right w:val="single" w:color="000000" w:sz="4"/>
            </w:tcBorders>
            <w:shd w:fill="FFFFFF"/>
            <w:vAlign w:val="top"/>
          </w:tcPr>
          <w:p>
            <w:pPr>
              <w:jc w:val="both"/>
            </w:pPr>
          </w:p>
        </w:tc>
      </w:tr>
      <w:tr>
        <w:tc>
          <w:tcPr>
            <w:tcW w:type="dxa" w:w="796"/>
            <w:vMerge/>
            <w:tcBorders>
              <w:top w:val="none" w:color="000000" w:sz="4"/>
              <w:left w:val="single" w:color="000000" w:sz="4"/>
              <w:bottom w:val="none" w:color="000000" w:sz="4"/>
              <w:right w:val="none" w:color="000000" w:sz="4"/>
            </w:tcBorders>
          </w:tcPr>
          <w:p/>
        </w:tc>
        <w:tc>
          <w:tcPr>
            <w:tcW w:type="dxa" w:w="410"/>
            <w:tcBorders>
              <w:top w:val="single" w:color="000000" w:sz="4"/>
              <w:left w:val="single" w:color="000000" w:sz="4"/>
              <w:bottom w:val="none" w:color="000000" w:sz="4"/>
              <w:right w:val="none" w:color="000000" w:sz="4"/>
            </w:tcBorders>
            <w:shd w:fill="FFFFFF"/>
            <w:vAlign w:val="top"/>
          </w:tcPr>
          <w:p>
            <w:pPr>
              <w:jc w:val="center"/>
            </w:pPr>
            <w:r>
              <w:rPr>
                <w:sz w:val="21"/>
              </w:rPr>
              <w:t>4</w:t>
            </w:r>
          </w:p>
        </w:tc>
        <w:tc>
          <w:tcPr>
            <w:tcW w:type="dxa" w:w="5311"/>
            <w:tcBorders>
              <w:top w:val="single" w:color="000000" w:sz="4"/>
              <w:left w:val="single" w:color="000000" w:sz="4"/>
              <w:bottom w:val="none" w:color="000000" w:sz="4"/>
              <w:right w:val="none" w:color="000000" w:sz="4"/>
            </w:tcBorders>
            <w:shd w:fill="FFFFFF"/>
            <w:vAlign w:val="top"/>
          </w:tcPr>
          <w:p>
            <w:pPr>
              <w:jc w:val="both"/>
            </w:pPr>
            <w:r>
              <w:rPr>
                <w:sz w:val="20"/>
              </w:rPr>
              <w:t>服务使用的药物必须是使用已向区爱卫办提供</w:t>
            </w:r>
            <w:r>
              <w:rPr>
                <w:sz w:val="20"/>
              </w:rPr>
              <w:t>“</w:t>
            </w:r>
            <w:r>
              <w:rPr>
                <w:sz w:val="20"/>
              </w:rPr>
              <w:t>三证</w:t>
            </w:r>
            <w:r>
              <w:rPr>
                <w:sz w:val="20"/>
              </w:rPr>
              <w:t>”</w:t>
            </w:r>
            <w:r>
              <w:rPr>
                <w:sz w:val="20"/>
              </w:rPr>
              <w:t>备案的药物，否则本项不得分；药物用量是否充足，是否有偷工减料现象，每发现一项扣</w:t>
            </w:r>
            <w:r>
              <w:rPr>
                <w:sz w:val="20"/>
              </w:rPr>
              <w:t>2</w:t>
            </w:r>
            <w:r>
              <w:rPr>
                <w:sz w:val="20"/>
              </w:rPr>
              <w:t>分</w:t>
            </w:r>
            <w:r>
              <w:rPr>
                <w:sz w:val="20"/>
              </w:rPr>
              <w:t>。</w:t>
            </w:r>
          </w:p>
        </w:tc>
        <w:tc>
          <w:tcPr>
            <w:tcW w:type="dxa" w:w="434"/>
            <w:tcBorders>
              <w:top w:val="single" w:color="000000" w:sz="4"/>
              <w:left w:val="single" w:color="000000" w:sz="4"/>
              <w:bottom w:val="none" w:color="000000" w:sz="4"/>
              <w:right w:val="none" w:color="000000" w:sz="4"/>
            </w:tcBorders>
            <w:shd w:fill="FFFFFF"/>
            <w:vAlign w:val="top"/>
          </w:tcPr>
          <w:p>
            <w:pPr>
              <w:jc w:val="both"/>
            </w:pPr>
          </w:p>
        </w:tc>
        <w:tc>
          <w:tcPr>
            <w:tcW w:type="dxa" w:w="845"/>
            <w:tcBorders>
              <w:top w:val="single" w:color="000000" w:sz="4"/>
              <w:left w:val="single" w:color="000000" w:sz="4"/>
              <w:bottom w:val="none" w:color="000000" w:sz="4"/>
              <w:right w:val="none" w:color="000000" w:sz="4"/>
            </w:tcBorders>
            <w:shd w:fill="FFFFFF"/>
            <w:vAlign w:val="top"/>
          </w:tcPr>
          <w:p>
            <w:pPr>
              <w:jc w:val="both"/>
            </w:pPr>
            <w:r>
              <w:rPr>
                <w:sz w:val="20"/>
              </w:rPr>
              <w:t>査看资料</w:t>
            </w:r>
          </w:p>
        </w:tc>
        <w:tc>
          <w:tcPr>
            <w:tcW w:type="dxa" w:w="470"/>
            <w:tcBorders>
              <w:top w:val="single" w:color="000000" w:sz="4"/>
              <w:left w:val="single" w:color="000000" w:sz="4"/>
              <w:bottom w:val="none" w:color="000000" w:sz="4"/>
              <w:right w:val="single" w:color="000000" w:sz="4"/>
            </w:tcBorders>
            <w:shd w:fill="FFFFFF"/>
            <w:vAlign w:val="top"/>
          </w:tcPr>
          <w:p>
            <w:pPr>
              <w:jc w:val="both"/>
            </w:pPr>
          </w:p>
        </w:tc>
      </w:tr>
      <w:tr>
        <w:tc>
          <w:tcPr>
            <w:tcW w:type="dxa" w:w="796"/>
            <w:vMerge/>
            <w:tcBorders>
              <w:top w:val="none" w:color="000000" w:sz="4"/>
              <w:left w:val="single" w:color="000000" w:sz="4"/>
              <w:bottom w:val="none" w:color="000000" w:sz="4"/>
              <w:right w:val="none" w:color="000000" w:sz="4"/>
            </w:tcBorders>
          </w:tcPr>
          <w:p/>
        </w:tc>
        <w:tc>
          <w:tcPr>
            <w:tcW w:type="dxa" w:w="410"/>
            <w:tcBorders>
              <w:top w:val="single" w:color="000000" w:sz="4"/>
              <w:left w:val="single" w:color="000000" w:sz="4"/>
              <w:bottom w:val="none" w:color="000000" w:sz="4"/>
              <w:right w:val="none" w:color="000000" w:sz="4"/>
            </w:tcBorders>
            <w:shd w:fill="FFFFFF"/>
            <w:vAlign w:val="top"/>
          </w:tcPr>
          <w:p>
            <w:pPr>
              <w:jc w:val="center"/>
            </w:pPr>
            <w:r>
              <w:rPr>
                <w:sz w:val="21"/>
              </w:rPr>
              <w:t>2</w:t>
            </w:r>
          </w:p>
        </w:tc>
        <w:tc>
          <w:tcPr>
            <w:tcW w:type="dxa" w:w="5311"/>
            <w:tcBorders>
              <w:top w:val="single" w:color="000000" w:sz="4"/>
              <w:left w:val="single" w:color="000000" w:sz="4"/>
              <w:bottom w:val="none" w:color="000000" w:sz="4"/>
              <w:right w:val="none" w:color="000000" w:sz="4"/>
            </w:tcBorders>
            <w:shd w:fill="FFFFFF"/>
            <w:vAlign w:val="top"/>
          </w:tcPr>
          <w:p>
            <w:pPr>
              <w:jc w:val="both"/>
            </w:pPr>
            <w:r>
              <w:rPr>
                <w:sz w:val="20"/>
              </w:rPr>
              <w:t>遇市民投诉，合同区域内的病媒生物防治效果不良或有不作为、偷工减料等现象，经核实的扣</w:t>
            </w:r>
            <w:r>
              <w:rPr>
                <w:sz w:val="20"/>
              </w:rPr>
              <w:t>2</w:t>
            </w:r>
            <w:r>
              <w:rPr>
                <w:sz w:val="20"/>
              </w:rPr>
              <w:t>分处理</w:t>
            </w:r>
            <w:r>
              <w:rPr>
                <w:sz w:val="20"/>
              </w:rPr>
              <w:t>。</w:t>
            </w:r>
          </w:p>
        </w:tc>
        <w:tc>
          <w:tcPr>
            <w:tcW w:type="dxa" w:w="434"/>
            <w:tcBorders>
              <w:top w:val="single" w:color="000000" w:sz="4"/>
              <w:left w:val="single" w:color="000000" w:sz="4"/>
              <w:bottom w:val="none" w:color="000000" w:sz="4"/>
              <w:right w:val="none" w:color="000000" w:sz="4"/>
            </w:tcBorders>
            <w:shd w:fill="FFFFFF"/>
            <w:vAlign w:val="top"/>
          </w:tcPr>
          <w:p>
            <w:pPr>
              <w:jc w:val="both"/>
            </w:pPr>
          </w:p>
        </w:tc>
        <w:tc>
          <w:tcPr>
            <w:tcW w:type="dxa" w:w="845"/>
            <w:tcBorders>
              <w:top w:val="single" w:color="000000" w:sz="4"/>
              <w:left w:val="single" w:color="000000" w:sz="4"/>
              <w:bottom w:val="none" w:color="000000" w:sz="4"/>
              <w:right w:val="none" w:color="000000" w:sz="4"/>
            </w:tcBorders>
            <w:shd w:fill="FFFFFF"/>
            <w:vAlign w:val="top"/>
          </w:tcPr>
          <w:p>
            <w:pPr>
              <w:jc w:val="both"/>
            </w:pPr>
            <w:r>
              <w:rPr>
                <w:sz w:val="20"/>
              </w:rPr>
              <w:t>査看记录</w:t>
            </w:r>
          </w:p>
        </w:tc>
        <w:tc>
          <w:tcPr>
            <w:tcW w:type="dxa" w:w="470"/>
            <w:tcBorders>
              <w:top w:val="single" w:color="000000" w:sz="4"/>
              <w:left w:val="single" w:color="000000" w:sz="4"/>
              <w:bottom w:val="none" w:color="000000" w:sz="4"/>
              <w:right w:val="single" w:color="000000" w:sz="4"/>
            </w:tcBorders>
            <w:shd w:fill="FFFFFF"/>
            <w:vAlign w:val="top"/>
          </w:tcPr>
          <w:p>
            <w:pPr>
              <w:jc w:val="both"/>
            </w:pPr>
          </w:p>
        </w:tc>
      </w:tr>
      <w:tr>
        <w:tc>
          <w:tcPr>
            <w:tcW w:type="dxa" w:w="796"/>
            <w:vMerge/>
            <w:tcBorders>
              <w:top w:val="none" w:color="000000" w:sz="4"/>
              <w:left w:val="single" w:color="000000" w:sz="4"/>
              <w:bottom w:val="none" w:color="000000" w:sz="4"/>
              <w:right w:val="none" w:color="000000" w:sz="4"/>
            </w:tcBorders>
          </w:tcPr>
          <w:p/>
        </w:tc>
        <w:tc>
          <w:tcPr>
            <w:tcW w:type="dxa" w:w="410"/>
            <w:tcBorders>
              <w:top w:val="single" w:color="000000" w:sz="4"/>
              <w:left w:val="single" w:color="000000" w:sz="4"/>
              <w:bottom w:val="none" w:color="000000" w:sz="4"/>
              <w:right w:val="none" w:color="000000" w:sz="4"/>
            </w:tcBorders>
            <w:shd w:fill="FFFFFF"/>
            <w:vAlign w:val="top"/>
          </w:tcPr>
          <w:p>
            <w:pPr>
              <w:jc w:val="center"/>
            </w:pPr>
            <w:r>
              <w:rPr>
                <w:sz w:val="21"/>
              </w:rPr>
              <w:t>4</w:t>
            </w:r>
          </w:p>
        </w:tc>
        <w:tc>
          <w:tcPr>
            <w:tcW w:type="dxa" w:w="5311"/>
            <w:tcBorders>
              <w:top w:val="single" w:color="000000" w:sz="4"/>
              <w:left w:val="single" w:color="000000" w:sz="4"/>
              <w:bottom w:val="none" w:color="000000" w:sz="4"/>
              <w:right w:val="none" w:color="000000" w:sz="4"/>
            </w:tcBorders>
            <w:shd w:fill="FFFFFF"/>
            <w:vAlign w:val="top"/>
          </w:tcPr>
          <w:p>
            <w:pPr>
              <w:jc w:val="both"/>
            </w:pPr>
            <w:r>
              <w:rPr>
                <w:sz w:val="20"/>
              </w:rPr>
              <w:t>服务过程中各类有效投诉或媒体负面曝光不得超过</w:t>
            </w:r>
            <w:r>
              <w:rPr>
                <w:sz w:val="20"/>
              </w:rPr>
              <w:t>1</w:t>
            </w:r>
            <w:r>
              <w:rPr>
                <w:sz w:val="20"/>
              </w:rPr>
              <w:t>宗，每超出</w:t>
            </w:r>
            <w:r>
              <w:rPr>
                <w:sz w:val="20"/>
              </w:rPr>
              <w:t>1</w:t>
            </w:r>
            <w:r>
              <w:rPr>
                <w:sz w:val="20"/>
              </w:rPr>
              <w:t>宗扣</w:t>
            </w:r>
            <w:r>
              <w:rPr>
                <w:sz w:val="20"/>
              </w:rPr>
              <w:t>2</w:t>
            </w:r>
            <w:r>
              <w:rPr>
                <w:sz w:val="20"/>
              </w:rPr>
              <w:t>分</w:t>
            </w:r>
            <w:r>
              <w:rPr>
                <w:sz w:val="20"/>
              </w:rPr>
              <w:t>。</w:t>
            </w:r>
          </w:p>
        </w:tc>
        <w:tc>
          <w:tcPr>
            <w:tcW w:type="dxa" w:w="434"/>
            <w:tcBorders>
              <w:top w:val="single" w:color="000000" w:sz="4"/>
              <w:left w:val="single" w:color="000000" w:sz="4"/>
              <w:bottom w:val="none" w:color="000000" w:sz="4"/>
              <w:right w:val="none" w:color="000000" w:sz="4"/>
            </w:tcBorders>
            <w:shd w:fill="FFFFFF"/>
            <w:vAlign w:val="top"/>
          </w:tcPr>
          <w:p>
            <w:pPr>
              <w:jc w:val="both"/>
            </w:pPr>
          </w:p>
        </w:tc>
        <w:tc>
          <w:tcPr>
            <w:tcW w:type="dxa" w:w="845"/>
            <w:tcBorders>
              <w:top w:val="single" w:color="000000" w:sz="4"/>
              <w:left w:val="single" w:color="000000" w:sz="4"/>
              <w:bottom w:val="none" w:color="000000" w:sz="4"/>
              <w:right w:val="none" w:color="000000" w:sz="4"/>
            </w:tcBorders>
            <w:shd w:fill="FFFFFF"/>
            <w:vAlign w:val="top"/>
          </w:tcPr>
          <w:p>
            <w:pPr>
              <w:jc w:val="both"/>
            </w:pPr>
            <w:r>
              <w:rPr>
                <w:sz w:val="20"/>
              </w:rPr>
              <w:t>査看记录</w:t>
            </w:r>
          </w:p>
        </w:tc>
        <w:tc>
          <w:tcPr>
            <w:tcW w:type="dxa" w:w="470"/>
            <w:tcBorders>
              <w:top w:val="single" w:color="000000" w:sz="4"/>
              <w:left w:val="single" w:color="000000" w:sz="4"/>
              <w:bottom w:val="none" w:color="000000" w:sz="4"/>
              <w:right w:val="single" w:color="000000" w:sz="4"/>
            </w:tcBorders>
            <w:shd w:fill="FFFFFF"/>
            <w:vAlign w:val="top"/>
          </w:tcPr>
          <w:p>
            <w:pPr>
              <w:jc w:val="both"/>
            </w:pPr>
          </w:p>
        </w:tc>
      </w:tr>
      <w:tr>
        <w:tc>
          <w:tcPr>
            <w:tcW w:type="dxa" w:w="796"/>
            <w:vMerge/>
            <w:tcBorders>
              <w:top w:val="none" w:color="000000" w:sz="4"/>
              <w:left w:val="single" w:color="000000" w:sz="4"/>
              <w:bottom w:val="none" w:color="000000" w:sz="4"/>
              <w:right w:val="none" w:color="000000" w:sz="4"/>
            </w:tcBorders>
          </w:tcPr>
          <w:p/>
        </w:tc>
        <w:tc>
          <w:tcPr>
            <w:tcW w:type="dxa" w:w="410"/>
            <w:tcBorders>
              <w:top w:val="single" w:color="000000" w:sz="4"/>
              <w:left w:val="single" w:color="000000" w:sz="4"/>
              <w:bottom w:val="none" w:color="000000" w:sz="4"/>
              <w:right w:val="none" w:color="000000" w:sz="4"/>
            </w:tcBorders>
            <w:shd w:fill="FFFFFF"/>
            <w:vAlign w:val="top"/>
          </w:tcPr>
          <w:p>
            <w:pPr>
              <w:jc w:val="center"/>
            </w:pPr>
            <w:r>
              <w:rPr>
                <w:sz w:val="21"/>
              </w:rPr>
              <w:t>3</w:t>
            </w:r>
          </w:p>
        </w:tc>
        <w:tc>
          <w:tcPr>
            <w:tcW w:type="dxa" w:w="5311"/>
            <w:tcBorders>
              <w:top w:val="single" w:color="000000" w:sz="4"/>
              <w:left w:val="single" w:color="000000" w:sz="4"/>
              <w:bottom w:val="none" w:color="000000" w:sz="4"/>
              <w:right w:val="none" w:color="000000" w:sz="4"/>
            </w:tcBorders>
            <w:shd w:fill="FFFFFF"/>
            <w:vAlign w:val="top"/>
          </w:tcPr>
          <w:p>
            <w:pPr>
              <w:jc w:val="both"/>
            </w:pPr>
            <w:r>
              <w:rPr>
                <w:sz w:val="20"/>
              </w:rPr>
              <w:t>对市民投诉</w:t>
            </w:r>
            <w:r>
              <w:rPr>
                <w:sz w:val="20"/>
              </w:rPr>
              <w:t>“</w:t>
            </w:r>
            <w:r>
              <w:rPr>
                <w:sz w:val="20"/>
              </w:rPr>
              <w:t>四害</w:t>
            </w:r>
            <w:r>
              <w:rPr>
                <w:sz w:val="20"/>
              </w:rPr>
              <w:t>”</w:t>
            </w:r>
            <w:r>
              <w:rPr>
                <w:sz w:val="20"/>
              </w:rPr>
              <w:t>密度高的区域，乙方应</w:t>
            </w:r>
            <w:r>
              <w:rPr>
                <w:sz w:val="20"/>
              </w:rPr>
              <w:t>2</w:t>
            </w:r>
            <w:r>
              <w:rPr>
                <w:sz w:val="20"/>
              </w:rPr>
              <w:t>小时内到场处理。如未能按时到达处理，经查属实的扣</w:t>
            </w:r>
            <w:r>
              <w:rPr>
                <w:sz w:val="20"/>
              </w:rPr>
              <w:t>3</w:t>
            </w:r>
            <w:r>
              <w:rPr>
                <w:sz w:val="20"/>
              </w:rPr>
              <w:t>分。应急处理效果不理想的扣</w:t>
            </w:r>
            <w:r>
              <w:rPr>
                <w:sz w:val="20"/>
              </w:rPr>
              <w:t>2</w:t>
            </w:r>
            <w:r>
              <w:rPr>
                <w:sz w:val="20"/>
              </w:rPr>
              <w:t>分</w:t>
            </w:r>
            <w:r>
              <w:rPr>
                <w:sz w:val="20"/>
              </w:rPr>
              <w:t>。</w:t>
            </w:r>
          </w:p>
        </w:tc>
        <w:tc>
          <w:tcPr>
            <w:tcW w:type="dxa" w:w="434"/>
            <w:tcBorders>
              <w:top w:val="single" w:color="000000" w:sz="4"/>
              <w:left w:val="single" w:color="000000" w:sz="4"/>
              <w:bottom w:val="none" w:color="000000" w:sz="4"/>
              <w:right w:val="none" w:color="000000" w:sz="4"/>
            </w:tcBorders>
            <w:shd w:fill="FFFFFF"/>
            <w:vAlign w:val="top"/>
          </w:tcPr>
          <w:p>
            <w:pPr>
              <w:jc w:val="both"/>
            </w:pPr>
          </w:p>
        </w:tc>
        <w:tc>
          <w:tcPr>
            <w:tcW w:type="dxa" w:w="845"/>
            <w:tcBorders>
              <w:top w:val="single" w:color="000000" w:sz="4"/>
              <w:left w:val="single" w:color="000000" w:sz="4"/>
              <w:bottom w:val="none" w:color="000000" w:sz="4"/>
              <w:right w:val="none" w:color="000000" w:sz="4"/>
            </w:tcBorders>
            <w:shd w:fill="FFFFFF"/>
            <w:vAlign w:val="top"/>
          </w:tcPr>
          <w:p>
            <w:pPr>
              <w:jc w:val="both"/>
            </w:pPr>
            <w:r>
              <w:rPr>
                <w:sz w:val="20"/>
              </w:rPr>
              <w:t>情况记录</w:t>
            </w:r>
          </w:p>
        </w:tc>
        <w:tc>
          <w:tcPr>
            <w:tcW w:type="dxa" w:w="470"/>
            <w:tcBorders>
              <w:top w:val="single" w:color="000000" w:sz="4"/>
              <w:left w:val="single" w:color="000000" w:sz="4"/>
              <w:bottom w:val="none" w:color="000000" w:sz="4"/>
              <w:right w:val="single" w:color="000000" w:sz="4"/>
            </w:tcBorders>
            <w:shd w:fill="FFFFFF"/>
            <w:vAlign w:val="top"/>
          </w:tcPr>
          <w:p>
            <w:pPr>
              <w:jc w:val="both"/>
            </w:pPr>
          </w:p>
        </w:tc>
      </w:tr>
      <w:tr>
        <w:tc>
          <w:tcPr>
            <w:tcW w:type="dxa" w:w="796"/>
            <w:vMerge/>
            <w:tcBorders>
              <w:top w:val="none" w:color="000000" w:sz="4"/>
              <w:left w:val="single" w:color="000000" w:sz="4"/>
              <w:bottom w:val="none" w:color="000000" w:sz="4"/>
              <w:right w:val="none" w:color="000000" w:sz="4"/>
            </w:tcBorders>
          </w:tcPr>
          <w:p/>
        </w:tc>
        <w:tc>
          <w:tcPr>
            <w:tcW w:type="dxa" w:w="410"/>
            <w:tcBorders>
              <w:top w:val="single" w:color="000000" w:sz="4"/>
              <w:left w:val="single" w:color="000000" w:sz="4"/>
              <w:bottom w:val="none" w:color="000000" w:sz="4"/>
              <w:right w:val="none" w:color="000000" w:sz="4"/>
            </w:tcBorders>
            <w:shd w:fill="FFFFFF"/>
            <w:vAlign w:val="top"/>
          </w:tcPr>
          <w:p>
            <w:pPr>
              <w:jc w:val="center"/>
            </w:pPr>
            <w:r>
              <w:rPr>
                <w:sz w:val="21"/>
              </w:rPr>
              <w:t>3</w:t>
            </w:r>
          </w:p>
        </w:tc>
        <w:tc>
          <w:tcPr>
            <w:tcW w:type="dxa" w:w="5311"/>
            <w:tcBorders>
              <w:top w:val="single" w:color="000000" w:sz="4"/>
              <w:left w:val="single" w:color="000000" w:sz="4"/>
              <w:bottom w:val="none" w:color="000000" w:sz="4"/>
              <w:right w:val="none" w:color="000000" w:sz="4"/>
            </w:tcBorders>
            <w:shd w:fill="FFFFFF"/>
            <w:vAlign w:val="top"/>
          </w:tcPr>
          <w:p>
            <w:pPr>
              <w:jc w:val="both"/>
            </w:pPr>
            <w:r>
              <w:rPr>
                <w:sz w:val="20"/>
              </w:rPr>
              <w:t>对于疾控中心监测报告反馈的合同区域内</w:t>
            </w:r>
            <w:r>
              <w:rPr>
                <w:sz w:val="20"/>
              </w:rPr>
              <w:t>BI</w:t>
            </w:r>
            <w:r>
              <w:rPr>
                <w:sz w:val="20"/>
              </w:rPr>
              <w:t>指数超出</w:t>
            </w:r>
            <w:r>
              <w:rPr>
                <w:sz w:val="20"/>
              </w:rPr>
              <w:t>20</w:t>
            </w:r>
            <w:r>
              <w:rPr>
                <w:sz w:val="20"/>
              </w:rPr>
              <w:t>的区域进行处理。如未能及时处理的每次扣</w:t>
            </w:r>
            <w:r>
              <w:rPr>
                <w:sz w:val="20"/>
              </w:rPr>
              <w:t>1</w:t>
            </w:r>
            <w:r>
              <w:rPr>
                <w:sz w:val="20"/>
              </w:rPr>
              <w:t>分</w:t>
            </w:r>
            <w:r>
              <w:rPr>
                <w:sz w:val="20"/>
              </w:rPr>
              <w:t>。</w:t>
            </w:r>
          </w:p>
        </w:tc>
        <w:tc>
          <w:tcPr>
            <w:tcW w:type="dxa" w:w="434"/>
            <w:tcBorders>
              <w:top w:val="single" w:color="000000" w:sz="4"/>
              <w:left w:val="single" w:color="000000" w:sz="4"/>
              <w:bottom w:val="none" w:color="000000" w:sz="4"/>
              <w:right w:val="none" w:color="000000" w:sz="4"/>
            </w:tcBorders>
            <w:shd w:fill="FFFFFF"/>
            <w:vAlign w:val="top"/>
          </w:tcPr>
          <w:p>
            <w:pPr>
              <w:jc w:val="both"/>
            </w:pPr>
          </w:p>
        </w:tc>
        <w:tc>
          <w:tcPr>
            <w:tcW w:type="dxa" w:w="845"/>
            <w:tcBorders>
              <w:top w:val="single" w:color="000000" w:sz="4"/>
              <w:left w:val="single" w:color="000000" w:sz="4"/>
              <w:bottom w:val="none" w:color="000000" w:sz="4"/>
              <w:right w:val="none" w:color="000000" w:sz="4"/>
            </w:tcBorders>
            <w:shd w:fill="FFFFFF"/>
            <w:vAlign w:val="top"/>
          </w:tcPr>
          <w:p>
            <w:pPr>
              <w:jc w:val="both"/>
            </w:pPr>
            <w:r>
              <w:rPr>
                <w:sz w:val="20"/>
              </w:rPr>
              <w:t>情况记录</w:t>
            </w:r>
          </w:p>
        </w:tc>
        <w:tc>
          <w:tcPr>
            <w:tcW w:type="dxa" w:w="470"/>
            <w:tcBorders>
              <w:top w:val="single" w:color="000000" w:sz="4"/>
              <w:left w:val="single" w:color="000000" w:sz="4"/>
              <w:bottom w:val="none" w:color="000000" w:sz="4"/>
              <w:right w:val="single" w:color="000000" w:sz="4"/>
            </w:tcBorders>
            <w:shd w:fill="FFFFFF"/>
            <w:vAlign w:val="top"/>
          </w:tcPr>
          <w:p>
            <w:pPr>
              <w:jc w:val="both"/>
            </w:pPr>
          </w:p>
        </w:tc>
      </w:tr>
      <w:tr>
        <w:tc>
          <w:tcPr>
            <w:tcW w:type="dxa" w:w="796"/>
            <w:vMerge w:val="restart"/>
            <w:tcBorders>
              <w:top w:val="single" w:color="000000" w:sz="4"/>
              <w:left w:val="single" w:color="000000" w:sz="4"/>
              <w:bottom w:val="none" w:color="000000" w:sz="4"/>
              <w:right w:val="none" w:color="000000" w:sz="4"/>
            </w:tcBorders>
            <w:shd w:fill="FFFFFF"/>
            <w:vAlign w:val="top"/>
          </w:tcPr>
          <w:p>
            <w:pPr>
              <w:ind w:firstLine="208"/>
            </w:pPr>
            <w:r>
              <w:rPr>
                <w:sz w:val="20"/>
              </w:rPr>
              <w:t>2</w:t>
            </w:r>
            <w:r>
              <w:rPr>
                <w:sz w:val="22"/>
              </w:rPr>
              <w:t>、</w:t>
            </w:r>
            <w:r>
              <w:rPr>
                <w:sz w:val="20"/>
              </w:rPr>
              <w:t>专业考核阶（</w:t>
            </w:r>
            <w:r>
              <w:rPr>
                <w:sz w:val="20"/>
              </w:rPr>
              <w:t>60%）</w:t>
            </w:r>
          </w:p>
        </w:tc>
        <w:tc>
          <w:tcPr>
            <w:tcW w:type="dxa" w:w="410"/>
            <w:tcBorders>
              <w:top w:val="single" w:color="000000" w:sz="4"/>
              <w:left w:val="single" w:color="000000" w:sz="4"/>
              <w:bottom w:val="none" w:color="000000" w:sz="4"/>
              <w:right w:val="none" w:color="000000" w:sz="4"/>
            </w:tcBorders>
            <w:shd w:fill="FFFFFF"/>
            <w:vAlign w:val="top"/>
          </w:tcPr>
          <w:p>
            <w:r>
              <w:rPr>
                <w:sz w:val="20"/>
              </w:rPr>
              <w:t>15</w:t>
            </w:r>
          </w:p>
        </w:tc>
        <w:tc>
          <w:tcPr>
            <w:tcW w:type="dxa" w:w="5311"/>
            <w:tcBorders>
              <w:top w:val="single" w:color="000000" w:sz="4"/>
              <w:left w:val="single" w:color="000000" w:sz="4"/>
              <w:bottom w:val="none" w:color="000000" w:sz="4"/>
              <w:right w:val="none" w:color="000000" w:sz="4"/>
            </w:tcBorders>
            <w:shd w:fill="FFFFFF"/>
            <w:vAlign w:val="top"/>
          </w:tcPr>
          <w:p>
            <w:pPr>
              <w:jc w:val="both"/>
            </w:pPr>
            <w:r>
              <w:rPr>
                <w:sz w:val="20"/>
              </w:rPr>
              <w:t>所用的杀虫杀鼠药剂应具有国家规定的有效证件</w:t>
            </w:r>
            <w:r>
              <w:rPr>
                <w:sz w:val="20"/>
              </w:rPr>
              <w:t>,并严格按照产品使用说明书使用。证照齐全评5分，符合规范使用评5分，药械匹配使用评5分，使用国家违禁药物的，一票否决，直接扣除60分</w:t>
            </w:r>
          </w:p>
        </w:tc>
        <w:tc>
          <w:tcPr>
            <w:tcW w:type="dxa" w:w="434"/>
            <w:tcBorders>
              <w:top w:val="single" w:color="000000" w:sz="4"/>
              <w:left w:val="single" w:color="000000" w:sz="4"/>
              <w:bottom w:val="none" w:color="000000" w:sz="4"/>
              <w:right w:val="none" w:color="000000" w:sz="4"/>
            </w:tcBorders>
            <w:shd w:fill="FFFFFF"/>
            <w:vAlign w:val="top"/>
          </w:tcPr>
          <w:p>
            <w:pPr>
              <w:jc w:val="both"/>
            </w:pPr>
          </w:p>
        </w:tc>
        <w:tc>
          <w:tcPr>
            <w:tcW w:type="dxa" w:w="845"/>
            <w:tcBorders>
              <w:top w:val="single" w:color="000000" w:sz="4"/>
              <w:left w:val="single" w:color="000000" w:sz="4"/>
              <w:bottom w:val="none" w:color="000000" w:sz="4"/>
              <w:right w:val="none" w:color="000000" w:sz="4"/>
            </w:tcBorders>
            <w:shd w:fill="FFFFFF"/>
            <w:vAlign w:val="top"/>
          </w:tcPr>
          <w:p>
            <w:pPr>
              <w:jc w:val="both"/>
            </w:pPr>
            <w:r>
              <w:rPr>
                <w:sz w:val="20"/>
              </w:rPr>
              <w:t>査看仓库进出记录，用药记录</w:t>
            </w:r>
          </w:p>
        </w:tc>
        <w:tc>
          <w:tcPr>
            <w:tcW w:type="dxa" w:w="470"/>
            <w:tcBorders>
              <w:top w:val="single" w:color="000000" w:sz="4"/>
              <w:left w:val="single" w:color="000000" w:sz="4"/>
              <w:bottom w:val="none" w:color="000000" w:sz="4"/>
              <w:right w:val="single" w:color="000000" w:sz="4"/>
            </w:tcBorders>
            <w:shd w:fill="FFFFFF"/>
            <w:vAlign w:val="top"/>
          </w:tcPr>
          <w:p>
            <w:pPr>
              <w:jc w:val="both"/>
            </w:pPr>
          </w:p>
        </w:tc>
      </w:tr>
      <w:tr>
        <w:tc>
          <w:tcPr>
            <w:tcW w:type="dxa" w:w="796"/>
            <w:vMerge/>
            <w:tcBorders>
              <w:top w:val="single" w:color="000000" w:sz="4"/>
              <w:left w:val="single" w:color="000000" w:sz="4"/>
              <w:bottom w:val="none" w:color="000000" w:sz="4"/>
              <w:right w:val="none" w:color="000000" w:sz="4"/>
            </w:tcBorders>
          </w:tcPr>
          <w:p/>
        </w:tc>
        <w:tc>
          <w:tcPr>
            <w:tcW w:type="dxa" w:w="410"/>
            <w:tcBorders>
              <w:top w:val="single" w:color="000000" w:sz="4"/>
              <w:left w:val="single" w:color="000000" w:sz="4"/>
              <w:bottom w:val="none" w:color="000000" w:sz="4"/>
              <w:right w:val="none" w:color="000000" w:sz="4"/>
            </w:tcBorders>
            <w:shd w:fill="FFFFFF"/>
            <w:vAlign w:val="top"/>
          </w:tcPr>
          <w:p>
            <w:r>
              <w:rPr>
                <w:sz w:val="20"/>
              </w:rPr>
              <w:t>10</w:t>
            </w:r>
          </w:p>
        </w:tc>
        <w:tc>
          <w:tcPr>
            <w:tcW w:type="dxa" w:w="5311"/>
            <w:tcBorders>
              <w:top w:val="single" w:color="000000" w:sz="4"/>
              <w:left w:val="single" w:color="000000" w:sz="4"/>
              <w:bottom w:val="none" w:color="000000" w:sz="4"/>
              <w:right w:val="none" w:color="000000" w:sz="4"/>
            </w:tcBorders>
            <w:shd w:fill="FFFFFF"/>
            <w:vAlign w:val="top"/>
          </w:tcPr>
          <w:p>
            <w:pPr>
              <w:jc w:val="both"/>
            </w:pPr>
            <w:r>
              <w:rPr>
                <w:sz w:val="20"/>
              </w:rPr>
              <w:t>鼠类防制效果达到</w:t>
            </w:r>
            <w:r>
              <w:rPr>
                <w:sz w:val="20"/>
              </w:rPr>
              <w:t>C级以上得分(合同有其他要求的按照合同要求级别）</w:t>
            </w:r>
          </w:p>
        </w:tc>
        <w:tc>
          <w:tcPr>
            <w:tcW w:type="dxa" w:w="434"/>
            <w:tcBorders>
              <w:top w:val="single" w:color="000000" w:sz="4"/>
              <w:left w:val="single" w:color="000000" w:sz="4"/>
              <w:bottom w:val="none" w:color="000000" w:sz="4"/>
              <w:right w:val="none" w:color="000000" w:sz="4"/>
            </w:tcBorders>
            <w:shd w:fill="FFFFFF"/>
            <w:vAlign w:val="top"/>
          </w:tcPr>
          <w:p>
            <w:pPr>
              <w:jc w:val="both"/>
            </w:pPr>
          </w:p>
        </w:tc>
        <w:tc>
          <w:tcPr>
            <w:tcW w:type="dxa" w:w="845"/>
            <w:tcBorders>
              <w:top w:val="single" w:color="000000" w:sz="4"/>
              <w:left w:val="single" w:color="000000" w:sz="4"/>
              <w:bottom w:val="none" w:color="000000" w:sz="4"/>
              <w:right w:val="none" w:color="000000" w:sz="4"/>
            </w:tcBorders>
            <w:shd w:fill="FFFFFF"/>
            <w:vAlign w:val="top"/>
          </w:tcPr>
          <w:p>
            <w:pPr>
              <w:jc w:val="both"/>
            </w:pPr>
            <w:r>
              <w:rPr>
                <w:sz w:val="20"/>
              </w:rPr>
              <w:t>现场评估</w:t>
            </w:r>
          </w:p>
        </w:tc>
        <w:tc>
          <w:tcPr>
            <w:tcW w:type="dxa" w:w="470"/>
            <w:tcBorders>
              <w:top w:val="single" w:color="000000" w:sz="4"/>
              <w:left w:val="single" w:color="000000" w:sz="4"/>
              <w:bottom w:val="none" w:color="000000" w:sz="4"/>
              <w:right w:val="single" w:color="000000" w:sz="4"/>
            </w:tcBorders>
            <w:shd w:fill="FFFFFF"/>
            <w:vAlign w:val="top"/>
          </w:tcPr>
          <w:p>
            <w:pPr>
              <w:jc w:val="both"/>
            </w:pPr>
          </w:p>
        </w:tc>
      </w:tr>
      <w:tr>
        <w:tc>
          <w:tcPr>
            <w:tcW w:type="dxa" w:w="796"/>
            <w:vMerge/>
            <w:tcBorders>
              <w:top w:val="single" w:color="000000" w:sz="4"/>
              <w:left w:val="single" w:color="000000" w:sz="4"/>
              <w:bottom w:val="none" w:color="000000" w:sz="4"/>
              <w:right w:val="none" w:color="000000" w:sz="4"/>
            </w:tcBorders>
          </w:tcPr>
          <w:p/>
        </w:tc>
        <w:tc>
          <w:tcPr>
            <w:tcW w:type="dxa" w:w="410"/>
            <w:tcBorders>
              <w:top w:val="single" w:color="000000" w:sz="4"/>
              <w:left w:val="single" w:color="000000" w:sz="4"/>
              <w:bottom w:val="none" w:color="000000" w:sz="4"/>
              <w:right w:val="none" w:color="000000" w:sz="4"/>
            </w:tcBorders>
            <w:shd w:fill="FFFFFF"/>
            <w:vAlign w:val="top"/>
          </w:tcPr>
          <w:p>
            <w:r>
              <w:rPr>
                <w:sz w:val="20"/>
              </w:rPr>
              <w:t>10</w:t>
            </w:r>
          </w:p>
        </w:tc>
        <w:tc>
          <w:tcPr>
            <w:tcW w:type="dxa" w:w="5311"/>
            <w:tcBorders>
              <w:top w:val="single" w:color="000000" w:sz="4"/>
              <w:left w:val="single" w:color="000000" w:sz="4"/>
              <w:bottom w:val="none" w:color="000000" w:sz="4"/>
              <w:right w:val="none" w:color="000000" w:sz="4"/>
            </w:tcBorders>
            <w:shd w:fill="FFFFFF"/>
            <w:vAlign w:val="top"/>
          </w:tcPr>
          <w:p>
            <w:pPr>
              <w:jc w:val="both"/>
            </w:pPr>
            <w:r>
              <w:rPr>
                <w:sz w:val="20"/>
              </w:rPr>
              <w:t>蚊虫防制效果达到</w:t>
            </w:r>
            <w:r>
              <w:rPr>
                <w:sz w:val="20"/>
              </w:rPr>
              <w:t>C级以上得分(合同有其他要求的按 照合同要求级别）</w:t>
            </w:r>
          </w:p>
        </w:tc>
        <w:tc>
          <w:tcPr>
            <w:tcW w:type="dxa" w:w="434"/>
            <w:tcBorders>
              <w:top w:val="single" w:color="000000" w:sz="4"/>
              <w:left w:val="single" w:color="000000" w:sz="4"/>
              <w:bottom w:val="none" w:color="000000" w:sz="4"/>
              <w:right w:val="none" w:color="000000" w:sz="4"/>
            </w:tcBorders>
            <w:shd w:fill="FFFFFF"/>
            <w:vAlign w:val="top"/>
          </w:tcPr>
          <w:p>
            <w:pPr>
              <w:jc w:val="both"/>
            </w:pPr>
          </w:p>
        </w:tc>
        <w:tc>
          <w:tcPr>
            <w:tcW w:type="dxa" w:w="845"/>
            <w:tcBorders>
              <w:top w:val="single" w:color="000000" w:sz="4"/>
              <w:left w:val="single" w:color="000000" w:sz="4"/>
              <w:bottom w:val="none" w:color="000000" w:sz="4"/>
              <w:right w:val="none" w:color="000000" w:sz="4"/>
            </w:tcBorders>
            <w:shd w:fill="FFFFFF"/>
            <w:vAlign w:val="top"/>
          </w:tcPr>
          <w:p>
            <w:pPr>
              <w:jc w:val="both"/>
            </w:pPr>
            <w:r>
              <w:rPr>
                <w:sz w:val="20"/>
              </w:rPr>
              <w:t>现场评估</w:t>
            </w:r>
          </w:p>
        </w:tc>
        <w:tc>
          <w:tcPr>
            <w:tcW w:type="dxa" w:w="470"/>
            <w:tcBorders>
              <w:top w:val="single" w:color="000000" w:sz="4"/>
              <w:left w:val="single" w:color="000000" w:sz="4"/>
              <w:bottom w:val="none" w:color="000000" w:sz="4"/>
              <w:right w:val="single" w:color="000000" w:sz="4"/>
            </w:tcBorders>
            <w:shd w:fill="FFFFFF"/>
            <w:vAlign w:val="top"/>
          </w:tcPr>
          <w:p>
            <w:pPr>
              <w:jc w:val="both"/>
            </w:pPr>
          </w:p>
        </w:tc>
      </w:tr>
      <w:tr>
        <w:tc>
          <w:tcPr>
            <w:tcW w:type="dxa" w:w="796"/>
            <w:vMerge/>
            <w:tcBorders>
              <w:top w:val="single" w:color="000000" w:sz="4"/>
              <w:left w:val="single" w:color="000000" w:sz="4"/>
              <w:bottom w:val="none" w:color="000000" w:sz="4"/>
              <w:right w:val="none" w:color="000000" w:sz="4"/>
            </w:tcBorders>
          </w:tcPr>
          <w:p/>
        </w:tc>
        <w:tc>
          <w:tcPr>
            <w:tcW w:type="dxa" w:w="410"/>
            <w:tcBorders>
              <w:top w:val="single" w:color="000000" w:sz="4"/>
              <w:left w:val="single" w:color="000000" w:sz="4"/>
              <w:bottom w:val="none" w:color="000000" w:sz="4"/>
              <w:right w:val="none" w:color="000000" w:sz="4"/>
            </w:tcBorders>
            <w:shd w:fill="FFFFFF"/>
            <w:vAlign w:val="top"/>
          </w:tcPr>
          <w:p>
            <w:r>
              <w:rPr>
                <w:sz w:val="20"/>
              </w:rPr>
              <w:t>10</w:t>
            </w:r>
          </w:p>
        </w:tc>
        <w:tc>
          <w:tcPr>
            <w:tcW w:type="dxa" w:w="5311"/>
            <w:tcBorders>
              <w:top w:val="single" w:color="000000" w:sz="4"/>
              <w:left w:val="single" w:color="000000" w:sz="4"/>
              <w:bottom w:val="none" w:color="000000" w:sz="4"/>
              <w:right w:val="none" w:color="000000" w:sz="4"/>
            </w:tcBorders>
            <w:shd w:fill="FFFFFF"/>
            <w:vAlign w:val="top"/>
          </w:tcPr>
          <w:p>
            <w:pPr>
              <w:jc w:val="both"/>
            </w:pPr>
            <w:r>
              <w:rPr>
                <w:sz w:val="20"/>
              </w:rPr>
              <w:t>蝇类防制效果达到</w:t>
            </w:r>
            <w:r>
              <w:rPr>
                <w:sz w:val="20"/>
              </w:rPr>
              <w:t>C级以上得分(合同有其他要求的按 照合同要求级别）</w:t>
            </w:r>
          </w:p>
        </w:tc>
        <w:tc>
          <w:tcPr>
            <w:tcW w:type="dxa" w:w="434"/>
            <w:tcBorders>
              <w:top w:val="single" w:color="000000" w:sz="4"/>
              <w:left w:val="single" w:color="000000" w:sz="4"/>
              <w:bottom w:val="none" w:color="000000" w:sz="4"/>
              <w:right w:val="none" w:color="000000" w:sz="4"/>
            </w:tcBorders>
            <w:shd w:fill="FFFFFF"/>
            <w:vAlign w:val="top"/>
          </w:tcPr>
          <w:p>
            <w:pPr>
              <w:jc w:val="both"/>
            </w:pPr>
          </w:p>
        </w:tc>
        <w:tc>
          <w:tcPr>
            <w:tcW w:type="dxa" w:w="845"/>
            <w:tcBorders>
              <w:top w:val="single" w:color="000000" w:sz="4"/>
              <w:left w:val="single" w:color="000000" w:sz="4"/>
              <w:bottom w:val="none" w:color="000000" w:sz="4"/>
              <w:right w:val="none" w:color="000000" w:sz="4"/>
            </w:tcBorders>
            <w:shd w:fill="FFFFFF"/>
            <w:vAlign w:val="top"/>
          </w:tcPr>
          <w:p>
            <w:pPr>
              <w:jc w:val="both"/>
            </w:pPr>
            <w:r>
              <w:rPr>
                <w:sz w:val="20"/>
              </w:rPr>
              <w:t>现场评估</w:t>
            </w:r>
          </w:p>
        </w:tc>
        <w:tc>
          <w:tcPr>
            <w:tcW w:type="dxa" w:w="470"/>
            <w:tcBorders>
              <w:top w:val="single" w:color="000000" w:sz="4"/>
              <w:left w:val="single" w:color="000000" w:sz="4"/>
              <w:bottom w:val="none" w:color="000000" w:sz="4"/>
              <w:right w:val="single" w:color="000000" w:sz="4"/>
            </w:tcBorders>
            <w:shd w:fill="FFFFFF"/>
            <w:vAlign w:val="top"/>
          </w:tcPr>
          <w:p>
            <w:pPr>
              <w:jc w:val="both"/>
            </w:pPr>
          </w:p>
        </w:tc>
      </w:tr>
      <w:tr>
        <w:tc>
          <w:tcPr>
            <w:tcW w:type="dxa" w:w="796"/>
            <w:vMerge/>
            <w:tcBorders>
              <w:top w:val="single" w:color="000000" w:sz="4"/>
              <w:left w:val="single" w:color="000000" w:sz="4"/>
              <w:bottom w:val="none" w:color="000000" w:sz="4"/>
              <w:right w:val="none" w:color="000000" w:sz="4"/>
            </w:tcBorders>
          </w:tcPr>
          <w:p/>
        </w:tc>
        <w:tc>
          <w:tcPr>
            <w:tcW w:type="dxa" w:w="410"/>
            <w:tcBorders>
              <w:top w:val="single" w:color="000000" w:sz="4"/>
              <w:left w:val="single" w:color="000000" w:sz="4"/>
              <w:bottom w:val="single" w:color="000000" w:sz="4"/>
              <w:right w:val="none" w:color="000000" w:sz="4"/>
            </w:tcBorders>
            <w:shd w:fill="FFFFFF"/>
            <w:vAlign w:val="top"/>
          </w:tcPr>
          <w:p>
            <w:r>
              <w:rPr>
                <w:sz w:val="20"/>
              </w:rPr>
              <w:t>10</w:t>
            </w:r>
          </w:p>
        </w:tc>
        <w:tc>
          <w:tcPr>
            <w:tcW w:type="dxa" w:w="5311"/>
            <w:tcBorders>
              <w:top w:val="single" w:color="000000" w:sz="4"/>
              <w:left w:val="single" w:color="000000" w:sz="4"/>
              <w:bottom w:val="single" w:color="000000" w:sz="4"/>
              <w:right w:val="none" w:color="000000" w:sz="4"/>
            </w:tcBorders>
            <w:shd w:fill="FFFFFF"/>
            <w:vAlign w:val="top"/>
          </w:tcPr>
          <w:p>
            <w:pPr>
              <w:jc w:val="both"/>
            </w:pPr>
            <w:r>
              <w:rPr>
                <w:sz w:val="20"/>
              </w:rPr>
              <w:t>蜚蠊防制效果达到</w:t>
            </w:r>
            <w:r>
              <w:rPr>
                <w:sz w:val="20"/>
              </w:rPr>
              <w:t>C级以上得分(合同有其他要求的按 照合同要求级别）</w:t>
            </w:r>
          </w:p>
        </w:tc>
        <w:tc>
          <w:tcPr>
            <w:tcW w:type="dxa" w:w="434"/>
            <w:tcBorders>
              <w:top w:val="single" w:color="000000" w:sz="4"/>
              <w:left w:val="single" w:color="000000" w:sz="4"/>
              <w:bottom w:val="single" w:color="000000" w:sz="4"/>
              <w:right w:val="none" w:color="000000" w:sz="4"/>
            </w:tcBorders>
            <w:shd w:fill="FFFFFF"/>
            <w:vAlign w:val="top"/>
          </w:tcPr>
          <w:p>
            <w:pPr>
              <w:jc w:val="both"/>
            </w:pPr>
          </w:p>
        </w:tc>
        <w:tc>
          <w:tcPr>
            <w:tcW w:type="dxa" w:w="845"/>
            <w:tcBorders>
              <w:top w:val="single" w:color="000000" w:sz="4"/>
              <w:left w:val="single" w:color="000000" w:sz="4"/>
              <w:bottom w:val="single" w:color="000000" w:sz="4"/>
              <w:right w:val="none" w:color="000000" w:sz="4"/>
            </w:tcBorders>
            <w:shd w:fill="FFFFFF"/>
            <w:vAlign w:val="top"/>
          </w:tcPr>
          <w:p>
            <w:pPr>
              <w:jc w:val="both"/>
            </w:pPr>
            <w:r>
              <w:rPr>
                <w:sz w:val="20"/>
              </w:rPr>
              <w:t>现场评估</w:t>
            </w:r>
          </w:p>
        </w:tc>
        <w:tc>
          <w:tcPr>
            <w:tcW w:type="dxa" w:w="470"/>
            <w:tcBorders>
              <w:top w:val="single" w:color="000000" w:sz="4"/>
              <w:left w:val="single" w:color="000000" w:sz="4"/>
              <w:bottom w:val="single" w:color="000000" w:sz="4"/>
              <w:right w:val="single" w:color="000000" w:sz="4"/>
            </w:tcBorders>
            <w:shd w:fill="FFFFFF"/>
            <w:vAlign w:val="top"/>
          </w:tcPr>
          <w:p>
            <w:pPr>
              <w:jc w:val="both"/>
            </w:pPr>
          </w:p>
        </w:tc>
      </w:tr>
      <w:tr>
        <w:tc>
          <w:tcPr>
            <w:tcW w:type="dxa" w:w="796"/>
            <w:vMerge/>
            <w:tcBorders>
              <w:top w:val="single" w:color="000000" w:sz="4"/>
              <w:left w:val="single" w:color="000000" w:sz="4"/>
              <w:bottom w:val="none" w:color="000000" w:sz="4"/>
              <w:right w:val="none" w:color="000000" w:sz="4"/>
            </w:tcBorders>
          </w:tcPr>
          <w:p/>
        </w:tc>
        <w:tc>
          <w:tcPr>
            <w:tcW w:type="dxa" w:w="410"/>
            <w:tcBorders>
              <w:top w:val="none" w:color="000000" w:sz="4"/>
              <w:left w:val="single" w:color="000000" w:sz="4"/>
              <w:bottom w:val="single" w:color="000000" w:sz="4"/>
              <w:right w:val="none" w:color="000000" w:sz="4"/>
            </w:tcBorders>
            <w:shd w:fill="FFFFFF"/>
            <w:vAlign w:val="top"/>
          </w:tcPr>
          <w:p>
            <w:r>
              <w:rPr>
                <w:sz w:val="20"/>
              </w:rPr>
              <w:t>5</w:t>
            </w:r>
          </w:p>
        </w:tc>
        <w:tc>
          <w:tcPr>
            <w:tcW w:type="dxa" w:w="5311"/>
            <w:tcBorders>
              <w:top w:val="none" w:color="000000" w:sz="4"/>
              <w:left w:val="single" w:color="000000" w:sz="4"/>
              <w:bottom w:val="single" w:color="000000" w:sz="4"/>
              <w:right w:val="none" w:color="000000" w:sz="4"/>
            </w:tcBorders>
            <w:shd w:fill="FFFFFF"/>
            <w:vAlign w:val="top"/>
          </w:tcPr>
          <w:p>
            <w:pPr>
              <w:jc w:val="both"/>
            </w:pPr>
            <w:r>
              <w:rPr>
                <w:sz w:val="20"/>
              </w:rPr>
              <w:t>向甲方提出专业建议的评</w:t>
            </w:r>
            <w:r>
              <w:rPr>
                <w:sz w:val="20"/>
              </w:rPr>
              <w:t>5分</w:t>
            </w:r>
          </w:p>
        </w:tc>
        <w:tc>
          <w:tcPr>
            <w:tcW w:type="dxa" w:w="434"/>
            <w:tcBorders>
              <w:top w:val="none" w:color="000000" w:sz="4"/>
              <w:left w:val="single" w:color="000000" w:sz="4"/>
              <w:bottom w:val="single" w:color="000000" w:sz="4"/>
              <w:right w:val="none" w:color="000000" w:sz="4"/>
            </w:tcBorders>
            <w:shd w:fill="FFFFFF"/>
            <w:vAlign w:val="top"/>
          </w:tcPr>
          <w:p>
            <w:pPr>
              <w:jc w:val="both"/>
            </w:pPr>
          </w:p>
        </w:tc>
        <w:tc>
          <w:tcPr>
            <w:tcW w:type="dxa" w:w="845"/>
            <w:tcBorders>
              <w:top w:val="none" w:color="000000" w:sz="4"/>
              <w:left w:val="single" w:color="000000" w:sz="4"/>
              <w:bottom w:val="single" w:color="000000" w:sz="4"/>
              <w:right w:val="none" w:color="000000" w:sz="4"/>
            </w:tcBorders>
            <w:shd w:fill="FFFFFF"/>
            <w:vAlign w:val="top"/>
          </w:tcPr>
          <w:p>
            <w:pPr>
              <w:jc w:val="both"/>
            </w:pPr>
            <w:r>
              <w:rPr>
                <w:sz w:val="20"/>
              </w:rPr>
              <w:t>查看文件</w:t>
            </w:r>
          </w:p>
        </w:tc>
        <w:tc>
          <w:tcPr>
            <w:tcW w:type="dxa" w:w="470"/>
            <w:tcBorders>
              <w:top w:val="none" w:color="000000" w:sz="4"/>
              <w:left w:val="single" w:color="000000" w:sz="4"/>
              <w:bottom w:val="single" w:color="000000" w:sz="4"/>
              <w:right w:val="single" w:color="000000" w:sz="4"/>
            </w:tcBorders>
            <w:shd w:fill="FFFFFF"/>
            <w:vAlign w:val="top"/>
          </w:tcPr>
          <w:p>
            <w:pPr>
              <w:jc w:val="both"/>
            </w:pPr>
          </w:p>
        </w:tc>
      </w:tr>
    </w:tbl>
    <w:p>
      <w:r>
        <w:rPr/>
        <w:t xml:space="preserve"> </w:t>
      </w:r>
    </w:p>
    <w:p>
      <w:r>
        <w:rPr>
          <w:sz w:val="21"/>
        </w:rPr>
        <w:t>专评人员签名</w:t>
      </w:r>
      <w:r>
        <w:rPr>
          <w:b/>
          <w:sz w:val="21"/>
        </w:rPr>
        <w:t xml:space="preserve">:                         </w:t>
      </w:r>
      <w:r>
        <w:rPr>
          <w:b/>
          <w:sz w:val="21"/>
        </w:rPr>
        <w:t>考评机构盖章：</w:t>
      </w:r>
      <w:r>
        <w:rPr>
          <w:b/>
          <w:sz w:val="21"/>
        </w:rPr>
        <w:t xml:space="preserve">                              </w:t>
      </w:r>
      <w:r>
        <w:rPr>
          <w:b/>
          <w:sz w:val="21"/>
        </w:rPr>
        <w:t>日期</w:t>
      </w:r>
    </w:p>
    <w:p>
      <w:pPr>
        <w:jc w:val="both"/>
      </w:pPr>
      <w:r>
        <w:rPr>
          <w:color w:val="222222"/>
          <w:sz w:val="27"/>
        </w:rPr>
        <w:t xml:space="preserve"> </w:t>
      </w:r>
    </w:p>
    <w:p>
      <w:pPr>
        <w:jc w:val="both"/>
      </w:pPr>
      <w:r>
        <w:rPr/>
        <w:t xml:space="preserve"> </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441283-2023-01651</w:t>
      </w:r>
    </w:p>
    <w:p>
      <w:pPr>
        <w:jc w:val="center"/>
      </w:pPr>
      <w:r>
        <w:rPr>
          <w:b/>
          <w:sz w:val="24"/>
        </w:rPr>
        <w:t>采购项目编号：</w:t>
      </w:r>
      <w:r>
        <w:rPr>
          <w:b/>
          <w:sz w:val="24"/>
        </w:rPr>
        <w:t>GDDJ-2023-010</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广东鼎建工程咨询监理有限公司</w:t>
      </w:r>
    </w:p>
    <w:p>
      <w:pPr>
        <w:ind w:firstLine="480"/>
      </w:pPr>
      <w:r>
        <w:rPr/>
        <w:t>你方组织的</w:t>
      </w:r>
      <w:r>
        <w:rPr>
          <w:u w:val="single"/>
        </w:rPr>
        <w:t>“</w:t>
      </w:r>
      <w:r>
        <w:rPr>
          <w:u w:val="single"/>
        </w:rPr>
        <w:t>高要区巩固国家卫生城市创建成果建城区病媒生物预防控制服务（2023年高要区国家卫生城市公共外环境病媒生物防制）</w:t>
      </w:r>
      <w:r>
        <w:rPr>
          <w:u w:val="single"/>
        </w:rPr>
        <w:t>”</w:t>
      </w:r>
      <w:r>
        <w:rPr/>
        <w:t>项目的竞争性磋商[采购项目编号为：</w:t>
      </w:r>
      <w:r>
        <w:rPr>
          <w:u w:val="single"/>
        </w:rPr>
        <w:t>GDDJ-2023-010</w:t>
      </w:r>
      <w:r>
        <w:rPr/>
        <w:t>]，我方愿参与响应。</w:t>
      </w:r>
    </w:p>
    <w:p>
      <w:pPr>
        <w:ind w:firstLine="480"/>
      </w:pPr>
      <w:r>
        <w:rPr/>
        <w:t>我方确认收到贵方提供的</w:t>
      </w:r>
      <w:r>
        <w:rPr>
          <w:u w:val="single"/>
        </w:rPr>
        <w:t>“</w:t>
      </w:r>
      <w:r>
        <w:rPr>
          <w:u w:val="single"/>
        </w:rPr>
        <w:t>高要区巩固国家卫生城市创建成果建城区病媒生物预防控制服务（2023年高要区国家卫生城市公共外环境病媒生物防制）</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广东鼎建工程咨询监理有限公司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高要区巩固国家卫生城市创建成果建城区病媒生物预防控制服务（2023年高要区国家卫生城市公共外环境病媒生物防制）</w:t>
      </w:r>
      <w:r>
        <w:rPr/>
        <w:t>”项目采购[采购项目编号为</w:t>
      </w:r>
      <w:r>
        <w:rPr/>
        <w:t>GDDJ-2023-010</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肇庆市高要区卫生健康局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广东鼎建工程咨询监理有限公司</w:t>
      </w:r>
    </w:p>
    <w:p>
      <w:pPr>
        <w:ind w:firstLine="480"/>
      </w:pPr>
      <w:r>
        <w:rPr/>
        <w:t>我单位参加贵公司组织的</w:t>
      </w:r>
      <w:r>
        <w:rPr/>
        <w:t>高要区巩固国家卫生城市创建成果建城区病媒生物预防控制服务（2023年高要区国家卫生城市公共外环境病媒生物防制）</w:t>
      </w:r>
      <w:r>
        <w:rPr/>
        <w:t>（采购项目编号：</w:t>
      </w:r>
      <w:r>
        <w:rPr/>
        <w:t>GDDJ-2023-010</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广东鼎建工程咨询监理有限公司</w:t>
      </w:r>
    </w:p>
    <w:p>
      <w:pPr>
        <w:ind w:firstLine="480"/>
      </w:pPr>
      <w:r>
        <w:rPr/>
        <w:t>我单位已登记并准备参与“</w:t>
      </w:r>
      <w:r>
        <w:rPr/>
        <w:t>高要区巩固国家卫生城市创建成果建城区病媒生物预防控制服务（2023年高要区国家卫生城市公共外环境病媒生物防制）</w:t>
      </w:r>
      <w:r>
        <w:rPr/>
        <w:t>”项目（采购项目编号：</w:t>
      </w:r>
      <w:r>
        <w:rPr/>
        <w:t>GDDJ-2023-010</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