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440115-2023-03563</w:t>
      </w:r>
    </w:p>
    <w:p>
      <w:pPr>
        <w:jc w:val="center"/>
      </w:pPr>
      <w:r>
        <w:rPr>
          <w:b/>
          <w:sz w:val="24"/>
        </w:rPr>
        <w:t>采购项目编号：</w:t>
      </w:r>
      <w:r>
        <w:rPr>
          <w:b/>
          <w:sz w:val="24"/>
        </w:rPr>
        <w:t>PZGKCZ230312</w:t>
      </w:r>
    </w:p>
    <w:p>
      <w:pPr>
        <w:jc w:val="center"/>
      </w:pPr>
      <w:r>
        <w:rPr>
          <w:b/>
          <w:sz w:val="24"/>
        </w:rPr>
        <w:t>项目名称：</w:t>
      </w:r>
      <w:r>
        <w:rPr>
          <w:b/>
          <w:sz w:val="24"/>
        </w:rPr>
        <w:t>榄核镇除“四害”消杀服务项目</w:t>
      </w:r>
    </w:p>
    <w:p>
      <w:pPr>
        <w:jc w:val="center"/>
      </w:pPr>
      <w:r>
        <w:rPr>
          <w:b/>
          <w:sz w:val="24"/>
        </w:rPr>
        <w:t>采购人：</w:t>
      </w:r>
      <w:r>
        <w:rPr>
          <w:b/>
          <w:sz w:val="24"/>
        </w:rPr>
        <w:t>广州市南沙区榄核镇人民政府</w:t>
      </w:r>
    </w:p>
    <w:p>
      <w:pPr>
        <w:jc w:val="center"/>
      </w:pPr>
      <w:r>
        <w:rPr>
          <w:b/>
          <w:sz w:val="24"/>
        </w:rPr>
        <w:t>采购代理机构：</w:t>
      </w:r>
      <w:r>
        <w:rPr>
          <w:b/>
          <w:sz w:val="24"/>
        </w:rPr>
        <w:t>品正招标采购（广州）有限公司</w:t>
      </w:r>
    </w:p>
    <w:p>
      <w:pPr>
        <w:ind w:firstLine="480"/>
      </w:pPr>
    </w:p>
    <w:p>
      <w:r>
        <w:rPr/>
        <w:t xml:space="preserve"> </w:t>
      </w:r>
    </w:p>
    <w:p/>
    <w:p>
      <w:pPr>
        <w:jc w:val="center"/>
      </w:pPr>
      <w:r>
        <w:rPr>
          <w:b/>
          <w:sz w:val="36"/>
        </w:rPr>
        <w:t>第一章投标邀请</w:t>
      </w:r>
    </w:p>
    <w:p>
      <w:pPr>
        <w:ind w:firstLine="480"/>
      </w:pPr>
      <w:r>
        <w:rPr/>
        <w:t>品正招标采购（广州）有限公司</w:t>
      </w:r>
      <w:r>
        <w:rPr/>
        <w:t>受</w:t>
      </w:r>
      <w:r>
        <w:rPr/>
        <w:t>广州市南沙区榄核镇人民政府</w:t>
      </w:r>
      <w:r>
        <w:rPr/>
        <w:t>的委托，采用</w:t>
      </w:r>
      <w:r>
        <w:rPr/>
        <w:t>公开招标</w:t>
      </w:r>
      <w:r>
        <w:rPr/>
        <w:t>方式组织采购</w:t>
      </w:r>
      <w:r>
        <w:rPr/>
        <w:t>榄核镇除“四害”消杀服务项目</w:t>
      </w:r>
      <w:r>
        <w:rPr/>
        <w:t>。欢迎符合资格条件的国内供应商参加投标。</w:t>
      </w:r>
    </w:p>
    <w:p>
      <w:r>
        <w:rPr>
          <w:b/>
          <w:sz w:val="28"/>
        </w:rPr>
        <w:t>一.项目概述</w:t>
      </w:r>
    </w:p>
    <w:p>
      <w:r>
        <w:rPr>
          <w:b/>
          <w:sz w:val="24"/>
        </w:rPr>
        <w:t>1.名称与编号</w:t>
      </w:r>
    </w:p>
    <w:p>
      <w:pPr>
        <w:ind w:firstLine="480"/>
      </w:pPr>
      <w:r>
        <w:rPr/>
        <w:t>项目名称：</w:t>
      </w:r>
      <w:r>
        <w:rPr/>
        <w:t>榄核镇除“四害”消杀服务项目</w:t>
      </w:r>
    </w:p>
    <w:p>
      <w:pPr>
        <w:ind w:firstLine="480"/>
      </w:pPr>
      <w:r>
        <w:rPr/>
        <w:t>采购计划编号：</w:t>
      </w:r>
      <w:r>
        <w:rPr/>
        <w:t>440115-2023-03563</w:t>
      </w:r>
    </w:p>
    <w:p>
      <w:pPr>
        <w:ind w:firstLine="480"/>
      </w:pPr>
      <w:r>
        <w:rPr/>
        <w:t>采购项目编号：</w:t>
      </w:r>
      <w:r>
        <w:rPr/>
        <w:t>PZGKCZ230312</w:t>
      </w:r>
    </w:p>
    <w:p>
      <w:pPr>
        <w:ind w:firstLine="480"/>
      </w:pPr>
      <w:r>
        <w:rPr/>
        <w:t>采购方式：</w:t>
      </w:r>
      <w:r>
        <w:rPr/>
        <w:t>公开招标</w:t>
      </w:r>
    </w:p>
    <w:p>
      <w:pPr>
        <w:ind w:firstLine="480"/>
      </w:pPr>
      <w:r>
        <w:rPr/>
        <w:t>预算金额：</w:t>
      </w:r>
      <w:r>
        <w:rPr/>
        <w:t>1,340,000.00</w:t>
      </w:r>
      <w:r>
        <w:rPr/>
        <w:t>元</w:t>
      </w:r>
    </w:p>
    <w:p>
      <w:r>
        <w:rPr>
          <w:b/>
          <w:sz w:val="24"/>
        </w:rPr>
        <w:t>2.项目内容及需求情况（采购项目技术规格、参数及要求）</w:t>
      </w:r>
    </w:p>
    <w:p>
      <w:pPr>
        <w:ind w:firstLine="480"/>
      </w:pPr>
    </w:p>
    <w:p/>
    <w:p>
      <w:r>
        <w:rPr/>
        <w:t>采购包1(榄核镇除“四害”消杀服务项目):</w:t>
      </w:r>
    </w:p>
    <w:p>
      <w:r>
        <w:rPr/>
        <w:t>采购包预算金额：1,340,000.00元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其他服务</w:t>
            </w:r>
          </w:p>
        </w:tc>
        <w:tc>
          <w:tcPr>
            <w:tcW w:type="dxa" w:w="2136"/>
          </w:tcPr>
          <w:p>
            <w:r>
              <w:rPr/>
              <w:t>榄核镇除“四害”消杀服务</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本采购包不接受联合体投标</w:t>
      </w:r>
    </w:p>
    <w:p/>
    <w:p>
      <w:r>
        <w:rPr/>
        <w:t>合同履行期限：自合同签订之日起1年。</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具有独立承担民事责任的能力：在中华人民共和国境内注册的法人，投标（响应）时提交有效的营业执照副本复印件。分支机构投标的，须提供总公司和分公司营业执照副本复印件，总公司出具给分支机构的授权书。分公司已获得总公司有效授权的，总公司取得的相关资质证书对分公司有效。若法律法规或招标文件另有规定的从其规定）</w:t>
      </w:r>
    </w:p>
    <w:p/>
    <w:p>
      <w:r>
        <w:rPr/>
        <w:t>2）有依法缴纳税收和社会保障资金的良好记录：依据《投标函》。</w:t>
      </w:r>
    </w:p>
    <w:p/>
    <w:p>
      <w:r>
        <w:rPr/>
        <w:t>3）具有良好的商业信誉和健全的财务会计制度：依据《投标函》。</w:t>
      </w:r>
    </w:p>
    <w:p/>
    <w:p>
      <w:r>
        <w:rPr/>
        <w:t>4）履行合同所必需的设备和专业技术能力：依据《投标函》。</w:t>
      </w:r>
    </w:p>
    <w:p/>
    <w:p>
      <w:r>
        <w:rPr/>
        <w:t>5）参加采购活动前3年内，在经营活动中没有重大违法记录：依据《投标函》。</w:t>
      </w:r>
    </w:p>
    <w:p/>
    <w:p>
      <w:r>
        <w:rPr>
          <w:b/>
          <w:sz w:val="24"/>
        </w:rPr>
        <w:t>2.落实政府采购政策需满足的资格要求：</w:t>
      </w:r>
    </w:p>
    <w:p>
      <w:pPr>
        <w:ind w:firstLine="480"/>
      </w:pPr>
    </w:p>
    <w:p>
      <w:pPr>
        <w:jc w:val="left"/>
      </w:pPr>
    </w:p>
    <w:p>
      <w:r>
        <w:rPr/>
        <w:t>采购包1（榄核镇除“四害”消杀服务项目）：</w:t>
      </w:r>
      <w:r>
        <w:rPr/>
        <w:t>本项目属于专门面向中小微企业采购的项目，全部货物的制造商应为中小微企业、监狱企业或残疾人福利性单位【依据《中小企业声明函》或由省级以上监狱管理局、戒毒管理局(含新疆生产建设兵团)出具的制造商属于监狱企业的证明文件或制造商的《残疾人福利性单位声明函》】。</w:t>
      </w:r>
    </w:p>
    <w:p/>
    <w:p>
      <w:r>
        <w:rPr>
          <w:b/>
          <w:sz w:val="24"/>
        </w:rPr>
        <w:t>3.本项目特定的资格要求：</w:t>
      </w:r>
    </w:p>
    <w:p>
      <w:pPr>
        <w:ind w:firstLine="480"/>
      </w:pPr>
    </w:p>
    <w:p/>
    <w:p>
      <w:r>
        <w:rPr/>
        <w:t>采购包1（榄核镇除“四害”消杀服务项目）：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依据《投标函》。</w:t>
      </w:r>
    </w:p>
    <w:p/>
    <w:p>
      <w:r>
        <w:rPr/>
        <w:t>3)本项目不接受联合体响应。</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广州市南沙区榄核镇人民政府</w:t>
      </w:r>
    </w:p>
    <w:p>
      <w:pPr>
        <w:ind w:firstLine="480"/>
      </w:pPr>
      <w:r>
        <w:rPr/>
        <w:t>地址：</w:t>
      </w:r>
      <w:r>
        <w:rPr/>
        <w:t>广州市南沙区榄核镇镇南路67号</w:t>
      </w:r>
    </w:p>
    <w:p>
      <w:pPr>
        <w:ind w:firstLine="480"/>
      </w:pPr>
      <w:r>
        <w:rPr/>
        <w:t>联系方式：</w:t>
      </w:r>
      <w:r>
        <w:rPr/>
        <w:t>020-31094605</w:t>
      </w:r>
    </w:p>
    <w:p>
      <w:r>
        <w:rPr>
          <w:b/>
          <w:sz w:val="24"/>
        </w:rPr>
        <w:t>2.采购代理机构信息</w:t>
      </w:r>
    </w:p>
    <w:p>
      <w:pPr>
        <w:ind w:firstLine="480"/>
      </w:pPr>
      <w:r>
        <w:rPr/>
        <w:t>名称：</w:t>
      </w:r>
      <w:r>
        <w:rPr/>
        <w:t>品正招标采购（广州）有限公司</w:t>
      </w:r>
    </w:p>
    <w:p>
      <w:pPr>
        <w:ind w:firstLine="480"/>
      </w:pPr>
      <w:r>
        <w:rPr/>
        <w:t>地址：</w:t>
      </w:r>
      <w:r>
        <w:rPr/>
        <w:t>广东省广州市南沙区东涌镇大同村市南公路13号茂源创意园A座302</w:t>
      </w:r>
    </w:p>
    <w:p>
      <w:pPr>
        <w:ind w:firstLine="480"/>
      </w:pPr>
      <w:r>
        <w:rPr/>
        <w:t>联系方式：</w:t>
      </w:r>
      <w:r>
        <w:rPr/>
        <w:t>020-22634050</w:t>
      </w:r>
    </w:p>
    <w:p>
      <w:r>
        <w:rPr>
          <w:b/>
          <w:sz w:val="24"/>
        </w:rPr>
        <w:t>3.项目联系方式</w:t>
      </w:r>
    </w:p>
    <w:p>
      <w:pPr>
        <w:ind w:firstLine="480"/>
      </w:pPr>
      <w:r>
        <w:rPr/>
        <w:t>项目联系人：</w:t>
      </w:r>
      <w:r>
        <w:rPr/>
        <w:t>品正招标采购（广州）有限公司</w:t>
      </w:r>
    </w:p>
    <w:p>
      <w:pPr>
        <w:ind w:firstLine="480"/>
      </w:pPr>
      <w:r>
        <w:rPr/>
        <w:t>电话：</w:t>
      </w:r>
      <w:r>
        <w:rPr/>
        <w:t>020-22634050</w:t>
      </w:r>
    </w:p>
    <w:p>
      <w:r>
        <w:rPr>
          <w:b/>
          <w:sz w:val="24"/>
        </w:rPr>
        <w:t>4.技术支持联系方式</w:t>
      </w:r>
    </w:p>
    <w:p>
      <w:pPr>
        <w:ind w:firstLine="480"/>
      </w:pPr>
      <w:r>
        <w:rPr/>
        <w:t>云平台联系方式：020-88696588</w:t>
      </w:r>
    </w:p>
    <w:p>
      <w:r>
        <w:rPr/>
        <w:t>采购代理机构：</w:t>
      </w:r>
      <w:r>
        <w:rPr/>
        <w:t>品正招标采购（广州）有限公司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2"/>
        <w:jc w:val="both"/>
      </w:pPr>
      <w:r>
        <w:rPr>
          <w:b/>
          <w:sz w:val="21"/>
        </w:rPr>
        <w:t>一、采购范围</w:t>
      </w:r>
      <w:r>
        <w:rPr>
          <w:b/>
          <w:sz w:val="21"/>
        </w:rPr>
        <w:t>：</w:t>
      </w:r>
    </w:p>
    <w:p>
      <w:pPr>
        <w:ind w:firstLine="420"/>
        <w:jc w:val="both"/>
      </w:pPr>
      <w:r>
        <w:rPr>
          <w:sz w:val="21"/>
        </w:rPr>
        <w:t>１.采购项目名称：榄核镇除“四害”消杀服务项目</w:t>
      </w:r>
    </w:p>
    <w:p>
      <w:pPr>
        <w:ind w:firstLine="420"/>
        <w:jc w:val="both"/>
      </w:pPr>
      <w:r>
        <w:rPr>
          <w:sz w:val="21"/>
        </w:rPr>
        <w:t>２.采购内容：</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2461"/>
        <w:gridCol w:w="1230"/>
        <w:gridCol w:w="1258"/>
        <w:gridCol w:w="1705"/>
        <w:gridCol w:w="1650"/>
      </w:tblGrid>
      <w:tr>
        <w:tc>
          <w:tcPr>
            <w:tcW w:type="dxa" w:w="2461"/>
            <w:tcBorders>
              <w:top w:val="single" w:color="000000" w:sz="4"/>
              <w:left w:val="single" w:color="000000" w:sz="4"/>
              <w:bottom w:val="single" w:color="000000" w:sz="4"/>
              <w:right w:val="single" w:color="000000" w:sz="4"/>
            </w:tcBorders>
            <w:shd w:fill="E0E0E0"/>
          </w:tcPr>
          <w:p>
            <w:pPr>
              <w:jc w:val="center"/>
            </w:pPr>
            <w:r>
              <w:rPr>
                <w:b/>
                <w:sz w:val="21"/>
              </w:rPr>
              <w:t>项目内容</w:t>
            </w:r>
          </w:p>
        </w:tc>
        <w:tc>
          <w:tcPr>
            <w:tcW w:type="dxa" w:w="1230"/>
            <w:tcBorders>
              <w:top w:val="single" w:color="000000" w:sz="4"/>
              <w:left w:val="none" w:color="000000" w:sz="4"/>
              <w:bottom w:val="single" w:color="000000" w:sz="4"/>
              <w:right w:val="single" w:color="000000" w:sz="4"/>
            </w:tcBorders>
            <w:shd w:fill="E0E0E0"/>
          </w:tcPr>
          <w:p>
            <w:pPr>
              <w:jc w:val="center"/>
            </w:pPr>
            <w:r>
              <w:rPr>
                <w:b/>
                <w:sz w:val="21"/>
              </w:rPr>
              <w:t>类 别</w:t>
            </w:r>
          </w:p>
        </w:tc>
        <w:tc>
          <w:tcPr>
            <w:tcW w:type="dxa" w:w="1258"/>
            <w:tcBorders>
              <w:top w:val="single" w:color="000000" w:sz="4"/>
              <w:left w:val="none" w:color="000000" w:sz="4"/>
              <w:bottom w:val="single" w:color="000000" w:sz="4"/>
              <w:right w:val="single" w:color="000000" w:sz="4"/>
            </w:tcBorders>
            <w:shd w:fill="E0E0E0"/>
          </w:tcPr>
          <w:p>
            <w:pPr>
              <w:jc w:val="center"/>
            </w:pPr>
            <w:r>
              <w:rPr>
                <w:b/>
                <w:sz w:val="21"/>
              </w:rPr>
              <w:t>数 量</w:t>
            </w:r>
          </w:p>
        </w:tc>
        <w:tc>
          <w:tcPr>
            <w:tcW w:type="dxa" w:w="1705"/>
            <w:tcBorders>
              <w:top w:val="single" w:color="000000" w:sz="4"/>
              <w:left w:val="none" w:color="000000" w:sz="4"/>
              <w:bottom w:val="single" w:color="000000" w:sz="4"/>
              <w:right w:val="single" w:color="000000" w:sz="4"/>
            </w:tcBorders>
            <w:shd w:fill="E0E0E0"/>
          </w:tcPr>
          <w:p>
            <w:pPr>
              <w:jc w:val="center"/>
            </w:pPr>
            <w:r>
              <w:rPr>
                <w:b/>
                <w:sz w:val="21"/>
              </w:rPr>
              <w:t>服务期限</w:t>
            </w:r>
          </w:p>
        </w:tc>
        <w:tc>
          <w:tcPr>
            <w:tcW w:type="dxa" w:w="1650"/>
            <w:tcBorders>
              <w:top w:val="single" w:color="000000" w:sz="4"/>
              <w:left w:val="none" w:color="000000" w:sz="4"/>
              <w:bottom w:val="single" w:color="000000" w:sz="4"/>
              <w:right w:val="single" w:color="000000" w:sz="4"/>
            </w:tcBorders>
            <w:shd w:fill="E0E0E0"/>
          </w:tcPr>
          <w:p>
            <w:pPr>
              <w:jc w:val="center"/>
            </w:pPr>
            <w:r>
              <w:rPr>
                <w:b/>
                <w:sz w:val="21"/>
              </w:rPr>
              <w:t>采购预算 （人民币）</w:t>
            </w:r>
          </w:p>
        </w:tc>
      </w:tr>
      <w:tr>
        <w:tc>
          <w:tcPr>
            <w:tcW w:type="dxa" w:w="2461"/>
            <w:tcBorders>
              <w:top w:val="none" w:color="000000" w:sz="4"/>
              <w:left w:val="single" w:color="000000" w:sz="4"/>
              <w:bottom w:val="single" w:color="000000" w:sz="4"/>
              <w:right w:val="single" w:color="000000" w:sz="4"/>
            </w:tcBorders>
          </w:tcPr>
          <w:p>
            <w:pPr>
              <w:jc w:val="center"/>
            </w:pPr>
            <w:r>
              <w:rPr>
                <w:sz w:val="21"/>
              </w:rPr>
              <w:t>榄核镇除“四害”消杀服务项目</w:t>
            </w:r>
          </w:p>
        </w:tc>
        <w:tc>
          <w:tcPr>
            <w:tcW w:type="dxa" w:w="1230"/>
            <w:tcBorders>
              <w:top w:val="none" w:color="000000" w:sz="4"/>
              <w:left w:val="none" w:color="000000" w:sz="4"/>
              <w:bottom w:val="single" w:color="000000" w:sz="4"/>
              <w:right w:val="single" w:color="000000" w:sz="4"/>
            </w:tcBorders>
          </w:tcPr>
          <w:p>
            <w:pPr>
              <w:jc w:val="center"/>
            </w:pPr>
            <w:r>
              <w:rPr>
                <w:sz w:val="21"/>
              </w:rPr>
              <w:t>服务类</w:t>
            </w:r>
          </w:p>
        </w:tc>
        <w:tc>
          <w:tcPr>
            <w:tcW w:type="dxa" w:w="1258"/>
            <w:tcBorders>
              <w:top w:val="none" w:color="000000" w:sz="4"/>
              <w:left w:val="none" w:color="000000" w:sz="4"/>
              <w:bottom w:val="single" w:color="000000" w:sz="4"/>
              <w:right w:val="single" w:color="000000" w:sz="4"/>
            </w:tcBorders>
          </w:tcPr>
          <w:p>
            <w:pPr>
              <w:jc w:val="center"/>
            </w:pPr>
            <w:r>
              <w:rPr>
                <w:sz w:val="21"/>
              </w:rPr>
              <w:t>1</w:t>
            </w:r>
            <w:r>
              <w:rPr>
                <w:sz w:val="21"/>
              </w:rPr>
              <w:t>项</w:t>
            </w:r>
          </w:p>
        </w:tc>
        <w:tc>
          <w:tcPr>
            <w:tcW w:type="dxa" w:w="1705"/>
            <w:tcBorders>
              <w:top w:val="none" w:color="000000" w:sz="4"/>
              <w:left w:val="none" w:color="000000" w:sz="4"/>
              <w:bottom w:val="single" w:color="000000" w:sz="4"/>
              <w:right w:val="single" w:color="000000" w:sz="4"/>
            </w:tcBorders>
          </w:tcPr>
          <w:p>
            <w:pPr>
              <w:jc w:val="center"/>
            </w:pPr>
            <w:r>
              <w:rPr>
                <w:sz w:val="21"/>
              </w:rPr>
              <w:t>自合同签订</w:t>
            </w:r>
          </w:p>
          <w:p>
            <w:pPr>
              <w:jc w:val="center"/>
            </w:pPr>
            <w:r>
              <w:rPr>
                <w:sz w:val="21"/>
              </w:rPr>
              <w:t>之日起1年</w:t>
            </w:r>
          </w:p>
        </w:tc>
        <w:tc>
          <w:tcPr>
            <w:tcW w:type="dxa" w:w="1650"/>
            <w:tcBorders>
              <w:top w:val="none" w:color="000000" w:sz="4"/>
              <w:left w:val="none" w:color="000000" w:sz="4"/>
              <w:bottom w:val="single" w:color="000000" w:sz="4"/>
              <w:right w:val="single" w:color="000000" w:sz="4"/>
            </w:tcBorders>
          </w:tcPr>
          <w:p>
            <w:pPr>
              <w:jc w:val="center"/>
            </w:pPr>
            <w:r>
              <w:rPr>
                <w:sz w:val="21"/>
              </w:rPr>
              <w:t>134</w:t>
            </w:r>
            <w:r>
              <w:rPr>
                <w:sz w:val="21"/>
              </w:rPr>
              <w:t>万元</w:t>
            </w:r>
          </w:p>
        </w:tc>
      </w:tr>
    </w:tbl>
    <w:p>
      <w:pPr>
        <w:ind w:firstLine="420"/>
        <w:jc w:val="both"/>
      </w:pPr>
      <w:r>
        <w:rPr>
          <w:sz w:val="21"/>
        </w:rPr>
        <w:t>投标人应对本项目进行整体投标，不允许只对其中部分内容进行投标，任何只对其中一部分内容进行的响应都被视为无效响应。</w:t>
      </w:r>
    </w:p>
    <w:p>
      <w:pPr>
        <w:ind w:firstLine="210"/>
        <w:jc w:val="both"/>
      </w:pPr>
      <w:r>
        <w:rPr>
          <w:sz w:val="21"/>
        </w:rPr>
        <w:t>　</w:t>
      </w:r>
      <w:r>
        <w:rPr>
          <w:sz w:val="21"/>
        </w:rPr>
        <w:t>３.</w:t>
      </w:r>
      <w:r>
        <w:rPr>
          <w:sz w:val="21"/>
        </w:rPr>
        <w:t>成交供应商不得以任何方式转包或分包本项目。</w:t>
      </w:r>
    </w:p>
    <w:p>
      <w:pPr>
        <w:ind w:firstLine="422"/>
        <w:jc w:val="both"/>
      </w:pPr>
      <w:r>
        <w:rPr>
          <w:b/>
          <w:sz w:val="21"/>
        </w:rPr>
        <w:t>二、工作内容及职责：</w:t>
      </w:r>
    </w:p>
    <w:p>
      <w:pPr>
        <w:ind w:firstLine="420"/>
        <w:jc w:val="both"/>
      </w:pPr>
      <w:r>
        <w:rPr>
          <w:sz w:val="21"/>
        </w:rPr>
        <w:t>1.</w:t>
      </w:r>
      <w:r>
        <w:rPr>
          <w:sz w:val="21"/>
        </w:rPr>
        <w:t>合同签订之日成交供应商须根据采购方的要求使用车载式超低容量喷雾机、常量喷雾器、背负式超低容量喷雾机及杀蟑烟雾机对全镇23个村、1个社区、2个农场、及重点场所（辖区内机关单位、中（小）学校，幼儿园外环境、农贸市场、公园、政府大院、道路绿化、垃圾中转站、隔离场所等）面积约74.48平方千米进行全面除四害工作。服务次数不少于37次，采购方可根据天气、上级检查或其他原因调整每月消杀次数，但年度总消杀次数不变（详见下表月份服务次数）。消杀药物由采购方提供，除此外的其他所有设备和耗材由成交供应商自行提供，成交供应商需根据技术要求为采购方采购药物提供技术指导。</w:t>
      </w:r>
    </w:p>
    <w:p>
      <w:pPr>
        <w:jc w:val="both"/>
      </w:pPr>
      <w:r>
        <w:rPr>
          <w:b/>
          <w:sz w:val="21"/>
        </w:rPr>
        <w:t>月份服务次数：</w:t>
      </w:r>
    </w:p>
    <w:tbl>
      <w:tblPr>
        <w:tblW w:w="0" w:type="auto"/>
        <w:tblInd w:type="dxa" w:w="135"/>
        <w:tblBorders>
          <w:top w:val="single"/>
          <w:left w:val="single"/>
          <w:bottom w:val="single"/>
          <w:right w:val="single"/>
          <w:insideH w:val="single"/>
          <w:insideV w:val="single"/>
        </w:tblBorders>
      </w:tblPr>
      <w:tblGrid>
        <w:gridCol w:w="624"/>
        <w:gridCol w:w="455"/>
        <w:gridCol w:w="455"/>
        <w:gridCol w:w="455"/>
        <w:gridCol w:w="455"/>
        <w:gridCol w:w="455"/>
        <w:gridCol w:w="455"/>
        <w:gridCol w:w="455"/>
        <w:gridCol w:w="455"/>
        <w:gridCol w:w="520"/>
        <w:gridCol w:w="390"/>
        <w:gridCol w:w="455"/>
        <w:gridCol w:w="455"/>
        <w:gridCol w:w="963"/>
        <w:gridCol w:w="1262"/>
      </w:tblGrid>
      <w:tr>
        <w:tc>
          <w:tcPr>
            <w:tcW w:type="dxa" w:w="624"/>
            <w:tcBorders>
              <w:top w:val="single" w:color="000000" w:sz="4"/>
              <w:left w:val="single" w:color="000000" w:sz="4"/>
              <w:bottom w:val="single" w:color="000000" w:sz="4"/>
              <w:right w:val="single" w:color="000000" w:sz="4"/>
            </w:tcBorders>
          </w:tcPr>
          <w:p>
            <w:pPr>
              <w:jc w:val="center"/>
            </w:pPr>
            <w:r>
              <w:rPr>
                <w:b/>
                <w:sz w:val="21"/>
              </w:rPr>
              <w:t>月份</w:t>
            </w:r>
          </w:p>
        </w:tc>
        <w:tc>
          <w:tcPr>
            <w:tcW w:type="dxa" w:w="455"/>
            <w:tcBorders>
              <w:top w:val="single" w:color="000000" w:sz="4"/>
              <w:left w:val="none" w:color="000000" w:sz="4"/>
              <w:bottom w:val="single" w:color="000000" w:sz="4"/>
              <w:right w:val="single" w:color="000000" w:sz="4"/>
            </w:tcBorders>
          </w:tcPr>
          <w:p>
            <w:pPr>
              <w:jc w:val="center"/>
            </w:pPr>
            <w:r>
              <w:rPr>
                <w:b/>
                <w:sz w:val="21"/>
              </w:rPr>
              <w:t>一</w:t>
            </w:r>
          </w:p>
        </w:tc>
        <w:tc>
          <w:tcPr>
            <w:tcW w:type="dxa" w:w="455"/>
            <w:tcBorders>
              <w:top w:val="single" w:color="000000" w:sz="4"/>
              <w:left w:val="none" w:color="000000" w:sz="4"/>
              <w:bottom w:val="single" w:color="000000" w:sz="4"/>
              <w:right w:val="single" w:color="000000" w:sz="4"/>
            </w:tcBorders>
          </w:tcPr>
          <w:p>
            <w:pPr>
              <w:jc w:val="center"/>
            </w:pPr>
            <w:r>
              <w:rPr>
                <w:b/>
                <w:sz w:val="21"/>
              </w:rPr>
              <w:t>二</w:t>
            </w:r>
          </w:p>
        </w:tc>
        <w:tc>
          <w:tcPr>
            <w:tcW w:type="dxa" w:w="455"/>
            <w:tcBorders>
              <w:top w:val="single" w:color="000000" w:sz="4"/>
              <w:left w:val="none" w:color="000000" w:sz="4"/>
              <w:bottom w:val="single" w:color="000000" w:sz="4"/>
              <w:right w:val="single" w:color="000000" w:sz="4"/>
            </w:tcBorders>
          </w:tcPr>
          <w:p>
            <w:pPr>
              <w:jc w:val="center"/>
            </w:pPr>
            <w:r>
              <w:rPr>
                <w:b/>
                <w:sz w:val="21"/>
              </w:rPr>
              <w:t>三</w:t>
            </w:r>
          </w:p>
        </w:tc>
        <w:tc>
          <w:tcPr>
            <w:tcW w:type="dxa" w:w="455"/>
            <w:tcBorders>
              <w:top w:val="single" w:color="000000" w:sz="4"/>
              <w:left w:val="none" w:color="000000" w:sz="4"/>
              <w:bottom w:val="single" w:color="000000" w:sz="4"/>
              <w:right w:val="single" w:color="000000" w:sz="4"/>
            </w:tcBorders>
          </w:tcPr>
          <w:p>
            <w:pPr>
              <w:jc w:val="center"/>
            </w:pPr>
            <w:r>
              <w:rPr>
                <w:b/>
                <w:sz w:val="21"/>
              </w:rPr>
              <w:t>四</w:t>
            </w:r>
          </w:p>
        </w:tc>
        <w:tc>
          <w:tcPr>
            <w:tcW w:type="dxa" w:w="455"/>
            <w:tcBorders>
              <w:top w:val="single" w:color="000000" w:sz="4"/>
              <w:left w:val="none" w:color="000000" w:sz="4"/>
              <w:bottom w:val="single" w:color="000000" w:sz="4"/>
              <w:right w:val="single" w:color="000000" w:sz="4"/>
            </w:tcBorders>
          </w:tcPr>
          <w:p>
            <w:pPr>
              <w:jc w:val="center"/>
            </w:pPr>
            <w:r>
              <w:rPr>
                <w:b/>
                <w:sz w:val="21"/>
              </w:rPr>
              <w:t>五</w:t>
            </w:r>
          </w:p>
        </w:tc>
        <w:tc>
          <w:tcPr>
            <w:tcW w:type="dxa" w:w="455"/>
            <w:tcBorders>
              <w:top w:val="single" w:color="000000" w:sz="4"/>
              <w:left w:val="none" w:color="000000" w:sz="4"/>
              <w:bottom w:val="single" w:color="000000" w:sz="4"/>
              <w:right w:val="single" w:color="000000" w:sz="4"/>
            </w:tcBorders>
          </w:tcPr>
          <w:p>
            <w:pPr>
              <w:jc w:val="center"/>
            </w:pPr>
            <w:r>
              <w:rPr>
                <w:b/>
                <w:sz w:val="21"/>
              </w:rPr>
              <w:t>六</w:t>
            </w:r>
          </w:p>
        </w:tc>
        <w:tc>
          <w:tcPr>
            <w:tcW w:type="dxa" w:w="455"/>
            <w:tcBorders>
              <w:top w:val="single" w:color="000000" w:sz="4"/>
              <w:left w:val="none" w:color="000000" w:sz="4"/>
              <w:bottom w:val="single" w:color="000000" w:sz="4"/>
              <w:right w:val="single" w:color="000000" w:sz="4"/>
            </w:tcBorders>
          </w:tcPr>
          <w:p>
            <w:pPr>
              <w:jc w:val="center"/>
            </w:pPr>
            <w:r>
              <w:rPr>
                <w:b/>
                <w:sz w:val="21"/>
              </w:rPr>
              <w:t>七</w:t>
            </w:r>
          </w:p>
        </w:tc>
        <w:tc>
          <w:tcPr>
            <w:tcW w:type="dxa" w:w="455"/>
            <w:tcBorders>
              <w:top w:val="single" w:color="000000" w:sz="4"/>
              <w:left w:val="none" w:color="000000" w:sz="4"/>
              <w:bottom w:val="single" w:color="000000" w:sz="4"/>
              <w:right w:val="single" w:color="000000" w:sz="4"/>
            </w:tcBorders>
          </w:tcPr>
          <w:p>
            <w:pPr>
              <w:jc w:val="center"/>
            </w:pPr>
            <w:r>
              <w:rPr>
                <w:b/>
                <w:sz w:val="21"/>
              </w:rPr>
              <w:t>八</w:t>
            </w:r>
          </w:p>
        </w:tc>
        <w:tc>
          <w:tcPr>
            <w:tcW w:type="dxa" w:w="520"/>
            <w:tcBorders>
              <w:top w:val="single" w:color="000000" w:sz="4"/>
              <w:left w:val="none" w:color="000000" w:sz="4"/>
              <w:bottom w:val="single" w:color="000000" w:sz="4"/>
              <w:right w:val="single" w:color="000000" w:sz="4"/>
            </w:tcBorders>
          </w:tcPr>
          <w:p>
            <w:pPr>
              <w:jc w:val="center"/>
            </w:pPr>
            <w:r>
              <w:rPr>
                <w:b/>
                <w:sz w:val="21"/>
              </w:rPr>
              <w:t>九</w:t>
            </w:r>
          </w:p>
        </w:tc>
        <w:tc>
          <w:tcPr>
            <w:tcW w:type="dxa" w:w="390"/>
            <w:tcBorders>
              <w:top w:val="single" w:color="000000" w:sz="4"/>
              <w:left w:val="none" w:color="000000" w:sz="4"/>
              <w:bottom w:val="single" w:color="000000" w:sz="4"/>
              <w:right w:val="single" w:color="000000" w:sz="4"/>
            </w:tcBorders>
          </w:tcPr>
          <w:p>
            <w:pPr>
              <w:jc w:val="center"/>
            </w:pPr>
            <w:r>
              <w:rPr>
                <w:b/>
                <w:sz w:val="21"/>
              </w:rPr>
              <w:t>十</w:t>
            </w:r>
          </w:p>
        </w:tc>
        <w:tc>
          <w:tcPr>
            <w:tcW w:type="dxa" w:w="455"/>
            <w:tcBorders>
              <w:top w:val="single" w:color="000000" w:sz="4"/>
              <w:left w:val="none" w:color="000000" w:sz="4"/>
              <w:bottom w:val="single" w:color="000000" w:sz="4"/>
              <w:right w:val="single" w:color="000000" w:sz="4"/>
            </w:tcBorders>
          </w:tcPr>
          <w:p>
            <w:pPr>
              <w:jc w:val="center"/>
            </w:pPr>
            <w:r>
              <w:rPr>
                <w:b/>
                <w:sz w:val="21"/>
              </w:rPr>
              <w:t>十一</w:t>
            </w:r>
          </w:p>
        </w:tc>
        <w:tc>
          <w:tcPr>
            <w:tcW w:type="dxa" w:w="455"/>
            <w:tcBorders>
              <w:top w:val="single" w:color="000000" w:sz="4"/>
              <w:left w:val="none" w:color="000000" w:sz="4"/>
              <w:bottom w:val="single" w:color="000000" w:sz="4"/>
              <w:right w:val="single" w:color="000000" w:sz="4"/>
            </w:tcBorders>
          </w:tcPr>
          <w:p>
            <w:pPr>
              <w:jc w:val="center"/>
            </w:pPr>
            <w:r>
              <w:rPr>
                <w:b/>
                <w:sz w:val="21"/>
              </w:rPr>
              <w:t>十二</w:t>
            </w:r>
          </w:p>
        </w:tc>
        <w:tc>
          <w:tcPr>
            <w:tcW w:type="dxa" w:w="963"/>
            <w:tcBorders>
              <w:top w:val="single" w:color="000000" w:sz="4"/>
              <w:left w:val="none" w:color="000000" w:sz="4"/>
              <w:bottom w:val="single" w:color="000000" w:sz="4"/>
              <w:right w:val="single" w:color="000000" w:sz="4"/>
            </w:tcBorders>
          </w:tcPr>
          <w:p>
            <w:pPr>
              <w:jc w:val="center"/>
            </w:pPr>
            <w:r>
              <w:rPr>
                <w:b/>
                <w:sz w:val="21"/>
              </w:rPr>
              <w:t>合计</w:t>
            </w:r>
          </w:p>
          <w:p>
            <w:pPr>
              <w:jc w:val="center"/>
            </w:pPr>
            <w:r>
              <w:rPr>
                <w:b/>
                <w:sz w:val="21"/>
              </w:rPr>
              <w:t>（次数）</w:t>
            </w:r>
          </w:p>
        </w:tc>
        <w:tc>
          <w:tcPr>
            <w:tcW w:type="dxa" w:w="1262"/>
            <w:tcBorders>
              <w:top w:val="single" w:color="000000" w:sz="4"/>
              <w:left w:val="none" w:color="000000" w:sz="4"/>
              <w:bottom w:val="single" w:color="000000" w:sz="4"/>
              <w:right w:val="single" w:color="000000" w:sz="4"/>
            </w:tcBorders>
          </w:tcPr>
          <w:p>
            <w:pPr>
              <w:jc w:val="center"/>
            </w:pPr>
            <w:r>
              <w:rPr>
                <w:b/>
                <w:sz w:val="21"/>
              </w:rPr>
              <w:t>备注</w:t>
            </w:r>
          </w:p>
        </w:tc>
      </w:tr>
      <w:tr>
        <w:tc>
          <w:tcPr>
            <w:tcW w:type="dxa" w:w="624"/>
            <w:tcBorders>
              <w:top w:val="none" w:color="000000" w:sz="4"/>
              <w:left w:val="single" w:color="000000" w:sz="4"/>
              <w:bottom w:val="single" w:color="000000" w:sz="4"/>
              <w:right w:val="single" w:color="000000" w:sz="4"/>
            </w:tcBorders>
          </w:tcPr>
          <w:p>
            <w:pPr>
              <w:jc w:val="center"/>
            </w:pPr>
            <w:r>
              <w:rPr>
                <w:b/>
                <w:sz w:val="21"/>
              </w:rPr>
              <w:t>服务次数</w:t>
            </w:r>
          </w:p>
        </w:tc>
        <w:tc>
          <w:tcPr>
            <w:tcW w:type="dxa" w:w="455"/>
            <w:tcBorders>
              <w:top w:val="none" w:color="000000" w:sz="4"/>
              <w:left w:val="none" w:color="000000" w:sz="4"/>
              <w:bottom w:val="single" w:color="000000" w:sz="4"/>
              <w:right w:val="single" w:color="000000" w:sz="4"/>
            </w:tcBorders>
          </w:tcPr>
          <w:p>
            <w:pPr>
              <w:jc w:val="center"/>
            </w:pPr>
            <w:r>
              <w:rPr>
                <w:sz w:val="21"/>
              </w:rPr>
              <w:t>2</w:t>
            </w:r>
          </w:p>
        </w:tc>
        <w:tc>
          <w:tcPr>
            <w:tcW w:type="dxa" w:w="455"/>
            <w:tcBorders>
              <w:top w:val="none" w:color="000000" w:sz="4"/>
              <w:left w:val="none" w:color="000000" w:sz="4"/>
              <w:bottom w:val="single" w:color="000000" w:sz="4"/>
              <w:right w:val="single" w:color="000000" w:sz="4"/>
            </w:tcBorders>
          </w:tcPr>
          <w:p>
            <w:pPr>
              <w:jc w:val="center"/>
            </w:pPr>
            <w:r>
              <w:rPr>
                <w:sz w:val="21"/>
              </w:rPr>
              <w:t>2</w:t>
            </w:r>
          </w:p>
        </w:tc>
        <w:tc>
          <w:tcPr>
            <w:tcW w:type="dxa" w:w="455"/>
            <w:tcBorders>
              <w:top w:val="none" w:color="000000" w:sz="4"/>
              <w:left w:val="none" w:color="000000" w:sz="4"/>
              <w:bottom w:val="single" w:color="000000" w:sz="4"/>
              <w:right w:val="single" w:color="000000" w:sz="4"/>
            </w:tcBorders>
          </w:tcPr>
          <w:p>
            <w:pPr>
              <w:jc w:val="center"/>
            </w:pPr>
            <w:r>
              <w:rPr>
                <w:sz w:val="21"/>
              </w:rPr>
              <w:t>2</w:t>
            </w:r>
          </w:p>
        </w:tc>
        <w:tc>
          <w:tcPr>
            <w:tcW w:type="dxa" w:w="455"/>
            <w:tcBorders>
              <w:top w:val="none" w:color="000000" w:sz="4"/>
              <w:left w:val="none" w:color="000000" w:sz="4"/>
              <w:bottom w:val="single" w:color="000000" w:sz="4"/>
              <w:right w:val="single" w:color="000000" w:sz="4"/>
            </w:tcBorders>
          </w:tcPr>
          <w:p>
            <w:pPr>
              <w:jc w:val="center"/>
            </w:pPr>
            <w:r>
              <w:rPr>
                <w:sz w:val="21"/>
              </w:rPr>
              <w:t>3</w:t>
            </w:r>
          </w:p>
        </w:tc>
        <w:tc>
          <w:tcPr>
            <w:tcW w:type="dxa" w:w="455"/>
            <w:tcBorders>
              <w:top w:val="none" w:color="000000" w:sz="4"/>
              <w:left w:val="none" w:color="000000" w:sz="4"/>
              <w:bottom w:val="single" w:color="000000" w:sz="4"/>
              <w:right w:val="single" w:color="000000" w:sz="4"/>
            </w:tcBorders>
          </w:tcPr>
          <w:p>
            <w:pPr>
              <w:jc w:val="center"/>
            </w:pPr>
            <w:r>
              <w:rPr>
                <w:sz w:val="21"/>
              </w:rPr>
              <w:t>3</w:t>
            </w:r>
          </w:p>
        </w:tc>
        <w:tc>
          <w:tcPr>
            <w:tcW w:type="dxa" w:w="455"/>
            <w:tcBorders>
              <w:top w:val="none" w:color="000000" w:sz="4"/>
              <w:left w:val="none" w:color="000000" w:sz="4"/>
              <w:bottom w:val="single" w:color="000000" w:sz="4"/>
              <w:right w:val="single" w:color="000000" w:sz="4"/>
            </w:tcBorders>
          </w:tcPr>
          <w:p>
            <w:pPr>
              <w:jc w:val="center"/>
            </w:pPr>
            <w:r>
              <w:rPr>
                <w:sz w:val="21"/>
              </w:rPr>
              <w:t>4</w:t>
            </w:r>
          </w:p>
        </w:tc>
        <w:tc>
          <w:tcPr>
            <w:tcW w:type="dxa" w:w="455"/>
            <w:tcBorders>
              <w:top w:val="none" w:color="000000" w:sz="4"/>
              <w:left w:val="none" w:color="000000" w:sz="4"/>
              <w:bottom w:val="single" w:color="000000" w:sz="4"/>
              <w:right w:val="single" w:color="000000" w:sz="4"/>
            </w:tcBorders>
          </w:tcPr>
          <w:p>
            <w:pPr>
              <w:jc w:val="center"/>
            </w:pPr>
            <w:r>
              <w:rPr>
                <w:sz w:val="21"/>
              </w:rPr>
              <w:t>4</w:t>
            </w:r>
          </w:p>
        </w:tc>
        <w:tc>
          <w:tcPr>
            <w:tcW w:type="dxa" w:w="455"/>
            <w:tcBorders>
              <w:top w:val="none" w:color="000000" w:sz="4"/>
              <w:left w:val="none" w:color="000000" w:sz="4"/>
              <w:bottom w:val="single" w:color="000000" w:sz="4"/>
              <w:right w:val="single" w:color="000000" w:sz="4"/>
            </w:tcBorders>
          </w:tcPr>
          <w:p>
            <w:pPr>
              <w:jc w:val="center"/>
            </w:pPr>
            <w:r>
              <w:rPr>
                <w:sz w:val="21"/>
              </w:rPr>
              <w:t>4</w:t>
            </w:r>
          </w:p>
        </w:tc>
        <w:tc>
          <w:tcPr>
            <w:tcW w:type="dxa" w:w="520"/>
            <w:tcBorders>
              <w:top w:val="none" w:color="000000" w:sz="4"/>
              <w:left w:val="none" w:color="000000" w:sz="4"/>
              <w:bottom w:val="single" w:color="000000" w:sz="4"/>
              <w:right w:val="single" w:color="000000" w:sz="4"/>
            </w:tcBorders>
          </w:tcPr>
          <w:p>
            <w:pPr>
              <w:jc w:val="center"/>
            </w:pPr>
            <w:r>
              <w:rPr>
                <w:sz w:val="21"/>
              </w:rPr>
              <w:t>4</w:t>
            </w:r>
          </w:p>
        </w:tc>
        <w:tc>
          <w:tcPr>
            <w:tcW w:type="dxa" w:w="390"/>
            <w:tcBorders>
              <w:top w:val="none" w:color="000000" w:sz="4"/>
              <w:left w:val="none" w:color="000000" w:sz="4"/>
              <w:bottom w:val="single" w:color="000000" w:sz="4"/>
              <w:right w:val="single" w:color="000000" w:sz="4"/>
            </w:tcBorders>
          </w:tcPr>
          <w:p>
            <w:pPr>
              <w:jc w:val="center"/>
            </w:pPr>
            <w:r>
              <w:rPr>
                <w:sz w:val="21"/>
              </w:rPr>
              <w:t>4</w:t>
            </w:r>
          </w:p>
        </w:tc>
        <w:tc>
          <w:tcPr>
            <w:tcW w:type="dxa" w:w="455"/>
            <w:tcBorders>
              <w:top w:val="none" w:color="000000" w:sz="4"/>
              <w:left w:val="none" w:color="000000" w:sz="4"/>
              <w:bottom w:val="single" w:color="000000" w:sz="4"/>
              <w:right w:val="single" w:color="000000" w:sz="4"/>
            </w:tcBorders>
          </w:tcPr>
          <w:p>
            <w:pPr>
              <w:jc w:val="center"/>
            </w:pPr>
            <w:r>
              <w:rPr>
                <w:sz w:val="21"/>
              </w:rPr>
              <w:t>3</w:t>
            </w:r>
          </w:p>
        </w:tc>
        <w:tc>
          <w:tcPr>
            <w:tcW w:type="dxa" w:w="455"/>
            <w:tcBorders>
              <w:top w:val="none" w:color="000000" w:sz="4"/>
              <w:left w:val="none" w:color="000000" w:sz="4"/>
              <w:bottom w:val="single" w:color="000000" w:sz="4"/>
              <w:right w:val="single" w:color="000000" w:sz="4"/>
            </w:tcBorders>
          </w:tcPr>
          <w:p>
            <w:pPr>
              <w:jc w:val="center"/>
            </w:pPr>
            <w:r>
              <w:rPr>
                <w:sz w:val="21"/>
              </w:rPr>
              <w:t>2</w:t>
            </w:r>
          </w:p>
        </w:tc>
        <w:tc>
          <w:tcPr>
            <w:tcW w:type="dxa" w:w="963"/>
            <w:tcBorders>
              <w:top w:val="none" w:color="000000" w:sz="4"/>
              <w:left w:val="none" w:color="000000" w:sz="4"/>
              <w:bottom w:val="single" w:color="000000" w:sz="4"/>
              <w:right w:val="single" w:color="000000" w:sz="4"/>
            </w:tcBorders>
          </w:tcPr>
          <w:p>
            <w:pPr>
              <w:jc w:val="center"/>
            </w:pPr>
            <w:r>
              <w:rPr>
                <w:sz w:val="21"/>
              </w:rPr>
              <w:t>37</w:t>
            </w:r>
          </w:p>
        </w:tc>
        <w:tc>
          <w:tcPr>
            <w:tcW w:type="dxa" w:w="1262"/>
            <w:tcBorders>
              <w:top w:val="none" w:color="000000" w:sz="4"/>
              <w:left w:val="none" w:color="000000" w:sz="4"/>
              <w:bottom w:val="single" w:color="000000" w:sz="4"/>
              <w:right w:val="single" w:color="000000" w:sz="4"/>
            </w:tcBorders>
          </w:tcPr>
          <w:p>
            <w:pPr>
              <w:jc w:val="center"/>
            </w:pPr>
            <w:r>
              <w:rPr>
                <w:sz w:val="21"/>
              </w:rPr>
              <w:t>视情况随机增加3次</w:t>
            </w:r>
          </w:p>
        </w:tc>
      </w:tr>
    </w:tbl>
    <w:p>
      <w:pPr>
        <w:ind w:firstLine="420"/>
        <w:jc w:val="both"/>
      </w:pPr>
      <w:r>
        <w:rPr>
          <w:sz w:val="21"/>
        </w:rPr>
        <w:t>2.</w:t>
      </w:r>
      <w:r>
        <w:rPr>
          <w:sz w:val="21"/>
        </w:rPr>
        <w:t>成交供应商完成每月消杀工作次数外，还需完成承包区的日常病媒监测工作，按各社区、村不同的生态环境和发病率高低进行选择，根据监测指标和内容包括布雷图指数、诱蚊诱卵器指数、标准间指数、成蚊密度和生态习性等进行监测，监测结果应以正式的监测报告形式在每月10日前把上一月份报给采购方，同时负责处理在蚊媒监测和控制过程中的存在问题，并配合做好每月市、区、镇的监测工作，对监测中出现的情况马上做出相应的整改。</w:t>
      </w:r>
    </w:p>
    <w:p>
      <w:pPr>
        <w:ind w:firstLine="420"/>
        <w:jc w:val="both"/>
      </w:pPr>
      <w:r>
        <w:rPr>
          <w:sz w:val="21"/>
        </w:rPr>
        <w:t>3.</w:t>
      </w:r>
      <w:r>
        <w:rPr>
          <w:sz w:val="21"/>
        </w:rPr>
        <w:t>成交供应商做好日常灭鼠工作，灭鼠毒饵站设置在有鼠迹的地方，如鼠道边、鼠粪多、以及鼠类隐藏、觅食、饮水的地方，如垃圾箱旁、果皮箱附近和餐饮店附近的绿化地、化粪池周边等场所的隐蔽处，并固定好。</w:t>
      </w:r>
    </w:p>
    <w:p>
      <w:pPr>
        <w:ind w:firstLine="420"/>
        <w:jc w:val="both"/>
      </w:pPr>
      <w:r>
        <w:rPr>
          <w:sz w:val="21"/>
        </w:rPr>
        <w:t>4.</w:t>
      </w:r>
      <w:r>
        <w:rPr>
          <w:sz w:val="21"/>
        </w:rPr>
        <w:t>对辖区内的灭鼠毒饵站更换药物，更换破损的灭鼠毒饵站、标识牌，堵塞鼠洞、清理鼠迹及孳生地。</w:t>
      </w:r>
    </w:p>
    <w:p>
      <w:pPr>
        <w:ind w:firstLine="420"/>
        <w:jc w:val="both"/>
      </w:pPr>
      <w:r>
        <w:rPr>
          <w:sz w:val="21"/>
        </w:rPr>
        <w:t>5.</w:t>
      </w:r>
      <w:r>
        <w:rPr>
          <w:sz w:val="21"/>
        </w:rPr>
        <w:t>疫情应急响应：出现登革热疫情时接采购方通知后成交供应商应在一小时内到达疫点进行应急消杀、孳生地处置等，并负责登革热流行期应急消杀及蚊媒密度监测。</w:t>
      </w:r>
    </w:p>
    <w:p>
      <w:pPr>
        <w:ind w:firstLine="420"/>
        <w:jc w:val="both"/>
      </w:pPr>
      <w:r>
        <w:rPr>
          <w:sz w:val="21"/>
        </w:rPr>
        <w:t>6.</w:t>
      </w:r>
      <w:r>
        <w:rPr>
          <w:sz w:val="21"/>
        </w:rPr>
        <w:t>本项目为榄核镇日常及巩固国家卫生镇复审“四害”达标消杀项目。</w:t>
      </w:r>
    </w:p>
    <w:p>
      <w:pPr>
        <w:ind w:firstLine="420"/>
        <w:jc w:val="both"/>
      </w:pPr>
      <w:r>
        <w:rPr>
          <w:sz w:val="21"/>
        </w:rPr>
        <w:t>7.</w:t>
      </w:r>
      <w:r>
        <w:rPr>
          <w:sz w:val="21"/>
        </w:rPr>
        <w:t>成交供应商每月承包区全面的病媒消杀次数工作外，还需对辖区村（社区、农场）等重点地方进行清倒积水、清除蚊虫孳生地、加强消杀黑点、投放灭蚊幼虫药物等工作。</w:t>
      </w:r>
    </w:p>
    <w:p>
      <w:pPr>
        <w:ind w:firstLine="420"/>
        <w:jc w:val="both"/>
      </w:pPr>
      <w:r>
        <w:rPr>
          <w:sz w:val="21"/>
        </w:rPr>
        <w:t>8.</w:t>
      </w:r>
      <w:r>
        <w:rPr>
          <w:sz w:val="21"/>
        </w:rPr>
        <w:t>成交供应商必须积极配合采购方接受上级部门开展的各项迎检工作。对省、市、区下达的整改任务进行消杀及在巩卫期间按采购方要求对迎检单位开展统一消杀。</w:t>
      </w:r>
    </w:p>
    <w:p>
      <w:pPr>
        <w:ind w:firstLine="420"/>
        <w:jc w:val="both"/>
      </w:pPr>
      <w:r>
        <w:rPr>
          <w:sz w:val="21"/>
        </w:rPr>
        <w:t>9.</w:t>
      </w:r>
      <w:r>
        <w:rPr>
          <w:sz w:val="21"/>
        </w:rPr>
        <w:t>如有市、区上级部门（含12345服务热线）对我镇“四害”防制方面发出督办整改，由成交供应商负责落实整改，并形成报告提交至采购方；其他投诉形式同样由成交供应商负责落实整改。</w:t>
      </w:r>
    </w:p>
    <w:p>
      <w:pPr>
        <w:ind w:firstLine="420"/>
        <w:jc w:val="both"/>
      </w:pPr>
      <w:r>
        <w:rPr>
          <w:sz w:val="21"/>
        </w:rPr>
        <w:t>10.</w:t>
      </w:r>
      <w:r>
        <w:rPr>
          <w:sz w:val="21"/>
        </w:rPr>
        <w:t>成交供应商指导有关村（社区、农场）及有关单位开展除四害达标工作，并负责区组织的布雷图指数监测和成蚊密度监测迎检工作。</w:t>
      </w:r>
    </w:p>
    <w:p>
      <w:pPr>
        <w:ind w:firstLine="420"/>
        <w:jc w:val="both"/>
      </w:pPr>
      <w:r>
        <w:rPr>
          <w:sz w:val="21"/>
        </w:rPr>
        <w:t>11.</w:t>
      </w:r>
      <w:r>
        <w:rPr>
          <w:sz w:val="21"/>
        </w:rPr>
        <w:t>使用国家、省、市爱卫办推荐使用药物，必须有药物三证，严禁使用其他明文禁用药物（药物由采购方提供），使用药物时必须按药物说明规定比例配制消杀药物。</w:t>
      </w:r>
    </w:p>
    <w:p>
      <w:pPr>
        <w:ind w:firstLine="422"/>
        <w:jc w:val="both"/>
      </w:pPr>
      <w:r>
        <w:rPr>
          <w:b/>
          <w:sz w:val="21"/>
        </w:rPr>
        <w:t>三、工作管理：</w:t>
      </w:r>
    </w:p>
    <w:p>
      <w:pPr>
        <w:ind w:firstLine="420"/>
        <w:jc w:val="both"/>
      </w:pPr>
      <w:r>
        <w:rPr>
          <w:sz w:val="21"/>
        </w:rPr>
        <w:t>1.</w:t>
      </w:r>
      <w:r>
        <w:rPr>
          <w:sz w:val="21"/>
        </w:rPr>
        <w:t>采购方负责对成交供应商专业技术队伍质量考核和绩效评估。</w:t>
      </w:r>
    </w:p>
    <w:p>
      <w:pPr>
        <w:ind w:firstLine="420"/>
        <w:jc w:val="both"/>
      </w:pPr>
      <w:r>
        <w:rPr>
          <w:sz w:val="21"/>
        </w:rPr>
        <w:t>2.</w:t>
      </w:r>
      <w:r>
        <w:rPr>
          <w:sz w:val="21"/>
        </w:rPr>
        <w:t>成交供应商消杀时按照能入户必入户的原则，翻盆倒罐、清除积水，如发现无法消杀蚊虫孳生的地方要及时通知爱卫组协商处理。</w:t>
      </w:r>
    </w:p>
    <w:p>
      <w:pPr>
        <w:ind w:firstLine="420"/>
        <w:jc w:val="both"/>
      </w:pPr>
      <w:r>
        <w:rPr>
          <w:sz w:val="21"/>
        </w:rPr>
        <w:t>3.</w:t>
      </w:r>
      <w:r>
        <w:rPr>
          <w:sz w:val="21"/>
        </w:rPr>
        <w:t>成交供应商负责现场处置、报告、蚊媒监测和相关资料的归档备案，并做好项目绩效评估所需的相关资料的撰写和资料准备工作。</w:t>
      </w:r>
    </w:p>
    <w:p>
      <w:pPr>
        <w:ind w:firstLine="420"/>
        <w:jc w:val="both"/>
      </w:pPr>
      <w:r>
        <w:rPr>
          <w:sz w:val="21"/>
        </w:rPr>
        <w:t>4.</w:t>
      </w:r>
      <w:r>
        <w:rPr>
          <w:sz w:val="21"/>
        </w:rPr>
        <w:t>成交供应商每次执行各项服务时，需安排服务人员跟踪作业情况（拍照取证），并与采购方现场签名确认当天的工作量，作为每月结算依据。</w:t>
      </w:r>
    </w:p>
    <w:p>
      <w:pPr>
        <w:ind w:firstLine="420"/>
        <w:jc w:val="both"/>
      </w:pPr>
      <w:r>
        <w:rPr>
          <w:sz w:val="21"/>
        </w:rPr>
        <w:t>5.</w:t>
      </w:r>
      <w:r>
        <w:rPr>
          <w:sz w:val="21"/>
        </w:rPr>
        <w:t>人员及车辆要求：</w:t>
      </w:r>
    </w:p>
    <w:p>
      <w:pPr>
        <w:ind w:firstLine="400"/>
        <w:jc w:val="both"/>
      </w:pPr>
      <w:r>
        <w:rPr>
          <w:sz w:val="20"/>
        </w:rPr>
        <w:t>★</w:t>
      </w:r>
      <w:r>
        <w:rPr>
          <w:sz w:val="21"/>
        </w:rPr>
        <w:t>（1）成交供应商消杀服务人员</w:t>
      </w:r>
      <w:r>
        <w:rPr>
          <w:sz w:val="21"/>
        </w:rPr>
        <w:t>全部由成交供应商负责招聘和管理</w:t>
      </w:r>
      <w:r>
        <w:rPr>
          <w:sz w:val="21"/>
        </w:rPr>
        <w:t>，消杀服务</w:t>
      </w:r>
      <w:r>
        <w:rPr>
          <w:sz w:val="21"/>
        </w:rPr>
        <w:t>人员</w:t>
      </w:r>
      <w:r>
        <w:rPr>
          <w:sz w:val="21"/>
        </w:rPr>
        <w:t>的</w:t>
      </w:r>
      <w:r>
        <w:rPr>
          <w:sz w:val="21"/>
        </w:rPr>
        <w:t>工资、社会福利和保障由成交供应商承担。</w:t>
      </w:r>
      <w:r>
        <w:rPr>
          <w:sz w:val="21"/>
        </w:rPr>
        <w:t>在本项目承包期间</w:t>
      </w:r>
      <w:r>
        <w:rPr>
          <w:sz w:val="21"/>
        </w:rPr>
        <w:t>成交供应商应投入与本服务项目相匹配的、具备服务所需要的技能素质或上岗资格的服务人员。</w:t>
      </w:r>
      <w:r>
        <w:rPr>
          <w:sz w:val="21"/>
        </w:rPr>
        <w:t>采购</w:t>
      </w:r>
      <w:r>
        <w:rPr>
          <w:sz w:val="21"/>
        </w:rPr>
        <w:t>方</w:t>
      </w:r>
      <w:r>
        <w:rPr>
          <w:sz w:val="21"/>
        </w:rPr>
        <w:t>对不称职的</w:t>
      </w:r>
      <w:r>
        <w:rPr>
          <w:sz w:val="21"/>
        </w:rPr>
        <w:t>消杀服务</w:t>
      </w:r>
      <w:r>
        <w:rPr>
          <w:sz w:val="21"/>
        </w:rPr>
        <w:t>人员，可要求成交供应商限期更换。</w:t>
      </w:r>
      <w:r>
        <w:rPr>
          <w:sz w:val="21"/>
        </w:rPr>
        <w:t>供应商须提供《承诺函》</w:t>
      </w:r>
    </w:p>
    <w:p>
      <w:pPr>
        <w:ind w:firstLine="400"/>
        <w:jc w:val="both"/>
      </w:pPr>
      <w:r>
        <w:rPr>
          <w:sz w:val="20"/>
        </w:rPr>
        <w:t>★</w:t>
      </w:r>
      <w:r>
        <w:rPr>
          <w:sz w:val="21"/>
        </w:rPr>
        <w:t>（2）作业点工作人员受成交供应商和采购方双重领导，如成交供应商未按采购方要求配置人员及设备，采购方认为不足以满足服务项目需要的，成交供应商必须第一时间无条件增加人员及设备，确保本项目开展的效率和质量。</w:t>
      </w:r>
      <w:r>
        <w:rPr>
          <w:sz w:val="21"/>
        </w:rPr>
        <w:t>供应商须提供《承诺函》</w:t>
      </w:r>
    </w:p>
    <w:p>
      <w:pPr>
        <w:ind w:firstLine="420"/>
        <w:jc w:val="both"/>
      </w:pPr>
      <w:r>
        <w:rPr>
          <w:sz w:val="21"/>
        </w:rPr>
        <w:t>（3）成交供应商的技术操作服务人员的劳资纠纷一概由成交供应商负责。</w:t>
      </w:r>
    </w:p>
    <w:p>
      <w:pPr>
        <w:ind w:firstLine="420"/>
        <w:jc w:val="both"/>
      </w:pPr>
      <w:r>
        <w:rPr>
          <w:sz w:val="21"/>
        </w:rPr>
        <w:t>（4）成交供应商必须确保服务项目安全，为消杀工作人员配备安全器具，服务项目实施过程中出现的安全事故一律由成交供应商负责，由成交供应商承担一切法律责任和赔偿责任，一切责任均与采购方无关。</w:t>
      </w:r>
    </w:p>
    <w:p>
      <w:pPr>
        <w:ind w:firstLine="420"/>
        <w:jc w:val="both"/>
      </w:pPr>
      <w:r>
        <w:rPr>
          <w:sz w:val="21"/>
        </w:rPr>
        <w:t>（5）消杀过程中产生噪音或使花草树木、农作物、家禽、人员等造成任何伤害、损坏，由成交供应商负责承担一切赔偿和法律责任，一切责任均与采购方无关。</w:t>
      </w:r>
    </w:p>
    <w:p>
      <w:pPr>
        <w:ind w:firstLine="420"/>
        <w:jc w:val="both"/>
      </w:pPr>
      <w:r>
        <w:rPr>
          <w:sz w:val="21"/>
        </w:rPr>
        <w:t>（6）本项目所需车辆及产生的一切费用均由成交供应商承担。</w:t>
      </w:r>
    </w:p>
    <w:p>
      <w:pPr>
        <w:ind w:firstLine="420"/>
        <w:jc w:val="both"/>
      </w:pPr>
      <w:r>
        <w:rPr>
          <w:sz w:val="21"/>
        </w:rPr>
        <w:t>6.</w:t>
      </w:r>
      <w:r>
        <w:rPr>
          <w:sz w:val="21"/>
        </w:rPr>
        <w:t>药物、机械管理</w:t>
      </w:r>
    </w:p>
    <w:p>
      <w:pPr>
        <w:ind w:firstLine="420"/>
        <w:jc w:val="both"/>
      </w:pPr>
      <w:r>
        <w:rPr>
          <w:sz w:val="21"/>
        </w:rPr>
        <w:t>（1）采购方提供病媒生物防制所需的药物，成交供应商每次进行药剂喷洒和投放作业前在采购方指定地点领取药物，作业完毕后剩余的消杀药物及药物的空瓶包装（领取药物时一致）退还采购方。成交供应商负责将灭蚊药物的使用情况进行详细记录（包括消杀地段、面积、药物种类、数量和参加消杀工作人员名单人数），每月向采购方提供一份书面报告。</w:t>
      </w:r>
    </w:p>
    <w:p>
      <w:pPr>
        <w:ind w:firstLine="420"/>
        <w:jc w:val="both"/>
      </w:pPr>
      <w:r>
        <w:rPr>
          <w:sz w:val="21"/>
        </w:rPr>
        <w:t>（2）病媒生物防制必须配备杀蟑烟雾机3台、背负式超低容量喷雾机10台、电动喷壶5台及车载超低容量喷雾机1台，车载超低容量喷雾机射程20米或以上，流量每分钟不少于3.0升，雾粒直径达到超低容量喷雾要求（微粒直径小于50微米，90%微粒直径小于20微米），噪音小于80分贝，成交供应商需严格保证器械和药物的专项专用。病媒生物防制所必须具备的大型车载超低容量喷雾机及作业车辆均由成交供应商提供，有关维修保养责任及费用均由成交供应商承担。</w:t>
      </w:r>
    </w:p>
    <w:p>
      <w:pPr>
        <w:ind w:firstLine="420"/>
        <w:jc w:val="both"/>
      </w:pPr>
      <w:r>
        <w:rPr>
          <w:sz w:val="21"/>
        </w:rPr>
        <w:t>7.</w:t>
      </w:r>
      <w:r>
        <w:rPr>
          <w:sz w:val="21"/>
        </w:rPr>
        <w:t>沟通机制</w:t>
      </w:r>
    </w:p>
    <w:p>
      <w:pPr>
        <w:ind w:firstLine="420"/>
        <w:jc w:val="both"/>
      </w:pPr>
      <w:r>
        <w:rPr>
          <w:sz w:val="21"/>
        </w:rPr>
        <w:t>（１）成交供应商为项目指派固定的项目管理人员，该项目管理人员在服务周期内应是固定的，如需更换项目管理人员必须征得采购方同意。管理人员应主动与采购方进行业务沟通，并指定专人负责与采购方的业务联络，定期递交工作计划、工作总结。每月25日前应将下月的工作计划和时间表向采购方报告，在得到采购方同意后方可实施。</w:t>
      </w:r>
    </w:p>
    <w:p>
      <w:pPr>
        <w:ind w:firstLine="420"/>
        <w:jc w:val="both"/>
      </w:pPr>
      <w:r>
        <w:rPr>
          <w:sz w:val="21"/>
        </w:rPr>
        <w:t>8.</w:t>
      </w:r>
      <w:r>
        <w:rPr>
          <w:sz w:val="21"/>
        </w:rPr>
        <w:t>考核与评估</w:t>
      </w:r>
    </w:p>
    <w:p>
      <w:pPr>
        <w:jc w:val="both"/>
      </w:pPr>
      <w:r>
        <w:rPr>
          <w:sz w:val="21"/>
        </w:rPr>
        <w:t>　采购方评审：每月一次，成交供应商每月结束后一周内将自评报告和有关佐证资料交采购方备案，采购方组织专业人员审核。</w:t>
      </w:r>
    </w:p>
    <w:p>
      <w:pPr>
        <w:ind w:firstLine="420"/>
        <w:jc w:val="both"/>
      </w:pPr>
      <w:r>
        <w:rPr>
          <w:sz w:val="21"/>
        </w:rPr>
        <w:t>第三方评审：本合同期限内组织两次（中期和终期），由采购方委托第三方机构或聘请5-7名专家组成评审组完成，须在合同期限的中期和结束前完成，并在完成评审后1周内将绩效考核评估报告和有关佐证资料交采购方审核。成交供应商在正式聘请第三方机构或专家组之前一周须将专家组名单书面交采购方审核，经采购方认可后方能组织评审。</w:t>
      </w:r>
    </w:p>
    <w:p>
      <w:pPr>
        <w:ind w:firstLine="420"/>
        <w:jc w:val="both"/>
      </w:pPr>
      <w:r>
        <w:rPr>
          <w:sz w:val="21"/>
        </w:rPr>
        <w:t>上述活动过程中所产生的第三方委托费、专家劳务费、工作人员加班补助等费用均由成交供应商承担。</w:t>
      </w:r>
    </w:p>
    <w:p>
      <w:pPr>
        <w:ind w:firstLine="422"/>
        <w:jc w:val="both"/>
      </w:pPr>
      <w:r>
        <w:rPr>
          <w:b/>
          <w:sz w:val="21"/>
        </w:rPr>
        <w:t>四、项目服务原则和要求：</w:t>
      </w:r>
    </w:p>
    <w:p>
      <w:pPr>
        <w:ind w:firstLine="420"/>
        <w:jc w:val="both"/>
      </w:pPr>
      <w:r>
        <w:rPr>
          <w:sz w:val="21"/>
        </w:rPr>
        <w:t>１.</w:t>
      </w:r>
      <w:r>
        <w:rPr>
          <w:sz w:val="21"/>
        </w:rPr>
        <w:t>项目开展前，成交供应商必须有初级以上有害生物防制员拟定的病媒生物防制技术方案及疫情应急响应方案。</w:t>
      </w:r>
    </w:p>
    <w:p>
      <w:pPr>
        <w:ind w:firstLine="420"/>
        <w:jc w:val="both"/>
      </w:pPr>
      <w:r>
        <w:rPr>
          <w:sz w:val="21"/>
        </w:rPr>
        <w:t>２.</w:t>
      </w:r>
      <w:r>
        <w:rPr>
          <w:sz w:val="21"/>
        </w:rPr>
        <w:t>疫情应急响应：成交供应商消杀队伍须严格按照采购方的应急行动管理要求，确保在1小时内到达处理现场。</w:t>
      </w:r>
    </w:p>
    <w:p>
      <w:pPr>
        <w:ind w:firstLine="420"/>
        <w:jc w:val="both"/>
      </w:pPr>
      <w:r>
        <w:rPr>
          <w:sz w:val="21"/>
        </w:rPr>
        <w:t>3.</w:t>
      </w:r>
      <w:r>
        <w:rPr>
          <w:sz w:val="21"/>
        </w:rPr>
        <w:t>成交供应商应急消杀队伍的日常监测工作，将严格按照采购方制定的病媒生物监测与效果评估以及服务时间周期进行实施，并遵守相关的操作规范。</w:t>
      </w:r>
    </w:p>
    <w:p>
      <w:pPr>
        <w:ind w:firstLine="420"/>
        <w:jc w:val="both"/>
      </w:pPr>
      <w:r>
        <w:rPr>
          <w:sz w:val="21"/>
        </w:rPr>
        <w:t>4.</w:t>
      </w:r>
      <w:r>
        <w:rPr>
          <w:sz w:val="21"/>
        </w:rPr>
        <w:t>成交供应商需提供病媒应急控制和监测所需的所有仪器、设备和物资等（药物除外）。</w:t>
      </w:r>
    </w:p>
    <w:p>
      <w:pPr>
        <w:ind w:firstLine="420"/>
        <w:jc w:val="both"/>
      </w:pPr>
      <w:r>
        <w:rPr>
          <w:sz w:val="21"/>
        </w:rPr>
        <w:t>5.</w:t>
      </w:r>
      <w:r>
        <w:rPr>
          <w:sz w:val="21"/>
        </w:rPr>
        <w:t>成交供应商参与服务实施消杀工作人员必须持有上岗证，统一穿着工作服(隔离场所消杀必须佩戴口罩、穿防护服)，一切费用由成交供应商负责。</w:t>
      </w:r>
    </w:p>
    <w:p>
      <w:pPr>
        <w:ind w:firstLine="420"/>
        <w:jc w:val="both"/>
      </w:pPr>
      <w:r>
        <w:rPr>
          <w:sz w:val="21"/>
        </w:rPr>
        <w:t>６.</w:t>
      </w:r>
      <w:r>
        <w:rPr>
          <w:sz w:val="21"/>
        </w:rPr>
        <w:t>榄核镇全镇范围内服务质量标准（国家标准）：</w:t>
      </w:r>
    </w:p>
    <w:p>
      <w:pPr>
        <w:ind w:firstLine="420"/>
        <w:jc w:val="both"/>
      </w:pPr>
      <w:r>
        <w:rPr>
          <w:sz w:val="21"/>
        </w:rPr>
        <w:t>（１）鼠密度控制水平</w:t>
      </w:r>
    </w:p>
    <w:p>
      <w:pPr>
        <w:ind w:firstLine="420"/>
        <w:jc w:val="both"/>
      </w:pPr>
      <w:r>
        <w:rPr>
          <w:sz w:val="21"/>
        </w:rPr>
        <w:t>１）防鼠设施：防鼠设施合格率大于或等于93%，必须达C级以上。</w:t>
      </w:r>
    </w:p>
    <w:p>
      <w:pPr>
        <w:ind w:firstLine="420"/>
        <w:jc w:val="both"/>
      </w:pPr>
      <w:r>
        <w:rPr>
          <w:sz w:val="21"/>
        </w:rPr>
        <w:t>２）室内鼠密度：鼠迹阳性率小于或等于5%，必须达C级以上。</w:t>
      </w:r>
    </w:p>
    <w:p>
      <w:pPr>
        <w:ind w:firstLine="420"/>
        <w:jc w:val="both"/>
      </w:pPr>
      <w:r>
        <w:rPr>
          <w:sz w:val="21"/>
        </w:rPr>
        <w:t>３）外环境：路径指数小于或等于5，必须达C级以上。</w:t>
      </w:r>
    </w:p>
    <w:p>
      <w:pPr>
        <w:ind w:firstLine="420"/>
        <w:jc w:val="both"/>
      </w:pPr>
      <w:r>
        <w:rPr>
          <w:sz w:val="21"/>
        </w:rPr>
        <w:t>（２）蜚蠊密度控制水平</w:t>
      </w:r>
    </w:p>
    <w:p>
      <w:pPr>
        <w:ind w:firstLine="420"/>
        <w:jc w:val="both"/>
      </w:pPr>
      <w:r>
        <w:rPr>
          <w:sz w:val="21"/>
        </w:rPr>
        <w:t>１）成若虫侵害率：蜚蠊成若虫侵害率小于或等于5%，平均每阳性（处）成若虫数小蠊小于或等于10只，大蠊小于或等于5只。力争达C级以上。</w:t>
      </w:r>
    </w:p>
    <w:p>
      <w:pPr>
        <w:ind w:firstLine="420"/>
        <w:jc w:val="both"/>
      </w:pPr>
      <w:r>
        <w:rPr>
          <w:sz w:val="21"/>
        </w:rPr>
        <w:t>２）卵鞘查获率：蜚蠊卵鞘查获率小于或等于3%，平均每阳性房间（处）卵鞘数小于或等于8只。力争达C级以上。</w:t>
      </w:r>
    </w:p>
    <w:p>
      <w:pPr>
        <w:ind w:firstLine="420"/>
        <w:jc w:val="both"/>
      </w:pPr>
      <w:r>
        <w:rPr>
          <w:sz w:val="21"/>
        </w:rPr>
        <w:t>３）蟑迹查获率：蟑迹查获率小于或等于7%。力争达C级以上。</w:t>
      </w:r>
    </w:p>
    <w:p>
      <w:pPr>
        <w:ind w:firstLine="420"/>
        <w:jc w:val="both"/>
      </w:pPr>
      <w:r>
        <w:rPr>
          <w:sz w:val="21"/>
        </w:rPr>
        <w:t>（３）蝇类控制水平</w:t>
      </w:r>
    </w:p>
    <w:p>
      <w:pPr>
        <w:ind w:firstLine="420"/>
        <w:jc w:val="both"/>
      </w:pPr>
      <w:r>
        <w:rPr>
          <w:sz w:val="21"/>
        </w:rPr>
        <w:t>１）生产销售直接入口食品的场所不得有蝇。室内不得存在蝇类孳生地，必须达C级以上。</w:t>
      </w:r>
    </w:p>
    <w:p>
      <w:pPr>
        <w:ind w:firstLine="420"/>
        <w:jc w:val="both"/>
      </w:pPr>
      <w:r>
        <w:rPr>
          <w:sz w:val="21"/>
        </w:rPr>
        <w:t>２）室内成蝇密度：有蝇房间阳性率小于或等于9%，阳性间蝇密度小于或等于3只/间，必须达C级以上。</w:t>
      </w:r>
    </w:p>
    <w:p>
      <w:pPr>
        <w:ind w:firstLine="420"/>
        <w:jc w:val="both"/>
      </w:pPr>
      <w:r>
        <w:rPr>
          <w:sz w:val="21"/>
        </w:rPr>
        <w:t>３）室外蝇类孳生地密度：蝇类孳生地阳性率小于或等于5%，必须达C级以上。</w:t>
      </w:r>
    </w:p>
    <w:p>
      <w:pPr>
        <w:ind w:firstLine="420"/>
        <w:jc w:val="both"/>
      </w:pPr>
      <w:r>
        <w:rPr>
          <w:sz w:val="21"/>
        </w:rPr>
        <w:t>４）防蝇设施：防蝇设施合格率大于或等于90%，必须达C级以上。</w:t>
      </w:r>
    </w:p>
    <w:p>
      <w:pPr>
        <w:ind w:firstLine="420"/>
        <w:jc w:val="both"/>
      </w:pPr>
      <w:r>
        <w:rPr>
          <w:sz w:val="21"/>
        </w:rPr>
        <w:t>（４）蚊密度控制水平</w:t>
      </w:r>
    </w:p>
    <w:p>
      <w:pPr>
        <w:ind w:firstLine="420"/>
        <w:jc w:val="both"/>
      </w:pPr>
      <w:r>
        <w:rPr>
          <w:sz w:val="21"/>
        </w:rPr>
        <w:t>１）小型积水蚊虫密度：路径指数小于或等于0.8，必须达C级以上。</w:t>
      </w:r>
    </w:p>
    <w:p>
      <w:pPr>
        <w:ind w:firstLine="420"/>
        <w:jc w:val="both"/>
      </w:pPr>
      <w:r>
        <w:rPr>
          <w:sz w:val="21"/>
        </w:rPr>
        <w:t>２）大中型水体蚊虫密度：采样勺指数小于或等于5%，平均每阳性勺少于8只蚊虫幼虫和蛹，必须达C级以上。</w:t>
      </w:r>
    </w:p>
    <w:p>
      <w:pPr>
        <w:ind w:firstLine="420"/>
        <w:jc w:val="both"/>
      </w:pPr>
      <w:r>
        <w:rPr>
          <w:sz w:val="21"/>
        </w:rPr>
        <w:t>３）外环境蚊虫密度：停落指数小于或等于1.5，必须达C级以上。</w:t>
      </w:r>
    </w:p>
    <w:p>
      <w:pPr>
        <w:ind w:firstLine="420"/>
        <w:jc w:val="both"/>
      </w:pPr>
      <w:r>
        <w:rPr>
          <w:sz w:val="21"/>
        </w:rPr>
        <w:t>（５）根据上述标准创建中心城区鼠密度控制、蜚蠊密度控制、蝇类控制、蚊密度控制必须达到C级以上，如第三方机构评审组和上级领导检查不达标，每次将扣除合同金额的5%。</w:t>
      </w:r>
    </w:p>
    <w:p>
      <w:pPr>
        <w:ind w:firstLine="422"/>
        <w:jc w:val="both"/>
      </w:pPr>
      <w:r>
        <w:rPr>
          <w:b/>
          <w:sz w:val="21"/>
        </w:rPr>
        <w:t>五、服务处罚：</w:t>
      </w:r>
    </w:p>
    <w:p>
      <w:pPr>
        <w:ind w:firstLine="420"/>
        <w:jc w:val="both"/>
      </w:pPr>
      <w:r>
        <w:rPr>
          <w:sz w:val="21"/>
        </w:rPr>
        <w:t>1.</w:t>
      </w:r>
      <w:r>
        <w:rPr>
          <w:sz w:val="21"/>
        </w:rPr>
        <w:t>出现紧急情况采购方通知后未能在一小时内到达现场的，第一次给予扣罚总合同价单次5%，出现第二次扣罚总合同价款单次的l0%，第三次出现采购方有权终止合同。</w:t>
      </w:r>
    </w:p>
    <w:p>
      <w:pPr>
        <w:ind w:firstLine="420"/>
        <w:jc w:val="both"/>
      </w:pPr>
      <w:r>
        <w:rPr>
          <w:sz w:val="21"/>
        </w:rPr>
        <w:t>2.</w:t>
      </w:r>
      <w:r>
        <w:rPr>
          <w:sz w:val="21"/>
        </w:rPr>
        <w:t>每月服务工作未能采购方要求完成的，第一次给予警告，并在24小时内完成整改，第二次扣罚合同价款单次5%并在24小时内完成整改，否则采购方有权终止合同。</w:t>
      </w:r>
    </w:p>
    <w:p>
      <w:pPr>
        <w:ind w:firstLine="420"/>
        <w:jc w:val="both"/>
      </w:pPr>
      <w:r>
        <w:rPr>
          <w:sz w:val="21"/>
        </w:rPr>
        <w:t>3.</w:t>
      </w:r>
      <w:r>
        <w:rPr>
          <w:sz w:val="21"/>
        </w:rPr>
        <w:t>成交供应商未按要求配备消杀工作人员和设备，采购方要求成交供应商整改达3次以上（含3次），仍未达到合同要求的，采购方有权终止合同。</w:t>
      </w:r>
    </w:p>
    <w:p>
      <w:pPr>
        <w:ind w:firstLine="420"/>
        <w:jc w:val="both"/>
      </w:pPr>
      <w:r>
        <w:rPr>
          <w:sz w:val="21"/>
        </w:rPr>
        <w:t>4.</w:t>
      </w:r>
      <w:r>
        <w:rPr>
          <w:sz w:val="21"/>
        </w:rPr>
        <w:t>每月按照采购方要求提交当月服务工作总结，若未能按时提交扣罚合同价款单次的5%。</w:t>
      </w:r>
    </w:p>
    <w:p>
      <w:pPr>
        <w:ind w:firstLine="420"/>
        <w:jc w:val="both"/>
      </w:pPr>
      <w:r>
        <w:rPr>
          <w:sz w:val="21"/>
        </w:rPr>
        <w:t>5.</w:t>
      </w:r>
      <w:r>
        <w:rPr>
          <w:sz w:val="21"/>
        </w:rPr>
        <w:t>发现不穿统一工作服及不佩带证件上岗作业的，第一次给予警告，第二次给予扣罚合同价款单次的2%。</w:t>
      </w:r>
    </w:p>
    <w:p>
      <w:pPr>
        <w:ind w:firstLine="420"/>
        <w:jc w:val="both"/>
      </w:pPr>
      <w:r>
        <w:rPr>
          <w:sz w:val="21"/>
        </w:rPr>
        <w:t>6.</w:t>
      </w:r>
      <w:r>
        <w:rPr>
          <w:sz w:val="21"/>
        </w:rPr>
        <w:t>成交供应商应保证蚊媒应急处置和监测过程中的实际效果和监测数据的有效性，不能出现弄虚作假，如经政府主管部门发现或查实，采购方有权终止合同，并按照造成的实际影响和严重后果追究成交供应商的法律责任。</w:t>
      </w:r>
    </w:p>
    <w:p>
      <w:pPr>
        <w:ind w:firstLine="422"/>
        <w:jc w:val="both"/>
      </w:pPr>
      <w:r>
        <w:rPr>
          <w:b/>
          <w:sz w:val="21"/>
        </w:rPr>
        <w:t>六、结算方式：</w:t>
      </w:r>
    </w:p>
    <w:p>
      <w:pPr>
        <w:ind w:firstLine="420"/>
        <w:jc w:val="both"/>
      </w:pPr>
      <w:r>
        <w:rPr>
          <w:sz w:val="21"/>
        </w:rPr>
        <w:t>１.</w:t>
      </w:r>
      <w:r>
        <w:rPr>
          <w:sz w:val="21"/>
        </w:rPr>
        <w:t>支付方式：服务费按月支付，合同生效后第二个月起支付服务费，成交供应商提供发票及相关资料后15个工作日内通过银行转账支付，本项目有关的一切税费由成交供应商负责。</w:t>
      </w:r>
    </w:p>
    <w:p>
      <w:pPr>
        <w:ind w:firstLine="420"/>
        <w:jc w:val="both"/>
      </w:pPr>
      <w:r>
        <w:rPr>
          <w:sz w:val="21"/>
        </w:rPr>
        <w:t>２.</w:t>
      </w:r>
      <w:r>
        <w:rPr>
          <w:sz w:val="21"/>
        </w:rPr>
        <w:t>因采购方使用的是财政资金，采购方在前款规定时间内办理财政支付申请手续后即视为采购方已经按期支付，但采购方应当确保该费用到达成交供应商账户。</w:t>
      </w:r>
    </w:p>
    <w:p>
      <w:pPr>
        <w:ind w:firstLine="420"/>
        <w:jc w:val="both"/>
      </w:pPr>
      <w:r>
        <w:rPr>
          <w:sz w:val="21"/>
        </w:rPr>
        <w:t>３.</w:t>
      </w:r>
      <w:r>
        <w:rPr>
          <w:sz w:val="21"/>
        </w:rPr>
        <w:t>付款方式为银行划账，支付款项时，成交供应商同时向采购方提供：</w:t>
      </w:r>
    </w:p>
    <w:p>
      <w:pPr>
        <w:ind w:firstLine="420"/>
        <w:jc w:val="both"/>
      </w:pPr>
      <w:r>
        <w:rPr>
          <w:sz w:val="21"/>
        </w:rPr>
        <w:t>（１）合同及中标（成交）通知书；</w:t>
      </w:r>
    </w:p>
    <w:p>
      <w:pPr>
        <w:ind w:firstLine="420"/>
        <w:jc w:val="both"/>
      </w:pPr>
      <w:r>
        <w:rPr>
          <w:sz w:val="21"/>
        </w:rPr>
        <w:t>（２）成交供应商开具的正式发票；</w:t>
      </w:r>
    </w:p>
    <w:p>
      <w:pPr>
        <w:ind w:firstLine="420"/>
        <w:jc w:val="both"/>
      </w:pPr>
      <w:r>
        <w:rPr>
          <w:sz w:val="21"/>
        </w:rPr>
        <w:t>（３）每月验收报告；</w:t>
      </w:r>
    </w:p>
    <w:p>
      <w:pPr>
        <w:ind w:firstLine="420"/>
        <w:jc w:val="both"/>
      </w:pPr>
      <w:r>
        <w:rPr>
          <w:sz w:val="21"/>
        </w:rPr>
        <w:t>（４）月度监测结果；</w:t>
      </w:r>
    </w:p>
    <w:p>
      <w:pPr>
        <w:ind w:firstLine="420"/>
        <w:jc w:val="both"/>
      </w:pPr>
      <w:r>
        <w:rPr>
          <w:sz w:val="21"/>
        </w:rPr>
        <w:t>（５）月度消杀服务记录表；</w:t>
      </w:r>
    </w:p>
    <w:p>
      <w:pPr>
        <w:ind w:firstLine="422"/>
        <w:jc w:val="both"/>
      </w:pPr>
      <w:r>
        <w:rPr>
          <w:b/>
          <w:sz w:val="21"/>
        </w:rPr>
        <w:t>七、保密义务：</w:t>
      </w:r>
    </w:p>
    <w:p>
      <w:pPr>
        <w:ind w:firstLine="420"/>
        <w:jc w:val="left"/>
      </w:pPr>
      <w:r>
        <w:rPr>
          <w:sz w:val="21"/>
        </w:rPr>
        <w:t>1.</w:t>
      </w:r>
      <w:r>
        <w:rPr>
          <w:sz w:val="21"/>
        </w:rPr>
        <w:t>成交供应商对在工作过程中接触到的采购方的任何资料、文件、数据(无论是书面的还是电子文档的)，以及对为采购方服务形成的任何交付物，负有为采购方保密的责任。未经采购方书面同意，成交供应商不得以任何方式向任何第三方提供或透露；</w:t>
      </w:r>
    </w:p>
    <w:p>
      <w:pPr>
        <w:ind w:firstLine="420"/>
        <w:jc w:val="left"/>
      </w:pPr>
      <w:r>
        <w:rPr>
          <w:sz w:val="21"/>
        </w:rPr>
        <w:t>2.</w:t>
      </w:r>
      <w:r>
        <w:rPr>
          <w:sz w:val="21"/>
        </w:rPr>
        <w:t>采购方向成交供应商提供的任何资料、文件和信息，在成交供应商服务结束后，成交供应商均应及时归还采购方，电子文档的应从自己的电脑等存储设备上予永久删除；</w:t>
      </w:r>
    </w:p>
    <w:p>
      <w:pPr>
        <w:ind w:firstLine="420"/>
        <w:jc w:val="both"/>
      </w:pPr>
      <w:r>
        <w:rPr>
          <w:sz w:val="21"/>
        </w:rPr>
        <w:t>3.</w:t>
      </w:r>
      <w:r>
        <w:rPr>
          <w:sz w:val="21"/>
        </w:rPr>
        <w:t>成交供应商服务人员违反上述有关保密规定，成交供应商应承担相应法律责任。</w:t>
      </w:r>
    </w:p>
    <w:p>
      <w:pPr>
        <w:ind w:firstLine="422"/>
        <w:jc w:val="both"/>
      </w:pPr>
      <w:r>
        <w:rPr>
          <w:b/>
          <w:sz w:val="21"/>
        </w:rPr>
        <w:t>八、违约责任</w:t>
      </w:r>
    </w:p>
    <w:p>
      <w:pPr>
        <w:ind w:firstLine="420"/>
        <w:jc w:val="both"/>
      </w:pPr>
      <w:r>
        <w:rPr>
          <w:sz w:val="21"/>
        </w:rPr>
        <w:t>（1）若成交供应商擅自转包、分包，或以任何形式与第三方进行合作的属违约，一经查实，成交供应商应向采购方承担违约责任，采购方可随时单方面解除合同。</w:t>
      </w:r>
    </w:p>
    <w:p>
      <w:pPr>
        <w:ind w:firstLine="420"/>
        <w:jc w:val="both"/>
      </w:pPr>
      <w:r>
        <w:rPr>
          <w:sz w:val="21"/>
        </w:rPr>
        <w:t>（2）成交供应商违反合同规定，所提供的服务未达到合同要求，采购方书面提出整改通知，累计提出达3次，成交供应商未按要求及时整改的，采购方有权终止合同，由此造成采购方经济损失的，成交供应商应给予赔偿。</w:t>
      </w:r>
    </w:p>
    <w:p>
      <w:pPr>
        <w:ind w:firstLine="420"/>
        <w:jc w:val="both"/>
      </w:pPr>
      <w:r>
        <w:rPr>
          <w:sz w:val="21"/>
        </w:rPr>
        <w:t>（3）成交供应商违反合同规定，所提供的服务质量未达到合同要求，采购方书面提出整改通知，成交供应商未按要求及时整改，由此造成采购方经济损失的，成交供应商应给予赔偿。采购方并有权终止合同。</w:t>
      </w:r>
    </w:p>
    <w:p>
      <w:pPr>
        <w:ind w:firstLine="420"/>
        <w:jc w:val="both"/>
      </w:pPr>
      <w:r>
        <w:rPr>
          <w:sz w:val="21"/>
        </w:rPr>
        <w:t>（4）采购方违反合同规定，使成交供应商未完成规定任务目标，成交供应商有权要求采购方在一定期限内解决，逾期未解决的，成交供应商有权终止合同；造成成交供应商经济损失的，采购方应给成交供应商经济赔偿。</w:t>
      </w:r>
    </w:p>
    <w:p>
      <w:pPr>
        <w:ind w:firstLine="422"/>
        <w:jc w:val="both"/>
      </w:pPr>
      <w:r>
        <w:rPr>
          <w:b/>
          <w:sz w:val="21"/>
        </w:rPr>
        <w:t>九、未尽事宜：</w:t>
      </w:r>
    </w:p>
    <w:p>
      <w:pPr>
        <w:ind w:firstLine="422"/>
        <w:jc w:val="both"/>
      </w:pPr>
      <w:r>
        <w:rPr>
          <w:sz w:val="21"/>
        </w:rPr>
        <w:t>由采购方与成交供应商双方协商解决，若协商不成可诉至采购方所在地人民法院。</w:t>
      </w:r>
    </w:p>
    <w:p/>
    <w:p>
      <w:pPr>
        <w:ind w:firstLine="480"/>
      </w:pPr>
    </w:p>
    <w:p/>
    <w:p>
      <w:r>
        <w:rPr/>
        <w:t>采购包1（榄核镇除“四害”消杀服务项目）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自合同签订之日起1年。</w:t>
            </w:r>
          </w:p>
        </w:tc>
      </w:tr>
      <w:tr>
        <w:tc>
          <w:tcPr>
            <w:tcW w:type="dxa" w:w="4153"/>
          </w:tcPr>
          <w:p>
            <w:r>
              <w:rPr/>
              <w:t>标的提供的地点</w:t>
            </w:r>
          </w:p>
        </w:tc>
        <w:tc>
          <w:tcPr>
            <w:tcW w:type="dxa" w:w="4153"/>
          </w:tcPr>
          <w:p/>
          <w:p>
            <w:r>
              <w:rPr/>
              <w:t>采购人指点地点。</w:t>
            </w:r>
          </w:p>
        </w:tc>
      </w:tr>
      <w:tr>
        <w:tc>
          <w:tcPr>
            <w:tcW w:type="dxa" w:w="4153"/>
          </w:tcPr>
          <w:p>
            <w:r>
              <w:rPr/>
              <w:t>付款方式</w:t>
            </w:r>
          </w:p>
        </w:tc>
        <w:tc>
          <w:tcPr>
            <w:tcW w:type="dxa" w:w="4153"/>
          </w:tcPr>
          <w:p/>
          <w:p/>
          <w:p>
            <w:r>
              <w:rPr/>
              <w:t>1期：支付比例100%,支付比例100%,服务费按月支付，合同生效后第二个月起支付服务费，成交供应商提供发票及相关资料后15个工作日内通过银行转账支付，本项目有关的一切税费由成交供应商负责。因采购方使用的是财政资金，采购方在前款规定时间内办理财政支付申请手续后即视为采购方已经按期支付，但采购方应当确保该费用到达成交供应商账户。</w:t>
            </w:r>
          </w:p>
        </w:tc>
      </w:tr>
      <w:tr>
        <w:tc>
          <w:tcPr>
            <w:tcW w:type="dxa" w:w="4153"/>
          </w:tcPr>
          <w:p>
            <w:r>
              <w:rPr/>
              <w:t>验收要求</w:t>
            </w:r>
          </w:p>
        </w:tc>
        <w:tc>
          <w:tcPr>
            <w:tcW w:type="dxa" w:w="4153"/>
          </w:tcPr>
          <w:p/>
          <w:p/>
          <w:p/>
          <w:p>
            <w:r>
              <w:rPr/>
              <w:t>1期：按采购人要求</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其他服务</w:t>
            </w:r>
          </w:p>
        </w:tc>
        <w:tc>
          <w:tcPr>
            <w:tcW w:type="dxa" w:w="933"/>
          </w:tcPr>
          <w:p>
            <w:pPr>
              <w:jc w:val="left"/>
            </w:pPr>
            <w:r>
              <w:rPr/>
              <w:t>榄核镇除“四害”消杀服务</w:t>
            </w:r>
          </w:p>
        </w:tc>
        <w:tc>
          <w:tcPr>
            <w:tcW w:type="dxa" w:w="933"/>
          </w:tcPr>
          <w:p>
            <w:pPr>
              <w:jc w:val="left"/>
            </w:pPr>
            <w:r>
              <w:rPr/>
              <w:t>项</w:t>
            </w:r>
          </w:p>
        </w:tc>
        <w:tc>
          <w:tcPr>
            <w:tcW w:type="dxa" w:w="933"/>
          </w:tcPr>
          <w:p>
            <w:pPr>
              <w:jc w:val="right"/>
            </w:pPr>
            <w:r>
              <w:rPr/>
              <w:t>1.00</w:t>
            </w:r>
          </w:p>
        </w:tc>
        <w:tc>
          <w:tcPr>
            <w:tcW w:type="dxa" w:w="933"/>
          </w:tcPr>
          <w:p>
            <w:pPr>
              <w:jc w:val="right"/>
            </w:pPr>
            <w:r>
              <w:rPr/>
              <w:t>1,340,000.00</w:t>
            </w:r>
          </w:p>
        </w:tc>
        <w:tc>
          <w:tcPr>
            <w:tcW w:type="dxa" w:w="933"/>
          </w:tcPr>
          <w:p>
            <w:pPr>
              <w:jc w:val="right"/>
            </w:pPr>
            <w:r>
              <w:rPr/>
              <w:t>1,340,000.00</w:t>
            </w:r>
          </w:p>
        </w:tc>
        <w:tc>
          <w:tcPr>
            <w:tcW w:type="dxa" w:w="840"/>
          </w:tcPr>
          <w:p>
            <w:r>
              <w:rPr/>
              <w:t>租赁和商务服务业</w:t>
            </w:r>
          </w:p>
        </w:tc>
        <w:tc>
          <w:tcPr>
            <w:tcW w:type="dxa" w:w="933"/>
          </w:tcPr>
          <w:p>
            <w:r>
              <w:rPr/>
              <w:t>详见附表一</w:t>
            </w:r>
          </w:p>
        </w:tc>
      </w:tr>
    </w:tbl>
    <w:p/>
    <w:p>
      <w:r>
        <w:rPr>
          <w:b/>
        </w:rPr>
        <w:t>附表</w:t>
      </w:r>
      <w:r>
        <w:rPr>
          <w:b/>
        </w:rPr>
        <w:t>一</w:t>
      </w:r>
      <w:r>
        <w:rPr>
          <w:b/>
        </w:rPr>
        <w:t>：</w:t>
      </w:r>
      <w:r>
        <w:rPr>
          <w:b/>
        </w:rPr>
        <w:t>榄核镇除“四害”消杀服务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sz w:val="21"/>
              </w:rPr>
              <w:t>详见采购需求。</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1.采购代理机构：本项目是指品正招标采购（广州）有限公司，负责整个采购活动的组织，依法负责编制和发布招标文件，对招标文件拥有最终的解释权，不以任何身份出任评标委员会成员。</w:t>
      </w:r>
    </w:p>
    <w:p>
      <w:pPr>
        <w:ind w:firstLine="480"/>
      </w:pPr>
      <w:r>
        <w:rPr/>
        <w:t>2.采购人：本项目是指</w:t>
      </w:r>
      <w:r>
        <w:rPr/>
        <w:t>广州市南沙区榄核镇人民政府</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按差额定率累进法计算收费：参照发改价格〔2011〕534号文以及《关于进一步放开建设项目专业服务价格的通知》（发改价格〔2015〕299号）规定的“服务类”计费标准按人民币17720元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r>
              <w:rPr/>
              <w:t>具体情况根据开标时现场代理机构人员设置为准。</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4"/>
        </w:rPr>
        <w:t>11.关于分支机构投标</w:t>
      </w:r>
    </w:p>
    <w:p>
      <w:pPr>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本项目不收取投标保证金</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r>
        <w:rPr/>
        <w:t>3.3项目废标处理：</w:t>
      </w:r>
    </w:p>
    <w:p>
      <w:pPr>
        <w:ind w:firstLine="480"/>
      </w:pPr>
      <w:r>
        <w:rPr/>
        <w:t>根据《中华人民共和国政府采购法》第三十六条及招标文件的约定，本项目或分包下列情况出现将作废标处理：</w:t>
      </w:r>
    </w:p>
    <w:p>
      <w:pPr>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ind w:firstLine="480"/>
      </w:pPr>
      <w:r>
        <w:rPr/>
        <w:t>（2）出现影响采购公正的违法、违规行为的。</w:t>
      </w:r>
    </w:p>
    <w:p>
      <w:pPr>
        <w:ind w:firstLine="480"/>
      </w:pPr>
      <w:r>
        <w:rPr/>
        <w:t>（3）投标人的报价均超过了采购预算，采购人不能支付的。</w:t>
      </w:r>
    </w:p>
    <w:p>
      <w:pPr>
        <w:ind w:firstLine="480"/>
      </w:pPr>
      <w:r>
        <w:rPr/>
        <w:t>（4）因重大变故，采购任务取消的。</w:t>
      </w:r>
    </w:p>
    <w:p>
      <w:pPr>
        <w:ind w:firstLine="480"/>
      </w:pPr>
      <w:r>
        <w:rPr/>
        <w:t>对废标的采购项目，评标委员会应出具采购文件是否存在不合理条款的论证意见。</w:t>
      </w:r>
    </w:p>
    <w:p/>
    <w:p>
      <w:pPr>
        <w:ind w:firstLine="480"/>
      </w:pPr>
      <w:r>
        <w:rPr/>
        <w:t>3.4终止公告：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何小姐</w:t>
      </w:r>
    </w:p>
    <w:p>
      <w:pPr>
        <w:ind w:firstLine="480"/>
      </w:pPr>
      <w:r>
        <w:rPr/>
        <w:t>电话：</w:t>
      </w:r>
      <w:r>
        <w:rPr/>
        <w:t>020-22634050</w:t>
      </w:r>
    </w:p>
    <w:p>
      <w:pPr>
        <w:ind w:firstLine="480"/>
      </w:pPr>
      <w:r>
        <w:rPr/>
        <w:t>传真：</w:t>
      </w:r>
      <w:r>
        <w:rPr/>
        <w:t>/</w:t>
      </w:r>
    </w:p>
    <w:p>
      <w:pPr>
        <w:ind w:firstLine="480"/>
      </w:pPr>
      <w:r>
        <w:rPr/>
        <w:t>邮箱：</w:t>
      </w:r>
      <w:r>
        <w:rPr/>
        <w:t>pingzhenggs@foxmail.com</w:t>
      </w:r>
    </w:p>
    <w:p>
      <w:pPr>
        <w:ind w:firstLine="480"/>
      </w:pPr>
      <w:r>
        <w:rPr/>
        <w:t>地址：</w:t>
      </w:r>
      <w:r>
        <w:rPr/>
        <w:t>广州市南沙区东涌镇市南公路13号茂源创意园A座302</w:t>
      </w:r>
    </w:p>
    <w:p>
      <w:pPr>
        <w:ind w:firstLine="480"/>
      </w:pPr>
      <w:r>
        <w:rPr/>
        <w:t>邮编：</w:t>
      </w:r>
      <w:r>
        <w:rPr/>
        <w:t>511453</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政府采购监督管理机构名称：广州市南沙区财政局财政监督管理处</w:t>
      </w:r>
    </w:p>
    <w:p>
      <w:r>
        <w:rPr/>
        <w:t>地  址：广州市南沙区凤凰大道1号D栋3楼</w:t>
      </w:r>
    </w:p>
    <w:p>
      <w:r>
        <w:rPr/>
        <w:t>电  话：020-39078089</w:t>
      </w:r>
    </w:p>
    <w:p>
      <w:r>
        <w:rPr/>
        <w:t>邮  编：511455</w:t>
      </w:r>
    </w:p>
    <w:p>
      <w:r>
        <w:rPr/>
        <w:t>传  真：020-84986648</w:t>
      </w:r>
    </w:p>
    <w:p/>
    <w:p>
      <w:r>
        <w:rPr>
          <w:b/>
          <w:sz w:val="28"/>
        </w:rPr>
        <w:t>八、合同签订和履行</w:t>
      </w:r>
    </w:p>
    <w:p>
      <w:r>
        <w:rPr>
          <w:b/>
          <w:sz w:val="24"/>
        </w:rPr>
        <w:t>1.合同签订</w:t>
      </w:r>
    </w:p>
    <w:p>
      <w:pPr>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2.3有融资要求的中标供应商可根据自身情况，在广东省政府采购网上自行选择金融机构及其融资产品，凭政府采购中标通知书或政府采购合同向金融机构提出融资申请。</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榄核镇除“四害”消杀服务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品正招标采购（广州）有限公司</w:t>
      </w:r>
      <w:r>
        <w:rPr/>
        <w:t>统一对外发布。</w:t>
      </w:r>
    </w:p>
    <w:p>
      <w:pPr>
        <w:ind w:firstLine="480"/>
      </w:pPr>
      <w:r>
        <w:rPr/>
        <w:t>（2）对</w:t>
      </w:r>
      <w:r>
        <w:rPr/>
        <w:t>品正招标采购（广州）有限公司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采购包1（榄核镇除“四害”消杀服务项目）：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采购包1（榄核镇除“四害”消杀服务项目）：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具有独立承担民事责任的能力：在中华人民共和国境内注册的法人，投标（响应）时提交有效的营业执照副本复印件。分支机构投标的，须提供总公司和分公司营业执照副本复印件，总公司出具给分支机构的授权书。分公司已获得总公司有效授权的，总公司取得的相关资质证书对分公司有效。若法律法规或招标文件另有规定的从其规定）</w:t>
            </w:r>
          </w:p>
        </w:tc>
      </w:tr>
      <w:tr>
        <w:tc>
          <w:tcPr>
            <w:tcW w:type="dxa" w:w="890"/>
          </w:tcPr>
          <w:p>
            <w:r>
              <w:rPr/>
              <w:t>2</w:t>
            </w:r>
          </w:p>
        </w:tc>
        <w:tc>
          <w:tcPr>
            <w:tcW w:type="dxa" w:w="3178"/>
          </w:tcPr>
          <w:p>
            <w:r>
              <w:rPr/>
              <w:t>有依法缴纳税收和社会保障资金的良好记录</w:t>
            </w:r>
          </w:p>
        </w:tc>
        <w:tc>
          <w:tcPr>
            <w:tcW w:type="dxa" w:w="4238"/>
          </w:tcPr>
          <w:p>
            <w:r>
              <w:rPr/>
              <w:t>依据《投标函》。</w:t>
            </w:r>
          </w:p>
        </w:tc>
      </w:tr>
      <w:tr>
        <w:tc>
          <w:tcPr>
            <w:tcW w:type="dxa" w:w="890"/>
          </w:tcPr>
          <w:p>
            <w:r>
              <w:rPr/>
              <w:t>3</w:t>
            </w:r>
          </w:p>
        </w:tc>
        <w:tc>
          <w:tcPr>
            <w:tcW w:type="dxa" w:w="3178"/>
          </w:tcPr>
          <w:p>
            <w:r>
              <w:rPr/>
              <w:t>具有良好的商业信誉和健全的财务会计制度</w:t>
            </w:r>
          </w:p>
        </w:tc>
        <w:tc>
          <w:tcPr>
            <w:tcW w:type="dxa" w:w="4238"/>
          </w:tcPr>
          <w:p>
            <w:r>
              <w:rPr/>
              <w:t>依据《投标函》。</w:t>
            </w:r>
          </w:p>
        </w:tc>
      </w:tr>
      <w:tr>
        <w:tc>
          <w:tcPr>
            <w:tcW w:type="dxa" w:w="890"/>
          </w:tcPr>
          <w:p>
            <w:r>
              <w:rPr/>
              <w:t>4</w:t>
            </w:r>
          </w:p>
        </w:tc>
        <w:tc>
          <w:tcPr>
            <w:tcW w:type="dxa" w:w="3178"/>
          </w:tcPr>
          <w:p>
            <w:r>
              <w:rPr/>
              <w:t>履行合同所必需的设备和专业技术能力</w:t>
            </w:r>
          </w:p>
        </w:tc>
        <w:tc>
          <w:tcPr>
            <w:tcW w:type="dxa" w:w="4238"/>
          </w:tcPr>
          <w:p>
            <w:r>
              <w:rPr/>
              <w:t>依据《投标函》。</w:t>
            </w:r>
          </w:p>
        </w:tc>
      </w:tr>
      <w:tr>
        <w:tc>
          <w:tcPr>
            <w:tcW w:type="dxa" w:w="890"/>
          </w:tcPr>
          <w:p>
            <w:r>
              <w:rPr/>
              <w:t>5</w:t>
            </w:r>
          </w:p>
        </w:tc>
        <w:tc>
          <w:tcPr>
            <w:tcW w:type="dxa" w:w="3178"/>
          </w:tcPr>
          <w:p>
            <w:r>
              <w:rPr/>
              <w:t>参加采购活动前3年内，在经营活动中没有重大违法记录</w:t>
            </w:r>
          </w:p>
        </w:tc>
        <w:tc>
          <w:tcPr>
            <w:tcW w:type="dxa" w:w="4238"/>
          </w:tcPr>
          <w:p>
            <w:r>
              <w:rPr/>
              <w:t>依据《投标函》。</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依据《投标函》。</w:t>
            </w:r>
          </w:p>
        </w:tc>
      </w:tr>
      <w:tr>
        <w:tc>
          <w:tcPr>
            <w:tcW w:type="dxa" w:w="890"/>
          </w:tcPr>
          <w:p>
            <w:r>
              <w:rPr/>
              <w:t>8</w:t>
            </w:r>
          </w:p>
        </w:tc>
        <w:tc>
          <w:tcPr>
            <w:tcW w:type="dxa" w:w="3178"/>
          </w:tcPr>
          <w:p>
            <w:r>
              <w:rPr/>
              <w:t>特定资格要求</w:t>
            </w:r>
          </w:p>
        </w:tc>
        <w:tc>
          <w:tcPr>
            <w:tcW w:type="dxa" w:w="4238"/>
          </w:tcPr>
          <w:p>
            <w:r>
              <w:rPr/>
              <w:t>本项目不接受联合体响应。</w:t>
            </w:r>
          </w:p>
        </w:tc>
      </w:tr>
      <w:tr>
        <w:tc>
          <w:tcPr>
            <w:tcW w:type="dxa" w:w="890"/>
          </w:tcPr>
          <w:p>
            <w:r>
              <w:rPr/>
              <w:t>9</w:t>
            </w:r>
          </w:p>
        </w:tc>
        <w:tc>
          <w:tcPr>
            <w:tcW w:type="dxa" w:w="3178"/>
          </w:tcPr>
          <w:p>
            <w:r>
              <w:rPr/>
              <w:t>本采购包专门面向中小企业采购</w:t>
            </w:r>
          </w:p>
        </w:tc>
        <w:tc>
          <w:tcPr>
            <w:tcW w:type="dxa" w:w="4238"/>
          </w:tcPr>
          <w:p>
            <w:r>
              <w:rPr/>
              <w:t>本项目属于专门面向中小微企业采购的项目，全部货物的制造商应为中小微企业、监狱企业或残疾人福利性单位【依据《中小企业声明函》或由省级以上监狱管理局、戒毒管理局(含新疆生产建设兵团)出具的制造商属于监狱企业的证明文件或制造商的《残疾人福利性单位声明函》】。</w:t>
            </w:r>
          </w:p>
        </w:tc>
      </w:tr>
    </w:tbl>
    <w:p/>
    <w:p>
      <w:pPr>
        <w:ind w:firstLine="480"/>
      </w:pPr>
      <w:r>
        <w:rPr/>
        <w:t>表二符合性审查表：</w:t>
      </w:r>
    </w:p>
    <w:p>
      <w:pPr>
        <w:ind w:firstLine="480"/>
      </w:pPr>
    </w:p>
    <w:p/>
    <w:p>
      <w:r>
        <w:rPr/>
        <w:t>采购包1（榄核镇除“四害”消杀服务项目）：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w:t>
            </w:r>
          </w:p>
        </w:tc>
        <w:tc>
          <w:tcPr>
            <w:tcW w:type="dxa" w:w="4238"/>
          </w:tcPr>
          <w:p>
            <w:r>
              <w:rPr/>
              <w:t>按对应格式文件填写、签署、盖章。</w:t>
            </w:r>
          </w:p>
        </w:tc>
      </w:tr>
      <w:tr>
        <w:tc>
          <w:tcPr>
            <w:tcW w:type="dxa" w:w="890"/>
          </w:tcPr>
          <w:p>
            <w:r>
              <w:rPr/>
              <w:t>2</w:t>
            </w:r>
          </w:p>
        </w:tc>
        <w:tc>
          <w:tcPr>
            <w:tcW w:type="dxa" w:w="3178"/>
          </w:tcPr>
          <w:p>
            <w:r>
              <w:rPr/>
              <w:t>法定代表人证明书及授权委托书</w:t>
            </w:r>
          </w:p>
        </w:tc>
        <w:tc>
          <w:tcPr>
            <w:tcW w:type="dxa" w:w="4238"/>
          </w:tcPr>
          <w:p>
            <w:r>
              <w:rPr/>
              <w:t>按对应格式文件填写、签署、盖章。</w:t>
            </w:r>
          </w:p>
        </w:tc>
      </w:tr>
      <w:tr>
        <w:tc>
          <w:tcPr>
            <w:tcW w:type="dxa" w:w="890"/>
          </w:tcPr>
          <w:p>
            <w:r>
              <w:rPr/>
              <w:t>3</w:t>
            </w:r>
          </w:p>
        </w:tc>
        <w:tc>
          <w:tcPr>
            <w:tcW w:type="dxa" w:w="3178"/>
          </w:tcPr>
          <w:p>
            <w:r>
              <w:rPr/>
              <w:t>投标有效期</w:t>
            </w:r>
          </w:p>
        </w:tc>
        <w:tc>
          <w:tcPr>
            <w:tcW w:type="dxa" w:w="4238"/>
          </w:tcPr>
          <w:p>
            <w:r>
              <w:rPr/>
              <w:t>有效期为90天（日历天）。</w:t>
            </w:r>
          </w:p>
        </w:tc>
      </w:tr>
      <w:tr>
        <w:tc>
          <w:tcPr>
            <w:tcW w:type="dxa" w:w="890"/>
          </w:tcPr>
          <w:p>
            <w:r>
              <w:rPr/>
              <w:t>4</w:t>
            </w:r>
          </w:p>
        </w:tc>
        <w:tc>
          <w:tcPr>
            <w:tcW w:type="dxa" w:w="3178"/>
          </w:tcPr>
          <w:p>
            <w:r>
              <w:rPr/>
              <w:t>签署、盖章</w:t>
            </w:r>
          </w:p>
        </w:tc>
        <w:tc>
          <w:tcPr>
            <w:tcW w:type="dxa" w:w="4238"/>
          </w:tcPr>
          <w:p>
            <w:r>
              <w:rPr/>
              <w:t>投标文件按照招标文件规定要求签署、盖章。</w:t>
            </w:r>
          </w:p>
        </w:tc>
      </w:tr>
      <w:tr>
        <w:tc>
          <w:tcPr>
            <w:tcW w:type="dxa" w:w="890"/>
          </w:tcPr>
          <w:p>
            <w:r>
              <w:rPr/>
              <w:t>5</w:t>
            </w:r>
          </w:p>
        </w:tc>
        <w:tc>
          <w:tcPr>
            <w:tcW w:type="dxa" w:w="3178"/>
          </w:tcPr>
          <w:p>
            <w:r>
              <w:rPr/>
              <w:t>投标报价</w:t>
            </w:r>
          </w:p>
        </w:tc>
        <w:tc>
          <w:tcPr>
            <w:tcW w:type="dxa" w:w="4238"/>
          </w:tcPr>
          <w:p>
            <w:r>
              <w:rPr/>
              <w:t>投标报价按采购文件要求报价；投标报价是唯一确定且没超过采购预算；关键、主要内容无漏项。</w:t>
            </w:r>
          </w:p>
        </w:tc>
      </w:tr>
      <w:tr>
        <w:tc>
          <w:tcPr>
            <w:tcW w:type="dxa" w:w="890"/>
          </w:tcPr>
          <w:p>
            <w:r>
              <w:rPr/>
              <w:t>6</w:t>
            </w:r>
          </w:p>
        </w:tc>
        <w:tc>
          <w:tcPr>
            <w:tcW w:type="dxa" w:w="3178"/>
          </w:tcPr>
          <w:p>
            <w:r>
              <w:rPr/>
              <w:t>报价合理性</w:t>
            </w:r>
          </w:p>
        </w:tc>
        <w:tc>
          <w:tcPr>
            <w:tcW w:type="dxa" w:w="4238"/>
          </w:tcPr>
          <w:p>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r>
              <w:rPr/>
              <w:t>7</w:t>
            </w:r>
          </w:p>
        </w:tc>
        <w:tc>
          <w:tcPr>
            <w:tcW w:type="dxa" w:w="3178"/>
          </w:tcPr>
          <w:p>
            <w:r>
              <w:rPr/>
              <w:t>★号条款</w:t>
            </w:r>
          </w:p>
        </w:tc>
        <w:tc>
          <w:tcPr>
            <w:tcW w:type="dxa" w:w="4238"/>
          </w:tcPr>
          <w:p>
            <w:r>
              <w:rPr/>
              <w:t>能满足采购人需求中的实质性条款（带“★”号条款）。</w:t>
            </w:r>
          </w:p>
        </w:tc>
      </w:tr>
      <w:tr>
        <w:tc>
          <w:tcPr>
            <w:tcW w:type="dxa" w:w="890"/>
          </w:tcPr>
          <w:p>
            <w:r>
              <w:rPr/>
              <w:t>8</w:t>
            </w:r>
          </w:p>
        </w:tc>
        <w:tc>
          <w:tcPr>
            <w:tcW w:type="dxa" w:w="3178"/>
          </w:tcPr>
          <w:p>
            <w:r>
              <w:rPr/>
              <w:t>招标文件规定的无效投标条款</w:t>
            </w:r>
          </w:p>
        </w:tc>
        <w:tc>
          <w:tcPr>
            <w:tcW w:type="dxa" w:w="4238"/>
          </w:tcPr>
          <w:p>
            <w:r>
              <w:rPr/>
              <w:t>无招标文件中规定的被视为无效投标的其它条款的。</w:t>
            </w:r>
          </w:p>
        </w:tc>
      </w:tr>
      <w:tr>
        <w:tc>
          <w:tcPr>
            <w:tcW w:type="dxa" w:w="890"/>
          </w:tcPr>
          <w:p>
            <w:r>
              <w:rPr/>
              <w:t>9</w:t>
            </w:r>
          </w:p>
        </w:tc>
        <w:tc>
          <w:tcPr>
            <w:tcW w:type="dxa" w:w="3178"/>
          </w:tcPr>
          <w:p>
            <w:r>
              <w:rPr/>
              <w:t>投标无效的其他情形</w:t>
            </w:r>
          </w:p>
        </w:tc>
        <w:tc>
          <w:tcPr>
            <w:tcW w:type="dxa" w:w="4238"/>
          </w:tcPr>
          <w:p>
            <w:r>
              <w:rPr/>
              <w:t>未出现法律、法规、规章规定属于投标无效的其他情形。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采购包1(榄核镇除“四害”消杀服务项目):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商务部分35.0分</w:t>
            </w:r>
          </w:p>
          <w:p>
            <w:r>
              <w:rPr/>
              <w:t>技术部分55.0分</w:t>
            </w:r>
          </w:p>
          <w:p>
            <w:r>
              <w:rPr/>
              <w:t>报价得分10.0分</w:t>
            </w:r>
          </w:p>
        </w:tc>
      </w:tr>
      <w:tr>
        <w:tc>
          <w:tcPr>
            <w:tcW w:type="dxa" w:w="922"/>
            <w:gridSpan w:val="2"/>
            <w:vMerge w:val="restart"/>
          </w:tcPr>
          <w:p>
            <w:pPr>
              <w:jc w:val="center"/>
            </w:pPr>
            <w:r>
              <w:rPr/>
              <w:t>技术部分</w:t>
            </w:r>
          </w:p>
        </w:tc>
        <w:tc>
          <w:tcPr>
            <w:tcW w:type="dxa" w:w="2307"/>
          </w:tcPr>
          <w:p>
            <w:pPr>
              <w:jc w:val="left"/>
            </w:pPr>
            <w:r>
              <w:rPr/>
              <w:t>对项目的理解、重点难点分析 (10.0分)</w:t>
            </w:r>
            <w:r>
              <w:rPr/>
              <w:t>，（等次分值选择：</w:t>
            </w:r>
            <w:r>
              <w:rPr/>
              <w:t>0.0;</w:t>
            </w:r>
            <w:r>
              <w:rPr/>
              <w:t>1.0;</w:t>
            </w:r>
            <w:r>
              <w:rPr/>
              <w:t>4.0;</w:t>
            </w:r>
            <w:r>
              <w:rPr/>
              <w:t>7.0;</w:t>
            </w:r>
            <w:r>
              <w:rPr/>
              <w:t>10.0;</w:t>
            </w:r>
            <w:r>
              <w:rPr/>
              <w:t>）</w:t>
            </w:r>
          </w:p>
        </w:tc>
        <w:tc>
          <w:tcPr>
            <w:tcW w:type="dxa" w:w="5076"/>
          </w:tcPr>
          <w:p>
            <w:pPr>
              <w:jc w:val="left"/>
            </w:pPr>
            <w:r>
              <w:rPr/>
              <w:t>1.投标人对本项目服务内容熟悉，非常了解本项目服务重点，能详细说明辖区内的工作难点、重点，得10分； 2.投标人对本项目服务内容较熟悉，较了解本项目服务重点，能概述辖区内的工作难点、重点，得7分； 3.投标人对本项目服务内容熟悉程度一般，基本了解本项目服务重点，得4分； 4.投标人对对本项目服务内容不够熟悉，对本项目服务重点不够了解，得1分； 5.无或其它不得分。</w:t>
            </w:r>
          </w:p>
        </w:tc>
      </w:tr>
      <w:tr>
        <w:tc>
          <w:tcPr>
            <w:tcW w:type="dxa" w:w="922"/>
            <w:gridSpan w:val="2"/>
            <w:vMerge/>
          </w:tcPr>
          <w:p/>
        </w:tc>
        <w:tc>
          <w:tcPr>
            <w:tcW w:type="dxa" w:w="2307"/>
          </w:tcPr>
          <w:p>
            <w:pPr>
              <w:jc w:val="left"/>
            </w:pPr>
            <w:r>
              <w:rPr/>
              <w:t>服务实施方案 (15.0分)</w:t>
            </w:r>
            <w:r>
              <w:rPr/>
              <w:t>，（等次分值选择：</w:t>
            </w:r>
            <w:r>
              <w:rPr/>
              <w:t>0.0;</w:t>
            </w:r>
            <w:r>
              <w:rPr/>
              <w:t>3.0;</w:t>
            </w:r>
            <w:r>
              <w:rPr/>
              <w:t>7.0;</w:t>
            </w:r>
            <w:r>
              <w:rPr/>
              <w:t>11.0;</w:t>
            </w:r>
            <w:r>
              <w:rPr/>
              <w:t>15.0;</w:t>
            </w:r>
            <w:r>
              <w:rPr/>
              <w:t>）</w:t>
            </w:r>
          </w:p>
        </w:tc>
        <w:tc>
          <w:tcPr>
            <w:tcW w:type="dxa" w:w="5076"/>
          </w:tcPr>
          <w:p>
            <w:pPr>
              <w:jc w:val="left"/>
            </w:pPr>
            <w:r>
              <w:rPr/>
              <w:t>1.服务方案详细、科学合理、服务项目全面、可行性高的，能够充分满足采购人需求的，得15分； 2.服务方案较详细、较合理、服务项目较全面，可行性较高的，能够满足采购人需求的，得11分； 3.服务方案基本完善，具有一定合理性和可行性，服务项目基本全面，得7分； 4.服务方案不完善，合理性和可行性欠缺，得3分。 5.无或其它不得分。</w:t>
            </w:r>
          </w:p>
        </w:tc>
      </w:tr>
      <w:tr>
        <w:tc>
          <w:tcPr>
            <w:tcW w:type="dxa" w:w="922"/>
            <w:gridSpan w:val="2"/>
            <w:vMerge/>
          </w:tcPr>
          <w:p/>
        </w:tc>
        <w:tc>
          <w:tcPr>
            <w:tcW w:type="dxa" w:w="2307"/>
          </w:tcPr>
          <w:p>
            <w:pPr>
              <w:jc w:val="left"/>
            </w:pPr>
            <w:r>
              <w:rPr/>
              <w:t>应急保障方案 (15.0分)</w:t>
            </w:r>
            <w:r>
              <w:rPr/>
              <w:t>，（等次分值选择：</w:t>
            </w:r>
            <w:r>
              <w:rPr/>
              <w:t>0.0;</w:t>
            </w:r>
            <w:r>
              <w:rPr/>
              <w:t>3.0;</w:t>
            </w:r>
            <w:r>
              <w:rPr/>
              <w:t>7.0;</w:t>
            </w:r>
            <w:r>
              <w:rPr/>
              <w:t>11.0;</w:t>
            </w:r>
            <w:r>
              <w:rPr/>
              <w:t>15.0;</w:t>
            </w:r>
            <w:r>
              <w:rPr/>
              <w:t>）</w:t>
            </w:r>
          </w:p>
        </w:tc>
        <w:tc>
          <w:tcPr>
            <w:tcW w:type="dxa" w:w="5076"/>
          </w:tcPr>
          <w:p>
            <w:pPr>
              <w:jc w:val="left"/>
            </w:pPr>
            <w:r>
              <w:rPr/>
              <w:t>1.应急保障方案完整详细，针对突发事件能够迅速响应，方案亮点多，可操作性强，得15分； 2.应急保障方案较完整，针对突发事件能够较快响应，方案亮点较多，可操作性较强，得11分； 3.应急保障方案基本完整，针对突发事件基本能够准时响应，方案有亮点，基本可操作，得7分； 4.应急保障方案有较多缺漏，针对突发事件的响应有延迟，基本无亮点，可操作性一般，得3分。 注：不提供应急保障方案不得分。</w:t>
            </w:r>
          </w:p>
        </w:tc>
      </w:tr>
      <w:tr>
        <w:tc>
          <w:tcPr>
            <w:tcW w:type="dxa" w:w="922"/>
            <w:gridSpan w:val="2"/>
            <w:vMerge/>
          </w:tcPr>
          <w:p/>
        </w:tc>
        <w:tc>
          <w:tcPr>
            <w:tcW w:type="dxa" w:w="2307"/>
          </w:tcPr>
          <w:p>
            <w:pPr>
              <w:jc w:val="left"/>
            </w:pPr>
            <w:r>
              <w:rPr/>
              <w:t>组织措施及消杀灭效评估方案 (10.0分)</w:t>
            </w:r>
            <w:r>
              <w:rPr/>
              <w:t>，（等次分值选择：</w:t>
            </w:r>
            <w:r>
              <w:rPr/>
              <w:t>0.0;</w:t>
            </w:r>
            <w:r>
              <w:rPr/>
              <w:t>1.0;</w:t>
            </w:r>
            <w:r>
              <w:rPr/>
              <w:t>4.0;</w:t>
            </w:r>
            <w:r>
              <w:rPr/>
              <w:t>7.0;</w:t>
            </w:r>
            <w:r>
              <w:rPr/>
              <w:t>10.0;</w:t>
            </w:r>
            <w:r>
              <w:rPr/>
              <w:t>）</w:t>
            </w:r>
          </w:p>
        </w:tc>
        <w:tc>
          <w:tcPr>
            <w:tcW w:type="dxa" w:w="5076"/>
          </w:tcPr>
          <w:p>
            <w:pPr>
              <w:jc w:val="left"/>
            </w:pPr>
            <w:r>
              <w:rPr/>
              <w:t>根据投标人提供的组织措施及消杀灭效评估方案进行评审：1.管理组织结构科学合理、有详细的消杀灭效评估方案，灭效方案详细、可行性强，得10分；2.管理组织结构较合理、有较详细的消杀灭效评估方案，灭效方案较详细、可行性较强，得7分；3.管理组织结构基本合理、有消杀灭效评估方案，灭效方案基本合理，可行性一般，得4分；4.管理组织结构不合理、有消杀灭效评估方案，灭效方案较差，可行性较低，得1分；5.无提供或其他情况，不得分。</w:t>
            </w:r>
          </w:p>
        </w:tc>
      </w:tr>
      <w:tr>
        <w:tc>
          <w:tcPr>
            <w:tcW w:type="dxa" w:w="922"/>
            <w:gridSpan w:val="2"/>
            <w:vMerge/>
          </w:tcPr>
          <w:p/>
        </w:tc>
        <w:tc>
          <w:tcPr>
            <w:tcW w:type="dxa" w:w="2307"/>
          </w:tcPr>
          <w:p>
            <w:pPr>
              <w:jc w:val="left"/>
            </w:pPr>
            <w:r>
              <w:rPr/>
              <w:t>安全保障措施 (5.0分)</w:t>
            </w:r>
            <w:r>
              <w:rPr/>
              <w:t>，（等次分值选择：</w:t>
            </w:r>
            <w:r>
              <w:rPr/>
              <w:t>0.0;</w:t>
            </w:r>
            <w:r>
              <w:rPr/>
              <w:t>1.0;</w:t>
            </w:r>
            <w:r>
              <w:rPr/>
              <w:t>2.0;</w:t>
            </w:r>
            <w:r>
              <w:rPr/>
              <w:t>3.0;</w:t>
            </w:r>
            <w:r>
              <w:rPr/>
              <w:t>5.0;</w:t>
            </w:r>
            <w:r>
              <w:rPr/>
              <w:t>）</w:t>
            </w:r>
          </w:p>
        </w:tc>
        <w:tc>
          <w:tcPr>
            <w:tcW w:type="dxa" w:w="5076"/>
          </w:tcPr>
          <w:p>
            <w:pPr>
              <w:jc w:val="left"/>
            </w:pPr>
            <w:r>
              <w:rPr/>
              <w:t>1.安全保障措施详细、具体，安全事故预防机制成熟，措施具有可行性和针对性，得5分；2.安全保障措施较详细、具体，安全事故预防机制较成熟，措施较具有可行性和针对性，得3分；3.安全保障措施不够详细、具体，安全事故预防机制不够成熟，可行性和针对性一般，得2分；4.安全保障措施不详细、具体，安全事故预防机制不成熟，可行性和针对性差，得1分；5.不提供不得分。</w:t>
            </w:r>
          </w:p>
        </w:tc>
      </w:tr>
      <w:tr>
        <w:tc>
          <w:tcPr>
            <w:tcW w:type="dxa" w:w="922"/>
            <w:gridSpan w:val="2"/>
            <w:vMerge w:val="restart"/>
          </w:tcPr>
          <w:p>
            <w:pPr>
              <w:jc w:val="center"/>
            </w:pPr>
            <w:r>
              <w:rPr/>
              <w:t>商务部分</w:t>
            </w:r>
          </w:p>
        </w:tc>
        <w:tc>
          <w:tcPr>
            <w:tcW w:type="dxa" w:w="2307"/>
          </w:tcPr>
          <w:p>
            <w:pPr>
              <w:jc w:val="left"/>
            </w:pPr>
            <w:r>
              <w:rPr/>
              <w:t>项目业绩 (8.0分)</w:t>
            </w:r>
          </w:p>
        </w:tc>
        <w:tc>
          <w:tcPr>
            <w:tcW w:type="dxa" w:w="5076"/>
          </w:tcPr>
          <w:p>
            <w:pPr>
              <w:jc w:val="left"/>
            </w:pPr>
            <w:r>
              <w:rPr/>
              <w:t>投标人提供2019年1月1日至今承接过同类项目经验业绩，每提供一个得2分，满分8分。  注：需提供类似业绩合同作为证明材料，以合同签订日期为准，不提供不得分。</w:t>
            </w:r>
          </w:p>
        </w:tc>
      </w:tr>
      <w:tr>
        <w:tc>
          <w:tcPr>
            <w:tcW w:type="dxa" w:w="922"/>
            <w:gridSpan w:val="2"/>
            <w:vMerge/>
          </w:tcPr>
          <w:p/>
        </w:tc>
        <w:tc>
          <w:tcPr>
            <w:tcW w:type="dxa" w:w="2307"/>
          </w:tcPr>
          <w:p>
            <w:pPr>
              <w:jc w:val="left"/>
            </w:pPr>
            <w:r>
              <w:rPr/>
              <w:t>拟投入本项目的人员情况 (5.0分)</w:t>
            </w:r>
          </w:p>
        </w:tc>
        <w:tc>
          <w:tcPr>
            <w:tcW w:type="dxa" w:w="5076"/>
          </w:tcPr>
          <w:p>
            <w:pPr>
              <w:jc w:val="left"/>
            </w:pPr>
            <w:r>
              <w:rPr/>
              <w:t>拟投入初级或以上有害生物防制资质人员，每个得1分，最高得5分。 注：必须同时提供以上人员身份证、上岗证及社保证明文件（本项目投标截止日之前3个月内任意一个月的《投保单》或《社会保险参保人员证明》）或劳务合同复印件。不提供或提供不全或专家无法认定的不得分。</w:t>
            </w:r>
          </w:p>
        </w:tc>
      </w:tr>
      <w:tr>
        <w:tc>
          <w:tcPr>
            <w:tcW w:type="dxa" w:w="922"/>
            <w:gridSpan w:val="2"/>
            <w:vMerge/>
          </w:tcPr>
          <w:p/>
        </w:tc>
        <w:tc>
          <w:tcPr>
            <w:tcW w:type="dxa" w:w="2307"/>
          </w:tcPr>
          <w:p>
            <w:pPr>
              <w:jc w:val="left"/>
            </w:pPr>
            <w:r>
              <w:rPr/>
              <w:t>管理体系认证 (9.0分)</w:t>
            </w:r>
          </w:p>
        </w:tc>
        <w:tc>
          <w:tcPr>
            <w:tcW w:type="dxa" w:w="5076"/>
          </w:tcPr>
          <w:p>
            <w:pPr>
              <w:jc w:val="left"/>
            </w:pPr>
            <w:r>
              <w:rPr/>
              <w:t>投标人具有有效的质量管理体系认证证书、环境管理体系认证证书、职业健康安全管理体系认证证书，每具有一项证书得3分，最高得9分。 注：提供以上证书复印件，不提供不得分。</w:t>
            </w:r>
          </w:p>
        </w:tc>
      </w:tr>
      <w:tr>
        <w:tc>
          <w:tcPr>
            <w:tcW w:type="dxa" w:w="922"/>
            <w:gridSpan w:val="2"/>
            <w:vMerge/>
          </w:tcPr>
          <w:p/>
        </w:tc>
        <w:tc>
          <w:tcPr>
            <w:tcW w:type="dxa" w:w="2307"/>
          </w:tcPr>
          <w:p>
            <w:pPr>
              <w:jc w:val="left"/>
            </w:pPr>
            <w:r>
              <w:rPr/>
              <w:t>对非重大违法违规记录的扣分 (6.0分)</w:t>
            </w:r>
          </w:p>
        </w:tc>
        <w:tc>
          <w:tcPr>
            <w:tcW w:type="dxa" w:w="5076"/>
          </w:tcPr>
          <w:p>
            <w:pPr>
              <w:jc w:val="left"/>
            </w:pPr>
            <w:r>
              <w:rPr/>
              <w:t>以“信用中国”（www.creditchina.gov.cn）网站为查询渠道： 对列入行政处罚或或严重失信主体名单的投标人每一条记录扣1分。以上合计最高扣6分。如查询结果显示没有相关记录，视为没有上述非重大违法违规记录，则不扣分。以评标委员会于评审时在上述网站查询结果为准，评标委员会应将上述记录查询情况截图存档。</w:t>
            </w:r>
          </w:p>
        </w:tc>
      </w:tr>
      <w:tr>
        <w:tc>
          <w:tcPr>
            <w:tcW w:type="dxa" w:w="922"/>
            <w:gridSpan w:val="2"/>
            <w:vMerge/>
          </w:tcPr>
          <w:p/>
        </w:tc>
        <w:tc>
          <w:tcPr>
            <w:tcW w:type="dxa" w:w="2307"/>
          </w:tcPr>
          <w:p>
            <w:pPr>
              <w:jc w:val="left"/>
            </w:pPr>
            <w:r>
              <w:rPr/>
              <w:t>设备投入  (7.0分)</w:t>
            </w:r>
          </w:p>
        </w:tc>
        <w:tc>
          <w:tcPr>
            <w:tcW w:type="dxa" w:w="5076"/>
          </w:tcPr>
          <w:p>
            <w:pPr>
              <w:jc w:val="left"/>
            </w:pPr>
            <w:r>
              <w:rPr/>
              <w:t>1.拟投入本项目的杀蟑烟雾机，在满足采购需求3台的前提下，每额外增加1台得1分，本项最高得2分； 2.拟投入本项目的背负式超低容量喷雾机，在满足采购需求10台的前提下，每额外增加1台得1分，本项最高得3分；3. 拟投入本项目的电动喷壶，在满足采购需求5台的前提下，每额外增加1台得1分，本项最高得2分。注：设备属于自有的需提供设备购买发票复印件；设备属于租赁的需提供设备的租赁合同及出租方的设备购买发票复印件；不提供或提供不全的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both"/>
      </w:pPr>
    </w:p>
    <w:p>
      <w:pPr>
        <w:jc w:val="center"/>
      </w:pPr>
    </w:p>
    <w:p>
      <w:pPr>
        <w:jc w:val="center"/>
      </w:pPr>
      <w:r>
        <w:rPr>
          <w:b/>
          <w:sz w:val="21"/>
        </w:rPr>
        <w:t xml:space="preserve"> </w:t>
      </w:r>
    </w:p>
    <w:p>
      <w:pPr>
        <w:jc w:val="center"/>
      </w:pPr>
      <w:r>
        <w:rPr>
          <w:b/>
          <w:sz w:val="21"/>
        </w:rPr>
        <w:t xml:space="preserve"> </w:t>
      </w:r>
    </w:p>
    <w:p>
      <w:pPr>
        <w:jc w:val="center"/>
      </w:pPr>
      <w:r>
        <w:rPr>
          <w:b/>
          <w:sz w:val="44"/>
        </w:rPr>
        <w:t>广东省政府采购</w:t>
      </w:r>
    </w:p>
    <w:p>
      <w:pPr>
        <w:jc w:val="both"/>
      </w:pPr>
      <w:r>
        <w:rPr>
          <w:sz w:val="21"/>
        </w:rPr>
        <w:t xml:space="preserve"> </w:t>
      </w:r>
    </w:p>
    <w:p>
      <w:pPr>
        <w:jc w:val="center"/>
      </w:pPr>
      <w:r>
        <w:rPr>
          <w:b/>
          <w:sz w:val="44"/>
        </w:rPr>
        <w:t>合　同　书</w:t>
      </w:r>
    </w:p>
    <w:p>
      <w:pPr>
        <w:jc w:val="center"/>
      </w:pPr>
      <w:r>
        <w:br/>
      </w:r>
      <w:r>
        <w:br/>
      </w:r>
      <w:r>
        <w:br/>
      </w:r>
      <w:r>
        <w:br/>
      </w:r>
      <w:r>
        <w:br/>
      </w:r>
      <w:r>
        <w:br/>
      </w:r>
      <w:r>
        <w:br/>
      </w:r>
      <w:r>
        <w:br/>
      </w:r>
      <w:r>
        <w:rPr>
          <w:sz w:val="21"/>
        </w:rPr>
        <w:t xml:space="preserve"> </w:t>
      </w:r>
    </w:p>
    <w:p>
      <w:pPr>
        <w:jc w:val="left"/>
      </w:pPr>
      <w:r>
        <w:rPr>
          <w:sz w:val="28"/>
        </w:rPr>
        <w:t>采购计划编号：</w:t>
      </w:r>
      <w:r>
        <w:rPr>
          <w:sz w:val="21"/>
          <w:u w:val="single"/>
        </w:rPr>
        <w:t xml:space="preserve">                         </w:t>
      </w:r>
    </w:p>
    <w:p>
      <w:pPr>
        <w:jc w:val="left"/>
      </w:pPr>
      <w:r>
        <w:rPr>
          <w:sz w:val="21"/>
        </w:rPr>
        <w:t xml:space="preserve"> </w:t>
      </w:r>
    </w:p>
    <w:p>
      <w:pPr>
        <w:jc w:val="left"/>
      </w:pPr>
      <w:r>
        <w:rPr>
          <w:sz w:val="28"/>
        </w:rPr>
        <w:t>项目编号：</w:t>
      </w:r>
      <w:r>
        <w:rPr>
          <w:sz w:val="21"/>
          <w:u w:val="single"/>
        </w:rPr>
        <w:t xml:space="preserve">                             </w:t>
      </w:r>
    </w:p>
    <w:p>
      <w:pPr>
        <w:jc w:val="left"/>
      </w:pPr>
      <w:r>
        <w:rPr>
          <w:sz w:val="21"/>
        </w:rPr>
        <w:t xml:space="preserve"> </w:t>
      </w:r>
    </w:p>
    <w:p>
      <w:pPr>
        <w:jc w:val="left"/>
      </w:pPr>
      <w:r>
        <w:rPr>
          <w:sz w:val="28"/>
        </w:rPr>
        <w:t>项目名称：</w:t>
      </w:r>
      <w:r>
        <w:rPr>
          <w:sz w:val="21"/>
          <w:u w:val="single"/>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br/>
      </w:r>
      <w:r>
        <w:rPr>
          <w:sz w:val="21"/>
        </w:rPr>
        <w:t xml:space="preserve"> </w:t>
      </w:r>
    </w:p>
    <w:p/>
    <w:p>
      <w:pPr>
        <w:jc w:val="left"/>
      </w:pPr>
    </w:p>
    <w:p>
      <w:pPr>
        <w:jc w:val="center"/>
      </w:pPr>
      <w:r>
        <w:rPr>
          <w:b/>
          <w:sz w:val="21"/>
        </w:rPr>
        <w:t>注：本合同仅为合同的参考文本，合同签订双方可根据项目的具体要求进行修订。</w:t>
      </w:r>
    </w:p>
    <w:p>
      <w:pPr>
        <w:jc w:val="left"/>
      </w:pPr>
      <w:r>
        <w:rPr>
          <w:sz w:val="21"/>
        </w:rPr>
        <w:t>甲   方（采购人）：</w:t>
      </w:r>
    </w:p>
    <w:p>
      <w:pPr>
        <w:jc w:val="left"/>
      </w:pPr>
      <w:r>
        <w:rPr>
          <w:sz w:val="21"/>
        </w:rPr>
        <w:t>乙   方（中标人）：</w:t>
      </w:r>
    </w:p>
    <w:p>
      <w:pPr>
        <w:jc w:val="left"/>
      </w:pPr>
      <w:r>
        <w:rPr>
          <w:sz w:val="21"/>
        </w:rPr>
        <w:t xml:space="preserve">    受甲方委托，</w:t>
      </w:r>
      <w:r>
        <w:rPr>
          <w:sz w:val="21"/>
          <w:u w:val="single"/>
        </w:rPr>
        <w:t>品正招标采购（广州）有限公司</w:t>
      </w:r>
      <w:r>
        <w:rPr>
          <w:sz w:val="21"/>
        </w:rPr>
        <w:t>对</w:t>
      </w:r>
      <w:r>
        <w:rPr>
          <w:sz w:val="21"/>
          <w:u w:val="single"/>
        </w:rPr>
        <w:t>（项目名称）（项目编号）</w:t>
      </w:r>
      <w:r>
        <w:rPr>
          <w:sz w:val="21"/>
        </w:rPr>
        <w:t>通过公开招标方式确定乙方为甲方提供服务。为了保护双方合法权益，根据《中华人民共和国政府采购法》、《中华人民共和国民法典》等相关法律、法规的规定，并严格遵循本项目招标文件的相关规定、投标文件的承诺</w:t>
      </w:r>
      <w:r>
        <w:rPr>
          <w:sz w:val="21"/>
        </w:rPr>
        <w:t>,</w:t>
      </w:r>
      <w:r>
        <w:rPr>
          <w:sz w:val="21"/>
        </w:rPr>
        <w:t>经甲乙双方协商一致，订立本合同。</w:t>
      </w:r>
    </w:p>
    <w:p>
      <w:pPr>
        <w:ind w:firstLine="480"/>
        <w:jc w:val="both"/>
      </w:pPr>
    </w:p>
    <w:p>
      <w:pPr>
        <w:ind w:firstLine="482"/>
        <w:jc w:val="left"/>
      </w:pPr>
      <w:r>
        <w:rPr>
          <w:b/>
          <w:sz w:val="21"/>
        </w:rPr>
        <w:t>一、合同金额</w:t>
      </w:r>
    </w:p>
    <w:p>
      <w:pPr>
        <w:ind w:firstLine="480"/>
        <w:jc w:val="left"/>
      </w:pPr>
      <w:r>
        <w:rPr>
          <w:sz w:val="21"/>
        </w:rPr>
        <w:t>合同总金额：</w:t>
      </w:r>
      <w:r>
        <w:rPr>
          <w:sz w:val="21"/>
          <w:u w:val="single"/>
        </w:rPr>
        <w:t xml:space="preserve">         </w:t>
      </w:r>
      <w:r>
        <w:rPr>
          <w:sz w:val="21"/>
        </w:rPr>
        <w:t>元；</w:t>
      </w:r>
    </w:p>
    <w:p>
      <w:pPr>
        <w:ind w:firstLine="482"/>
        <w:jc w:val="left"/>
      </w:pPr>
      <w:r>
        <w:rPr>
          <w:b/>
          <w:sz w:val="21"/>
        </w:rPr>
        <w:t>二、合同期限</w:t>
      </w:r>
    </w:p>
    <w:p>
      <w:pPr>
        <w:ind w:firstLine="480"/>
        <w:jc w:val="left"/>
      </w:pPr>
      <w:r>
        <w:rPr>
          <w:sz w:val="21"/>
        </w:rPr>
        <w:t>本合同期限为，自</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日起至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日止。</w:t>
      </w:r>
    </w:p>
    <w:p>
      <w:pPr>
        <w:ind w:firstLine="422"/>
        <w:jc w:val="both"/>
      </w:pPr>
      <w:r>
        <w:rPr>
          <w:b/>
          <w:sz w:val="21"/>
        </w:rPr>
        <w:t>三、工作内容及职责：</w:t>
      </w:r>
    </w:p>
    <w:p>
      <w:pPr>
        <w:ind w:firstLine="420"/>
        <w:jc w:val="both"/>
      </w:pPr>
      <w:r>
        <w:rPr>
          <w:sz w:val="21"/>
        </w:rPr>
        <w:t>1.</w:t>
      </w:r>
      <w:r>
        <w:rPr>
          <w:sz w:val="21"/>
        </w:rPr>
        <w:t>合同签订之日乙方须根据甲方的要求使用车载式超低容量喷雾机、常量喷雾器、背负式超低容量喷雾机及杀蟑烟雾机对全镇23个村、1个社区、2个农场、及重点场所（辖区内机关单位、中（小）学校，幼儿园外环境、农贸市场、公园、政府大院、道路绿化、垃圾中转站、隔离场所等）面积约74.48平方千米进行全面除四害工作。服务次数不少于37次，甲方可根据天气、上级检查或其他原因调整每月消杀次数，但年度总消杀次数不变（详见下表月份服务次数）。消杀药物由甲方提供，除此外的其他所有设备和耗材由乙方自行提供，乙方需根据技术要求为甲方采购药物提供技术指导。</w:t>
      </w:r>
    </w:p>
    <w:p>
      <w:pPr>
        <w:jc w:val="both"/>
      </w:pPr>
      <w:r>
        <w:rPr>
          <w:b/>
          <w:sz w:val="21"/>
        </w:rPr>
        <w:t>月份服务次数：</w:t>
      </w:r>
    </w:p>
    <w:tbl>
      <w:tblPr>
        <w:tblW w:w="0" w:type="auto"/>
        <w:tblInd w:type="dxa" w:w="135"/>
        <w:tblBorders>
          <w:top w:val="single"/>
          <w:left w:val="single"/>
          <w:bottom w:val="single"/>
          <w:right w:val="single"/>
          <w:insideH w:val="single"/>
          <w:insideV w:val="single"/>
        </w:tblBorders>
      </w:tblPr>
      <w:tblGrid>
        <w:gridCol w:w="628"/>
        <w:gridCol w:w="453"/>
        <w:gridCol w:w="453"/>
        <w:gridCol w:w="453"/>
        <w:gridCol w:w="453"/>
        <w:gridCol w:w="453"/>
        <w:gridCol w:w="453"/>
        <w:gridCol w:w="453"/>
        <w:gridCol w:w="453"/>
        <w:gridCol w:w="511"/>
        <w:gridCol w:w="424"/>
        <w:gridCol w:w="453"/>
        <w:gridCol w:w="453"/>
        <w:gridCol w:w="965"/>
        <w:gridCol w:w="1242"/>
      </w:tblGrid>
      <w:tr>
        <w:tc>
          <w:tcPr>
            <w:tcW w:type="dxa" w:w="628"/>
            <w:tcBorders>
              <w:top w:val="single" w:color="000000" w:sz="4"/>
              <w:left w:val="single" w:color="000000" w:sz="4"/>
              <w:bottom w:val="single" w:color="000000" w:sz="4"/>
              <w:right w:val="single" w:color="000000" w:sz="4"/>
            </w:tcBorders>
          </w:tcPr>
          <w:p>
            <w:pPr>
              <w:jc w:val="center"/>
            </w:pPr>
            <w:r>
              <w:rPr>
                <w:b/>
                <w:sz w:val="21"/>
              </w:rPr>
              <w:t>月份</w:t>
            </w:r>
          </w:p>
        </w:tc>
        <w:tc>
          <w:tcPr>
            <w:tcW w:type="dxa" w:w="453"/>
            <w:tcBorders>
              <w:top w:val="single" w:color="000000" w:sz="4"/>
              <w:left w:val="none" w:color="000000" w:sz="4"/>
              <w:bottom w:val="single" w:color="000000" w:sz="4"/>
              <w:right w:val="single" w:color="000000" w:sz="4"/>
            </w:tcBorders>
          </w:tcPr>
          <w:p>
            <w:pPr>
              <w:jc w:val="center"/>
            </w:pPr>
            <w:r>
              <w:rPr>
                <w:b/>
                <w:sz w:val="21"/>
              </w:rPr>
              <w:t>一</w:t>
            </w:r>
          </w:p>
        </w:tc>
        <w:tc>
          <w:tcPr>
            <w:tcW w:type="dxa" w:w="453"/>
            <w:tcBorders>
              <w:top w:val="single" w:color="000000" w:sz="4"/>
              <w:left w:val="none" w:color="000000" w:sz="4"/>
              <w:bottom w:val="single" w:color="000000" w:sz="4"/>
              <w:right w:val="single" w:color="000000" w:sz="4"/>
            </w:tcBorders>
          </w:tcPr>
          <w:p>
            <w:pPr>
              <w:jc w:val="center"/>
            </w:pPr>
            <w:r>
              <w:rPr>
                <w:b/>
                <w:sz w:val="21"/>
              </w:rPr>
              <w:t>二</w:t>
            </w:r>
          </w:p>
        </w:tc>
        <w:tc>
          <w:tcPr>
            <w:tcW w:type="dxa" w:w="453"/>
            <w:tcBorders>
              <w:top w:val="single" w:color="000000" w:sz="4"/>
              <w:left w:val="none" w:color="000000" w:sz="4"/>
              <w:bottom w:val="single" w:color="000000" w:sz="4"/>
              <w:right w:val="single" w:color="000000" w:sz="4"/>
            </w:tcBorders>
          </w:tcPr>
          <w:p>
            <w:pPr>
              <w:jc w:val="center"/>
            </w:pPr>
            <w:r>
              <w:rPr>
                <w:b/>
                <w:sz w:val="21"/>
              </w:rPr>
              <w:t>三</w:t>
            </w:r>
          </w:p>
        </w:tc>
        <w:tc>
          <w:tcPr>
            <w:tcW w:type="dxa" w:w="453"/>
            <w:tcBorders>
              <w:top w:val="single" w:color="000000" w:sz="4"/>
              <w:left w:val="none" w:color="000000" w:sz="4"/>
              <w:bottom w:val="single" w:color="000000" w:sz="4"/>
              <w:right w:val="single" w:color="000000" w:sz="4"/>
            </w:tcBorders>
          </w:tcPr>
          <w:p>
            <w:pPr>
              <w:jc w:val="center"/>
            </w:pPr>
            <w:r>
              <w:rPr>
                <w:b/>
                <w:sz w:val="21"/>
              </w:rPr>
              <w:t>四</w:t>
            </w:r>
          </w:p>
        </w:tc>
        <w:tc>
          <w:tcPr>
            <w:tcW w:type="dxa" w:w="453"/>
            <w:tcBorders>
              <w:top w:val="single" w:color="000000" w:sz="4"/>
              <w:left w:val="none" w:color="000000" w:sz="4"/>
              <w:bottom w:val="single" w:color="000000" w:sz="4"/>
              <w:right w:val="single" w:color="000000" w:sz="4"/>
            </w:tcBorders>
          </w:tcPr>
          <w:p>
            <w:pPr>
              <w:jc w:val="center"/>
            </w:pPr>
            <w:r>
              <w:rPr>
                <w:b/>
                <w:sz w:val="21"/>
              </w:rPr>
              <w:t>五</w:t>
            </w:r>
          </w:p>
        </w:tc>
        <w:tc>
          <w:tcPr>
            <w:tcW w:type="dxa" w:w="453"/>
            <w:tcBorders>
              <w:top w:val="single" w:color="000000" w:sz="4"/>
              <w:left w:val="none" w:color="000000" w:sz="4"/>
              <w:bottom w:val="single" w:color="000000" w:sz="4"/>
              <w:right w:val="single" w:color="000000" w:sz="4"/>
            </w:tcBorders>
          </w:tcPr>
          <w:p>
            <w:pPr>
              <w:jc w:val="center"/>
            </w:pPr>
            <w:r>
              <w:rPr>
                <w:b/>
                <w:sz w:val="21"/>
              </w:rPr>
              <w:t>六</w:t>
            </w:r>
          </w:p>
        </w:tc>
        <w:tc>
          <w:tcPr>
            <w:tcW w:type="dxa" w:w="453"/>
            <w:tcBorders>
              <w:top w:val="single" w:color="000000" w:sz="4"/>
              <w:left w:val="none" w:color="000000" w:sz="4"/>
              <w:bottom w:val="single" w:color="000000" w:sz="4"/>
              <w:right w:val="single" w:color="000000" w:sz="4"/>
            </w:tcBorders>
          </w:tcPr>
          <w:p>
            <w:pPr>
              <w:jc w:val="center"/>
            </w:pPr>
            <w:r>
              <w:rPr>
                <w:b/>
                <w:sz w:val="21"/>
              </w:rPr>
              <w:t>七</w:t>
            </w:r>
          </w:p>
        </w:tc>
        <w:tc>
          <w:tcPr>
            <w:tcW w:type="dxa" w:w="453"/>
            <w:tcBorders>
              <w:top w:val="single" w:color="000000" w:sz="4"/>
              <w:left w:val="none" w:color="000000" w:sz="4"/>
              <w:bottom w:val="single" w:color="000000" w:sz="4"/>
              <w:right w:val="single" w:color="000000" w:sz="4"/>
            </w:tcBorders>
          </w:tcPr>
          <w:p>
            <w:pPr>
              <w:jc w:val="center"/>
            </w:pPr>
            <w:r>
              <w:rPr>
                <w:b/>
                <w:sz w:val="21"/>
              </w:rPr>
              <w:t>八</w:t>
            </w:r>
          </w:p>
        </w:tc>
        <w:tc>
          <w:tcPr>
            <w:tcW w:type="dxa" w:w="511"/>
            <w:tcBorders>
              <w:top w:val="single" w:color="000000" w:sz="4"/>
              <w:left w:val="none" w:color="000000" w:sz="4"/>
              <w:bottom w:val="single" w:color="000000" w:sz="4"/>
              <w:right w:val="single" w:color="000000" w:sz="4"/>
            </w:tcBorders>
          </w:tcPr>
          <w:p>
            <w:pPr>
              <w:jc w:val="center"/>
            </w:pPr>
            <w:r>
              <w:rPr>
                <w:b/>
                <w:sz w:val="21"/>
              </w:rPr>
              <w:t>九</w:t>
            </w:r>
          </w:p>
        </w:tc>
        <w:tc>
          <w:tcPr>
            <w:tcW w:type="dxa" w:w="424"/>
            <w:tcBorders>
              <w:top w:val="single" w:color="000000" w:sz="4"/>
              <w:left w:val="none" w:color="000000" w:sz="4"/>
              <w:bottom w:val="single" w:color="000000" w:sz="4"/>
              <w:right w:val="single" w:color="000000" w:sz="4"/>
            </w:tcBorders>
          </w:tcPr>
          <w:p>
            <w:pPr>
              <w:jc w:val="center"/>
            </w:pPr>
            <w:r>
              <w:rPr>
                <w:b/>
                <w:sz w:val="21"/>
              </w:rPr>
              <w:t>十</w:t>
            </w:r>
          </w:p>
        </w:tc>
        <w:tc>
          <w:tcPr>
            <w:tcW w:type="dxa" w:w="453"/>
            <w:tcBorders>
              <w:top w:val="single" w:color="000000" w:sz="4"/>
              <w:left w:val="none" w:color="000000" w:sz="4"/>
              <w:bottom w:val="single" w:color="000000" w:sz="4"/>
              <w:right w:val="single" w:color="000000" w:sz="4"/>
            </w:tcBorders>
          </w:tcPr>
          <w:p>
            <w:pPr>
              <w:jc w:val="center"/>
            </w:pPr>
            <w:r>
              <w:rPr>
                <w:b/>
                <w:sz w:val="21"/>
              </w:rPr>
              <w:t>十一</w:t>
            </w:r>
          </w:p>
        </w:tc>
        <w:tc>
          <w:tcPr>
            <w:tcW w:type="dxa" w:w="453"/>
            <w:tcBorders>
              <w:top w:val="single" w:color="000000" w:sz="4"/>
              <w:left w:val="none" w:color="000000" w:sz="4"/>
              <w:bottom w:val="single" w:color="000000" w:sz="4"/>
              <w:right w:val="single" w:color="000000" w:sz="4"/>
            </w:tcBorders>
          </w:tcPr>
          <w:p>
            <w:pPr>
              <w:jc w:val="center"/>
            </w:pPr>
            <w:r>
              <w:rPr>
                <w:b/>
                <w:sz w:val="21"/>
              </w:rPr>
              <w:t>十二</w:t>
            </w:r>
          </w:p>
        </w:tc>
        <w:tc>
          <w:tcPr>
            <w:tcW w:type="dxa" w:w="965"/>
            <w:tcBorders>
              <w:top w:val="single" w:color="000000" w:sz="4"/>
              <w:left w:val="none" w:color="000000" w:sz="4"/>
              <w:bottom w:val="single" w:color="000000" w:sz="4"/>
              <w:right w:val="single" w:color="000000" w:sz="4"/>
            </w:tcBorders>
          </w:tcPr>
          <w:p>
            <w:pPr>
              <w:jc w:val="center"/>
            </w:pPr>
            <w:r>
              <w:rPr>
                <w:b/>
                <w:sz w:val="21"/>
              </w:rPr>
              <w:t>合计</w:t>
            </w:r>
          </w:p>
          <w:p>
            <w:pPr>
              <w:jc w:val="center"/>
            </w:pPr>
            <w:r>
              <w:rPr>
                <w:b/>
                <w:sz w:val="21"/>
              </w:rPr>
              <w:t>（次数）</w:t>
            </w:r>
          </w:p>
        </w:tc>
        <w:tc>
          <w:tcPr>
            <w:tcW w:type="dxa" w:w="1242"/>
            <w:tcBorders>
              <w:top w:val="single" w:color="000000" w:sz="4"/>
              <w:left w:val="none" w:color="000000" w:sz="4"/>
              <w:bottom w:val="single" w:color="000000" w:sz="4"/>
              <w:right w:val="single" w:color="000000" w:sz="4"/>
            </w:tcBorders>
          </w:tcPr>
          <w:p>
            <w:pPr>
              <w:jc w:val="center"/>
            </w:pPr>
            <w:r>
              <w:rPr>
                <w:b/>
                <w:sz w:val="21"/>
              </w:rPr>
              <w:t>备注</w:t>
            </w:r>
          </w:p>
        </w:tc>
      </w:tr>
      <w:tr>
        <w:tc>
          <w:tcPr>
            <w:tcW w:type="dxa" w:w="628"/>
            <w:tcBorders>
              <w:top w:val="none" w:color="000000" w:sz="4"/>
              <w:left w:val="single" w:color="000000" w:sz="4"/>
              <w:bottom w:val="single" w:color="000000" w:sz="4"/>
              <w:right w:val="single" w:color="000000" w:sz="4"/>
            </w:tcBorders>
          </w:tcPr>
          <w:p>
            <w:pPr>
              <w:jc w:val="center"/>
            </w:pPr>
            <w:r>
              <w:rPr>
                <w:b/>
                <w:sz w:val="21"/>
              </w:rPr>
              <w:t>服务次数</w:t>
            </w:r>
          </w:p>
        </w:tc>
        <w:tc>
          <w:tcPr>
            <w:tcW w:type="dxa" w:w="453"/>
            <w:tcBorders>
              <w:top w:val="none" w:color="000000" w:sz="4"/>
              <w:left w:val="none" w:color="000000" w:sz="4"/>
              <w:bottom w:val="single" w:color="000000" w:sz="4"/>
              <w:right w:val="single" w:color="000000" w:sz="4"/>
            </w:tcBorders>
          </w:tcPr>
          <w:p>
            <w:pPr>
              <w:jc w:val="center"/>
            </w:pPr>
            <w:r>
              <w:rPr>
                <w:sz w:val="21"/>
              </w:rPr>
              <w:t>2</w:t>
            </w:r>
          </w:p>
        </w:tc>
        <w:tc>
          <w:tcPr>
            <w:tcW w:type="dxa" w:w="453"/>
            <w:tcBorders>
              <w:top w:val="none" w:color="000000" w:sz="4"/>
              <w:left w:val="none" w:color="000000" w:sz="4"/>
              <w:bottom w:val="single" w:color="000000" w:sz="4"/>
              <w:right w:val="single" w:color="000000" w:sz="4"/>
            </w:tcBorders>
          </w:tcPr>
          <w:p>
            <w:pPr>
              <w:jc w:val="center"/>
            </w:pPr>
            <w:r>
              <w:rPr>
                <w:sz w:val="21"/>
              </w:rPr>
              <w:t>2</w:t>
            </w:r>
          </w:p>
        </w:tc>
        <w:tc>
          <w:tcPr>
            <w:tcW w:type="dxa" w:w="453"/>
            <w:tcBorders>
              <w:top w:val="none" w:color="000000" w:sz="4"/>
              <w:left w:val="none" w:color="000000" w:sz="4"/>
              <w:bottom w:val="single" w:color="000000" w:sz="4"/>
              <w:right w:val="single" w:color="000000" w:sz="4"/>
            </w:tcBorders>
          </w:tcPr>
          <w:p>
            <w:pPr>
              <w:jc w:val="center"/>
            </w:pPr>
            <w:r>
              <w:rPr>
                <w:sz w:val="21"/>
              </w:rPr>
              <w:t>2</w:t>
            </w:r>
          </w:p>
        </w:tc>
        <w:tc>
          <w:tcPr>
            <w:tcW w:type="dxa" w:w="453"/>
            <w:tcBorders>
              <w:top w:val="none" w:color="000000" w:sz="4"/>
              <w:left w:val="none" w:color="000000" w:sz="4"/>
              <w:bottom w:val="single" w:color="000000" w:sz="4"/>
              <w:right w:val="single" w:color="000000" w:sz="4"/>
            </w:tcBorders>
          </w:tcPr>
          <w:p>
            <w:pPr>
              <w:jc w:val="center"/>
            </w:pPr>
            <w:r>
              <w:rPr>
                <w:sz w:val="21"/>
              </w:rPr>
              <w:t>3</w:t>
            </w:r>
          </w:p>
        </w:tc>
        <w:tc>
          <w:tcPr>
            <w:tcW w:type="dxa" w:w="453"/>
            <w:tcBorders>
              <w:top w:val="none" w:color="000000" w:sz="4"/>
              <w:left w:val="none" w:color="000000" w:sz="4"/>
              <w:bottom w:val="single" w:color="000000" w:sz="4"/>
              <w:right w:val="single" w:color="000000" w:sz="4"/>
            </w:tcBorders>
          </w:tcPr>
          <w:p>
            <w:pPr>
              <w:jc w:val="center"/>
            </w:pPr>
            <w:r>
              <w:rPr>
                <w:sz w:val="21"/>
              </w:rPr>
              <w:t>3</w:t>
            </w:r>
          </w:p>
        </w:tc>
        <w:tc>
          <w:tcPr>
            <w:tcW w:type="dxa" w:w="453"/>
            <w:tcBorders>
              <w:top w:val="none" w:color="000000" w:sz="4"/>
              <w:left w:val="none" w:color="000000" w:sz="4"/>
              <w:bottom w:val="single" w:color="000000" w:sz="4"/>
              <w:right w:val="single" w:color="000000" w:sz="4"/>
            </w:tcBorders>
          </w:tcPr>
          <w:p>
            <w:pPr>
              <w:jc w:val="center"/>
            </w:pPr>
            <w:r>
              <w:rPr>
                <w:sz w:val="21"/>
              </w:rPr>
              <w:t>4</w:t>
            </w:r>
          </w:p>
        </w:tc>
        <w:tc>
          <w:tcPr>
            <w:tcW w:type="dxa" w:w="453"/>
            <w:tcBorders>
              <w:top w:val="none" w:color="000000" w:sz="4"/>
              <w:left w:val="none" w:color="000000" w:sz="4"/>
              <w:bottom w:val="single" w:color="000000" w:sz="4"/>
              <w:right w:val="single" w:color="000000" w:sz="4"/>
            </w:tcBorders>
          </w:tcPr>
          <w:p>
            <w:pPr>
              <w:jc w:val="center"/>
            </w:pPr>
            <w:r>
              <w:rPr>
                <w:sz w:val="21"/>
              </w:rPr>
              <w:t>4</w:t>
            </w:r>
          </w:p>
        </w:tc>
        <w:tc>
          <w:tcPr>
            <w:tcW w:type="dxa" w:w="453"/>
            <w:tcBorders>
              <w:top w:val="none" w:color="000000" w:sz="4"/>
              <w:left w:val="none" w:color="000000" w:sz="4"/>
              <w:bottom w:val="single" w:color="000000" w:sz="4"/>
              <w:right w:val="single" w:color="000000" w:sz="4"/>
            </w:tcBorders>
          </w:tcPr>
          <w:p>
            <w:pPr>
              <w:jc w:val="center"/>
            </w:pPr>
            <w:r>
              <w:rPr>
                <w:sz w:val="21"/>
              </w:rPr>
              <w:t>4</w:t>
            </w:r>
          </w:p>
        </w:tc>
        <w:tc>
          <w:tcPr>
            <w:tcW w:type="dxa" w:w="511"/>
            <w:tcBorders>
              <w:top w:val="none" w:color="000000" w:sz="4"/>
              <w:left w:val="none" w:color="000000" w:sz="4"/>
              <w:bottom w:val="single" w:color="000000" w:sz="4"/>
              <w:right w:val="single" w:color="000000" w:sz="4"/>
            </w:tcBorders>
          </w:tcPr>
          <w:p>
            <w:pPr>
              <w:jc w:val="center"/>
            </w:pPr>
            <w:r>
              <w:rPr>
                <w:sz w:val="21"/>
              </w:rPr>
              <w:t>4</w:t>
            </w:r>
          </w:p>
        </w:tc>
        <w:tc>
          <w:tcPr>
            <w:tcW w:type="dxa" w:w="424"/>
            <w:tcBorders>
              <w:top w:val="none" w:color="000000" w:sz="4"/>
              <w:left w:val="none" w:color="000000" w:sz="4"/>
              <w:bottom w:val="single" w:color="000000" w:sz="4"/>
              <w:right w:val="single" w:color="000000" w:sz="4"/>
            </w:tcBorders>
          </w:tcPr>
          <w:p>
            <w:pPr>
              <w:jc w:val="center"/>
            </w:pPr>
            <w:r>
              <w:rPr>
                <w:sz w:val="21"/>
              </w:rPr>
              <w:t>4</w:t>
            </w:r>
          </w:p>
        </w:tc>
        <w:tc>
          <w:tcPr>
            <w:tcW w:type="dxa" w:w="453"/>
            <w:tcBorders>
              <w:top w:val="none" w:color="000000" w:sz="4"/>
              <w:left w:val="none" w:color="000000" w:sz="4"/>
              <w:bottom w:val="single" w:color="000000" w:sz="4"/>
              <w:right w:val="single" w:color="000000" w:sz="4"/>
            </w:tcBorders>
          </w:tcPr>
          <w:p>
            <w:pPr>
              <w:jc w:val="center"/>
            </w:pPr>
            <w:r>
              <w:rPr>
                <w:sz w:val="21"/>
              </w:rPr>
              <w:t>3</w:t>
            </w:r>
          </w:p>
        </w:tc>
        <w:tc>
          <w:tcPr>
            <w:tcW w:type="dxa" w:w="453"/>
            <w:tcBorders>
              <w:top w:val="none" w:color="000000" w:sz="4"/>
              <w:left w:val="none" w:color="000000" w:sz="4"/>
              <w:bottom w:val="single" w:color="000000" w:sz="4"/>
              <w:right w:val="single" w:color="000000" w:sz="4"/>
            </w:tcBorders>
          </w:tcPr>
          <w:p>
            <w:pPr>
              <w:jc w:val="center"/>
            </w:pPr>
            <w:r>
              <w:rPr>
                <w:sz w:val="21"/>
              </w:rPr>
              <w:t>2</w:t>
            </w:r>
          </w:p>
        </w:tc>
        <w:tc>
          <w:tcPr>
            <w:tcW w:type="dxa" w:w="965"/>
            <w:tcBorders>
              <w:top w:val="none" w:color="000000" w:sz="4"/>
              <w:left w:val="none" w:color="000000" w:sz="4"/>
              <w:bottom w:val="single" w:color="000000" w:sz="4"/>
              <w:right w:val="single" w:color="000000" w:sz="4"/>
            </w:tcBorders>
          </w:tcPr>
          <w:p>
            <w:pPr>
              <w:jc w:val="center"/>
            </w:pPr>
            <w:r>
              <w:rPr>
                <w:sz w:val="21"/>
              </w:rPr>
              <w:t>37</w:t>
            </w:r>
          </w:p>
        </w:tc>
        <w:tc>
          <w:tcPr>
            <w:tcW w:type="dxa" w:w="1242"/>
            <w:tcBorders>
              <w:top w:val="none" w:color="000000" w:sz="4"/>
              <w:left w:val="none" w:color="000000" w:sz="4"/>
              <w:bottom w:val="single" w:color="000000" w:sz="4"/>
              <w:right w:val="single" w:color="000000" w:sz="4"/>
            </w:tcBorders>
          </w:tcPr>
          <w:p>
            <w:pPr>
              <w:jc w:val="center"/>
            </w:pPr>
            <w:r>
              <w:rPr>
                <w:sz w:val="21"/>
              </w:rPr>
              <w:t>视情况随机增加3次</w:t>
            </w:r>
          </w:p>
        </w:tc>
      </w:tr>
    </w:tbl>
    <w:p>
      <w:pPr>
        <w:ind w:firstLine="420"/>
        <w:jc w:val="both"/>
      </w:pPr>
      <w:r>
        <w:rPr>
          <w:sz w:val="21"/>
        </w:rPr>
        <w:t>2.</w:t>
      </w:r>
      <w:r>
        <w:rPr>
          <w:sz w:val="21"/>
        </w:rPr>
        <w:t>乙方完成每月消杀工作次数外，还需完成承包区的日常病媒监测工作，按各社区、村不同的生态环境和发病率高低进行选择，根据监测指标和内容包括布雷图指数、诱蚊诱卵器指数、标准间指数、成蚊密度和生态习性等进行监测，监测结果应以正式的监测报告形式在每月10日前把上一月份报给甲方，同时负责处理在蚊媒监测和控制过程中的存在问题，并配合做好每月市、区、镇的监测工作，对监测中出现的情况马上做出相应的整改。</w:t>
      </w:r>
    </w:p>
    <w:p>
      <w:pPr>
        <w:ind w:firstLine="420"/>
        <w:jc w:val="both"/>
      </w:pPr>
      <w:r>
        <w:rPr>
          <w:sz w:val="21"/>
        </w:rPr>
        <w:t>3.</w:t>
      </w:r>
      <w:r>
        <w:rPr>
          <w:sz w:val="21"/>
        </w:rPr>
        <w:t>乙方做好日常灭鼠工作，灭鼠毒饵站设置在有鼠迹的地方，如鼠道边、鼠粪多、以及鼠类隐藏、觅食、饮水的地方，如垃圾箱旁、果皮箱附近和餐饮店附近的绿化地、化粪池周边等场所的隐蔽处，并固定好。</w:t>
      </w:r>
    </w:p>
    <w:p>
      <w:pPr>
        <w:ind w:firstLine="420"/>
        <w:jc w:val="both"/>
      </w:pPr>
      <w:r>
        <w:rPr>
          <w:sz w:val="21"/>
        </w:rPr>
        <w:t>4.</w:t>
      </w:r>
      <w:r>
        <w:rPr>
          <w:sz w:val="21"/>
        </w:rPr>
        <w:t>对辖区内的灭鼠毒饵站更换药物，更换破损的灭鼠毒饵站、标识牌，堵塞鼠洞、清理鼠迹及孳生地。</w:t>
      </w:r>
    </w:p>
    <w:p>
      <w:pPr>
        <w:ind w:firstLine="420"/>
        <w:jc w:val="both"/>
      </w:pPr>
      <w:r>
        <w:rPr>
          <w:sz w:val="21"/>
        </w:rPr>
        <w:t>5.</w:t>
      </w:r>
      <w:r>
        <w:rPr>
          <w:sz w:val="21"/>
        </w:rPr>
        <w:t>疫情应急响应：出现登革热疫情时接甲方通知后乙方应在一小时内到达疫点进行应急消杀、孳生地处置等，并负责登革热流行期应急消杀及蚊媒密度监测。</w:t>
      </w:r>
    </w:p>
    <w:p>
      <w:pPr>
        <w:ind w:firstLine="420"/>
        <w:jc w:val="both"/>
      </w:pPr>
      <w:r>
        <w:rPr>
          <w:sz w:val="21"/>
        </w:rPr>
        <w:t>6.</w:t>
      </w:r>
      <w:r>
        <w:rPr>
          <w:sz w:val="21"/>
        </w:rPr>
        <w:t>本项目为榄核镇日常及巩固国家卫生镇复审“四害”达标消杀项目。</w:t>
      </w:r>
    </w:p>
    <w:p>
      <w:pPr>
        <w:ind w:firstLine="420"/>
        <w:jc w:val="both"/>
      </w:pPr>
      <w:r>
        <w:rPr>
          <w:sz w:val="21"/>
        </w:rPr>
        <w:t>7.</w:t>
      </w:r>
      <w:r>
        <w:rPr>
          <w:sz w:val="21"/>
        </w:rPr>
        <w:t>乙方每月承包区全面的病媒消杀次数工作外，还需对辖区村（社区、农场）等重点地方进行清倒积水、清除蚊虫孳生地、加强消杀黑点、投放灭蚊幼虫药物等工作。</w:t>
      </w:r>
    </w:p>
    <w:p>
      <w:pPr>
        <w:ind w:firstLine="420"/>
        <w:jc w:val="both"/>
      </w:pPr>
      <w:r>
        <w:rPr>
          <w:sz w:val="21"/>
        </w:rPr>
        <w:t>8.</w:t>
      </w:r>
      <w:r>
        <w:rPr>
          <w:sz w:val="21"/>
        </w:rPr>
        <w:t>乙方必须积极配合甲方接受上级部门开展的各项迎检工作。对省、市、区下达的整改任务进行消杀及在巩卫期间按甲方要求对迎检单位开展统一消杀。</w:t>
      </w:r>
    </w:p>
    <w:p>
      <w:pPr>
        <w:ind w:firstLine="420"/>
        <w:jc w:val="both"/>
      </w:pPr>
      <w:r>
        <w:rPr>
          <w:sz w:val="21"/>
        </w:rPr>
        <w:t>9.</w:t>
      </w:r>
      <w:r>
        <w:rPr>
          <w:sz w:val="21"/>
        </w:rPr>
        <w:t>如有市、区上级部门（含12345服务热线）对我镇“四害”防制方面发出督办整改，由乙方负责落实整改，并形成报告提交至甲方；其他投诉形式同样由乙方负责落实整改。</w:t>
      </w:r>
    </w:p>
    <w:p>
      <w:pPr>
        <w:ind w:firstLine="420"/>
        <w:jc w:val="both"/>
      </w:pPr>
      <w:r>
        <w:rPr>
          <w:sz w:val="21"/>
        </w:rPr>
        <w:t>10.</w:t>
      </w:r>
      <w:r>
        <w:rPr>
          <w:sz w:val="21"/>
        </w:rPr>
        <w:t>乙方指导有关村（社区、农场）及有关单位开展除四害达标工作，并负责区组织的布雷图指数监测和成蚊密度监测迎检工作。</w:t>
      </w:r>
    </w:p>
    <w:p>
      <w:pPr>
        <w:ind w:firstLine="420"/>
        <w:jc w:val="both"/>
      </w:pPr>
      <w:r>
        <w:rPr>
          <w:sz w:val="21"/>
        </w:rPr>
        <w:t>11.</w:t>
      </w:r>
      <w:r>
        <w:rPr>
          <w:sz w:val="21"/>
        </w:rPr>
        <w:t>使用国家、省、市爱卫办推荐使用药物，必须有药物三证，严禁使用其他明文禁用药物（药物由甲方提供），使用药物时必须按药物说明规定比例配制消杀药物。</w:t>
      </w:r>
    </w:p>
    <w:p>
      <w:pPr>
        <w:ind w:firstLine="422"/>
        <w:jc w:val="both"/>
      </w:pPr>
      <w:r>
        <w:rPr>
          <w:b/>
          <w:sz w:val="21"/>
        </w:rPr>
        <w:t>四、工作管理：</w:t>
      </w:r>
    </w:p>
    <w:p>
      <w:pPr>
        <w:ind w:firstLine="420"/>
        <w:jc w:val="both"/>
      </w:pPr>
      <w:r>
        <w:rPr>
          <w:sz w:val="21"/>
        </w:rPr>
        <w:t>1.</w:t>
      </w:r>
      <w:r>
        <w:rPr>
          <w:sz w:val="21"/>
        </w:rPr>
        <w:t>甲方负责对乙方专业技术队伍质量考核和绩效评估。</w:t>
      </w:r>
    </w:p>
    <w:p>
      <w:pPr>
        <w:ind w:firstLine="420"/>
        <w:jc w:val="both"/>
      </w:pPr>
      <w:r>
        <w:rPr>
          <w:sz w:val="21"/>
        </w:rPr>
        <w:t>2.</w:t>
      </w:r>
      <w:r>
        <w:rPr>
          <w:sz w:val="21"/>
        </w:rPr>
        <w:t>乙方消杀时按照能入户必入户的原则，翻盆倒罐、清除积水，如发现无法消杀蚊虫孳生的地方要及时通知爱卫组协商处理。</w:t>
      </w:r>
    </w:p>
    <w:p>
      <w:pPr>
        <w:ind w:firstLine="420"/>
        <w:jc w:val="both"/>
      </w:pPr>
      <w:r>
        <w:rPr>
          <w:sz w:val="21"/>
        </w:rPr>
        <w:t>3.</w:t>
      </w:r>
      <w:r>
        <w:rPr>
          <w:sz w:val="21"/>
        </w:rPr>
        <w:t>乙方负责现场处置、报告、蚊媒监测和相关资料的归档备案，并做好项目绩效评估所需的相关资料的撰写和资料准备工作。</w:t>
      </w:r>
    </w:p>
    <w:p>
      <w:pPr>
        <w:ind w:firstLine="420"/>
        <w:jc w:val="both"/>
      </w:pPr>
      <w:r>
        <w:rPr>
          <w:sz w:val="21"/>
        </w:rPr>
        <w:t>4.</w:t>
      </w:r>
      <w:r>
        <w:rPr>
          <w:sz w:val="21"/>
        </w:rPr>
        <w:t>乙方每次执行各项服务时，需安排人员跟踪作业情况（拍照取证），并与甲方现场签名确认当天的工作量，作为每月结算依据。</w:t>
      </w:r>
    </w:p>
    <w:p>
      <w:pPr>
        <w:ind w:firstLine="420"/>
        <w:jc w:val="both"/>
      </w:pPr>
      <w:r>
        <w:rPr>
          <w:sz w:val="21"/>
        </w:rPr>
        <w:t>5.</w:t>
      </w:r>
      <w:r>
        <w:rPr>
          <w:sz w:val="21"/>
        </w:rPr>
        <w:t>人员及车辆要求：</w:t>
      </w:r>
    </w:p>
    <w:p>
      <w:pPr>
        <w:ind w:firstLine="420"/>
        <w:jc w:val="both"/>
      </w:pPr>
      <w:r>
        <w:rPr>
          <w:sz w:val="21"/>
        </w:rPr>
        <w:t>（1）乙方消杀服务人员</w:t>
      </w:r>
      <w:r>
        <w:rPr>
          <w:sz w:val="21"/>
        </w:rPr>
        <w:t>全部由</w:t>
      </w:r>
      <w:r>
        <w:rPr>
          <w:sz w:val="21"/>
        </w:rPr>
        <w:t>乙方</w:t>
      </w:r>
      <w:r>
        <w:rPr>
          <w:sz w:val="21"/>
        </w:rPr>
        <w:t>负责招聘和管理</w:t>
      </w:r>
      <w:r>
        <w:rPr>
          <w:sz w:val="21"/>
        </w:rPr>
        <w:t>，消杀服务</w:t>
      </w:r>
      <w:r>
        <w:rPr>
          <w:sz w:val="21"/>
        </w:rPr>
        <w:t>人员</w:t>
      </w:r>
      <w:r>
        <w:rPr>
          <w:sz w:val="21"/>
        </w:rPr>
        <w:t>的</w:t>
      </w:r>
      <w:r>
        <w:rPr>
          <w:sz w:val="21"/>
        </w:rPr>
        <w:t>工资、社会福利和保障由</w:t>
      </w:r>
      <w:r>
        <w:rPr>
          <w:sz w:val="21"/>
        </w:rPr>
        <w:t>乙方</w:t>
      </w:r>
      <w:r>
        <w:rPr>
          <w:sz w:val="21"/>
        </w:rPr>
        <w:t>承担。</w:t>
      </w:r>
      <w:r>
        <w:rPr>
          <w:sz w:val="21"/>
        </w:rPr>
        <w:t>在本项目承包期间</w:t>
      </w:r>
      <w:r>
        <w:rPr>
          <w:sz w:val="21"/>
        </w:rPr>
        <w:t>乙方应投入与本服务项目相匹配的、具备服务所需要的技能素质或上岗资格的服务人员。</w:t>
      </w:r>
      <w:r>
        <w:rPr>
          <w:sz w:val="21"/>
        </w:rPr>
        <w:t>，甲方</w:t>
      </w:r>
      <w:r>
        <w:rPr>
          <w:sz w:val="21"/>
        </w:rPr>
        <w:t>对不称职的</w:t>
      </w:r>
      <w:r>
        <w:rPr>
          <w:sz w:val="21"/>
        </w:rPr>
        <w:t>消杀服务</w:t>
      </w:r>
      <w:r>
        <w:rPr>
          <w:sz w:val="21"/>
        </w:rPr>
        <w:t>人员，可要求</w:t>
      </w:r>
      <w:r>
        <w:rPr>
          <w:sz w:val="21"/>
        </w:rPr>
        <w:t>乙方</w:t>
      </w:r>
      <w:r>
        <w:rPr>
          <w:sz w:val="21"/>
        </w:rPr>
        <w:t>限期更换。</w:t>
      </w:r>
    </w:p>
    <w:p>
      <w:pPr>
        <w:ind w:firstLine="420"/>
        <w:jc w:val="both"/>
      </w:pPr>
      <w:r>
        <w:rPr>
          <w:sz w:val="21"/>
        </w:rPr>
        <w:t>（2）作业点工作人员受乙方和甲方双重领导，如乙方未按甲方要求的数量配置人员及设备，甲方认为不足以满足服务项目需要的，乙方必须第一时间无条件增加人员及设备，确保本项目开展的效率和质量。</w:t>
      </w:r>
    </w:p>
    <w:p>
      <w:pPr>
        <w:ind w:firstLine="420"/>
        <w:jc w:val="both"/>
      </w:pPr>
      <w:r>
        <w:rPr>
          <w:sz w:val="21"/>
        </w:rPr>
        <w:t>（3）乙方的技术操作服务人员的劳资纠纷一概由乙方负责。</w:t>
      </w:r>
    </w:p>
    <w:p>
      <w:pPr>
        <w:ind w:firstLine="420"/>
        <w:jc w:val="both"/>
      </w:pPr>
      <w:r>
        <w:rPr>
          <w:sz w:val="21"/>
        </w:rPr>
        <w:t>（4）乙方必须确保服务项目安全，为消杀工作人员配备安全器具，服务项目实施过程中出现的安全事故一律由乙方负责，由乙方承担一切法律责任和赔偿责任，一切责任均与甲方无关。</w:t>
      </w:r>
    </w:p>
    <w:p>
      <w:pPr>
        <w:ind w:firstLine="420"/>
        <w:jc w:val="both"/>
      </w:pPr>
      <w:r>
        <w:rPr>
          <w:sz w:val="21"/>
        </w:rPr>
        <w:t>（5）消杀过程中产生噪音或使花草树木、农作物、家禽、人员等造成任何伤害、损坏，由乙方负责承担一切赔偿和法律责任，一切责任均与甲方无关。</w:t>
      </w:r>
    </w:p>
    <w:p>
      <w:pPr>
        <w:ind w:firstLine="420"/>
        <w:jc w:val="both"/>
      </w:pPr>
      <w:r>
        <w:rPr>
          <w:sz w:val="21"/>
        </w:rPr>
        <w:t>（6）本项目所需车辆及产生的一切费用均由乙方承担。</w:t>
      </w:r>
    </w:p>
    <w:p>
      <w:pPr>
        <w:ind w:firstLine="420"/>
        <w:jc w:val="both"/>
      </w:pPr>
      <w:r>
        <w:rPr>
          <w:sz w:val="21"/>
        </w:rPr>
        <w:t>6.</w:t>
      </w:r>
      <w:r>
        <w:rPr>
          <w:sz w:val="21"/>
        </w:rPr>
        <w:t>药物、机械管理</w:t>
      </w:r>
    </w:p>
    <w:p>
      <w:pPr>
        <w:ind w:firstLine="420"/>
        <w:jc w:val="both"/>
      </w:pPr>
      <w:r>
        <w:rPr>
          <w:sz w:val="21"/>
        </w:rPr>
        <w:t>（1）甲方提供病媒生物防制所需的药物，乙方每次进行药剂喷洒和投放作业前在甲方指定地点领取药物，作业完毕后剩余的消杀药物及药物的空瓶包装（领取药物时一致）退还甲方。乙方负责将灭蚊药物的使用情况进行详细记录（包括消杀地段、面积、药物种类、数量和参加消杀工作人员名单人数），每月向甲方提供一份书面报告。</w:t>
      </w:r>
    </w:p>
    <w:p>
      <w:pPr>
        <w:ind w:firstLine="420"/>
        <w:jc w:val="both"/>
      </w:pPr>
      <w:r>
        <w:rPr>
          <w:sz w:val="21"/>
        </w:rPr>
        <w:t>（2）病媒生物防制必须配备杀蟑烟雾机3台、背负式超低容量喷雾机10台、电动喷壶5台及车载超低容量喷雾机1台，车载超低容量喷雾机射程20米或以上，流量每分钟不少于3.0升，雾粒直径达到超低容量喷雾要求（微粒直径小于50微米，90%微粒直径小于20微米），噪音小于80分贝，乙方需严格保证器械和药物的专项专用。病媒生物防制所必须具备的大型车载超低容量喷雾机及作业车辆均由乙方提供，有关维修保养责任及费用均由乙方承担。</w:t>
      </w:r>
    </w:p>
    <w:p>
      <w:pPr>
        <w:ind w:firstLine="420"/>
        <w:jc w:val="both"/>
      </w:pPr>
      <w:r>
        <w:rPr>
          <w:sz w:val="21"/>
        </w:rPr>
        <w:t>7.</w:t>
      </w:r>
      <w:r>
        <w:rPr>
          <w:sz w:val="21"/>
        </w:rPr>
        <w:t>沟通机制</w:t>
      </w:r>
    </w:p>
    <w:p>
      <w:pPr>
        <w:ind w:firstLine="420"/>
        <w:jc w:val="both"/>
      </w:pPr>
      <w:r>
        <w:rPr>
          <w:sz w:val="21"/>
        </w:rPr>
        <w:t>（１）乙方为项目指派固定的项目管理人员，该项目管理人员在服务周期内应是固定的，如需更换项目管理人员必须征得甲方同意。管理人员应主动与甲方进行业务沟通，并指定专人负责与甲方的业务联络，定期递交工作计划、工作总结。每月25日前应将下月的工作计划和时间表向甲方报告，在得到甲方同意后方可实施。</w:t>
      </w:r>
    </w:p>
    <w:p>
      <w:pPr>
        <w:ind w:firstLine="420"/>
        <w:jc w:val="both"/>
      </w:pPr>
      <w:r>
        <w:rPr>
          <w:sz w:val="21"/>
        </w:rPr>
        <w:t>8.</w:t>
      </w:r>
      <w:r>
        <w:rPr>
          <w:sz w:val="21"/>
        </w:rPr>
        <w:t>考核与评估</w:t>
      </w:r>
    </w:p>
    <w:p>
      <w:pPr>
        <w:jc w:val="both"/>
      </w:pPr>
      <w:r>
        <w:rPr>
          <w:sz w:val="21"/>
        </w:rPr>
        <w:t>　甲方评审：每月一次，乙方每月结束后一周内将自评报告和有关佐证资料交甲方备案，甲方组织专业人员审核。</w:t>
      </w:r>
    </w:p>
    <w:p>
      <w:pPr>
        <w:ind w:firstLine="420"/>
        <w:jc w:val="both"/>
      </w:pPr>
      <w:r>
        <w:rPr>
          <w:sz w:val="21"/>
        </w:rPr>
        <w:t>第三方评审：本合同期限内组织两次（中期和终期），由甲方委托第三方机构或聘请5-7名专家组成评审组完成，须在合同期限的中期和结束前完成，并在完成评审后1周内将绩效考核评估报告和有关佐证资料交甲方审核。乙方在正式聘请第三方机构或专家组之前一周须将专家组名单书面交甲方审核，经甲方认可后方能组织评审。</w:t>
      </w:r>
    </w:p>
    <w:p>
      <w:pPr>
        <w:ind w:firstLine="420"/>
        <w:jc w:val="both"/>
      </w:pPr>
      <w:r>
        <w:rPr>
          <w:sz w:val="21"/>
        </w:rPr>
        <w:t>上述活动过程中所产生的第三方委托费、专家劳务费、工作人员加班补助等费用均由乙方承担。</w:t>
      </w:r>
    </w:p>
    <w:p>
      <w:pPr>
        <w:ind w:firstLine="422"/>
        <w:jc w:val="both"/>
      </w:pPr>
      <w:r>
        <w:rPr>
          <w:b/>
          <w:sz w:val="21"/>
        </w:rPr>
        <w:t>五、项目服务原则和要求：</w:t>
      </w:r>
    </w:p>
    <w:p>
      <w:pPr>
        <w:ind w:firstLine="420"/>
        <w:jc w:val="both"/>
      </w:pPr>
      <w:r>
        <w:rPr>
          <w:sz w:val="21"/>
        </w:rPr>
        <w:t>１.</w:t>
      </w:r>
      <w:r>
        <w:rPr>
          <w:sz w:val="21"/>
        </w:rPr>
        <w:t>项目开展前，乙方必须有初级以上有害生物防制员拟定的病媒生物防制技术方案及疫情应急响应方案。</w:t>
      </w:r>
    </w:p>
    <w:p>
      <w:pPr>
        <w:ind w:firstLine="420"/>
        <w:jc w:val="both"/>
      </w:pPr>
      <w:r>
        <w:rPr>
          <w:sz w:val="21"/>
        </w:rPr>
        <w:t>２.</w:t>
      </w:r>
      <w:r>
        <w:rPr>
          <w:sz w:val="21"/>
        </w:rPr>
        <w:t>疫情应急响应：乙方消杀队伍须严格按照甲方的应急行动管理要求，确保在1小时内到达处理现场。</w:t>
      </w:r>
    </w:p>
    <w:p>
      <w:pPr>
        <w:ind w:firstLine="420"/>
        <w:jc w:val="both"/>
      </w:pPr>
      <w:r>
        <w:rPr>
          <w:sz w:val="21"/>
        </w:rPr>
        <w:t>3.</w:t>
      </w:r>
      <w:r>
        <w:rPr>
          <w:sz w:val="21"/>
        </w:rPr>
        <w:t>乙方应急消杀队伍的日常监测工作，将严格按照甲方制定的病媒生物监测与效果评估以及服务时间周期进行实施，并遵守相关的操作规范。</w:t>
      </w:r>
    </w:p>
    <w:p>
      <w:pPr>
        <w:ind w:firstLine="420"/>
        <w:jc w:val="both"/>
      </w:pPr>
      <w:r>
        <w:rPr>
          <w:sz w:val="21"/>
        </w:rPr>
        <w:t>4.</w:t>
      </w:r>
      <w:r>
        <w:rPr>
          <w:sz w:val="21"/>
        </w:rPr>
        <w:t>乙方需提供病媒应急控制和监测所需的所有仪器、设备和物资等（药物除外）。</w:t>
      </w:r>
    </w:p>
    <w:p>
      <w:pPr>
        <w:ind w:firstLine="420"/>
        <w:jc w:val="both"/>
      </w:pPr>
      <w:r>
        <w:rPr>
          <w:sz w:val="21"/>
        </w:rPr>
        <w:t>5.</w:t>
      </w:r>
      <w:r>
        <w:rPr>
          <w:sz w:val="21"/>
        </w:rPr>
        <w:t>乙方参与服务实施消杀工作人员必须持有上岗证，统一穿着工作服(隔离场所消杀必须佩戴口罩、穿防护服)，一切费用由乙方负责。</w:t>
      </w:r>
    </w:p>
    <w:p>
      <w:pPr>
        <w:ind w:firstLine="420"/>
        <w:jc w:val="both"/>
      </w:pPr>
      <w:r>
        <w:rPr>
          <w:sz w:val="21"/>
        </w:rPr>
        <w:t>６.</w:t>
      </w:r>
      <w:r>
        <w:rPr>
          <w:sz w:val="21"/>
        </w:rPr>
        <w:t>榄核镇全镇范围内服务质量标准（国家标准）：</w:t>
      </w:r>
    </w:p>
    <w:p>
      <w:pPr>
        <w:ind w:firstLine="420"/>
        <w:jc w:val="both"/>
      </w:pPr>
      <w:r>
        <w:rPr>
          <w:sz w:val="21"/>
        </w:rPr>
        <w:t>（１）鼠密度控制水平</w:t>
      </w:r>
    </w:p>
    <w:p>
      <w:pPr>
        <w:ind w:firstLine="420"/>
        <w:jc w:val="both"/>
      </w:pPr>
      <w:r>
        <w:rPr>
          <w:sz w:val="21"/>
        </w:rPr>
        <w:t>１）防鼠设施：防鼠设施合格率大于或等于93%，必须达C级以上。</w:t>
      </w:r>
    </w:p>
    <w:p>
      <w:pPr>
        <w:ind w:firstLine="420"/>
        <w:jc w:val="both"/>
      </w:pPr>
      <w:r>
        <w:rPr>
          <w:sz w:val="21"/>
        </w:rPr>
        <w:t>２）室内鼠密度：鼠迹阳性率小于或等于5%，必须达C级以上。</w:t>
      </w:r>
    </w:p>
    <w:p>
      <w:pPr>
        <w:ind w:firstLine="420"/>
        <w:jc w:val="both"/>
      </w:pPr>
      <w:r>
        <w:rPr>
          <w:sz w:val="21"/>
        </w:rPr>
        <w:t>３）外环境：路径指数小于或等于5，必须达C级以上。</w:t>
      </w:r>
    </w:p>
    <w:p>
      <w:pPr>
        <w:ind w:firstLine="420"/>
        <w:jc w:val="both"/>
      </w:pPr>
      <w:r>
        <w:rPr>
          <w:sz w:val="21"/>
        </w:rPr>
        <w:t>（２）蜚蠊密度控制水平</w:t>
      </w:r>
    </w:p>
    <w:p>
      <w:pPr>
        <w:ind w:firstLine="420"/>
        <w:jc w:val="both"/>
      </w:pPr>
      <w:r>
        <w:rPr>
          <w:sz w:val="21"/>
        </w:rPr>
        <w:t>１）成若虫侵害率：蜚蠊成若虫侵害率小于或等于5%，平均每阳性（处）成若虫数小蠊小于或等于10只，大蠊小于或等于5只。力争达C级以上。</w:t>
      </w:r>
    </w:p>
    <w:p>
      <w:pPr>
        <w:ind w:firstLine="420"/>
        <w:jc w:val="both"/>
      </w:pPr>
      <w:r>
        <w:rPr>
          <w:sz w:val="21"/>
        </w:rPr>
        <w:t>２）卵鞘查获率：蜚蠊卵鞘查获率小于或等于3%，平均每阳性房间（处）卵鞘数小于或等于8只。力争达C级以上。</w:t>
      </w:r>
    </w:p>
    <w:p>
      <w:pPr>
        <w:ind w:firstLine="420"/>
        <w:jc w:val="both"/>
      </w:pPr>
      <w:r>
        <w:rPr>
          <w:sz w:val="21"/>
        </w:rPr>
        <w:t>３）蟑迹查获率：蟑迹查获率小于或等于7%。力争达C级以上。</w:t>
      </w:r>
    </w:p>
    <w:p>
      <w:pPr>
        <w:ind w:firstLine="420"/>
        <w:jc w:val="both"/>
      </w:pPr>
      <w:r>
        <w:rPr>
          <w:sz w:val="21"/>
        </w:rPr>
        <w:t>（３）蝇类控制水平</w:t>
      </w:r>
    </w:p>
    <w:p>
      <w:pPr>
        <w:ind w:firstLine="420"/>
        <w:jc w:val="both"/>
      </w:pPr>
      <w:r>
        <w:rPr>
          <w:sz w:val="21"/>
        </w:rPr>
        <w:t>１）生产销售直接入口食品的场所不得有蝇。室内不得存在蝇类孳生地，必须达C级以上。</w:t>
      </w:r>
    </w:p>
    <w:p>
      <w:pPr>
        <w:ind w:firstLine="420"/>
        <w:jc w:val="both"/>
      </w:pPr>
      <w:r>
        <w:rPr>
          <w:sz w:val="21"/>
        </w:rPr>
        <w:t>２）室内成蝇密度：有蝇房间阳性率小于或等于9%，阳性间蝇密度小于或等于3只/间，必须达C级以上。</w:t>
      </w:r>
    </w:p>
    <w:p>
      <w:pPr>
        <w:ind w:firstLine="420"/>
        <w:jc w:val="both"/>
      </w:pPr>
      <w:r>
        <w:rPr>
          <w:sz w:val="21"/>
        </w:rPr>
        <w:t>３）室外蝇类孳生地密度：蝇类孳生地阳性率小于或等于5%，必须达C级以上。</w:t>
      </w:r>
    </w:p>
    <w:p>
      <w:pPr>
        <w:ind w:firstLine="420"/>
        <w:jc w:val="both"/>
      </w:pPr>
      <w:r>
        <w:rPr>
          <w:sz w:val="21"/>
        </w:rPr>
        <w:t>４）防蝇设施：防蝇设施合格率大于或等于90%，必须达C级以上。</w:t>
      </w:r>
    </w:p>
    <w:p>
      <w:pPr>
        <w:ind w:firstLine="420"/>
        <w:jc w:val="both"/>
      </w:pPr>
      <w:r>
        <w:rPr>
          <w:sz w:val="21"/>
        </w:rPr>
        <w:t>（４）蚊密度控制水平</w:t>
      </w:r>
    </w:p>
    <w:p>
      <w:pPr>
        <w:ind w:firstLine="420"/>
        <w:jc w:val="both"/>
      </w:pPr>
      <w:r>
        <w:rPr>
          <w:sz w:val="21"/>
        </w:rPr>
        <w:t>１）小型积水蚊虫密度：路径指数小于或等于0.8，必须达C级以上。</w:t>
      </w:r>
    </w:p>
    <w:p>
      <w:pPr>
        <w:ind w:firstLine="420"/>
        <w:jc w:val="both"/>
      </w:pPr>
      <w:r>
        <w:rPr>
          <w:sz w:val="21"/>
        </w:rPr>
        <w:t>２）大中型水体蚊虫密度：采样勺指数小于或等于5%，平均每阳性勺少于8只蚊虫幼虫和蛹，必须达C级以上。</w:t>
      </w:r>
    </w:p>
    <w:p>
      <w:pPr>
        <w:ind w:firstLine="420"/>
        <w:jc w:val="both"/>
      </w:pPr>
      <w:r>
        <w:rPr>
          <w:sz w:val="21"/>
        </w:rPr>
        <w:t>３）外环境蚊虫密度：停落指数小于或等于1.5，必须达C级以上。</w:t>
      </w:r>
    </w:p>
    <w:p>
      <w:pPr>
        <w:ind w:firstLine="420"/>
        <w:jc w:val="both"/>
      </w:pPr>
      <w:r>
        <w:rPr>
          <w:sz w:val="21"/>
        </w:rPr>
        <w:t>（５）根据上述标准创建中心城区鼠密度控制、蜚蠊密度控制、蝇类控制、蚊密度控制必须达到C级以上，如第三方机构评审组和上级领导检查不达标，每次将扣除合同金额的5%。</w:t>
      </w:r>
    </w:p>
    <w:p>
      <w:pPr>
        <w:ind w:firstLine="422"/>
        <w:jc w:val="both"/>
      </w:pPr>
      <w:r>
        <w:rPr>
          <w:b/>
          <w:sz w:val="21"/>
        </w:rPr>
        <w:t>六、服务处罚：</w:t>
      </w:r>
    </w:p>
    <w:p>
      <w:pPr>
        <w:ind w:firstLine="420"/>
        <w:jc w:val="both"/>
      </w:pPr>
      <w:r>
        <w:rPr>
          <w:sz w:val="21"/>
        </w:rPr>
        <w:t>1.</w:t>
      </w:r>
      <w:r>
        <w:rPr>
          <w:sz w:val="21"/>
        </w:rPr>
        <w:t>出现紧急情况甲方通知后未能在一小时内到达现场的，第一次给予扣罚总合同价单次5%，出现第二次扣罚总合同价款单次的l0%，第三次出现甲方有权终止合同。</w:t>
      </w:r>
    </w:p>
    <w:p>
      <w:pPr>
        <w:ind w:firstLine="420"/>
        <w:jc w:val="both"/>
      </w:pPr>
      <w:r>
        <w:rPr>
          <w:sz w:val="21"/>
        </w:rPr>
        <w:t>2.</w:t>
      </w:r>
      <w:r>
        <w:rPr>
          <w:sz w:val="21"/>
        </w:rPr>
        <w:t>每月服务工作未能甲方要求完成的，第一次给予警告，并在24小时内完成整改，第二次扣罚合同价款单次5%并在24小时内完成整改，否则甲方有权终止合同。</w:t>
      </w:r>
    </w:p>
    <w:p>
      <w:pPr>
        <w:ind w:firstLine="420"/>
        <w:jc w:val="both"/>
      </w:pPr>
      <w:r>
        <w:rPr>
          <w:sz w:val="21"/>
        </w:rPr>
        <w:t>3.</w:t>
      </w:r>
      <w:r>
        <w:rPr>
          <w:sz w:val="21"/>
        </w:rPr>
        <w:t>乙方未按要求配备消杀工作人员和设备，甲方要求乙方整改达3次以上（含3次），仍未达到合同要求的，甲方有权终止合同。</w:t>
      </w:r>
    </w:p>
    <w:p>
      <w:pPr>
        <w:ind w:firstLine="420"/>
        <w:jc w:val="both"/>
      </w:pPr>
      <w:r>
        <w:rPr>
          <w:sz w:val="21"/>
        </w:rPr>
        <w:t>4.</w:t>
      </w:r>
      <w:r>
        <w:rPr>
          <w:sz w:val="21"/>
        </w:rPr>
        <w:t>每月按照甲方要求提交当月服务工作总结，若未能按时提交扣罚合同价款单次的5%。</w:t>
      </w:r>
    </w:p>
    <w:p>
      <w:pPr>
        <w:ind w:firstLine="420"/>
        <w:jc w:val="both"/>
      </w:pPr>
      <w:r>
        <w:rPr>
          <w:sz w:val="21"/>
        </w:rPr>
        <w:t>5.</w:t>
      </w:r>
      <w:r>
        <w:rPr>
          <w:sz w:val="21"/>
        </w:rPr>
        <w:t>发现不穿统一工作服及不佩带证件上岗作业的，第一次给予警告，第二次给予扣罚合同价款单次的2%。</w:t>
      </w:r>
    </w:p>
    <w:p>
      <w:pPr>
        <w:ind w:firstLine="420"/>
        <w:jc w:val="both"/>
      </w:pPr>
      <w:r>
        <w:rPr>
          <w:sz w:val="21"/>
        </w:rPr>
        <w:t>6.</w:t>
      </w:r>
      <w:r>
        <w:rPr>
          <w:sz w:val="21"/>
        </w:rPr>
        <w:t>乙方应保证蚊媒应急处置和监测过程中的实际效果和监测数据的有效性，不能出现弄虚作假，如经政府主管部门发现或查实，甲方有权终止合同，并按照造成的实际影响和严重后果追究乙方的法律责任。</w:t>
      </w:r>
    </w:p>
    <w:p>
      <w:pPr>
        <w:ind w:firstLine="422"/>
        <w:jc w:val="both"/>
      </w:pPr>
      <w:r>
        <w:rPr>
          <w:b/>
          <w:sz w:val="21"/>
        </w:rPr>
        <w:t>七、结算方式：</w:t>
      </w:r>
    </w:p>
    <w:p>
      <w:pPr>
        <w:ind w:firstLine="420"/>
        <w:jc w:val="both"/>
      </w:pPr>
      <w:r>
        <w:rPr>
          <w:sz w:val="21"/>
        </w:rPr>
        <w:t>１.</w:t>
      </w:r>
      <w:r>
        <w:rPr>
          <w:sz w:val="21"/>
        </w:rPr>
        <w:t>支付方式：服务费按月支付，合同生效后第二个月起支付服务费，乙方提供发票及相关资料后15个工作日内通过银行转账支付，本项目有关的一切税费由乙方负责。</w:t>
      </w:r>
    </w:p>
    <w:p>
      <w:pPr>
        <w:ind w:firstLine="420"/>
        <w:jc w:val="both"/>
      </w:pPr>
      <w:r>
        <w:rPr>
          <w:sz w:val="21"/>
        </w:rPr>
        <w:t>２.</w:t>
      </w:r>
      <w:r>
        <w:rPr>
          <w:sz w:val="21"/>
        </w:rPr>
        <w:t>因甲方使用的是财政资金，甲方在前款规定时间内办理财政支付申请手续后即视为甲方已经按期支付，但甲方应当确保该费用到达乙方账户。</w:t>
      </w:r>
    </w:p>
    <w:p>
      <w:pPr>
        <w:ind w:firstLine="420"/>
        <w:jc w:val="both"/>
      </w:pPr>
      <w:r>
        <w:rPr>
          <w:sz w:val="21"/>
        </w:rPr>
        <w:t>３.</w:t>
      </w:r>
      <w:r>
        <w:rPr>
          <w:sz w:val="21"/>
        </w:rPr>
        <w:t>付款方式为银行划账，支付款项时，乙方同时向甲方提供：</w:t>
      </w:r>
    </w:p>
    <w:p>
      <w:pPr>
        <w:ind w:firstLine="420"/>
        <w:jc w:val="both"/>
      </w:pPr>
      <w:r>
        <w:rPr>
          <w:sz w:val="21"/>
        </w:rPr>
        <w:t>（１）合同及中标（成交）通知书；</w:t>
      </w:r>
    </w:p>
    <w:p>
      <w:pPr>
        <w:ind w:firstLine="420"/>
        <w:jc w:val="both"/>
      </w:pPr>
      <w:r>
        <w:rPr>
          <w:sz w:val="21"/>
        </w:rPr>
        <w:t>（２）乙方开具的正式发票；</w:t>
      </w:r>
    </w:p>
    <w:p>
      <w:pPr>
        <w:ind w:firstLine="420"/>
        <w:jc w:val="both"/>
      </w:pPr>
      <w:r>
        <w:rPr>
          <w:sz w:val="21"/>
        </w:rPr>
        <w:t>（３）每月验收报告；</w:t>
      </w:r>
    </w:p>
    <w:p>
      <w:pPr>
        <w:ind w:firstLine="420"/>
        <w:jc w:val="both"/>
      </w:pPr>
      <w:r>
        <w:rPr>
          <w:sz w:val="21"/>
        </w:rPr>
        <w:t>（４）月度监测结果；</w:t>
      </w:r>
    </w:p>
    <w:p>
      <w:pPr>
        <w:ind w:firstLine="420"/>
        <w:jc w:val="both"/>
      </w:pPr>
      <w:r>
        <w:rPr>
          <w:sz w:val="21"/>
        </w:rPr>
        <w:t>（５）月度消杀服务记录表；</w:t>
      </w:r>
    </w:p>
    <w:p>
      <w:pPr>
        <w:ind w:firstLine="422"/>
        <w:jc w:val="both"/>
      </w:pPr>
      <w:r>
        <w:rPr>
          <w:b/>
          <w:sz w:val="21"/>
        </w:rPr>
        <w:t>八、保密义务：</w:t>
      </w:r>
    </w:p>
    <w:p>
      <w:pPr>
        <w:ind w:firstLine="420"/>
        <w:jc w:val="left"/>
      </w:pPr>
      <w:r>
        <w:rPr>
          <w:sz w:val="21"/>
        </w:rPr>
        <w:t>1.</w:t>
      </w:r>
      <w:r>
        <w:rPr>
          <w:sz w:val="21"/>
        </w:rPr>
        <w:t>乙方对在工作过程中接触到的采购方的任何资料、文件、数据(无论是书面的还是电子文档的)，以及对为采购方服务形成的任何交付物，负有为采购方保密的责任。未经采购方书面同意，乙方不得以任何方式向任何第三方提供或透露；</w:t>
      </w:r>
    </w:p>
    <w:p>
      <w:pPr>
        <w:ind w:firstLine="420"/>
        <w:jc w:val="left"/>
      </w:pPr>
      <w:r>
        <w:rPr>
          <w:sz w:val="21"/>
        </w:rPr>
        <w:t>2.</w:t>
      </w:r>
      <w:r>
        <w:rPr>
          <w:sz w:val="21"/>
        </w:rPr>
        <w:t>采购方向乙方提供的任何资料、文件和信息，在乙方服务结束后，乙方均应及时归还采购方，电子文档的应从自己的电脑等存储设备上予永久删除；</w:t>
      </w:r>
    </w:p>
    <w:p>
      <w:pPr>
        <w:ind w:firstLine="420"/>
        <w:jc w:val="both"/>
      </w:pPr>
      <w:r>
        <w:rPr>
          <w:sz w:val="21"/>
        </w:rPr>
        <w:t>3.</w:t>
      </w:r>
      <w:r>
        <w:rPr>
          <w:sz w:val="21"/>
        </w:rPr>
        <w:t>乙方服务人员违反上述有关保密规定，乙方应承担相应法律责任。</w:t>
      </w:r>
    </w:p>
    <w:p>
      <w:pPr>
        <w:ind w:firstLine="422"/>
        <w:jc w:val="both"/>
      </w:pPr>
      <w:r>
        <w:rPr>
          <w:b/>
          <w:sz w:val="21"/>
        </w:rPr>
        <w:t>九、违约责任</w:t>
      </w:r>
    </w:p>
    <w:p>
      <w:pPr>
        <w:ind w:firstLine="420"/>
        <w:jc w:val="both"/>
      </w:pPr>
      <w:r>
        <w:rPr>
          <w:sz w:val="21"/>
        </w:rPr>
        <w:t>（1）若乙方擅自转包、分包，或以任何形式与第三方进行合作的属违约，一经查实，乙方应向甲方承担违约责任，甲方可随时单方面解除合同。</w:t>
      </w:r>
    </w:p>
    <w:p>
      <w:pPr>
        <w:ind w:firstLine="420"/>
        <w:jc w:val="both"/>
      </w:pPr>
      <w:r>
        <w:rPr>
          <w:sz w:val="21"/>
        </w:rPr>
        <w:t>（2）乙方违反合同规定，所提供的服务未达到合同要求，甲方书面提出整改通知，累计提出达3次，乙方未按要求及时整改的，甲方有权终止合同，由此造成甲方经济损失的，乙方应给予赔偿。</w:t>
      </w:r>
    </w:p>
    <w:p>
      <w:pPr>
        <w:ind w:firstLine="420"/>
        <w:jc w:val="both"/>
      </w:pPr>
      <w:r>
        <w:rPr>
          <w:sz w:val="21"/>
        </w:rPr>
        <w:t>（3）乙方违反合同规定，所提供的服务质量未达到合同要求，甲方书面提出整改通知，乙方未按要求及时整改，由此造成甲方经济损失的，乙方应给予赔偿。甲方并有权终止合同。</w:t>
      </w:r>
    </w:p>
    <w:p>
      <w:pPr>
        <w:ind w:firstLine="420"/>
        <w:jc w:val="both"/>
      </w:pPr>
      <w:r>
        <w:rPr>
          <w:sz w:val="21"/>
        </w:rPr>
        <w:t>（4）甲方违反合同规定，使乙方未完成规定任务目标，乙方有权要求甲方在一定期限内解决，逾期未解决的，乙方有权终止合同；造成乙方经济损失的，甲方应给乙方经济赔偿。</w:t>
      </w:r>
    </w:p>
    <w:p>
      <w:pPr>
        <w:ind w:firstLine="422"/>
        <w:jc w:val="both"/>
      </w:pPr>
      <w:r>
        <w:rPr>
          <w:b/>
          <w:sz w:val="21"/>
        </w:rPr>
        <w:t>十、未尽事宜：</w:t>
      </w:r>
    </w:p>
    <w:p>
      <w:pPr>
        <w:ind w:firstLine="422"/>
        <w:jc w:val="both"/>
      </w:pPr>
      <w:r>
        <w:rPr>
          <w:sz w:val="21"/>
        </w:rPr>
        <w:t>由甲方与乙方双方协商解决，若协商不成可诉至甲方所在地人民法院。</w:t>
      </w:r>
    </w:p>
    <w:p>
      <w:pPr>
        <w:ind w:firstLine="480"/>
        <w:jc w:val="left"/>
      </w:pPr>
      <w:r>
        <w:rPr>
          <w:b/>
          <w:sz w:val="21"/>
        </w:rPr>
        <w:t>十一、不可抗力</w:t>
      </w:r>
    </w:p>
    <w:p>
      <w:pPr>
        <w:ind w:firstLine="424"/>
        <w:jc w:val="left"/>
      </w:pPr>
      <w:r>
        <w:rPr>
          <w:sz w:val="21"/>
        </w:rPr>
        <w:t>1.</w:t>
      </w:r>
      <w:r>
        <w:rPr>
          <w:sz w:val="21"/>
        </w:rPr>
        <w:t>不可抗力指战争、严重火灾、洪水、台风、地震等或其它双方认定的不可抗力事件。</w:t>
      </w:r>
    </w:p>
    <w:p>
      <w:pPr>
        <w:ind w:firstLine="424"/>
        <w:jc w:val="left"/>
      </w:pPr>
      <w:r>
        <w:rPr>
          <w:sz w:val="21"/>
        </w:rPr>
        <w:t>2.</w:t>
      </w:r>
      <w:r>
        <w:rPr>
          <w:sz w:val="21"/>
        </w:rPr>
        <w:t>甲方和乙方中任何一方由于不可抗力影响合同执行时，发生不可抗力一方应尽快将事故通知另一方。在此情况下，乙方仍然有责任采取必要的措施尽快提供服务，甲方和乙方应通过友好协商尽快解决本合同的执行问题。</w:t>
      </w:r>
    </w:p>
    <w:p>
      <w:pPr>
        <w:ind w:firstLine="420"/>
        <w:jc w:val="both"/>
      </w:pPr>
      <w:r>
        <w:rPr>
          <w:b/>
          <w:sz w:val="21"/>
        </w:rPr>
        <w:t>十二、其它</w:t>
      </w:r>
    </w:p>
    <w:p>
      <w:pPr>
        <w:ind w:firstLine="420"/>
        <w:jc w:val="both"/>
      </w:pPr>
      <w:r>
        <w:rPr>
          <w:sz w:val="21"/>
        </w:rPr>
        <w:t>1.本合同所有附件、招标文件、投标文件、中标通知书均为合同的有效组成部分，与本合同具有同等法律效力。</w:t>
      </w:r>
    </w:p>
    <w:p>
      <w:pPr>
        <w:ind w:firstLine="420"/>
        <w:jc w:val="both"/>
      </w:pPr>
      <w:r>
        <w:rPr>
          <w:sz w:val="21"/>
        </w:rPr>
        <w:t>2.在执行本合同的过程中，所有经双方签署确认的文件（包括会议纪要、补充协议、往来信函）即成为本合同的有效组成部分。</w:t>
      </w:r>
    </w:p>
    <w:p>
      <w:pPr>
        <w:ind w:firstLine="420"/>
        <w:jc w:val="both"/>
      </w:pPr>
      <w:r>
        <w:rPr>
          <w:sz w:val="21"/>
        </w:rPr>
        <w:t>3.如一方地址、电话、传真号码有变更，应在变更当日内书面通知对方，否则，应承担相应责任。</w:t>
      </w:r>
    </w:p>
    <w:p>
      <w:pPr>
        <w:ind w:firstLine="420"/>
        <w:jc w:val="both"/>
      </w:pPr>
      <w:r>
        <w:rPr>
          <w:sz w:val="21"/>
        </w:rPr>
        <w:t>4.除甲方事先书面同意外，乙方不得部分或全部转让其应履行的合同项下的义务。</w:t>
      </w:r>
    </w:p>
    <w:p>
      <w:pPr>
        <w:ind w:firstLine="480"/>
        <w:jc w:val="left"/>
      </w:pPr>
      <w:r>
        <w:rPr>
          <w:b/>
          <w:sz w:val="21"/>
        </w:rPr>
        <w:t>十三、合同生效</w:t>
      </w:r>
    </w:p>
    <w:p>
      <w:pPr>
        <w:ind w:firstLine="424"/>
        <w:jc w:val="left"/>
      </w:pPr>
      <w:r>
        <w:rPr>
          <w:sz w:val="21"/>
        </w:rPr>
        <w:t>1.</w:t>
      </w:r>
      <w:r>
        <w:rPr>
          <w:sz w:val="21"/>
        </w:rPr>
        <w:t>本合同在甲乙双方法人代表或其授权代表签字盖章后生效。</w:t>
      </w:r>
    </w:p>
    <w:p>
      <w:pPr>
        <w:ind w:firstLine="424"/>
        <w:jc w:val="left"/>
      </w:pPr>
      <w:r>
        <w:rPr>
          <w:sz w:val="21"/>
        </w:rPr>
        <w:t>2.</w:t>
      </w:r>
      <w:r>
        <w:rPr>
          <w:sz w:val="21"/>
        </w:rPr>
        <w:t>合同一式</w:t>
      </w:r>
      <w:r>
        <w:rPr>
          <w:sz w:val="21"/>
          <w:u w:val="single"/>
        </w:rPr>
        <w:t xml:space="preserve">   </w:t>
      </w:r>
      <w:r>
        <w:rPr>
          <w:sz w:val="21"/>
        </w:rPr>
        <w:t>份，甲方</w:t>
      </w:r>
      <w:r>
        <w:rPr>
          <w:sz w:val="21"/>
          <w:u w:val="single"/>
        </w:rPr>
        <w:t xml:space="preserve">   </w:t>
      </w:r>
      <w:r>
        <w:rPr>
          <w:sz w:val="21"/>
        </w:rPr>
        <w:t>份，乙方</w:t>
      </w:r>
      <w:r>
        <w:rPr>
          <w:sz w:val="21"/>
          <w:u w:val="single"/>
        </w:rPr>
        <w:t xml:space="preserve">  </w:t>
      </w:r>
      <w:r>
        <w:rPr>
          <w:sz w:val="21"/>
        </w:rPr>
        <w:t>份。</w:t>
      </w:r>
    </w:p>
    <w:p>
      <w:pPr>
        <w:jc w:val="both"/>
      </w:pPr>
    </w:p>
    <w:p>
      <w:pPr>
        <w:jc w:val="both"/>
      </w:pPr>
    </w:p>
    <w:p>
      <w:pPr>
        <w:jc w:val="both"/>
      </w:pPr>
      <w:r>
        <w:rPr>
          <w:sz w:val="21"/>
        </w:rPr>
        <w:t>甲方：                                     乙方：</w:t>
      </w:r>
    </w:p>
    <w:p>
      <w:pPr>
        <w:jc w:val="left"/>
      </w:pPr>
      <w:r>
        <w:rPr>
          <w:sz w:val="21"/>
        </w:rPr>
        <w:t>地址：                                     地址：</w:t>
      </w:r>
    </w:p>
    <w:p>
      <w:pPr>
        <w:jc w:val="left"/>
      </w:pPr>
      <w:r>
        <w:rPr>
          <w:sz w:val="21"/>
        </w:rPr>
        <w:t>负责人：                                  法人代表：</w:t>
      </w:r>
    </w:p>
    <w:p>
      <w:pPr>
        <w:jc w:val="left"/>
      </w:pPr>
      <w:r>
        <w:rPr>
          <w:sz w:val="21"/>
        </w:rPr>
        <w:t>经办人：                                  联系人：</w:t>
      </w:r>
    </w:p>
    <w:p>
      <w:pPr>
        <w:jc w:val="left"/>
      </w:pPr>
      <w:r>
        <w:rPr>
          <w:sz w:val="21"/>
        </w:rPr>
        <w:t>电话：                                     电话：</w:t>
      </w:r>
    </w:p>
    <w:p>
      <w:pPr>
        <w:jc w:val="left"/>
      </w:pPr>
      <w:r>
        <w:rPr>
          <w:sz w:val="21"/>
        </w:rPr>
        <w:t>开户银行：                              开户银行：</w:t>
      </w:r>
    </w:p>
    <w:p>
      <w:pPr>
        <w:jc w:val="left"/>
      </w:pPr>
      <w:r>
        <w:rPr>
          <w:sz w:val="21"/>
        </w:rPr>
        <w:t>帐号：                                     帐号：</w:t>
      </w:r>
    </w:p>
    <w:p>
      <w:pPr>
        <w:jc w:val="left"/>
      </w:pPr>
      <w:r>
        <w:rPr>
          <w:sz w:val="21"/>
        </w:rPr>
        <w:t>签约日期：  年  月  日              签约日期：  年 月 日</w:t>
      </w: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440115-2023-03563</w:t>
      </w:r>
    </w:p>
    <w:p>
      <w:pPr>
        <w:jc w:val="center"/>
      </w:pPr>
      <w:r>
        <w:rPr>
          <w:b/>
          <w:sz w:val="24"/>
        </w:rPr>
        <w:t>采购项目编号：</w:t>
      </w:r>
      <w:r>
        <w:rPr>
          <w:b/>
          <w:sz w:val="24"/>
        </w:rPr>
        <w:t>PZGKCZ230312</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r>
        <w:rPr/>
        <w:t>二十三、政府采购履约担保函、采购合同履约保险凭证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品正招标采购（广州）有限公司</w:t>
      </w:r>
    </w:p>
    <w:p>
      <w:pPr>
        <w:ind w:firstLine="480"/>
      </w:pPr>
      <w:r>
        <w:rPr/>
        <w:t>你方组织的</w:t>
      </w:r>
      <w:r>
        <w:rPr>
          <w:u w:val="single"/>
        </w:rPr>
        <w:t>“</w:t>
      </w:r>
      <w:r>
        <w:rPr>
          <w:u w:val="single"/>
        </w:rPr>
        <w:t>榄核镇除“四害”消杀服务项目</w:t>
      </w:r>
      <w:r>
        <w:rPr>
          <w:u w:val="single"/>
        </w:rPr>
        <w:t>”</w:t>
      </w:r>
      <w:r>
        <w:rPr/>
        <w:t>项目的招标[采购项目编号为：</w:t>
      </w:r>
      <w:r>
        <w:rPr>
          <w:u w:val="single"/>
        </w:rPr>
        <w:t>PZGKCZ230312</w:t>
      </w:r>
      <w:r>
        <w:rPr/>
        <w:t>]，我方愿参与投标。</w:t>
      </w:r>
    </w:p>
    <w:p>
      <w:pPr>
        <w:ind w:firstLine="480"/>
      </w:pPr>
      <w:r>
        <w:rPr/>
        <w:t>我方确认收到贵方提供的</w:t>
      </w:r>
      <w:r>
        <w:rPr>
          <w:u w:val="single"/>
        </w:rPr>
        <w:t>“</w:t>
      </w:r>
      <w:r>
        <w:rPr>
          <w:u w:val="single"/>
        </w:rPr>
        <w:t>榄核镇除“四害”消杀服务项目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（四）我方理解贵方不一定接受最低投标价或任何贵方可能收到的投标。</w:t>
      </w:r>
    </w:p>
    <w:p>
      <w:pPr>
        <w:ind w:firstLine="480"/>
      </w:pPr>
      <w:r>
        <w:rPr/>
        <w:t>（五）我方如果中标，将保证履行招标文件及其澄清、修改文件（如果有）中的全部责任和义务，按质、按量、按期完成《采购需求》及《合同书》中的全部任务。</w:t>
      </w:r>
    </w:p>
    <w:p>
      <w:pPr>
        <w:ind w:firstLine="480"/>
      </w:pPr>
      <w:r>
        <w:rPr/>
        <w:t>（六）我方作为法律、财务和运作上独立于采购人、采购代理机构的投标人，在此保证所提交的所有文件和全部说明是真实的和正确的。</w:t>
      </w:r>
    </w:p>
    <w:p>
      <w:pPr>
        <w:ind w:firstLine="480"/>
      </w:pPr>
      <w:r>
        <w:rPr/>
        <w:t>（七）我方投标报价已包含应向知识产权所有权人支付的所有相关税费，并保证采购人在中国使用我方提供的货物或服务时，如有第三方提出侵犯其知识产权主张的，责任由我方承担。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（八）我方接受采购人委托向贵方支付代理服务费，项目总报价已包含代理服务费，如果被确定为中标供应商，承诺向贵方足额支付。（若采购人支付代理服务费，则此条不适用）</w:t>
      </w:r>
    </w:p>
    <w:p>
      <w:pPr>
        <w:ind w:firstLine="480"/>
      </w:pPr>
      <w:r>
        <w:rPr/>
        <w:t>（九）我方与其他投标人不存在法定代表人或单位负责人为同一人或者存在直接控股、管理关系。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（十三）我方对在本函及投标文件中所作的所有承诺承担法律责任。</w:t>
      </w:r>
    </w:p>
    <w:p>
      <w:pPr>
        <w:ind w:firstLine="480"/>
      </w:pPr>
      <w:r>
        <w:rPr/>
        <w:t>（十四）所有与本招标有关的函件请发往下列地址：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jc w:val="center"/>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品正招标采购（广州）有限公司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榄核镇除“四害”消杀服务项目</w:t>
      </w:r>
      <w:r>
        <w:rPr/>
        <w:t>”项目采购[采购项目编号为</w:t>
      </w:r>
      <w:r>
        <w:rPr/>
        <w:t>PZGKCZ230312</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提供以下相关证照的扫描件之一：1.企业法人提供企业法人营业执照；2.事业法人提供事业法人登记证；3.其他组织提供其他组织的营业执照或执业许可证；4.自然人提供居民身份证等；</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广州市南沙区榄核镇人民政府</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细则（试行）》的通知》的精神，投标人需根据以下要求对其出具的《中小企业声明函》的信息进行完善和规范。</w:t>
      </w:r>
    </w:p>
    <w:p>
      <w:pPr>
        <w:ind w:firstLine="480"/>
      </w:pPr>
      <w:r>
        <w:rPr/>
        <w:t>（一）对于已纳入统计部门统计范围的企业，所属行业、从业人员、营业收入、资产总额、规模类型应与统计部门报表保持一致。</w:t>
      </w:r>
    </w:p>
    <w:p>
      <w:pPr>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ind w:firstLine="480"/>
      </w:pPr>
      <w:r>
        <w:rPr/>
        <w:t>（六）经调查发现供应商提供《中小企业声明函》内容与实际不符的，政府采购监管部门有权根据《中小企业声明函》与实际情况的差异视情形认定其是否属于虚假材料谋取中标。</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品正招标采购（广州）有限公司</w:t>
      </w:r>
    </w:p>
    <w:p>
      <w:pPr>
        <w:ind w:firstLine="480"/>
      </w:pPr>
      <w:r>
        <w:rPr/>
        <w:t>如果我方在贵采购代理机构组织的</w:t>
      </w:r>
      <w:r>
        <w:rPr/>
        <w:t>榄核镇除“四害”消杀服务项目</w:t>
      </w:r>
      <w:r>
        <w:rPr/>
        <w:t>招标中获中标（采购项目编号：</w:t>
      </w:r>
      <w:r>
        <w:rPr/>
        <w:t>PZGKCZ230312</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品正招标采购（广州）有限公司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格式二十三：</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