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59692693"/>
      <w:bookmarkStart w:id="1" w:name="_Toc267059519"/>
      <w:bookmarkStart w:id="2" w:name="_Toc249325665"/>
      <w:bookmarkStart w:id="3" w:name="_Toc212456146"/>
      <w:bookmarkStart w:id="4" w:name="_Toc177985424"/>
      <w:bookmarkStart w:id="5" w:name="_Toc254790852"/>
      <w:bookmarkStart w:id="6" w:name="_Toc255974963"/>
      <w:bookmarkStart w:id="7" w:name="_Toc236021402"/>
      <w:bookmarkStart w:id="8" w:name="_Toc267060407"/>
      <w:bookmarkStart w:id="9" w:name="_Toc253066567"/>
      <w:bookmarkStart w:id="10" w:name="_Toc267059161"/>
      <w:bookmarkStart w:id="11" w:name="_Toc266868624"/>
      <w:bookmarkStart w:id="12" w:name="_Toc267059633"/>
      <w:bookmarkStart w:id="13" w:name="_Toc259520819"/>
      <w:bookmarkStart w:id="14" w:name="_Toc212530253"/>
      <w:bookmarkStart w:id="15" w:name="_Toc211937196"/>
      <w:bookmarkStart w:id="16" w:name="_Toc235438227"/>
      <w:bookmarkStart w:id="17" w:name="_Toc216241307"/>
      <w:bookmarkStart w:id="18" w:name="_Toc273178686"/>
      <w:bookmarkStart w:id="19" w:name="_Toc169332904"/>
      <w:bookmarkStart w:id="20" w:name="_Toc207014580"/>
      <w:bookmarkStart w:id="21" w:name="_Toc217891359"/>
      <w:bookmarkStart w:id="22" w:name="_Toc267059899"/>
      <w:bookmarkStart w:id="23" w:name="_Toc259692600"/>
      <w:bookmarkStart w:id="24" w:name="_Toc235437942"/>
      <w:bookmarkStart w:id="25" w:name="_Toc266870861"/>
      <w:bookmarkStart w:id="26" w:name="_Toc266870386"/>
      <w:bookmarkStart w:id="27" w:name="_Toc223146565"/>
      <w:bookmarkStart w:id="28" w:name="_Toc170798743"/>
      <w:bookmarkStart w:id="29" w:name="_Toc251586187"/>
      <w:bookmarkStart w:id="30" w:name="_Toc169332794"/>
      <w:bookmarkStart w:id="31" w:name="_Toc267059010"/>
      <w:bookmarkStart w:id="32" w:name="_Toc160880487"/>
      <w:bookmarkStart w:id="33" w:name="_Toc212454753"/>
      <w:bookmarkStart w:id="34" w:name="_Toc212526081"/>
      <w:bookmarkStart w:id="35" w:name="_Toc251613780"/>
      <w:bookmarkStart w:id="36" w:name="_Toc267060162"/>
      <w:bookmarkStart w:id="37" w:name="_Toc235438297"/>
      <w:bookmarkStart w:id="38" w:name="_Toc258401210"/>
      <w:bookmarkStart w:id="39" w:name="_Toc227058483"/>
      <w:bookmarkStart w:id="40" w:name="_Toc267060022"/>
      <w:bookmarkStart w:id="41" w:name="_Toc267059786"/>
      <w:bookmarkStart w:id="42" w:name="_Toc266868924"/>
      <w:bookmarkStart w:id="43" w:name="_Toc225669277"/>
      <w:bookmarkStart w:id="44" w:name="_Toc21980020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500" w:lineRule="exact"/>
        <w:ind w:firstLine="480" w:firstLineChars="200"/>
        <w:textAlignment w:val="auto"/>
        <w:rPr>
          <w:rFonts w:ascii="仿宋" w:hAnsi="仿宋" w:eastAsia="仿宋"/>
          <w:color w:val="auto"/>
          <w:sz w:val="24"/>
          <w:szCs w:val="24"/>
        </w:rPr>
      </w:pPr>
      <w:bookmarkStart w:id="45" w:name="_Hlk10840310"/>
      <w:r>
        <w:rPr>
          <w:rFonts w:hint="eastAsia" w:ascii="仿宋" w:hAnsi="仿宋" w:eastAsia="仿宋"/>
          <w:color w:val="auto"/>
          <w:sz w:val="24"/>
          <w:szCs w:val="24"/>
        </w:rPr>
        <w:t>广州松田职业学院是一所经</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"https://baike.baidu.com/item/%E5%B9%BF%E4%B8%9C%E7%9C%81%E4%BA%BA%E6%B0%91%E6%94%BF%E5%BA%9C/10587684"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广东省人民政府</w:t>
      </w:r>
      <w:r>
        <w:rPr>
          <w:rFonts w:hint="eastAsia" w:ascii="仿宋" w:hAnsi="仿宋" w:eastAsia="仿宋"/>
          <w:color w:val="auto"/>
          <w:sz w:val="24"/>
          <w:szCs w:val="24"/>
        </w:rPr>
        <w:fldChar w:fldCharType="end"/>
      </w:r>
      <w:r>
        <w:rPr>
          <w:rFonts w:hint="eastAsia" w:ascii="仿宋" w:hAnsi="仿宋" w:eastAsia="仿宋"/>
          <w:color w:val="auto"/>
          <w:sz w:val="24"/>
          <w:szCs w:val="24"/>
        </w:rPr>
        <w:t>批准、</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"https://baike.baidu.com/item/%E6%95%99%E8%82%B2%E9%83%A8/239078"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教育部</w:t>
      </w:r>
      <w:r>
        <w:rPr>
          <w:rFonts w:hint="eastAsia" w:ascii="仿宋" w:hAnsi="仿宋" w:eastAsia="仿宋"/>
          <w:color w:val="auto"/>
          <w:sz w:val="24"/>
          <w:szCs w:val="24"/>
        </w:rPr>
        <w:fldChar w:fldCharType="end"/>
      </w:r>
      <w:r>
        <w:rPr>
          <w:rFonts w:hint="eastAsia" w:ascii="仿宋" w:hAnsi="仿宋" w:eastAsia="仿宋"/>
          <w:color w:val="auto"/>
          <w:sz w:val="24"/>
          <w:szCs w:val="24"/>
        </w:rPr>
        <w:t>备案的全日制普通高等职业学院，是中国教育集团（港股代码：00839）旗下的高校。根据需要，对本次项目进行公开询价，欢迎国内合格参与人参与。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WZ-XJ2023-41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rPr>
        <w:t>广州松田职业学院</w:t>
      </w:r>
      <w:bookmarkStart w:id="179" w:name="_GoBack"/>
      <w:bookmarkEnd w:id="179"/>
      <w:r>
        <w:rPr>
          <w:rFonts w:hint="eastAsia" w:ascii="仿宋" w:hAnsi="仿宋" w:eastAsia="仿宋"/>
          <w:color w:val="auto"/>
          <w:sz w:val="24"/>
          <w:szCs w:val="24"/>
          <w:highlight w:val="none"/>
          <w:lang w:eastAsia="zh-CN"/>
        </w:rPr>
        <w:t>灭“四害”及白蚁等防治服务承包项目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w:t>
      </w:r>
      <w:r>
        <w:rPr>
          <w:rFonts w:hint="eastAsia" w:ascii="仿宋" w:hAnsi="仿宋" w:eastAsia="仿宋"/>
          <w:color w:val="auto"/>
          <w:sz w:val="24"/>
          <w:szCs w:val="24"/>
          <w:highlight w:val="none"/>
          <w:lang w:eastAsia="zh-CN"/>
        </w:rPr>
        <w:t>公开询价项目介绍</w:t>
      </w:r>
      <w:r>
        <w:rPr>
          <w:rFonts w:hint="eastAsia" w:ascii="仿宋" w:hAnsi="仿宋" w:eastAsia="仿宋"/>
          <w:color w:val="auto"/>
          <w:sz w:val="24"/>
          <w:szCs w:val="24"/>
          <w:highlight w:val="none"/>
        </w:rPr>
        <w:t>》。</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w:t>
      </w:r>
      <w:r>
        <w:rPr>
          <w:rFonts w:hint="eastAsia" w:ascii="仿宋" w:hAnsi="仿宋" w:eastAsia="仿宋"/>
          <w:color w:val="auto"/>
          <w:sz w:val="24"/>
          <w:szCs w:val="24"/>
          <w:highlight w:val="none"/>
          <w:lang w:val="en-US" w:eastAsia="zh-CN"/>
        </w:rPr>
        <w:t>商家</w:t>
      </w:r>
      <w:r>
        <w:rPr>
          <w:rFonts w:hint="eastAsia" w:ascii="仿宋" w:hAnsi="仿宋" w:eastAsia="仿宋"/>
          <w:sz w:val="24"/>
          <w:szCs w:val="24"/>
        </w:rPr>
        <w:t>。</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参与人应具有有害生物防治资格和白蚁防治服务资质证。在广州市范围有固定服务机构，具备相应的防治能力。</w:t>
      </w:r>
    </w:p>
    <w:p>
      <w:pPr>
        <w:widowControl w:val="0"/>
        <w:numPr>
          <w:ilvl w:val="0"/>
          <w:numId w:val="0"/>
        </w:numPr>
        <w:spacing w:after="0" w:line="500" w:lineRule="exact"/>
        <w:ind w:left="1439" w:leftChars="327" w:hanging="720" w:hangingChars="300"/>
        <w:rPr>
          <w:rFonts w:ascii="仿宋" w:hAnsi="仿宋" w:eastAsia="仿宋"/>
          <w:sz w:val="24"/>
          <w:szCs w:val="24"/>
          <w:shd w:val="clear" w:color="auto" w:fill="FFFFFF"/>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）参与人应具有合法有效的营业执照，经营范围应包括</w:t>
      </w:r>
      <w:r>
        <w:rPr>
          <w:rFonts w:hint="eastAsia" w:ascii="仿宋" w:hAnsi="仿宋" w:eastAsia="仿宋"/>
          <w:sz w:val="24"/>
          <w:szCs w:val="24"/>
          <w:lang w:val="en-US" w:eastAsia="zh-CN"/>
        </w:rPr>
        <w:t>灭“四害”及白蚁防疫服务类</w:t>
      </w:r>
      <w:r>
        <w:rPr>
          <w:rFonts w:hint="eastAsia" w:ascii="仿宋" w:hAnsi="仿宋" w:eastAsia="仿宋"/>
          <w:sz w:val="24"/>
          <w:szCs w:val="24"/>
          <w:lang w:eastAsia="zh-CN"/>
        </w:rPr>
        <w:t>资</w:t>
      </w:r>
      <w:r>
        <w:rPr>
          <w:rFonts w:hint="eastAsia" w:ascii="仿宋" w:hAnsi="仿宋" w:eastAsia="仿宋"/>
          <w:sz w:val="24"/>
          <w:szCs w:val="24"/>
          <w:lang w:val="en-US" w:eastAsia="zh-CN"/>
        </w:rPr>
        <w:t>质</w:t>
      </w:r>
      <w:r>
        <w:rPr>
          <w:rFonts w:hint="eastAsia" w:ascii="仿宋" w:hAnsi="仿宋" w:eastAsia="仿宋"/>
          <w:sz w:val="24"/>
          <w:szCs w:val="24"/>
          <w:lang w:eastAsia="zh-CN"/>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2023</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31</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color w:val="auto"/>
          <w:sz w:val="24"/>
          <w:szCs w:val="24"/>
        </w:rPr>
        <w:t>广州松田职业学院</w:t>
      </w:r>
      <w:r>
        <w:rPr>
          <w:rFonts w:hint="eastAsia" w:ascii="仿宋" w:hAnsi="仿宋" w:eastAsia="仿宋"/>
          <w:sz w:val="24"/>
          <w:szCs w:val="24"/>
          <w:lang w:val="en-US" w:eastAsia="zh-CN"/>
        </w:rPr>
        <w:t>采购办公室。</w:t>
      </w:r>
    </w:p>
    <w:p>
      <w:pPr>
        <w:pStyle w:val="55"/>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18122166662。（进校须报备，请提前添加吴谷芬老师微信，账号与手机同号，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w:t>
      </w:r>
      <w:r>
        <w:rPr>
          <w:rFonts w:hint="eastAsia" w:ascii="仿宋" w:hAnsi="仿宋" w:eastAsia="仿宋"/>
          <w:b/>
          <w:bCs/>
          <w:sz w:val="24"/>
          <w:szCs w:val="24"/>
        </w:rPr>
        <w:t>独立密封，提供正本：一份，副本：二份，</w:t>
      </w:r>
      <w:r>
        <w:rPr>
          <w:rFonts w:hint="eastAsia" w:ascii="仿宋" w:hAnsi="仿宋" w:eastAsia="仿宋"/>
          <w:b/>
          <w:bCs/>
          <w:sz w:val="24"/>
          <w:szCs w:val="24"/>
          <w:lang w:val="en-US" w:eastAsia="zh-CN"/>
        </w:rPr>
        <w:t>共3份</w:t>
      </w:r>
      <w:r>
        <w:rPr>
          <w:rFonts w:hint="eastAsia" w:ascii="仿宋" w:hAnsi="仿宋" w:eastAsia="仿宋"/>
          <w:b w:val="0"/>
          <w:bCs w:val="0"/>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widowControl w:val="0"/>
        <w:numPr>
          <w:ilvl w:val="1"/>
          <w:numId w:val="3"/>
        </w:numPr>
        <w:spacing w:after="0" w:line="500" w:lineRule="exact"/>
        <w:ind w:left="839" w:leftChars="0" w:hanging="419" w:firstLineChars="0"/>
        <w:rPr>
          <w:rFonts w:hint="eastAsia" w:ascii="仿宋" w:hAnsi="仿宋" w:eastAsia="仿宋"/>
          <w:sz w:val="24"/>
          <w:szCs w:val="24"/>
        </w:rPr>
      </w:pPr>
      <w:r>
        <w:rPr>
          <w:rFonts w:hint="eastAsia" w:ascii="仿宋" w:hAnsi="仿宋" w:eastAsia="仿宋"/>
          <w:b/>
          <w:bCs/>
          <w:sz w:val="24"/>
          <w:szCs w:val="24"/>
          <w:lang w:val="en-US" w:eastAsia="zh-CN"/>
        </w:rPr>
        <w:t>最终承包方</w:t>
      </w:r>
      <w:r>
        <w:rPr>
          <w:rFonts w:hint="eastAsia" w:ascii="仿宋" w:hAnsi="仿宋" w:eastAsia="仿宋"/>
          <w:b/>
          <w:bCs/>
          <w:sz w:val="24"/>
          <w:szCs w:val="24"/>
        </w:rPr>
        <w:t>须交</w:t>
      </w:r>
      <w:r>
        <w:rPr>
          <w:rFonts w:hint="eastAsia" w:ascii="仿宋" w:hAnsi="仿宋" w:eastAsia="仿宋"/>
          <w:b/>
          <w:bCs/>
          <w:sz w:val="24"/>
          <w:szCs w:val="24"/>
          <w:lang w:val="en-US" w:eastAsia="zh-CN"/>
        </w:rPr>
        <w:t>2</w:t>
      </w:r>
      <w:r>
        <w:rPr>
          <w:rFonts w:hint="eastAsia" w:ascii="仿宋" w:hAnsi="仿宋" w:eastAsia="仿宋"/>
          <w:b/>
          <w:bCs/>
          <w:sz w:val="24"/>
          <w:szCs w:val="24"/>
        </w:rPr>
        <w:t>万元保证金，在本合同执行完毕后无息退还。</w:t>
      </w:r>
      <w:r>
        <w:rPr>
          <w:rFonts w:hint="eastAsia" w:ascii="仿宋" w:hAnsi="仿宋" w:eastAsia="仿宋"/>
          <w:sz w:val="24"/>
          <w:szCs w:val="24"/>
        </w:rPr>
        <w:t xml:space="preserve"> </w:t>
      </w:r>
    </w:p>
    <w:p>
      <w:pPr>
        <w:widowControl w:val="0"/>
        <w:tabs>
          <w:tab w:val="left" w:pos="1469"/>
        </w:tabs>
        <w:spacing w:after="0" w:line="500" w:lineRule="exact"/>
        <w:ind w:firstLine="720" w:firstLineChars="300"/>
        <w:rPr>
          <w:rFonts w:ascii="仿宋" w:hAnsi="仿宋" w:eastAsia="仿宋"/>
          <w:sz w:val="24"/>
          <w:szCs w:val="24"/>
        </w:rPr>
      </w:pPr>
      <w:r>
        <w:rPr>
          <w:rFonts w:hint="eastAsia" w:ascii="仿宋" w:hAnsi="仿宋" w:eastAsia="仿宋"/>
          <w:sz w:val="24"/>
          <w:szCs w:val="24"/>
        </w:rPr>
        <w:t>开户名称：广州松田职业学院</w:t>
      </w:r>
    </w:p>
    <w:p>
      <w:pPr>
        <w:widowControl w:val="0"/>
        <w:tabs>
          <w:tab w:val="left" w:pos="1469"/>
        </w:tabs>
        <w:spacing w:after="0" w:line="500" w:lineRule="exact"/>
        <w:ind w:firstLine="720" w:firstLineChars="300"/>
        <w:rPr>
          <w:rFonts w:ascii="仿宋" w:hAnsi="仿宋" w:eastAsia="仿宋"/>
          <w:sz w:val="24"/>
          <w:szCs w:val="24"/>
        </w:rPr>
      </w:pPr>
      <w:r>
        <w:rPr>
          <w:rFonts w:hint="eastAsia" w:ascii="仿宋" w:hAnsi="仿宋" w:eastAsia="仿宋"/>
          <w:sz w:val="24"/>
          <w:szCs w:val="24"/>
        </w:rPr>
        <w:t>纳税人识别号：5244 0000 6664 9457 X0（数字0）</w:t>
      </w:r>
    </w:p>
    <w:p>
      <w:pPr>
        <w:widowControl w:val="0"/>
        <w:tabs>
          <w:tab w:val="left" w:pos="1469"/>
        </w:tabs>
        <w:spacing w:after="0" w:line="500" w:lineRule="exact"/>
        <w:ind w:firstLine="720" w:firstLineChars="300"/>
        <w:rPr>
          <w:rFonts w:ascii="仿宋" w:hAnsi="仿宋" w:eastAsia="仿宋"/>
          <w:sz w:val="24"/>
          <w:szCs w:val="24"/>
        </w:rPr>
      </w:pPr>
      <w:r>
        <w:rPr>
          <w:rFonts w:hint="eastAsia" w:ascii="仿宋" w:hAnsi="仿宋" w:eastAsia="仿宋"/>
          <w:sz w:val="24"/>
          <w:szCs w:val="24"/>
        </w:rPr>
        <w:t>账       号：3602041119200112713</w:t>
      </w:r>
    </w:p>
    <w:p>
      <w:pPr>
        <w:widowControl w:val="0"/>
        <w:spacing w:after="0" w:line="500" w:lineRule="exact"/>
        <w:ind w:firstLine="720" w:firstLineChars="300"/>
        <w:jc w:val="left"/>
        <w:rPr>
          <w:rFonts w:hint="default"/>
          <w:lang w:val="en-US"/>
        </w:rPr>
      </w:pPr>
      <w:r>
        <w:rPr>
          <w:rFonts w:hint="eastAsia" w:ascii="仿宋" w:hAnsi="仿宋" w:eastAsia="仿宋"/>
          <w:sz w:val="24"/>
          <w:szCs w:val="24"/>
        </w:rPr>
        <w:t>开户银行：中国工商银行广州增城支行</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w:t>
      </w:r>
      <w:r>
        <w:rPr>
          <w:rFonts w:hint="eastAsia" w:ascii="仿宋" w:hAnsi="仿宋" w:eastAsia="仿宋"/>
          <w:sz w:val="24"/>
          <w:szCs w:val="24"/>
          <w:lang w:val="en-US" w:eastAsia="zh-CN"/>
        </w:rPr>
        <w:t>服务</w:t>
      </w:r>
      <w:r>
        <w:rPr>
          <w:rFonts w:hint="eastAsia" w:ascii="仿宋" w:hAnsi="仿宋" w:eastAsia="仿宋"/>
          <w:sz w:val="24"/>
          <w:szCs w:val="24"/>
        </w:rPr>
        <w:t>时间安排</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服务</w:t>
      </w:r>
      <w:r>
        <w:rPr>
          <w:rFonts w:hint="eastAsia" w:ascii="仿宋" w:hAnsi="仿宋" w:eastAsia="仿宋"/>
          <w:sz w:val="24"/>
          <w:szCs w:val="24"/>
        </w:rPr>
        <w:t>联系电话及联系人员</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服务收费标准</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rPr>
        <w:t>广州松田职业学院</w:t>
      </w:r>
      <w:r>
        <w:rPr>
          <w:rFonts w:hint="eastAsia" w:ascii="仿宋" w:hAnsi="仿宋" w:eastAsia="仿宋"/>
          <w:color w:val="auto"/>
          <w:sz w:val="24"/>
          <w:szCs w:val="24"/>
          <w:lang w:val="en-US" w:eastAsia="zh-CN"/>
        </w:rPr>
        <w:t>2023</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13</w:t>
      </w:r>
      <w:r>
        <w:rPr>
          <w:rFonts w:hint="eastAsia" w:ascii="仿宋" w:hAnsi="仿宋" w:eastAsia="仿宋"/>
          <w:color w:val="auto"/>
          <w:sz w:val="24"/>
          <w:szCs w:val="24"/>
        </w:rPr>
        <w:t>日</w:t>
      </w:r>
    </w:p>
    <w:p>
      <w:pPr>
        <w:widowControl w:val="0"/>
        <w:spacing w:after="0" w:line="500" w:lineRule="exact"/>
        <w:ind w:left="426"/>
        <w:jc w:val="center"/>
        <w:rPr>
          <w:rFonts w:ascii="仿宋" w:hAnsi="仿宋" w:eastAsia="仿宋"/>
          <w:sz w:val="28"/>
          <w:szCs w:val="28"/>
        </w:rPr>
      </w:pPr>
      <w:r>
        <w:rPr>
          <w:rFonts w:ascii="仿宋" w:hAnsi="仿宋" w:eastAsia="仿宋"/>
          <w:color w:val="FF0000"/>
          <w:sz w:val="28"/>
          <w:szCs w:val="28"/>
        </w:rPr>
        <w:br w:type="page"/>
      </w:r>
      <w:bookmarkEnd w:id="45"/>
      <w:r>
        <w:rPr>
          <w:rFonts w:hint="eastAsia" w:ascii="仿宋" w:hAnsi="仿宋" w:eastAsia="仿宋"/>
          <w:b/>
          <w:sz w:val="44"/>
          <w:szCs w:val="44"/>
        </w:rPr>
        <w:t>二、公开询价项目介绍</w:t>
      </w:r>
    </w:p>
    <w:p>
      <w:pPr>
        <w:spacing w:after="0" w:line="500" w:lineRule="exact"/>
        <w:jc w:val="left"/>
        <w:rPr>
          <w:rFonts w:hint="eastAsia" w:ascii="仿宋" w:hAnsi="仿宋" w:eastAsia="仿宋" w:cs="仿宋"/>
          <w:b/>
          <w:bCs/>
          <w:color w:val="FF0000"/>
          <w:sz w:val="24"/>
          <w:szCs w:val="24"/>
        </w:rPr>
      </w:pPr>
      <w:r>
        <w:rPr>
          <w:rFonts w:hint="eastAsia" w:ascii="仿宋" w:hAnsi="仿宋" w:eastAsia="仿宋" w:cs="仿宋"/>
          <w:b/>
          <w:bCs/>
          <w:sz w:val="24"/>
          <w:szCs w:val="24"/>
        </w:rPr>
        <w:t>第一条 服务内容</w:t>
      </w:r>
    </w:p>
    <w:p>
      <w:pPr>
        <w:widowControl w:val="0"/>
        <w:spacing w:after="0" w:line="5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1.1服务项目：投（喷）药物灭杀蚊、蝇、蟑螂、老鼠</w:t>
      </w:r>
      <w:r>
        <w:rPr>
          <w:rFonts w:hint="eastAsia" w:ascii="仿宋" w:hAnsi="仿宋" w:eastAsia="仿宋" w:cs="仿宋"/>
          <w:sz w:val="24"/>
          <w:szCs w:val="24"/>
          <w:highlight w:val="none"/>
          <w:lang w:val="en-US" w:eastAsia="zh-CN"/>
        </w:rPr>
        <w:t>及白蚁蚁患灭治，协助做好蛇患防治工作</w:t>
      </w:r>
      <w:r>
        <w:rPr>
          <w:rFonts w:hint="eastAsia" w:ascii="仿宋" w:hAnsi="仿宋" w:eastAsia="仿宋" w:cs="仿宋"/>
          <w:sz w:val="24"/>
          <w:szCs w:val="24"/>
          <w:highlight w:val="none"/>
        </w:rPr>
        <w:t>。</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服务区域范围：两院范围内，包括但不限于室内外范围：行政楼整栋，所有楼宇首层（含楼梯底），所有公共洗手间及旁边线井，两校大门外两侧绿化场地，校内公共区域绿化带、下水道，学生食堂（含厨房）等。占地面积约500亩。</w:t>
      </w:r>
    </w:p>
    <w:p>
      <w:pPr>
        <w:spacing w:after="0" w:line="500" w:lineRule="exact"/>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 xml:space="preserve">第二条 </w:t>
      </w:r>
      <w:r>
        <w:rPr>
          <w:rFonts w:hint="eastAsia" w:ascii="仿宋" w:hAnsi="仿宋" w:eastAsia="仿宋" w:cs="仿宋"/>
          <w:b/>
          <w:bCs/>
          <w:sz w:val="24"/>
          <w:szCs w:val="24"/>
        </w:rPr>
        <w:t>服务要求及质量标准：</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2.1服务要求</w:t>
      </w:r>
    </w:p>
    <w:p>
      <w:pPr>
        <w:widowControl w:val="0"/>
        <w:spacing w:after="0" w:line="500" w:lineRule="exact"/>
        <w:ind w:firstLine="480" w:firstLineChars="200"/>
        <w:jc w:val="left"/>
        <w:rPr>
          <w:rFonts w:hint="eastAsia" w:ascii="宋体" w:hAnsi="宋体" w:eastAsia="宋体" w:cs="宋体"/>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1.1蚊子防治：</w:t>
      </w:r>
      <w:r>
        <w:rPr>
          <w:rFonts w:hint="eastAsia" w:ascii="仿宋" w:hAnsi="仿宋" w:eastAsia="仿宋" w:cs="仿宋"/>
          <w:sz w:val="24"/>
          <w:szCs w:val="24"/>
          <w:lang w:eastAsia="zh-CN"/>
        </w:rPr>
        <w:t>除</w:t>
      </w:r>
      <w:r>
        <w:rPr>
          <w:rFonts w:hint="eastAsia" w:ascii="仿宋" w:hAnsi="仿宋" w:eastAsia="仿宋" w:cs="仿宋"/>
          <w:sz w:val="24"/>
          <w:szCs w:val="24"/>
          <w:lang w:val="en-US" w:eastAsia="zh-CN"/>
        </w:rPr>
        <w:t>3.4.5.6、9.10月份每月4次外，其它每月上门消杀不得少于2</w:t>
      </w:r>
      <w:r>
        <w:rPr>
          <w:rFonts w:hint="eastAsia" w:ascii="仿宋" w:hAnsi="仿宋" w:eastAsia="仿宋" w:cs="仿宋"/>
          <w:sz w:val="24"/>
          <w:szCs w:val="24"/>
        </w:rPr>
        <w:t>次</w:t>
      </w:r>
      <w:r>
        <w:rPr>
          <w:rFonts w:hint="eastAsia" w:ascii="仿宋" w:hAnsi="仿宋" w:eastAsia="仿宋" w:cs="仿宋"/>
          <w:sz w:val="24"/>
          <w:szCs w:val="24"/>
          <w:lang w:eastAsia="zh-CN"/>
        </w:rPr>
        <w:t>。</w:t>
      </w:r>
      <w:r>
        <w:rPr>
          <w:rFonts w:hint="eastAsia" w:ascii="仿宋" w:hAnsi="仿宋" w:eastAsia="仿宋" w:cs="仿宋"/>
          <w:sz w:val="24"/>
          <w:szCs w:val="24"/>
        </w:rPr>
        <w:t>对要求喷药的场地、绿化带使用常量高压燃油喷机；下水道、沙井、化粪池使用热雾杀虫烟机；食堂、首层办公室、阅览室、仓库及公共卫生间使用电动超低容量喷机或背负式电动常量喷机进行消杀；对污水井、下水道、卫生间、茶水间、杂物房等容易产生积水位置每月不少于一次检查和蚊虫检测，清倒积水或投放灭幼灵。每月根据蚊虫检测数据、上级疾控防治要求或甲方要求无条件免费增加消杀次数。</w:t>
      </w:r>
    </w:p>
    <w:p>
      <w:pPr>
        <w:widowControl w:val="0"/>
        <w:spacing w:after="0" w:line="50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1.2蟑螂防治：</w:t>
      </w:r>
      <w:r>
        <w:rPr>
          <w:rFonts w:hint="eastAsia" w:ascii="仿宋" w:hAnsi="仿宋" w:eastAsia="仿宋" w:cs="仿宋"/>
          <w:sz w:val="24"/>
          <w:szCs w:val="24"/>
          <w:lang w:eastAsia="zh-CN"/>
        </w:rPr>
        <w:t>每月不少于两次对饭堂进行蟑迹检查，并投放无毒特效灭蟑膏，其他区域（教学楼、宿舍等场所）由甲方提供位置，再进行消杀处理。楼道、阴暗处喷洒溴氰菊酯悬浮剂，杀灭成蟑，外环境的下水道、化粪池使用热烟雾进行薰杀。</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1.3老鼠防治：</w:t>
      </w:r>
      <w:r>
        <w:rPr>
          <w:rFonts w:hint="eastAsia" w:ascii="仿宋" w:hAnsi="仿宋" w:eastAsia="仿宋" w:cs="仿宋"/>
          <w:color w:val="auto"/>
          <w:sz w:val="24"/>
          <w:szCs w:val="24"/>
        </w:rPr>
        <w:t>每月不少于两次对承包范围内检查鼠迹，发现新鲜鼠迹，判明鼠种，投药或物理捕杀，确信老鼠灭杀后，堵塞鼠洞，其他区域（教学</w:t>
      </w:r>
      <w:r>
        <w:rPr>
          <w:rFonts w:hint="eastAsia" w:ascii="仿宋" w:hAnsi="仿宋" w:eastAsia="仿宋" w:cs="仿宋"/>
          <w:color w:val="auto"/>
          <w:sz w:val="24"/>
          <w:szCs w:val="24"/>
          <w:lang w:eastAsia="zh-CN"/>
        </w:rPr>
        <w:t>楼、</w:t>
      </w:r>
      <w:r>
        <w:rPr>
          <w:rFonts w:hint="eastAsia" w:ascii="仿宋" w:hAnsi="仿宋" w:eastAsia="仿宋" w:cs="仿宋"/>
          <w:color w:val="auto"/>
          <w:sz w:val="24"/>
          <w:szCs w:val="24"/>
        </w:rPr>
        <w:t>宿舍等场所）由甲方提供位置再进行处理；灭鼠范围内的天花或搭建物体隐蔽处，定期放置粘鼠胶板，对老鼠进行粘捕；安全的前提下，视具体地方放置老鼠笼、老鼠夹进行捕杀；在干燥安全区域布放灭鼠粉剂，杀灭活动觅食的老鼠。长期布防粘鼠胶板和布放灭鼠药物，将老鼠密度控制在最低范围内。特效鼠药由专人负责投放，专人回收。甲方</w:t>
      </w:r>
      <w:r>
        <w:rPr>
          <w:rFonts w:hint="eastAsia" w:ascii="仿宋" w:hAnsi="仿宋" w:eastAsia="仿宋" w:cs="仿宋"/>
          <w:color w:val="auto"/>
          <w:sz w:val="24"/>
          <w:szCs w:val="24"/>
          <w:lang w:eastAsia="zh-CN"/>
        </w:rPr>
        <w:t>可</w:t>
      </w:r>
      <w:r>
        <w:rPr>
          <w:rFonts w:hint="eastAsia" w:ascii="仿宋" w:hAnsi="仿宋" w:eastAsia="仿宋" w:cs="仿宋"/>
          <w:color w:val="auto"/>
          <w:sz w:val="24"/>
          <w:szCs w:val="24"/>
        </w:rPr>
        <w:t>根据鼠患要求增加投药次数。</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1.4苍蝇防治：</w:t>
      </w:r>
      <w:r>
        <w:rPr>
          <w:rFonts w:hint="eastAsia" w:ascii="仿宋" w:hAnsi="仿宋" w:eastAsia="仿宋" w:cs="仿宋"/>
          <w:color w:val="auto"/>
          <w:sz w:val="24"/>
          <w:szCs w:val="24"/>
        </w:rPr>
        <w:t>每</w:t>
      </w:r>
      <w:r>
        <w:rPr>
          <w:rFonts w:hint="eastAsia" w:ascii="仿宋" w:hAnsi="仿宋" w:eastAsia="仿宋" w:cs="仿宋"/>
          <w:color w:val="auto"/>
          <w:sz w:val="24"/>
          <w:szCs w:val="24"/>
          <w:lang w:val="en-US" w:eastAsia="zh-CN"/>
        </w:rPr>
        <w:t>周</w:t>
      </w:r>
      <w:r>
        <w:rPr>
          <w:rFonts w:hint="eastAsia" w:ascii="仿宋" w:hAnsi="仿宋" w:eastAsia="仿宋" w:cs="仿宋"/>
          <w:color w:val="auto"/>
          <w:sz w:val="24"/>
          <w:szCs w:val="24"/>
        </w:rPr>
        <w:t>不少于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次对苍蝇滋生地进行药物杀灭蝇卵、蝇蛹，使用超低容量喷雾机喷洒超低药剂杀灭成蝇。部分硬化地面，喷洒</w:t>
      </w:r>
      <w:r>
        <w:rPr>
          <w:rFonts w:hint="eastAsia" w:ascii="仿宋" w:hAnsi="仿宋" w:eastAsia="仿宋" w:cs="仿宋"/>
          <w:color w:val="auto"/>
          <w:sz w:val="24"/>
          <w:szCs w:val="24"/>
          <w:lang w:eastAsia="zh-CN"/>
        </w:rPr>
        <w:t>氯氰菊酯</w:t>
      </w:r>
      <w:r>
        <w:rPr>
          <w:rFonts w:hint="eastAsia" w:ascii="仿宋" w:hAnsi="仿宋" w:eastAsia="仿宋" w:cs="仿宋"/>
          <w:color w:val="auto"/>
          <w:sz w:val="24"/>
          <w:szCs w:val="24"/>
        </w:rPr>
        <w:t>或其他聚酯类悬浮剂，进行滞留喷洒，在苍蝇密度高时，采取悬挂粘蝇带的方法粘捕成蝇。</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1.5白蚁防治：</w:t>
      </w:r>
      <w:r>
        <w:rPr>
          <w:rFonts w:hint="eastAsia" w:ascii="仿宋" w:hAnsi="仿宋" w:eastAsia="仿宋" w:cs="仿宋"/>
          <w:color w:val="auto"/>
          <w:sz w:val="24"/>
          <w:szCs w:val="24"/>
        </w:rPr>
        <w:t>教学办公场室、宿舍木（门套）门框，在离地面30厘米高钻孔灌白蚁药液预防，在楼宇周边设置诱蚁箱，诱蚁箱数量不小于300个。每年在4至7月份白蚁分飞期间，每月不少于一次全面检查，平时每两个月一次全面检查蚁迹，如接到</w:t>
      </w:r>
      <w:r>
        <w:rPr>
          <w:rFonts w:hint="eastAsia" w:ascii="仿宋" w:hAnsi="仿宋" w:eastAsia="仿宋" w:cs="仿宋"/>
          <w:color w:val="auto"/>
          <w:sz w:val="24"/>
          <w:szCs w:val="24"/>
          <w:lang w:eastAsia="zh-CN"/>
        </w:rPr>
        <w:t>甲</w:t>
      </w:r>
      <w:r>
        <w:rPr>
          <w:rFonts w:hint="eastAsia" w:ascii="仿宋" w:hAnsi="仿宋" w:eastAsia="仿宋" w:cs="仿宋"/>
          <w:color w:val="auto"/>
          <w:sz w:val="24"/>
          <w:szCs w:val="24"/>
        </w:rPr>
        <w:t>方通知发现白蚁，承诺二十四小时内到场处理；在承包期内，校内小规模需要装修或更换门框、木制品的白蚁防治喷药不再另行收费，大规模装修用夹板（木材）喷药费用另行商定。</w:t>
      </w:r>
    </w:p>
    <w:p>
      <w:pPr>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lang w:val="en-US" w:eastAsia="zh-CN"/>
        </w:rPr>
        <w:t>2.1.6蛇患防治：</w:t>
      </w:r>
      <w:r>
        <w:rPr>
          <w:rFonts w:hint="eastAsia" w:ascii="仿宋" w:hAnsi="仿宋" w:eastAsia="仿宋" w:cs="仿宋"/>
          <w:color w:val="auto"/>
          <w:sz w:val="24"/>
          <w:szCs w:val="24"/>
        </w:rPr>
        <w:t>根据</w:t>
      </w:r>
      <w:r>
        <w:rPr>
          <w:rFonts w:hint="eastAsia" w:ascii="仿宋" w:hAnsi="仿宋" w:eastAsia="仿宋" w:cs="仿宋"/>
          <w:color w:val="auto"/>
          <w:sz w:val="24"/>
          <w:szCs w:val="24"/>
          <w:lang w:eastAsia="zh-CN"/>
        </w:rPr>
        <w:t>甲</w:t>
      </w:r>
      <w:r>
        <w:rPr>
          <w:rFonts w:hint="eastAsia" w:ascii="仿宋" w:hAnsi="仿宋" w:eastAsia="仿宋" w:cs="仿宋"/>
          <w:color w:val="auto"/>
          <w:sz w:val="24"/>
          <w:szCs w:val="24"/>
        </w:rPr>
        <w:t>方要求，不定期投放诱蛇笼捕蛇并及时检查清理。诱蛇笼保有数量不少于10个（费用由承包方负责）。</w:t>
      </w:r>
    </w:p>
    <w:p>
      <w:pPr>
        <w:widowControl w:val="0"/>
        <w:spacing w:after="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2.1.7灭“四害”及白蚁防治项目所用药物：</w:t>
      </w:r>
    </w:p>
    <w:tbl>
      <w:tblPr>
        <w:tblStyle w:val="23"/>
        <w:tblW w:w="977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2295"/>
        <w:gridCol w:w="1845"/>
        <w:gridCol w:w="1470"/>
        <w:gridCol w:w="3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sz w:val="24"/>
              </w:rPr>
            </w:pPr>
            <w:r>
              <w:rPr>
                <w:rFonts w:hint="eastAsia" w:ascii="仿宋" w:hAnsi="仿宋" w:eastAsia="仿宋" w:cs="仿宋"/>
                <w:b/>
                <w:sz w:val="24"/>
              </w:rPr>
              <w:t>名称</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sz w:val="24"/>
              </w:rPr>
            </w:pPr>
            <w:r>
              <w:rPr>
                <w:rFonts w:hint="eastAsia" w:ascii="仿宋" w:hAnsi="仿宋" w:eastAsia="仿宋" w:cs="仿宋"/>
                <w:b/>
                <w:sz w:val="24"/>
              </w:rPr>
              <w:t>防制对象</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sz w:val="24"/>
              </w:rPr>
            </w:pPr>
            <w:r>
              <w:rPr>
                <w:rFonts w:hint="eastAsia" w:ascii="仿宋" w:hAnsi="仿宋" w:eastAsia="仿宋" w:cs="仿宋"/>
                <w:b/>
                <w:sz w:val="24"/>
              </w:rPr>
              <w:t>剂型</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sz w:val="24"/>
              </w:rPr>
            </w:pPr>
            <w:r>
              <w:rPr>
                <w:rFonts w:hint="eastAsia" w:ascii="仿宋" w:hAnsi="仿宋" w:eastAsia="仿宋" w:cs="仿宋"/>
                <w:b/>
                <w:sz w:val="24"/>
              </w:rPr>
              <w:t>防制范围及用途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1</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右胺氯菊微乳剂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蚊、蝇、蟑</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乳油</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rPr>
            </w:pPr>
            <w:r>
              <w:rPr>
                <w:rFonts w:hint="eastAsia" w:ascii="仿宋" w:hAnsi="仿宋" w:eastAsia="仿宋" w:cs="仿宋"/>
              </w:rPr>
              <w:t>防制区域常量喷洒灭成蚊、成蝇、成蟑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2</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球形芽孢杆菌</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蚊幼</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悬浮剂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rPr>
            </w:pPr>
            <w:r>
              <w:rPr>
                <w:rFonts w:hint="eastAsia" w:ascii="仿宋" w:hAnsi="仿宋" w:eastAsia="仿宋" w:cs="仿宋"/>
              </w:rPr>
              <w:t>防制区域蚊子孳生地处理、杀灭蚊幼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3</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吡丙醚</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蚊幼</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缓释剂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4</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倍硫磷颗粒剂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蚊幼</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缓释剂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同上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5</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烯丙氯菊微乳剂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蚊、蝇、蟑</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乳油</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rPr>
            </w:pPr>
            <w:r>
              <w:rPr>
                <w:rFonts w:hint="eastAsia" w:ascii="仿宋" w:hAnsi="仿宋" w:eastAsia="仿宋" w:cs="仿宋"/>
              </w:rPr>
              <w:t>防制区域内，常量喷洒灭成蚊、成蝇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6</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氯菊酯超低剂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蚊、蝇</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油剂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rPr>
            </w:pPr>
            <w:r>
              <w:rPr>
                <w:rFonts w:hint="eastAsia" w:ascii="仿宋" w:hAnsi="仿宋" w:eastAsia="仿宋" w:cs="仿宋"/>
              </w:rPr>
              <w:t>防制区域内超低容量喷洒灭成蚊、成蝇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7</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热烟雾剂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蚊、蝇、蟑</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油剂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防制区域、下水道、化粪池、 水井等管沟灭蟑、灭蚊、灭蝇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8</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溴鼠灵饵剂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老鼠</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颗粒剂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9</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溴敌隆饵剂</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老鼠</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颗粒剂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10</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灭蚁清</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蚂蚁</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颗粒剂</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室内外环境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81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11</w:t>
            </w:r>
          </w:p>
        </w:tc>
        <w:tc>
          <w:tcPr>
            <w:tcW w:w="229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联苯药液</w:t>
            </w:r>
          </w:p>
        </w:tc>
        <w:tc>
          <w:tcPr>
            <w:tcW w:w="18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白蚁</w:t>
            </w:r>
          </w:p>
        </w:tc>
        <w:tc>
          <w:tcPr>
            <w:tcW w:w="1470"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药液</w:t>
            </w:r>
          </w:p>
        </w:tc>
        <w:tc>
          <w:tcPr>
            <w:tcW w:w="3345" w:type="dxa"/>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rPr>
              <w:t>室内外环境</w:t>
            </w:r>
          </w:p>
        </w:tc>
      </w:tr>
    </w:tbl>
    <w:p>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2.2服务质量标准</w:t>
      </w:r>
    </w:p>
    <w:p>
      <w:pPr>
        <w:keepNext w:val="0"/>
        <w:keepLines w:val="0"/>
        <w:pageBreakBefore w:val="0"/>
        <w:widowControl/>
        <w:numPr>
          <w:ilvl w:val="0"/>
          <w:numId w:val="6"/>
        </w:numPr>
        <w:tabs>
          <w:tab w:val="left" w:pos="312"/>
        </w:tabs>
        <w:kinsoku/>
        <w:wordWrap/>
        <w:overflowPunct/>
        <w:topLinePunct w:val="0"/>
        <w:autoSpaceDE/>
        <w:autoSpaceDN/>
        <w:bidi w:val="0"/>
        <w:adjustRightInd/>
        <w:snapToGrid/>
        <w:spacing w:after="0" w:line="440" w:lineRule="exact"/>
        <w:ind w:left="0" w:leftChars="0" w:firstLine="482" w:firstLineChars="0"/>
        <w:textAlignment w:val="auto"/>
        <w:rPr>
          <w:rFonts w:hint="eastAsia" w:ascii="仿宋" w:hAnsi="仿宋" w:eastAsia="仿宋" w:cs="仿宋"/>
          <w:sz w:val="24"/>
        </w:rPr>
      </w:pPr>
      <w:r>
        <w:rPr>
          <w:rFonts w:hint="eastAsia" w:ascii="仿宋" w:hAnsi="仿宋" w:eastAsia="仿宋" w:cs="仿宋"/>
          <w:sz w:val="24"/>
          <w:szCs w:val="24"/>
          <w:lang w:val="en-US" w:eastAsia="zh-CN"/>
        </w:rPr>
        <w:t>2.2.1</w:t>
      </w:r>
      <w:r>
        <w:rPr>
          <w:rFonts w:hint="eastAsia" w:ascii="仿宋" w:hAnsi="仿宋" w:eastAsia="仿宋" w:cs="仿宋"/>
          <w:sz w:val="24"/>
        </w:rPr>
        <w:t>灭鼠标准：15平方米标准房间布放20</w:t>
      </w:r>
      <w:r>
        <w:rPr>
          <w:rFonts w:hint="eastAsia" w:ascii="仿宋" w:hAnsi="仿宋" w:eastAsia="仿宋" w:cs="仿宋"/>
          <w:sz w:val="24"/>
          <w:lang w:val="en-US" w:eastAsia="zh-CN"/>
        </w:rPr>
        <w:t>*</w:t>
      </w:r>
      <w:r>
        <w:rPr>
          <w:rFonts w:hint="eastAsia" w:ascii="仿宋" w:hAnsi="仿宋" w:eastAsia="仿宋" w:cs="仿宋"/>
          <w:sz w:val="24"/>
        </w:rPr>
        <w:t>20厘米滑石粉块两块，一夜后阳性粉块不超过3％；有鼠洞、鼠粪、鼠咬等痕迹的房间不超过2％；重点单位防鼠设施不合格处不超过5％；不同类型的外环境累计2000米，鼠迹不超过5处。</w:t>
      </w:r>
    </w:p>
    <w:p>
      <w:pPr>
        <w:keepNext w:val="0"/>
        <w:keepLines w:val="0"/>
        <w:pageBreakBefore w:val="0"/>
        <w:widowControl/>
        <w:numPr>
          <w:ilvl w:val="0"/>
          <w:numId w:val="6"/>
        </w:numPr>
        <w:tabs>
          <w:tab w:val="left" w:pos="312"/>
        </w:tabs>
        <w:kinsoku/>
        <w:wordWrap/>
        <w:overflowPunct/>
        <w:topLinePunct w:val="0"/>
        <w:autoSpaceDE/>
        <w:autoSpaceDN/>
        <w:bidi w:val="0"/>
        <w:adjustRightInd/>
        <w:snapToGrid/>
        <w:spacing w:after="0" w:line="440" w:lineRule="exact"/>
        <w:ind w:left="0" w:leftChars="0" w:firstLine="482" w:firstLineChars="0"/>
        <w:textAlignment w:val="auto"/>
        <w:rPr>
          <w:rFonts w:hint="eastAsia" w:ascii="仿宋" w:hAnsi="仿宋" w:eastAsia="仿宋" w:cs="仿宋"/>
          <w:sz w:val="24"/>
        </w:rPr>
      </w:pPr>
      <w:r>
        <w:rPr>
          <w:rFonts w:hint="eastAsia" w:ascii="仿宋" w:hAnsi="仿宋" w:eastAsia="仿宋" w:cs="仿宋"/>
          <w:sz w:val="24"/>
          <w:szCs w:val="24"/>
          <w:lang w:val="en-US" w:eastAsia="zh-CN"/>
        </w:rPr>
        <w:t>2.2.2</w:t>
      </w:r>
      <w:r>
        <w:rPr>
          <w:rFonts w:hint="eastAsia" w:ascii="仿宋" w:hAnsi="仿宋" w:eastAsia="仿宋" w:cs="仿宋"/>
          <w:sz w:val="24"/>
        </w:rPr>
        <w:t>灭蚊标准：居民住宅、单位内外环境各种存水容器和积水中，蚊幼虫及蛹的阳性率不超过3％；用500ml收集匀采集城区内大中型水体中的蚊幼虫或蛹阳性率不超过3％，阳性勺内幼虫或蛹的平均数不超过5只；特殊场所白天人诱蚊30分钟，平均每人次诱获成蚊数不超过1只。</w:t>
      </w:r>
    </w:p>
    <w:p>
      <w:pPr>
        <w:keepNext w:val="0"/>
        <w:keepLines w:val="0"/>
        <w:pageBreakBefore w:val="0"/>
        <w:widowControl/>
        <w:numPr>
          <w:ilvl w:val="0"/>
          <w:numId w:val="6"/>
        </w:numPr>
        <w:tabs>
          <w:tab w:val="left" w:pos="312"/>
        </w:tabs>
        <w:kinsoku/>
        <w:wordWrap/>
        <w:overflowPunct/>
        <w:topLinePunct w:val="0"/>
        <w:autoSpaceDE/>
        <w:autoSpaceDN/>
        <w:bidi w:val="0"/>
        <w:adjustRightInd/>
        <w:snapToGrid/>
        <w:spacing w:after="0" w:line="440" w:lineRule="exact"/>
        <w:ind w:left="0" w:leftChars="0" w:firstLine="482" w:firstLineChars="0"/>
        <w:textAlignment w:val="auto"/>
        <w:rPr>
          <w:rFonts w:hint="eastAsia" w:ascii="仿宋" w:hAnsi="仿宋" w:eastAsia="仿宋" w:cs="仿宋"/>
          <w:sz w:val="24"/>
        </w:rPr>
      </w:pPr>
      <w:r>
        <w:rPr>
          <w:rFonts w:hint="eastAsia" w:ascii="仿宋" w:hAnsi="仿宋" w:eastAsia="仿宋" w:cs="仿宋"/>
          <w:sz w:val="24"/>
          <w:szCs w:val="24"/>
          <w:lang w:val="en-US" w:eastAsia="zh-CN"/>
        </w:rPr>
        <w:t>2.2.3灭蝇标准：</w:t>
      </w:r>
      <w:r>
        <w:rPr>
          <w:rFonts w:hint="eastAsia" w:ascii="仿宋" w:hAnsi="仿宋" w:eastAsia="仿宋" w:cs="仿宋"/>
          <w:sz w:val="24"/>
        </w:rPr>
        <w:t>灭蝇标准：重点单位有蝇房间不超过1％，其他单位不超过3％，平均每个房间不超过3只；加工、销售直接入口食品的场所不得有蝇；蝇类孳生地得到有效治理，幼虫和蛹的检出率不超过3％。</w:t>
      </w:r>
    </w:p>
    <w:p>
      <w:pPr>
        <w:keepNext w:val="0"/>
        <w:keepLines w:val="0"/>
        <w:pageBreakBefore w:val="0"/>
        <w:widowControl/>
        <w:numPr>
          <w:ilvl w:val="0"/>
          <w:numId w:val="6"/>
        </w:numPr>
        <w:tabs>
          <w:tab w:val="left" w:pos="312"/>
        </w:tabs>
        <w:kinsoku/>
        <w:wordWrap/>
        <w:overflowPunct/>
        <w:topLinePunct w:val="0"/>
        <w:autoSpaceDE/>
        <w:autoSpaceDN/>
        <w:bidi w:val="0"/>
        <w:adjustRightInd/>
        <w:snapToGrid/>
        <w:spacing w:after="0" w:line="440" w:lineRule="exact"/>
        <w:ind w:left="0" w:leftChars="0" w:firstLine="482" w:firstLineChars="0"/>
        <w:textAlignment w:val="auto"/>
        <w:rPr>
          <w:rFonts w:hint="eastAsia" w:ascii="仿宋" w:hAnsi="仿宋" w:eastAsia="仿宋" w:cs="仿宋"/>
          <w:sz w:val="24"/>
        </w:rPr>
      </w:pPr>
      <w:r>
        <w:rPr>
          <w:rFonts w:hint="eastAsia" w:ascii="仿宋" w:hAnsi="仿宋" w:eastAsia="仿宋" w:cs="仿宋"/>
          <w:sz w:val="24"/>
          <w:szCs w:val="24"/>
          <w:lang w:val="en-US" w:eastAsia="zh-CN"/>
        </w:rPr>
        <w:t xml:space="preserve">2.2.4 </w:t>
      </w:r>
      <w:r>
        <w:rPr>
          <w:rFonts w:hint="eastAsia" w:ascii="仿宋" w:hAnsi="仿宋" w:eastAsia="仿宋" w:cs="仿宋"/>
          <w:sz w:val="24"/>
        </w:rPr>
        <w:t>灭蟑螂标准：室内有蟑螂成虫或若虫阳性房间不超过3％，平均每间房大蠊不超过5只，小蠊不超过10只；有活蟑螂卵鞘房间不超过2％，平均每间房不超过4只：有蟑螂粪便蜕皮等蟑迹的房间不超过5％。</w:t>
      </w:r>
    </w:p>
    <w:p>
      <w:pPr>
        <w:keepNext w:val="0"/>
        <w:keepLines w:val="0"/>
        <w:pageBreakBefore w:val="0"/>
        <w:widowControl/>
        <w:numPr>
          <w:ilvl w:val="0"/>
          <w:numId w:val="6"/>
        </w:numPr>
        <w:tabs>
          <w:tab w:val="left" w:pos="312"/>
        </w:tabs>
        <w:kinsoku/>
        <w:wordWrap/>
        <w:overflowPunct/>
        <w:topLinePunct w:val="0"/>
        <w:autoSpaceDE/>
        <w:autoSpaceDN/>
        <w:bidi w:val="0"/>
        <w:adjustRightInd/>
        <w:snapToGrid/>
        <w:spacing w:after="0" w:line="440" w:lineRule="exact"/>
        <w:ind w:left="0" w:leftChars="0" w:firstLine="482" w:firstLineChars="0"/>
        <w:textAlignment w:val="auto"/>
        <w:rPr>
          <w:rFonts w:hint="eastAsia" w:ascii="仿宋" w:hAnsi="仿宋" w:eastAsia="仿宋" w:cs="仿宋"/>
          <w:sz w:val="24"/>
        </w:rPr>
      </w:pPr>
      <w:r>
        <w:rPr>
          <w:rFonts w:hint="eastAsia" w:ascii="仿宋" w:hAnsi="仿宋" w:eastAsia="仿宋" w:cs="仿宋"/>
          <w:sz w:val="24"/>
          <w:szCs w:val="24"/>
          <w:lang w:val="en-US" w:eastAsia="zh-CN"/>
        </w:rPr>
        <w:t>2.2.5</w:t>
      </w:r>
      <w:r>
        <w:rPr>
          <w:rFonts w:hint="eastAsia" w:ascii="仿宋" w:hAnsi="仿宋" w:eastAsia="仿宋" w:cs="仿宋"/>
          <w:sz w:val="24"/>
        </w:rPr>
        <w:t>白蚁防治标准：在接到甲方通知后24小时内上门喷药，巡查发现白蚁即时喷药处理。</w:t>
      </w:r>
    </w:p>
    <w:p>
      <w:pPr>
        <w:spacing w:line="400" w:lineRule="exact"/>
        <w:ind w:firstLine="560" w:firstLineChars="200"/>
        <w:rPr>
          <w:rFonts w:hint="eastAsia" w:ascii="仿宋" w:hAnsi="仿宋" w:eastAsia="仿宋"/>
          <w:sz w:val="28"/>
          <w:szCs w:val="28"/>
          <w:lang w:eastAsia="zh-CN"/>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7" w:name="_Toc180302913"/>
      <w:bookmarkStart w:id="48" w:name="_Toc181436565"/>
      <w:bookmarkStart w:id="49" w:name="_Toc267059030"/>
      <w:bookmarkStart w:id="50" w:name="_Toc267060208"/>
      <w:bookmarkStart w:id="51" w:name="_Toc230071147"/>
      <w:bookmarkStart w:id="52" w:name="_Toc251613829"/>
      <w:bookmarkStart w:id="53" w:name="_Toc227058530"/>
      <w:bookmarkStart w:id="54" w:name="_Toc235437991"/>
      <w:bookmarkStart w:id="55" w:name="_Toc213755995"/>
      <w:bookmarkStart w:id="56" w:name="_Toc213755858"/>
      <w:bookmarkStart w:id="57" w:name="_Toc259692647"/>
      <w:bookmarkStart w:id="58" w:name="_Toc191783222"/>
      <w:bookmarkStart w:id="59" w:name="_Toc213755939"/>
      <w:bookmarkStart w:id="60" w:name="_Toc267059653"/>
      <w:bookmarkStart w:id="61" w:name="_Toc267059919"/>
      <w:bookmarkStart w:id="62" w:name="_Toc192663686"/>
      <w:bookmarkStart w:id="63" w:name="_Toc213756051"/>
      <w:bookmarkStart w:id="64" w:name="_Toc251586231"/>
      <w:bookmarkStart w:id="65" w:name="_Toc267060453"/>
      <w:bookmarkStart w:id="66" w:name="_Toc182372782"/>
      <w:bookmarkStart w:id="67" w:name="_Toc211917116"/>
      <w:bookmarkStart w:id="68" w:name="_Toc253066614"/>
      <w:bookmarkStart w:id="69" w:name="_Toc267060321"/>
      <w:bookmarkStart w:id="70" w:name="_Toc192996446"/>
      <w:bookmarkStart w:id="71" w:name="_Toc169332838"/>
      <w:bookmarkStart w:id="72" w:name="_Toc192663835"/>
      <w:bookmarkStart w:id="73" w:name="_Toc170798793"/>
      <w:bookmarkStart w:id="74" w:name="_Toc267060068"/>
      <w:bookmarkStart w:id="75" w:name="_Toc193165734"/>
      <w:bookmarkStart w:id="76" w:name="_Toc169332949"/>
      <w:bookmarkStart w:id="77" w:name="_Toc177985469"/>
      <w:bookmarkStart w:id="78" w:name="_Toc266868670"/>
      <w:bookmarkStart w:id="79" w:name="_Toc267059181"/>
      <w:bookmarkStart w:id="80" w:name="_Toc259520865"/>
      <w:bookmarkStart w:id="81" w:name="_Toc223146608"/>
      <w:bookmarkStart w:id="82" w:name="_Toc267059539"/>
      <w:bookmarkStart w:id="83" w:name="_Toc232302115"/>
      <w:bookmarkStart w:id="84" w:name="_Toc191789329"/>
      <w:bookmarkStart w:id="85" w:name="_Toc273178698"/>
      <w:bookmarkStart w:id="86" w:name="_Toc266870833"/>
      <w:bookmarkStart w:id="87" w:name="_Toc160880529"/>
      <w:bookmarkStart w:id="88" w:name="_Toc235438344"/>
      <w:bookmarkStart w:id="89" w:name="_Toc193160448"/>
      <w:bookmarkStart w:id="90" w:name="_Toc192664153"/>
      <w:bookmarkStart w:id="91" w:name="_Toc217891402"/>
      <w:bookmarkStart w:id="92" w:name="_Toc192996338"/>
      <w:bookmarkStart w:id="93" w:name="_Toc259692740"/>
      <w:bookmarkStart w:id="94" w:name="_Toc181436461"/>
      <w:bookmarkStart w:id="95" w:name="_Toc266870907"/>
      <w:bookmarkStart w:id="96" w:name="_Toc219800243"/>
      <w:bookmarkStart w:id="97" w:name="_Toc235438274"/>
      <w:bookmarkStart w:id="98" w:name="_Toc266868937"/>
      <w:bookmarkStart w:id="99" w:name="_Toc191802690"/>
      <w:bookmarkStart w:id="100" w:name="_Toc255975007"/>
      <w:bookmarkStart w:id="101" w:name="_Toc258401256"/>
      <w:bookmarkStart w:id="102" w:name="_Toc254790899"/>
      <w:bookmarkStart w:id="103" w:name="_Toc191803626"/>
      <w:bookmarkStart w:id="104" w:name="_Toc236021449"/>
      <w:bookmarkStart w:id="105" w:name="_Toc249325711"/>
      <w:bookmarkStart w:id="106" w:name="_Toc160880160"/>
      <w:bookmarkStart w:id="107" w:name="_Toc225669322"/>
      <w:bookmarkStart w:id="108" w:name="_Toc182805217"/>
      <w:bookmarkStart w:id="109" w:name="_Toc203355733"/>
      <w:bookmarkStart w:id="110" w:name="_Toc267059806"/>
      <w:bookmarkStart w:id="111" w:name="_Toc266870432"/>
      <w:bookmarkStart w:id="112" w:name="_Toc213208766"/>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s="仿宋"/>
          <w:color w:val="auto"/>
          <w:sz w:val="24"/>
          <w:szCs w:val="24"/>
          <w:lang w:eastAsia="zh-CN"/>
        </w:rPr>
        <w:t>广州</w:t>
      </w:r>
      <w:r>
        <w:rPr>
          <w:rFonts w:hint="eastAsia" w:ascii="仿宋" w:hAnsi="仿宋" w:eastAsia="仿宋" w:cs="仿宋"/>
          <w:color w:val="auto"/>
          <w:sz w:val="24"/>
          <w:szCs w:val="24"/>
          <w:lang w:val="en-US" w:eastAsia="zh-CN"/>
        </w:rPr>
        <w:t>松田职业</w:t>
      </w:r>
      <w:r>
        <w:rPr>
          <w:rFonts w:hint="eastAsia" w:ascii="仿宋" w:hAnsi="仿宋" w:eastAsia="仿宋" w:cs="仿宋"/>
          <w:color w:val="auto"/>
          <w:sz w:val="24"/>
          <w:szCs w:val="24"/>
          <w:lang w:eastAsia="zh-CN"/>
        </w:rPr>
        <w:t>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60880165"/>
      <w:bookmarkStart w:id="114" w:name="_Toc267059811"/>
      <w:bookmarkStart w:id="115" w:name="_Toc170798798"/>
      <w:bookmarkStart w:id="116" w:name="_Toc225669328"/>
      <w:bookmarkStart w:id="117" w:name="_Toc236021457"/>
      <w:bookmarkStart w:id="118" w:name="_Toc193165739"/>
      <w:bookmarkStart w:id="119" w:name="_Toc251613839"/>
      <w:bookmarkStart w:id="120" w:name="_Toc213755864"/>
      <w:bookmarkStart w:id="121" w:name="_Toc169332843"/>
      <w:bookmarkStart w:id="122" w:name="_Toc192664158"/>
      <w:bookmarkStart w:id="123" w:name="_Toc258401265"/>
      <w:bookmarkStart w:id="124" w:name="_Toc267060076"/>
      <w:bookmarkStart w:id="125" w:name="_Toc273178703"/>
      <w:bookmarkStart w:id="126" w:name="_Toc266870916"/>
      <w:bookmarkStart w:id="127" w:name="_Toc259520874"/>
      <w:bookmarkStart w:id="128" w:name="_Toc180302918"/>
      <w:bookmarkStart w:id="129" w:name="_Toc254790909"/>
      <w:bookmarkStart w:id="130" w:name="_Toc223146614"/>
      <w:bookmarkStart w:id="131" w:name="_Toc213208771"/>
      <w:bookmarkStart w:id="132" w:name="_Toc253066624"/>
      <w:bookmarkStart w:id="133" w:name="_Toc181436466"/>
      <w:bookmarkStart w:id="134" w:name="_Toc235438281"/>
      <w:bookmarkStart w:id="135" w:name="_Toc267059035"/>
      <w:bookmarkStart w:id="136" w:name="_Toc192996451"/>
      <w:bookmarkStart w:id="137" w:name="_Toc230071153"/>
      <w:bookmarkStart w:id="138" w:name="_Toc181436570"/>
      <w:bookmarkStart w:id="139" w:name="_Toc235437998"/>
      <w:bookmarkStart w:id="140" w:name="_Toc182372787"/>
      <w:bookmarkStart w:id="141" w:name="_Toc193160453"/>
      <w:bookmarkStart w:id="142" w:name="_Toc267059186"/>
      <w:bookmarkStart w:id="143" w:name="_Toc267059544"/>
      <w:bookmarkStart w:id="144" w:name="_Toc259692749"/>
      <w:bookmarkStart w:id="145" w:name="_Toc267060216"/>
      <w:bookmarkStart w:id="146" w:name="_Toc191803631"/>
      <w:bookmarkStart w:id="147" w:name="_Toc266870839"/>
      <w:bookmarkStart w:id="148" w:name="_Toc217891408"/>
      <w:bookmarkStart w:id="149" w:name="_Toc191783227"/>
      <w:bookmarkStart w:id="150" w:name="_Toc213755945"/>
      <w:bookmarkStart w:id="151" w:name="_Toc267060326"/>
      <w:bookmarkStart w:id="152" w:name="_Toc213756057"/>
      <w:bookmarkStart w:id="153" w:name="_Toc182805222"/>
      <w:bookmarkStart w:id="154" w:name="_Toc192663691"/>
      <w:bookmarkStart w:id="155" w:name="_Toc255975016"/>
      <w:bookmarkStart w:id="156" w:name="_Toc267059658"/>
      <w:bookmarkStart w:id="157" w:name="_Toc267060461"/>
      <w:bookmarkStart w:id="158" w:name="_Toc266868679"/>
      <w:bookmarkStart w:id="159" w:name="_Toc169332954"/>
      <w:bookmarkStart w:id="160" w:name="_Toc192996343"/>
      <w:bookmarkStart w:id="161" w:name="_Toc266870441"/>
      <w:bookmarkStart w:id="162" w:name="_Toc227058536"/>
      <w:bookmarkStart w:id="163" w:name="_Toc251586241"/>
      <w:bookmarkStart w:id="164" w:name="_Toc213756001"/>
      <w:bookmarkStart w:id="165" w:name="_Toc266868943"/>
      <w:bookmarkStart w:id="166" w:name="_Toc259692656"/>
      <w:bookmarkStart w:id="167" w:name="_Toc211917121"/>
      <w:bookmarkStart w:id="168" w:name="_Toc191789334"/>
      <w:bookmarkStart w:id="169" w:name="_Toc219800249"/>
      <w:bookmarkStart w:id="170" w:name="_Toc235438352"/>
      <w:bookmarkStart w:id="171" w:name="_Toc249325720"/>
      <w:bookmarkStart w:id="172" w:name="_Toc267059924"/>
      <w:bookmarkStart w:id="173" w:name="_Toc191802695"/>
      <w:bookmarkStart w:id="174" w:name="_Toc192663840"/>
      <w:bookmarkStart w:id="175" w:name="_Toc232302122"/>
      <w:bookmarkStart w:id="176" w:name="_Toc160880534"/>
      <w:bookmarkStart w:id="177" w:name="_Toc203355738"/>
      <w:bookmarkStart w:id="178" w:name="_Toc177985474"/>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1" w:fontKey="{FE24A47F-A15B-4CD2-974C-E28FFBE4920D}"/>
  </w:font>
  <w:font w:name="Tahoma">
    <w:panose1 w:val="020B0604030504040204"/>
    <w:charset w:val="00"/>
    <w:family w:val="swiss"/>
    <w:pitch w:val="default"/>
    <w:sig w:usb0="E1002EFF" w:usb1="C000605B" w:usb2="00000029" w:usb3="00000000" w:csb0="200101FF" w:csb1="20280000"/>
    <w:embedRegular r:id="rId2" w:fontKey="{CD3FEC9A-03DD-4044-8B43-847A45D8660A}"/>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708A2D6"/>
    <w:multiLevelType w:val="singleLevel"/>
    <w:tmpl w:val="5708A2D6"/>
    <w:lvl w:ilvl="0" w:tentative="0">
      <w:start w:val="1"/>
      <w:numFmt w:val="decimal"/>
      <w:suff w:val="nothing"/>
      <w:lvlText w:val="（%1）"/>
      <w:lvlJc w:val="left"/>
      <w:pPr>
        <w:ind w:left="-6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487FFE"/>
    <w:rsid w:val="04BB7326"/>
    <w:rsid w:val="06655F2D"/>
    <w:rsid w:val="0BF20BF4"/>
    <w:rsid w:val="0CC9021B"/>
    <w:rsid w:val="0DA85907"/>
    <w:rsid w:val="0ED2440E"/>
    <w:rsid w:val="143148FC"/>
    <w:rsid w:val="14BE3B88"/>
    <w:rsid w:val="15AF5AAC"/>
    <w:rsid w:val="1CD7194A"/>
    <w:rsid w:val="1F351A67"/>
    <w:rsid w:val="20D66ED7"/>
    <w:rsid w:val="21485C5F"/>
    <w:rsid w:val="247C007F"/>
    <w:rsid w:val="25032A9C"/>
    <w:rsid w:val="2B166D33"/>
    <w:rsid w:val="2F71370E"/>
    <w:rsid w:val="2FF55188"/>
    <w:rsid w:val="3446126F"/>
    <w:rsid w:val="36B83D65"/>
    <w:rsid w:val="3C3D15BF"/>
    <w:rsid w:val="50946CB8"/>
    <w:rsid w:val="53D37E40"/>
    <w:rsid w:val="569F23F4"/>
    <w:rsid w:val="5CE62B2B"/>
    <w:rsid w:val="5F7408C2"/>
    <w:rsid w:val="602A7F30"/>
    <w:rsid w:val="61F142E0"/>
    <w:rsid w:val="663E398D"/>
    <w:rsid w:val="6B4250A5"/>
    <w:rsid w:val="6C2F4A90"/>
    <w:rsid w:val="71175551"/>
    <w:rsid w:val="74FF6EC8"/>
    <w:rsid w:val="774A5B19"/>
    <w:rsid w:val="77EA5CB6"/>
    <w:rsid w:val="79946659"/>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2">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paragraph" w:customStyle="1" w:styleId="28">
    <w:name w:val="_Style 3"/>
    <w:basedOn w:val="1"/>
    <w:qFormat/>
    <w:uiPriority w:val="99"/>
    <w:pPr>
      <w:ind w:firstLine="420" w:firstLineChars="200"/>
    </w:pPr>
    <w:rPr>
      <w:sz w:val="20"/>
    </w:rPr>
  </w:style>
  <w:style w:type="character" w:customStyle="1" w:styleId="29">
    <w:name w:val="标题 1 字符"/>
    <w:basedOn w:val="24"/>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4"/>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4"/>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4"/>
    <w:link w:val="2"/>
    <w:semiHidden/>
    <w:qFormat/>
    <w:uiPriority w:val="9"/>
    <w:rPr>
      <w:rFonts w:asciiTheme="majorHAnsi" w:hAnsiTheme="majorHAnsi" w:eastAsiaTheme="majorEastAsia" w:cstheme="majorBidi"/>
      <w:i/>
      <w:iCs/>
      <w:sz w:val="24"/>
      <w:szCs w:val="24"/>
    </w:rPr>
  </w:style>
  <w:style w:type="character" w:customStyle="1" w:styleId="33">
    <w:name w:val="标题 5 字符"/>
    <w:basedOn w:val="24"/>
    <w:link w:val="6"/>
    <w:semiHidden/>
    <w:qFormat/>
    <w:uiPriority w:val="9"/>
    <w:rPr>
      <w:rFonts w:asciiTheme="majorHAnsi" w:hAnsiTheme="majorHAnsi" w:eastAsiaTheme="majorEastAsia" w:cstheme="majorBidi"/>
      <w:b/>
      <w:bCs/>
    </w:rPr>
  </w:style>
  <w:style w:type="character" w:customStyle="1" w:styleId="34">
    <w:name w:val="标题 6 字符"/>
    <w:basedOn w:val="24"/>
    <w:link w:val="7"/>
    <w:semiHidden/>
    <w:qFormat/>
    <w:uiPriority w:val="9"/>
    <w:rPr>
      <w:rFonts w:asciiTheme="majorHAnsi" w:hAnsiTheme="majorHAnsi" w:eastAsiaTheme="majorEastAsia" w:cstheme="majorBidi"/>
      <w:b/>
      <w:bCs/>
      <w:i/>
      <w:iCs/>
    </w:rPr>
  </w:style>
  <w:style w:type="character" w:customStyle="1" w:styleId="35">
    <w:name w:val="标题 7 字符"/>
    <w:basedOn w:val="24"/>
    <w:link w:val="8"/>
    <w:semiHidden/>
    <w:qFormat/>
    <w:uiPriority w:val="9"/>
    <w:rPr>
      <w:i/>
      <w:iCs/>
    </w:rPr>
  </w:style>
  <w:style w:type="character" w:customStyle="1" w:styleId="36">
    <w:name w:val="标题 8 字符"/>
    <w:basedOn w:val="24"/>
    <w:link w:val="9"/>
    <w:semiHidden/>
    <w:qFormat/>
    <w:uiPriority w:val="9"/>
    <w:rPr>
      <w:b/>
      <w:bCs/>
    </w:rPr>
  </w:style>
  <w:style w:type="character" w:customStyle="1" w:styleId="37">
    <w:name w:val="标题 9 字符"/>
    <w:basedOn w:val="24"/>
    <w:link w:val="10"/>
    <w:semiHidden/>
    <w:qFormat/>
    <w:uiPriority w:val="9"/>
    <w:rPr>
      <w:i/>
      <w:iCs/>
    </w:rPr>
  </w:style>
  <w:style w:type="character" w:customStyle="1" w:styleId="38">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4"/>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4"/>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4"/>
    <w:link w:val="43"/>
    <w:qFormat/>
    <w:uiPriority w:val="30"/>
    <w:rPr>
      <w:rFonts w:asciiTheme="majorHAnsi" w:hAnsiTheme="majorHAnsi" w:eastAsiaTheme="majorEastAsia" w:cstheme="majorBidi"/>
      <w:sz w:val="26"/>
      <w:szCs w:val="26"/>
    </w:rPr>
  </w:style>
  <w:style w:type="character" w:customStyle="1" w:styleId="45">
    <w:name w:val="Subtle Emphasis"/>
    <w:basedOn w:val="24"/>
    <w:qFormat/>
    <w:uiPriority w:val="19"/>
    <w:rPr>
      <w:i/>
      <w:iCs/>
      <w:color w:val="auto"/>
    </w:rPr>
  </w:style>
  <w:style w:type="character" w:customStyle="1" w:styleId="46">
    <w:name w:val="Intense Emphasis"/>
    <w:basedOn w:val="24"/>
    <w:qFormat/>
    <w:uiPriority w:val="21"/>
    <w:rPr>
      <w:b/>
      <w:bCs/>
      <w:i/>
      <w:iCs/>
      <w:color w:val="auto"/>
    </w:rPr>
  </w:style>
  <w:style w:type="character" w:customStyle="1" w:styleId="47">
    <w:name w:val="Subtle Reference"/>
    <w:basedOn w:val="24"/>
    <w:qFormat/>
    <w:uiPriority w:val="31"/>
    <w:rPr>
      <w:smallCaps/>
      <w:color w:val="auto"/>
      <w:u w:val="single" w:color="7E7E7E" w:themeColor="text1" w:themeTint="80"/>
    </w:rPr>
  </w:style>
  <w:style w:type="character" w:customStyle="1" w:styleId="48">
    <w:name w:val="Intense Reference"/>
    <w:basedOn w:val="24"/>
    <w:qFormat/>
    <w:uiPriority w:val="32"/>
    <w:rPr>
      <w:b/>
      <w:bCs/>
      <w:smallCaps/>
      <w:color w:val="auto"/>
      <w:u w:val="single"/>
    </w:rPr>
  </w:style>
  <w:style w:type="character" w:customStyle="1" w:styleId="49">
    <w:name w:val="Book Title"/>
    <w:basedOn w:val="24"/>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4"/>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4"/>
    <w:link w:val="17"/>
    <w:qFormat/>
    <w:uiPriority w:val="99"/>
    <w:rPr>
      <w:sz w:val="18"/>
      <w:szCs w:val="18"/>
    </w:rPr>
  </w:style>
  <w:style w:type="character" w:customStyle="1" w:styleId="54">
    <w:name w:val="页脚 字符"/>
    <w:basedOn w:val="24"/>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4"/>
    <w:link w:val="15"/>
    <w:semiHidden/>
    <w:qFormat/>
    <w:uiPriority w:val="99"/>
    <w:rPr>
      <w:rFonts w:hAnsi="Courier New" w:cs="Courier New" w:asciiTheme="minorEastAsia"/>
    </w:rPr>
  </w:style>
  <w:style w:type="character" w:customStyle="1" w:styleId="59">
    <w:name w:val="正文文本 字符"/>
    <w:basedOn w:val="24"/>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4"/>
    <w:qFormat/>
    <w:uiPriority w:val="0"/>
    <w:rPr>
      <w:rFonts w:hint="eastAsia" w:ascii="宋体" w:hAnsi="宋体" w:eastAsia="宋体" w:cs="宋体"/>
      <w:color w:val="000000"/>
      <w:sz w:val="20"/>
      <w:szCs w:val="20"/>
      <w:u w:val="none"/>
    </w:rPr>
  </w:style>
  <w:style w:type="character" w:customStyle="1" w:styleId="62">
    <w:name w:val="font21"/>
    <w:basedOn w:val="24"/>
    <w:qFormat/>
    <w:uiPriority w:val="0"/>
    <w:rPr>
      <w:rFonts w:hint="eastAsia" w:ascii="宋体" w:hAnsi="宋体" w:eastAsia="宋体" w:cs="宋体"/>
      <w:color w:val="000000"/>
      <w:sz w:val="20"/>
      <w:szCs w:val="20"/>
      <w:u w:val="none"/>
    </w:rPr>
  </w:style>
  <w:style w:type="character" w:customStyle="1" w:styleId="63">
    <w:name w:val="font11"/>
    <w:basedOn w:val="24"/>
    <w:qFormat/>
    <w:uiPriority w:val="0"/>
    <w:rPr>
      <w:rFonts w:hint="eastAsia" w:ascii="宋体" w:hAnsi="宋体" w:eastAsia="宋体" w:cs="宋体"/>
      <w:color w:val="000000"/>
      <w:sz w:val="20"/>
      <w:szCs w:val="20"/>
      <w:u w:val="none"/>
    </w:rPr>
  </w:style>
  <w:style w:type="character" w:customStyle="1" w:styleId="64">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3824</Words>
  <Characters>4055</Characters>
  <Lines>19</Lines>
  <Paragraphs>5</Paragraphs>
  <TotalTime>1</TotalTime>
  <ScaleCrop>false</ScaleCrop>
  <LinksUpToDate>false</LinksUpToDate>
  <CharactersWithSpaces>4281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2023-07-17T02:08:16Z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460F374DCDA64B2CA1F08ADD2DC51FAC_13</vt:lpwstr>
  </property>
</Properties>
</file>