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kern w:val="44"/>
          <w:sz w:val="36"/>
          <w:szCs w:val="36"/>
          <w:highlight w:val="none"/>
          <w:lang w:val="en-US" w:eastAsia="zh-CN" w:bidi="ar-SA"/>
        </w:rPr>
      </w:pPr>
      <w:bookmarkStart w:id="0" w:name="_Toc20710"/>
      <w:bookmarkStart w:id="1" w:name="_Toc18175"/>
      <w:bookmarkStart w:id="2" w:name="_Toc17248"/>
      <w:bookmarkStart w:id="44" w:name="_GoBack"/>
      <w:bookmarkEnd w:id="44"/>
      <w:r>
        <w:rPr>
          <w:rFonts w:hint="eastAsia" w:ascii="宋体" w:hAnsi="宋体" w:eastAsia="宋体" w:cs="宋体"/>
          <w:b/>
          <w:bCs w:val="0"/>
          <w:color w:val="auto"/>
          <w:kern w:val="44"/>
          <w:sz w:val="36"/>
          <w:szCs w:val="36"/>
          <w:highlight w:val="none"/>
          <w:lang w:val="en-US" w:eastAsia="zh-CN" w:bidi="ar-SA"/>
        </w:rPr>
        <w:t>采购项目技术、服务、政府采购合同内容条款及其他商务要求</w:t>
      </w:r>
      <w:bookmarkEnd w:id="0"/>
      <w:bookmarkEnd w:id="1"/>
      <w:bookmarkEnd w:id="2"/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bookmarkStart w:id="3" w:name="_Toc217446094"/>
      <w:bookmarkStart w:id="4" w:name="_Toc6121"/>
      <w:bookmarkStart w:id="5" w:name="_Toc20564"/>
      <w:bookmarkStart w:id="6" w:name="_Toc30064"/>
      <w:bookmarkStart w:id="7" w:name="_Toc20511"/>
      <w:bookmarkStart w:id="8" w:name="_Toc22364"/>
      <w:bookmarkStart w:id="9" w:name="_Toc17663"/>
      <w:bookmarkStart w:id="10" w:name="_Toc31745"/>
      <w:bookmarkStart w:id="11" w:name="_Toc3649"/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12" w:name="_Toc217446095"/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病媒生物防制（主要是指预防控制鼠、蚊、蝇、蟑螂，简称“除四害”）是促进疾病预防、保护群众健康、改善生存环境的一项社会卫生防病工作。该项工作遵循以环境治理为主的综合预防控制原则，坚持政府组织与全社会参与相结合、鼓励个人和家庭搞好居家卫生的方针。为贯彻落实《中华人民共和国传染病防治法》“各级人民政府组织开展群众性卫生活动，进行预防传染病的健康教育，倡导文明健康的生活方式，提高公众对传染病的防治意识和应对能力，加强环境卫生建设，消除鼠、蚊、蝇、蟑螂等病媒生物的危害”和《四川省爱国卫生管理办法》关于“地方各级人民政府应当加强病媒生物防制工作”的要求，指导、督促旌阳区、罗江区、德阳经开区用好市级财政专项补助资金，扎实有效地推进各自城区的病媒生物防制工作，特制定本要求。</w:t>
      </w:r>
    </w:p>
    <w:p>
      <w:pPr>
        <w:pStyle w:val="7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bookmarkStart w:id="13" w:name="_Toc9816"/>
      <w:bookmarkStart w:id="14" w:name="_Toc8678"/>
      <w:bookmarkStart w:id="15" w:name="_Toc24575"/>
      <w:bookmarkStart w:id="16" w:name="_Toc4701"/>
      <w:bookmarkStart w:id="17" w:name="_Toc3120"/>
      <w:bookmarkStart w:id="18" w:name="_Toc19539"/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服务所属行业</w:t>
      </w:r>
      <w:bookmarkEnd w:id="13"/>
      <w:bookmarkEnd w:id="14"/>
    </w:p>
    <w:tbl>
      <w:tblPr>
        <w:tblStyle w:val="1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551"/>
        <w:gridCol w:w="2563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bookmarkStart w:id="19" w:name="_Toc30931"/>
            <w:bookmarkStart w:id="20" w:name="_Toc8655"/>
            <w:r>
              <w:rPr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497" w:type="pct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标的名称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服务</w:t>
            </w:r>
            <w:r>
              <w:rPr>
                <w:b/>
                <w:bCs/>
                <w:color w:val="auto"/>
                <w:sz w:val="24"/>
                <w:highlight w:val="none"/>
              </w:rPr>
              <w:t>期限</w:t>
            </w:r>
          </w:p>
        </w:tc>
        <w:tc>
          <w:tcPr>
            <w:tcW w:w="1554" w:type="pct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4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病媒生物防制</w:t>
            </w:r>
          </w:p>
        </w:tc>
        <w:tc>
          <w:tcPr>
            <w:tcW w:w="15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365个日历天</w:t>
            </w:r>
          </w:p>
        </w:tc>
        <w:tc>
          <w:tcPr>
            <w:tcW w:w="15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其他未列明行业</w:t>
            </w:r>
          </w:p>
        </w:tc>
      </w:tr>
      <w:bookmarkEnd w:id="19"/>
      <w:bookmarkEnd w:id="20"/>
    </w:tbl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bookmarkEnd w:id="12"/>
    <w:bookmarkEnd w:id="15"/>
    <w:bookmarkEnd w:id="16"/>
    <w:bookmarkEnd w:id="17"/>
    <w:bookmarkEnd w:id="18"/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21" w:name="_Toc1293"/>
      <w:bookmarkStart w:id="22" w:name="_Toc27556"/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★技术服务内容及要求</w:t>
      </w:r>
      <w:bookmarkEnd w:id="21"/>
      <w:bookmarkEnd w:id="22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服务内容及要求</w:t>
      </w:r>
    </w:p>
    <w:p>
      <w:pPr>
        <w:pStyle w:val="4"/>
        <w:pageBreakBefore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根据《德阳市爱国卫生运动委员会办公室文件》德爱卫办〔2023〕11号文件的要求，在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2023年7月至2024年6月期间，对</w:t>
      </w:r>
      <w:r>
        <w:rPr>
          <w:rFonts w:hint="default"/>
          <w:color w:val="auto"/>
          <w:sz w:val="24"/>
          <w:szCs w:val="24"/>
          <w:lang w:val="en-US" w:eastAsia="zh-CN"/>
        </w:rPr>
        <w:t>旌阳区所管城市区域范围内</w:t>
      </w:r>
      <w:r>
        <w:rPr>
          <w:rFonts w:hint="eastAsia"/>
          <w:color w:val="auto"/>
          <w:sz w:val="24"/>
          <w:szCs w:val="24"/>
          <w:lang w:val="en-US" w:eastAsia="zh-CN"/>
        </w:rPr>
        <w:t>的城市公共区域、农贸市场、无物业管理的居民小区（院落）、无主地段，特别是垃圾房（桶、池）、垃圾转运站（点）、公共绿地、公共外环境杂草丛生点和杂物堆放点、公厕、居民小区户外厕所（粪坑）、城市排水地漏、积水沟（塘、池、坑）、餐饮食品加工经营单位（店）周边公共外环境等处的“四害”孳生、活动场所，实施统一的灭鼠杀虫服务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服务范围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包括旌阳街道、孝感街道、东湖街道、天元街道所管辖城市建成区范围内的62个社区。其中：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旌阳街道办事处（21个社区）：香山巷社区、花园巷社区、蒲东社区、沙河街社区、舟山街社区、桃园社区、辽河街社区、华山南路社区、鹿鹤社区（筹备组）、堰塘坝社区、怡安社区、陕西馆社区、光华社区、米市坝社区、文庙社区、西小区社区、南塔社区、红雨社区、平安社区、丁香巷社区、文昌社区。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孝感街道办事处（21个社区）：金牛社区、圣风社区、永安社区、扬程社区、华联社区、泰山社区、秦宓社区、联合社区、五里堆社区、汾河路社区、淮河路社区、太行山路社区、文化路社区、友谊路社区、铁西社区、红旗路社区、银山路社区、永兴社区、东工苑社区、涪江苑社区、饲养场（作社区管理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东湖街道办事处（10个社区）：凯江社区、玉泉社区、黄河路社区、石桥社区、镇江社区、拱桥社区、马鞍山社区、寿丰社区、水库社区、新华社区。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天元街道办事处（10个社区）：歇月社区、三元社区、段家坝社区、黄连桥社区、白鹤社区、天虹路社区、武庙社区、东河社区、景福社区、嘉新社区。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服务要求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每次施药量需按服务频次均等施药，成交供应商须配合采购人对用药量进行管理，如成交供应商用药量达不到要求，采购人有权要求成交供应商整改或终止采购合同。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210" w:leftChars="100" w:firstLine="240" w:firstLineChars="1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确保药物使用安全、有效。投（施）药后，应向采购人指出需防护的部位和措施。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40" w:firstLineChars="1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统一着装、佩证、持证上岗，文明作业。填写服务登记卡，并请服务单位有关人员签字，保存服务凭据。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40" w:firstLineChars="1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使用灭鼠杀虫药物，必须按使用说明规范操作，严禁使用违禁药。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40" w:firstLineChars="1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确保对采购人辖区内的动植物及公共设施不造成损害。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210" w:leftChars="100" w:firstLine="240" w:firstLineChars="1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开展日常消杀维护，确保消杀效果。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40" w:firstLineChars="1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统一、集中开展除“四害”工作时，提前10个工作日向采购人告知消杀服务时间。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40" w:firstLineChars="1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有责任指导采购人修复、增设防鼠设施和做好日常灭鼠除害的巩固工作。需要增设防鼠设施的，向采购人提出建议。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210" w:leftChars="100" w:firstLine="240" w:firstLineChars="1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供应商所有工作人员在消杀服务期间，应遵守相关法律法规，不得有任何违法违规事件发生。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）供应商在项目实施过程当中须合理配置人员，做好各项服务。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40" w:firstLineChars="1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</w:t>
      </w:r>
      <w:r>
        <w:rPr>
          <w:rFonts w:hint="eastAsia"/>
          <w:color w:val="auto"/>
          <w:sz w:val="24"/>
          <w:szCs w:val="24"/>
          <w:lang w:val="en-US" w:eastAsia="zh-CN"/>
        </w:rPr>
        <w:t>供应商须接受采购人临时安排的与项目有关的工作。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服务药品清单及要求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1、药品清单</w:t>
      </w:r>
    </w:p>
    <w:tbl>
      <w:tblPr>
        <w:tblStyle w:val="11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994"/>
        <w:gridCol w:w="2342"/>
        <w:gridCol w:w="1136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品名及浓度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23" w:name="_Toc12888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bookmarkEnd w:id="23"/>
          </w:p>
        </w:tc>
        <w:tc>
          <w:tcPr>
            <w:tcW w:w="299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0.005%溴鼠灵稻谷毒饵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24" w:name="_Toc1782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500克/袋</w:t>
            </w:r>
            <w:bookmarkEnd w:id="24"/>
          </w:p>
        </w:tc>
        <w:tc>
          <w:tcPr>
            <w:tcW w:w="11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公斤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25" w:name="_Toc715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7440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26" w:name="_Toc89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bookmarkEnd w:id="26"/>
          </w:p>
        </w:tc>
        <w:tc>
          <w:tcPr>
            <w:tcW w:w="299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0.005%溴鼠灵蜡块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27" w:name="_Toc3192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500克/袋</w:t>
            </w:r>
            <w:bookmarkEnd w:id="27"/>
          </w:p>
        </w:tc>
        <w:tc>
          <w:tcPr>
            <w:tcW w:w="11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公斤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28" w:name="_Toc29675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2480</w:t>
            </w:r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29" w:name="_Toc2004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  <w:bookmarkEnd w:id="29"/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bookmarkStart w:id="30" w:name="_Toc128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陶瓷毒饵盒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（包含毒饵盒内胆及警示标示）</w:t>
            </w:r>
            <w:bookmarkEnd w:id="30"/>
          </w:p>
        </w:tc>
        <w:tc>
          <w:tcPr>
            <w:tcW w:w="23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31" w:name="_Toc1575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30×11×11厘米</w:t>
            </w:r>
            <w:bookmarkEnd w:id="31"/>
          </w:p>
        </w:tc>
        <w:tc>
          <w:tcPr>
            <w:tcW w:w="11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32" w:name="_Toc1315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781</w:t>
            </w:r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33" w:name="_Toc4957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  <w:bookmarkEnd w:id="33"/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12%高氯·毒死蜱杀虫乳油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34" w:name="_Toc404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1升/瓶</w:t>
            </w:r>
            <w:bookmarkEnd w:id="34"/>
          </w:p>
        </w:tc>
        <w:tc>
          <w:tcPr>
            <w:tcW w:w="11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35" w:name="_Toc2522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升</w:t>
            </w:r>
            <w:bookmarkEnd w:id="35"/>
          </w:p>
        </w:tc>
        <w:tc>
          <w:tcPr>
            <w:tcW w:w="10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36" w:name="_Toc31427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930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bookmarkStart w:id="37" w:name="_Toc1889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bookmarkEnd w:id="37"/>
          </w:p>
        </w:tc>
        <w:tc>
          <w:tcPr>
            <w:tcW w:w="299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0.5%吡丙醚杀虫颗粒剂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38" w:name="_Toc343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500克/袋</w:t>
            </w:r>
            <w:bookmarkEnd w:id="38"/>
          </w:p>
        </w:tc>
        <w:tc>
          <w:tcPr>
            <w:tcW w:w="11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公斤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39" w:name="_Toc13279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372</w:t>
            </w:r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bookmarkStart w:id="40" w:name="_Toc8774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bookmarkEnd w:id="40"/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1%高效氯氰菊酯杀蟑热雾剂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41" w:name="_Toc20317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5升/桶</w:t>
            </w:r>
            <w:bookmarkEnd w:id="41"/>
          </w:p>
        </w:tc>
        <w:tc>
          <w:tcPr>
            <w:tcW w:w="11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升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42" w:name="_Toc1795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465</w:t>
            </w:r>
            <w:bookmarkEnd w:id="42"/>
          </w:p>
        </w:tc>
      </w:tr>
    </w:tbl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2、药品要求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为保证药品的来源合法及质量合格，确保灭效和人等各项安全，符合环保有关要求，杜绝使用国家禁止药品、来源不明无三证产品，供应商须提供每一项“灭鼠除虫”药物制造商有效的农药生产许可证或农药生产批准文件（复印件）、农药登记证（复印件）、农药标准证（复印件）并加盖供应商鲜章。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3、药品质量要求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（1）供应商使用的药</w:t>
      </w:r>
      <w:r>
        <w:rPr>
          <w:rFonts w:hint="default"/>
          <w:color w:val="auto"/>
          <w:sz w:val="24"/>
          <w:szCs w:val="24"/>
          <w:lang w:val="en-US" w:eastAsia="zh-CN"/>
        </w:rPr>
        <w:t>品必须是符合国家相关管理规定的合格产品，整个服务所使用的药物必须有产品检验报告等相关证明材料（签订合同时向采购人提供相关证明材料）</w:t>
      </w:r>
      <w:r>
        <w:rPr>
          <w:rFonts w:hint="eastAsia"/>
          <w:color w:val="auto"/>
          <w:sz w:val="24"/>
          <w:szCs w:val="24"/>
          <w:lang w:val="en-US" w:eastAsia="zh-CN"/>
        </w:rPr>
        <w:t>，供应商提高的药品须是本年度生产的</w:t>
      </w:r>
      <w:r>
        <w:rPr>
          <w:rFonts w:hint="default"/>
          <w:color w:val="auto"/>
          <w:sz w:val="24"/>
          <w:szCs w:val="24"/>
          <w:lang w:val="en-US"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（2）</w:t>
      </w:r>
      <w:r>
        <w:rPr>
          <w:rFonts w:hint="default"/>
          <w:color w:val="auto"/>
          <w:sz w:val="24"/>
          <w:szCs w:val="24"/>
          <w:lang w:val="en-US" w:eastAsia="zh-CN"/>
        </w:rPr>
        <w:t>鼠药在使用过程中，如出现霉变、短斤缺两等问题，由供应商负责召回并赔偿相应损失；二次抽检不合格，采购人有权立即终止采购合同，且追究成交供应商违约责任。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3）供应商承诺所提供产品为合法渠道供应的产品，若因所提供产品涉及相关的专利、商标侵权等而产生的纠纷由供应商自行负责，与采购人无关。严禁借牌、冒牌生产，一经发现采购人有权拒付相关费用，已经支付了相关费用的，采购人有权追回，并追究其相关法律责任和经济责任。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（此条须提供承诺函，格式自拟）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2"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4、用药安全要求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使用灭鼠杀虫药物，按使用说明规范操作，严禁使用违禁药。投放、喷洒灭鼠杀虫药物的过程中，要抓好用药安全，进行安全告知，落实安全防范措施，切实防止因工作失误造成的食品污染和中毒事故发生。用药安全和所涉及到的相关赔偿责任由服务方全权负责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技术要求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灭鼠要求</w:t>
      </w:r>
    </w:p>
    <w:p>
      <w:pPr>
        <w:pStyle w:val="5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用药选择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0.005％溴鼠灵稻谷毒饵、0.005%溴鼠灵蜡块、陶瓷毒饵盒（规格为长30㎝×宽11㎝×高11㎝，有内胆及警示标志的陶瓷材料）。</w:t>
      </w:r>
    </w:p>
    <w:p>
      <w:pPr>
        <w:pStyle w:val="5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服务时间及用药规范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①服务时间：2023年7月至2024年6月期间开展不低于2次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（2023年秋季和次年春季各1次）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的对上述范围、环境的集中老鼠防制投药服务。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②用药规范：对服务范围内地表环境的灭鼠，以0.005%溴鼠灵稻谷毒饵为主，每个投药点以100克计算（含投放量及后期巡检补充量）；对下水道、鼠洞及潮湿环境使用0.005％溴鼠蜡块，每个投药点以50克计算；服务范围内补充替换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781个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陶瓷毒饵盒。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灭鼠标准：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密度控制水平达到国标GB/T27770-2011）C级标准，即：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①一般单位防鼠设施合格率≥93%，重点单位防鼠设施合格率≥95%；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②室内鼠迹（包括鼠洞、鼠粪、鼠咬痕迹及鼠道）阳性率≤5%；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③不同类型的外环境每1000米鼠迹不超过5处。</w:t>
      </w:r>
    </w:p>
    <w:p>
      <w:pPr>
        <w:pStyle w:val="5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灭蚊、蝇要求</w:t>
      </w:r>
    </w:p>
    <w:p>
      <w:pPr>
        <w:pStyle w:val="5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用药选择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12%高氯·毒死蜱杀虫乳油、0.5%吡丙醚杀虫颗粒剂。</w:t>
      </w:r>
    </w:p>
    <w:p>
      <w:pPr>
        <w:pStyle w:val="5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服务时间及用药规范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①服务时间：2023年7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（每月至少1次）、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5、6月（每月至少1次）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期间开展不低于6次对上述范围、环境的防制服务。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②用药规范：使用12%高氯·毒死蜱杀虫乳油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对蚊蝇有较为快速的击倒率和较好的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持效性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配制药液按1：100倍比例加水稀释，对成蚊成蝇孳生活动环境进行滞留喷洒，1升喷洒2000㎡面积。1个社区需开展蚊蝇防制药物喷洒面积按5000㎡计算，62个社区防制区域内开展蚊蝇防制面积为310000㎡。使用0.5%吡丙醚水乳剂灭杀粪池、水体等环境的蝇蛆、蚊幼虫，按每平方米蝇蛆、蚊幼虫孳生环境施药20克计算，1公斤可处理50平方米。1个社区需开展蚊蝇防制药物投放面积为50㎡计算，62个社区防制区域内开展蚊蝇防制药物投放面积为6200㎡。</w:t>
      </w:r>
    </w:p>
    <w:p>
      <w:pPr>
        <w:pStyle w:val="5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灭蚊、蝇标准：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A灭蚊标准：蚊密度控制水平达到国标GB/T27771-2011）C级标准，即：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累计检查每1000m外环境所发现蚊幼虫阳性积水处数≤0.8处；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②用500ml收集勺采集城区内大中型水体中的蚊幼及蛹阳性勺不超过5%，阳性勺内幼虫及蛹的平均数不超过8只；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特殊场所白天人诱蚊30分钟，平均每人次诱获成蚊数不超过1.5只。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B灭蝇标准：蝇密度控制水平达到国标GB/T27772-2011中的C级标准，即：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①重点单位有蝇房间不超过1%，其它单位不超过3%，平均每阳性房间不超过3只；重点单位防蝇设施不合格房间不超过5%；加工、销售直接入口食品的场所不得有蝇；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660" w:leftChars="200" w:hanging="240" w:hanging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②蝇类孳生地得到有效治理，幼虫和蛹的检出率不超过3%。</w:t>
      </w:r>
    </w:p>
    <w:p>
      <w:pPr>
        <w:pStyle w:val="5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灭蟑螂要求</w:t>
      </w:r>
    </w:p>
    <w:p>
      <w:pPr>
        <w:pStyle w:val="5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用药选择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1%高效氯氰菊酯杀蟑热雾剂。</w:t>
      </w:r>
    </w:p>
    <w:p>
      <w:pPr>
        <w:pStyle w:val="5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服务时间及用药规范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①服务时间：2023年7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-9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（每月至少1次）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开展不低于3次对上述范围、环境的灭蟑螂施药服务。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②用药规范：对服务范围内所有的从事饮食、食品经营场所周边外环境的城市雨水地漏排水口、无物业管理的居民小区（院落）、农贸市场内的垃圾通道、垃圾收集房、地坑式垃圾收集转运站、雨水地漏排水口等蟑螂孳生藏匿场所，使用1%高效氯氰菊酯杀蟑热雾剂处理，使用剂量为1毫升制剂/立方米环境空间，1升可作用体积1000立方米。1个社区需开展蟑螂防制热烟雾处理方量为2500m³计算，62个社区防制区域内开展蟑螂防制药物投放方量为155000m³。</w:t>
      </w:r>
    </w:p>
    <w:p>
      <w:pPr>
        <w:pStyle w:val="5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灭蟑螂标准：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蟑螂密度控制水平达到国标GB/T27773-201l中的C级标准，即：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660" w:leftChars="200" w:hanging="240" w:hanging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内有蟑螂成虫或幼虫阳性房间不超过5%，平均每间房大蟑螂不超过5只，小蟑螂不超过10只；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200" w:hanging="240" w:hangingChars="1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②有活蟑螂卵鞘房间不超过3%，有活蟑螂卵鞘房间平均每间不超过8只活卵鞘；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③有蟑螂粪便、蜕皮、空卵鞘壳等蟑迹的房间不超过7%。</w:t>
      </w:r>
    </w:p>
    <w:bookmarkEnd w:id="10"/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bookmarkStart w:id="43" w:name="_Toc29418"/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★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商务要求</w:t>
      </w:r>
      <w:bookmarkEnd w:id="11"/>
      <w:bookmarkEnd w:id="4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（一）服务时间：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vertAlign w:val="baseline"/>
          <w:lang w:val="en-US" w:eastAsia="zh-CN" w:bidi="ar"/>
        </w:rPr>
        <w:t>自合同签订之日起365个日历天。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（二）服务地点：</w:t>
      </w:r>
      <w:r>
        <w:rPr>
          <w:rFonts w:hint="eastAsia"/>
          <w:color w:val="auto"/>
          <w:sz w:val="24"/>
          <w:szCs w:val="24"/>
          <w:lang w:val="en-US" w:eastAsia="zh-CN"/>
        </w:rPr>
        <w:t>采购人指定地点。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（三）付款方式：</w:t>
      </w:r>
      <w:r>
        <w:rPr>
          <w:rFonts w:hint="eastAsia"/>
          <w:color w:val="auto"/>
          <w:sz w:val="24"/>
          <w:szCs w:val="24"/>
          <w:lang w:val="en-US" w:eastAsia="zh-CN"/>
        </w:rPr>
        <w:t>成交供应商组织施药人员、设备、所需药物进场开展服务后的30天内，采购人向成交供应商支付采购合同金额50%的款项。成交供应商全面履行完合同服务内容，经第三方监测机构验收达到国标GB/T 27770-2011中的C级标准后，采购人十日内支付合同金额的50%。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（四）验收标准：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0" w:leftChars="100" w:hanging="240" w:hangingChars="1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1.采购人应严格按照四川省财政厅《财政部关于进一步加强政府采购需求和履约验收管理的指导意见》（财库【2016】205号）的要求进行验收，同时按国家有关规定、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文件的质量要求和技术指标、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文件及承诺与合同约定进行验收。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450" w:leftChars="100" w:hanging="240" w:hangingChars="1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2.成交供应商在项目服务过程中，采购人聘请第三方监测机构开展城区范围内的病媒生物监测工作，评测日常病媒生物防制效果，并参与服务成果验收。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（五）报价要求：</w:t>
      </w:r>
      <w:r>
        <w:rPr>
          <w:rFonts w:hint="eastAsia"/>
          <w:color w:val="auto"/>
          <w:sz w:val="24"/>
          <w:szCs w:val="24"/>
          <w:lang w:val="en-US" w:eastAsia="zh-CN"/>
        </w:rPr>
        <w:t>本次采购项目为包干价。供应商的报价包括服务所需货物、税费、运输、管理、人工费、宣传、装卸、实施消杀等完成本项目服务内容及要求所需全部费用。请各位供应商报价时充分考虑相关因素。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3" w:firstLineChars="13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yellow"/>
          <w:lang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3" w:firstLineChars="13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注：本章采购需求中标注“★”号的条款为本次采购项目的实质性要求，供应商应全部满足。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EF9C1"/>
    <w:multiLevelType w:val="singleLevel"/>
    <w:tmpl w:val="A35EF9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CDEEDF"/>
    <w:multiLevelType w:val="singleLevel"/>
    <w:tmpl w:val="B2CDEED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A09C276"/>
    <w:multiLevelType w:val="singleLevel"/>
    <w:tmpl w:val="EA09C276"/>
    <w:lvl w:ilvl="0" w:tentative="0">
      <w:start w:val="2"/>
      <w:numFmt w:val="decimal"/>
      <w:suff w:val="nothing"/>
      <w:lvlText w:val="（%1）"/>
      <w:lvlJc w:val="left"/>
      <w:pPr>
        <w:tabs>
          <w:tab w:val="left" w:pos="0"/>
        </w:tabs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043ED7B2"/>
    <w:multiLevelType w:val="singleLevel"/>
    <w:tmpl w:val="043ED7B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B4014D5"/>
    <w:multiLevelType w:val="singleLevel"/>
    <w:tmpl w:val="0B4014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63465B0"/>
    <w:multiLevelType w:val="singleLevel"/>
    <w:tmpl w:val="363465B0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6C2EE69"/>
    <w:multiLevelType w:val="multilevel"/>
    <w:tmpl w:val="76C2EE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、"/>
      <w:lvlJc w:val="left"/>
      <w:pPr>
        <w:tabs>
          <w:tab w:val="left" w:pos="0"/>
        </w:tabs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7">
    <w:nsid w:val="79261F47"/>
    <w:multiLevelType w:val="multilevel"/>
    <w:tmpl w:val="79261F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MjFjNTkxNDU1OGNmMWIwZjJlODk0ZGRmMmE3MjYifQ=="/>
  </w:docVars>
  <w:rsids>
    <w:rsidRoot w:val="240A5049"/>
    <w:rsid w:val="022740D1"/>
    <w:rsid w:val="0AF618DB"/>
    <w:rsid w:val="13FC65D7"/>
    <w:rsid w:val="1F9E7750"/>
    <w:rsid w:val="218D4A26"/>
    <w:rsid w:val="240A5049"/>
    <w:rsid w:val="2CC500C4"/>
    <w:rsid w:val="30C86099"/>
    <w:rsid w:val="327E4466"/>
    <w:rsid w:val="694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30"/>
    </w:rPr>
  </w:style>
  <w:style w:type="paragraph" w:styleId="8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  <w:sz w:val="28"/>
    </w:rPr>
  </w:style>
  <w:style w:type="paragraph" w:styleId="9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宋体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</w:style>
  <w:style w:type="paragraph" w:styleId="3">
    <w:name w:val="Body Text Indent"/>
    <w:basedOn w:val="1"/>
    <w:next w:val="2"/>
    <w:qFormat/>
    <w:uiPriority w:val="0"/>
    <w:pPr>
      <w:ind w:firstLine="630"/>
    </w:pPr>
    <w:rPr>
      <w:sz w:val="32"/>
      <w:szCs w:val="20"/>
    </w:r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Lines="0" w:afterAutospacing="0" w:line="360" w:lineRule="auto"/>
    </w:pPr>
    <w:rPr>
      <w:rFonts w:ascii="Times New Roman" w:hAnsi="Times New Roman" w:eastAsia="宋体"/>
      <w:sz w:val="28"/>
    </w:rPr>
  </w:style>
  <w:style w:type="paragraph" w:styleId="10">
    <w:name w:val="Normal Indent"/>
    <w:basedOn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4056</Words>
  <Characters>4321</Characters>
  <Lines>0</Lines>
  <Paragraphs>0</Paragraphs>
  <TotalTime>0</TotalTime>
  <ScaleCrop>false</ScaleCrop>
  <LinksUpToDate>false</LinksUpToDate>
  <CharactersWithSpaces>4328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2023-07-12T02:08:00Z</dcterms:created>
  <dc:creator>肖霞</dc:creator>
  <cp:lastModifiedBy>hey.</cp:lastModifiedBy>
  <dcterms:modified xsi:type="dcterms:W3CDTF">2023-07-12T02:10:15Z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BD297D49289D494C816ECCBAD4FDEC6D_11</vt:lpwstr>
  </property>
</Properties>
</file>