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32"/>
          <w:szCs w:val="32"/>
          <w:lang w:val="en-US" w:eastAsia="zh-CN"/>
        </w:rPr>
        <w:t>采购文件</w:t>
      </w:r>
    </w:p>
    <w:p>
      <w:pPr>
        <w:spacing w:line="240" w:lineRule="auto"/>
        <w:ind w:leftChars="0" w:firstLine="0" w:firstLineChars="0"/>
        <w:jc w:val="center"/>
        <w:rPr>
          <w:rFonts w:hint="eastAsia" w:asciiTheme="minorEastAsia" w:hAnsiTheme="minorEastAsia" w:eastAsiaTheme="minorEastAsia" w:cstheme="minorEastAsia"/>
          <w:kern w:val="0"/>
          <w:sz w:val="24"/>
          <w:szCs w:val="24"/>
          <w:lang w:val="en-US" w:eastAsia="zh-CN" w:bidi="ar-SA"/>
        </w:rPr>
      </w:pPr>
    </w:p>
    <w:p>
      <w:pPr>
        <w:spacing w:line="240" w:lineRule="auto"/>
        <w:ind w:leftChars="0" w:firstLine="0" w:firstLineChars="0"/>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kern w:val="0"/>
          <w:sz w:val="28"/>
          <w:szCs w:val="28"/>
          <w:lang w:val="en-US" w:eastAsia="zh-CN" w:bidi="ar-SA"/>
        </w:rPr>
        <w:t xml:space="preserve">第一部分 </w:t>
      </w:r>
      <w:bookmarkStart w:id="9" w:name="_GoBack"/>
      <w:bookmarkEnd w:id="9"/>
      <w:r>
        <w:rPr>
          <w:rFonts w:hint="eastAsia" w:asciiTheme="minorEastAsia" w:hAnsiTheme="minorEastAsia" w:eastAsiaTheme="minorEastAsia" w:cstheme="minorEastAsia"/>
          <w:b/>
          <w:bCs/>
          <w:kern w:val="0"/>
          <w:sz w:val="28"/>
          <w:szCs w:val="28"/>
          <w:lang w:val="en-US" w:eastAsia="zh-CN" w:bidi="ar-SA"/>
        </w:rPr>
        <w:t>用户须知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Chars="0"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项目名称：东莞市桥头医院除四害、灭白蚁服务项目</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项目</w:t>
      </w:r>
      <w:r>
        <w:rPr>
          <w:rFonts w:hint="eastAsia" w:asciiTheme="minorEastAsia" w:hAnsiTheme="minorEastAsia" w:eastAsiaTheme="minorEastAsia" w:cstheme="minorEastAsia"/>
          <w:b/>
          <w:bCs/>
          <w:sz w:val="24"/>
          <w:szCs w:val="24"/>
        </w:rPr>
        <w:t>编号：QTYY-CGB-20230</w:t>
      </w:r>
      <w:r>
        <w:rPr>
          <w:rFonts w:hint="eastAsia" w:asciiTheme="minorEastAsia" w:hAnsiTheme="minorEastAsia" w:eastAsiaTheme="minorEastAsia" w:cstheme="minorEastAsia"/>
          <w:b/>
          <w:bCs/>
          <w:sz w:val="24"/>
          <w:szCs w:val="24"/>
          <w:lang w:val="en-US" w:eastAsia="zh-CN"/>
        </w:rPr>
        <w:t>8</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Chars="0"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mallCaps w:val="0"/>
          <w:kern w:val="2"/>
          <w:sz w:val="24"/>
          <w:szCs w:val="24"/>
          <w:lang w:val="en-US" w:eastAsia="zh-CN" w:bidi="ar-SA"/>
        </w:rPr>
        <w:t>供应商应提交以下采购文件：</w:t>
      </w:r>
    </w:p>
    <w:tbl>
      <w:tblPr>
        <w:tblStyle w:val="14"/>
        <w:tblW w:w="91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5"/>
        <w:gridCol w:w="1434"/>
        <w:gridCol w:w="2205"/>
        <w:gridCol w:w="690"/>
        <w:gridCol w:w="1980"/>
        <w:gridCol w:w="204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7" w:hRule="atLeast"/>
          <w:jc w:val="center"/>
        </w:trPr>
        <w:tc>
          <w:tcPr>
            <w:tcW w:w="77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43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采购</w:t>
            </w:r>
            <w:r>
              <w:rPr>
                <w:rFonts w:hint="eastAsia" w:asciiTheme="minorEastAsia" w:hAnsiTheme="minorEastAsia" w:eastAsiaTheme="minorEastAsia" w:cstheme="minorEastAsia"/>
                <w:b/>
                <w:sz w:val="24"/>
                <w:szCs w:val="24"/>
              </w:rPr>
              <w:t>文件类型</w:t>
            </w:r>
          </w:p>
        </w:tc>
        <w:tc>
          <w:tcPr>
            <w:tcW w:w="220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bCs w:val="0"/>
                <w:sz w:val="24"/>
                <w:szCs w:val="24"/>
                <w:lang w:val="en-US" w:eastAsia="zh-CN"/>
              </w:rPr>
              <w:t>采购</w:t>
            </w:r>
            <w:r>
              <w:rPr>
                <w:rFonts w:hint="eastAsia" w:asciiTheme="minorEastAsia" w:hAnsiTheme="minorEastAsia" w:eastAsiaTheme="minorEastAsia" w:cstheme="minorEastAsia"/>
                <w:b/>
                <w:bCs w:val="0"/>
                <w:sz w:val="24"/>
                <w:szCs w:val="24"/>
              </w:rPr>
              <w:t>文件名称</w:t>
            </w:r>
          </w:p>
        </w:tc>
        <w:tc>
          <w:tcPr>
            <w:tcW w:w="6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份数</w:t>
            </w:r>
          </w:p>
        </w:tc>
        <w:tc>
          <w:tcPr>
            <w:tcW w:w="19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Chars="0" w:firstLine="0" w:firstLine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装订</w:t>
            </w:r>
          </w:p>
        </w:tc>
        <w:tc>
          <w:tcPr>
            <w:tcW w:w="204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Chars="0" w:firstLine="0" w:firstLine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包装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4" w:hRule="atLeast"/>
          <w:jc w:val="center"/>
        </w:trPr>
        <w:tc>
          <w:tcPr>
            <w:tcW w:w="77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3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正本</w:t>
            </w:r>
          </w:p>
        </w:tc>
        <w:tc>
          <w:tcPr>
            <w:tcW w:w="220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价格文件</w:t>
            </w:r>
          </w:p>
        </w:tc>
        <w:tc>
          <w:tcPr>
            <w:tcW w:w="6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每份独立装订</w:t>
            </w:r>
          </w:p>
        </w:tc>
        <w:tc>
          <w:tcPr>
            <w:tcW w:w="204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一起密封包装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4" w:hRule="atLeast"/>
          <w:jc w:val="center"/>
        </w:trPr>
        <w:tc>
          <w:tcPr>
            <w:tcW w:w="77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Chars="0" w:firstLine="0" w:firstLineChars="0"/>
              <w:jc w:val="center"/>
              <w:textAlignment w:val="auto"/>
              <w:rPr>
                <w:rFonts w:hint="eastAsia" w:asciiTheme="minorEastAsia" w:hAnsiTheme="minorEastAsia" w:eastAsiaTheme="minorEastAsia" w:cstheme="minorEastAsia"/>
                <w:sz w:val="24"/>
                <w:szCs w:val="24"/>
              </w:rPr>
            </w:pPr>
          </w:p>
        </w:tc>
        <w:tc>
          <w:tcPr>
            <w:tcW w:w="14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Chars="0" w:firstLine="0" w:firstLineChars="0"/>
              <w:jc w:val="center"/>
              <w:textAlignment w:val="auto"/>
              <w:rPr>
                <w:rFonts w:hint="eastAsia" w:asciiTheme="minorEastAsia" w:hAnsiTheme="minorEastAsia" w:eastAsiaTheme="minorEastAsia" w:cstheme="minorEastAsia"/>
                <w:sz w:val="24"/>
                <w:szCs w:val="24"/>
              </w:rPr>
            </w:pPr>
          </w:p>
        </w:tc>
        <w:tc>
          <w:tcPr>
            <w:tcW w:w="220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商务、技术文件</w:t>
            </w:r>
          </w:p>
        </w:tc>
        <w:tc>
          <w:tcPr>
            <w:tcW w:w="6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每份独立装订</w:t>
            </w:r>
          </w:p>
        </w:tc>
        <w:tc>
          <w:tcPr>
            <w:tcW w:w="204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7" w:hRule="atLeast"/>
          <w:jc w:val="center"/>
        </w:trPr>
        <w:tc>
          <w:tcPr>
            <w:tcW w:w="77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3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副本</w:t>
            </w:r>
          </w:p>
        </w:tc>
        <w:tc>
          <w:tcPr>
            <w:tcW w:w="220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Chars="0" w:firstLine="0" w:firstLineChars="0"/>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价格文件</w:t>
            </w:r>
          </w:p>
        </w:tc>
        <w:tc>
          <w:tcPr>
            <w:tcW w:w="6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9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每份独立装订</w:t>
            </w:r>
          </w:p>
        </w:tc>
        <w:tc>
          <w:tcPr>
            <w:tcW w:w="204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一起密封包装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2" w:hRule="atLeast"/>
          <w:jc w:val="center"/>
        </w:trPr>
        <w:tc>
          <w:tcPr>
            <w:tcW w:w="77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p>
        </w:tc>
        <w:tc>
          <w:tcPr>
            <w:tcW w:w="14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Chars="0" w:firstLine="0" w:firstLineChars="0"/>
              <w:jc w:val="center"/>
              <w:textAlignment w:val="auto"/>
              <w:rPr>
                <w:rFonts w:hint="eastAsia" w:asciiTheme="minorEastAsia" w:hAnsiTheme="minorEastAsia" w:eastAsiaTheme="minorEastAsia" w:cstheme="minorEastAsia"/>
                <w:sz w:val="24"/>
                <w:szCs w:val="24"/>
              </w:rPr>
            </w:pPr>
          </w:p>
        </w:tc>
        <w:tc>
          <w:tcPr>
            <w:tcW w:w="220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商务、技术文件</w:t>
            </w:r>
          </w:p>
        </w:tc>
        <w:tc>
          <w:tcPr>
            <w:tcW w:w="6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5</w:t>
            </w:r>
          </w:p>
        </w:tc>
        <w:tc>
          <w:tcPr>
            <w:tcW w:w="198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Chars="0" w:firstLine="0" w:firstLineChars="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每份独立装订</w:t>
            </w:r>
          </w:p>
        </w:tc>
        <w:tc>
          <w:tcPr>
            <w:tcW w:w="204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4"/>
                <w:szCs w:val="24"/>
              </w:rPr>
            </w:pPr>
          </w:p>
        </w:tc>
      </w:tr>
    </w:tbl>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应提交一套正本（包括价格文件、商务、技术文件，一起密封包装）、五套副本（包括价格文件、商务、技术文件，一起密封包装）。</w:t>
      </w:r>
    </w:p>
    <w:p>
      <w:pPr>
        <w:pageBreakBefore w:val="0"/>
        <w:kinsoku/>
        <w:wordWrap/>
        <w:overflowPunct/>
        <w:topLinePunct w:val="0"/>
        <w:autoSpaceDE/>
        <w:autoSpaceDN/>
        <w:bidi w:val="0"/>
        <w:spacing w:line="360" w:lineRule="exact"/>
        <w:textAlignment w:val="auto"/>
        <w:rPr>
          <w:rFonts w:hint="eastAsia"/>
        </w:rPr>
      </w:pP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四、</w:t>
      </w:r>
      <w:r>
        <w:rPr>
          <w:rFonts w:hint="eastAsia" w:asciiTheme="minorEastAsia" w:hAnsiTheme="minorEastAsia" w:eastAsiaTheme="minorEastAsia" w:cstheme="minorEastAsia"/>
          <w:b/>
          <w:bCs/>
          <w:color w:val="auto"/>
          <w:sz w:val="24"/>
          <w:szCs w:val="24"/>
          <w:lang w:eastAsia="zh-CN"/>
        </w:rPr>
        <w:t>采购</w:t>
      </w:r>
      <w:r>
        <w:rPr>
          <w:rFonts w:hint="eastAsia" w:asciiTheme="minorEastAsia" w:hAnsiTheme="minorEastAsia" w:eastAsiaTheme="minorEastAsia" w:cstheme="minorEastAsia"/>
          <w:b/>
          <w:bCs/>
          <w:color w:val="auto"/>
          <w:sz w:val="24"/>
          <w:szCs w:val="24"/>
        </w:rPr>
        <w:t>文件的递交</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应将</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文件的正本、所有副本和唱标信封分开单独密封包装，在密封袋上清楚地标明“正本”、“副本”</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rPr>
        <w:t>字样，并在密封袋的封口处加盖</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公章。</w:t>
      </w:r>
    </w:p>
    <w:p>
      <w:pPr>
        <w:pageBreakBefore w:val="0"/>
        <w:kinsoku/>
        <w:wordWrap/>
        <w:overflowPunct/>
        <w:topLinePunct w:val="0"/>
        <w:autoSpaceDE/>
        <w:autoSpaceDN/>
        <w:bidi w:val="0"/>
        <w:spacing w:line="360" w:lineRule="exact"/>
        <w:textAlignment w:val="auto"/>
        <w:rPr>
          <w:rFonts w:hint="eastAsia"/>
        </w:rPr>
      </w:pPr>
      <w:r>
        <w:rPr>
          <w:rFonts w:hint="eastAsia"/>
          <w:lang w:val="en-US" w:eastAsia="zh-CN"/>
        </w:rPr>
        <w:t>（二）</w:t>
      </w:r>
      <w:r>
        <w:rPr>
          <w:rFonts w:hint="eastAsia"/>
        </w:rPr>
        <w:t>在</w:t>
      </w:r>
      <w:r>
        <w:rPr>
          <w:rFonts w:hint="eastAsia"/>
          <w:lang w:eastAsia="zh-CN"/>
        </w:rPr>
        <w:t>采购</w:t>
      </w:r>
      <w:r>
        <w:rPr>
          <w:rFonts w:hint="eastAsia"/>
        </w:rPr>
        <w:t>文件密封袋上均应标明以下内容：</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收 件 人：东莞市桥头医院采购办</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val="en-US" w:eastAsia="zh-CN"/>
        </w:rPr>
        <w:t>东莞市桥头医院除四害、灭白蚁服务项目</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招标编号：</w:t>
      </w:r>
      <w:r>
        <w:rPr>
          <w:rFonts w:hint="eastAsia" w:asciiTheme="minorEastAsia" w:hAnsiTheme="minorEastAsia" w:eastAsiaTheme="minorEastAsia" w:cstheme="minorEastAsia"/>
          <w:color w:val="auto"/>
          <w:sz w:val="24"/>
          <w:szCs w:val="24"/>
          <w:highlight w:val="none"/>
        </w:rPr>
        <w:t>QTYY-CGB-20230</w:t>
      </w:r>
      <w:r>
        <w:rPr>
          <w:rFonts w:hint="eastAsia" w:asciiTheme="minorEastAsia" w:hAnsiTheme="minorEastAsia" w:eastAsiaTheme="minorEastAsia" w:cstheme="minorEastAsia"/>
          <w:color w:val="auto"/>
          <w:sz w:val="24"/>
          <w:szCs w:val="24"/>
          <w:highlight w:val="none"/>
          <w:lang w:val="en-US" w:eastAsia="zh-CN"/>
        </w:rPr>
        <w:t>8</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4.供应商需</w:t>
      </w:r>
      <w:r>
        <w:rPr>
          <w:rFonts w:hint="eastAsia" w:asciiTheme="minorEastAsia" w:hAnsiTheme="minorEastAsia" w:eastAsiaTheme="minorEastAsia" w:cstheme="minorEastAsia"/>
          <w:sz w:val="24"/>
          <w:szCs w:val="24"/>
        </w:rPr>
        <w:t>标明</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名称、地址、联系人和电话以及文件的种类（如价格文件、商务技术文件等）。</w:t>
      </w:r>
    </w:p>
    <w:p>
      <w:pPr>
        <w:pageBreakBefore w:val="0"/>
        <w:kinsoku/>
        <w:wordWrap/>
        <w:overflowPunct/>
        <w:topLinePunct w:val="0"/>
        <w:autoSpaceDE/>
        <w:autoSpaceDN/>
        <w:bidi w:val="0"/>
        <w:spacing w:line="360" w:lineRule="exact"/>
        <w:textAlignment w:val="auto"/>
        <w:rPr>
          <w:rFonts w:hint="eastAsia"/>
        </w:rPr>
      </w:pPr>
    </w:p>
    <w:p>
      <w:pPr>
        <w:pageBreakBefore w:val="0"/>
        <w:kinsoku/>
        <w:wordWrap/>
        <w:overflowPunct/>
        <w:topLinePunct w:val="0"/>
        <w:autoSpaceDE/>
        <w:autoSpaceDN/>
        <w:bidi w:val="0"/>
        <w:spacing w:line="360" w:lineRule="exact"/>
        <w:textAlignment w:val="auto"/>
        <w:rPr>
          <w:rFonts w:hint="default" w:eastAsiaTheme="minorEastAsia"/>
          <w:lang w:val="en-US" w:eastAsia="zh-CN"/>
        </w:rPr>
      </w:pPr>
      <w:r>
        <w:rPr>
          <w:rFonts w:hint="eastAsia" w:asciiTheme="minorEastAsia" w:hAnsiTheme="minorEastAsia" w:eastAsiaTheme="minorEastAsia" w:cstheme="minorEastAsia"/>
          <w:b/>
          <w:bCs/>
          <w:sz w:val="24"/>
          <w:szCs w:val="24"/>
          <w:lang w:val="en-US" w:eastAsia="zh-CN"/>
        </w:rPr>
        <w:t>五、评分标准：</w:t>
      </w:r>
    </w:p>
    <w:tbl>
      <w:tblPr>
        <w:tblStyle w:val="14"/>
        <w:tblW w:w="94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82"/>
        <w:gridCol w:w="1166"/>
        <w:gridCol w:w="584"/>
        <w:gridCol w:w="63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5" w:type="dxa"/>
            <w:tcBorders>
              <w:tl2br w:val="nil"/>
              <w:tr2bl w:val="nil"/>
            </w:tcBorders>
            <w:vAlign w:val="center"/>
          </w:tcPr>
          <w:p>
            <w:pPr>
              <w:keepNext w:val="0"/>
              <w:keepLines w:val="0"/>
              <w:pageBreakBefore w:val="0"/>
              <w:kinsoku/>
              <w:wordWrap/>
              <w:overflowPunct/>
              <w:topLinePunct w:val="0"/>
              <w:autoSpaceDE/>
              <w:autoSpaceDN/>
              <w:bidi w:val="0"/>
              <w:spacing w:after="0" w:line="360" w:lineRule="exact"/>
              <w:ind w:left="0" w:leftChars="0" w:firstLine="0" w:firstLineChars="0"/>
              <w:jc w:val="center"/>
              <w:textAlignment w:val="auto"/>
              <w:rPr>
                <w:rFonts w:ascii="宋体" w:hAnsi="宋体" w:eastAsia="宋体" w:cs="宋体"/>
                <w:b/>
                <w:bCs/>
                <w:sz w:val="21"/>
                <w:szCs w:val="21"/>
              </w:rPr>
            </w:pPr>
            <w:r>
              <w:rPr>
                <w:rFonts w:hint="eastAsia" w:ascii="宋体" w:hAnsi="宋体" w:eastAsia="宋体" w:cs="宋体"/>
                <w:b/>
                <w:bCs/>
                <w:sz w:val="21"/>
                <w:szCs w:val="21"/>
              </w:rPr>
              <w:t>序号</w:t>
            </w:r>
          </w:p>
        </w:tc>
        <w:tc>
          <w:tcPr>
            <w:tcW w:w="2332" w:type="dxa"/>
            <w:gridSpan w:val="3"/>
            <w:tcBorders>
              <w:tl2br w:val="nil"/>
              <w:tr2bl w:val="nil"/>
            </w:tcBorders>
            <w:vAlign w:val="center"/>
          </w:tcPr>
          <w:p>
            <w:pPr>
              <w:keepNext w:val="0"/>
              <w:keepLines w:val="0"/>
              <w:pageBreakBefore w:val="0"/>
              <w:kinsoku/>
              <w:wordWrap/>
              <w:overflowPunct/>
              <w:topLinePunct w:val="0"/>
              <w:autoSpaceDE/>
              <w:autoSpaceDN/>
              <w:bidi w:val="0"/>
              <w:spacing w:after="0" w:line="360" w:lineRule="exact"/>
              <w:ind w:left="0" w:leftChars="0" w:firstLine="0" w:firstLineChars="0"/>
              <w:jc w:val="center"/>
              <w:textAlignment w:val="auto"/>
              <w:rPr>
                <w:rFonts w:ascii="宋体" w:hAnsi="宋体" w:eastAsia="宋体" w:cs="宋体"/>
                <w:b/>
                <w:bCs/>
                <w:sz w:val="21"/>
                <w:szCs w:val="21"/>
              </w:rPr>
            </w:pPr>
            <w:r>
              <w:rPr>
                <w:rFonts w:hint="eastAsia" w:ascii="宋体" w:hAnsi="宋体" w:eastAsia="宋体" w:cs="宋体"/>
                <w:b/>
                <w:bCs/>
                <w:sz w:val="21"/>
                <w:szCs w:val="21"/>
              </w:rPr>
              <w:t>评分项</w:t>
            </w:r>
          </w:p>
        </w:tc>
        <w:tc>
          <w:tcPr>
            <w:tcW w:w="6363" w:type="dxa"/>
            <w:tcBorders>
              <w:tl2br w:val="nil"/>
              <w:tr2bl w:val="nil"/>
            </w:tcBorders>
            <w:vAlign w:val="center"/>
          </w:tcPr>
          <w:p>
            <w:pPr>
              <w:keepNext w:val="0"/>
              <w:keepLines w:val="0"/>
              <w:pageBreakBefore w:val="0"/>
              <w:kinsoku/>
              <w:wordWrap/>
              <w:overflowPunct/>
              <w:topLinePunct w:val="0"/>
              <w:autoSpaceDE/>
              <w:autoSpaceDN/>
              <w:bidi w:val="0"/>
              <w:spacing w:after="0" w:line="360" w:lineRule="exact"/>
              <w:ind w:left="0" w:leftChars="0" w:firstLine="0" w:firstLineChars="0"/>
              <w:jc w:val="center"/>
              <w:textAlignment w:val="auto"/>
              <w:rPr>
                <w:rFonts w:ascii="宋体" w:hAnsi="宋体" w:eastAsia="宋体" w:cs="宋体"/>
                <w:b/>
                <w:bCs/>
                <w:sz w:val="21"/>
                <w:szCs w:val="21"/>
              </w:rPr>
            </w:pPr>
            <w:r>
              <w:rPr>
                <w:rFonts w:hint="eastAsia" w:ascii="宋体" w:hAnsi="宋体" w:eastAsia="宋体" w:cs="宋体"/>
                <w:b/>
                <w:bCs/>
                <w:sz w:val="21"/>
                <w:szCs w:val="21"/>
              </w:rPr>
              <w:t>权重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15" w:type="dxa"/>
            <w:tcBorders>
              <w:tl2br w:val="nil"/>
              <w:tr2bl w:val="nil"/>
            </w:tcBorders>
            <w:vAlign w:val="center"/>
          </w:tcPr>
          <w:p>
            <w:pPr>
              <w:pStyle w:val="26"/>
              <w:keepNext w:val="0"/>
              <w:keepLines w:val="0"/>
              <w:pageBreakBefore w:val="0"/>
              <w:kinsoku/>
              <w:wordWrap/>
              <w:overflowPunct/>
              <w:topLinePunct w:val="0"/>
              <w:autoSpaceDE/>
              <w:autoSpaceDN/>
              <w:bidi w:val="0"/>
              <w:spacing w:after="0" w:line="360" w:lineRule="exact"/>
              <w:ind w:left="0" w:firstLine="0" w:firstLineChars="0"/>
              <w:jc w:val="center"/>
              <w:textAlignment w:val="auto"/>
              <w:rPr>
                <w:rFonts w:ascii="宋体" w:eastAsia="宋体" w:cs="宋体"/>
                <w:kern w:val="2"/>
                <w:sz w:val="21"/>
                <w:szCs w:val="21"/>
              </w:rPr>
            </w:pPr>
            <w:r>
              <w:rPr>
                <w:rFonts w:hint="eastAsia" w:ascii="宋体" w:eastAsia="宋体" w:cs="宋体"/>
                <w:kern w:val="2"/>
                <w:sz w:val="21"/>
                <w:szCs w:val="21"/>
              </w:rPr>
              <w:t>1</w:t>
            </w:r>
          </w:p>
        </w:tc>
        <w:tc>
          <w:tcPr>
            <w:tcW w:w="2332" w:type="dxa"/>
            <w:gridSpan w:val="3"/>
            <w:tcBorders>
              <w:tl2br w:val="nil"/>
              <w:tr2bl w:val="nil"/>
            </w:tcBorders>
            <w:vAlign w:val="center"/>
          </w:tcPr>
          <w:p>
            <w:pPr>
              <w:pStyle w:val="26"/>
              <w:keepNext w:val="0"/>
              <w:keepLines w:val="0"/>
              <w:pageBreakBefore w:val="0"/>
              <w:kinsoku/>
              <w:wordWrap/>
              <w:overflowPunct/>
              <w:topLinePunct w:val="0"/>
              <w:autoSpaceDE/>
              <w:autoSpaceDN/>
              <w:bidi w:val="0"/>
              <w:spacing w:after="0" w:line="360" w:lineRule="exact"/>
              <w:ind w:left="0" w:firstLine="0" w:firstLineChars="0"/>
              <w:jc w:val="center"/>
              <w:textAlignment w:val="auto"/>
              <w:rPr>
                <w:rFonts w:ascii="宋体" w:eastAsia="宋体" w:cs="宋体"/>
                <w:kern w:val="2"/>
                <w:sz w:val="21"/>
                <w:szCs w:val="21"/>
              </w:rPr>
            </w:pPr>
            <w:r>
              <w:rPr>
                <w:rFonts w:hint="eastAsia" w:ascii="宋体" w:eastAsia="宋体" w:cs="宋体"/>
                <w:b/>
                <w:bCs/>
                <w:kern w:val="2"/>
                <w:sz w:val="21"/>
                <w:szCs w:val="21"/>
              </w:rPr>
              <w:t>价格部分</w:t>
            </w:r>
          </w:p>
        </w:tc>
        <w:tc>
          <w:tcPr>
            <w:tcW w:w="6363" w:type="dxa"/>
            <w:tcBorders>
              <w:tl2br w:val="nil"/>
              <w:tr2bl w:val="nil"/>
            </w:tcBorders>
            <w:vAlign w:val="center"/>
          </w:tcPr>
          <w:p>
            <w:pPr>
              <w:pStyle w:val="26"/>
              <w:keepNext w:val="0"/>
              <w:keepLines w:val="0"/>
              <w:pageBreakBefore w:val="0"/>
              <w:kinsoku/>
              <w:wordWrap/>
              <w:overflowPunct/>
              <w:topLinePunct w:val="0"/>
              <w:autoSpaceDE/>
              <w:autoSpaceDN/>
              <w:bidi w:val="0"/>
              <w:spacing w:after="0" w:line="360" w:lineRule="exact"/>
              <w:ind w:left="0" w:firstLine="0" w:firstLineChars="0"/>
              <w:jc w:val="center"/>
              <w:textAlignment w:val="auto"/>
              <w:rPr>
                <w:rFonts w:ascii="宋体" w:eastAsia="宋体" w:cs="宋体"/>
                <w:kern w:val="2"/>
                <w:sz w:val="21"/>
                <w:szCs w:val="21"/>
              </w:rPr>
            </w:pPr>
            <w:r>
              <w:rPr>
                <w:rFonts w:hint="eastAsia" w:ascii="宋体" w:eastAsia="宋体" w:cs="宋体"/>
                <w:kern w:val="2"/>
                <w:sz w:val="21"/>
                <w:szCs w:val="21"/>
                <w:lang w:val="en-US" w:eastAsia="zh-CN"/>
              </w:rPr>
              <w:t>1</w:t>
            </w:r>
            <w:r>
              <w:rPr>
                <w:rFonts w:hint="eastAsia" w:ascii="宋体" w:eastAsia="宋体" w:cs="宋体"/>
                <w:kern w:val="2"/>
                <w:sz w:val="21"/>
                <w:szCs w:val="21"/>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15" w:type="dxa"/>
            <w:tcBorders>
              <w:tl2br w:val="nil"/>
              <w:tr2bl w:val="nil"/>
            </w:tcBorders>
            <w:vAlign w:val="center"/>
          </w:tcPr>
          <w:p>
            <w:pPr>
              <w:pStyle w:val="26"/>
              <w:keepNext w:val="0"/>
              <w:keepLines w:val="0"/>
              <w:pageBreakBefore w:val="0"/>
              <w:kinsoku/>
              <w:wordWrap/>
              <w:overflowPunct/>
              <w:topLinePunct w:val="0"/>
              <w:autoSpaceDE/>
              <w:autoSpaceDN/>
              <w:bidi w:val="0"/>
              <w:spacing w:after="0" w:line="360" w:lineRule="exact"/>
              <w:ind w:left="0" w:firstLine="0" w:firstLineChars="0"/>
              <w:jc w:val="center"/>
              <w:textAlignment w:val="auto"/>
              <w:rPr>
                <w:rFonts w:hint="eastAsia" w:ascii="宋体" w:eastAsia="宋体" w:cs="宋体"/>
                <w:kern w:val="2"/>
                <w:sz w:val="21"/>
                <w:szCs w:val="21"/>
              </w:rPr>
            </w:pPr>
          </w:p>
        </w:tc>
        <w:tc>
          <w:tcPr>
            <w:tcW w:w="2332" w:type="dxa"/>
            <w:gridSpan w:val="3"/>
            <w:tcBorders>
              <w:tl2br w:val="nil"/>
              <w:tr2bl w:val="nil"/>
            </w:tcBorders>
            <w:vAlign w:val="center"/>
          </w:tcPr>
          <w:p>
            <w:pPr>
              <w:pStyle w:val="26"/>
              <w:keepNext w:val="0"/>
              <w:keepLines w:val="0"/>
              <w:pageBreakBefore w:val="0"/>
              <w:kinsoku/>
              <w:wordWrap/>
              <w:overflowPunct/>
              <w:topLinePunct w:val="0"/>
              <w:autoSpaceDE/>
              <w:autoSpaceDN/>
              <w:bidi w:val="0"/>
              <w:spacing w:after="0" w:line="360" w:lineRule="exact"/>
              <w:ind w:left="0" w:firstLine="0" w:firstLineChars="0"/>
              <w:jc w:val="center"/>
              <w:textAlignment w:val="auto"/>
              <w:rPr>
                <w:rFonts w:hint="eastAsia" w:ascii="宋体" w:eastAsia="宋体" w:cs="宋体"/>
                <w:b/>
                <w:bCs/>
                <w:kern w:val="2"/>
                <w:sz w:val="21"/>
                <w:szCs w:val="21"/>
                <w:lang w:val="en-US" w:eastAsia="zh-CN"/>
              </w:rPr>
            </w:pPr>
            <w:r>
              <w:rPr>
                <w:rFonts w:hint="eastAsia" w:ascii="宋体" w:eastAsia="宋体" w:cs="宋体"/>
                <w:b w:val="0"/>
                <w:bCs w:val="0"/>
                <w:kern w:val="2"/>
                <w:sz w:val="21"/>
                <w:szCs w:val="21"/>
                <w:lang w:val="en-US" w:eastAsia="zh-CN"/>
              </w:rPr>
              <w:t>价格</w:t>
            </w:r>
          </w:p>
        </w:tc>
        <w:tc>
          <w:tcPr>
            <w:tcW w:w="6363" w:type="dxa"/>
            <w:tcBorders>
              <w:tl2br w:val="nil"/>
              <w:tr2bl w:val="nil"/>
            </w:tcBorders>
            <w:vAlign w:val="center"/>
          </w:tcPr>
          <w:p>
            <w:pPr>
              <w:pStyle w:val="26"/>
              <w:keepNext w:val="0"/>
              <w:keepLines w:val="0"/>
              <w:pageBreakBefore w:val="0"/>
              <w:kinsoku/>
              <w:wordWrap/>
              <w:overflowPunct/>
              <w:topLinePunct w:val="0"/>
              <w:autoSpaceDE/>
              <w:autoSpaceDN/>
              <w:bidi w:val="0"/>
              <w:spacing w:after="0" w:line="360" w:lineRule="exact"/>
              <w:ind w:left="0" w:firstLine="0" w:firstLineChars="0"/>
              <w:jc w:val="left"/>
              <w:textAlignment w:val="auto"/>
              <w:rPr>
                <w:rFonts w:hint="eastAsia" w:ascii="宋体" w:eastAsia="宋体" w:cs="宋体"/>
                <w:kern w:val="2"/>
                <w:sz w:val="21"/>
                <w:szCs w:val="21"/>
                <w:lang w:val="en-US" w:eastAsia="zh-CN"/>
              </w:rPr>
            </w:pPr>
            <w:r>
              <w:rPr>
                <w:rFonts w:hint="eastAsia" w:ascii="宋体" w:eastAsia="宋体" w:cs="宋体"/>
                <w:kern w:val="2"/>
                <w:sz w:val="21"/>
                <w:szCs w:val="21"/>
                <w:lang w:val="en-US" w:eastAsia="zh-CN"/>
              </w:rPr>
              <w:t>价格分计算方法：满足招标文件要求且投标价格最低的投标报价为评标基准价，其价格分为满分。其他投标人的价格分统一按照下列公式计算：投标报价得分=(评标基准价／投标报价)×（价格权重10%）×100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5" w:type="dxa"/>
            <w:tcBorders>
              <w:tl2br w:val="nil"/>
              <w:tr2bl w:val="nil"/>
            </w:tcBorders>
            <w:vAlign w:val="center"/>
          </w:tcPr>
          <w:p>
            <w:pPr>
              <w:keepNext w:val="0"/>
              <w:keepLines w:val="0"/>
              <w:pageBreakBefore w:val="0"/>
              <w:kinsoku/>
              <w:wordWrap/>
              <w:overflowPunct/>
              <w:topLinePunct w:val="0"/>
              <w:autoSpaceDE/>
              <w:autoSpaceDN/>
              <w:bidi w:val="0"/>
              <w:spacing w:after="0" w:line="360" w:lineRule="exact"/>
              <w:ind w:left="0" w:lef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2</w:t>
            </w:r>
          </w:p>
        </w:tc>
        <w:tc>
          <w:tcPr>
            <w:tcW w:w="2332" w:type="dxa"/>
            <w:gridSpan w:val="3"/>
            <w:tcBorders>
              <w:tl2br w:val="nil"/>
              <w:tr2bl w:val="nil"/>
            </w:tcBorders>
            <w:vAlign w:val="center"/>
          </w:tcPr>
          <w:p>
            <w:pPr>
              <w:keepNext w:val="0"/>
              <w:keepLines w:val="0"/>
              <w:pageBreakBefore w:val="0"/>
              <w:kinsoku/>
              <w:wordWrap/>
              <w:overflowPunct/>
              <w:topLinePunct w:val="0"/>
              <w:autoSpaceDE/>
              <w:autoSpaceDN/>
              <w:bidi w:val="0"/>
              <w:spacing w:after="0" w:line="360" w:lineRule="exact"/>
              <w:ind w:left="0" w:leftChars="0" w:firstLine="0" w:firstLineChars="0"/>
              <w:jc w:val="center"/>
              <w:textAlignment w:val="auto"/>
              <w:rPr>
                <w:rFonts w:ascii="宋体" w:hAnsi="宋体" w:eastAsia="宋体" w:cs="宋体"/>
                <w:sz w:val="21"/>
                <w:szCs w:val="21"/>
              </w:rPr>
            </w:pPr>
            <w:r>
              <w:rPr>
                <w:rFonts w:hint="eastAsia" w:ascii="宋体" w:hAnsi="宋体" w:eastAsia="宋体" w:cs="宋体"/>
                <w:b/>
                <w:bCs/>
                <w:sz w:val="21"/>
                <w:szCs w:val="21"/>
                <w:lang w:val="en-US" w:eastAsia="zh-CN"/>
              </w:rPr>
              <w:t>商务</w:t>
            </w:r>
            <w:r>
              <w:rPr>
                <w:rFonts w:hint="eastAsia" w:ascii="宋体" w:hAnsi="宋体" w:eastAsia="宋体" w:cs="宋体"/>
                <w:b/>
                <w:bCs/>
                <w:sz w:val="21"/>
                <w:szCs w:val="21"/>
              </w:rPr>
              <w:t>部分</w:t>
            </w:r>
          </w:p>
        </w:tc>
        <w:tc>
          <w:tcPr>
            <w:tcW w:w="6363" w:type="dxa"/>
            <w:tcBorders>
              <w:tl2br w:val="nil"/>
              <w:tr2bl w:val="nil"/>
            </w:tcBorders>
            <w:vAlign w:val="center"/>
          </w:tcPr>
          <w:p>
            <w:pPr>
              <w:keepNext w:val="0"/>
              <w:keepLines w:val="0"/>
              <w:pageBreakBefore w:val="0"/>
              <w:kinsoku/>
              <w:wordWrap/>
              <w:overflowPunct/>
              <w:topLinePunct w:val="0"/>
              <w:autoSpaceDE/>
              <w:autoSpaceDN/>
              <w:bidi w:val="0"/>
              <w:spacing w:after="0" w:line="360" w:lineRule="exact"/>
              <w:ind w:left="0" w:lef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firstLine="0"/>
              <w:jc w:val="center"/>
              <w:textAlignment w:val="auto"/>
              <w:rPr>
                <w:rFonts w:ascii="宋体" w:hAnsi="宋体" w:eastAsia="宋体" w:cs="宋体"/>
                <w:sz w:val="21"/>
                <w:szCs w:val="21"/>
              </w:rPr>
            </w:pPr>
          </w:p>
        </w:tc>
        <w:tc>
          <w:tcPr>
            <w:tcW w:w="58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leftChars="0" w:firstLine="0" w:firstLineChars="0"/>
              <w:jc w:val="both"/>
              <w:textAlignment w:val="auto"/>
              <w:rPr>
                <w:rFonts w:ascii="宋体" w:hAnsi="宋体" w:eastAsia="宋体" w:cs="宋体"/>
                <w:sz w:val="21"/>
                <w:szCs w:val="21"/>
              </w:rPr>
            </w:pPr>
            <w:r>
              <w:rPr>
                <w:rFonts w:hint="eastAsia" w:ascii="宋体" w:hAnsi="宋体" w:eastAsia="宋体" w:cs="宋体"/>
                <w:sz w:val="21"/>
                <w:szCs w:val="21"/>
              </w:rPr>
              <w:t>序号</w:t>
            </w:r>
          </w:p>
        </w:tc>
        <w:tc>
          <w:tcPr>
            <w:tcW w:w="116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评分</w:t>
            </w:r>
          </w:p>
          <w:p>
            <w:pPr>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因素</w:t>
            </w:r>
          </w:p>
        </w:tc>
        <w:tc>
          <w:tcPr>
            <w:tcW w:w="58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权重</w:t>
            </w:r>
          </w:p>
        </w:tc>
        <w:tc>
          <w:tcPr>
            <w:tcW w:w="63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7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firstLine="0"/>
              <w:jc w:val="center"/>
              <w:textAlignment w:val="auto"/>
              <w:rPr>
                <w:rFonts w:ascii="宋体" w:hAnsi="宋体" w:eastAsia="宋体" w:cs="宋体"/>
                <w:sz w:val="21"/>
                <w:szCs w:val="21"/>
              </w:rPr>
            </w:pPr>
          </w:p>
        </w:tc>
        <w:tc>
          <w:tcPr>
            <w:tcW w:w="58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66" w:type="dxa"/>
            <w:tcBorders>
              <w:tl2br w:val="nil"/>
              <w:tr2bl w:val="nil"/>
            </w:tcBorders>
            <w:vAlign w:val="center"/>
          </w:tcPr>
          <w:p>
            <w:pPr>
              <w:keepNext w:val="0"/>
              <w:keepLines w:val="0"/>
              <w:pageBreakBefore w:val="0"/>
              <w:kinsoku/>
              <w:wordWrap/>
              <w:overflowPunct/>
              <w:topLinePunct w:val="0"/>
              <w:autoSpaceDE/>
              <w:autoSpaceDN/>
              <w:bidi w:val="0"/>
              <w:spacing w:after="0" w:line="360" w:lineRule="exact"/>
              <w:ind w:left="0" w:lef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服务便利性</w:t>
            </w:r>
          </w:p>
        </w:tc>
        <w:tc>
          <w:tcPr>
            <w:tcW w:w="58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ascii="宋体" w:hAnsi="宋体" w:eastAsia="宋体" w:cs="宋体"/>
                <w:sz w:val="21"/>
                <w:szCs w:val="21"/>
              </w:rPr>
            </w:pPr>
            <w:r>
              <w:rPr>
                <w:rFonts w:ascii="宋体" w:hAnsi="宋体" w:eastAsia="宋体" w:cs="宋体"/>
                <w:sz w:val="21"/>
                <w:szCs w:val="21"/>
              </w:rPr>
              <w:t>5</w:t>
            </w:r>
          </w:p>
        </w:tc>
        <w:tc>
          <w:tcPr>
            <w:tcW w:w="63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在</w:t>
            </w:r>
            <w:r>
              <w:rPr>
                <w:rFonts w:hint="eastAsia" w:ascii="宋体" w:hAnsi="宋体" w:eastAsia="宋体" w:cs="宋体"/>
                <w:sz w:val="21"/>
                <w:szCs w:val="21"/>
              </w:rPr>
              <w:t>桥头镇内有服务机构</w:t>
            </w:r>
            <w:r>
              <w:rPr>
                <w:rFonts w:hint="eastAsia" w:ascii="宋体" w:hAnsi="宋体" w:eastAsia="宋体" w:cs="宋体"/>
                <w:sz w:val="21"/>
                <w:szCs w:val="21"/>
                <w:lang w:val="en-US" w:eastAsia="zh-CN"/>
              </w:rPr>
              <w:t>或服务地点</w:t>
            </w:r>
            <w:r>
              <w:rPr>
                <w:rFonts w:hint="eastAsia" w:ascii="宋体" w:hAnsi="宋体" w:eastAsia="宋体" w:cs="宋体"/>
                <w:sz w:val="21"/>
                <w:szCs w:val="21"/>
              </w:rPr>
              <w:t>的得5分；</w:t>
            </w:r>
          </w:p>
          <w:p>
            <w:pPr>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ascii="宋体" w:hAnsi="宋体" w:eastAsia="宋体" w:cs="宋体"/>
                <w:sz w:val="21"/>
                <w:szCs w:val="21"/>
              </w:rPr>
            </w:pPr>
            <w:r>
              <w:rPr>
                <w:rFonts w:hint="eastAsia" w:ascii="宋体" w:hAnsi="宋体" w:eastAsia="宋体" w:cs="宋体"/>
                <w:sz w:val="21"/>
                <w:szCs w:val="21"/>
              </w:rPr>
              <w:t>在东莞地区有服务机构的得</w:t>
            </w:r>
            <w:r>
              <w:rPr>
                <w:rFonts w:ascii="宋体" w:hAnsi="宋体" w:eastAsia="宋体" w:cs="宋体"/>
                <w:sz w:val="21"/>
                <w:szCs w:val="21"/>
              </w:rPr>
              <w:t>3</w:t>
            </w:r>
            <w:r>
              <w:rPr>
                <w:rFonts w:hint="eastAsia" w:ascii="宋体" w:hAnsi="宋体" w:eastAsia="宋体" w:cs="宋体"/>
                <w:sz w:val="21"/>
                <w:szCs w:val="21"/>
              </w:rPr>
              <w:t>分；</w:t>
            </w:r>
          </w:p>
          <w:p>
            <w:pPr>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ascii="宋体" w:hAnsi="宋体" w:eastAsia="宋体" w:cs="宋体"/>
                <w:sz w:val="21"/>
                <w:szCs w:val="21"/>
              </w:rPr>
            </w:pPr>
            <w:r>
              <w:rPr>
                <w:rFonts w:hint="eastAsia" w:ascii="宋体" w:hAnsi="宋体" w:eastAsia="宋体" w:cs="宋体"/>
                <w:sz w:val="21"/>
                <w:szCs w:val="21"/>
              </w:rPr>
              <w:t>在广东省内（除东莞外）有服务机构的得1分。</w:t>
            </w:r>
          </w:p>
          <w:p>
            <w:pPr>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ascii="宋体" w:hAnsi="宋体" w:eastAsia="宋体" w:cs="宋体"/>
                <w:sz w:val="21"/>
                <w:szCs w:val="21"/>
              </w:rPr>
            </w:pPr>
            <w:r>
              <w:rPr>
                <w:rFonts w:hint="eastAsia" w:ascii="宋体" w:hAnsi="宋体" w:eastAsia="宋体" w:cs="宋体"/>
                <w:sz w:val="21"/>
                <w:szCs w:val="21"/>
              </w:rPr>
              <w:t>（须提供营业执照</w:t>
            </w:r>
            <w:r>
              <w:rPr>
                <w:rFonts w:hint="eastAsia" w:ascii="宋体" w:hAnsi="宋体" w:eastAsia="宋体" w:cs="宋体"/>
                <w:sz w:val="21"/>
                <w:szCs w:val="21"/>
                <w:lang w:val="en-US" w:eastAsia="zh-CN"/>
              </w:rPr>
              <w:t>或租赁合同</w:t>
            </w:r>
            <w:r>
              <w:rPr>
                <w:rFonts w:hint="eastAsia" w:ascii="宋体" w:hAnsi="宋体" w:eastAsia="宋体" w:cs="宋体"/>
                <w:sz w:val="21"/>
                <w:szCs w:val="21"/>
              </w:rPr>
              <w:t>复印件加盖公章，原件备查）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firstLine="0"/>
              <w:jc w:val="center"/>
              <w:textAlignment w:val="auto"/>
              <w:rPr>
                <w:rFonts w:ascii="宋体" w:hAnsi="宋体" w:eastAsia="宋体" w:cs="宋体"/>
                <w:sz w:val="21"/>
                <w:szCs w:val="21"/>
              </w:rPr>
            </w:pPr>
          </w:p>
        </w:tc>
        <w:tc>
          <w:tcPr>
            <w:tcW w:w="58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66" w:type="dxa"/>
            <w:tcBorders>
              <w:tl2br w:val="nil"/>
              <w:tr2bl w:val="nil"/>
            </w:tcBorders>
            <w:vAlign w:val="center"/>
          </w:tcPr>
          <w:p>
            <w:pPr>
              <w:keepNext w:val="0"/>
              <w:keepLines w:val="0"/>
              <w:pageBreakBefore w:val="0"/>
              <w:kinsoku/>
              <w:wordWrap/>
              <w:overflowPunct/>
              <w:topLinePunct w:val="0"/>
              <w:autoSpaceDE/>
              <w:autoSpaceDN/>
              <w:bidi w:val="0"/>
              <w:spacing w:after="0" w:line="36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服务人员</w:t>
            </w:r>
          </w:p>
        </w:tc>
        <w:tc>
          <w:tcPr>
            <w:tcW w:w="584" w:type="dxa"/>
            <w:tcBorders>
              <w:tl2br w:val="nil"/>
              <w:tr2bl w:val="nil"/>
            </w:tcBorders>
            <w:vAlign w:val="center"/>
          </w:tcPr>
          <w:p>
            <w:pPr>
              <w:keepNext w:val="0"/>
              <w:keepLines w:val="0"/>
              <w:pageBreakBefore w:val="0"/>
              <w:kinsoku/>
              <w:wordWrap/>
              <w:overflowPunct/>
              <w:topLinePunct w:val="0"/>
              <w:autoSpaceDE/>
              <w:autoSpaceDN/>
              <w:bidi w:val="0"/>
              <w:spacing w:after="0" w:line="360" w:lineRule="exact"/>
              <w:ind w:left="0" w:leftChars="0" w:firstLine="0" w:firstLineChars="0"/>
              <w:jc w:val="center"/>
              <w:textAlignment w:val="auto"/>
              <w:rPr>
                <w:rFonts w:ascii="宋体" w:hAnsi="宋体" w:eastAsia="宋体" w:cs="宋体"/>
                <w:sz w:val="21"/>
                <w:szCs w:val="21"/>
                <w:lang w:val="en-US" w:eastAsia="zh-CN" w:bidi="ar-SA"/>
              </w:rPr>
            </w:pPr>
            <w:r>
              <w:rPr>
                <w:rFonts w:hint="eastAsia" w:ascii="宋体" w:hAnsi="宋体" w:eastAsia="宋体" w:cs="宋体"/>
                <w:sz w:val="21"/>
                <w:szCs w:val="21"/>
                <w:lang w:val="en-US" w:eastAsia="zh-CN"/>
              </w:rPr>
              <w:t>10</w:t>
            </w:r>
          </w:p>
        </w:tc>
        <w:tc>
          <w:tcPr>
            <w:tcW w:w="6363" w:type="dxa"/>
            <w:tcBorders>
              <w:tl2br w:val="nil"/>
              <w:tr2bl w:val="nil"/>
            </w:tcBorders>
            <w:vAlign w:val="center"/>
          </w:tcPr>
          <w:p>
            <w:pPr>
              <w:keepNext w:val="0"/>
              <w:keepLines w:val="0"/>
              <w:pageBreakBefore w:val="0"/>
              <w:kinsoku/>
              <w:wordWrap/>
              <w:overflowPunct/>
              <w:topLinePunct w:val="0"/>
              <w:autoSpaceDE/>
              <w:autoSpaceDN/>
              <w:bidi w:val="0"/>
              <w:spacing w:after="0" w:line="360" w:lineRule="exact"/>
              <w:ind w:left="0" w:leftChars="0"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拟投入本项目的服务人员具有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有害生物防制员或白蚁防治员”</w:t>
            </w:r>
            <w:r>
              <w:rPr>
                <w:rFonts w:hint="eastAsia" w:ascii="宋体" w:hAnsi="宋体" w:eastAsia="宋体" w:cs="宋体"/>
                <w:sz w:val="21"/>
                <w:szCs w:val="21"/>
              </w:rPr>
              <w:t>证书的，每个人得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10</w:t>
            </w:r>
            <w:r>
              <w:rPr>
                <w:rFonts w:hint="eastAsia" w:ascii="宋体" w:hAnsi="宋体" w:eastAsia="宋体" w:cs="宋体"/>
                <w:sz w:val="21"/>
                <w:szCs w:val="21"/>
              </w:rPr>
              <w:t>分。（须提供以上人员相关证书复印件加盖供应商公章）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firstLine="0"/>
              <w:jc w:val="center"/>
              <w:textAlignment w:val="auto"/>
              <w:rPr>
                <w:rFonts w:ascii="宋体" w:hAnsi="宋体" w:eastAsia="宋体" w:cs="宋体"/>
                <w:sz w:val="21"/>
                <w:szCs w:val="21"/>
              </w:rPr>
            </w:pPr>
          </w:p>
        </w:tc>
        <w:tc>
          <w:tcPr>
            <w:tcW w:w="58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66" w:type="dxa"/>
            <w:tcBorders>
              <w:tl2br w:val="nil"/>
              <w:tr2bl w:val="nil"/>
            </w:tcBorders>
            <w:vAlign w:val="center"/>
          </w:tcPr>
          <w:p>
            <w:pPr>
              <w:keepNext w:val="0"/>
              <w:keepLines w:val="0"/>
              <w:pageBreakBefore w:val="0"/>
              <w:kinsoku/>
              <w:wordWrap/>
              <w:overflowPunct/>
              <w:topLinePunct w:val="0"/>
              <w:autoSpaceDE/>
              <w:autoSpaceDN/>
              <w:bidi w:val="0"/>
              <w:spacing w:after="0" w:line="360" w:lineRule="exact"/>
              <w:ind w:left="0" w:lef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业绩</w:t>
            </w:r>
          </w:p>
        </w:tc>
        <w:tc>
          <w:tcPr>
            <w:tcW w:w="58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ascii="宋体" w:hAnsi="宋体" w:eastAsia="宋体" w:cs="宋体"/>
                <w:sz w:val="21"/>
                <w:szCs w:val="21"/>
                <w:lang w:val="en-US" w:eastAsia="zh-CN" w:bidi="ar-SA"/>
              </w:rPr>
            </w:pPr>
            <w:r>
              <w:rPr>
                <w:rFonts w:ascii="宋体" w:hAnsi="宋体" w:eastAsia="宋体" w:cs="宋体"/>
                <w:sz w:val="21"/>
                <w:szCs w:val="21"/>
              </w:rPr>
              <w:t>1</w:t>
            </w:r>
            <w:r>
              <w:rPr>
                <w:rFonts w:hint="eastAsia" w:ascii="宋体" w:hAnsi="宋体" w:eastAsia="宋体" w:cs="宋体"/>
                <w:sz w:val="21"/>
                <w:szCs w:val="21"/>
                <w:lang w:val="en-US" w:eastAsia="zh-CN"/>
              </w:rPr>
              <w:t>2</w:t>
            </w:r>
          </w:p>
        </w:tc>
        <w:tc>
          <w:tcPr>
            <w:tcW w:w="63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firstLine="0"/>
              <w:textAlignment w:val="auto"/>
              <w:rPr>
                <w:rFonts w:ascii="宋体" w:hAnsi="宋体" w:eastAsia="宋体" w:cs="宋体"/>
                <w:sz w:val="21"/>
                <w:szCs w:val="21"/>
              </w:rPr>
            </w:pPr>
            <w:r>
              <w:rPr>
                <w:rFonts w:hint="eastAsia" w:ascii="宋体" w:hAnsi="宋体" w:eastAsia="宋体" w:cs="宋体"/>
                <w:sz w:val="21"/>
                <w:szCs w:val="21"/>
              </w:rPr>
              <w:t>投标人20</w:t>
            </w:r>
            <w:r>
              <w:rPr>
                <w:rFonts w:hint="eastAsia" w:ascii="宋体" w:hAnsi="宋体" w:eastAsia="宋体" w:cs="宋体"/>
                <w:sz w:val="21"/>
                <w:szCs w:val="21"/>
                <w:lang w:val="en-US" w:eastAsia="zh-CN"/>
              </w:rPr>
              <w:t>22</w:t>
            </w:r>
            <w:r>
              <w:rPr>
                <w:rFonts w:hint="eastAsia" w:ascii="宋体" w:hAnsi="宋体" w:eastAsia="宋体" w:cs="宋体"/>
                <w:sz w:val="21"/>
                <w:szCs w:val="21"/>
              </w:rPr>
              <w:t>年1月1日至今(以合同签定时间为准)具有除四害或白蚁灭</w:t>
            </w:r>
            <w:r>
              <w:rPr>
                <w:rFonts w:hint="eastAsia" w:ascii="宋体" w:hAnsi="宋体" w:eastAsia="宋体" w:cs="宋体"/>
                <w:sz w:val="21"/>
                <w:szCs w:val="21"/>
                <w:lang w:val="en-US" w:eastAsia="zh-CN"/>
              </w:rPr>
              <w:t>防</w:t>
            </w:r>
            <w:r>
              <w:rPr>
                <w:rFonts w:hint="eastAsia" w:ascii="宋体" w:hAnsi="宋体" w:eastAsia="宋体" w:cs="宋体"/>
                <w:sz w:val="21"/>
                <w:szCs w:val="21"/>
              </w:rPr>
              <w:t>治服务的项目业绩，每提供一个业绩得</w:t>
            </w:r>
            <w:r>
              <w:rPr>
                <w:rFonts w:hint="eastAsia" w:ascii="宋体" w:hAnsi="宋体" w:eastAsia="宋体" w:cs="宋体"/>
                <w:sz w:val="21"/>
                <w:szCs w:val="21"/>
                <w:lang w:val="en-US" w:eastAsia="zh-CN"/>
              </w:rPr>
              <w:t>3</w:t>
            </w:r>
            <w:r>
              <w:rPr>
                <w:rFonts w:hint="eastAsia" w:ascii="宋体" w:hAnsi="宋体" w:eastAsia="宋体" w:cs="宋体"/>
                <w:sz w:val="21"/>
                <w:szCs w:val="21"/>
              </w:rPr>
              <w:t>分，最高得分</w:t>
            </w:r>
            <w:r>
              <w:rPr>
                <w:rFonts w:hint="eastAsia" w:ascii="宋体" w:hAnsi="宋体" w:eastAsia="宋体" w:cs="宋体"/>
                <w:sz w:val="21"/>
                <w:szCs w:val="21"/>
                <w:lang w:val="en-US" w:eastAsia="zh-CN"/>
              </w:rPr>
              <w:t>12</w:t>
            </w:r>
            <w:r>
              <w:rPr>
                <w:rFonts w:hint="eastAsia" w:ascii="宋体" w:hAnsi="宋体" w:eastAsia="宋体" w:cs="宋体"/>
                <w:sz w:val="21"/>
                <w:szCs w:val="21"/>
              </w:rPr>
              <w:t>分。</w:t>
            </w:r>
          </w:p>
          <w:p>
            <w:pPr>
              <w:keepNext w:val="0"/>
              <w:keepLines w:val="0"/>
              <w:pageBreakBefore w:val="0"/>
              <w:kinsoku/>
              <w:wordWrap/>
              <w:overflowPunct/>
              <w:topLinePunct w:val="0"/>
              <w:autoSpaceDE/>
              <w:autoSpaceDN/>
              <w:bidi w:val="0"/>
              <w:adjustRightInd/>
              <w:snapToGrid/>
              <w:spacing w:after="0" w:line="360" w:lineRule="exact"/>
              <w:ind w:left="0" w:leftChars="0" w:firstLine="0" w:firstLineChars="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rPr>
              <w:t>注：须提供服务合同的复印件加盖公章。（不能完整提供证明资料的业绩不计入评审）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71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firstLine="0"/>
              <w:jc w:val="center"/>
              <w:textAlignment w:val="auto"/>
              <w:rPr>
                <w:rFonts w:ascii="宋体" w:hAnsi="宋体" w:eastAsia="宋体" w:cs="宋体"/>
                <w:sz w:val="21"/>
                <w:szCs w:val="21"/>
              </w:rPr>
            </w:pPr>
          </w:p>
        </w:tc>
        <w:tc>
          <w:tcPr>
            <w:tcW w:w="58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66" w:type="dxa"/>
            <w:tcBorders>
              <w:tl2br w:val="nil"/>
              <w:tr2bl w:val="nil"/>
            </w:tcBorders>
            <w:vAlign w:val="center"/>
          </w:tcPr>
          <w:p>
            <w:pPr>
              <w:keepNext w:val="0"/>
              <w:keepLines w:val="0"/>
              <w:pageBreakBefore w:val="0"/>
              <w:kinsoku/>
              <w:wordWrap/>
              <w:overflowPunct/>
              <w:topLinePunct w:val="0"/>
              <w:autoSpaceDE/>
              <w:autoSpaceDN/>
              <w:bidi w:val="0"/>
              <w:spacing w:after="0" w:line="36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客户评价</w:t>
            </w:r>
          </w:p>
        </w:tc>
        <w:tc>
          <w:tcPr>
            <w:tcW w:w="58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36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after="0" w:line="360" w:lineRule="exact"/>
              <w:ind w:left="0" w:firstLine="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投标人在服务期间获得的客户评价，服务质量被评定为“优秀”或“满意”及以上的，每获得一项得1分，最高得3分，同一项目多次获得的只认定为一项。（须提供客户评价证明文件的复印件加盖公章）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33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宋体" w:hAnsi="宋体" w:eastAsia="宋体" w:cs="宋体"/>
                <w:sz w:val="21"/>
                <w:szCs w:val="21"/>
                <w:lang w:val="en-US"/>
              </w:rPr>
            </w:pPr>
            <w:r>
              <w:rPr>
                <w:rFonts w:hint="eastAsia" w:ascii="宋体" w:hAnsi="宋体" w:eastAsia="宋体" w:cs="宋体"/>
                <w:b/>
                <w:bCs/>
                <w:sz w:val="21"/>
                <w:szCs w:val="21"/>
                <w:lang w:val="en-US" w:eastAsia="zh-CN"/>
              </w:rPr>
              <w:t>技</w:t>
            </w:r>
            <w:r>
              <w:rPr>
                <w:rFonts w:hint="eastAsia" w:ascii="宋体" w:hAnsi="宋体" w:cs="宋体"/>
                <w:b/>
                <w:bCs/>
                <w:sz w:val="21"/>
                <w:szCs w:val="21"/>
                <w:lang w:val="en-US" w:eastAsia="zh-CN"/>
              </w:rPr>
              <w:t>术评分</w:t>
            </w:r>
          </w:p>
        </w:tc>
        <w:tc>
          <w:tcPr>
            <w:tcW w:w="63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5" w:type="dxa"/>
            <w:vMerge w:val="restart"/>
            <w:tcBorders>
              <w:tl2br w:val="nil"/>
              <w:tr2bl w:val="nil"/>
            </w:tcBorders>
            <w:vAlign w:val="center"/>
          </w:tcPr>
          <w:p>
            <w:pPr>
              <w:pageBreakBefore w:val="0"/>
              <w:kinsoku/>
              <w:wordWrap/>
              <w:overflowPunct/>
              <w:topLinePunct w:val="0"/>
              <w:autoSpaceDE/>
              <w:autoSpaceDN/>
              <w:bidi w:val="0"/>
              <w:spacing w:line="360" w:lineRule="exact"/>
              <w:textAlignment w:val="auto"/>
              <w:rPr>
                <w:rFonts w:hint="eastAsia" w:ascii="宋体" w:hAnsi="宋体" w:eastAsia="宋体" w:cs="宋体"/>
                <w:sz w:val="21"/>
                <w:szCs w:val="21"/>
              </w:rPr>
            </w:pPr>
          </w:p>
        </w:tc>
        <w:tc>
          <w:tcPr>
            <w:tcW w:w="58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16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评分</w:t>
            </w:r>
          </w:p>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因素</w:t>
            </w:r>
          </w:p>
        </w:tc>
        <w:tc>
          <w:tcPr>
            <w:tcW w:w="5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6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5" w:type="dxa"/>
            <w:vMerge w:val="continue"/>
            <w:tcBorders>
              <w:tl2br w:val="nil"/>
              <w:tr2bl w:val="nil"/>
            </w:tcBorders>
            <w:vAlign w:val="center"/>
          </w:tcPr>
          <w:p>
            <w:pPr>
              <w:pageBreakBefore w:val="0"/>
              <w:kinsoku/>
              <w:wordWrap/>
              <w:overflowPunct/>
              <w:topLinePunct w:val="0"/>
              <w:autoSpaceDE/>
              <w:autoSpaceDN/>
              <w:bidi w:val="0"/>
              <w:spacing w:line="360" w:lineRule="exact"/>
              <w:textAlignment w:val="auto"/>
              <w:rPr>
                <w:rFonts w:hint="eastAsia" w:ascii="宋体" w:hAnsi="宋体" w:eastAsia="宋体" w:cs="宋体"/>
                <w:sz w:val="21"/>
                <w:szCs w:val="21"/>
              </w:rPr>
            </w:pPr>
          </w:p>
        </w:tc>
        <w:tc>
          <w:tcPr>
            <w:tcW w:w="58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6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项目实施的重点、难点和解决方案</w:t>
            </w:r>
          </w:p>
        </w:tc>
        <w:tc>
          <w:tcPr>
            <w:tcW w:w="5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根据各投标人对本项目的本底调查、实施的重点、难点和解决方案分析进 行综合评审：  ①针对本项目本底调查全面、深入、细致，对项目的重点难 点分析透彻者得</w:t>
            </w:r>
            <w:r>
              <w:rPr>
                <w:rFonts w:hint="eastAsia" w:ascii="宋体" w:hAnsi="宋体" w:eastAsia="宋体" w:cs="宋体"/>
                <w:sz w:val="21"/>
                <w:szCs w:val="21"/>
                <w:lang w:val="en-US" w:eastAsia="zh-CN"/>
              </w:rPr>
              <w:t>10</w:t>
            </w:r>
            <w:r>
              <w:rPr>
                <w:rFonts w:hint="eastAsia" w:ascii="宋体" w:hAnsi="宋体" w:eastAsia="宋体" w:cs="宋体"/>
                <w:sz w:val="21"/>
                <w:szCs w:val="21"/>
              </w:rPr>
              <w:t>分；  ②针对本项目本底数据有全面的调查，对重点难点 情况有一定了解者得</w:t>
            </w:r>
            <w:r>
              <w:rPr>
                <w:rFonts w:hint="eastAsia" w:ascii="宋体" w:hAnsi="宋体" w:eastAsia="宋体" w:cs="宋体"/>
                <w:sz w:val="21"/>
                <w:szCs w:val="21"/>
                <w:lang w:val="en-US" w:eastAsia="zh-CN"/>
              </w:rPr>
              <w:t>5</w:t>
            </w:r>
            <w:r>
              <w:rPr>
                <w:rFonts w:hint="eastAsia" w:ascii="宋体" w:hAnsi="宋体" w:eastAsia="宋体" w:cs="宋体"/>
                <w:sz w:val="21"/>
                <w:szCs w:val="21"/>
              </w:rPr>
              <w:t>分；  ③针对本项目有基本本底调查，但不够全面和 细致，重点难点情况缺乏了解者得2分；  ④针对本项目本底缺乏，重点难点情况不了解者得0分。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5" w:type="dxa"/>
            <w:vMerge w:val="continue"/>
            <w:tcBorders>
              <w:tl2br w:val="nil"/>
              <w:tr2bl w:val="nil"/>
            </w:tcBorders>
            <w:vAlign w:val="center"/>
          </w:tcPr>
          <w:p>
            <w:pPr>
              <w:pageBreakBefore w:val="0"/>
              <w:kinsoku/>
              <w:wordWrap/>
              <w:overflowPunct/>
              <w:topLinePunct w:val="0"/>
              <w:autoSpaceDE/>
              <w:autoSpaceDN/>
              <w:bidi w:val="0"/>
              <w:spacing w:line="360" w:lineRule="exact"/>
              <w:textAlignment w:val="auto"/>
              <w:rPr>
                <w:rFonts w:hint="eastAsia" w:ascii="宋体" w:hAnsi="宋体" w:eastAsia="宋体" w:cs="宋体"/>
                <w:sz w:val="21"/>
                <w:szCs w:val="21"/>
              </w:rPr>
            </w:pPr>
          </w:p>
        </w:tc>
        <w:tc>
          <w:tcPr>
            <w:tcW w:w="58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6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技术方案</w:t>
            </w:r>
          </w:p>
        </w:tc>
        <w:tc>
          <w:tcPr>
            <w:tcW w:w="5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6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根据投标人拟投入本项目的技术方案科学，依据充分，措施明确、合理， 施工组织严密，运作流程清晰进行综合评审：  ①技术方案科学，依据十分 充分，措施非常明确、合理，施工组织十分严密，运作流程十分清晰的，得1</w:t>
            </w:r>
            <w:r>
              <w:rPr>
                <w:rFonts w:hint="eastAsia" w:ascii="宋体" w:hAnsi="宋体" w:eastAsia="宋体" w:cs="宋体"/>
                <w:sz w:val="21"/>
                <w:szCs w:val="21"/>
                <w:lang w:val="en-US" w:eastAsia="zh-CN"/>
              </w:rPr>
              <w:t>5</w:t>
            </w:r>
            <w:r>
              <w:rPr>
                <w:rFonts w:hint="eastAsia" w:ascii="宋体" w:hAnsi="宋体" w:eastAsia="宋体" w:cs="宋体"/>
                <w:sz w:val="21"/>
                <w:szCs w:val="21"/>
              </w:rPr>
              <w:t>分； ②技术方案科学，现场调查资料详细，依据充分，措施明确、合 理，施工组织严密，运作流程清晰的，得</w:t>
            </w:r>
            <w:r>
              <w:rPr>
                <w:rFonts w:hint="eastAsia" w:ascii="宋体" w:hAnsi="宋体" w:eastAsia="宋体" w:cs="宋体"/>
                <w:sz w:val="21"/>
                <w:szCs w:val="21"/>
                <w:lang w:val="en-US" w:eastAsia="zh-CN"/>
              </w:rPr>
              <w:t>8</w:t>
            </w:r>
            <w:r>
              <w:rPr>
                <w:rFonts w:hint="eastAsia" w:ascii="宋体" w:hAnsi="宋体" w:eastAsia="宋体" w:cs="宋体"/>
                <w:sz w:val="21"/>
                <w:szCs w:val="21"/>
              </w:rPr>
              <w:t>分；  ③技术方案科学，现场调 查资料简单，依据勉强，措施含糊，施工组织松弛，运作流程含混的，得</w:t>
            </w:r>
            <w:r>
              <w:rPr>
                <w:rFonts w:hint="eastAsia" w:ascii="宋体" w:hAnsi="宋体" w:eastAsia="宋体" w:cs="宋体"/>
                <w:sz w:val="21"/>
                <w:szCs w:val="21"/>
                <w:lang w:val="en-US" w:eastAsia="zh-CN"/>
              </w:rPr>
              <w:t>4</w:t>
            </w:r>
            <w:r>
              <w:rPr>
                <w:rFonts w:hint="eastAsia" w:ascii="宋体" w:hAnsi="宋体" w:eastAsia="宋体" w:cs="宋体"/>
                <w:sz w:val="21"/>
                <w:szCs w:val="21"/>
              </w:rPr>
              <w:t>分； ④无提供相应方案，得0分。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5" w:type="dxa"/>
            <w:vMerge w:val="continue"/>
            <w:tcBorders>
              <w:tl2br w:val="nil"/>
              <w:tr2bl w:val="nil"/>
            </w:tcBorders>
            <w:vAlign w:val="center"/>
          </w:tcPr>
          <w:p>
            <w:pPr>
              <w:pageBreakBefore w:val="0"/>
              <w:kinsoku/>
              <w:wordWrap/>
              <w:overflowPunct/>
              <w:topLinePunct w:val="0"/>
              <w:autoSpaceDE/>
              <w:autoSpaceDN/>
              <w:bidi w:val="0"/>
              <w:spacing w:line="360" w:lineRule="exact"/>
              <w:textAlignment w:val="auto"/>
              <w:rPr>
                <w:rFonts w:hint="eastAsia" w:ascii="宋体" w:hAnsi="宋体" w:eastAsia="宋体" w:cs="宋体"/>
                <w:sz w:val="21"/>
                <w:szCs w:val="21"/>
              </w:rPr>
            </w:pPr>
          </w:p>
        </w:tc>
        <w:tc>
          <w:tcPr>
            <w:tcW w:w="58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16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针对本项目的培训方案</w:t>
            </w:r>
          </w:p>
        </w:tc>
        <w:tc>
          <w:tcPr>
            <w:tcW w:w="584" w:type="dxa"/>
            <w:tcBorders>
              <w:tl2br w:val="nil"/>
              <w:tr2bl w:val="nil"/>
            </w:tcBorders>
            <w:vAlign w:val="center"/>
          </w:tcPr>
          <w:p>
            <w:pPr>
              <w:keepNext w:val="0"/>
              <w:keepLines w:val="0"/>
              <w:pageBreakBefore w:val="0"/>
              <w:widowControl/>
              <w:tabs>
                <w:tab w:val="center" w:pos="273"/>
              </w:tabs>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根据投标人提供针对本项目制定的项目服务人员培训方案进行综合评审： ①投标人提供针对本项目制定的项目服务人员培训方案明确、清晰、合理 的，得</w:t>
            </w:r>
            <w:r>
              <w:rPr>
                <w:rFonts w:hint="eastAsia" w:ascii="宋体" w:hAnsi="宋体" w:eastAsia="宋体" w:cs="宋体"/>
                <w:sz w:val="21"/>
                <w:szCs w:val="21"/>
                <w:lang w:val="en-US" w:eastAsia="zh-CN"/>
              </w:rPr>
              <w:t>8</w:t>
            </w:r>
            <w:r>
              <w:rPr>
                <w:rFonts w:hint="eastAsia" w:ascii="宋体" w:hAnsi="宋体" w:eastAsia="宋体" w:cs="宋体"/>
                <w:sz w:val="21"/>
                <w:szCs w:val="21"/>
              </w:rPr>
              <w:t>分；  ②投标人提供针对本项目制定的项目服务人员培训方案基本 明确、清晰、合理的，得</w:t>
            </w:r>
            <w:r>
              <w:rPr>
                <w:rFonts w:hint="eastAsia" w:ascii="宋体" w:hAnsi="宋体" w:eastAsia="宋体" w:cs="宋体"/>
                <w:sz w:val="21"/>
                <w:szCs w:val="21"/>
                <w:lang w:val="en-US" w:eastAsia="zh-CN"/>
              </w:rPr>
              <w:t>4</w:t>
            </w:r>
            <w:r>
              <w:rPr>
                <w:rFonts w:hint="eastAsia" w:ascii="宋体" w:hAnsi="宋体" w:eastAsia="宋体" w:cs="宋体"/>
                <w:sz w:val="21"/>
                <w:szCs w:val="21"/>
              </w:rPr>
              <w:t>分；  ③投标人提供针对本项目制定的项目服务 人员培训方案明确性、合理性一般的，得2分；  ④无提供相应方案不得分。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15" w:type="dxa"/>
            <w:vMerge w:val="continue"/>
            <w:tcBorders>
              <w:tl2br w:val="nil"/>
              <w:tr2bl w:val="nil"/>
            </w:tcBorders>
            <w:vAlign w:val="center"/>
          </w:tcPr>
          <w:p>
            <w:pPr>
              <w:pageBreakBefore w:val="0"/>
              <w:kinsoku/>
              <w:wordWrap/>
              <w:overflowPunct/>
              <w:topLinePunct w:val="0"/>
              <w:autoSpaceDE/>
              <w:autoSpaceDN/>
              <w:bidi w:val="0"/>
              <w:spacing w:line="360" w:lineRule="exact"/>
              <w:textAlignment w:val="auto"/>
              <w:rPr>
                <w:rFonts w:hint="eastAsia" w:ascii="宋体" w:hAnsi="宋体" w:eastAsia="宋体" w:cs="宋体"/>
                <w:sz w:val="21"/>
                <w:szCs w:val="21"/>
              </w:rPr>
            </w:pPr>
          </w:p>
        </w:tc>
        <w:tc>
          <w:tcPr>
            <w:tcW w:w="58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6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质量保证措施</w:t>
            </w:r>
          </w:p>
        </w:tc>
        <w:tc>
          <w:tcPr>
            <w:tcW w:w="5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6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根据投标人对现场作业过程的管理方案及质量保证措施进行综合评审：  ① 投标人对现场作业过程严谨，管理方案十分清晰及质量保证措施十分明确 、合理的，得</w:t>
            </w:r>
            <w:r>
              <w:rPr>
                <w:rFonts w:hint="eastAsia" w:ascii="宋体" w:hAnsi="宋体" w:eastAsia="宋体" w:cs="宋体"/>
                <w:sz w:val="21"/>
                <w:szCs w:val="21"/>
                <w:lang w:val="en-US" w:eastAsia="zh-CN"/>
              </w:rPr>
              <w:t>10</w:t>
            </w:r>
            <w:r>
              <w:rPr>
                <w:rFonts w:hint="eastAsia" w:ascii="宋体" w:hAnsi="宋体" w:eastAsia="宋体" w:cs="宋体"/>
                <w:sz w:val="21"/>
                <w:szCs w:val="21"/>
              </w:rPr>
              <w:t>分；  ②投标人对现场作业过程周祥，管理方案较清晰及质 量保证措施较明确、合理的，得</w:t>
            </w:r>
            <w:r>
              <w:rPr>
                <w:rFonts w:hint="eastAsia" w:ascii="宋体" w:hAnsi="宋体" w:eastAsia="宋体" w:cs="宋体"/>
                <w:sz w:val="21"/>
                <w:szCs w:val="21"/>
                <w:lang w:val="en-US" w:eastAsia="zh-CN"/>
              </w:rPr>
              <w:t>5</w:t>
            </w:r>
            <w:r>
              <w:rPr>
                <w:rFonts w:hint="eastAsia" w:ascii="宋体" w:hAnsi="宋体" w:eastAsia="宋体" w:cs="宋体"/>
                <w:sz w:val="21"/>
                <w:szCs w:val="21"/>
              </w:rPr>
              <w:t>分；  ③投标人对现场作业过程随便，管理方案含糊及质量保证措施含糊的，得2分；  ④无提供相应方案不得分。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15" w:type="dxa"/>
            <w:vMerge w:val="continue"/>
            <w:tcBorders>
              <w:tl2br w:val="nil"/>
              <w:tr2bl w:val="nil"/>
            </w:tcBorders>
            <w:vAlign w:val="center"/>
          </w:tcPr>
          <w:p>
            <w:pPr>
              <w:pageBreakBefore w:val="0"/>
              <w:kinsoku/>
              <w:wordWrap/>
              <w:overflowPunct/>
              <w:topLinePunct w:val="0"/>
              <w:autoSpaceDE/>
              <w:autoSpaceDN/>
              <w:bidi w:val="0"/>
              <w:spacing w:line="360" w:lineRule="exact"/>
              <w:textAlignment w:val="auto"/>
              <w:rPr>
                <w:rFonts w:hint="eastAsia" w:ascii="宋体" w:hAnsi="宋体" w:eastAsia="宋体" w:cs="宋体"/>
                <w:sz w:val="21"/>
                <w:szCs w:val="21"/>
              </w:rPr>
            </w:pPr>
          </w:p>
        </w:tc>
        <w:tc>
          <w:tcPr>
            <w:tcW w:w="58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16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应急方案</w:t>
            </w:r>
          </w:p>
        </w:tc>
        <w:tc>
          <w:tcPr>
            <w:tcW w:w="5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根据投标人所提供针对台风、暴风等天气影响，重大接待任务，重大节假 日或活动，四害疫情等特殊情况制定应急处置方案，包括传达机制、人员 和设备调配、责任分工等应急事件做出的应急方案进行综合评审： ①应急 方案明确、清晰，传达机制完善、人员和设备调配明确、合理，责任分工 明确的，得</w:t>
            </w:r>
            <w:r>
              <w:rPr>
                <w:rFonts w:hint="eastAsia" w:ascii="宋体" w:hAnsi="宋体" w:eastAsia="宋体" w:cs="宋体"/>
                <w:sz w:val="21"/>
                <w:szCs w:val="21"/>
                <w:lang w:val="en-US" w:eastAsia="zh-CN"/>
              </w:rPr>
              <w:t>10</w:t>
            </w:r>
            <w:r>
              <w:rPr>
                <w:rFonts w:hint="eastAsia" w:ascii="宋体" w:hAnsi="宋体" w:eastAsia="宋体" w:cs="宋体"/>
                <w:sz w:val="21"/>
                <w:szCs w:val="21"/>
              </w:rPr>
              <w:t>分；  ②应急方案基本明确、清晰，传达机制完善、人员和设 备调配明确、合理，责任分工基本明确的，得</w:t>
            </w:r>
            <w:r>
              <w:rPr>
                <w:rFonts w:hint="eastAsia" w:ascii="宋体" w:hAnsi="宋体" w:eastAsia="宋体" w:cs="宋体"/>
                <w:sz w:val="21"/>
                <w:szCs w:val="21"/>
                <w:lang w:val="en-US" w:eastAsia="zh-CN"/>
              </w:rPr>
              <w:t>5</w:t>
            </w:r>
            <w:r>
              <w:rPr>
                <w:rFonts w:hint="eastAsia" w:ascii="宋体" w:hAnsi="宋体" w:eastAsia="宋体" w:cs="宋体"/>
                <w:sz w:val="21"/>
                <w:szCs w:val="21"/>
              </w:rPr>
              <w:t>分；  ③应急方案基本明确 ，传达机制简单、人员和设备调配合理性一般，责任分工明确性一般的，得2分；  ④无提供相应方案不得分。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15" w:type="dxa"/>
            <w:vMerge w:val="continue"/>
            <w:tcBorders>
              <w:tl2br w:val="nil"/>
              <w:tr2bl w:val="nil"/>
            </w:tcBorders>
            <w:vAlign w:val="center"/>
          </w:tcPr>
          <w:p>
            <w:pPr>
              <w:pageBreakBefore w:val="0"/>
              <w:kinsoku/>
              <w:wordWrap/>
              <w:overflowPunct/>
              <w:topLinePunct w:val="0"/>
              <w:autoSpaceDE/>
              <w:autoSpaceDN/>
              <w:bidi w:val="0"/>
              <w:spacing w:line="360" w:lineRule="exact"/>
              <w:textAlignment w:val="auto"/>
              <w:rPr>
                <w:rFonts w:hint="eastAsia" w:ascii="宋体" w:hAnsi="宋体" w:eastAsia="宋体" w:cs="宋体"/>
                <w:sz w:val="21"/>
                <w:szCs w:val="21"/>
              </w:rPr>
            </w:pPr>
          </w:p>
        </w:tc>
        <w:tc>
          <w:tcPr>
            <w:tcW w:w="58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16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服务承诺</w:t>
            </w:r>
          </w:p>
        </w:tc>
        <w:tc>
          <w:tcPr>
            <w:tcW w:w="58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63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根据各投标人提供的服务承诺合理、明确，响应时间是否合理、处理措施 是否完善等方案进行综合评审：  ①服务承诺非常合理、明确，响应时间快 速合理，处理措施十分完善的，得</w:t>
            </w:r>
            <w:r>
              <w:rPr>
                <w:rFonts w:hint="eastAsia" w:ascii="宋体" w:hAnsi="宋体" w:eastAsia="宋体" w:cs="宋体"/>
                <w:sz w:val="21"/>
                <w:szCs w:val="21"/>
                <w:lang w:val="en-US" w:eastAsia="zh-CN"/>
              </w:rPr>
              <w:t>7</w:t>
            </w:r>
            <w:r>
              <w:rPr>
                <w:rFonts w:hint="eastAsia" w:ascii="宋体" w:hAnsi="宋体" w:eastAsia="宋体" w:cs="宋体"/>
                <w:sz w:val="21"/>
                <w:szCs w:val="21"/>
              </w:rPr>
              <w:t>分；  ②服务承诺合理、明确，响应时 间快速合理，处理措施完善的，得4分；  ③服务承诺一般，响应时间合理，处理措施简单的，得2分；  ④无提供服务承诺不得分。</w:t>
            </w:r>
          </w:p>
        </w:tc>
      </w:tr>
    </w:tbl>
    <w:p>
      <w:pPr>
        <w:pageBreakBefore w:val="0"/>
        <w:widowControl w:val="0"/>
        <w:kinsoku/>
        <w:wordWrap/>
        <w:overflowPunct/>
        <w:topLinePunct w:val="0"/>
        <w:autoSpaceDE/>
        <w:autoSpaceDN/>
        <w:bidi w:val="0"/>
        <w:adjustRightInd/>
        <w:snapToGrid/>
        <w:spacing w:after="0" w:line="360" w:lineRule="exact"/>
        <w:ind w:left="0" w:leftChars="0" w:firstLine="0" w:firstLineChars="0"/>
        <w:jc w:val="both"/>
        <w:textAlignment w:val="auto"/>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注：1.以上各条款，不提供或不能有效证明文件的，均得0分</w:t>
      </w:r>
    </w:p>
    <w:p>
      <w:pPr>
        <w:pageBreakBefore w:val="0"/>
        <w:widowControl w:val="0"/>
        <w:kinsoku/>
        <w:wordWrap/>
        <w:overflowPunct/>
        <w:topLinePunct w:val="0"/>
        <w:autoSpaceDE/>
        <w:autoSpaceDN/>
        <w:bidi w:val="0"/>
        <w:adjustRightInd/>
        <w:snapToGrid/>
        <w:spacing w:after="0" w:line="360" w:lineRule="exact"/>
        <w:ind w:left="0" w:leftChars="0" w:firstLine="480" w:firstLineChars="200"/>
        <w:jc w:val="both"/>
        <w:textAlignment w:val="auto"/>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如评审过程中,评标</w:t>
      </w: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小组</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要求投标人提交原件的，其需要在规定时间内及时递交。如未提交，相关内容将无效，不作为评审依据。</w:t>
      </w:r>
    </w:p>
    <w:p>
      <w:pPr>
        <w:pageBreakBefore w:val="0"/>
        <w:kinsoku/>
        <w:wordWrap/>
        <w:overflowPunct/>
        <w:topLinePunct w:val="0"/>
        <w:autoSpaceDE/>
        <w:autoSpaceDN/>
        <w:bidi w:val="0"/>
        <w:spacing w:line="360" w:lineRule="exact"/>
        <w:ind w:left="0" w:leftChars="0" w:firstLine="0" w:firstLineChars="0"/>
        <w:textAlignment w:val="auto"/>
        <w:rPr>
          <w:rFonts w:hint="eastAsia"/>
          <w:lang w:val="en-US" w:eastAsia="zh-CN"/>
        </w:rPr>
      </w:pPr>
    </w:p>
    <w:p>
      <w:pPr>
        <w:pStyle w:val="4"/>
        <w:pageBreakBefore w:val="0"/>
        <w:kinsoku/>
        <w:wordWrap/>
        <w:overflowPunct/>
        <w:topLinePunct w:val="0"/>
        <w:autoSpaceDE/>
        <w:autoSpaceDN/>
        <w:bidi w:val="0"/>
        <w:spacing w:before="156" w:after="156" w:line="360" w:lineRule="exact"/>
        <w:textAlignment w:val="auto"/>
        <w:rPr>
          <w:rFonts w:hint="eastAsia" w:asciiTheme="minorEastAsia" w:hAnsiTheme="minorEastAsia" w:eastAsiaTheme="minorEastAsia" w:cstheme="minorEastAsia"/>
          <w:color w:val="auto"/>
          <w:sz w:val="24"/>
          <w:szCs w:val="24"/>
          <w:highlight w:val="none"/>
        </w:rPr>
      </w:pPr>
      <w:bookmarkStart w:id="0" w:name="_Toc2589"/>
      <w:bookmarkStart w:id="1" w:name="_Toc40708253"/>
      <w:bookmarkStart w:id="2" w:name="_Toc24845"/>
      <w:bookmarkStart w:id="3" w:name="_Toc21342"/>
      <w:bookmarkStart w:id="4" w:name="_Toc18576"/>
      <w:bookmarkStart w:id="5" w:name="_Toc7736"/>
      <w:bookmarkStart w:id="6" w:name="_Toc17740"/>
      <w:r>
        <w:rPr>
          <w:rFonts w:hint="eastAsia" w:asciiTheme="minorEastAsia" w:hAnsiTheme="minorEastAsia" w:eastAsiaTheme="minorEastAsia" w:cstheme="minorEastAsia"/>
          <w:color w:val="auto"/>
          <w:sz w:val="24"/>
          <w:szCs w:val="24"/>
          <w:highlight w:val="none"/>
        </w:rPr>
        <w:t>用户需求书</w:t>
      </w:r>
      <w:bookmarkEnd w:id="0"/>
      <w:bookmarkEnd w:id="1"/>
      <w:bookmarkEnd w:id="2"/>
      <w:bookmarkEnd w:id="3"/>
      <w:bookmarkEnd w:id="4"/>
      <w:bookmarkEnd w:id="5"/>
      <w:bookmarkEnd w:id="6"/>
    </w:p>
    <w:p>
      <w:pPr>
        <w:pageBreakBefore w:val="0"/>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第一部分</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商务需求书</w:t>
      </w:r>
    </w:p>
    <w:tbl>
      <w:tblPr>
        <w:tblStyle w:val="14"/>
        <w:tblW w:w="9247" w:type="dxa"/>
        <w:tblInd w:w="-1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393"/>
        <w:gridCol w:w="68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3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条款名称</w:t>
            </w:r>
          </w:p>
        </w:tc>
        <w:tc>
          <w:tcPr>
            <w:tcW w:w="6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服务期</w:t>
            </w:r>
          </w:p>
        </w:tc>
        <w:tc>
          <w:tcPr>
            <w:tcW w:w="68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自合同签订之日起三年。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3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地点</w:t>
            </w:r>
          </w:p>
        </w:tc>
        <w:tc>
          <w:tcPr>
            <w:tcW w:w="689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东莞市</w:t>
            </w:r>
            <w:r>
              <w:rPr>
                <w:rFonts w:hint="eastAsia" w:asciiTheme="minorEastAsia" w:hAnsiTheme="minorEastAsia" w:eastAsiaTheme="minorEastAsia" w:cstheme="minorEastAsia"/>
                <w:color w:val="auto"/>
                <w:sz w:val="24"/>
                <w:szCs w:val="24"/>
                <w:highlight w:val="none"/>
                <w:lang w:val="en-US" w:eastAsia="zh-CN"/>
              </w:rPr>
              <w:t>桥头</w:t>
            </w:r>
            <w:r>
              <w:rPr>
                <w:rFonts w:hint="eastAsia" w:asciiTheme="minorEastAsia" w:hAnsiTheme="minorEastAsia" w:eastAsiaTheme="minorEastAsia" w:cstheme="minorEastAsia"/>
                <w:color w:val="auto"/>
                <w:sz w:val="24"/>
                <w:szCs w:val="24"/>
                <w:highlight w:val="none"/>
              </w:rPr>
              <w:t>医院</w:t>
            </w:r>
            <w:r>
              <w:rPr>
                <w:rFonts w:hint="eastAsia" w:asciiTheme="minorEastAsia" w:hAnsiTheme="minorEastAsia" w:eastAsiaTheme="minorEastAsia" w:cstheme="minorEastAsia"/>
                <w:color w:val="auto"/>
                <w:sz w:val="24"/>
                <w:szCs w:val="24"/>
                <w:highlight w:val="none"/>
                <w:lang w:val="en-US" w:eastAsia="zh-CN"/>
              </w:rPr>
              <w:t>室内、室外公共区域所有洗手间、楼道、绿地、草坪及沟渠等、医院建筑共有27栋建筑物，宗地面积为47930.8平方米，建筑面积75284.3平方米。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3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付款方式</w:t>
            </w:r>
          </w:p>
        </w:tc>
        <w:tc>
          <w:tcPr>
            <w:tcW w:w="689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采购人按季与中标人结算服务费用，每季服务费按中标价÷12个季计算。中标人应在每季服务费在下一季月上旬（15日前）向采购人提供考核评分表、发票等资料，采购人收到相关资料，审核无误后30天内支付。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3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报价内容</w:t>
            </w:r>
          </w:p>
        </w:tc>
        <w:tc>
          <w:tcPr>
            <w:tcW w:w="689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报价应包含完成本次</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所有服务内容的费用，包含服务费用、人工费、</w:t>
            </w:r>
            <w:r>
              <w:rPr>
                <w:rFonts w:hint="eastAsia" w:asciiTheme="minorEastAsia" w:hAnsiTheme="minorEastAsia" w:eastAsiaTheme="minorEastAsia" w:cstheme="minorEastAsia"/>
                <w:color w:val="auto"/>
                <w:sz w:val="24"/>
                <w:szCs w:val="24"/>
                <w:highlight w:val="none"/>
                <w:lang w:val="en-US" w:eastAsia="zh-CN"/>
              </w:rPr>
              <w:t>材料费、</w:t>
            </w:r>
            <w:r>
              <w:rPr>
                <w:rFonts w:hint="eastAsia" w:asciiTheme="minorEastAsia" w:hAnsiTheme="minorEastAsia" w:eastAsiaTheme="minorEastAsia" w:cstheme="minorEastAsia"/>
                <w:color w:val="auto"/>
                <w:sz w:val="24"/>
                <w:szCs w:val="24"/>
                <w:highlight w:val="none"/>
              </w:rPr>
              <w:t>各种税务费及合同实施过程中的不可预见费用等全部费用（含</w:t>
            </w:r>
            <w:r>
              <w:rPr>
                <w:rFonts w:hint="eastAsia" w:asciiTheme="minorEastAsia" w:hAnsiTheme="minorEastAsia" w:eastAsiaTheme="minorEastAsia" w:cstheme="minorEastAsia"/>
                <w:color w:val="auto"/>
                <w:sz w:val="24"/>
                <w:szCs w:val="24"/>
                <w:highlight w:val="none"/>
                <w:lang w:eastAsia="zh-CN"/>
              </w:rPr>
              <w:t>采购文件</w:t>
            </w:r>
            <w:r>
              <w:rPr>
                <w:rFonts w:hint="eastAsia" w:asciiTheme="minorEastAsia" w:hAnsiTheme="minorEastAsia" w:eastAsiaTheme="minorEastAsia" w:cstheme="minorEastAsia"/>
                <w:color w:val="auto"/>
                <w:sz w:val="24"/>
                <w:szCs w:val="24"/>
                <w:highlight w:val="none"/>
              </w:rPr>
              <w:t>所要求的必要的辅助材料费用)和售后服务费等。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3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合同条款</w:t>
            </w:r>
          </w:p>
        </w:tc>
        <w:tc>
          <w:tcPr>
            <w:tcW w:w="689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①</w:t>
            </w:r>
            <w:r>
              <w:rPr>
                <w:rFonts w:hint="eastAsia" w:asciiTheme="minorEastAsia" w:hAnsiTheme="minorEastAsia" w:eastAsiaTheme="minorEastAsia" w:cstheme="minorEastAsia"/>
                <w:color w:val="auto"/>
                <w:sz w:val="24"/>
                <w:szCs w:val="24"/>
                <w:highlight w:val="none"/>
              </w:rPr>
              <w:t>投标人实质响应合同条款</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left="0" w:leftChars="0" w:right="0"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②合同采取三年一签。采购人根据每年中标单位综合考评情况，确定是否延续下一年合同。</w:t>
            </w:r>
          </w:p>
        </w:tc>
      </w:tr>
    </w:tbl>
    <w:p>
      <w:pPr>
        <w:pageBreakBefore w:val="0"/>
        <w:tabs>
          <w:tab w:val="left" w:pos="0"/>
        </w:tabs>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b/>
          <w:bCs/>
          <w:color w:val="auto"/>
          <w:sz w:val="24"/>
          <w:szCs w:val="24"/>
          <w:highlight w:val="none"/>
        </w:rPr>
      </w:pPr>
    </w:p>
    <w:p>
      <w:pPr>
        <w:pageBreakBefore w:val="0"/>
        <w:tabs>
          <w:tab w:val="left" w:pos="0"/>
        </w:tabs>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第二部分 技术需求书</w:t>
      </w:r>
    </w:p>
    <w:p>
      <w:pPr>
        <w:pageBreakBefore w:val="0"/>
        <w:kinsoku/>
        <w:wordWrap/>
        <w:overflowPunct/>
        <w:topLinePunct w:val="0"/>
        <w:autoSpaceDE/>
        <w:autoSpaceDN/>
        <w:bidi w:val="0"/>
        <w:snapToGrid w:val="0"/>
        <w:spacing w:line="360" w:lineRule="exact"/>
        <w:ind w:right="23" w:firstLine="472" w:firstLineChars="196"/>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一、主要工作内容</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1.消杀频率：</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除四害（</w:t>
      </w:r>
      <w:r>
        <w:rPr>
          <w:rFonts w:hint="eastAsia" w:asciiTheme="minorEastAsia" w:hAnsiTheme="minorEastAsia" w:eastAsiaTheme="minorEastAsia" w:cstheme="minorEastAsia"/>
          <w:color w:val="auto"/>
          <w:sz w:val="24"/>
          <w:szCs w:val="24"/>
          <w:highlight w:val="none"/>
        </w:rPr>
        <w:t>灭鼠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灭蚊、灭蟑螂、灭蝇</w:t>
      </w:r>
      <w:r>
        <w:rPr>
          <w:rFonts w:hint="eastAsia" w:asciiTheme="minorEastAsia" w:hAnsiTheme="minorEastAsia" w:eastAsiaTheme="minorEastAsia" w:cstheme="minorEastAsia"/>
          <w:color w:val="auto"/>
          <w:sz w:val="24"/>
          <w:szCs w:val="24"/>
          <w:highlight w:val="none"/>
          <w:lang w:val="en-US" w:eastAsia="zh-CN"/>
        </w:rPr>
        <w:t>）低峰期12月1月2月3月每月手工三次，其余高峰期每月施工4次</w:t>
      </w:r>
      <w:r>
        <w:rPr>
          <w:rFonts w:hint="eastAsia" w:asciiTheme="minorEastAsia" w:hAnsiTheme="minorEastAsia" w:eastAsiaTheme="minorEastAsia" w:cstheme="minorEastAsia"/>
          <w:color w:val="auto"/>
          <w:sz w:val="24"/>
          <w:szCs w:val="24"/>
          <w:highlight w:val="none"/>
        </w:rPr>
        <w:t>，投药后及时清理死鼠，及时检查药饵的损耗情况并及时补充，根据鼠患情况采取相应的抓捕措施</w:t>
      </w:r>
      <w:r>
        <w:rPr>
          <w:rFonts w:hint="eastAsia" w:asciiTheme="minorEastAsia" w:hAnsiTheme="minorEastAsia" w:eastAsiaTheme="minorEastAsia" w:cstheme="minorEastAsia"/>
          <w:color w:val="auto"/>
          <w:sz w:val="24"/>
          <w:szCs w:val="24"/>
          <w:highlight w:val="none"/>
          <w:lang w:eastAsia="zh-CN"/>
        </w:rPr>
        <w:t>。</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）白蚁：</w:t>
      </w:r>
      <w:r>
        <w:rPr>
          <w:rFonts w:hint="eastAsia" w:asciiTheme="minorEastAsia" w:hAnsiTheme="minorEastAsia" w:eastAsiaTheme="minorEastAsia" w:cstheme="minorEastAsia"/>
          <w:color w:val="auto"/>
          <w:sz w:val="24"/>
          <w:szCs w:val="24"/>
          <w:highlight w:val="none"/>
          <w:lang w:val="en-US" w:eastAsia="zh-CN"/>
        </w:rPr>
        <w:t>高峰期4月5月6月每月施工两次</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其余每月施工1次。</w:t>
      </w:r>
      <w:r>
        <w:rPr>
          <w:rFonts w:hint="eastAsia" w:asciiTheme="minorEastAsia" w:hAnsiTheme="minorEastAsia" w:eastAsiaTheme="minorEastAsia" w:cstheme="minorEastAsia"/>
          <w:color w:val="auto"/>
          <w:sz w:val="24"/>
          <w:szCs w:val="24"/>
          <w:highlight w:val="none"/>
        </w:rPr>
        <w:t>对白蚁易寄存点及门窗、家具乃至受潮墙壁等点位进行不定时消杀和防护（发现或检查有白蚁活动痕迹为依据），将白蚁损害降致最低。</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应自行清理遗留在施工现场的杂物，及时处理治灭的善后工作，以免因孳生物遗留面影响项目的质量；</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灭鼠药全部当次放完；街道灭鼠全部用灭鼠屋，放药点必须做好警示装置，有固定的鼠尸处理场地及防疫实验室确保鼠尸病不传播，杜绝环境污染。灭鼠屋不能用PVC管等胶质管，需改用省、市规定的硅瓦型、防盗型。灭蚊、灭蝇、灭蟑螂必须使用药烟雾剂、混合水剂。</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.将以上工作内容收集和产出的动物尸体运往采购方指定的转运站；</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所使用的灭鼠杀虫药品按国家规定要有“三证”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kern w:val="0"/>
          <w:sz w:val="24"/>
          <w:szCs w:val="24"/>
        </w:rPr>
        <w:t>即农业部的农药登记证、农药生产许可证、质量技术监督部门的产品质量标准证</w:t>
      </w:r>
      <w:r>
        <w:rPr>
          <w:rFonts w:hint="eastAsia" w:asciiTheme="minorEastAsia" w:hAnsiTheme="minorEastAsia" w:eastAsiaTheme="minorEastAsia" w:cstheme="minorEastAsia"/>
          <w:b w:val="0"/>
          <w:bCs/>
          <w:kern w:val="0"/>
          <w:sz w:val="24"/>
          <w:szCs w:val="24"/>
          <w:lang w:eastAsia="zh-CN"/>
        </w:rPr>
        <w:t>）</w:t>
      </w:r>
      <w:r>
        <w:rPr>
          <w:rFonts w:hint="eastAsia" w:asciiTheme="minorEastAsia" w:hAnsiTheme="minorEastAsia" w:eastAsiaTheme="minorEastAsia" w:cstheme="minorEastAsia"/>
          <w:color w:val="auto"/>
          <w:sz w:val="24"/>
          <w:szCs w:val="24"/>
          <w:highlight w:val="none"/>
        </w:rPr>
        <w:t>或使用全国或市爱卫会专家委员会推荐和认定的药物，严禁使用急性灭鼠药或其他明文禁用药物。如药物使用不当引起人畜中毒或其他责任事故的，</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应承担责任。注重科学合理用药，不能使用假药、国家禁用的药物。</w:t>
      </w:r>
    </w:p>
    <w:p>
      <w:pPr>
        <w:pageBreakBefore w:val="0"/>
        <w:kinsoku/>
        <w:wordWrap/>
        <w:overflowPunct/>
        <w:topLinePunct w:val="0"/>
        <w:autoSpaceDE/>
        <w:autoSpaceDN/>
        <w:bidi w:val="0"/>
        <w:snapToGrid w:val="0"/>
        <w:spacing w:line="360" w:lineRule="exact"/>
        <w:ind w:right="23" w:firstLine="472" w:firstLineChars="196"/>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二、工作要求</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l.</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须根据采购人的实际情况，编写《公共环境消杀服务实施方案》。</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应列明消杀模式，具备适合除“四害”等消杀服务的技术、管理人员，工作人员等，并向采购人提供相应的营业执照、资质证照及有关人员职责名单、上岗证复印件：</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应进场一星期内将上述人员证书原件送采购人核验。</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投入本项目的机械设备清单(注明名称、规格、数量)，必须满足国家有关技术操作规程的要求；</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应严格按照国家有关规定投放喷洒药物，科学、安全用药，不得使用国家禁用的药品，严防中毒事故发生。如使用违规药品导致第三人人身财产损失，由</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负担全部责任，采购人可单方面解除服务协议，并要求</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偿付合同金额10%的违约金；</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及其工人遵守采购人有关管理规定，并能按有关安全规定安全进行工作。</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及其工人如有违纪违法、发生工伤意外事故，采购人均不负任何责任；</w:t>
      </w:r>
    </w:p>
    <w:p>
      <w:pPr>
        <w:pageBreakBefore w:val="0"/>
        <w:kinsoku/>
        <w:wordWrap/>
        <w:overflowPunct/>
        <w:topLinePunct w:val="0"/>
        <w:autoSpaceDE/>
        <w:autoSpaceDN/>
        <w:bidi w:val="0"/>
        <w:snapToGrid w:val="0"/>
        <w:spacing w:line="360" w:lineRule="exact"/>
        <w:ind w:left="502" w:leftChars="209" w:right="23"/>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6.采购人可对</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的《公共环境消杀服务实施方案》进行审核及提出修改意见。</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8.处罚：</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（1）每季度采购人对</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承包范围内的消杀服务工作质量进行考核（见附件），考核结果分三级，评级为好(分数为90及以上)、中(分数为80-90（不含）分)、差(80分（不含）以下)三个档次；</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（2）消杀服务工作考核结果属“好”的，按当季承包费金额支付；属“中”的，每少1分扣服务费150元；属“差”的，每少1分扣服务费300元，如考核属“差”的，除扣减服务费外，</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须在10天内完成问题整改，整改后重新考核，结果仍为“差”的，甲方可单方面终止合同。</w:t>
      </w:r>
    </w:p>
    <w:p>
      <w:pPr>
        <w:pageBreakBefore w:val="0"/>
        <w:kinsoku/>
        <w:wordWrap/>
        <w:overflowPunct/>
        <w:topLinePunct w:val="0"/>
        <w:autoSpaceDE/>
        <w:autoSpaceDN/>
        <w:bidi w:val="0"/>
        <w:snapToGrid w:val="0"/>
        <w:spacing w:line="360" w:lineRule="exact"/>
        <w:ind w:right="23" w:firstLine="472" w:firstLineChars="196"/>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三、消杀服务作业办法</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1.作业时间由早上</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：30---晚上</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：00。</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2.消杀期间同时做好《消杀登记记录表》。</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每个月第一周交本月工作计划，每个月最后一周需将本周施（投）放药物等相关工作图片、施（投）放药物数量、名称、合格证、购买药物的发票（收据）连同工作计划、总结等文字资料作为一次工作汇报（记录）、该工作汇报（记录）将作为检查考核的一项重要依据。</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.施工要求：</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（1）灭鼠：</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①使用老鼠的嗜好食物，如稻谷、小麦、花生米、快食面等。混拌第一代第二代的低毒、抗凝血慢性灭鼠药剂配制成毒饵，作为防治物进行诱杀。</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②根据老鼠的生活习性和活动范围分类灭鼠。</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a.对闲置地附近的绿化带实施灭鼠：因绿化带地面较潮湿，采用防潮的小塑料袋装毒饵或药箱定点布放投药。</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b.对垃圾中转站、厕所附近的绿化树木实施灭鼠：因上述几处是老鼠活动频繁区域，所以根据鼠害活动区域环境特点，采用沿线周边毒鼠药箱饱和投药。</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③效果检查和施药跟进。老鼠在取食毒饵后，一般在5-7天内中毒而亡，</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应在5天内进行效果检查，发现在施药范围内捕获和中毒死亡的鼠类进行清检收回，统一集中进行无毒化处理。发现诱饵被食完要及时补投毒饵，确保消杀效果彻底。</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药物投放应采用轮番换药及定时补充投药量相结合的方式，根据鼠害活动走道区域的变化适时调整布药点，让存活鼠害对毒饵有更好的口味和足够的吸食量。同时在施药过程中不断对绿化树木、下水道、排水口、管道口、墙洞等附近的绿化树木、绿化带周围环境加以检查，及时完善上述环境的防鼠设施。</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（2）灭蚊：</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①灭蚊药物的使用，喷施必须基于“环保、高效”的基础，采用除虫菊酯类药物、生物防治型药物进行消杀防治处理，使用过程中应根据虫害的情况不定期轮番更换施药药物。</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②灭蚊的方法根据成蚊在黄昏、夜晚、早晨活动范围大，且喜栖息于阴暗潮湿地的特点，采用常用剂量喷杀承包范围内的绿化带附近的下水道口、沙井盖上的成蚊，将蚊害活动密度降低直至灭治。</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③在蚊害高发季节和蚊类危害突发的情况下，应增加喷杀次数，保障机制环境清新优美。</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④施药跟进在施药完毕后的次日，</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应派出施药人员对喷杀范围环境进行检查，对容易滋生蚊类幼虫的场所如污水积水、阴暗处等，若发现有幼虫产生的，即采用生物药剂投入水体的方法进行消杀处理。</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（3）灭蝇</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灭蝇措施方法对承包范围内垃圾处理桶、果皮箱、厕所等附近绿化带树木容易滋生苍蝇的场所，采用菊酯类的药物喷杀处理，把蝇类进行治灭。根据蝇类的滋生及活动区域习性，如成蝇主要公布在有垃圾堆积的地方等，采用菊酯或残杀威等低毒的杀虫乳油作常量喷洒，重点部位加重剂量喷杀，对不宜喷洒区，则采用不定期悬挂粘蝇纸捕杀。</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②施药</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喷药完毕后，加强对容易滋生蝇幼虫的地方进行巡视，发现有幼虫滋生的即采用灭蝇幼虫药剂喷洒滋生地方的方法进行处理，力求将蝇消灭在萌芽壮态。</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灭蟑螂：蟑螂的防治措施方法对承包范围内绿化带附近的沙井、下水道采用热烟雾机烟熏和常量剂喷洒处理，对不宜使用热烟雾熏杀处理的区域，采用菊脂类杀虫乳油实施喷洒，或施放灭蟑粉、灭蟑胶饵。并重点加强对蟑螂栖息的孔洞和缝隙用线状喷头进行缝隙喷洒。</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（5）白蚁：按其活动规律或滋生点进行消杀和防治，最大化减少损失或伤害。</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（6）补充措施</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对不便喷药的部位及难以杀灭的德国小蠊，则采用毒饵法或定点布放粘捕盒进行诱杀，将毒饵点或捕盒布在蟑螂经常出没的地方，采用量少堆多的方法，以使害虫有更多的机会取食。</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（7）施药记录施药结束后，按要求填写施药日程表，双方代表签字确认。</w:t>
      </w:r>
    </w:p>
    <w:p>
      <w:pPr>
        <w:pageBreakBefore w:val="0"/>
        <w:kinsoku/>
        <w:wordWrap/>
        <w:overflowPunct/>
        <w:topLinePunct w:val="0"/>
        <w:autoSpaceDE/>
        <w:autoSpaceDN/>
        <w:bidi w:val="0"/>
        <w:snapToGrid w:val="0"/>
        <w:spacing w:line="360" w:lineRule="exact"/>
        <w:ind w:right="23"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四、全国灭鼠、灭蚊、灭蝇、灭蟑螂标准</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参照全国爱卫会除四害标准，确定本项目的除四害防控指标：</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（一）灭鼠标准（全国爱卫会）</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1.15平方米标准房间布放20×厘米滑石粉块两块，一夜后阳性粉块不超过3%；有鼠洞、鼠粪、鼠咬痕等鼠迹的房间不超过2%；重点单位防鼠设施不合格率不超过5%。</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2.不同类型的外环境累计2000米，鼠迹不超过5处。</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（二）灭蚊标准（全国爱卫会）</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1.居民住宅、单位内外环境各种存水容器和积水中，蚊幼虫及蛹的阳性率不超过3%。</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2.用500ml收集城区内大、中型水体中的蚊幼或蛹阳性率不超过3%，阳性勺内幼虫或蛹的平均数不超过5只。</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3.特殊场所白天人诱蚊30分钟，平均每天次诱获成蚊数不超过1只。</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（三）灭蝇标准（全国爱卫会）</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1.重点单位有蝇房间不超过1%，其他单位不超过3%；平均每阳性房间有蝇不超过3只；重点单位防蝇设放不合格房间不超过5%；加工、销售直接入口食品的场所不得有蝇。</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2.蝇类孳生地得到有效治理，幼虫和蛹的检出率不超过3%。</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（四）灭蟑螂标准（全国爱卫会）</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1.室内有蟑螂成虫或若虫阳性房间不超过3%，平均每间大蠊不超过5只，小蠊不超过只。</w:t>
      </w:r>
    </w:p>
    <w:p>
      <w:pPr>
        <w:pageBreakBefore w:val="0"/>
        <w:kinsoku/>
        <w:wordWrap/>
        <w:overflowPunct/>
        <w:topLinePunct w:val="0"/>
        <w:autoSpaceDE/>
        <w:autoSpaceDN/>
        <w:bidi w:val="0"/>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2.有活蟑螂卵鞘房间不超过2%，平均每间房不超过4只。有蟑螂粪便、蜕皮等蟑迹的房间不超过5%。</w:t>
      </w:r>
    </w:p>
    <w:p>
      <w:pPr>
        <w:pageBreakBefore w:val="0"/>
        <w:widowControl/>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color w:val="auto"/>
          <w:sz w:val="24"/>
          <w:szCs w:val="24"/>
          <w:highlight w:val="none"/>
        </w:rPr>
      </w:pPr>
    </w:p>
    <w:p>
      <w:pPr>
        <w:pageBreakBefore w:val="0"/>
        <w:kinsoku/>
        <w:wordWrap/>
        <w:overflowPunct/>
        <w:topLinePunct w:val="0"/>
        <w:autoSpaceDE/>
        <w:autoSpaceDN/>
        <w:bidi w:val="0"/>
        <w:snapToGrid w:val="0"/>
        <w:spacing w:line="36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桥头</w:t>
      </w:r>
      <w:r>
        <w:rPr>
          <w:rFonts w:hint="eastAsia" w:asciiTheme="minorEastAsia" w:hAnsiTheme="minorEastAsia" w:eastAsiaTheme="minorEastAsia" w:cstheme="minorEastAsia"/>
          <w:color w:val="auto"/>
          <w:sz w:val="24"/>
          <w:szCs w:val="24"/>
          <w:highlight w:val="none"/>
        </w:rPr>
        <w:t>医院消杀服务工作考核评分表</w:t>
      </w:r>
    </w:p>
    <w:tbl>
      <w:tblPr>
        <w:tblStyle w:val="15"/>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564"/>
        <w:gridCol w:w="3480"/>
        <w:gridCol w:w="2525"/>
        <w:gridCol w:w="10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5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保养项目</w:t>
            </w:r>
          </w:p>
        </w:tc>
        <w:tc>
          <w:tcPr>
            <w:tcW w:w="3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考核标准</w:t>
            </w:r>
          </w:p>
        </w:tc>
        <w:tc>
          <w:tcPr>
            <w:tcW w:w="2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评分标准</w:t>
            </w:r>
          </w:p>
        </w:tc>
        <w:tc>
          <w:tcPr>
            <w:tcW w:w="10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35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消杀计划及实施情况</w:t>
            </w:r>
          </w:p>
        </w:tc>
        <w:tc>
          <w:tcPr>
            <w:tcW w:w="3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按合同要求及时制定本月消杀工作计划，并遵照实施，每周进行一次消杀。</w:t>
            </w:r>
          </w:p>
        </w:tc>
        <w:tc>
          <w:tcPr>
            <w:tcW w:w="2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此项目共15分，每发现一项不符合扣1分。</w:t>
            </w:r>
          </w:p>
        </w:tc>
        <w:tc>
          <w:tcPr>
            <w:tcW w:w="10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消杀效果</w:t>
            </w:r>
          </w:p>
        </w:tc>
        <w:tc>
          <w:tcPr>
            <w:tcW w:w="5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鼠</w:t>
            </w:r>
          </w:p>
        </w:tc>
        <w:tc>
          <w:tcPr>
            <w:tcW w:w="3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管理区域内发现鼠迹不超过2处/月，公共区域无明显鼠迹。</w:t>
            </w:r>
          </w:p>
        </w:tc>
        <w:tc>
          <w:tcPr>
            <w:tcW w:w="2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此项目共10分，每发现一处扣0.5分。</w:t>
            </w:r>
          </w:p>
        </w:tc>
        <w:tc>
          <w:tcPr>
            <w:tcW w:w="10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auto"/>
                <w:sz w:val="24"/>
                <w:szCs w:val="24"/>
                <w:highlight w:val="none"/>
              </w:rPr>
            </w:pPr>
          </w:p>
        </w:tc>
        <w:tc>
          <w:tcPr>
            <w:tcW w:w="5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蚊</w:t>
            </w:r>
          </w:p>
        </w:tc>
        <w:tc>
          <w:tcPr>
            <w:tcW w:w="3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抽查室内20间房或检查仓库、地下室，目视无明显蚊虫在飞。</w:t>
            </w:r>
          </w:p>
        </w:tc>
        <w:tc>
          <w:tcPr>
            <w:tcW w:w="2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此项目共10分，每发现1只扣0.1分。</w:t>
            </w:r>
          </w:p>
        </w:tc>
        <w:tc>
          <w:tcPr>
            <w:tcW w:w="10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auto"/>
                <w:sz w:val="24"/>
                <w:szCs w:val="24"/>
                <w:highlight w:val="none"/>
              </w:rPr>
            </w:pPr>
          </w:p>
        </w:tc>
        <w:tc>
          <w:tcPr>
            <w:tcW w:w="5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蝇</w:t>
            </w:r>
          </w:p>
        </w:tc>
        <w:tc>
          <w:tcPr>
            <w:tcW w:w="3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没有发现苍蝇孳生地，目视无明显苍蝇在飞。</w:t>
            </w:r>
          </w:p>
        </w:tc>
        <w:tc>
          <w:tcPr>
            <w:tcW w:w="2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此项目共10分，每发现一处扣0.5分。</w:t>
            </w:r>
          </w:p>
        </w:tc>
        <w:tc>
          <w:tcPr>
            <w:tcW w:w="10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auto"/>
                <w:sz w:val="24"/>
                <w:szCs w:val="24"/>
                <w:highlight w:val="none"/>
              </w:rPr>
            </w:pPr>
          </w:p>
        </w:tc>
        <w:tc>
          <w:tcPr>
            <w:tcW w:w="5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蟑螂</w:t>
            </w:r>
          </w:p>
        </w:tc>
        <w:tc>
          <w:tcPr>
            <w:tcW w:w="3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抽查室内20间房，每间房蟑螂数不超过1只；抽查污、雨水井10个，每处蟑螂数不超过3只。</w:t>
            </w:r>
          </w:p>
        </w:tc>
        <w:tc>
          <w:tcPr>
            <w:tcW w:w="2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此项目共10分，每超过1只扣0.1分。</w:t>
            </w:r>
          </w:p>
        </w:tc>
        <w:tc>
          <w:tcPr>
            <w:tcW w:w="10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5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白蚁防治</w:t>
            </w:r>
          </w:p>
        </w:tc>
        <w:tc>
          <w:tcPr>
            <w:tcW w:w="3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有活动痕迹，发现期限不超过1个月，并做常规防治处理。 </w:t>
            </w:r>
          </w:p>
        </w:tc>
        <w:tc>
          <w:tcPr>
            <w:tcW w:w="2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此项共10分，如有不合格，一次全扣。</w:t>
            </w:r>
          </w:p>
        </w:tc>
        <w:tc>
          <w:tcPr>
            <w:tcW w:w="10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35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服务态度</w:t>
            </w:r>
          </w:p>
        </w:tc>
        <w:tc>
          <w:tcPr>
            <w:tcW w:w="3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接听电话、现场服务，服务人员均应热情有礼对待管理人员、工作人员。 </w:t>
            </w:r>
          </w:p>
        </w:tc>
        <w:tc>
          <w:tcPr>
            <w:tcW w:w="2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此项目共5分，每发现一项不符合扣1分。 </w:t>
            </w:r>
          </w:p>
        </w:tc>
        <w:tc>
          <w:tcPr>
            <w:tcW w:w="10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5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投诉处理</w:t>
            </w:r>
          </w:p>
        </w:tc>
        <w:tc>
          <w:tcPr>
            <w:tcW w:w="3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因消杀质量不过关，造成四害影响严重的。</w:t>
            </w:r>
          </w:p>
        </w:tc>
        <w:tc>
          <w:tcPr>
            <w:tcW w:w="2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此项共10分，如发生重大事故则全部扣除。检查中每发现一处问题视情节严重扣1—5分。一个季度内每次有效投诉扣2分，扣完为止。</w:t>
            </w:r>
          </w:p>
        </w:tc>
        <w:tc>
          <w:tcPr>
            <w:tcW w:w="10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5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工具及药物使用情况</w:t>
            </w:r>
          </w:p>
        </w:tc>
        <w:tc>
          <w:tcPr>
            <w:tcW w:w="3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工具及药物的使用符合国家安全要求。 </w:t>
            </w:r>
          </w:p>
        </w:tc>
        <w:tc>
          <w:tcPr>
            <w:tcW w:w="2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此项目共10分，每发现一项不符合要求的扣1分。 </w:t>
            </w:r>
          </w:p>
        </w:tc>
        <w:tc>
          <w:tcPr>
            <w:tcW w:w="10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5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上级单位检查结果</w:t>
            </w:r>
          </w:p>
        </w:tc>
        <w:tc>
          <w:tcPr>
            <w:tcW w:w="3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顺利通过上级单位检查，发现的问题及时解决。</w:t>
            </w:r>
          </w:p>
        </w:tc>
        <w:tc>
          <w:tcPr>
            <w:tcW w:w="25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此项目共10分，未通过检查扣除5分，发现的问题没有及时改正，每发现一项扣1分。 </w:t>
            </w:r>
          </w:p>
        </w:tc>
        <w:tc>
          <w:tcPr>
            <w:tcW w:w="10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35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总得分</w:t>
            </w:r>
          </w:p>
        </w:tc>
        <w:tc>
          <w:tcPr>
            <w:tcW w:w="10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35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考核结果</w:t>
            </w:r>
          </w:p>
        </w:tc>
        <w:tc>
          <w:tcPr>
            <w:tcW w:w="10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heme="minorEastAsia" w:hAnsiTheme="minorEastAsia" w:eastAsiaTheme="minorEastAsia" w:cstheme="minorEastAsia"/>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spacing w:line="360" w:lineRule="exact"/>
        <w:ind w:right="23"/>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pPr>
        <w:keepNext w:val="0"/>
        <w:keepLines w:val="0"/>
        <w:pageBreakBefore w:val="0"/>
        <w:widowControl w:val="0"/>
        <w:kinsoku/>
        <w:wordWrap/>
        <w:overflowPunct/>
        <w:topLinePunct w:val="0"/>
        <w:autoSpaceDE/>
        <w:autoSpaceDN/>
        <w:bidi w:val="0"/>
        <w:adjustRightInd/>
        <w:snapToGrid w:val="0"/>
        <w:spacing w:line="360" w:lineRule="exact"/>
        <w:ind w:right="23"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考核结果分三级，评级为好(分数为90及以上)、中(分数为80-90（不含）分)、差(80分以下)三个档次；</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消杀服务工作考核结果属“好”的，按当季承包费金额支付；属“中”的，每少1分扣150元；属“差”的，每少1分扣除300元，如考核属“差”的，</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rPr>
        <w:t>须在10天内完成问题整改，整改后重新考核，结果仍为“差”的，甲方可单方面终止合同。</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8720" w:type="dxa"/>
            <w:noWrap w:val="0"/>
            <w:vAlign w:val="center"/>
          </w:tcPr>
          <w:p>
            <w:pPr>
              <w:pageBreakBefore w:val="0"/>
              <w:kinsoku/>
              <w:topLinePunct w:val="0"/>
              <w:bidi w:val="0"/>
              <w:spacing w:line="440" w:lineRule="exact"/>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考核存在问题反馈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1" w:hRule="atLeast"/>
        </w:trPr>
        <w:tc>
          <w:tcPr>
            <w:tcW w:w="8720" w:type="dxa"/>
            <w:noWrap w:val="0"/>
            <w:vAlign w:val="top"/>
          </w:tcPr>
          <w:p>
            <w:pPr>
              <w:pageBreakBefore w:val="0"/>
              <w:kinsoku/>
              <w:topLinePunct w:val="0"/>
              <w:bidi w:val="0"/>
              <w:spacing w:line="440" w:lineRule="exact"/>
              <w:textAlignment w:val="auto"/>
              <w:rPr>
                <w:rFonts w:hint="eastAsia" w:asciiTheme="minorEastAsia" w:hAnsiTheme="minorEastAsia" w:eastAsiaTheme="minorEastAsia" w:cstheme="minorEastAsia"/>
                <w:color w:val="auto"/>
                <w:sz w:val="24"/>
                <w:szCs w:val="24"/>
                <w:highlight w:val="none"/>
              </w:rPr>
            </w:pPr>
          </w:p>
          <w:p>
            <w:pPr>
              <w:pStyle w:val="4"/>
              <w:pageBreakBefore w:val="0"/>
              <w:kinsoku/>
              <w:topLinePunct w:val="0"/>
              <w:bidi w:val="0"/>
              <w:spacing w:before="156" w:after="156" w:line="440" w:lineRule="exact"/>
              <w:textAlignment w:val="auto"/>
              <w:outlineLvl w:val="1"/>
              <w:rPr>
                <w:rFonts w:hint="eastAsia" w:asciiTheme="minorEastAsia" w:hAnsiTheme="minorEastAsia" w:eastAsiaTheme="minorEastAsia" w:cstheme="minorEastAsia"/>
                <w:color w:val="auto"/>
                <w:sz w:val="24"/>
                <w:szCs w:val="24"/>
                <w:highlight w:val="none"/>
              </w:rPr>
            </w:pPr>
          </w:p>
          <w:p>
            <w:pPr>
              <w:pageBreakBefore w:val="0"/>
              <w:kinsoku/>
              <w:topLinePunct w:val="0"/>
              <w:bidi w:val="0"/>
              <w:spacing w:line="440" w:lineRule="exact"/>
              <w:textAlignment w:val="auto"/>
              <w:rPr>
                <w:rFonts w:hint="eastAsia" w:asciiTheme="minorEastAsia" w:hAnsiTheme="minorEastAsia" w:eastAsiaTheme="minorEastAsia" w:cstheme="minorEastAsia"/>
                <w:color w:val="auto"/>
                <w:sz w:val="24"/>
                <w:szCs w:val="24"/>
                <w:highlight w:val="none"/>
              </w:rPr>
            </w:pPr>
          </w:p>
          <w:p>
            <w:pPr>
              <w:pStyle w:val="4"/>
              <w:pageBreakBefore w:val="0"/>
              <w:kinsoku/>
              <w:topLinePunct w:val="0"/>
              <w:bidi w:val="0"/>
              <w:spacing w:before="156" w:after="156" w:line="440" w:lineRule="exact"/>
              <w:textAlignment w:val="auto"/>
              <w:outlineLvl w:val="1"/>
              <w:rPr>
                <w:rFonts w:hint="eastAsia" w:asciiTheme="minorEastAsia" w:hAnsiTheme="minorEastAsia" w:eastAsiaTheme="minorEastAsia" w:cstheme="minorEastAsia"/>
                <w:color w:val="auto"/>
                <w:sz w:val="24"/>
                <w:szCs w:val="24"/>
                <w:highlight w:val="none"/>
              </w:rPr>
            </w:pPr>
          </w:p>
          <w:p>
            <w:pPr>
              <w:pageBreakBefore w:val="0"/>
              <w:kinsoku/>
              <w:topLinePunct w:val="0"/>
              <w:bidi w:val="0"/>
              <w:spacing w:line="440" w:lineRule="exact"/>
              <w:textAlignment w:val="auto"/>
              <w:rPr>
                <w:rFonts w:hint="eastAsia" w:asciiTheme="minorEastAsia" w:hAnsiTheme="minorEastAsia" w:eastAsiaTheme="minorEastAsia" w:cstheme="minorEastAsia"/>
                <w:color w:val="auto"/>
                <w:sz w:val="24"/>
                <w:szCs w:val="24"/>
                <w:highlight w:val="none"/>
              </w:rPr>
            </w:pPr>
          </w:p>
          <w:p>
            <w:pPr>
              <w:pageBreakBefore w:val="0"/>
              <w:kinsoku/>
              <w:topLinePunct w:val="0"/>
              <w:bidi w:val="0"/>
              <w:spacing w:line="440" w:lineRule="exact"/>
              <w:textAlignment w:val="auto"/>
              <w:rPr>
                <w:rFonts w:hint="eastAsia" w:asciiTheme="minorEastAsia" w:hAnsiTheme="minorEastAsia" w:eastAsiaTheme="minorEastAsia" w:cstheme="minorEastAsia"/>
                <w:color w:val="auto"/>
                <w:sz w:val="24"/>
                <w:szCs w:val="24"/>
                <w:highlight w:val="none"/>
              </w:rPr>
            </w:pPr>
          </w:p>
          <w:p>
            <w:pPr>
              <w:pageBreakBefore w:val="0"/>
              <w:kinsoku/>
              <w:topLinePunct w:val="0"/>
              <w:bidi w:val="0"/>
              <w:spacing w:line="440" w:lineRule="exact"/>
              <w:textAlignment w:val="auto"/>
              <w:rPr>
                <w:rFonts w:hint="eastAsia" w:asciiTheme="minorEastAsia" w:hAnsiTheme="minorEastAsia" w:eastAsiaTheme="minorEastAsia" w:cstheme="minorEastAsia"/>
                <w:color w:val="auto"/>
                <w:sz w:val="24"/>
                <w:szCs w:val="24"/>
                <w:highlight w:val="none"/>
              </w:rPr>
            </w:pPr>
          </w:p>
          <w:p>
            <w:pPr>
              <w:pageBreakBefore w:val="0"/>
              <w:kinsoku/>
              <w:topLinePunct w:val="0"/>
              <w:bidi w:val="0"/>
              <w:spacing w:line="440" w:lineRule="exact"/>
              <w:textAlignment w:val="auto"/>
              <w:rPr>
                <w:rFonts w:hint="eastAsia" w:asciiTheme="minorEastAsia" w:hAnsiTheme="minorEastAsia" w:eastAsiaTheme="minorEastAsia" w:cstheme="minorEastAsia"/>
                <w:color w:val="auto"/>
                <w:sz w:val="24"/>
                <w:szCs w:val="24"/>
                <w:highlight w:val="none"/>
              </w:rPr>
            </w:pPr>
          </w:p>
          <w:p>
            <w:pPr>
              <w:pStyle w:val="4"/>
              <w:pageBreakBefore w:val="0"/>
              <w:kinsoku/>
              <w:topLinePunct w:val="0"/>
              <w:bidi w:val="0"/>
              <w:spacing w:before="156" w:after="156" w:line="440" w:lineRule="exact"/>
              <w:jc w:val="both"/>
              <w:textAlignment w:val="auto"/>
              <w:outlineLvl w:val="1"/>
              <w:rPr>
                <w:rFonts w:hint="eastAsia" w:asciiTheme="minorEastAsia" w:hAnsiTheme="minorEastAsia" w:eastAsiaTheme="minorEastAsia" w:cstheme="minorEastAsia"/>
                <w:b w:val="0"/>
                <w:color w:val="auto"/>
                <w:sz w:val="24"/>
                <w:szCs w:val="24"/>
                <w:highlight w:val="none"/>
              </w:rPr>
            </w:pPr>
          </w:p>
          <w:p>
            <w:pPr>
              <w:pStyle w:val="4"/>
              <w:pageBreakBefore w:val="0"/>
              <w:kinsoku/>
              <w:topLinePunct w:val="0"/>
              <w:bidi w:val="0"/>
              <w:spacing w:before="156" w:after="156" w:line="440" w:lineRule="exact"/>
              <w:jc w:val="both"/>
              <w:textAlignment w:val="auto"/>
              <w:outlineLvl w:val="1"/>
              <w:rPr>
                <w:rFonts w:hint="eastAsia" w:asciiTheme="minorEastAsia" w:hAnsiTheme="minorEastAsia" w:eastAsiaTheme="minorEastAsia" w:cstheme="minorEastAsia"/>
                <w:b w:val="0"/>
                <w:color w:val="auto"/>
                <w:sz w:val="24"/>
                <w:szCs w:val="24"/>
                <w:highlight w:val="none"/>
              </w:rPr>
            </w:pPr>
          </w:p>
          <w:p>
            <w:pPr>
              <w:rPr>
                <w:rFonts w:hint="eastAsia" w:asciiTheme="minorEastAsia" w:hAnsiTheme="minorEastAsia" w:eastAsiaTheme="minorEastAsia" w:cstheme="minorEastAsia"/>
                <w:b w:val="0"/>
                <w:color w:val="auto"/>
                <w:sz w:val="24"/>
                <w:szCs w:val="24"/>
                <w:highlight w:val="none"/>
              </w:rPr>
            </w:pPr>
          </w:p>
          <w:p>
            <w:pPr>
              <w:pStyle w:val="9"/>
              <w:rPr>
                <w:rFonts w:hint="eastAsia" w:asciiTheme="minorEastAsia" w:hAnsiTheme="minorEastAsia" w:eastAsiaTheme="minorEastAsia" w:cstheme="minorEastAsia"/>
                <w:b w:val="0"/>
                <w:color w:val="auto"/>
                <w:sz w:val="24"/>
                <w:szCs w:val="24"/>
                <w:highlight w:val="none"/>
              </w:rPr>
            </w:pPr>
          </w:p>
          <w:p>
            <w:pPr>
              <w:pStyle w:val="9"/>
              <w:rPr>
                <w:rFonts w:hint="eastAsia" w:asciiTheme="minorEastAsia" w:hAnsiTheme="minorEastAsia" w:eastAsiaTheme="minorEastAsia" w:cstheme="minorEastAsia"/>
                <w:b w:val="0"/>
                <w:color w:val="auto"/>
                <w:sz w:val="24"/>
                <w:szCs w:val="24"/>
                <w:highlight w:val="none"/>
              </w:rPr>
            </w:pPr>
          </w:p>
          <w:p>
            <w:pPr>
              <w:pStyle w:val="9"/>
              <w:rPr>
                <w:rFonts w:hint="eastAsia" w:asciiTheme="minorEastAsia" w:hAnsiTheme="minorEastAsia" w:eastAsiaTheme="minorEastAsia" w:cstheme="minorEastAsia"/>
                <w:b w:val="0"/>
                <w:color w:val="auto"/>
                <w:sz w:val="24"/>
                <w:szCs w:val="24"/>
                <w:highlight w:val="none"/>
              </w:rPr>
            </w:pPr>
          </w:p>
          <w:p>
            <w:pPr>
              <w:pStyle w:val="9"/>
              <w:rPr>
                <w:rFonts w:hint="eastAsia" w:asciiTheme="minorEastAsia" w:hAnsiTheme="minorEastAsia" w:eastAsiaTheme="minorEastAsia" w:cstheme="minorEastAsia"/>
                <w:b w:val="0"/>
                <w:color w:val="auto"/>
                <w:sz w:val="24"/>
                <w:szCs w:val="24"/>
                <w:highlight w:val="none"/>
              </w:rPr>
            </w:pPr>
          </w:p>
          <w:p>
            <w:pPr>
              <w:pStyle w:val="4"/>
              <w:pageBreakBefore w:val="0"/>
              <w:kinsoku/>
              <w:topLinePunct w:val="0"/>
              <w:bidi w:val="0"/>
              <w:spacing w:before="156" w:after="156" w:line="440" w:lineRule="exact"/>
              <w:jc w:val="both"/>
              <w:textAlignment w:val="auto"/>
              <w:outlineLvl w:val="1"/>
              <w:rPr>
                <w:rFonts w:hint="eastAsia" w:asciiTheme="minorEastAsia" w:hAnsiTheme="minorEastAsia" w:eastAsiaTheme="minorEastAsia" w:cstheme="minorEastAsia"/>
                <w:b w:val="0"/>
                <w:color w:val="auto"/>
                <w:sz w:val="24"/>
                <w:szCs w:val="24"/>
                <w:highlight w:val="none"/>
              </w:rPr>
            </w:pPr>
            <w:bookmarkStart w:id="7" w:name="_Toc15799"/>
            <w:r>
              <w:rPr>
                <w:rFonts w:hint="eastAsia" w:asciiTheme="minorEastAsia" w:hAnsiTheme="minorEastAsia" w:eastAsiaTheme="minorEastAsia" w:cstheme="minorEastAsia"/>
                <w:b w:val="0"/>
                <w:color w:val="auto"/>
                <w:sz w:val="24"/>
                <w:szCs w:val="24"/>
                <w:highlight w:val="none"/>
              </w:rPr>
              <w:t>考核人签名：                                              年     月    日</w:t>
            </w:r>
            <w:bookmarkEnd w:id="7"/>
          </w:p>
          <w:p>
            <w:pPr>
              <w:pageBreakBefore w:val="0"/>
              <w:kinsoku/>
              <w:topLinePunct w:val="0"/>
              <w:bidi w:val="0"/>
              <w:spacing w:line="440" w:lineRule="exact"/>
              <w:textAlignment w:val="auto"/>
              <w:rPr>
                <w:rFonts w:hint="eastAsia" w:asciiTheme="minorEastAsia" w:hAnsiTheme="minorEastAsia" w:eastAsiaTheme="minorEastAsia" w:cstheme="minorEastAsia"/>
                <w:color w:val="auto"/>
                <w:sz w:val="24"/>
                <w:szCs w:val="24"/>
                <w:highlight w:val="none"/>
              </w:rPr>
            </w:pPr>
          </w:p>
          <w:p>
            <w:pPr>
              <w:pageBreakBefore w:val="0"/>
              <w:kinsoku/>
              <w:topLinePunct w:val="0"/>
              <w:bidi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考核部门负责人签名：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8720" w:type="dxa"/>
            <w:noWrap w:val="0"/>
            <w:vAlign w:val="top"/>
          </w:tcPr>
          <w:p>
            <w:pPr>
              <w:pStyle w:val="4"/>
              <w:pageBreakBefore w:val="0"/>
              <w:kinsoku/>
              <w:topLinePunct w:val="0"/>
              <w:bidi w:val="0"/>
              <w:spacing w:before="156" w:after="156" w:line="440" w:lineRule="exact"/>
              <w:textAlignment w:val="auto"/>
              <w:outlineLvl w:val="1"/>
              <w:rPr>
                <w:rFonts w:hint="eastAsia" w:asciiTheme="minorEastAsia" w:hAnsiTheme="minorEastAsia" w:eastAsiaTheme="minorEastAsia" w:cstheme="minorEastAsia"/>
                <w:color w:val="auto"/>
                <w:sz w:val="24"/>
                <w:szCs w:val="24"/>
                <w:highlight w:val="none"/>
              </w:rPr>
            </w:pPr>
          </w:p>
          <w:p>
            <w:pPr>
              <w:pageBreakBefore w:val="0"/>
              <w:kinsoku/>
              <w:topLinePunct w:val="0"/>
              <w:bidi w:val="0"/>
              <w:spacing w:line="440" w:lineRule="exact"/>
              <w:textAlignment w:val="auto"/>
              <w:rPr>
                <w:rFonts w:hint="eastAsia" w:asciiTheme="minorEastAsia" w:hAnsiTheme="minorEastAsia" w:eastAsiaTheme="minorEastAsia" w:cstheme="minorEastAsia"/>
                <w:color w:val="auto"/>
                <w:sz w:val="24"/>
                <w:szCs w:val="24"/>
                <w:highlight w:val="none"/>
              </w:rPr>
            </w:pPr>
          </w:p>
          <w:p>
            <w:pPr>
              <w:pageBreakBefore w:val="0"/>
              <w:kinsoku/>
              <w:topLinePunct w:val="0"/>
              <w:bidi w:val="0"/>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服务公司经办人签名：                                     年     月    日</w:t>
            </w:r>
          </w:p>
        </w:tc>
      </w:tr>
    </w:tbl>
    <w:p>
      <w:pPr>
        <w:pStyle w:val="4"/>
        <w:pageBreakBefore w:val="0"/>
        <w:kinsoku/>
        <w:topLinePunct w:val="0"/>
        <w:bidi w:val="0"/>
        <w:spacing w:before="156" w:after="156" w:line="440" w:lineRule="exact"/>
        <w:jc w:val="left"/>
        <w:textAlignment w:val="auto"/>
        <w:rPr>
          <w:rFonts w:hint="eastAsia" w:asciiTheme="minorEastAsia" w:hAnsiTheme="minorEastAsia" w:eastAsiaTheme="minorEastAsia" w:cstheme="minorEastAsia"/>
          <w:b/>
          <w:sz w:val="24"/>
          <w:szCs w:val="24"/>
          <w:lang w:val="en-US" w:eastAsia="zh-CN"/>
        </w:rPr>
      </w:pPr>
      <w:bookmarkStart w:id="8" w:name="_Toc15755"/>
      <w:r>
        <w:rPr>
          <w:rFonts w:hint="eastAsia" w:asciiTheme="minorEastAsia" w:hAnsiTheme="minorEastAsia" w:eastAsiaTheme="minorEastAsia" w:cstheme="minorEastAsia"/>
          <w:b w:val="0"/>
          <w:color w:val="auto"/>
          <w:sz w:val="24"/>
          <w:szCs w:val="24"/>
          <w:highlight w:val="none"/>
        </w:rPr>
        <w:t>注：请考核公司在收到考核存在问题后，于10个工作日内做好书面整改报告向医院总务股反馈。</w:t>
      </w:r>
      <w:bookmarkEnd w:id="8"/>
    </w:p>
    <w:p>
      <w:pPr>
        <w:pStyle w:val="2"/>
        <w:ind w:left="0" w:leftChars="0" w:firstLine="0" w:firstLineChars="0"/>
        <w:rPr>
          <w:rFonts w:hint="eastAsia" w:asciiTheme="minorEastAsia" w:hAnsiTheme="minorEastAsia" w:eastAsiaTheme="minorEastAsia" w:cstheme="minorEastAsia"/>
          <w:sz w:val="24"/>
          <w:szCs w:val="24"/>
          <w:lang w:val="en-US" w:eastAsia="zh-CN"/>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F5675A2-3F83-4EE6-92DE-C2339E93242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037B4"/>
    <w:multiLevelType w:val="singleLevel"/>
    <w:tmpl w:val="834037B4"/>
    <w:lvl w:ilvl="0" w:tentative="0">
      <w:start w:val="1"/>
      <w:numFmt w:val="chineseCounting"/>
      <w:suff w:val="nothing"/>
      <w:lvlText w:val="%1、"/>
      <w:lvlJc w:val="left"/>
      <w:rPr>
        <w:rFonts w:hint="eastAsia"/>
      </w:rPr>
    </w:lvl>
  </w:abstractNum>
  <w:abstractNum w:abstractNumId="1">
    <w:nsid w:val="04544B4D"/>
    <w:multiLevelType w:val="multilevel"/>
    <w:tmpl w:val="04544B4D"/>
    <w:lvl w:ilvl="0" w:tentative="0">
      <w:start w:val="1"/>
      <w:numFmt w:val="chineseCountingThousand"/>
      <w:pStyle w:val="20"/>
      <w:lvlText w:val="%1、"/>
      <w:lvlJc w:val="left"/>
      <w:pPr>
        <w:ind w:left="440" w:hanging="440"/>
      </w:pPr>
      <w:rPr>
        <w:rFonts w:hint="default"/>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51450CF0"/>
    <w:multiLevelType w:val="multilevel"/>
    <w:tmpl w:val="51450CF0"/>
    <w:lvl w:ilvl="0" w:tentative="0">
      <w:start w:val="1"/>
      <w:numFmt w:val="decimal"/>
      <w:pStyle w:val="5"/>
      <w:lvlText w:val="%1、"/>
      <w:lvlJc w:val="left"/>
      <w:pPr>
        <w:tabs>
          <w:tab w:val="left" w:pos="360"/>
        </w:tabs>
        <w:ind w:left="360" w:hanging="360"/>
      </w:pPr>
      <w:rPr>
        <w:rFonts w:hint="eastAsia" w:ascii="宋体" w:hAnsi="宋体" w:eastAsia="宋体"/>
        <w:b/>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09D33D5"/>
    <w:multiLevelType w:val="multilevel"/>
    <w:tmpl w:val="609D33D5"/>
    <w:lvl w:ilvl="0" w:tentative="0">
      <w:start w:val="1"/>
      <w:numFmt w:val="chineseCountingThousand"/>
      <w:lvlText w:val="第%1章"/>
      <w:lvlJc w:val="left"/>
      <w:pPr>
        <w:tabs>
          <w:tab w:val="left" w:pos="0"/>
        </w:tabs>
        <w:ind w:left="0" w:firstLine="0"/>
      </w:pPr>
      <w:rPr>
        <w:rFonts w:hint="eastAsia"/>
      </w:rPr>
    </w:lvl>
    <w:lvl w:ilvl="1" w:tentative="0">
      <w:start w:val="1"/>
      <w:numFmt w:val="decimal"/>
      <w:isLgl/>
      <w:lvlText w:val="%1.%2"/>
      <w:lvlJc w:val="left"/>
      <w:pPr>
        <w:tabs>
          <w:tab w:val="left" w:pos="737"/>
        </w:tabs>
        <w:ind w:left="737" w:hanging="737"/>
      </w:pPr>
      <w:rPr>
        <w:rFonts w:hint="eastAsia" w:ascii="宋体" w:hAnsi="宋体" w:eastAsia="宋体"/>
        <w:b/>
        <w:i w:val="0"/>
        <w:sz w:val="32"/>
        <w:szCs w:val="32"/>
      </w:rPr>
    </w:lvl>
    <w:lvl w:ilvl="2" w:tentative="0">
      <w:start w:val="1"/>
      <w:numFmt w:val="decimal"/>
      <w:isLgl/>
      <w:lvlText w:val="%1.%2.%3"/>
      <w:lvlJc w:val="left"/>
      <w:pPr>
        <w:tabs>
          <w:tab w:val="left" w:pos="1333"/>
        </w:tabs>
        <w:ind w:left="1333" w:hanging="907"/>
      </w:pPr>
      <w:rPr>
        <w:rFonts w:hint="eastAsia" w:ascii="宋体" w:hAnsi="宋体" w:eastAsia="宋体" w:cs="Times New Roman"/>
        <w:b w:val="0"/>
        <w:bCs w:val="0"/>
        <w:i w:val="0"/>
        <w:iCs w:val="0"/>
        <w:caps w:val="0"/>
        <w:smallCaps w:val="0"/>
        <w:strike w:val="0"/>
        <w:dstrike w:val="0"/>
        <w:vanish w:val="0"/>
        <w:color w:val="000000"/>
        <w:spacing w:val="0"/>
        <w:position w:val="0"/>
        <w:sz w:val="28"/>
        <w:szCs w:val="28"/>
        <w:u w:val="none"/>
        <w:vertAlign w:val="baseline"/>
      </w:rPr>
    </w:lvl>
    <w:lvl w:ilvl="3" w:tentative="0">
      <w:start w:val="1"/>
      <w:numFmt w:val="decimal"/>
      <w:pStyle w:val="6"/>
      <w:isLgl/>
      <w:lvlText w:val="%1.%2.%3.%4"/>
      <w:lvlJc w:val="left"/>
      <w:pPr>
        <w:tabs>
          <w:tab w:val="left" w:pos="4480"/>
        </w:tabs>
        <w:ind w:left="4410" w:hanging="1077"/>
      </w:pPr>
      <w:rPr>
        <w:rFonts w:hint="eastAsia" w:ascii="宋体" w:hAnsi="宋体" w:eastAsia="宋体"/>
        <w:b w:val="0"/>
        <w:i w:val="0"/>
        <w:sz w:val="28"/>
        <w:szCs w:val="28"/>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mOGM4YWIzMWI3OTM1ZGJiY2I4MWY5MTkwODM3NzQifQ=="/>
  </w:docVars>
  <w:rsids>
    <w:rsidRoot w:val="743377B2"/>
    <w:rsid w:val="000061CC"/>
    <w:rsid w:val="000617C2"/>
    <w:rsid w:val="000B1DBA"/>
    <w:rsid w:val="00154181"/>
    <w:rsid w:val="001A5068"/>
    <w:rsid w:val="002149F6"/>
    <w:rsid w:val="002B29E2"/>
    <w:rsid w:val="002B37CC"/>
    <w:rsid w:val="003001C7"/>
    <w:rsid w:val="0038632D"/>
    <w:rsid w:val="00447BD0"/>
    <w:rsid w:val="004844F3"/>
    <w:rsid w:val="004E42E0"/>
    <w:rsid w:val="004E432B"/>
    <w:rsid w:val="00542CCB"/>
    <w:rsid w:val="005657A4"/>
    <w:rsid w:val="005A1922"/>
    <w:rsid w:val="006E03D7"/>
    <w:rsid w:val="006F002F"/>
    <w:rsid w:val="007952AD"/>
    <w:rsid w:val="007C61B2"/>
    <w:rsid w:val="007F7D6D"/>
    <w:rsid w:val="008031D6"/>
    <w:rsid w:val="00821629"/>
    <w:rsid w:val="0083181C"/>
    <w:rsid w:val="00871EA6"/>
    <w:rsid w:val="00877C0F"/>
    <w:rsid w:val="00945478"/>
    <w:rsid w:val="009B7EF3"/>
    <w:rsid w:val="009F33B8"/>
    <w:rsid w:val="00A11A9D"/>
    <w:rsid w:val="00A24E1E"/>
    <w:rsid w:val="00A7142A"/>
    <w:rsid w:val="00AD2AEF"/>
    <w:rsid w:val="00AF313B"/>
    <w:rsid w:val="00B02A9F"/>
    <w:rsid w:val="00B33DA8"/>
    <w:rsid w:val="00B92624"/>
    <w:rsid w:val="00BD56A0"/>
    <w:rsid w:val="00C6495C"/>
    <w:rsid w:val="00CA525E"/>
    <w:rsid w:val="00CE1AA7"/>
    <w:rsid w:val="00D317A3"/>
    <w:rsid w:val="00D36403"/>
    <w:rsid w:val="00DD7202"/>
    <w:rsid w:val="00F04C87"/>
    <w:rsid w:val="00F9481F"/>
    <w:rsid w:val="00FD74DC"/>
    <w:rsid w:val="02196875"/>
    <w:rsid w:val="024E7B06"/>
    <w:rsid w:val="02A36C30"/>
    <w:rsid w:val="04C37E23"/>
    <w:rsid w:val="056D3803"/>
    <w:rsid w:val="06AF519D"/>
    <w:rsid w:val="07E63A15"/>
    <w:rsid w:val="07EB7921"/>
    <w:rsid w:val="086A0AA4"/>
    <w:rsid w:val="09CC47A1"/>
    <w:rsid w:val="0A462D31"/>
    <w:rsid w:val="0A4B7A65"/>
    <w:rsid w:val="0A7F61EE"/>
    <w:rsid w:val="0AF93558"/>
    <w:rsid w:val="0B183B5F"/>
    <w:rsid w:val="0B5423CE"/>
    <w:rsid w:val="0DF74786"/>
    <w:rsid w:val="12D45E1F"/>
    <w:rsid w:val="14164250"/>
    <w:rsid w:val="1666AFB2"/>
    <w:rsid w:val="1736780B"/>
    <w:rsid w:val="18110953"/>
    <w:rsid w:val="181C4A13"/>
    <w:rsid w:val="1ADB2DD9"/>
    <w:rsid w:val="1B3E05F6"/>
    <w:rsid w:val="1BCF192A"/>
    <w:rsid w:val="1BF17686"/>
    <w:rsid w:val="1C87319A"/>
    <w:rsid w:val="1D214BEF"/>
    <w:rsid w:val="1D4979AE"/>
    <w:rsid w:val="1D9641BC"/>
    <w:rsid w:val="1E091416"/>
    <w:rsid w:val="1EB62245"/>
    <w:rsid w:val="20800B3C"/>
    <w:rsid w:val="2432352D"/>
    <w:rsid w:val="269D3F65"/>
    <w:rsid w:val="27AE4B6E"/>
    <w:rsid w:val="27BC35E5"/>
    <w:rsid w:val="29A61CA7"/>
    <w:rsid w:val="2CDA5032"/>
    <w:rsid w:val="2DEDC47F"/>
    <w:rsid w:val="2EC70995"/>
    <w:rsid w:val="2F347A27"/>
    <w:rsid w:val="2F588B1E"/>
    <w:rsid w:val="30686A1B"/>
    <w:rsid w:val="31C35572"/>
    <w:rsid w:val="347C05F6"/>
    <w:rsid w:val="37769D6D"/>
    <w:rsid w:val="3C1414B2"/>
    <w:rsid w:val="3C67032F"/>
    <w:rsid w:val="3D475F65"/>
    <w:rsid w:val="3D8A5CAA"/>
    <w:rsid w:val="3DEC0827"/>
    <w:rsid w:val="43337E4F"/>
    <w:rsid w:val="46DD0D24"/>
    <w:rsid w:val="47293BB2"/>
    <w:rsid w:val="476E0916"/>
    <w:rsid w:val="494D0A70"/>
    <w:rsid w:val="499445CE"/>
    <w:rsid w:val="4A455805"/>
    <w:rsid w:val="4CB87223"/>
    <w:rsid w:val="4E4833A1"/>
    <w:rsid w:val="4E4E66AF"/>
    <w:rsid w:val="4FAFDEBB"/>
    <w:rsid w:val="51A958DB"/>
    <w:rsid w:val="52AB2063"/>
    <w:rsid w:val="55B272F1"/>
    <w:rsid w:val="56E54B50"/>
    <w:rsid w:val="57FA2C74"/>
    <w:rsid w:val="58B41169"/>
    <w:rsid w:val="5CC90F1F"/>
    <w:rsid w:val="5CDB49EC"/>
    <w:rsid w:val="5DB24A60"/>
    <w:rsid w:val="5EA647F6"/>
    <w:rsid w:val="5EF6AF44"/>
    <w:rsid w:val="5FFF4271"/>
    <w:rsid w:val="60A16D55"/>
    <w:rsid w:val="62436F9E"/>
    <w:rsid w:val="626037EB"/>
    <w:rsid w:val="63182697"/>
    <w:rsid w:val="631D0FB9"/>
    <w:rsid w:val="64200A5C"/>
    <w:rsid w:val="64901141"/>
    <w:rsid w:val="653F6AB6"/>
    <w:rsid w:val="67504808"/>
    <w:rsid w:val="67963CA0"/>
    <w:rsid w:val="67BBC68F"/>
    <w:rsid w:val="693A0990"/>
    <w:rsid w:val="6A6B4DF5"/>
    <w:rsid w:val="6DB155A0"/>
    <w:rsid w:val="6E097A40"/>
    <w:rsid w:val="71216D2B"/>
    <w:rsid w:val="72F31423"/>
    <w:rsid w:val="72FF1F39"/>
    <w:rsid w:val="732C5D98"/>
    <w:rsid w:val="743377B2"/>
    <w:rsid w:val="74BF5B97"/>
    <w:rsid w:val="77B3ECD4"/>
    <w:rsid w:val="77F58F23"/>
    <w:rsid w:val="780C46CF"/>
    <w:rsid w:val="78F0179F"/>
    <w:rsid w:val="7A3E77D1"/>
    <w:rsid w:val="7B1108A0"/>
    <w:rsid w:val="7BBFF371"/>
    <w:rsid w:val="7CCC773A"/>
    <w:rsid w:val="7DAFEEB6"/>
    <w:rsid w:val="7E4A5DD5"/>
    <w:rsid w:val="7E9D0ACF"/>
    <w:rsid w:val="7EB3EF08"/>
    <w:rsid w:val="7EDFCF44"/>
    <w:rsid w:val="7EED58B5"/>
    <w:rsid w:val="7F100889"/>
    <w:rsid w:val="97F9456F"/>
    <w:rsid w:val="B9F7F363"/>
    <w:rsid w:val="BABD35D6"/>
    <w:rsid w:val="BCCD50AE"/>
    <w:rsid w:val="BFEAE5ED"/>
    <w:rsid w:val="BFED8343"/>
    <w:rsid w:val="C5B61A43"/>
    <w:rsid w:val="CD3F672C"/>
    <w:rsid w:val="D7FF2E91"/>
    <w:rsid w:val="DDE58329"/>
    <w:rsid w:val="DFED6E3A"/>
    <w:rsid w:val="E1176291"/>
    <w:rsid w:val="EF7F95E3"/>
    <w:rsid w:val="EFDB9EB3"/>
    <w:rsid w:val="EFFF45CE"/>
    <w:rsid w:val="F2EF2820"/>
    <w:rsid w:val="F57C4C2C"/>
    <w:rsid w:val="F7FE12D2"/>
    <w:rsid w:val="FACF3E87"/>
    <w:rsid w:val="FB7C24EC"/>
    <w:rsid w:val="FBFDA530"/>
    <w:rsid w:val="FBFFDD49"/>
    <w:rsid w:val="FCFBEA7E"/>
    <w:rsid w:val="FDEF14BF"/>
    <w:rsid w:val="FE7A3736"/>
    <w:rsid w:val="FECFFAA0"/>
    <w:rsid w:val="FFAEAD7E"/>
    <w:rsid w:val="FFBFF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4">
    <w:name w:val="heading 2"/>
    <w:basedOn w:val="1"/>
    <w:next w:val="1"/>
    <w:qFormat/>
    <w:uiPriority w:val="0"/>
    <w:pPr>
      <w:keepNext/>
      <w:keepLines/>
      <w:spacing w:before="50" w:beforeLines="50" w:after="50" w:afterLines="50"/>
      <w:jc w:val="center"/>
      <w:outlineLvl w:val="1"/>
    </w:pPr>
    <w:rPr>
      <w:rFonts w:ascii="Arial" w:hAnsi="Arial"/>
      <w:b/>
      <w:bCs/>
      <w:sz w:val="32"/>
      <w:szCs w:val="32"/>
    </w:rPr>
  </w:style>
  <w:style w:type="paragraph" w:styleId="5">
    <w:name w:val="heading 3"/>
    <w:basedOn w:val="1"/>
    <w:next w:val="1"/>
    <w:qFormat/>
    <w:uiPriority w:val="0"/>
    <w:pPr>
      <w:numPr>
        <w:ilvl w:val="0"/>
        <w:numId w:val="1"/>
      </w:numPr>
      <w:tabs>
        <w:tab w:val="left" w:pos="425"/>
      </w:tabs>
      <w:spacing w:before="120" w:after="120" w:line="640" w:lineRule="atLeast"/>
      <w:outlineLvl w:val="2"/>
    </w:pPr>
    <w:rPr>
      <w:rFonts w:ascii="Times New Roman" w:hAnsi="Times New Roman" w:eastAsia="宋体" w:cs="Times New Roman"/>
      <w:b/>
      <w:sz w:val="24"/>
      <w:szCs w:val="24"/>
    </w:rPr>
  </w:style>
  <w:style w:type="paragraph" w:styleId="6">
    <w:name w:val="heading 4"/>
    <w:basedOn w:val="1"/>
    <w:next w:val="1"/>
    <w:qFormat/>
    <w:uiPriority w:val="0"/>
    <w:pPr>
      <w:keepNext/>
      <w:keepLines/>
      <w:numPr>
        <w:ilvl w:val="3"/>
        <w:numId w:val="2"/>
      </w:numPr>
      <w:ind w:right="100" w:rightChars="100" w:firstLine="0" w:firstLineChars="0"/>
      <w:outlineLvl w:val="3"/>
    </w:pPr>
    <w:rPr>
      <w:b/>
      <w:bCs/>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afterLines="0" w:line="240" w:lineRule="auto"/>
      <w:ind w:firstLine="420" w:firstLineChars="100"/>
    </w:pPr>
    <w:rPr>
      <w:sz w:val="21"/>
    </w:rPr>
  </w:style>
  <w:style w:type="paragraph" w:styleId="3">
    <w:name w:val="Body Text"/>
    <w:basedOn w:val="1"/>
    <w:unhideWhenUsed/>
    <w:qFormat/>
    <w:uiPriority w:val="99"/>
    <w:pPr>
      <w:widowControl/>
    </w:pPr>
    <w:rPr>
      <w:rFonts w:ascii="仿宋" w:hAnsi="仿宋" w:eastAsia="仿宋" w:cs="Arial"/>
      <w:sz w:val="28"/>
      <w:szCs w:val="20"/>
    </w:rPr>
  </w:style>
  <w:style w:type="paragraph" w:styleId="7">
    <w:name w:val="Normal Indent"/>
    <w:basedOn w:val="1"/>
    <w:unhideWhenUsed/>
    <w:qFormat/>
    <w:uiPriority w:val="99"/>
    <w:pPr>
      <w:spacing w:beforeLines="50" w:after="100" w:afterAutospacing="1"/>
      <w:ind w:firstLine="420"/>
    </w:pPr>
    <w:rPr>
      <w:rFonts w:cs="Cambria"/>
      <w:szCs w:val="24"/>
    </w:rPr>
  </w:style>
  <w:style w:type="paragraph" w:styleId="8">
    <w:name w:val="annotation text"/>
    <w:basedOn w:val="1"/>
    <w:link w:val="21"/>
    <w:qFormat/>
    <w:uiPriority w:val="0"/>
    <w:pPr>
      <w:jc w:val="left"/>
    </w:pPr>
  </w:style>
  <w:style w:type="paragraph" w:styleId="9">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2"/>
    <w:basedOn w:val="1"/>
    <w:next w:val="1"/>
    <w:qFormat/>
    <w:uiPriority w:val="39"/>
    <w:pPr>
      <w:ind w:left="238"/>
      <w:jc w:val="left"/>
    </w:pPr>
    <w:rPr>
      <w:rFonts w:cs="Calibri"/>
      <w:smallCaps/>
      <w:szCs w:val="20"/>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8"/>
    <w:next w:val="8"/>
    <w:link w:val="22"/>
    <w:qFormat/>
    <w:uiPriority w:val="0"/>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styleId="18">
    <w:name w:val="annotation reference"/>
    <w:basedOn w:val="16"/>
    <w:qFormat/>
    <w:uiPriority w:val="0"/>
    <w:rPr>
      <w:sz w:val="21"/>
      <w:szCs w:val="21"/>
    </w:rPr>
  </w:style>
  <w:style w:type="paragraph" w:styleId="19">
    <w:name w:val="List Paragraph"/>
    <w:basedOn w:val="1"/>
    <w:qFormat/>
    <w:uiPriority w:val="34"/>
    <w:pPr>
      <w:ind w:firstLine="420"/>
    </w:pPr>
  </w:style>
  <w:style w:type="paragraph" w:customStyle="1" w:styleId="20">
    <w:name w:val="一级标题"/>
    <w:basedOn w:val="1"/>
    <w:qFormat/>
    <w:uiPriority w:val="0"/>
    <w:pPr>
      <w:numPr>
        <w:ilvl w:val="0"/>
        <w:numId w:val="3"/>
      </w:numPr>
      <w:ind w:firstLine="0" w:firstLineChars="0"/>
      <w:jc w:val="left"/>
      <w:outlineLvl w:val="0"/>
    </w:pPr>
    <w:rPr>
      <w:rFonts w:ascii="黑体" w:hAnsi="宋体" w:eastAsia="黑体"/>
      <w:sz w:val="30"/>
      <w:szCs w:val="30"/>
    </w:rPr>
  </w:style>
  <w:style w:type="character" w:customStyle="1" w:styleId="21">
    <w:name w:val="批注文字 字符"/>
    <w:basedOn w:val="16"/>
    <w:link w:val="8"/>
    <w:qFormat/>
    <w:uiPriority w:val="0"/>
    <w:rPr>
      <w:rFonts w:ascii="Times New Roman" w:hAnsi="Times New Roman" w:eastAsia="宋体"/>
      <w:kern w:val="2"/>
      <w:sz w:val="24"/>
      <w:szCs w:val="22"/>
    </w:rPr>
  </w:style>
  <w:style w:type="character" w:customStyle="1" w:styleId="22">
    <w:name w:val="批注主题 字符"/>
    <w:basedOn w:val="21"/>
    <w:link w:val="13"/>
    <w:qFormat/>
    <w:uiPriority w:val="0"/>
    <w:rPr>
      <w:rFonts w:ascii="Times New Roman" w:hAnsi="Times New Roman" w:eastAsia="宋体"/>
      <w:b/>
      <w:bCs/>
      <w:kern w:val="2"/>
      <w:sz w:val="24"/>
      <w:szCs w:val="22"/>
    </w:rPr>
  </w:style>
  <w:style w:type="character" w:customStyle="1" w:styleId="23">
    <w:name w:val="font11"/>
    <w:basedOn w:val="16"/>
    <w:qFormat/>
    <w:uiPriority w:val="0"/>
    <w:rPr>
      <w:rFonts w:hint="eastAsia" w:ascii="宋体" w:hAnsi="宋体" w:eastAsia="宋体"/>
      <w:b/>
      <w:bCs/>
      <w:color w:val="000000"/>
      <w:sz w:val="28"/>
      <w:szCs w:val="28"/>
      <w:u w:val="none"/>
    </w:rPr>
  </w:style>
  <w:style w:type="character" w:customStyle="1" w:styleId="24">
    <w:name w:val="font21"/>
    <w:basedOn w:val="16"/>
    <w:qFormat/>
    <w:uiPriority w:val="0"/>
    <w:rPr>
      <w:rFonts w:hint="eastAsia" w:ascii="宋体" w:hAnsi="宋体" w:eastAsia="宋体"/>
      <w:color w:val="000000"/>
      <w:sz w:val="28"/>
      <w:szCs w:val="28"/>
      <w:u w:val="none"/>
    </w:rPr>
  </w:style>
  <w:style w:type="paragraph" w:customStyle="1" w:styleId="25">
    <w:name w:val="列出段落1"/>
    <w:basedOn w:val="1"/>
    <w:qFormat/>
    <w:uiPriority w:val="0"/>
    <w:pPr>
      <w:ind w:firstLine="420" w:firstLineChars="200"/>
    </w:pPr>
    <w:rPr>
      <w:rFonts w:ascii="Calibri" w:hAnsi="Calibri" w:eastAsia="宋体" w:cs="Times New Roman"/>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6474</Words>
  <Characters>6656</Characters>
  <Lines>29</Lines>
  <Paragraphs>8</Paragraphs>
  <TotalTime>63</TotalTime>
  <ScaleCrop>false</ScaleCrop>
  <LinksUpToDate>false</LinksUpToDate>
  <CharactersWithSpaces>6875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2022-08-21T15:48:00Z</dcterms:created>
  <dc:creator>Ray</dc:creator>
  <cp:lastModifiedBy>巨婴*</cp:lastModifiedBy>
  <cp:lastPrinted>2023-07-04T02:41:42Z</cp:lastPrinted>
  <dcterms:modified xsi:type="dcterms:W3CDTF">2023-07-04T04:04:03Z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A28B71B4868F4A7EB942A65688D7EEA8_13</vt:lpwstr>
  </property>
</Properties>
</file>