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5" w:afterLines="100"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年铜川市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王益区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病媒生物防制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病媒生物防制是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城乡居民</w:t>
      </w:r>
      <w:r>
        <w:rPr>
          <w:rFonts w:hint="eastAsia" w:ascii="宋体" w:hAnsi="宋体" w:eastAsia="宋体" w:cs="宋体"/>
          <w:sz w:val="30"/>
          <w:szCs w:val="30"/>
        </w:rPr>
        <w:t>菜篮子、饮食生活起居的安全保障，是切断人类疾病传播媒介的强有力措施，是健康城市创建的基础，特别是新冠肺炎疫情的发生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给</w:t>
      </w:r>
      <w:r>
        <w:rPr>
          <w:rFonts w:hint="eastAsia" w:ascii="宋体" w:hAnsi="宋体" w:eastAsia="宋体" w:cs="宋体"/>
          <w:sz w:val="30"/>
          <w:szCs w:val="30"/>
        </w:rPr>
        <w:t>病媒生物防制工作面临的严峻形势敲响了警钟。根据铜川市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王益区</w:t>
      </w:r>
      <w:r>
        <w:rPr>
          <w:rFonts w:hint="eastAsia" w:ascii="宋体" w:hAnsi="宋体" w:eastAsia="宋体" w:cs="宋体"/>
          <w:sz w:val="30"/>
          <w:szCs w:val="30"/>
        </w:rPr>
        <w:t>病媒生物孳生地调查结果，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制定本方案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一、实施目标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通过病媒生物消杀和完善病媒生物防制设施建设，</w:t>
      </w:r>
      <w:r>
        <w:rPr>
          <w:rFonts w:hint="eastAsia" w:ascii="宋体" w:hAnsi="宋体" w:eastAsia="宋体" w:cs="宋体"/>
          <w:sz w:val="30"/>
          <w:szCs w:val="30"/>
        </w:rPr>
        <w:t>确保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国家卫生城市标准规定的鼠、蚊、蝇、蟑螂四种有害生物密度</w:t>
      </w:r>
      <w:r>
        <w:rPr>
          <w:rFonts w:hint="eastAsia" w:ascii="宋体" w:hAnsi="宋体" w:eastAsia="宋体" w:cs="宋体"/>
          <w:sz w:val="30"/>
          <w:szCs w:val="30"/>
        </w:rPr>
        <w:t>达到国家C级标准水平，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防鼠防蝇设施合格率达到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95％以上。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360" w:lineRule="auto"/>
        <w:ind w:firstLine="600" w:firstLineChars="200"/>
        <w:textAlignment w:val="baseline"/>
        <w:rPr>
          <w:rFonts w:hint="eastAsia" w:ascii="宋体" w:hAnsi="宋体" w:eastAsia="宋体" w:cs="宋体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1、使用物理、化学和环境等多种防制措施，对王益区区域范围内出现的鼠、蚊、蝇、蟑螂等病媒生物进行防制集中消杀，达到国家病媒生物密度控制水平</w:t>
      </w:r>
      <w:r>
        <w:rPr>
          <w:rFonts w:hint="eastAsia" w:ascii="宋体" w:hAnsi="宋体" w:cs="宋体"/>
          <w:sz w:val="30"/>
          <w:szCs w:val="30"/>
          <w:lang w:val="en-US" w:eastAsia="zh-CN" w:bidi="ar-SA"/>
        </w:rPr>
        <w:t>C</w:t>
      </w: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级标准和要求。</w:t>
      </w:r>
    </w:p>
    <w:p>
      <w:pPr>
        <w:autoSpaceDE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2、建成区范围内小餐饮、食品加工企业小作坊、食品经营店、粮油门市部、河道（漆水河王益段）、公园（人民公园）、绿地广场、农贸市场、便民市场、机关企事业单位、卫生院、居民小区全面实施病媒生物防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服务内容和频次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>
      <w:pPr>
        <w:autoSpaceDE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1、服务内容：鼠、蟑、蚊蝇防制</w:t>
      </w:r>
    </w:p>
    <w:p>
      <w:pPr>
        <w:autoSpaceDE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2、频次：：≥</w:t>
      </w:r>
      <w:r>
        <w:rPr>
          <w:rFonts w:hint="eastAsia" w:ascii="宋体" w:hAnsi="宋体" w:cs="宋体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次）。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562" w:firstLineChars="200"/>
        <w:textAlignment w:val="auto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四、服务周期：4个月。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、防制成果：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按照《病媒生物密度控制水平鼠类》（GB/T27770-2011），鼠的密度达到国家病媒生物密度控制水平标准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C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级要求，通过病媒生物消杀和和监测工作完善病媒生物防制设施建设，确保国家卫生城市标准规定的鼠、蚊、蝇、蟑螂四种有害生物密度达到国家B级标准水平，防鼠防蝇设施合格率达到95％以上。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GYXIQ+Frutiger-Cn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DMzNzk1ZDY2MWI3NWM0N2Q3NTc2NGYxZWU0MGIifQ=="/>
  </w:docVars>
  <w:rsids>
    <w:rsidRoot w:val="50BB2CF7"/>
    <w:rsid w:val="18C74AF7"/>
    <w:rsid w:val="1E6D790B"/>
    <w:rsid w:val="1EE65B86"/>
    <w:rsid w:val="2DFB78C6"/>
    <w:rsid w:val="308C66BA"/>
    <w:rsid w:val="31543A08"/>
    <w:rsid w:val="37C36104"/>
    <w:rsid w:val="3F827606"/>
    <w:rsid w:val="4880676A"/>
    <w:rsid w:val="50BB2CF7"/>
    <w:rsid w:val="5BBA71C2"/>
    <w:rsid w:val="67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eastAsia"/>
      <w:sz w:val="21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Body Text First Indent 2"/>
    <w:basedOn w:val="4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customStyle="1" w:styleId="9">
    <w:name w:val="Default"/>
    <w:basedOn w:val="3"/>
    <w:next w:val="10"/>
    <w:qFormat/>
    <w:uiPriority w:val="0"/>
    <w:pPr>
      <w:widowControl w:val="0"/>
      <w:autoSpaceDE w:val="0"/>
      <w:autoSpaceDN w:val="0"/>
      <w:adjustRightInd w:val="0"/>
    </w:pPr>
    <w:rPr>
      <w:rFonts w:ascii="AGYXIQ+Frutiger-Cn" w:eastAsia="AGYXIQ+Frutiger-Cn" w:cs="AGYXIQ+Frutiger-Cn"/>
      <w:color w:val="000000"/>
      <w:sz w:val="24"/>
      <w:szCs w:val="24"/>
      <w:lang w:val="en-US" w:eastAsia="zh-CN" w:bidi="ar-SA"/>
    </w:rPr>
  </w:style>
  <w:style w:type="paragraph" w:customStyle="1" w:styleId="10">
    <w:name w:val="标准正文"/>
    <w:basedOn w:val="1"/>
    <w:qFormat/>
    <w:uiPriority w:val="0"/>
    <w:pPr>
      <w:spacing w:before="156" w:after="156" w:line="360" w:lineRule="auto"/>
      <w:ind w:firstLine="480" w:firstLineChars="200"/>
    </w:pPr>
    <w:rPr>
      <w:kern w:val="0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660</Characters>
  <Lines>0</Lines>
  <Paragraphs>0</Paragraphs>
  <TotalTime>16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2022-06-09T00:55:00Z</dcterms:created>
  <dc:creator>馨雅</dc:creator>
  <cp:lastModifiedBy>余生太长。</cp:lastModifiedBy>
  <dcterms:modified xsi:type="dcterms:W3CDTF">2023-06-29T11:31:11Z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61686D4F5C324031B258A4FFB74F4C36_13</vt:lpwstr>
  </property>
</Properties>
</file>