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651"/>
        <w:gridCol w:w="486"/>
        <w:gridCol w:w="7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
                <w:bCs/>
                <w:szCs w:val="21"/>
              </w:rPr>
            </w:pPr>
            <w:r>
              <w:rPr>
                <w:rFonts w:hint="eastAsia" w:ascii="宋体" w:hAnsi="宋体" w:cs="Arial"/>
                <w:b/>
                <w:bCs/>
                <w:szCs w:val="21"/>
              </w:rPr>
              <w:t>序号</w:t>
            </w:r>
          </w:p>
        </w:tc>
        <w:tc>
          <w:tcPr>
            <w:tcW w:w="6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
                <w:bCs/>
                <w:szCs w:val="21"/>
              </w:rPr>
            </w:pPr>
            <w:r>
              <w:rPr>
                <w:rFonts w:hint="eastAsia" w:ascii="宋体" w:hAnsi="宋体" w:cs="Arial"/>
                <w:b/>
                <w:bCs/>
                <w:szCs w:val="21"/>
              </w:rPr>
              <w:t>服务内容</w:t>
            </w:r>
          </w:p>
        </w:tc>
        <w:tc>
          <w:tcPr>
            <w:tcW w:w="4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
                <w:bCs/>
                <w:szCs w:val="21"/>
              </w:rPr>
            </w:pPr>
            <w:r>
              <w:rPr>
                <w:rFonts w:hint="eastAsia" w:ascii="宋体" w:hAnsi="宋体" w:cs="Arial"/>
                <w:b/>
                <w:bCs/>
                <w:szCs w:val="21"/>
              </w:rPr>
              <w:t>数量</w:t>
            </w:r>
          </w:p>
        </w:tc>
        <w:tc>
          <w:tcPr>
            <w:tcW w:w="71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
                <w:bCs/>
                <w:szCs w:val="21"/>
              </w:rPr>
            </w:pPr>
            <w:r>
              <w:rPr>
                <w:rFonts w:hint="eastAsia" w:ascii="宋体" w:hAnsi="宋体" w:cs="Arial"/>
                <w:b/>
                <w:bCs/>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2"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2023年度病媒生物综合防制服务采购</w:t>
            </w: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1项</w:t>
            </w:r>
          </w:p>
        </w:tc>
        <w:tc>
          <w:tcPr>
            <w:tcW w:w="7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13" w:firstLineChars="196"/>
              <w:rPr>
                <w:rFonts w:ascii="宋体" w:hAnsi="宋体"/>
                <w:b/>
                <w:szCs w:val="21"/>
              </w:rPr>
            </w:pPr>
            <w:r>
              <w:rPr>
                <w:rFonts w:hint="eastAsia" w:ascii="宋体" w:hAnsi="宋体"/>
                <w:b/>
                <w:szCs w:val="21"/>
              </w:rPr>
              <w:t>一、服务范围</w:t>
            </w:r>
          </w:p>
          <w:p>
            <w:pPr>
              <w:widowControl/>
              <w:spacing w:line="360" w:lineRule="auto"/>
              <w:rPr>
                <w:rFonts w:hint="eastAsia" w:ascii="宋体" w:hAnsi="宋体" w:cs="宋体"/>
                <w:kern w:val="0"/>
                <w:szCs w:val="21"/>
              </w:rPr>
            </w:pPr>
            <w:r>
              <w:rPr>
                <w:rFonts w:hint="eastAsia" w:ascii="宋体" w:hAnsi="宋体" w:cs="宋体"/>
                <w:kern w:val="0"/>
                <w:szCs w:val="21"/>
              </w:rPr>
              <w:t>(一)城市道路公共绿化、公园、城市广场、沿江两岸等。</w:t>
            </w: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    城市道路公共绿化： 迎宾路、海珍路、兴港大道、西湾大道、防城港市政府大院、凯乐路、东兴大道、渔洲路、广场东路、广场环路、北部湾大道、中华路、渔万路、云南路、四川路、贵州路、龙南山路、东湾大道、江山大道、金花茶大道、建政路、拥军路、珍珠路、鱼峰路、蓬莱路、沙万路、望海路、碧园路、珊瑚路、防港路、教育路、防东路、防钦路、人民路、防邕路、215省道、白龙路、二桥东路等道路。 公园： 北部湾海洋文化公园、白鹭公园、仙人山公园、伏波文化园等。 城市广场： 桃花湾广场、防城火车站广场、明珠广场、市政府广场、金海湾小区等。 沿江两岸： 防城江、洗猪河村河渠等。</w:t>
            </w:r>
          </w:p>
          <w:p>
            <w:pPr>
              <w:widowControl/>
              <w:spacing w:line="360" w:lineRule="auto"/>
              <w:jc w:val="left"/>
              <w:rPr>
                <w:rFonts w:hint="eastAsia" w:ascii="宋体" w:hAnsi="宋体" w:cs="宋体"/>
                <w:kern w:val="0"/>
                <w:szCs w:val="21"/>
              </w:rPr>
            </w:pPr>
            <w:r>
              <w:rPr>
                <w:rFonts w:hint="eastAsia" w:ascii="宋体" w:hAnsi="宋体" w:cs="宋体"/>
                <w:kern w:val="0"/>
                <w:szCs w:val="21"/>
              </w:rPr>
              <w:t>(二)下水道、沙井口、污水池、公共厕所、垃圾站、垃圾桶、农贸市场、五小行业等。</w:t>
            </w:r>
          </w:p>
          <w:p>
            <w:pPr>
              <w:widowControl/>
              <w:spacing w:line="360" w:lineRule="auto"/>
              <w:ind w:firstLine="420" w:firstLineChars="200"/>
              <w:jc w:val="left"/>
            </w:pPr>
            <w:r>
              <w:rPr>
                <w:rFonts w:hint="eastAsia" w:ascii="宋体" w:hAnsi="宋体" w:cs="宋体"/>
                <w:kern w:val="0"/>
                <w:szCs w:val="21"/>
              </w:rPr>
              <w:t>下水道、沙井口、污水池： 迎宾路、海珍路、兴港大道、西湾大道、防城港市政府大院、凯乐路、东兴大道、渔洲路、广场东路、广场环路、北部湾大道、中华路、渔万路、云南路、四川路、贵州路、龙南山路、东湾大道、江山大道、金花茶大道、建政路、拥军路、珍珠路、鱼峰路、蓬莱路、沙万路、望海路、碧园路、珊瑚路、防港路、教育路、防东路、防钦路、人民路、防邕路、215省道、白龙路、二桥东路等道路。 公共厕所： 仙人山公园公厕、大教场公厕、教育路小学对面公厕、 教育路垃圾中转站公厕、伏波文化园公厕、北部湾大道海滩公厕、白鹭公园公厕、北部湾海洋文化公园公厕、渔洲坪社区公厕、采珠市场公厕、金海市场公厕等公厕。 农贸市场： 防城区中心市场、防城区第一市场、鸿业市场、金海湾农贸市场、三官农贸市场、大西南农贸市场、大和农贸市场、珠河三鸟综合批发市场、二桥自产自销农贸市场、木头滩粮油市场、荣顾综合市场、港口区金海市场、采珠市场、渔洲坪市场、紫金城海 鲜综合市场、秀珠市场、辉龙市场等农贸市场。 五小行业： 小餐饮/小排档、小副食店、小药店、美容美发店、小网吧。</w:t>
            </w:r>
          </w:p>
          <w:p>
            <w:pPr>
              <w:spacing w:line="360" w:lineRule="auto"/>
              <w:ind w:firstLine="422" w:firstLineChars="200"/>
              <w:rPr>
                <w:b/>
                <w:bCs/>
                <w:szCs w:val="21"/>
              </w:rPr>
            </w:pPr>
            <w:r>
              <w:rPr>
                <w:rFonts w:hint="eastAsia"/>
                <w:b/>
                <w:bCs/>
                <w:szCs w:val="21"/>
              </w:rPr>
              <w:t>二、服务标准</w:t>
            </w:r>
          </w:p>
          <w:p>
            <w:pPr>
              <w:spacing w:line="360" w:lineRule="auto"/>
              <w:ind w:firstLine="420" w:firstLineChars="200"/>
            </w:pPr>
            <w:r>
              <w:rPr>
                <w:rFonts w:hint="eastAsia"/>
              </w:rPr>
              <w:t>1、灭鼠</w:t>
            </w:r>
          </w:p>
          <w:p>
            <w:pPr>
              <w:spacing w:line="360" w:lineRule="auto"/>
              <w:ind w:firstLine="420" w:firstLineChars="200"/>
            </w:pPr>
            <w:r>
              <w:rPr>
                <w:rFonts w:hint="eastAsia"/>
              </w:rPr>
              <w:t>灭鼠标准：防鼠设施合格率≧95%(主要指重点行业的内环境防鼠设施，如：饮食服务行业、食品加工业、粮库、学校、建筑工地、农贸市场、机关单位、商场、超市、居民区。重点部位是室内的厨房、餐厅、库房、楼梯间、卫生间、地下室、地沟、一楼走廊及地沟口),室内鼠迹阳性率小于或等于5%，外环境鼠类路径指数小于或等于5。灭鼠要做好日常外环境整治和灭鼠工作，参加全市统一的灭鼠专项行动，公共场所要求做到统一时间、统一行动、统一用药。投药前单位、办公场所一定要坚持先清理环境卫生、断绝鼠粮后进行投药的原则，投放毒饵面积要全覆盖，毒饵饱和率达100％。以开展专项突击行动与长效巩固工作结合起来，确保灭鼠效果，加强重点单位部位防鼠设施建设，室内外及道路下水道口应完善防鼠闸、防鼠网等设施。</w:t>
            </w:r>
            <w:r>
              <w:rPr>
                <w:szCs w:val="32"/>
              </w:rPr>
              <w:t>防鼠设施</w:t>
            </w:r>
            <w:r>
              <w:rPr>
                <w:rFonts w:hint="eastAsia"/>
                <w:szCs w:val="32"/>
              </w:rPr>
              <w:t>必须</w:t>
            </w:r>
            <w:r>
              <w:rPr>
                <w:szCs w:val="32"/>
              </w:rPr>
              <w:t>使用规范，</w:t>
            </w:r>
            <w:r>
              <w:rPr>
                <w:rFonts w:hint="eastAsia"/>
                <w:szCs w:val="32"/>
              </w:rPr>
              <w:t>且</w:t>
            </w:r>
            <w:r>
              <w:rPr>
                <w:szCs w:val="32"/>
              </w:rPr>
              <w:t>毒饵站</w:t>
            </w:r>
            <w:r>
              <w:rPr>
                <w:rFonts w:hint="eastAsia"/>
                <w:szCs w:val="32"/>
              </w:rPr>
              <w:t>需摆放在</w:t>
            </w:r>
            <w:r>
              <w:rPr>
                <w:szCs w:val="32"/>
              </w:rPr>
              <w:t>老鼠通道。</w:t>
            </w:r>
            <w:r>
              <w:rPr>
                <w:rFonts w:hint="eastAsia"/>
              </w:rPr>
              <w:t xml:space="preserve">  </w:t>
            </w:r>
          </w:p>
          <w:p>
            <w:pPr>
              <w:spacing w:line="360" w:lineRule="auto"/>
              <w:ind w:firstLine="420" w:firstLineChars="200"/>
            </w:pPr>
            <w:r>
              <w:rPr>
                <w:rFonts w:hint="eastAsia"/>
              </w:rPr>
              <w:t>2、灭蟑</w:t>
            </w:r>
          </w:p>
          <w:p>
            <w:pPr>
              <w:spacing w:line="360" w:lineRule="auto"/>
              <w:ind w:firstLine="424" w:firstLineChars="202"/>
            </w:pPr>
            <w:r>
              <w:rPr>
                <w:rFonts w:hint="eastAsia"/>
              </w:rPr>
              <w:t>灭蟑标准：室内有蟑螂成虫或幼虫阳性间不超过5%，平均每间房大蠊不超过5只，小蠊不超过10只。室内蟑螂卵鞘查获率不超过3%，平均每间房不超过8只。有蟑螂粪便、蜕皮等蟑迹的房间不超过7%。灭蟑要搞好环境卫生治理，保持清洁，结合药物消杀，对灌木草林、下水道、垃圾槽、化粪池等密闭环境，要用热烟雾机进行熏杀。对餐饮、食品、旅业、娱乐、食堂等重点场所进行热烫熏杀及放置灭蟑毒饵。</w:t>
            </w:r>
          </w:p>
          <w:p>
            <w:pPr>
              <w:spacing w:line="360" w:lineRule="auto"/>
              <w:ind w:firstLine="420" w:firstLineChars="200"/>
            </w:pPr>
            <w:r>
              <w:rPr>
                <w:rFonts w:hint="eastAsia"/>
              </w:rPr>
              <w:t>3、灭蝇</w:t>
            </w:r>
          </w:p>
          <w:p>
            <w:pPr>
              <w:spacing w:line="360" w:lineRule="auto"/>
            </w:pPr>
            <w:r>
              <w:rPr>
                <w:rFonts w:hint="eastAsia"/>
              </w:rPr>
              <w:t xml:space="preserve">    灭蝇标准：室内成蝇密度不超过9%，平均每阳性房间不超过3只，防蝇设施合格率大于或等于90%，蝇类孳生地得到有效治理，幼虫和蛹的检出率不超过5%，生产销售直接入口食品的场所（如厨房、熟食间、冷荤间、无包装食品厨柜等），室内不得存在蝇类孳生地。灭蝇要做到及时清除垃圾，粪便无害化处理，加强农贸市场和食品经营单位废弃物等孳生地管理，是控制苍蝇孳生的最有效方法。在做好消除蝇类孳生地的同时，结合药物杀灭成蝇，完善防蝇网罩等设施。</w:t>
            </w:r>
          </w:p>
          <w:p>
            <w:pPr>
              <w:spacing w:line="360" w:lineRule="auto"/>
              <w:ind w:firstLine="420" w:firstLineChars="200"/>
            </w:pPr>
            <w:r>
              <w:rPr>
                <w:rFonts w:hint="eastAsia"/>
              </w:rPr>
              <w:t>4、灭蚊</w:t>
            </w:r>
          </w:p>
          <w:p>
            <w:pPr>
              <w:spacing w:line="360" w:lineRule="auto"/>
              <w:ind w:firstLine="424" w:firstLineChars="202"/>
              <w:rPr>
                <w:szCs w:val="21"/>
              </w:rPr>
            </w:pPr>
            <w:r>
              <w:rPr>
                <w:rFonts w:hint="eastAsia"/>
              </w:rPr>
              <w:t>灭蚊标准：外环境小型积水蚊虫的路径指数小于或等于0.8，大中型水体中蚊虫的采样勺指数小于或等于5%,平均阳性勺少于8只蚊虫幼虫或蛹。外环境蚊虫停落指数小于或等于1.5，单位内不得有阳性各类积水容器和各类坑洼积水。灭蚊药开展孳生地整治和结合药物杀灭控制工作，清除室内外环境容器积水，翻盆倒罐，疏通排水管网，填平洼地，清除蚊虫孳生。</w:t>
            </w:r>
          </w:p>
          <w:p>
            <w:pPr>
              <w:spacing w:line="360" w:lineRule="auto"/>
              <w:ind w:firstLine="422" w:firstLineChars="200"/>
              <w:rPr>
                <w:b/>
                <w:bCs/>
                <w:szCs w:val="21"/>
              </w:rPr>
            </w:pPr>
            <w:r>
              <w:rPr>
                <w:rFonts w:hint="eastAsia"/>
                <w:b/>
                <w:bCs/>
                <w:szCs w:val="21"/>
              </w:rPr>
              <w:t>三、工作要求</w:t>
            </w:r>
          </w:p>
          <w:p>
            <w:pPr>
              <w:pStyle w:val="20"/>
              <w:spacing w:line="360" w:lineRule="auto"/>
              <w:ind w:firstLine="420" w:firstLineChars="200"/>
              <w:rPr>
                <w:rFonts w:hint="eastAsia"/>
              </w:rPr>
            </w:pPr>
            <w:r>
              <w:rPr>
                <w:rFonts w:hint="eastAsia"/>
              </w:rPr>
              <w:t>1、成交供应商在提供服务过程中，应严格按照国家相关行业标准、规范、程序或规定进行，所提供的药品、器械和工具等货物须为全新产品且质量符合国家相关标准。严格使用证、照齐全，符合卫生标准和安全要求的灭“四害”药物。消杀行动要严格按标准要求进行，并确保达标。工作中要注意安全，防止发生中毒事件。在实施服务过程中要严格按市采购方划定的区域开展服务，各服务公司每轮完成消杀后需上交“杀虫服务记录卡（要有服务单位签字确认）”一式三份，其中给市创卫办、市疾病预防控制中心各一份。</w:t>
            </w:r>
          </w:p>
          <w:p>
            <w:pPr>
              <w:pStyle w:val="20"/>
              <w:spacing w:line="360" w:lineRule="auto"/>
              <w:ind w:firstLine="420" w:firstLineChars="200"/>
            </w:pPr>
            <w:r>
              <w:rPr>
                <w:rFonts w:hint="eastAsia"/>
              </w:rPr>
              <w:t>2、自觉接受采购人监督员的监督检查。成交供应商在服务实施过程中，采购人全程质量跟踪，如发现有弄虚作假，或服务质量达不到要求的，采购人有权中止合同，或减少服务范围，重新调整消杀方案。工作不到位的，由采购人的监督员责令其重新按要求开展工作，直到符合要求为止，服务费用不能重复收取。</w:t>
            </w:r>
          </w:p>
          <w:p>
            <w:pPr>
              <w:pStyle w:val="20"/>
              <w:spacing w:line="360" w:lineRule="auto"/>
              <w:ind w:left="106" w:firstLine="315" w:firstLineChars="150"/>
            </w:pPr>
            <w:r>
              <w:rPr>
                <w:rFonts w:hint="eastAsia"/>
              </w:rPr>
              <w:t>3、与消杀单位各部门、各单位、社区的主要负责人良好沟通。</w:t>
            </w:r>
          </w:p>
          <w:p>
            <w:pPr>
              <w:pStyle w:val="20"/>
              <w:spacing w:line="360" w:lineRule="auto"/>
              <w:ind w:right="91" w:firstLine="420" w:firstLineChars="200"/>
            </w:pPr>
            <w:r>
              <w:rPr>
                <w:rFonts w:hint="eastAsia"/>
              </w:rPr>
              <w:t>4、要按照“四统一”（统一时间、统一行动、统一药物、统一技术）和“四定”（定人员、定指标、定任务、定时间）的总体技术要求，在规定时间内统一开展消杀投药，不留空档，不留死角，使投药的到位率、覆盖率、饱和率达到 98%以上。</w:t>
            </w:r>
          </w:p>
          <w:p>
            <w:pPr>
              <w:pStyle w:val="20"/>
              <w:spacing w:line="360" w:lineRule="auto"/>
              <w:ind w:right="91" w:firstLine="420" w:firstLineChars="200"/>
              <w:rPr>
                <w:rFonts w:hint="eastAsia"/>
              </w:rPr>
            </w:pPr>
            <w:r>
              <w:rPr>
                <w:rFonts w:hint="eastAsia"/>
              </w:rPr>
              <w:t>5、“四害”药物投放、防制设施设置必须符合相关技术规范，密度必须达到国家卫生城市C级标准。</w:t>
            </w:r>
          </w:p>
          <w:p>
            <w:pPr>
              <w:pStyle w:val="20"/>
              <w:spacing w:line="360" w:lineRule="auto"/>
              <w:ind w:right="91" w:firstLine="420" w:firstLineChars="200"/>
              <w:rPr>
                <w:szCs w:val="21"/>
              </w:rPr>
            </w:pPr>
            <w:r>
              <w:rPr>
                <w:rFonts w:hint="eastAsia"/>
              </w:rPr>
              <w:t>6、毒鼠屋及捕蝇笼必须用水泥进行固定，防止移动，并贴有标签（含编码、药物成份、解毒药等文字标识），做好数量分布图，以备核查。</w:t>
            </w:r>
          </w:p>
          <w:p>
            <w:pPr>
              <w:pStyle w:val="20"/>
              <w:spacing w:line="360" w:lineRule="auto"/>
              <w:ind w:right="91" w:firstLine="420" w:firstLineChars="200"/>
              <w:rPr>
                <w:rFonts w:hint="eastAsia"/>
                <w:szCs w:val="21"/>
              </w:rPr>
            </w:pPr>
            <w:r>
              <w:rPr>
                <w:rFonts w:hint="eastAsia"/>
                <w:szCs w:val="21"/>
              </w:rPr>
              <w:t>7、</w:t>
            </w:r>
            <w:r>
              <w:rPr>
                <w:rFonts w:hint="eastAsia"/>
                <w:color w:val="auto"/>
                <w:szCs w:val="21"/>
              </w:rPr>
              <w:t>供应商拟投入的防制队伍人员</w:t>
            </w:r>
            <w:r>
              <w:rPr>
                <w:rFonts w:hint="eastAsia"/>
                <w:color w:val="auto"/>
              </w:rPr>
              <w:t>不少于5人，且</w:t>
            </w:r>
            <w:r>
              <w:rPr>
                <w:rFonts w:hint="eastAsia"/>
                <w:color w:val="auto"/>
                <w:szCs w:val="21"/>
              </w:rPr>
              <w:t>必须是供应商在职职工(提供在截标前半年为防制队伍购买的社保证明材料复印件)</w:t>
            </w:r>
            <w:r>
              <w:rPr>
                <w:rFonts w:hint="eastAsia"/>
                <w:szCs w:val="21"/>
              </w:rPr>
              <w:t>。</w:t>
            </w:r>
          </w:p>
          <w:p>
            <w:pPr>
              <w:spacing w:line="360" w:lineRule="auto"/>
              <w:ind w:firstLine="424" w:firstLineChars="202"/>
              <w:rPr>
                <w:rFonts w:hint="eastAsia"/>
                <w:szCs w:val="21"/>
              </w:rPr>
            </w:pPr>
            <w:r>
              <w:rPr>
                <w:rFonts w:hint="eastAsia"/>
                <w:szCs w:val="21"/>
              </w:rPr>
              <w:t>8、全部药品由成交供应商提供，药品各方面性能必须符合国家标准。投标文件中提供所使用的药品“三证”(农药登记证、农药生产批准证书、技术监督部门备案的企业标准证) 复印件，以及生产企业的营业执照副本复印件。成交后提供药品生产厂家售后服务及供货质量保证承诺书，方可签订合同，否则视为放弃其成交资格。供应商使用的药物要求详见附件。</w:t>
            </w:r>
          </w:p>
          <w:p>
            <w:pPr>
              <w:pStyle w:val="20"/>
              <w:spacing w:line="360" w:lineRule="auto"/>
              <w:ind w:right="91" w:firstLine="420" w:firstLineChars="200"/>
              <w:rPr>
                <w:szCs w:val="21"/>
              </w:rPr>
            </w:pPr>
            <w:r>
              <w:rPr>
                <w:rFonts w:hint="eastAsia"/>
              </w:rPr>
              <w:t>9、供应商配备服务范围内相应的消杀设备，包括但不限于各种类型的喷雾器（机）、热烟雾机、消杀作业车辆等。</w:t>
            </w:r>
            <w:r>
              <w:rPr>
                <w:rFonts w:hint="eastAsia"/>
                <w:szCs w:val="21"/>
              </w:rPr>
              <w:t xml:space="preserve"> </w:t>
            </w:r>
          </w:p>
          <w:p>
            <w:pPr>
              <w:spacing w:line="360" w:lineRule="auto"/>
              <w:ind w:firstLine="413" w:firstLineChars="196"/>
              <w:rPr>
                <w:rFonts w:hint="eastAsia"/>
                <w:b/>
                <w:bCs/>
                <w:szCs w:val="21"/>
              </w:rPr>
            </w:pPr>
            <w:r>
              <w:rPr>
                <w:rFonts w:hint="eastAsia"/>
                <w:b/>
                <w:bCs/>
                <w:szCs w:val="21"/>
              </w:rPr>
              <w:t>四、服务要求及核验方式</w:t>
            </w:r>
          </w:p>
          <w:p>
            <w:pPr>
              <w:widowControl/>
              <w:kinsoku w:val="0"/>
              <w:autoSpaceDE w:val="0"/>
              <w:autoSpaceDN w:val="0"/>
              <w:adjustRightInd w:val="0"/>
              <w:snapToGrid w:val="0"/>
              <w:spacing w:line="360" w:lineRule="auto"/>
              <w:ind w:firstLine="420" w:firstLineChars="200"/>
              <w:textAlignment w:val="baseline"/>
              <w:rPr>
                <w:rFonts w:hint="eastAsia"/>
                <w:szCs w:val="21"/>
              </w:rPr>
            </w:pPr>
            <w:r>
              <w:rPr>
                <w:rFonts w:hint="eastAsia"/>
                <w:szCs w:val="21"/>
              </w:rPr>
              <w:t>(一)“四害”药物投放、防制设施设置必须符合相关技术规范，密度必须达到国家卫生城市C 级标准。</w:t>
            </w:r>
          </w:p>
          <w:p>
            <w:pPr>
              <w:widowControl/>
              <w:kinsoku w:val="0"/>
              <w:autoSpaceDE w:val="0"/>
              <w:autoSpaceDN w:val="0"/>
              <w:adjustRightInd w:val="0"/>
              <w:snapToGrid w:val="0"/>
              <w:spacing w:line="360" w:lineRule="auto"/>
              <w:ind w:firstLine="420" w:firstLineChars="200"/>
              <w:textAlignment w:val="baseline"/>
              <w:rPr>
                <w:rFonts w:hint="eastAsia"/>
                <w:szCs w:val="21"/>
              </w:rPr>
            </w:pPr>
            <w:r>
              <w:rPr>
                <w:rFonts w:hint="eastAsia"/>
                <w:szCs w:val="21"/>
              </w:rPr>
              <w:t>(二)毒鼠屋及捕蝇笼必须进行固定，防止移动，并贴有标签（含编码、药物成份、解毒药等文字标识）,做好数量分布图，以备核查。</w:t>
            </w:r>
          </w:p>
          <w:p>
            <w:pPr>
              <w:widowControl/>
              <w:kinsoku w:val="0"/>
              <w:autoSpaceDE w:val="0"/>
              <w:autoSpaceDN w:val="0"/>
              <w:adjustRightInd w:val="0"/>
              <w:snapToGrid w:val="0"/>
              <w:spacing w:line="360" w:lineRule="auto"/>
              <w:ind w:firstLine="420" w:firstLineChars="200"/>
              <w:textAlignment w:val="baseline"/>
              <w:rPr>
                <w:rFonts w:hint="eastAsia"/>
                <w:szCs w:val="21"/>
              </w:rPr>
            </w:pPr>
            <w:r>
              <w:rPr>
                <w:rFonts w:hint="eastAsia"/>
                <w:szCs w:val="21"/>
              </w:rPr>
              <w:t>(三)2023年度病媒生物综合防制服务，成交供应商须在2023年12月30日前在责任区域开展不少于6次全面除“四害”消杀服务，服务期间如因其他特殊原因未能履约开展6次除“四害”消杀服务，要于次年春季前做好密度超标区域补充消杀工作。</w:t>
            </w:r>
          </w:p>
          <w:p>
            <w:pPr>
              <w:widowControl/>
              <w:kinsoku w:val="0"/>
              <w:autoSpaceDE w:val="0"/>
              <w:autoSpaceDN w:val="0"/>
              <w:adjustRightInd w:val="0"/>
              <w:snapToGrid w:val="0"/>
              <w:spacing w:line="360" w:lineRule="auto"/>
              <w:ind w:firstLine="420" w:firstLineChars="200"/>
              <w:textAlignment w:val="baseline"/>
              <w:rPr>
                <w:rFonts w:hint="eastAsia"/>
                <w:szCs w:val="21"/>
              </w:rPr>
            </w:pPr>
            <w:r>
              <w:rPr>
                <w:rFonts w:hint="eastAsia"/>
                <w:szCs w:val="21"/>
              </w:rPr>
              <w:t>(四)服务期间内，如接到群众合理投诉(市长热线、创卫办投诉电话、相关部门转来的投诉等)，经市爱卫办核实，服务方在接到市爱卫办电话24小时内需立即组织相关专业技术人员并带齐消杀设备、药物赶到现场开展补充消杀服务，并采取有力措施将“四害”密度控制在国家卫生城市C 级标准范围内。</w:t>
            </w:r>
          </w:p>
          <w:p>
            <w:pPr>
              <w:pStyle w:val="5"/>
              <w:spacing w:line="360" w:lineRule="auto"/>
              <w:rPr>
                <w:szCs w:val="21"/>
              </w:rPr>
            </w:pPr>
            <w:r>
              <w:rPr>
                <w:rFonts w:hint="eastAsia"/>
                <w:szCs w:val="21"/>
              </w:rPr>
              <w:t>(五)每次投药前及投药结束后7个工作日内，由市爱卫办组织市疾病预防控制中心相关技术人员分别对服务区域的“四害”密度进行随机抽查监测，并按要求将各服务区域"四害" 监测报告及时报送至市爱卫办，作为履约依据。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2"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7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pPr>
            <w:r>
              <w:rPr>
                <w:rFonts w:hint="eastAsia"/>
              </w:rPr>
              <w:t>1、因消杀工作不到位而造成居民投诉等情况，需进行补杀时所需药品由成交供应商提供。接到投诉或其他情况时，至少能在</w:t>
            </w:r>
            <w:r>
              <w:t>2</w:t>
            </w:r>
            <w:r>
              <w:rPr>
                <w:rFonts w:hint="eastAsia"/>
              </w:rPr>
              <w:t>小时内到达现场，并能在</w:t>
            </w:r>
            <w:r>
              <w:t>4</w:t>
            </w:r>
            <w:r>
              <w:rPr>
                <w:rFonts w:hint="eastAsia"/>
              </w:rPr>
              <w:t>小时内处理完毕。</w:t>
            </w:r>
          </w:p>
          <w:p>
            <w:pPr>
              <w:spacing w:line="360" w:lineRule="auto"/>
              <w:ind w:firstLine="420"/>
            </w:pPr>
            <w:r>
              <w:rPr>
                <w:rFonts w:hint="eastAsia"/>
              </w:rPr>
              <w:t>2、成交供应商签订合同后必须严格按照响应文件中服务方案、人员、机械配备及服务承诺等执行，否则采购人有权终止采购合同。</w:t>
            </w:r>
          </w:p>
          <w:p>
            <w:pPr>
              <w:spacing w:line="360" w:lineRule="auto"/>
              <w:ind w:firstLine="420"/>
            </w:pPr>
            <w:r>
              <w:rPr>
                <w:rFonts w:hint="eastAsia"/>
              </w:rPr>
              <w:t>3、供应商免费提供投药前后“四害”密度监测和监测报告。</w:t>
            </w:r>
          </w:p>
          <w:p>
            <w:pPr>
              <w:spacing w:line="360" w:lineRule="auto"/>
              <w:ind w:firstLine="420"/>
            </w:pPr>
            <w:r>
              <w:rPr>
                <w:rFonts w:hint="eastAsia"/>
              </w:rPr>
              <w:t>4、供应商应在采购人规定的时间内完成消杀服务，杀灭服务完成后上述服务范围内的绿化带、街心公园、下水道、污水池、沉沙井、垃圾站等鼠蟑蚊蝇密度指标必须达到国家卫生城市标准。</w:t>
            </w:r>
          </w:p>
          <w:p>
            <w:pPr>
              <w:spacing w:line="360" w:lineRule="auto"/>
              <w:ind w:firstLine="420" w:firstLineChars="200"/>
              <w:rPr>
                <w:rFonts w:hint="eastAsia"/>
              </w:rPr>
            </w:pPr>
            <w:r>
              <w:rPr>
                <w:rFonts w:hint="eastAsia"/>
              </w:rPr>
              <w:t>5、供应商在服务过程中要对施工区域和路段进行拍照留档备查，做好警示标示。</w:t>
            </w:r>
          </w:p>
          <w:p>
            <w:pPr>
              <w:spacing w:line="360" w:lineRule="auto"/>
              <w:ind w:firstLine="420" w:firstLineChars="200"/>
              <w:rPr>
                <w:rFonts w:hint="eastAsia"/>
              </w:rPr>
            </w:pPr>
            <w:r>
              <w:rPr>
                <w:rFonts w:hint="eastAsia"/>
              </w:rPr>
              <w:t>6、本次采购为2023年度病媒生物综合防制服务采购，成交供应</w:t>
            </w:r>
            <w:r>
              <w:rPr>
                <w:rFonts w:hint="eastAsia"/>
                <w:color w:val="auto"/>
              </w:rPr>
              <w:t>商须在合同签订生效之日起至2023年12月30日在责任区域开展不少于6次全面</w:t>
            </w:r>
            <w:r>
              <w:rPr>
                <w:rFonts w:hint="eastAsia"/>
              </w:rPr>
              <w:t>除四害消杀服务，每次投药前及投药结束后7个工作日内，市创卫办组织专业人员对服务区域 “四害”密度进行随机抽查监测，服务方要做好“四害”密度超标区域补充消杀工作。每次防治服务时间根据采购人工作需要和实际情况安排。</w:t>
            </w:r>
            <w:r>
              <w:rPr>
                <w:rFonts w:hint="eastAsia" w:ascii="宋体" w:hAnsi="宋体" w:cs="宋体"/>
                <w:szCs w:val="21"/>
              </w:rPr>
              <w:t>因特殊原因当年未完成消杀服务轮次的，需于次年第一季度前完成补充消杀工作。</w:t>
            </w:r>
          </w:p>
          <w:p>
            <w:pPr>
              <w:widowControl/>
              <w:kinsoku w:val="0"/>
              <w:autoSpaceDE w:val="0"/>
              <w:autoSpaceDN w:val="0"/>
              <w:adjustRightInd w:val="0"/>
              <w:snapToGrid w:val="0"/>
              <w:spacing w:line="360" w:lineRule="auto"/>
              <w:ind w:firstLine="420" w:firstLineChars="200"/>
              <w:textAlignment w:val="baseline"/>
              <w:rPr>
                <w:rFonts w:hint="eastAsia"/>
              </w:rPr>
            </w:pPr>
            <w:r>
              <w:rPr>
                <w:rFonts w:hint="eastAsia"/>
              </w:rPr>
              <w:t>7、</w:t>
            </w:r>
            <w:r>
              <w:rPr>
                <w:rFonts w:hint="eastAsia"/>
                <w:szCs w:val="21"/>
              </w:rPr>
              <w:t>服务期间内，如接到群众合理投诉(市长热线、创卫办投诉电话、相关部门转来的投诉等)，经市爱卫办核实，服务方在接到市爱卫办电话24小时内需立即组织相关专业技术人员并带齐消杀设备、药物赶到现场开展补充消杀服务，并采取有力措施将“四害”密度控制在国家卫生城市C 级标准范围内。</w:t>
            </w:r>
            <w:r>
              <w:rPr>
                <w:rFonts w:hint="eastAsia"/>
              </w:rPr>
              <w:t>进行补杀时所需药品和服务由供应商免费提供。</w:t>
            </w:r>
          </w:p>
          <w:p>
            <w:pPr>
              <w:pStyle w:val="5"/>
              <w:spacing w:line="360" w:lineRule="auto"/>
              <w:ind w:firstLine="422"/>
              <w:rPr>
                <w:rFonts w:hint="eastAsia"/>
              </w:rPr>
            </w:pPr>
            <w:r>
              <w:rPr>
                <w:rFonts w:hint="eastAsia"/>
              </w:rPr>
              <w:t>8、成交供应商成交后，必须在防城港市城区设置固定的办公场所和药械仓库，并提供租赁期为一年以上的合同或产权证明，药械仓库平面图（鼠药、杀虫剂、器械分开独立存放）及实景图片给市创卫办备案，以便开展日常药械规范管理督促。</w:t>
            </w:r>
          </w:p>
          <w:p>
            <w:pPr>
              <w:pStyle w:val="5"/>
              <w:spacing w:line="360" w:lineRule="auto"/>
              <w:ind w:firstLine="422"/>
              <w:rPr>
                <w:rFonts w:hint="eastAsia"/>
              </w:rPr>
            </w:pPr>
            <w:r>
              <w:rPr>
                <w:rFonts w:hint="eastAsia"/>
              </w:rPr>
              <w:t>9、每次投药前及投药结束后7个工作日内，防城港市疾病预防控制中心分别对服务区域对“四害”密度进行随机抽查监测，并将监测结果及时报送市卫生健康委规划发展与信息化科（爱卫办），作为履约依据。</w:t>
            </w:r>
          </w:p>
          <w:p>
            <w:pPr>
              <w:pStyle w:val="5"/>
              <w:spacing w:line="360" w:lineRule="auto"/>
              <w:ind w:firstLine="422"/>
              <w:rPr>
                <w:b/>
                <w:bCs/>
              </w:rPr>
            </w:pPr>
            <w:r>
              <w:rPr>
                <w:rFonts w:hint="eastAsia" w:hAnsi="宋体" w:cs="宋体"/>
              </w:rPr>
              <w:t>10、根据《全国疾病预防控制机构卫生应急工作规范(试行)》国卫办应急发(2015)54号要求，投标人须提供针对媒介生物(鼠类及蚊虫等)传播疾病的相关应急方案。</w:t>
            </w:r>
          </w:p>
          <w:p>
            <w:pPr>
              <w:spacing w:line="360" w:lineRule="auto"/>
              <w:ind w:firstLine="420"/>
              <w:rPr>
                <w:rFonts w:ascii="宋体" w:hAnsi="宋体"/>
                <w:b/>
                <w:szCs w:val="21"/>
              </w:rPr>
            </w:pPr>
            <w:r>
              <w:rPr>
                <w:rFonts w:hint="eastAsia" w:ascii="宋体" w:hAnsi="宋体"/>
                <w:b/>
                <w:szCs w:val="21"/>
              </w:rPr>
              <w:t>12、验收及付款</w:t>
            </w:r>
          </w:p>
          <w:p>
            <w:pPr>
              <w:pStyle w:val="5"/>
              <w:spacing w:line="360" w:lineRule="auto"/>
              <w:ind w:firstLine="422"/>
              <w:rPr>
                <w:rFonts w:hint="eastAsia"/>
                <w:color w:val="0000FF"/>
                <w:szCs w:val="21"/>
              </w:rPr>
            </w:pPr>
            <w:r>
              <w:rPr>
                <w:rFonts w:hint="eastAsia" w:ascii="宋体" w:hAnsi="宋体"/>
                <w:szCs w:val="21"/>
              </w:rPr>
              <w:t>财政性资金按财政国库集中支付规定程序办理，合同签订后，采购人在成交供应商正式开展消杀工作20日内支付合同总金额的30%用于成交供应商开展消杀工作所需的各类费用；消杀服务完成后，由采购人组织有关专业机构按照国家卫生城市的有关标准对该消杀灭服务项目进行验收，验收合格后支付剩余的合同总金额。</w:t>
            </w:r>
          </w:p>
        </w:tc>
      </w:tr>
    </w:tbl>
    <w:p>
      <w:pPr>
        <w:autoSpaceDE w:val="0"/>
        <w:autoSpaceDN w:val="0"/>
        <w:spacing w:line="320" w:lineRule="exact"/>
        <w:rPr>
          <w:rFonts w:ascii="宋体" w:cs="宋体"/>
          <w:b/>
          <w:bCs/>
          <w:kern w:val="0"/>
          <w:sz w:val="24"/>
          <w:lang w:val="zh-CN"/>
        </w:rPr>
      </w:pPr>
      <w:r>
        <w:rPr>
          <w:rFonts w:hint="eastAsia" w:ascii="宋体" w:hAnsi="宋体" w:cs="宋体"/>
          <w:b/>
          <w:bCs/>
          <w:kern w:val="0"/>
          <w:sz w:val="24"/>
          <w:lang w:val="zh-CN"/>
        </w:rPr>
        <w:t>附件：供应商使用的药物要求。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98"/>
        <w:gridCol w:w="2105"/>
        <w:gridCol w:w="97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color w:val="auto"/>
                <w:sz w:val="24"/>
              </w:rPr>
            </w:pPr>
            <w:r>
              <w:rPr>
                <w:rFonts w:hint="eastAsia"/>
                <w:color w:val="auto"/>
                <w:sz w:val="24"/>
              </w:rPr>
              <w:t>序号</w:t>
            </w:r>
          </w:p>
        </w:tc>
        <w:tc>
          <w:tcPr>
            <w:tcW w:w="2998" w:type="dxa"/>
            <w:noWrap w:val="0"/>
            <w:vAlign w:val="top"/>
          </w:tcPr>
          <w:p>
            <w:pPr>
              <w:jc w:val="center"/>
              <w:rPr>
                <w:color w:val="auto"/>
                <w:sz w:val="24"/>
              </w:rPr>
            </w:pPr>
            <w:r>
              <w:rPr>
                <w:rFonts w:hint="eastAsia"/>
                <w:color w:val="auto"/>
                <w:sz w:val="24"/>
              </w:rPr>
              <w:t>药品名称（主要技术参数（有效成份、含量、剂型）</w:t>
            </w:r>
          </w:p>
        </w:tc>
        <w:tc>
          <w:tcPr>
            <w:tcW w:w="2105" w:type="dxa"/>
            <w:noWrap w:val="0"/>
            <w:vAlign w:val="top"/>
          </w:tcPr>
          <w:p>
            <w:pPr>
              <w:jc w:val="center"/>
              <w:rPr>
                <w:rFonts w:hint="eastAsia"/>
                <w:color w:val="auto"/>
                <w:sz w:val="24"/>
              </w:rPr>
            </w:pPr>
            <w:r>
              <w:rPr>
                <w:rFonts w:hint="eastAsia"/>
                <w:color w:val="auto"/>
                <w:sz w:val="24"/>
              </w:rPr>
              <w:t>规格</w:t>
            </w:r>
          </w:p>
        </w:tc>
        <w:tc>
          <w:tcPr>
            <w:tcW w:w="976" w:type="dxa"/>
            <w:noWrap w:val="0"/>
            <w:vAlign w:val="top"/>
          </w:tcPr>
          <w:p>
            <w:pPr>
              <w:jc w:val="center"/>
              <w:rPr>
                <w:color w:val="auto"/>
                <w:sz w:val="24"/>
              </w:rPr>
            </w:pPr>
            <w:r>
              <w:rPr>
                <w:rFonts w:hint="eastAsia"/>
                <w:color w:val="auto"/>
                <w:sz w:val="24"/>
              </w:rPr>
              <w:t>剂型</w:t>
            </w:r>
          </w:p>
        </w:tc>
        <w:tc>
          <w:tcPr>
            <w:tcW w:w="1626" w:type="dxa"/>
            <w:noWrap w:val="0"/>
            <w:vAlign w:val="top"/>
          </w:tcPr>
          <w:p>
            <w:pPr>
              <w:jc w:val="center"/>
              <w:rPr>
                <w:rFonts w:hint="eastAsia"/>
                <w:color w:val="auto"/>
                <w:sz w:val="24"/>
              </w:rPr>
            </w:pPr>
            <w:r>
              <w:rPr>
                <w:rFonts w:hint="eastAsia"/>
                <w:color w:val="auto"/>
                <w:sz w:val="24"/>
              </w:rPr>
              <w:t>药品用途及类别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color w:val="auto"/>
                <w:sz w:val="24"/>
              </w:rPr>
            </w:pPr>
            <w:r>
              <w:rPr>
                <w:rFonts w:hint="eastAsia"/>
                <w:color w:val="auto"/>
                <w:sz w:val="24"/>
              </w:rPr>
              <w:t>1</w:t>
            </w:r>
          </w:p>
        </w:tc>
        <w:tc>
          <w:tcPr>
            <w:tcW w:w="2998" w:type="dxa"/>
            <w:noWrap w:val="0"/>
            <w:vAlign w:val="top"/>
          </w:tcPr>
          <w:p>
            <w:pPr>
              <w:jc w:val="center"/>
              <w:rPr>
                <w:rFonts w:hint="eastAsia"/>
                <w:color w:val="auto"/>
                <w:sz w:val="24"/>
              </w:rPr>
            </w:pPr>
            <w:r>
              <w:rPr>
                <w:rFonts w:hint="eastAsia"/>
                <w:color w:val="auto"/>
                <w:sz w:val="24"/>
              </w:rPr>
              <w:t>≥1</w:t>
            </w:r>
            <w:r>
              <w:rPr>
                <w:color w:val="auto"/>
                <w:sz w:val="24"/>
              </w:rPr>
              <w:t>%</w:t>
            </w:r>
            <w:r>
              <w:rPr>
                <w:rFonts w:hint="eastAsia"/>
                <w:color w:val="auto"/>
                <w:sz w:val="24"/>
              </w:rPr>
              <w:t>高效氯氰菊酯热雾剂（含复配剂）</w:t>
            </w:r>
          </w:p>
        </w:tc>
        <w:tc>
          <w:tcPr>
            <w:tcW w:w="2105" w:type="dxa"/>
            <w:noWrap w:val="0"/>
            <w:vAlign w:val="top"/>
          </w:tcPr>
          <w:p>
            <w:pPr>
              <w:jc w:val="center"/>
              <w:rPr>
                <w:color w:val="auto"/>
                <w:sz w:val="24"/>
              </w:rPr>
            </w:pPr>
            <w:r>
              <w:rPr>
                <w:rFonts w:hint="eastAsia"/>
                <w:color w:val="auto"/>
                <w:sz w:val="24"/>
              </w:rPr>
              <w:t>5升*4桶/箱</w:t>
            </w:r>
          </w:p>
        </w:tc>
        <w:tc>
          <w:tcPr>
            <w:tcW w:w="976" w:type="dxa"/>
            <w:noWrap w:val="0"/>
            <w:vAlign w:val="top"/>
          </w:tcPr>
          <w:p>
            <w:pPr>
              <w:jc w:val="center"/>
              <w:rPr>
                <w:color w:val="auto"/>
                <w:sz w:val="24"/>
              </w:rPr>
            </w:pPr>
            <w:r>
              <w:rPr>
                <w:rFonts w:hint="eastAsia"/>
                <w:color w:val="auto"/>
                <w:sz w:val="24"/>
              </w:rPr>
              <w:t>热雾剂</w:t>
            </w:r>
          </w:p>
        </w:tc>
        <w:tc>
          <w:tcPr>
            <w:tcW w:w="1626" w:type="dxa"/>
            <w:noWrap w:val="0"/>
            <w:vAlign w:val="top"/>
          </w:tcPr>
          <w:p>
            <w:pPr>
              <w:jc w:val="center"/>
              <w:rPr>
                <w:rFonts w:hint="eastAsia"/>
                <w:color w:val="auto"/>
                <w:sz w:val="24"/>
              </w:rPr>
            </w:pPr>
            <w:r>
              <w:rPr>
                <w:rFonts w:hint="eastAsia"/>
                <w:color w:val="auto"/>
                <w:sz w:val="24"/>
              </w:rPr>
              <w:t>下水道、化粪池等蟑螂孳生栖息地使用、茂密绿植灭蚊使用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color w:val="auto"/>
                <w:sz w:val="24"/>
              </w:rPr>
            </w:pPr>
            <w:r>
              <w:rPr>
                <w:rFonts w:hint="eastAsia"/>
                <w:color w:val="auto"/>
                <w:sz w:val="24"/>
              </w:rPr>
              <w:t>2</w:t>
            </w:r>
          </w:p>
        </w:tc>
        <w:tc>
          <w:tcPr>
            <w:tcW w:w="2998" w:type="dxa"/>
            <w:noWrap w:val="0"/>
            <w:vAlign w:val="top"/>
          </w:tcPr>
          <w:p>
            <w:pPr>
              <w:jc w:val="center"/>
              <w:rPr>
                <w:color w:val="auto"/>
                <w:sz w:val="24"/>
              </w:rPr>
            </w:pPr>
            <w:r>
              <w:rPr>
                <w:color w:val="auto"/>
                <w:sz w:val="24"/>
              </w:rPr>
              <w:t>5%</w:t>
            </w:r>
            <w:r>
              <w:rPr>
                <w:rFonts w:hint="eastAsia"/>
                <w:color w:val="auto"/>
                <w:sz w:val="24"/>
              </w:rPr>
              <w:t>高效氯氟氰菊酯（含复配剂）水乳剂</w:t>
            </w:r>
          </w:p>
        </w:tc>
        <w:tc>
          <w:tcPr>
            <w:tcW w:w="2105" w:type="dxa"/>
            <w:noWrap w:val="0"/>
            <w:vAlign w:val="top"/>
          </w:tcPr>
          <w:p>
            <w:pPr>
              <w:jc w:val="center"/>
              <w:rPr>
                <w:color w:val="auto"/>
                <w:sz w:val="24"/>
              </w:rPr>
            </w:pPr>
            <w:r>
              <w:rPr>
                <w:rFonts w:hint="eastAsia"/>
                <w:color w:val="auto"/>
                <w:sz w:val="24"/>
              </w:rPr>
              <w:t>500克*20瓶/箱</w:t>
            </w:r>
          </w:p>
        </w:tc>
        <w:tc>
          <w:tcPr>
            <w:tcW w:w="976" w:type="dxa"/>
            <w:noWrap w:val="0"/>
            <w:vAlign w:val="top"/>
          </w:tcPr>
          <w:p>
            <w:pPr>
              <w:jc w:val="center"/>
              <w:rPr>
                <w:color w:val="auto"/>
                <w:sz w:val="24"/>
              </w:rPr>
            </w:pPr>
            <w:r>
              <w:rPr>
                <w:rFonts w:hint="eastAsia"/>
                <w:color w:val="auto"/>
                <w:sz w:val="24"/>
              </w:rPr>
              <w:t>水乳剂</w:t>
            </w:r>
          </w:p>
        </w:tc>
        <w:tc>
          <w:tcPr>
            <w:tcW w:w="1626" w:type="dxa"/>
            <w:noWrap w:val="0"/>
            <w:vAlign w:val="top"/>
          </w:tcPr>
          <w:p>
            <w:pPr>
              <w:jc w:val="center"/>
              <w:rPr>
                <w:rFonts w:hint="eastAsia"/>
                <w:color w:val="auto"/>
                <w:sz w:val="24"/>
              </w:rPr>
            </w:pPr>
            <w:r>
              <w:rPr>
                <w:rFonts w:hint="eastAsia"/>
                <w:color w:val="auto"/>
                <w:sz w:val="24"/>
              </w:rPr>
              <w:t>内外环境灭成蚊、成蝇及蟑螂孳生栖息地使用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color w:val="auto"/>
                <w:sz w:val="24"/>
              </w:rPr>
            </w:pPr>
            <w:r>
              <w:rPr>
                <w:rFonts w:hint="eastAsia"/>
                <w:color w:val="auto"/>
                <w:sz w:val="24"/>
              </w:rPr>
              <w:t>3</w:t>
            </w:r>
          </w:p>
        </w:tc>
        <w:tc>
          <w:tcPr>
            <w:tcW w:w="2998" w:type="dxa"/>
            <w:noWrap w:val="0"/>
            <w:vAlign w:val="top"/>
          </w:tcPr>
          <w:p>
            <w:pPr>
              <w:jc w:val="center"/>
              <w:rPr>
                <w:color w:val="auto"/>
                <w:sz w:val="24"/>
              </w:rPr>
            </w:pPr>
            <w:r>
              <w:rPr>
                <w:rFonts w:hint="eastAsia"/>
                <w:color w:val="auto"/>
                <w:sz w:val="24"/>
              </w:rPr>
              <w:t>0.5%吡丙醚颗粒剂</w:t>
            </w:r>
          </w:p>
        </w:tc>
        <w:tc>
          <w:tcPr>
            <w:tcW w:w="2105" w:type="dxa"/>
            <w:noWrap w:val="0"/>
            <w:vAlign w:val="top"/>
          </w:tcPr>
          <w:p>
            <w:pPr>
              <w:jc w:val="center"/>
              <w:rPr>
                <w:color w:val="auto"/>
                <w:sz w:val="24"/>
              </w:rPr>
            </w:pPr>
            <w:r>
              <w:rPr>
                <w:rFonts w:hint="eastAsia"/>
                <w:color w:val="auto"/>
                <w:sz w:val="24"/>
              </w:rPr>
              <w:t>500克*20包/箱</w:t>
            </w:r>
          </w:p>
        </w:tc>
        <w:tc>
          <w:tcPr>
            <w:tcW w:w="976" w:type="dxa"/>
            <w:noWrap w:val="0"/>
            <w:vAlign w:val="top"/>
          </w:tcPr>
          <w:p>
            <w:pPr>
              <w:jc w:val="center"/>
              <w:rPr>
                <w:color w:val="auto"/>
                <w:sz w:val="24"/>
              </w:rPr>
            </w:pPr>
            <w:r>
              <w:rPr>
                <w:rFonts w:hint="eastAsia"/>
                <w:color w:val="auto"/>
                <w:sz w:val="24"/>
              </w:rPr>
              <w:t>颗粒剂</w:t>
            </w:r>
          </w:p>
        </w:tc>
        <w:tc>
          <w:tcPr>
            <w:tcW w:w="1626" w:type="dxa"/>
            <w:noWrap w:val="0"/>
            <w:vAlign w:val="top"/>
          </w:tcPr>
          <w:p>
            <w:pPr>
              <w:jc w:val="center"/>
              <w:rPr>
                <w:rFonts w:hint="eastAsia"/>
                <w:color w:val="auto"/>
                <w:sz w:val="24"/>
              </w:rPr>
            </w:pPr>
            <w:r>
              <w:rPr>
                <w:rFonts w:hint="eastAsia"/>
                <w:color w:val="auto"/>
                <w:sz w:val="24"/>
              </w:rPr>
              <w:t>内外环境蚊类孳生地用药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noWrap w:val="0"/>
            <w:vAlign w:val="top"/>
          </w:tcPr>
          <w:p>
            <w:pPr>
              <w:jc w:val="center"/>
              <w:rPr>
                <w:color w:val="auto"/>
                <w:sz w:val="24"/>
              </w:rPr>
            </w:pPr>
            <w:r>
              <w:rPr>
                <w:rFonts w:hint="eastAsia"/>
                <w:color w:val="auto"/>
                <w:sz w:val="24"/>
              </w:rPr>
              <w:t>4</w:t>
            </w:r>
          </w:p>
        </w:tc>
        <w:tc>
          <w:tcPr>
            <w:tcW w:w="2998" w:type="dxa"/>
            <w:noWrap w:val="0"/>
            <w:vAlign w:val="top"/>
          </w:tcPr>
          <w:p>
            <w:pPr>
              <w:jc w:val="center"/>
              <w:rPr>
                <w:color w:val="auto"/>
                <w:sz w:val="24"/>
              </w:rPr>
            </w:pPr>
            <w:r>
              <w:rPr>
                <w:color w:val="auto"/>
                <w:sz w:val="24"/>
              </w:rPr>
              <w:t>0.05%</w:t>
            </w:r>
            <w:r>
              <w:rPr>
                <w:rFonts w:hint="eastAsia"/>
                <w:color w:val="auto"/>
                <w:sz w:val="24"/>
              </w:rPr>
              <w:t>氟虫腈饵剂</w:t>
            </w:r>
          </w:p>
        </w:tc>
        <w:tc>
          <w:tcPr>
            <w:tcW w:w="2105" w:type="dxa"/>
            <w:noWrap w:val="0"/>
            <w:vAlign w:val="top"/>
          </w:tcPr>
          <w:p>
            <w:pPr>
              <w:jc w:val="center"/>
              <w:rPr>
                <w:color w:val="auto"/>
                <w:sz w:val="24"/>
              </w:rPr>
            </w:pPr>
            <w:r>
              <w:rPr>
                <w:color w:val="auto"/>
                <w:sz w:val="24"/>
              </w:rPr>
              <w:t>10</w:t>
            </w:r>
            <w:r>
              <w:rPr>
                <w:rFonts w:hint="eastAsia"/>
                <w:color w:val="auto"/>
                <w:sz w:val="24"/>
              </w:rPr>
              <w:t>克*</w:t>
            </w:r>
            <w:r>
              <w:rPr>
                <w:color w:val="auto"/>
                <w:sz w:val="24"/>
              </w:rPr>
              <w:t>500</w:t>
            </w:r>
            <w:r>
              <w:rPr>
                <w:rFonts w:hint="eastAsia"/>
                <w:color w:val="auto"/>
                <w:sz w:val="24"/>
              </w:rPr>
              <w:t>袋/箱</w:t>
            </w:r>
          </w:p>
        </w:tc>
        <w:tc>
          <w:tcPr>
            <w:tcW w:w="976" w:type="dxa"/>
            <w:noWrap w:val="0"/>
            <w:vAlign w:val="top"/>
          </w:tcPr>
          <w:p>
            <w:pPr>
              <w:jc w:val="center"/>
              <w:rPr>
                <w:color w:val="auto"/>
                <w:sz w:val="24"/>
              </w:rPr>
            </w:pPr>
            <w:r>
              <w:rPr>
                <w:rFonts w:hint="eastAsia"/>
                <w:color w:val="auto"/>
                <w:sz w:val="24"/>
              </w:rPr>
              <w:t>饵剂</w:t>
            </w:r>
          </w:p>
        </w:tc>
        <w:tc>
          <w:tcPr>
            <w:tcW w:w="1626" w:type="dxa"/>
            <w:noWrap w:val="0"/>
            <w:vAlign w:val="top"/>
          </w:tcPr>
          <w:p>
            <w:pPr>
              <w:jc w:val="center"/>
              <w:rPr>
                <w:rFonts w:hint="eastAsia"/>
                <w:color w:val="auto"/>
                <w:sz w:val="24"/>
              </w:rPr>
            </w:pPr>
            <w:r>
              <w:rPr>
                <w:rFonts w:hint="eastAsia"/>
                <w:color w:val="auto"/>
                <w:sz w:val="24"/>
              </w:rPr>
              <w:t>室内场所灭蟑螂使用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noWrap w:val="0"/>
            <w:vAlign w:val="top"/>
          </w:tcPr>
          <w:p>
            <w:pPr>
              <w:jc w:val="center"/>
              <w:rPr>
                <w:rFonts w:hint="eastAsia"/>
                <w:color w:val="auto"/>
                <w:sz w:val="24"/>
              </w:rPr>
            </w:pPr>
            <w:r>
              <w:rPr>
                <w:rFonts w:hint="eastAsia"/>
                <w:color w:val="auto"/>
                <w:sz w:val="24"/>
              </w:rPr>
              <w:t>5</w:t>
            </w:r>
          </w:p>
        </w:tc>
        <w:tc>
          <w:tcPr>
            <w:tcW w:w="2998" w:type="dxa"/>
            <w:noWrap w:val="0"/>
            <w:vAlign w:val="top"/>
          </w:tcPr>
          <w:p>
            <w:pPr>
              <w:jc w:val="center"/>
              <w:rPr>
                <w:color w:val="auto"/>
                <w:sz w:val="24"/>
              </w:rPr>
            </w:pPr>
            <w:r>
              <w:rPr>
                <w:rFonts w:hint="eastAsia" w:ascii="宋体" w:hAnsi="宋体"/>
                <w:color w:val="auto"/>
                <w:sz w:val="24"/>
              </w:rPr>
              <w:t>溴敌隆或溴鼠灵≥0.005%，饵剂</w:t>
            </w:r>
          </w:p>
        </w:tc>
        <w:tc>
          <w:tcPr>
            <w:tcW w:w="2105" w:type="dxa"/>
            <w:noWrap w:val="0"/>
            <w:vAlign w:val="top"/>
          </w:tcPr>
          <w:p>
            <w:pPr>
              <w:jc w:val="center"/>
              <w:rPr>
                <w:color w:val="auto"/>
                <w:sz w:val="24"/>
              </w:rPr>
            </w:pPr>
            <w:r>
              <w:rPr>
                <w:rFonts w:hint="eastAsia"/>
                <w:color w:val="auto"/>
                <w:sz w:val="24"/>
              </w:rPr>
              <w:t>1KG/包，20KG/袋</w:t>
            </w:r>
          </w:p>
        </w:tc>
        <w:tc>
          <w:tcPr>
            <w:tcW w:w="976" w:type="dxa"/>
            <w:noWrap w:val="0"/>
            <w:vAlign w:val="top"/>
          </w:tcPr>
          <w:p>
            <w:pPr>
              <w:jc w:val="center"/>
              <w:rPr>
                <w:rFonts w:hint="eastAsia"/>
                <w:color w:val="auto"/>
                <w:sz w:val="24"/>
              </w:rPr>
            </w:pPr>
            <w:r>
              <w:rPr>
                <w:rFonts w:hint="eastAsia"/>
                <w:color w:val="auto"/>
                <w:sz w:val="24"/>
              </w:rPr>
              <w:t>饵剂</w:t>
            </w:r>
          </w:p>
        </w:tc>
        <w:tc>
          <w:tcPr>
            <w:tcW w:w="1626" w:type="dxa"/>
            <w:noWrap w:val="0"/>
            <w:vAlign w:val="top"/>
          </w:tcPr>
          <w:p>
            <w:pPr>
              <w:jc w:val="center"/>
              <w:rPr>
                <w:color w:val="auto"/>
                <w:sz w:val="24"/>
              </w:rPr>
            </w:pPr>
            <w:r>
              <w:rPr>
                <w:color w:val="auto"/>
                <w:sz w:val="24"/>
              </w:rPr>
              <w:t>外环境灭鼠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noWrap w:val="0"/>
            <w:vAlign w:val="top"/>
          </w:tcPr>
          <w:p>
            <w:pPr>
              <w:jc w:val="center"/>
              <w:rPr>
                <w:rFonts w:hint="eastAsia"/>
                <w:color w:val="auto"/>
                <w:sz w:val="24"/>
              </w:rPr>
            </w:pPr>
            <w:r>
              <w:rPr>
                <w:rFonts w:hint="eastAsia"/>
                <w:color w:val="auto"/>
                <w:sz w:val="24"/>
              </w:rPr>
              <w:t>6</w:t>
            </w:r>
          </w:p>
        </w:tc>
        <w:tc>
          <w:tcPr>
            <w:tcW w:w="2998" w:type="dxa"/>
            <w:noWrap w:val="0"/>
            <w:vAlign w:val="top"/>
          </w:tcPr>
          <w:p>
            <w:pPr>
              <w:jc w:val="center"/>
              <w:rPr>
                <w:color w:val="auto"/>
                <w:sz w:val="24"/>
              </w:rPr>
            </w:pPr>
            <w:r>
              <w:rPr>
                <w:color w:val="auto"/>
                <w:sz w:val="24"/>
              </w:rPr>
              <w:t>水泥毒鼠屋</w:t>
            </w:r>
          </w:p>
        </w:tc>
        <w:tc>
          <w:tcPr>
            <w:tcW w:w="2105" w:type="dxa"/>
            <w:noWrap w:val="0"/>
            <w:vAlign w:val="top"/>
          </w:tcPr>
          <w:p>
            <w:pPr>
              <w:jc w:val="center"/>
              <w:rPr>
                <w:color w:val="auto"/>
                <w:sz w:val="24"/>
              </w:rPr>
            </w:pPr>
            <w:r>
              <w:rPr>
                <w:rFonts w:hint="eastAsia"/>
                <w:color w:val="auto"/>
                <w:sz w:val="24"/>
              </w:rPr>
              <w:t>28*15*13</w:t>
            </w:r>
          </w:p>
        </w:tc>
        <w:tc>
          <w:tcPr>
            <w:tcW w:w="976" w:type="dxa"/>
            <w:noWrap w:val="0"/>
            <w:vAlign w:val="top"/>
          </w:tcPr>
          <w:p>
            <w:pPr>
              <w:jc w:val="center"/>
              <w:rPr>
                <w:rFonts w:hint="eastAsia"/>
                <w:color w:val="auto"/>
                <w:sz w:val="24"/>
              </w:rPr>
            </w:pPr>
          </w:p>
        </w:tc>
        <w:tc>
          <w:tcPr>
            <w:tcW w:w="1626" w:type="dxa"/>
            <w:noWrap w:val="0"/>
            <w:vAlign w:val="top"/>
          </w:tcPr>
          <w:p>
            <w:pPr>
              <w:jc w:val="center"/>
              <w:rPr>
                <w:color w:val="auto"/>
                <w:sz w:val="24"/>
              </w:rPr>
            </w:pPr>
            <w:r>
              <w:rPr>
                <w:color w:val="auto"/>
                <w:sz w:val="24"/>
              </w:rPr>
              <w:t>外环境布防</w:t>
            </w:r>
          </w:p>
        </w:tc>
      </w:tr>
    </w:tbl>
    <w:p>
      <w:pPr>
        <w:spacing w:line="360" w:lineRule="auto"/>
      </w:pPr>
      <w:r>
        <w:rPr>
          <w:rFonts w:hint="eastAsia"/>
        </w:rPr>
        <w:t>备注：1、以上所列卫生杀虫剂为参考用药，可使用其他优于或相当药剂替代，但必须充分考虑安全性、抗药性等因素，出具书面说明阐述替代理由。</w:t>
      </w:r>
    </w:p>
    <w:p>
      <w:pPr>
        <w:ind w:firstLine="630" w:firstLineChars="300"/>
        <w:rPr>
          <w:rFonts w:hint="eastAsia" w:ascii="宋体" w:hAnsi="宋体" w:cs="宋体"/>
          <w:b/>
          <w:szCs w:val="21"/>
        </w:rPr>
      </w:pPr>
      <w:r>
        <w:rPr>
          <w:rFonts w:hint="eastAsia"/>
        </w:rPr>
        <w:t>2、根据国家对农药的有关管理规定，为了保证药品的质量及来源合法，磋商时磋商供应商必须提供以上药物有效“三证”（农药登记证、农药生产批准证书（或生产许可证）、技术监督部门备案或企业标准信息公共服务平台公示的企业标准）复印件，否则磋商无效。成交供应商成交时，必须向采购人提供</w:t>
      </w:r>
      <w:r>
        <w:rPr>
          <w:rFonts w:hint="eastAsia" w:ascii="宋体" w:hAnsi="宋体" w:cs="宋体"/>
          <w:bCs/>
          <w:szCs w:val="21"/>
        </w:rPr>
        <w:t>药物厂家加盖有公章的产品使用标签、加盖有生产厂商公章的有效“三证”（农药登记证、农药生产批准证书（或生产许可证）、技术监督部门备案或企业标准信息公共服务平台公示的企业标准）复印件，提供</w:t>
      </w:r>
      <w:r>
        <w:rPr>
          <w:rFonts w:hint="eastAsia"/>
          <w:sz w:val="24"/>
        </w:rPr>
        <w:t>生产药品企业产品盖公章的质量保证承诺书。</w:t>
      </w:r>
    </w:p>
    <w:p>
      <w:pPr>
        <w:pStyle w:val="5"/>
        <w:ind w:firstLine="0"/>
      </w:pPr>
    </w:p>
    <w:p>
      <w:bookmarkStart w:id="0" w:name="_GoBack"/>
      <w:bookmarkEnd w:id="0"/>
    </w:p>
    <w:sectPr>
      <w:pgSz w:w="11906" w:h="16838"/>
      <w:pgMar w:top="1440" w:right="134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TE2ZGUwMzNmMGVkMmNhN2VhNWQ4MjM2YzFhYTEifQ=="/>
  </w:docVars>
  <w:rsids>
    <w:rsidRoot w:val="4D492B8D"/>
    <w:rsid w:val="00066B3B"/>
    <w:rsid w:val="00181F68"/>
    <w:rsid w:val="003811F0"/>
    <w:rsid w:val="0040407B"/>
    <w:rsid w:val="004A263C"/>
    <w:rsid w:val="0061570E"/>
    <w:rsid w:val="008B18DC"/>
    <w:rsid w:val="00907A98"/>
    <w:rsid w:val="00BA6A47"/>
    <w:rsid w:val="01D4430D"/>
    <w:rsid w:val="037C6913"/>
    <w:rsid w:val="04754EA8"/>
    <w:rsid w:val="04DD7B46"/>
    <w:rsid w:val="07CE00F1"/>
    <w:rsid w:val="09193ACC"/>
    <w:rsid w:val="09525F58"/>
    <w:rsid w:val="0B0B0825"/>
    <w:rsid w:val="0C45142E"/>
    <w:rsid w:val="0D76063E"/>
    <w:rsid w:val="0E4225F6"/>
    <w:rsid w:val="0F4A4285"/>
    <w:rsid w:val="104D4BE3"/>
    <w:rsid w:val="110571AD"/>
    <w:rsid w:val="11780711"/>
    <w:rsid w:val="127B1F9E"/>
    <w:rsid w:val="14474EE5"/>
    <w:rsid w:val="158D6FD1"/>
    <w:rsid w:val="16985AFF"/>
    <w:rsid w:val="17360C87"/>
    <w:rsid w:val="188365A1"/>
    <w:rsid w:val="1AF81CEF"/>
    <w:rsid w:val="1B4B5F89"/>
    <w:rsid w:val="1B995DE5"/>
    <w:rsid w:val="1D574F5C"/>
    <w:rsid w:val="1D9E3B64"/>
    <w:rsid w:val="1E576AB9"/>
    <w:rsid w:val="1EA712C2"/>
    <w:rsid w:val="204D4DE9"/>
    <w:rsid w:val="2349661C"/>
    <w:rsid w:val="25864698"/>
    <w:rsid w:val="2599008B"/>
    <w:rsid w:val="287C5DC9"/>
    <w:rsid w:val="28FB5714"/>
    <w:rsid w:val="29304933"/>
    <w:rsid w:val="297A6217"/>
    <w:rsid w:val="2AF22AC2"/>
    <w:rsid w:val="2B8D7402"/>
    <w:rsid w:val="2BD354C9"/>
    <w:rsid w:val="2E900B8A"/>
    <w:rsid w:val="2F48232A"/>
    <w:rsid w:val="2FA717A9"/>
    <w:rsid w:val="304A0AD6"/>
    <w:rsid w:val="328A3DBD"/>
    <w:rsid w:val="332D5F33"/>
    <w:rsid w:val="347614E0"/>
    <w:rsid w:val="356F5C08"/>
    <w:rsid w:val="35D208A2"/>
    <w:rsid w:val="3602197E"/>
    <w:rsid w:val="363442F5"/>
    <w:rsid w:val="37A05B9A"/>
    <w:rsid w:val="38440C0D"/>
    <w:rsid w:val="38CC4411"/>
    <w:rsid w:val="38F978D6"/>
    <w:rsid w:val="3903544C"/>
    <w:rsid w:val="3A3D7C98"/>
    <w:rsid w:val="3BBF5493"/>
    <w:rsid w:val="3C201A2D"/>
    <w:rsid w:val="3F7D7E1E"/>
    <w:rsid w:val="3FDD3A0E"/>
    <w:rsid w:val="40395614"/>
    <w:rsid w:val="406E36E7"/>
    <w:rsid w:val="41E579D9"/>
    <w:rsid w:val="43753F38"/>
    <w:rsid w:val="44AC6153"/>
    <w:rsid w:val="45BE01B8"/>
    <w:rsid w:val="4A964610"/>
    <w:rsid w:val="4B944949"/>
    <w:rsid w:val="4BB60809"/>
    <w:rsid w:val="4CB47A3B"/>
    <w:rsid w:val="4D492B8D"/>
    <w:rsid w:val="4DA310B3"/>
    <w:rsid w:val="4E5F0B2E"/>
    <w:rsid w:val="50B056F3"/>
    <w:rsid w:val="536002BA"/>
    <w:rsid w:val="550B3765"/>
    <w:rsid w:val="5619398A"/>
    <w:rsid w:val="56AB6FEB"/>
    <w:rsid w:val="58F61ACF"/>
    <w:rsid w:val="5B470194"/>
    <w:rsid w:val="5B9C5154"/>
    <w:rsid w:val="5BC7275F"/>
    <w:rsid w:val="5C486553"/>
    <w:rsid w:val="5E317DD6"/>
    <w:rsid w:val="60257A76"/>
    <w:rsid w:val="612D3A91"/>
    <w:rsid w:val="61A422EA"/>
    <w:rsid w:val="625C72C8"/>
    <w:rsid w:val="65B337C6"/>
    <w:rsid w:val="667A2806"/>
    <w:rsid w:val="68A867CC"/>
    <w:rsid w:val="68B60CD5"/>
    <w:rsid w:val="6908524D"/>
    <w:rsid w:val="693132DB"/>
    <w:rsid w:val="6935256D"/>
    <w:rsid w:val="6B985938"/>
    <w:rsid w:val="6EE7619F"/>
    <w:rsid w:val="71714684"/>
    <w:rsid w:val="756336A8"/>
    <w:rsid w:val="781259A7"/>
    <w:rsid w:val="79E905BD"/>
    <w:rsid w:val="7A8A4D8D"/>
    <w:rsid w:val="7ADE3805"/>
    <w:rsid w:val="7C033F36"/>
    <w:rsid w:val="7C667861"/>
    <w:rsid w:val="7C9900A0"/>
    <w:rsid w:val="7D1B6802"/>
    <w:rsid w:val="7F0E6E4A"/>
    <w:rsid w:val="7F3B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5">
    <w:name w:val="Normal Indent"/>
    <w:basedOn w:val="1"/>
    <w:qFormat/>
    <w:uiPriority w:val="99"/>
    <w:pPr>
      <w:ind w:firstLine="420"/>
    </w:pPr>
    <w:rPr>
      <w:szCs w:val="20"/>
    </w:rPr>
  </w:style>
  <w:style w:type="paragraph" w:styleId="6">
    <w:name w:val="Body Text"/>
    <w:basedOn w:val="1"/>
    <w:next w:val="1"/>
    <w:qFormat/>
    <w:uiPriority w:val="99"/>
    <w:rPr>
      <w:sz w:val="24"/>
    </w:rPr>
  </w:style>
  <w:style w:type="paragraph" w:styleId="7">
    <w:name w:val="Body Text Indent"/>
    <w:basedOn w:val="1"/>
    <w:unhideWhenUsed/>
    <w:qFormat/>
    <w:uiPriority w:val="99"/>
    <w:pPr>
      <w:ind w:firstLine="830" w:firstLineChars="352"/>
    </w:pPr>
    <w:rPr>
      <w:rFonts w:ascii="仿宋_GB2312" w:eastAsia="仿宋_GB2312"/>
      <w:kern w:val="0"/>
      <w:sz w:val="32"/>
      <w:szCs w:val="20"/>
    </w:rPr>
  </w:style>
  <w:style w:type="paragraph" w:styleId="8">
    <w:name w:val="Plain Text"/>
    <w:basedOn w:val="1"/>
    <w:next w:val="1"/>
    <w:qFormat/>
    <w:uiPriority w:val="0"/>
    <w:rPr>
      <w:rFonts w:ascii="宋体" w:hAnsi="Courier New" w:eastAsiaTheme="minorEastAsia" w:cstheme="minorBidi"/>
      <w:szCs w:val="22"/>
    </w:rPr>
  </w:style>
  <w:style w:type="paragraph" w:styleId="9">
    <w:name w:val="footer"/>
    <w:basedOn w:val="1"/>
    <w:next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7"/>
    <w:qFormat/>
    <w:uiPriority w:val="0"/>
    <w:pPr>
      <w:autoSpaceDE w:val="0"/>
      <w:autoSpaceDN w:val="0"/>
      <w:spacing w:line="360" w:lineRule="auto"/>
      <w:ind w:left="420" w:leftChars="200"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0"/>
    <w:rPr>
      <w:kern w:val="2"/>
      <w:sz w:val="18"/>
      <w:szCs w:val="18"/>
    </w:rPr>
  </w:style>
  <w:style w:type="character" w:customStyle="1" w:styleId="19">
    <w:name w:val="font111"/>
    <w:qFormat/>
    <w:uiPriority w:val="0"/>
    <w:rPr>
      <w:rFonts w:hint="eastAsia" w:ascii="宋体" w:hAnsi="宋体" w:eastAsia="宋体" w:cs="宋体"/>
      <w:color w:val="000000"/>
      <w:sz w:val="18"/>
      <w:szCs w:val="18"/>
      <w:u w:val="none"/>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1653</Words>
  <Characters>1945</Characters>
  <Lines>1</Lines>
  <Paragraphs>1</Paragraphs>
  <TotalTime>0</TotalTime>
  <ScaleCrop>false</ScaleCrop>
  <LinksUpToDate>false</LinksUpToDate>
  <CharactersWithSpaces>2027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2020-06-15T01:47:00Z</dcterms:created>
  <dc:creator>大橘为重</dc:creator>
  <cp:lastModifiedBy>奇偶</cp:lastModifiedBy>
  <dcterms:modified xsi:type="dcterms:W3CDTF">2023-06-25T08:55:29Z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2751E726BF81482ABDA781CAFF21DD9A</vt:lpwstr>
  </property>
</Properties>
</file>