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lang w:eastAsia="zh-CN"/>
        </w:rPr>
      </w:pPr>
      <w:r>
        <w:rPr>
          <w:rFonts w:hint="eastAsia" w:ascii="仿宋" w:eastAsia="仿宋"/>
          <w:b/>
          <w:bCs/>
          <w:sz w:val="52"/>
          <w:szCs w:val="52"/>
          <w:lang w:eastAsia="zh-CN"/>
        </w:rPr>
        <w:t>2023年绍兴市越城区鉴湖街道病媒生物防制服务项目</w:t>
      </w: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tbl>
      <w:tblPr>
        <w:tblStyle w:val="28"/>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u w:val="none"/>
              </w:rPr>
            </w:pPr>
            <w:r>
              <w:rPr>
                <w:rFonts w:hint="eastAsia" w:ascii="仿宋" w:eastAsia="仿宋"/>
                <w:sz w:val="28"/>
                <w:u w:val="none"/>
              </w:rPr>
              <w:t>临[2023]2746号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绍兴市越城区鉴湖街道办事处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default" w:ascii="仿宋" w:eastAsia="仿宋"/>
                <w:sz w:val="28"/>
                <w:lang w:val="en-US" w:eastAsia="zh-CN"/>
              </w:rPr>
            </w:pPr>
            <w:r>
              <w:rPr>
                <w:rFonts w:hint="eastAsia" w:ascii="仿宋" w:eastAsia="仿宋"/>
                <w:sz w:val="28"/>
                <w:lang w:val="en-US" w:eastAsia="zh-CN"/>
              </w:rPr>
              <w:t>浙江建诚工程管理咨询有限公司</w:t>
            </w:r>
          </w:p>
        </w:tc>
      </w:tr>
    </w:tbl>
    <w:p>
      <w:pPr>
        <w:jc w:val="center"/>
        <w:rPr>
          <w:rFonts w:hint="eastAsia" w:ascii="仿宋" w:eastAsia="仿宋"/>
          <w:sz w:val="28"/>
        </w:rPr>
      </w:pPr>
    </w:p>
    <w:p>
      <w:pPr>
        <w:jc w:val="center"/>
        <w:rPr>
          <w:rFonts w:hint="eastAsia" w:ascii="仿宋" w:eastAsia="仿宋"/>
          <w:sz w:val="28"/>
        </w:rPr>
      </w:pPr>
      <w:r>
        <w:rPr>
          <w:rFonts w:hint="eastAsia" w:ascii="仿宋" w:eastAsia="仿宋"/>
          <w:sz w:val="28"/>
          <w:u w:val="single" w:color="auto"/>
          <w:lang w:val="en-US" w:eastAsia="zh-CN"/>
        </w:rPr>
        <w:t>2023</w:t>
      </w:r>
      <w:r>
        <w:rPr>
          <w:rFonts w:hint="eastAsia" w:ascii="仿宋" w:eastAsia="仿宋"/>
          <w:sz w:val="28"/>
        </w:rPr>
        <w:t>年</w:t>
      </w:r>
      <w:r>
        <w:rPr>
          <w:rFonts w:hint="eastAsia" w:ascii="仿宋" w:eastAsia="仿宋"/>
          <w:sz w:val="28"/>
          <w:u w:val="single"/>
          <w:lang w:val="en-US" w:eastAsia="zh-CN"/>
        </w:rPr>
        <w:t>6</w:t>
      </w:r>
      <w:r>
        <w:rPr>
          <w:rFonts w:hint="eastAsia" w:ascii="仿宋" w:eastAsia="仿宋"/>
          <w:sz w:val="28"/>
        </w:rPr>
        <w:t>月</w:t>
      </w:r>
    </w:p>
    <w:p>
      <w:pPr>
        <w:rPr>
          <w:rFonts w:hint="eastAsia" w:ascii="仿宋" w:eastAsia="仿宋"/>
          <w:sz w:val="28"/>
        </w:rPr>
      </w:pPr>
    </w:p>
    <w:p>
      <w:pPr>
        <w:jc w:val="both"/>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3"/>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8"/>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pPr>
        <w:rPr>
          <w:rFonts w:hint="eastAsia" w:ascii="仿宋" w:hAnsi="仿宋" w:eastAsia="仿宋" w:cs="仿宋"/>
          <w:sz w:val="28"/>
          <w:szCs w:val="28"/>
        </w:rPr>
      </w:pPr>
    </w:p>
    <w:p>
      <w:pPr>
        <w:pStyle w:val="3"/>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pPr>
        <w:pStyle w:val="3"/>
        <w:rPr>
          <w:rFonts w:hint="eastAsia" w:ascii="仿宋"/>
        </w:rPr>
      </w:pPr>
      <w:bookmarkStart w:id="0" w:name="_Toc27216"/>
      <w:r>
        <w:rPr>
          <w:rFonts w:hint="eastAsia" w:ascii="仿宋"/>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bCs/>
          <w:sz w:val="24"/>
          <w:szCs w:val="24"/>
          <w:u w:val="single"/>
          <w:lang w:eastAsia="zh-CN"/>
        </w:rPr>
        <w:t>2023年绍兴市越城区鉴湖街道病媒生物防制服务项目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7</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18</w:t>
      </w:r>
      <w:r>
        <w:rPr>
          <w:rFonts w:hint="eastAsia" w:ascii="仿宋" w:eastAsia="仿宋"/>
          <w:bCs/>
          <w:sz w:val="24"/>
          <w:szCs w:val="24"/>
          <w:u w:val="single"/>
        </w:rPr>
        <w:t>日</w:t>
      </w:r>
      <w:r>
        <w:rPr>
          <w:rFonts w:hint="eastAsia" w:ascii="仿宋" w:eastAsia="仿宋"/>
          <w:bCs/>
          <w:sz w:val="24"/>
          <w:szCs w:val="24"/>
          <w:u w:val="single"/>
          <w:lang w:val="en-US" w:eastAsia="zh-CN"/>
        </w:rPr>
        <w:t>9</w:t>
      </w:r>
      <w:r>
        <w:rPr>
          <w:rFonts w:ascii="仿宋" w:eastAsia="仿宋"/>
          <w:bCs/>
          <w:sz w:val="24"/>
          <w:szCs w:val="24"/>
          <w:u w:val="single"/>
        </w:rPr>
        <w:t>：</w:t>
      </w:r>
      <w:r>
        <w:rPr>
          <w:rFonts w:hint="eastAsia" w:ascii="仿宋" w:eastAsia="仿宋"/>
          <w:bCs/>
          <w:sz w:val="24"/>
          <w:szCs w:val="24"/>
          <w:u w:val="single"/>
          <w:lang w:val="en-US" w:eastAsia="zh-CN"/>
        </w:rPr>
        <w:t>30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02"/>
      <w:bookmarkStart w:id="2" w:name="_Toc28359079"/>
      <w:bookmarkStart w:id="3" w:name="_Toc35393621"/>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项目编号：</w:t>
      </w:r>
      <w:r>
        <w:rPr>
          <w:rFonts w:hint="eastAsia" w:ascii="仿宋" w:eastAsia="仿宋" w:cs="宋体"/>
          <w:bCs/>
          <w:sz w:val="24"/>
          <w:szCs w:val="24"/>
          <w:u w:val="single"/>
          <w:lang w:val="en-US" w:eastAsia="zh-CN"/>
        </w:rPr>
        <w:t>临[2023]2746号</w:t>
      </w:r>
    </w:p>
    <w:p>
      <w:pPr>
        <w:spacing w:line="360" w:lineRule="auto"/>
        <w:ind w:firstLine="540"/>
        <w:rPr>
          <w:rFonts w:hint="eastAsia" w:ascii="仿宋" w:eastAsia="仿宋"/>
          <w:bCs/>
          <w:sz w:val="24"/>
          <w:szCs w:val="24"/>
          <w:u w:val="single"/>
          <w:lang w:eastAsia="zh-CN"/>
        </w:rPr>
      </w:pPr>
      <w:r>
        <w:rPr>
          <w:rFonts w:hint="eastAsia" w:ascii="仿宋" w:eastAsia="仿宋" w:cs="宋体"/>
          <w:bCs/>
          <w:sz w:val="24"/>
          <w:szCs w:val="24"/>
        </w:rPr>
        <w:t>项目名称：</w:t>
      </w:r>
      <w:bookmarkEnd w:id="5"/>
      <w:r>
        <w:rPr>
          <w:rFonts w:hint="eastAsia" w:ascii="仿宋" w:eastAsia="仿宋"/>
          <w:bCs/>
          <w:sz w:val="24"/>
          <w:szCs w:val="24"/>
          <w:u w:val="single"/>
          <w:lang w:eastAsia="zh-CN"/>
        </w:rPr>
        <w:t>2023年绍兴市越城区鉴湖街道病媒生物防制服务项目</w:t>
      </w:r>
    </w:p>
    <w:p>
      <w:pPr>
        <w:spacing w:line="360" w:lineRule="auto"/>
        <w:ind w:firstLine="540"/>
        <w:rPr>
          <w:rFonts w:hint="eastAsia" w:ascii="仿宋" w:hAnsi="Times New Roman" w:eastAsia="仿宋" w:cs="宋体"/>
          <w:bCs/>
          <w:sz w:val="24"/>
          <w:szCs w:val="24"/>
          <w:lang w:val="en-US" w:eastAsia="zh-CN"/>
        </w:rPr>
      </w:pPr>
      <w:r>
        <w:rPr>
          <w:rFonts w:hint="eastAsia" w:ascii="仿宋" w:hAnsi="Times New Roman" w:eastAsia="仿宋" w:cs="宋体"/>
          <w:bCs/>
          <w:sz w:val="24"/>
          <w:szCs w:val="24"/>
        </w:rPr>
        <w:t>预算金额（元）：312000</w:t>
      </w:r>
    </w:p>
    <w:p>
      <w:pPr>
        <w:spacing w:line="360" w:lineRule="auto"/>
        <w:ind w:firstLine="540"/>
        <w:rPr>
          <w:rFonts w:hint="eastAsia" w:ascii="仿宋" w:hAnsi="Times New Roman" w:eastAsia="仿宋" w:cs="宋体"/>
          <w:bCs/>
          <w:sz w:val="24"/>
          <w:szCs w:val="24"/>
          <w:lang w:val="en-US" w:eastAsia="zh-CN"/>
        </w:rPr>
      </w:pPr>
      <w:r>
        <w:rPr>
          <w:rFonts w:hint="eastAsia" w:ascii="仿宋" w:hAnsi="Times New Roman" w:eastAsia="仿宋" w:cs="宋体"/>
          <w:bCs/>
          <w:sz w:val="24"/>
          <w:szCs w:val="24"/>
        </w:rPr>
        <w:t>最高限价（元）：312000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lang w:val="en-US" w:eastAsia="zh-CN"/>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bCs/>
          <w:sz w:val="24"/>
          <w:szCs w:val="24"/>
          <w:u w:val="single"/>
          <w:lang w:eastAsia="zh-CN"/>
        </w:rPr>
        <w:t>2023年绍兴市越城区鉴湖街道病媒生物防制服务项目</w:t>
      </w:r>
    </w:p>
    <w:p>
      <w:pPr>
        <w:spacing w:line="360" w:lineRule="auto"/>
        <w:ind w:firstLine="540"/>
        <w:rPr>
          <w:rFonts w:hint="eastAsia" w:ascii="仿宋" w:hAnsi="Times New Roman" w:eastAsia="仿宋" w:cs="宋体"/>
          <w:bCs/>
          <w:sz w:val="24"/>
          <w:szCs w:val="24"/>
        </w:rPr>
      </w:pPr>
      <w:r>
        <w:rPr>
          <w:rFonts w:hint="eastAsia" w:ascii="仿宋" w:hAnsi="Times New Roman" w:eastAsia="仿宋" w:cs="宋体"/>
          <w:bCs/>
          <w:sz w:val="24"/>
          <w:szCs w:val="24"/>
        </w:rPr>
        <w:t xml:space="preserve">    数量：</w:t>
      </w:r>
      <w:r>
        <w:rPr>
          <w:rFonts w:hint="eastAsia" w:ascii="仿宋" w:hAnsi="Times New Roman" w:eastAsia="仿宋" w:cs="宋体"/>
          <w:bCs/>
          <w:sz w:val="24"/>
          <w:szCs w:val="24"/>
          <w:u w:val="none"/>
        </w:rPr>
        <w:t xml:space="preserve"> </w:t>
      </w:r>
      <w:r>
        <w:rPr>
          <w:rFonts w:hint="eastAsia" w:ascii="仿宋" w:hAnsi="Times New Roman" w:eastAsia="仿宋" w:cs="宋体"/>
          <w:bCs/>
          <w:sz w:val="24"/>
          <w:szCs w:val="24"/>
          <w:u w:val="none"/>
          <w:lang w:val="en-US" w:eastAsia="zh-CN"/>
        </w:rPr>
        <w:t>1</w:t>
      </w:r>
      <w:r>
        <w:rPr>
          <w:rFonts w:hint="eastAsia" w:ascii="仿宋" w:hAnsi="Times New Roman" w:eastAsia="仿宋" w:cs="宋体"/>
          <w:bCs/>
          <w:sz w:val="24"/>
          <w:szCs w:val="24"/>
          <w:u w:val="none"/>
        </w:rPr>
        <w:t xml:space="preserve">  </w:t>
      </w:r>
    </w:p>
    <w:p>
      <w:pPr>
        <w:spacing w:line="360" w:lineRule="auto"/>
        <w:ind w:firstLine="540"/>
        <w:rPr>
          <w:rFonts w:hint="eastAsia" w:ascii="仿宋" w:hAnsi="Times New Roman" w:eastAsia="仿宋" w:cs="宋体"/>
          <w:bCs/>
          <w:sz w:val="24"/>
          <w:szCs w:val="24"/>
          <w:lang w:val="en-US" w:eastAsia="zh-CN"/>
        </w:rPr>
      </w:pPr>
      <w:r>
        <w:rPr>
          <w:rFonts w:hint="eastAsia" w:ascii="仿宋" w:hAnsi="Times New Roman" w:eastAsia="仿宋" w:cs="宋体"/>
          <w:bCs/>
          <w:sz w:val="24"/>
          <w:szCs w:val="24"/>
        </w:rPr>
        <w:t xml:space="preserve">    预算金额（元）：312000</w:t>
      </w:r>
    </w:p>
    <w:p>
      <w:pPr>
        <w:spacing w:line="360" w:lineRule="auto"/>
        <w:ind w:firstLine="540"/>
        <w:rPr>
          <w:rFonts w:hint="eastAsia" w:ascii="仿宋" w:eastAsia="仿宋" w:cs="宋体"/>
          <w:bCs/>
          <w:sz w:val="24"/>
          <w:szCs w:val="24"/>
          <w:u w:val="single"/>
          <w:lang w:val="en-US" w:eastAsia="zh-CN"/>
        </w:rPr>
      </w:pPr>
      <w:r>
        <w:rPr>
          <w:rFonts w:hint="eastAsia" w:ascii="仿宋" w:eastAsia="仿宋" w:cs="宋体"/>
          <w:bCs/>
          <w:sz w:val="24"/>
        </w:rPr>
        <w:t xml:space="preserve">    简要规格描述或项目基本概况介绍、用途：</w:t>
      </w:r>
      <w:r>
        <w:rPr>
          <w:rFonts w:hint="eastAsia" w:ascii="仿宋" w:eastAsia="仿宋" w:cs="宋体"/>
          <w:bCs/>
          <w:sz w:val="24"/>
          <w:szCs w:val="24"/>
          <w:u w:val="single"/>
          <w:lang w:val="en-US" w:eastAsia="zh-CN"/>
        </w:rPr>
        <w:t>主要内容为</w:t>
      </w:r>
      <w:r>
        <w:rPr>
          <w:rFonts w:hint="eastAsia" w:ascii="仿宋" w:eastAsia="仿宋" w:cs="宋体"/>
          <w:bCs/>
          <w:sz w:val="24"/>
          <w:szCs w:val="24"/>
          <w:u w:val="single"/>
          <w:lang w:eastAsia="zh-CN"/>
        </w:rPr>
        <w:t>鉴湖街道病媒生物防制服务</w:t>
      </w:r>
      <w:r>
        <w:rPr>
          <w:rFonts w:hint="eastAsia" w:ascii="仿宋" w:eastAsia="仿宋" w:cs="宋体"/>
          <w:bCs/>
          <w:sz w:val="24"/>
          <w:szCs w:val="24"/>
          <w:u w:val="single"/>
          <w:lang w:val="en-US" w:eastAsia="zh-CN"/>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widowControl/>
        <w:snapToGrid w:val="0"/>
        <w:spacing w:line="480" w:lineRule="exact"/>
        <w:ind w:firstLine="960" w:firstLineChars="400"/>
        <w:rPr>
          <w:rFonts w:hint="eastAsia" w:ascii="仿宋" w:eastAsia="仿宋"/>
          <w:color w:val="000000"/>
          <w:kern w:val="0"/>
          <w:sz w:val="24"/>
          <w:lang w:val="en-US" w:eastAsia="zh-CN"/>
        </w:rPr>
      </w:pPr>
      <w:r>
        <w:rPr>
          <w:rFonts w:hint="eastAsia" w:ascii="仿宋" w:eastAsia="仿宋" w:cs="宋体"/>
          <w:bCs/>
          <w:sz w:val="24"/>
          <w:szCs w:val="24"/>
          <w:highlight w:val="none"/>
        </w:rPr>
        <w:t>合同履行期限：</w:t>
      </w:r>
      <w:r>
        <w:rPr>
          <w:rFonts w:hint="eastAsia" w:ascii="仿宋" w:eastAsia="仿宋"/>
          <w:color w:val="auto"/>
          <w:kern w:val="0"/>
          <w:sz w:val="24"/>
        </w:rPr>
        <w:t>从合同签订之日起一年</w:t>
      </w:r>
      <w:r>
        <w:rPr>
          <w:rFonts w:hint="eastAsia" w:ascii="仿宋" w:eastAsia="仿宋" w:cs="宋体"/>
          <w:bCs/>
          <w:sz w:val="24"/>
          <w:szCs w:val="24"/>
          <w:u w:val="none"/>
          <w:lang w:val="en-US" w:eastAsia="zh-CN"/>
        </w:rPr>
        <w:t>。</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03"/>
      <w:bookmarkStart w:id="7" w:name="_Toc35393791"/>
      <w:bookmarkStart w:id="8" w:name="_Toc35393622"/>
      <w:bookmarkStart w:id="9" w:name="_Toc28359080"/>
      <w:r>
        <w:rPr>
          <w:rFonts w:hint="eastAsia" w:ascii="仿宋" w:hAnsi="仿宋" w:eastAsia="仿宋" w:cs="仿宋"/>
          <w:b/>
          <w:bCs/>
          <w:sz w:val="24"/>
          <w:szCs w:val="24"/>
        </w:rPr>
        <w:t>二、申请人的资格要求：</w:t>
      </w:r>
      <w:bookmarkEnd w:id="6"/>
      <w:bookmarkEnd w:id="7"/>
      <w:bookmarkEnd w:id="8"/>
      <w:bookmarkEnd w:id="9"/>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0" w:name="_Toc28359004"/>
      <w:bookmarkStart w:id="11" w:name="_Toc28359081"/>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w:t>
      </w:r>
      <w:r>
        <w:rPr>
          <w:rFonts w:hint="eastAsia" w:ascii="仿宋" w:eastAsia="仿宋" w:cs="宋体"/>
          <w:bCs/>
          <w:sz w:val="24"/>
          <w:szCs w:val="24"/>
          <w:u w:val="single"/>
          <w:lang w:val="en-US" w:eastAsia="zh-CN"/>
        </w:rPr>
        <w:t>供应商为中小企业/小微企业</w:t>
      </w:r>
      <w:r>
        <w:rPr>
          <w:rFonts w:hint="eastAsia" w:ascii="仿宋" w:eastAsia="仿宋" w:cs="宋体"/>
          <w:bCs/>
          <w:sz w:val="24"/>
          <w:szCs w:val="24"/>
          <w:u w:val="singl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lang w:val="en-US" w:eastAsia="zh-CN"/>
        </w:rPr>
        <w:t>2023</w:t>
      </w:r>
      <w:r>
        <w:rPr>
          <w:rFonts w:ascii="仿宋" w:eastAsia="仿宋" w:cs="宋体"/>
          <w:sz w:val="24"/>
          <w:szCs w:val="24"/>
          <w:u w:val="single"/>
        </w:rPr>
        <w:t>年</w:t>
      </w:r>
      <w:r>
        <w:rPr>
          <w:rFonts w:hint="eastAsia" w:ascii="仿宋" w:eastAsia="仿宋" w:cs="宋体"/>
          <w:sz w:val="24"/>
          <w:szCs w:val="24"/>
          <w:u w:val="single"/>
          <w:lang w:val="en-US" w:eastAsia="zh-CN"/>
        </w:rPr>
        <w:t>7</w:t>
      </w:r>
      <w:r>
        <w:rPr>
          <w:rFonts w:ascii="仿宋" w:eastAsia="仿宋" w:cs="宋体"/>
          <w:sz w:val="24"/>
          <w:szCs w:val="24"/>
          <w:u w:val="single"/>
        </w:rPr>
        <w:t>月</w:t>
      </w:r>
      <w:r>
        <w:rPr>
          <w:rFonts w:hint="eastAsia" w:ascii="仿宋" w:eastAsia="仿宋" w:cs="宋体"/>
          <w:sz w:val="24"/>
          <w:szCs w:val="24"/>
          <w:u w:val="single"/>
          <w:lang w:val="en-US" w:eastAsia="zh-CN"/>
        </w:rPr>
        <w:t>18</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05"/>
      <w:bookmarkStart w:id="15" w:name="_Toc28359082"/>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7</w:t>
      </w:r>
      <w:r>
        <w:rPr>
          <w:rFonts w:hint="eastAsia" w:ascii="仿宋" w:eastAsia="仿宋"/>
          <w:bCs/>
          <w:sz w:val="24"/>
          <w:szCs w:val="24"/>
          <w:u w:val="single"/>
        </w:rPr>
        <w:t>月</w:t>
      </w:r>
      <w:r>
        <w:rPr>
          <w:rFonts w:hint="eastAsia" w:ascii="仿宋" w:eastAsia="仿宋"/>
          <w:bCs/>
          <w:sz w:val="24"/>
          <w:szCs w:val="24"/>
          <w:u w:val="single"/>
          <w:lang w:val="en-US" w:eastAsia="zh-CN"/>
        </w:rPr>
        <w:t>18</w:t>
      </w:r>
      <w:r>
        <w:rPr>
          <w:rFonts w:hint="eastAsia" w:ascii="仿宋" w:eastAsia="仿宋"/>
          <w:bCs/>
          <w:sz w:val="24"/>
          <w:szCs w:val="24"/>
          <w:u w:val="single"/>
        </w:rPr>
        <w:t>日</w:t>
      </w:r>
      <w:r>
        <w:rPr>
          <w:rFonts w:hint="eastAsia" w:ascii="仿宋" w:eastAsia="仿宋"/>
          <w:bCs/>
          <w:sz w:val="24"/>
          <w:szCs w:val="24"/>
          <w:u w:val="single"/>
          <w:lang w:val="en-US" w:eastAsia="zh-CN"/>
        </w:rPr>
        <w:t>9</w:t>
      </w:r>
      <w:r>
        <w:rPr>
          <w:rFonts w:ascii="仿宋" w:eastAsia="仿宋"/>
          <w:bCs/>
          <w:sz w:val="24"/>
          <w:szCs w:val="24"/>
          <w:u w:val="single"/>
        </w:rPr>
        <w:t xml:space="preserve"> ：</w:t>
      </w:r>
      <w:r>
        <w:rPr>
          <w:rFonts w:hint="eastAsia" w:ascii="仿宋" w:eastAsia="仿宋"/>
          <w:bCs/>
          <w:sz w:val="24"/>
          <w:szCs w:val="24"/>
          <w:u w:val="single"/>
          <w:lang w:val="en-US" w:eastAsia="zh-CN"/>
        </w:rPr>
        <w:t>30</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pPr>
        <w:spacing w:line="360" w:lineRule="auto"/>
        <w:ind w:firstLine="480" w:firstLineChars="200"/>
        <w:rPr>
          <w:rFonts w:hint="default" w:ascii="仿宋" w:eastAsia="仿宋"/>
          <w:sz w:val="24"/>
          <w:szCs w:val="24"/>
          <w:lang w:val="en-US" w:eastAsia="zh-CN"/>
        </w:rPr>
      </w:pPr>
      <w:r>
        <w:rPr>
          <w:rFonts w:ascii="仿宋" w:eastAsia="仿宋"/>
          <w:sz w:val="24"/>
          <w:szCs w:val="24"/>
        </w:rPr>
        <w:t>开标时间：</w:t>
      </w:r>
      <w:r>
        <w:rPr>
          <w:rFonts w:hint="eastAsia" w:ascii="仿宋" w:eastAsia="仿宋"/>
          <w:bCs/>
          <w:sz w:val="24"/>
          <w:szCs w:val="24"/>
          <w:u w:val="single"/>
          <w:lang w:val="en-US" w:eastAsia="zh-CN"/>
        </w:rPr>
        <w:t>2023</w:t>
      </w:r>
      <w:r>
        <w:rPr>
          <w:rFonts w:hint="eastAsia" w:ascii="仿宋" w:eastAsia="仿宋"/>
          <w:bCs/>
          <w:sz w:val="24"/>
          <w:szCs w:val="24"/>
          <w:u w:val="single"/>
        </w:rPr>
        <w:t>年</w:t>
      </w:r>
      <w:r>
        <w:rPr>
          <w:rFonts w:hint="eastAsia" w:ascii="仿宋" w:eastAsia="仿宋"/>
          <w:bCs/>
          <w:sz w:val="24"/>
          <w:szCs w:val="24"/>
          <w:u w:val="single"/>
          <w:lang w:val="en-US" w:eastAsia="zh-CN"/>
        </w:rPr>
        <w:t>7</w:t>
      </w:r>
      <w:r>
        <w:rPr>
          <w:rFonts w:hint="eastAsia" w:ascii="仿宋" w:eastAsia="仿宋"/>
          <w:bCs/>
          <w:sz w:val="24"/>
          <w:szCs w:val="24"/>
          <w:u w:val="single"/>
        </w:rPr>
        <w:t>月</w:t>
      </w:r>
      <w:r>
        <w:rPr>
          <w:rFonts w:hint="eastAsia" w:ascii="仿宋" w:eastAsia="仿宋"/>
          <w:bCs/>
          <w:sz w:val="24"/>
          <w:szCs w:val="24"/>
          <w:u w:val="single"/>
          <w:lang w:val="en-US" w:eastAsia="zh-CN"/>
        </w:rPr>
        <w:t>18</w:t>
      </w:r>
      <w:r>
        <w:rPr>
          <w:rFonts w:hint="eastAsia" w:ascii="仿宋" w:eastAsia="仿宋"/>
          <w:bCs/>
          <w:sz w:val="24"/>
          <w:szCs w:val="24"/>
          <w:u w:val="single"/>
        </w:rPr>
        <w:t>日</w:t>
      </w:r>
      <w:r>
        <w:rPr>
          <w:rFonts w:hint="eastAsia" w:ascii="仿宋" w:eastAsia="仿宋"/>
          <w:bCs/>
          <w:sz w:val="24"/>
          <w:szCs w:val="24"/>
          <w:u w:val="single"/>
          <w:lang w:val="en-US" w:eastAsia="zh-CN"/>
        </w:rPr>
        <w:t>9</w:t>
      </w:r>
      <w:r>
        <w:rPr>
          <w:rFonts w:ascii="仿宋" w:eastAsia="仿宋"/>
          <w:bCs/>
          <w:sz w:val="24"/>
          <w:szCs w:val="24"/>
          <w:u w:val="single"/>
        </w:rPr>
        <w:t>：</w:t>
      </w:r>
      <w:r>
        <w:rPr>
          <w:rFonts w:hint="eastAsia" w:ascii="仿宋" w:eastAsia="仿宋"/>
          <w:bCs/>
          <w:sz w:val="24"/>
          <w:szCs w:val="24"/>
          <w:u w:val="single"/>
          <w:lang w:val="en-US" w:eastAsia="zh-CN"/>
        </w:rPr>
        <w:t>30</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；现场开标地点绍兴市越城区</w:t>
      </w:r>
      <w:r>
        <w:rPr>
          <w:rFonts w:hint="eastAsia" w:ascii="仿宋" w:eastAsia="仿宋"/>
          <w:b w:val="0"/>
          <w:bCs w:val="0"/>
          <w:i w:val="0"/>
          <w:iCs w:val="0"/>
          <w:caps w:val="0"/>
          <w:smallCaps w:val="0"/>
          <w:color w:val="3F3F3F"/>
          <w:spacing w:val="0"/>
          <w:sz w:val="24"/>
          <w:szCs w:val="24"/>
          <w:lang w:eastAsia="zh-CN"/>
        </w:rPr>
        <w:t>鉴湖街道</w:t>
      </w:r>
      <w:r>
        <w:rPr>
          <w:rFonts w:hint="eastAsia" w:ascii="仿宋" w:eastAsia="仿宋"/>
          <w:b w:val="0"/>
          <w:bCs w:val="0"/>
          <w:i w:val="0"/>
          <w:iCs w:val="0"/>
          <w:caps w:val="0"/>
          <w:smallCaps w:val="0"/>
          <w:color w:val="3F3F3F"/>
          <w:spacing w:val="0"/>
          <w:sz w:val="24"/>
          <w:szCs w:val="24"/>
          <w:lang w:val="en-US" w:eastAsia="zh-CN"/>
        </w:rPr>
        <w:t>4楼开标</w:t>
      </w:r>
      <w:r>
        <w:rPr>
          <w:rFonts w:ascii="仿宋" w:eastAsia="仿宋"/>
          <w:b w:val="0"/>
          <w:bCs w:val="0"/>
          <w:i w:val="0"/>
          <w:iCs w:val="0"/>
          <w:caps w:val="0"/>
          <w:smallCaps w:val="0"/>
          <w:color w:val="3F3F3F"/>
          <w:spacing w:val="0"/>
          <w:sz w:val="24"/>
          <w:szCs w:val="24"/>
        </w:rPr>
        <w:t>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794"/>
      <w:bookmarkStart w:id="19" w:name="_Toc28359084"/>
      <w:bookmarkStart w:id="20" w:name="_Toc35393625"/>
      <w:bookmarkStart w:id="21" w:name="_Toc28359007"/>
      <w:r>
        <w:rPr>
          <w:rFonts w:hint="eastAsia" w:ascii="仿宋" w:hAnsi="仿宋" w:eastAsia="仿宋" w:cs="仿宋"/>
          <w:b/>
          <w:bCs/>
          <w:sz w:val="24"/>
          <w:szCs w:val="24"/>
        </w:rPr>
        <w:t>五、公告期限</w:t>
      </w:r>
      <w:bookmarkEnd w:id="18"/>
      <w:bookmarkEnd w:id="19"/>
      <w:bookmarkEnd w:id="20"/>
      <w:bookmarkEnd w:id="21"/>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795"/>
      <w:bookmarkStart w:id="23" w:name="_Toc35393626"/>
      <w:r>
        <w:rPr>
          <w:rFonts w:hint="eastAsia" w:ascii="仿宋" w:hAnsi="仿宋" w:eastAsia="仿宋" w:cs="仿宋"/>
          <w:b/>
          <w:bCs/>
          <w:sz w:val="24"/>
          <w:szCs w:val="24"/>
        </w:rPr>
        <w:t>六、其他补充事宜</w:t>
      </w:r>
      <w:bookmarkEnd w:id="22"/>
      <w:bookmarkEnd w:id="23"/>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85"/>
      <w:bookmarkStart w:id="25" w:name="_Toc28359008"/>
      <w:bookmarkStart w:id="26" w:name="_Toc35393796"/>
      <w:bookmarkStart w:id="27" w:name="_Toc35393627"/>
      <w:r>
        <w:rPr>
          <w:rFonts w:hint="eastAsia" w:ascii="仿宋" w:hAnsi="仿宋" w:eastAsia="仿宋" w:cs="仿宋"/>
          <w:b/>
          <w:bCs/>
          <w:sz w:val="24"/>
          <w:szCs w:val="24"/>
        </w:rPr>
        <w:t>七、对本次招标提出询问、质疑、投诉，请按以下方式联系</w:t>
      </w:r>
      <w:bookmarkEnd w:id="24"/>
      <w:bookmarkEnd w:id="25"/>
      <w:bookmarkEnd w:id="26"/>
      <w:bookmarkEnd w:id="27"/>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hint="eastAsia" w:ascii="仿宋" w:eastAsia="仿宋"/>
          <w:sz w:val="24"/>
          <w:szCs w:val="24"/>
          <w:lang w:eastAsia="zh-CN"/>
        </w:rPr>
      </w:pPr>
      <w:r>
        <w:rPr>
          <w:rFonts w:hint="eastAsia" w:ascii="仿宋" w:eastAsia="仿宋"/>
          <w:sz w:val="24"/>
          <w:szCs w:val="24"/>
        </w:rPr>
        <w:t>名 称：</w:t>
      </w:r>
      <w:r>
        <w:rPr>
          <w:rFonts w:hint="eastAsia" w:ascii="仿宋" w:eastAsia="仿宋"/>
          <w:sz w:val="24"/>
          <w:szCs w:val="24"/>
          <w:u w:val="single"/>
          <w:lang w:eastAsia="zh-CN"/>
        </w:rPr>
        <w:t>绍兴市越城区鉴湖街道办事处</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绍兴市</w:t>
      </w:r>
      <w:r>
        <w:rPr>
          <w:rFonts w:hint="eastAsia" w:ascii="仿宋" w:eastAsia="仿宋"/>
          <w:sz w:val="24"/>
          <w:szCs w:val="24"/>
          <w:u w:val="single"/>
          <w:lang w:eastAsia="zh-CN"/>
        </w:rPr>
        <w:t>越城区</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u w:val="single"/>
        </w:rPr>
      </w:pPr>
      <w:bookmarkStart w:id="28" w:name="_Toc28359009"/>
      <w:bookmarkStart w:id="29" w:name="_Toc28359086"/>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吴</w:t>
      </w:r>
      <w:r>
        <w:rPr>
          <w:rFonts w:hint="eastAsia" w:ascii="仿宋" w:eastAsia="仿宋"/>
          <w:sz w:val="24"/>
          <w:szCs w:val="24"/>
          <w:u w:val="single"/>
          <w:lang w:eastAsia="zh-CN"/>
        </w:rPr>
        <w:t>文萍</w:t>
      </w:r>
      <w:r>
        <w:rPr>
          <w:rFonts w:hint="eastAsia" w:ascii="仿宋" w:eastAsia="仿宋"/>
          <w:sz w:val="24"/>
          <w:szCs w:val="24"/>
          <w:u w:val="single"/>
        </w:rPr>
        <w:t>　　</w:t>
      </w:r>
    </w:p>
    <w:p>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0575-</w:t>
      </w:r>
      <w:r>
        <w:rPr>
          <w:rFonts w:hint="eastAsia" w:ascii="仿宋" w:eastAsia="仿宋"/>
          <w:sz w:val="24"/>
          <w:szCs w:val="24"/>
          <w:u w:val="single"/>
          <w:lang w:val="en-US" w:eastAsia="zh-CN"/>
        </w:rPr>
        <w:t>88062369</w:t>
      </w:r>
      <w:r>
        <w:rPr>
          <w:rFonts w:hint="eastAsia" w:ascii="仿宋" w:eastAsia="仿宋"/>
          <w:sz w:val="24"/>
          <w:szCs w:val="24"/>
          <w:u w:val="single"/>
        </w:rPr>
        <w:t>　</w:t>
      </w:r>
    </w:p>
    <w:p>
      <w:pPr>
        <w:spacing w:line="360" w:lineRule="auto"/>
        <w:ind w:left="1079" w:leftChars="371" w:hanging="300" w:hangingChars="125"/>
        <w:jc w:val="left"/>
        <w:rPr>
          <w:rFonts w:hint="default" w:ascii="仿宋" w:eastAsia="仿宋"/>
          <w:sz w:val="24"/>
          <w:szCs w:val="24"/>
          <w:lang w:val="en-US" w:eastAsia="zh-CN"/>
        </w:rPr>
      </w:pPr>
      <w:r>
        <w:rPr>
          <w:rFonts w:ascii="仿宋" w:eastAsia="仿宋"/>
          <w:sz w:val="24"/>
          <w:szCs w:val="24"/>
        </w:rPr>
        <w:t>质疑联系人：</w:t>
      </w:r>
      <w:r>
        <w:rPr>
          <w:rFonts w:hint="eastAsia" w:ascii="仿宋" w:eastAsia="仿宋"/>
          <w:sz w:val="24"/>
          <w:szCs w:val="24"/>
          <w:u w:val="single"/>
        </w:rPr>
        <w:t>　</w:t>
      </w:r>
      <w:r>
        <w:rPr>
          <w:rFonts w:hint="eastAsia" w:ascii="仿宋" w:eastAsia="仿宋"/>
          <w:sz w:val="24"/>
          <w:szCs w:val="24"/>
          <w:u w:val="single"/>
          <w:lang w:eastAsia="zh-CN"/>
        </w:rPr>
        <w:t>李燕</w:t>
      </w:r>
      <w:r>
        <w:rPr>
          <w:rFonts w:hint="eastAsia" w:ascii="仿宋" w:eastAsia="仿宋"/>
          <w:sz w:val="24"/>
          <w:szCs w:val="24"/>
          <w:u w:val="single"/>
          <w:lang w:val="en-US" w:eastAsia="zh-CN"/>
        </w:rPr>
        <w:t xml:space="preserve">  </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0575-</w:t>
      </w:r>
      <w:r>
        <w:rPr>
          <w:rFonts w:hint="eastAsia" w:ascii="仿宋" w:eastAsia="仿宋"/>
          <w:sz w:val="24"/>
          <w:szCs w:val="24"/>
          <w:u w:val="single"/>
          <w:lang w:val="en-US" w:eastAsia="zh-CN"/>
        </w:rPr>
        <w:t>88379792</w:t>
      </w:r>
      <w:r>
        <w:rPr>
          <w:rFonts w:hint="eastAsia" w:ascii="仿宋" w:eastAsia="仿宋"/>
          <w:sz w:val="24"/>
          <w:szCs w:val="24"/>
          <w:u w:val="single"/>
        </w:rPr>
        <w:t xml:space="preserve">　 </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8"/>
      <w:bookmarkEnd w:id="29"/>
    </w:p>
    <w:p>
      <w:pPr>
        <w:spacing w:line="360" w:lineRule="auto"/>
        <w:ind w:left="1079" w:leftChars="371" w:hanging="300" w:hangingChars="125"/>
        <w:jc w:val="left"/>
        <w:rPr>
          <w:rFonts w:hint="eastAsia" w:ascii="仿宋" w:eastAsia="仿宋"/>
          <w:sz w:val="24"/>
          <w:szCs w:val="24"/>
          <w:u w:val="single"/>
          <w:lang w:val="en-US" w:eastAsia="zh-CN"/>
        </w:rPr>
      </w:pPr>
      <w:bookmarkStart w:id="30" w:name="_Toc28359087"/>
      <w:bookmarkStart w:id="31" w:name="_Toc28359010"/>
      <w:r>
        <w:rPr>
          <w:rFonts w:hint="eastAsia" w:ascii="仿宋" w:eastAsia="仿宋"/>
          <w:sz w:val="24"/>
          <w:szCs w:val="24"/>
        </w:rPr>
        <w:t>名 称：</w:t>
      </w:r>
      <w:r>
        <w:rPr>
          <w:rFonts w:hint="eastAsia" w:ascii="仿宋" w:eastAsia="仿宋"/>
          <w:sz w:val="24"/>
          <w:szCs w:val="24"/>
          <w:u w:val="single"/>
          <w:lang w:val="en-US" w:eastAsia="zh-CN"/>
        </w:rPr>
        <w:t>浙江建诚工程管理咨询有限公</w:t>
      </w:r>
    </w:p>
    <w:p>
      <w:pPr>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r>
        <w:rPr>
          <w:rFonts w:hint="eastAsia" w:ascii="仿宋" w:eastAsia="仿宋"/>
          <w:sz w:val="24"/>
          <w:szCs w:val="24"/>
          <w:u w:val="single"/>
          <w:lang w:val="en-US" w:eastAsia="zh-CN"/>
        </w:rPr>
        <w:t>绍兴市越城区平江路龙湖大厦14楼</w:t>
      </w:r>
    </w:p>
    <w:p>
      <w:pPr>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lang w:val="en-US" w:eastAsia="zh-CN"/>
        </w:rPr>
        <w:t>0575-88658182</w:t>
      </w:r>
    </w:p>
    <w:p>
      <w:pPr>
        <w:spacing w:line="360" w:lineRule="auto"/>
        <w:ind w:left="1079" w:leftChars="371" w:hanging="300" w:hangingChars="125"/>
        <w:jc w:val="left"/>
        <w:rPr>
          <w:rFonts w:hint="default" w:ascii="仿宋" w:eastAsia="仿宋"/>
          <w:sz w:val="24"/>
          <w:szCs w:val="24"/>
          <w:u w:val="single"/>
          <w:lang w:val="en-US" w:eastAsia="zh-CN"/>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lang w:val="en-US" w:eastAsia="zh-CN"/>
        </w:rPr>
        <w:t>王高民</w:t>
      </w:r>
    </w:p>
    <w:p>
      <w:pPr>
        <w:spacing w:line="360" w:lineRule="auto"/>
        <w:ind w:left="1079" w:leftChars="371" w:hanging="300" w:hangingChars="125"/>
        <w:jc w:val="left"/>
        <w:rPr>
          <w:rFonts w:hint="default" w:ascii="仿宋" w:eastAsia="仿宋"/>
          <w:sz w:val="24"/>
          <w:szCs w:val="24"/>
          <w:lang w:val="en-US" w:eastAsia="zh-CN"/>
        </w:rPr>
      </w:pPr>
      <w:r>
        <w:rPr>
          <w:rFonts w:ascii="仿宋" w:eastAsia="仿宋"/>
          <w:sz w:val="24"/>
          <w:szCs w:val="24"/>
        </w:rPr>
        <w:t>项目联系方式（询问）：</w:t>
      </w:r>
      <w:r>
        <w:rPr>
          <w:rFonts w:hint="eastAsia" w:ascii="仿宋" w:eastAsia="仿宋"/>
          <w:sz w:val="24"/>
          <w:szCs w:val="24"/>
          <w:u w:val="single"/>
          <w:lang w:val="en-US" w:eastAsia="zh-CN"/>
        </w:rPr>
        <w:t>13858429370</w:t>
      </w:r>
    </w:p>
    <w:p>
      <w:pPr>
        <w:spacing w:line="360" w:lineRule="auto"/>
        <w:ind w:left="1079" w:leftChars="371" w:hanging="300" w:hangingChars="125"/>
        <w:jc w:val="left"/>
        <w:rPr>
          <w:rFonts w:hint="eastAsia" w:ascii="仿宋" w:eastAsia="仿宋"/>
          <w:sz w:val="24"/>
          <w:szCs w:val="24"/>
          <w:lang w:eastAsia="zh-CN"/>
        </w:rPr>
      </w:pPr>
      <w:r>
        <w:rPr>
          <w:rFonts w:ascii="仿宋" w:eastAsia="仿宋"/>
          <w:sz w:val="24"/>
          <w:szCs w:val="24"/>
        </w:rPr>
        <w:t>质疑联系人：</w:t>
      </w:r>
      <w:r>
        <w:rPr>
          <w:rFonts w:hint="eastAsia" w:ascii="仿宋" w:eastAsia="仿宋"/>
          <w:sz w:val="24"/>
          <w:szCs w:val="24"/>
          <w:u w:val="single"/>
          <w:lang w:val="en-US" w:eastAsia="zh-CN"/>
        </w:rPr>
        <w:t>洪蕾</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0575-88658182</w:t>
      </w:r>
      <w:r>
        <w:rPr>
          <w:rFonts w:hint="eastAsia" w:ascii="仿宋" w:eastAsia="仿宋"/>
          <w:sz w:val="24"/>
          <w:szCs w:val="24"/>
          <w:u w:val="single"/>
        </w:rPr>
        <w:t xml:space="preserve">　 </w:t>
      </w:r>
    </w:p>
    <w:p>
      <w:pPr>
        <w:spacing w:line="360" w:lineRule="auto"/>
        <w:ind w:firstLine="720" w:firstLineChars="300"/>
        <w:rPr>
          <w:rFonts w:ascii="仿宋" w:eastAsia="仿宋"/>
          <w:sz w:val="24"/>
          <w:szCs w:val="24"/>
        </w:rPr>
      </w:pPr>
    </w:p>
    <w:bookmarkEnd w:id="30"/>
    <w:bookmarkEnd w:id="31"/>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lang w:val="en-US" w:eastAsia="zh-CN"/>
        </w:rPr>
        <w:t>分散采购委托代理</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 xml:space="preserve">服务   </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4"/>
          <w:rFonts w:hint="eastAsia" w:ascii="仿宋" w:eastAsia="仿宋"/>
          <w:spacing w:val="-4"/>
          <w:sz w:val="24"/>
        </w:rPr>
        <w:fldChar w:fldCharType="begin"/>
      </w:r>
      <w:r>
        <w:instrText xml:space="preserve">HYPERLINK "http://www.sxyc.gov.cn/art/2019/9/11/art_1559761_38044415.html"</w:instrText>
      </w:r>
      <w:r>
        <w:rPr>
          <w:rStyle w:val="34"/>
          <w:rFonts w:hint="eastAsia" w:ascii="仿宋" w:eastAsia="仿宋"/>
          <w:spacing w:val="-4"/>
          <w:sz w:val="24"/>
        </w:rPr>
        <w:fldChar w:fldCharType="separate"/>
      </w:r>
      <w:r>
        <w:rPr>
          <w:rStyle w:val="34"/>
          <w:rFonts w:hint="eastAsia" w:ascii="仿宋" w:eastAsia="仿宋"/>
          <w:spacing w:val="-4"/>
          <w:sz w:val="24"/>
        </w:rPr>
        <w:t>http://www.sxyc.gov.cn/art/2019/9/11/art_1559761_38044415.html</w:t>
      </w:r>
      <w:r>
        <w:rPr>
          <w:rStyle w:val="34"/>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4"/>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7"/>
      <w:bookmarkEnd w:id="32"/>
      <w:bookmarkStart w:id="33" w:name="_Hlt10553106"/>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3"/>
        <w:rPr>
          <w:rFonts w:hint="eastAsia" w:ascii="仿宋"/>
        </w:rPr>
      </w:pPr>
      <w:bookmarkStart w:id="34" w:name="_Toc1678"/>
      <w:r>
        <w:rPr>
          <w:rFonts w:hint="eastAsia" w:ascii="仿宋"/>
        </w:rPr>
        <w:t>第二章  投标人须知</w:t>
      </w:r>
      <w:bookmarkEnd w:id="34"/>
    </w:p>
    <w:p>
      <w:pPr>
        <w:pStyle w:val="4"/>
        <w:rPr>
          <w:rFonts w:hint="eastAsia" w:ascii="仿宋"/>
        </w:rPr>
      </w:pPr>
      <w:bookmarkStart w:id="35" w:name="_Toc4885"/>
      <w:r>
        <w:rPr>
          <w:rFonts w:hint="eastAsia" w:ascii="仿宋"/>
        </w:rPr>
        <w:t>一、前附表</w:t>
      </w:r>
      <w:bookmarkEnd w:id="35"/>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lang w:eastAsia="zh-CN"/>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bCs/>
                <w:sz w:val="24"/>
                <w:szCs w:val="24"/>
                <w:u w:val="single"/>
                <w:lang w:eastAsia="zh-CN"/>
              </w:rPr>
              <w:t>2023年绍兴市越城区鉴湖街道病媒生物防制服务项目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是否提供样品：</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val="en-US" w:eastAsia="zh-CN"/>
              </w:rPr>
              <w:t>否</w:t>
            </w:r>
            <w:r>
              <w:rPr>
                <w:rFonts w:hint="eastAsia" w:ascii="仿宋" w:eastAsia="仿宋"/>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是否组织现场踏勘：</w:t>
            </w:r>
            <w:r>
              <w:rPr>
                <w:rFonts w:hint="eastAsia" w:ascii="仿宋" w:eastAsia="仿宋"/>
                <w:color w:val="000000"/>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1%</w:t>
            </w:r>
            <w:r>
              <w:rPr>
                <w:rFonts w:hint="eastAsia" w:ascii="仿宋" w:eastAsia="仿宋"/>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Cs/>
                      <w:sz w:val="24"/>
                      <w:szCs w:val="24"/>
                      <w:u w:val="single"/>
                      <w:lang w:eastAsia="zh-CN"/>
                    </w:rPr>
                    <w:t>2023年绍兴市越城区鉴湖街道病媒生物防制服务</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其他未列明行业</w:t>
                  </w:r>
                </w:p>
              </w:tc>
            </w:tr>
          </w:tbl>
          <w:p>
            <w:pPr>
              <w:snapToGrid w:val="0"/>
              <w:jc w:val="left"/>
              <w:rPr>
                <w:rFonts w:hint="default" w:ascii="仿宋" w:eastAsia="仿宋"/>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b/>
                <w:bCs/>
                <w:sz w:val="24"/>
                <w:highlight w:val="yellow"/>
                <w:lang w:val="en-US" w:eastAsia="zh-CN"/>
              </w:rPr>
            </w:pPr>
            <w:r>
              <w:rPr>
                <w:rFonts w:hint="eastAsia" w:ascii="仿宋" w:eastAsia="仿宋"/>
                <w:b/>
                <w:bCs/>
                <w:sz w:val="24"/>
                <w:highlight w:val="yellow"/>
                <w:lang w:val="en-US" w:eastAsia="zh-CN"/>
              </w:rPr>
              <w:t>采购代理服务费：</w:t>
            </w:r>
          </w:p>
          <w:p>
            <w:pPr>
              <w:numPr>
                <w:ilvl w:val="0"/>
                <w:numId w:val="4"/>
              </w:numPr>
              <w:autoSpaceDE w:val="0"/>
              <w:autoSpaceDN w:val="0"/>
              <w:spacing w:line="240" w:lineRule="auto"/>
              <w:textAlignment w:val="bottom"/>
              <w:rPr>
                <w:rFonts w:hint="eastAsia" w:ascii="仿宋" w:eastAsia="仿宋" w:cs="Times New Roman"/>
                <w:color w:val="000000"/>
                <w:kern w:val="2"/>
                <w:sz w:val="24"/>
                <w:szCs w:val="20"/>
                <w:highlight w:val="yellow"/>
                <w:u w:val="single"/>
                <w:lang w:val="en-US" w:eastAsia="zh-CN" w:bidi="ar-SA"/>
              </w:rPr>
            </w:pPr>
            <w:r>
              <w:rPr>
                <w:rFonts w:hint="eastAsia" w:ascii="仿宋" w:eastAsia="仿宋"/>
                <w:color w:val="000000"/>
                <w:sz w:val="24"/>
                <w:highlight w:val="yellow"/>
                <w:u w:val="single"/>
                <w:lang w:val="en-US" w:eastAsia="zh-CN"/>
              </w:rPr>
              <w:t>中标人须向招标代理机构按如下标准和规定交纳代理服务费，投标人在投标报价中自行考虑：</w:t>
            </w:r>
            <w:r>
              <w:rPr>
                <w:rFonts w:hint="eastAsia" w:ascii="仿宋" w:hAnsi="Times New Roman" w:eastAsia="仿宋" w:cs="Times New Roman"/>
                <w:color w:val="000000"/>
                <w:kern w:val="2"/>
                <w:sz w:val="24"/>
                <w:szCs w:val="20"/>
                <w:highlight w:val="yellow"/>
                <w:u w:val="single"/>
                <w:lang w:val="en-US" w:eastAsia="zh-CN" w:bidi="ar-SA"/>
              </w:rPr>
              <w:t>按《招标代理服务收费管理暂行办法》（计价格[2002]1980号）服务类招标收费标准的计取</w:t>
            </w:r>
            <w:r>
              <w:rPr>
                <w:rFonts w:hint="eastAsia" w:ascii="仿宋" w:eastAsia="仿宋" w:cs="Times New Roman"/>
                <w:color w:val="000000"/>
                <w:kern w:val="2"/>
                <w:sz w:val="24"/>
                <w:szCs w:val="20"/>
                <w:highlight w:val="yellow"/>
                <w:u w:val="single"/>
                <w:lang w:val="en-US" w:eastAsia="zh-CN" w:bidi="ar-SA"/>
              </w:rPr>
              <w:t>。</w:t>
            </w:r>
          </w:p>
          <w:p>
            <w:pPr>
              <w:numPr>
                <w:ilvl w:val="0"/>
                <w:numId w:val="0"/>
              </w:numPr>
              <w:autoSpaceDE w:val="0"/>
              <w:autoSpaceDN w:val="0"/>
              <w:spacing w:line="240" w:lineRule="auto"/>
              <w:textAlignment w:val="bottom"/>
              <w:rPr>
                <w:rFonts w:hint="eastAsia" w:ascii="仿宋" w:eastAsia="仿宋"/>
                <w:color w:val="000000"/>
                <w:sz w:val="24"/>
                <w:highlight w:val="yellow"/>
                <w:u w:val="single"/>
                <w:lang w:val="en-US" w:eastAsia="zh-CN"/>
              </w:rPr>
            </w:pPr>
            <w:r>
              <w:rPr>
                <w:rFonts w:hint="eastAsia" w:ascii="仿宋" w:eastAsia="仿宋"/>
                <w:color w:val="000000"/>
                <w:sz w:val="24"/>
                <w:highlight w:val="yellow"/>
                <w:u w:val="single"/>
                <w:lang w:val="en-US" w:eastAsia="zh-CN"/>
              </w:rPr>
              <w:t>（2）代理服务费的交纳方式：用银行支票、汇票、电汇等方式。</w:t>
            </w:r>
          </w:p>
          <w:p>
            <w:pPr>
              <w:autoSpaceDE w:val="0"/>
              <w:autoSpaceDN w:val="0"/>
              <w:spacing w:line="240" w:lineRule="auto"/>
              <w:textAlignment w:val="bottom"/>
              <w:rPr>
                <w:rFonts w:hint="eastAsia" w:ascii="仿宋" w:eastAsia="仿宋"/>
                <w:color w:val="000000"/>
                <w:sz w:val="24"/>
                <w:highlight w:val="yellow"/>
                <w:u w:val="single"/>
                <w:lang w:val="en-US" w:eastAsia="zh-CN"/>
              </w:rPr>
            </w:pPr>
            <w:r>
              <w:rPr>
                <w:rFonts w:hint="eastAsia" w:ascii="仿宋" w:eastAsia="仿宋"/>
                <w:color w:val="000000"/>
                <w:sz w:val="24"/>
                <w:highlight w:val="yellow"/>
                <w:u w:val="single"/>
                <w:lang w:val="en-US" w:eastAsia="zh-CN"/>
              </w:rPr>
              <w:t>公司名称：浙江建诚工程管理咨询有限公司</w:t>
            </w:r>
          </w:p>
          <w:p>
            <w:pPr>
              <w:autoSpaceDE w:val="0"/>
              <w:autoSpaceDN w:val="0"/>
              <w:spacing w:line="240" w:lineRule="auto"/>
              <w:textAlignment w:val="bottom"/>
              <w:rPr>
                <w:rFonts w:hint="eastAsia" w:ascii="仿宋" w:eastAsia="仿宋"/>
                <w:color w:val="000000"/>
                <w:sz w:val="24"/>
                <w:highlight w:val="yellow"/>
                <w:u w:val="single"/>
                <w:lang w:val="en-US" w:eastAsia="zh-CN"/>
              </w:rPr>
            </w:pPr>
            <w:r>
              <w:rPr>
                <w:rFonts w:hint="eastAsia" w:ascii="仿宋" w:eastAsia="仿宋"/>
                <w:color w:val="000000"/>
                <w:sz w:val="24"/>
                <w:highlight w:val="yellow"/>
                <w:u w:val="single"/>
                <w:lang w:val="en-US" w:eastAsia="zh-CN"/>
              </w:rPr>
              <w:t>账号：387062315370</w:t>
            </w:r>
          </w:p>
          <w:p>
            <w:pPr>
              <w:autoSpaceDE w:val="0"/>
              <w:autoSpaceDN w:val="0"/>
              <w:spacing w:line="240" w:lineRule="auto"/>
              <w:textAlignment w:val="bottom"/>
              <w:rPr>
                <w:rFonts w:hint="eastAsia" w:ascii="仿宋" w:eastAsia="仿宋"/>
                <w:color w:val="000000"/>
                <w:sz w:val="24"/>
                <w:highlight w:val="yellow"/>
                <w:u w:val="single"/>
                <w:lang w:val="en-US" w:eastAsia="zh-CN"/>
              </w:rPr>
            </w:pPr>
            <w:r>
              <w:rPr>
                <w:rFonts w:hint="eastAsia" w:ascii="仿宋" w:eastAsia="仿宋"/>
                <w:color w:val="000000"/>
                <w:sz w:val="24"/>
                <w:highlight w:val="yellow"/>
                <w:u w:val="single"/>
                <w:lang w:val="en-US" w:eastAsia="zh-CN"/>
              </w:rPr>
              <w:t>开户行：中国银行绍兴高新技术开发区支行</w:t>
            </w:r>
          </w:p>
          <w:p>
            <w:pPr>
              <w:autoSpaceDE w:val="0"/>
              <w:autoSpaceDN w:val="0"/>
              <w:spacing w:line="240" w:lineRule="auto"/>
              <w:textAlignment w:val="bottom"/>
              <w:rPr>
                <w:rFonts w:hint="eastAsia" w:ascii="宋体" w:hAnsi="宋体" w:eastAsia="宋体" w:cs="宋体"/>
                <w:kern w:val="2"/>
                <w:sz w:val="24"/>
                <w:szCs w:val="20"/>
                <w:highlight w:val="yellow"/>
                <w:lang w:val="en-US" w:eastAsia="zh-CN" w:bidi="ar-SA"/>
              </w:rPr>
            </w:pPr>
            <w:r>
              <w:rPr>
                <w:rFonts w:hint="eastAsia" w:ascii="仿宋" w:eastAsia="仿宋"/>
                <w:color w:val="000000"/>
                <w:sz w:val="24"/>
                <w:highlight w:val="yellow"/>
                <w:u w:val="single"/>
                <w:lang w:val="en-US" w:eastAsia="zh-CN"/>
              </w:rPr>
              <w:t>（3）中标服务费在领取中标通知书前交纳。</w:t>
            </w:r>
          </w:p>
        </w:tc>
      </w:tr>
    </w:tbl>
    <w:p>
      <w:pPr>
        <w:pStyle w:val="4"/>
        <w:spacing w:line="415" w:lineRule="auto"/>
        <w:jc w:val="center"/>
        <w:rPr>
          <w:rFonts w:hint="eastAsia" w:ascii="仿宋"/>
        </w:rPr>
      </w:pPr>
      <w:bookmarkStart w:id="36" w:name="_Toc4902"/>
      <w:r>
        <w:rPr>
          <w:rFonts w:hint="eastAsia" w:ascii="仿宋"/>
        </w:rPr>
        <w:t>二、采购文件</w:t>
      </w:r>
      <w:bookmarkEnd w:id="36"/>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spacing w:line="415" w:lineRule="auto"/>
        <w:jc w:val="center"/>
        <w:rPr>
          <w:rFonts w:hint="eastAsia" w:ascii="仿宋"/>
        </w:rPr>
      </w:pPr>
      <w:bookmarkStart w:id="37" w:name="_Toc1461"/>
      <w:r>
        <w:rPr>
          <w:rFonts w:hint="eastAsia" w:ascii="仿宋"/>
        </w:rPr>
        <w:t>三、投标文件</w:t>
      </w:r>
      <w:bookmarkEnd w:id="37"/>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2.1.4法定代表人及其授权代表的身份证；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ascii="仿宋" w:eastAsia="仿宋"/>
          <w:color w:val="000000"/>
          <w:sz w:val="24"/>
        </w:rPr>
        <w:t>5</w:t>
      </w:r>
      <w:r>
        <w:rPr>
          <w:rFonts w:hint="eastAsia" w:ascii="仿宋" w:eastAsia="仿宋"/>
          <w:color w:val="000000"/>
          <w:sz w:val="24"/>
        </w:rPr>
        <w:t xml:space="preserve"> 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.2特定资格条件证明材料（如有）。</w:t>
      </w:r>
    </w:p>
    <w:p>
      <w:pPr>
        <w:widowControl/>
        <w:snapToGrid w:val="0"/>
        <w:spacing w:line="440" w:lineRule="exact"/>
        <w:jc w:val="left"/>
        <w:rPr>
          <w:rFonts w:hint="eastAsia" w:ascii="仿宋" w:eastAsia="仿宋"/>
          <w:color w:val="000000"/>
          <w:sz w:val="24"/>
        </w:rPr>
      </w:pPr>
      <w:r>
        <w:rPr>
          <w:rFonts w:ascii="仿宋" w:eastAsia="仿宋"/>
          <w:color w:val="000000"/>
          <w:sz w:val="24"/>
        </w:rPr>
        <w:t>2.1.6</w:t>
      </w:r>
      <w:r>
        <w:rPr>
          <w:rFonts w:hint="eastAsia" w:ascii="仿宋" w:eastAsia="仿宋"/>
          <w:color w:val="000000"/>
          <w:sz w:val="24"/>
        </w:rPr>
        <w:t>中小企业声明函（如有）；</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，2.1.4-2.1.5均为原件扫描件或彩色图片，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43"/>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43"/>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注：“商务和技术文件”可在采购文件格式的基础上适当调整，以使内容更加完备。供应商自有的各类证书、业绩等证明材料均为原件彩色扫描件或图片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tabs>
          <w:tab w:val="left" w:pos="3870"/>
          <w:tab w:val="left" w:pos="4085"/>
        </w:tabs>
        <w:snapToGrid w:val="0"/>
        <w:spacing w:line="440" w:lineRule="exact"/>
        <w:jc w:val="left"/>
        <w:rPr>
          <w:rFonts w:hint="default" w:ascii="仿宋" w:eastAsia="仿宋"/>
          <w:color w:val="000000"/>
          <w:sz w:val="24"/>
          <w:lang w:val="en-US" w:eastAsia="zh-CN"/>
        </w:rPr>
      </w:pPr>
      <w:r>
        <w:rPr>
          <w:rFonts w:hint="eastAsia" w:ascii="仿宋" w:eastAsia="仿宋"/>
          <w:color w:val="000000"/>
          <w:sz w:val="24"/>
          <w:lang w:val="en-US" w:eastAsia="zh-CN"/>
        </w:rPr>
        <w:t>2.3.2报价明细表</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3</w:t>
      </w:r>
      <w:r>
        <w:rPr>
          <w:rFonts w:hint="eastAsia" w:ascii="仿宋" w:eastAsia="仿宋"/>
          <w:color w:val="000000"/>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8"/>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8"/>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8"/>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pPr>
        <w:pStyle w:val="4"/>
        <w:spacing w:line="415" w:lineRule="auto"/>
        <w:jc w:val="center"/>
        <w:rPr>
          <w:rFonts w:hint="eastAsia" w:ascii="仿宋"/>
        </w:rPr>
      </w:pPr>
      <w:bookmarkStart w:id="38" w:name="_Toc27317"/>
      <w:r>
        <w:rPr>
          <w:rFonts w:hint="eastAsia" w:ascii="仿宋"/>
        </w:rPr>
        <w:t>四、开标评标</w:t>
      </w:r>
      <w:bookmarkEnd w:id="38"/>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7"/>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7"/>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6.18供应商违反政府采购政策性规定；</w:t>
      </w:r>
    </w:p>
    <w:p>
      <w:pPr>
        <w:snapToGrid w:val="0"/>
        <w:spacing w:line="440" w:lineRule="exact"/>
        <w:rPr>
          <w:rFonts w:hint="eastAsia" w:ascii="仿宋" w:eastAsia="仿宋"/>
          <w:sz w:val="24"/>
        </w:rPr>
      </w:pPr>
      <w:r>
        <w:rPr>
          <w:rFonts w:hint="eastAsia" w:ascii="仿宋" w:eastAsia="仿宋"/>
          <w:sz w:val="24"/>
        </w:rPr>
        <w:t>6.19违反法律、法规及本采购文件规定的其他无效投标情形。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000000"/>
          <w:kern w:val="0"/>
          <w:sz w:val="24"/>
        </w:rPr>
      </w:pPr>
    </w:p>
    <w:p>
      <w:pPr>
        <w:pStyle w:val="4"/>
        <w:spacing w:line="415" w:lineRule="auto"/>
        <w:jc w:val="center"/>
        <w:rPr>
          <w:rFonts w:hint="eastAsia" w:ascii="仿宋"/>
        </w:rPr>
      </w:pPr>
      <w:bookmarkStart w:id="39" w:name="_Toc1753"/>
      <w:r>
        <w:rPr>
          <w:rFonts w:hint="eastAsia" w:ascii="仿宋"/>
        </w:rPr>
        <w:t>五、合同签订及履约</w:t>
      </w:r>
      <w:bookmarkEnd w:id="39"/>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2.2供应商在履行完合同约定事项后，采购人应及时退还履约保证金。采购人验收不合格的，不予退还履约保证金。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b/>
          <w:sz w:val="24"/>
        </w:rPr>
      </w:pPr>
      <w:r>
        <w:rPr>
          <w:rFonts w:hint="eastAsia" w:ascii="仿宋" w:eastAsia="仿宋"/>
          <w:b/>
          <w:sz w:val="24"/>
        </w:rPr>
        <w:t>3．合同备案</w:t>
      </w:r>
    </w:p>
    <w:p>
      <w:pPr>
        <w:spacing w:line="440" w:lineRule="exact"/>
        <w:jc w:val="left"/>
        <w:rPr>
          <w:rFonts w:hint="eastAsia" w:ascii="仿宋" w:eastAsia="仿宋"/>
          <w:b/>
          <w:bCs/>
          <w:color w:val="FF0000"/>
          <w:sz w:val="24"/>
        </w:rPr>
      </w:pPr>
      <w:r>
        <w:rPr>
          <w:rFonts w:hint="eastAsia" w:ascii="仿宋" w:eastAsia="仿宋"/>
          <w:b/>
          <w:bCs/>
          <w:color w:val="FF0000"/>
          <w:sz w:val="24"/>
        </w:rPr>
        <w:t>3.1中标人应当自采购合同签订之日起3个工作日内，将采购合同原件报采购代理机构备案存档。</w:t>
      </w:r>
    </w:p>
    <w:p>
      <w:pPr>
        <w:spacing w:line="440" w:lineRule="exact"/>
        <w:jc w:val="left"/>
        <w:rPr>
          <w:rFonts w:hint="eastAsia" w:ascii="仿宋" w:eastAsia="仿宋"/>
          <w:b/>
          <w:sz w:val="24"/>
        </w:rPr>
      </w:pPr>
      <w:r>
        <w:rPr>
          <w:rFonts w:hint="eastAsia" w:ascii="仿宋" w:eastAsia="仿宋"/>
          <w:b/>
          <w:sz w:val="24"/>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hint="eastAsia" w:ascii="仿宋" w:eastAsia="仿宋"/>
          <w:color w:val="000000"/>
          <w:kern w:val="0"/>
          <w:sz w:val="24"/>
        </w:rPr>
      </w:pPr>
    </w:p>
    <w:p>
      <w:pPr>
        <w:pStyle w:val="3"/>
        <w:jc w:val="center"/>
        <w:rPr>
          <w:rFonts w:hint="eastAsia" w:ascii="仿宋"/>
        </w:rPr>
      </w:pPr>
      <w:bookmarkStart w:id="40" w:name="_Toc3442"/>
      <w:r>
        <w:rPr>
          <w:rFonts w:hint="eastAsia" w:ascii="仿宋"/>
        </w:rPr>
        <w:t>第三章  采购需求</w:t>
      </w:r>
      <w:bookmarkEnd w:id="40"/>
    </w:p>
    <w:p>
      <w:pPr>
        <w:pStyle w:val="4"/>
        <w:keepNext/>
        <w:keepLines/>
        <w:pageBreakBefore w:val="0"/>
        <w:widowControl w:val="0"/>
        <w:suppressLineNumbers w:val="0"/>
        <w:suppressAutoHyphens w:val="0"/>
        <w:spacing w:line="415" w:lineRule="auto"/>
        <w:rPr>
          <w:rFonts w:hint="eastAsia" w:ascii="仿宋"/>
          <w:highlight w:val="none"/>
        </w:rPr>
      </w:pPr>
      <w:bookmarkStart w:id="41" w:name="_Toc29517"/>
      <w:r>
        <w:rPr>
          <w:rFonts w:hint="eastAsia" w:ascii="仿宋"/>
          <w:highlight w:val="none"/>
        </w:rPr>
        <w:t>一、服务清单及要求</w:t>
      </w:r>
      <w:bookmarkEnd w:id="41"/>
    </w:p>
    <w:p>
      <w:pPr>
        <w:widowControl/>
        <w:snapToGrid w:val="0"/>
        <w:spacing w:line="480" w:lineRule="exact"/>
        <w:ind w:firstLine="0" w:firstLineChars="0"/>
        <w:jc w:val="left"/>
        <w:rPr>
          <w:rFonts w:hint="eastAsia" w:ascii="仿宋" w:eastAsia="仿宋"/>
          <w:bCs w:val="0"/>
          <w:color w:val="auto"/>
          <w:kern w:val="0"/>
          <w:sz w:val="24"/>
        </w:rPr>
      </w:pPr>
      <w:bookmarkStart w:id="42" w:name="_Toc29878"/>
      <w:r>
        <w:rPr>
          <w:rFonts w:hint="eastAsia" w:ascii="仿宋" w:eastAsia="仿宋"/>
          <w:color w:val="auto"/>
          <w:kern w:val="0"/>
          <w:sz w:val="24"/>
          <w:szCs w:val="20"/>
        </w:rPr>
        <w:t>1.</w:t>
      </w:r>
      <w:r>
        <w:rPr>
          <w:rFonts w:hint="eastAsia" w:ascii="仿宋" w:eastAsia="仿宋"/>
          <w:b w:val="0"/>
          <w:bCs w:val="0"/>
          <w:color w:val="auto"/>
          <w:kern w:val="0"/>
          <w:sz w:val="24"/>
          <w:szCs w:val="20"/>
        </w:rPr>
        <w:t>1　</w:t>
      </w:r>
      <w:r>
        <w:rPr>
          <w:rFonts w:hint="eastAsia" w:ascii="仿宋" w:eastAsia="仿宋"/>
          <w:b w:val="0"/>
          <w:bCs w:val="0"/>
          <w:color w:val="auto"/>
          <w:kern w:val="0"/>
          <w:sz w:val="24"/>
        </w:rPr>
        <w:t>招标项目：</w:t>
      </w:r>
      <w:r>
        <w:rPr>
          <w:rFonts w:hint="eastAsia" w:ascii="仿宋" w:eastAsia="仿宋" w:cs="Times New Roman"/>
          <w:color w:val="auto"/>
          <w:kern w:val="0"/>
          <w:sz w:val="24"/>
        </w:rPr>
        <w:t>2021年绍兴市越城区鉴湖街道病媒生物防制服务项目。</w:t>
      </w:r>
    </w:p>
    <w:p>
      <w:pPr>
        <w:widowControl/>
        <w:snapToGrid w:val="0"/>
        <w:spacing w:line="480" w:lineRule="exact"/>
        <w:ind w:firstLine="0" w:firstLineChars="0"/>
        <w:rPr>
          <w:rFonts w:hint="eastAsia" w:ascii="仿宋" w:eastAsia="仿宋" w:cs="Times New Roman"/>
          <w:bCs w:val="0"/>
          <w:iCs w:val="0"/>
          <w:color w:val="auto"/>
          <w:kern w:val="0"/>
          <w:sz w:val="24"/>
        </w:rPr>
      </w:pPr>
      <w:r>
        <w:rPr>
          <w:rFonts w:hint="eastAsia" w:ascii="仿宋" w:eastAsia="仿宋" w:cs="Times New Roman"/>
          <w:color w:val="auto"/>
          <w:kern w:val="0"/>
          <w:sz w:val="24"/>
          <w:szCs w:val="20"/>
        </w:rPr>
        <w:t xml:space="preserve">1.2  </w:t>
      </w:r>
      <w:r>
        <w:rPr>
          <w:rFonts w:hint="eastAsia" w:ascii="仿宋" w:eastAsia="仿宋"/>
          <w:b w:val="0"/>
          <w:bCs w:val="0"/>
          <w:color w:val="auto"/>
          <w:kern w:val="0"/>
          <w:sz w:val="24"/>
        </w:rPr>
        <w:t>项目内容</w:t>
      </w:r>
      <w:r>
        <w:rPr>
          <w:rFonts w:hint="eastAsia" w:ascii="仿宋" w:eastAsia="仿宋"/>
          <w:color w:val="auto"/>
          <w:kern w:val="0"/>
          <w:sz w:val="24"/>
        </w:rPr>
        <w:t>：灭蚊、灭蝇、灭鼠、灭蟑螂。</w:t>
      </w:r>
    </w:p>
    <w:p>
      <w:pPr>
        <w:widowControl/>
        <w:snapToGrid w:val="0"/>
        <w:spacing w:line="480" w:lineRule="exact"/>
        <w:ind w:firstLine="0" w:firstLineChars="0"/>
        <w:jc w:val="left"/>
        <w:rPr>
          <w:rFonts w:hint="eastAsia" w:ascii="仿宋" w:eastAsia="仿宋"/>
          <w:color w:val="auto"/>
          <w:kern w:val="0"/>
          <w:sz w:val="24"/>
        </w:rPr>
      </w:pPr>
      <w:r>
        <w:rPr>
          <w:rFonts w:hint="eastAsia" w:ascii="仿宋" w:eastAsia="仿宋"/>
          <w:b w:val="0"/>
          <w:color w:val="auto"/>
          <w:kern w:val="0"/>
          <w:sz w:val="24"/>
          <w:szCs w:val="20"/>
        </w:rPr>
        <w:t>1.3　</w:t>
      </w:r>
      <w:r>
        <w:rPr>
          <w:rFonts w:hint="eastAsia" w:ascii="仿宋" w:eastAsia="仿宋"/>
          <w:b w:val="0"/>
          <w:bCs w:val="0"/>
          <w:color w:val="auto"/>
          <w:kern w:val="0"/>
          <w:sz w:val="24"/>
        </w:rPr>
        <w:t>项目服务年限：</w:t>
      </w:r>
      <w:r>
        <w:rPr>
          <w:rFonts w:hint="eastAsia" w:ascii="仿宋" w:eastAsia="仿宋" w:cs="Times New Roman"/>
          <w:color w:val="auto"/>
          <w:kern w:val="0"/>
          <w:sz w:val="24"/>
        </w:rPr>
        <w:t>病媒生物防</w:t>
      </w:r>
      <w:r>
        <w:rPr>
          <w:rFonts w:hint="eastAsia" w:ascii="仿宋" w:eastAsia="仿宋"/>
          <w:color w:val="auto"/>
          <w:kern w:val="0"/>
          <w:sz w:val="24"/>
        </w:rPr>
        <w:t>制服务从合同签订之日起一年。</w:t>
      </w:r>
    </w:p>
    <w:p>
      <w:pPr>
        <w:widowControl/>
        <w:snapToGrid w:val="0"/>
        <w:spacing w:line="480" w:lineRule="exact"/>
        <w:jc w:val="left"/>
        <w:rPr>
          <w:rFonts w:hint="eastAsia" w:ascii="仿宋" w:eastAsia="仿宋"/>
          <w:color w:val="auto"/>
          <w:kern w:val="0"/>
          <w:sz w:val="24"/>
        </w:rPr>
      </w:pPr>
      <w:r>
        <w:rPr>
          <w:rFonts w:hint="eastAsia" w:ascii="仿宋" w:eastAsia="仿宋"/>
          <w:color w:val="auto"/>
          <w:kern w:val="0"/>
          <w:sz w:val="24"/>
        </w:rPr>
        <w:t>项目服务到期后，甲方以上级部门委托的第三方病媒生物防制评估为考核依据，若乙方在本期项目服务评估中鉴湖街道成绩在良好及以上 ，则允许予以续签合同一年。</w:t>
      </w:r>
    </w:p>
    <w:p>
      <w:pPr>
        <w:widowControl/>
        <w:autoSpaceDE/>
        <w:autoSpaceDN/>
        <w:adjustRightInd/>
        <w:snapToGrid w:val="0"/>
        <w:spacing w:line="480" w:lineRule="exact"/>
        <w:ind w:firstLine="0" w:firstLineChars="0"/>
        <w:jc w:val="left"/>
        <w:rPr>
          <w:rFonts w:hint="eastAsia" w:ascii="仿宋" w:eastAsia="仿宋"/>
          <w:b w:val="0"/>
          <w:bCs w:val="0"/>
          <w:color w:val="auto"/>
          <w:kern w:val="0"/>
          <w:sz w:val="24"/>
        </w:rPr>
      </w:pPr>
      <w:r>
        <w:rPr>
          <w:rFonts w:hint="eastAsia" w:ascii="仿宋" w:eastAsia="仿宋"/>
          <w:b w:val="0"/>
          <w:bCs w:val="0"/>
          <w:color w:val="auto"/>
          <w:kern w:val="0"/>
          <w:sz w:val="24"/>
          <w:szCs w:val="20"/>
        </w:rPr>
        <w:t>2　</w:t>
      </w:r>
      <w:r>
        <w:rPr>
          <w:rFonts w:hint="eastAsia" w:ascii="仿宋" w:eastAsia="仿宋"/>
          <w:b w:val="0"/>
          <w:bCs w:val="0"/>
          <w:color w:val="auto"/>
          <w:kern w:val="0"/>
          <w:sz w:val="24"/>
        </w:rPr>
        <w:t>基本要求</w:t>
      </w:r>
    </w:p>
    <w:p>
      <w:pPr>
        <w:widowControl/>
        <w:snapToGrid w:val="0"/>
        <w:spacing w:line="480" w:lineRule="exact"/>
        <w:ind w:firstLine="0" w:firstLineChars="0"/>
        <w:jc w:val="left"/>
        <w:rPr>
          <w:rFonts w:hint="eastAsia" w:ascii="仿宋" w:eastAsia="仿宋"/>
          <w:b w:val="0"/>
          <w:bCs w:val="0"/>
          <w:color w:val="auto"/>
          <w:kern w:val="0"/>
          <w:sz w:val="24"/>
        </w:rPr>
      </w:pPr>
      <w:r>
        <w:rPr>
          <w:rFonts w:hint="eastAsia" w:ascii="仿宋" w:eastAsia="仿宋"/>
          <w:b w:val="0"/>
          <w:bCs w:val="0"/>
          <w:color w:val="auto"/>
          <w:kern w:val="0"/>
          <w:sz w:val="24"/>
        </w:rPr>
        <w:t>2.1 项目范围</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lang w:eastAsia="zh-CN"/>
        </w:rPr>
        <w:t>①</w:t>
      </w:r>
      <w:r>
        <w:rPr>
          <w:rFonts w:hint="eastAsia" w:ascii="仿宋" w:eastAsia="仿宋" w:cs="Times New Roman"/>
          <w:color w:val="auto"/>
          <w:kern w:val="0"/>
          <w:sz w:val="24"/>
        </w:rPr>
        <w:t>鉴湖街道公共外环境消杀面积12平方公里。下辖谢墅村、上谢墅村、秦望村、坡塘村、王家葑村、玉屏村、丰乐村、骆家葑村、南池村、春风社区、鉴园社区</w:t>
      </w:r>
      <w:r>
        <w:rPr>
          <w:rFonts w:hint="eastAsia" w:ascii="仿宋" w:eastAsia="仿宋" w:cs="Times New Roman"/>
          <w:color w:val="auto"/>
          <w:kern w:val="0"/>
          <w:sz w:val="24"/>
          <w:shd w:val="clear"/>
          <w:lang w:val="en-US" w:eastAsia="zh-CN"/>
        </w:rPr>
        <w:t>11</w:t>
      </w:r>
      <w:r>
        <w:rPr>
          <w:rFonts w:hint="eastAsia" w:ascii="仿宋" w:eastAsia="仿宋" w:cs="Times New Roman"/>
          <w:color w:val="auto"/>
          <w:kern w:val="0"/>
          <w:sz w:val="24"/>
        </w:rPr>
        <w:t>个村（社区）。</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rPr>
        <w:t>消杀范围包括：1.所辖社区（村、居）街巷、道路、房前屋后及墙弄空地、建筑工地空地、拆迁工地、绿化带、绿地、花坛、景观水池、下水道、窨窑、窨井、污水沟塘、河道漊底、公共厕所、垃圾中转站、垃圾箱（房）、地下车库、城郊结合部等室外场所和半开放式场所及无物业、无人管理的半开放式场所、老小区、老台门等其他鼠、蚊蝇、蟑螂的孳生地等重点环境；2.社区（村、居）开放式小区、居（村）民台门庭园，包含有（无）物业、有（无）人管辖的所有场所及封闭式住宅小区等，开放式农贸市场的公共环境的各类四害孳生场所，农村的公园、广场等；3.镇（街）指定区域内营业面积小于150平方米的小餐饮店等“五小”行业；4.上述承包区域外300米至500米范围的除“四害”防护带；5.突发应急事件环境消杀及其他公益消杀活动。6.协助街道做好积水清除工作，消灭蚊媒孳生地，做好登革热防控工作，确保街道辖区无本地疫情发生。</w:t>
      </w:r>
    </w:p>
    <w:p>
      <w:pPr>
        <w:widowControl/>
        <w:numPr>
          <w:ilvl w:val="-1"/>
          <w:numId w:val="0"/>
        </w:numPr>
        <w:snapToGrid w:val="0"/>
        <w:spacing w:line="480" w:lineRule="exact"/>
        <w:jc w:val="left"/>
        <w:rPr>
          <w:rFonts w:hint="eastAsia" w:ascii="仿宋" w:eastAsia="仿宋"/>
          <w:b w:val="0"/>
          <w:color w:val="auto"/>
          <w:kern w:val="0"/>
          <w:sz w:val="24"/>
        </w:rPr>
      </w:pPr>
      <w:r>
        <w:rPr>
          <w:rFonts w:hint="eastAsia" w:ascii="仿宋" w:eastAsia="仿宋"/>
          <w:b w:val="0"/>
          <w:color w:val="auto"/>
          <w:kern w:val="0"/>
          <w:sz w:val="24"/>
        </w:rPr>
        <w:t>技术要求（验收标准）</w:t>
      </w:r>
    </w:p>
    <w:p>
      <w:pPr>
        <w:widowControl/>
        <w:snapToGrid w:val="0"/>
        <w:spacing w:line="480" w:lineRule="exact"/>
        <w:ind w:firstLine="0"/>
        <w:jc w:val="left"/>
        <w:rPr>
          <w:rFonts w:hint="eastAsia" w:ascii="仿宋" w:eastAsia="仿宋"/>
          <w:b w:val="0"/>
          <w:color w:val="auto"/>
          <w:kern w:val="0"/>
          <w:sz w:val="24"/>
        </w:rPr>
      </w:pPr>
      <w:r>
        <w:rPr>
          <w:rFonts w:hint="eastAsia" w:ascii="仿宋" w:eastAsia="仿宋"/>
          <w:b w:val="0"/>
          <w:color w:val="auto"/>
          <w:kern w:val="0"/>
          <w:sz w:val="24"/>
        </w:rPr>
        <w:t>2.2.1  病媒生物防制服务要求</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b w:val="0"/>
          <w:bCs w:val="0"/>
          <w:color w:val="auto"/>
          <w:kern w:val="0"/>
          <w:sz w:val="24"/>
        </w:rPr>
        <w:t>2.2.1.1消杀现场要求：</w:t>
      </w:r>
      <w:r>
        <w:rPr>
          <w:rFonts w:hint="eastAsia" w:ascii="仿宋" w:eastAsia="仿宋" w:cs="Times New Roman"/>
          <w:color w:val="auto"/>
          <w:kern w:val="0"/>
          <w:sz w:val="24"/>
        </w:rPr>
        <w:t>灭鼠：春秋两季鼠药（下水道悬毒饵）的投放率90%以上，每个社区（村、居）鼠粪、鼠洞等鼠迹不超过2处；灭蚊：每社区（村、居）有孑孓孳生的积水不超过2处；灭蝇：每社区（村、居）有蝇蛆孳生的场所不超过2处；灭蟑：每社区（村、居）活蟑螂或蟑迹不超过5处；</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b w:val="0"/>
          <w:bCs w:val="0"/>
          <w:color w:val="auto"/>
          <w:kern w:val="0"/>
          <w:sz w:val="24"/>
        </w:rPr>
        <w:t>2.2.1.2毒鼠屋、捕蝇笼布置要求：</w:t>
      </w:r>
      <w:r>
        <w:rPr>
          <w:rFonts w:hint="eastAsia" w:ascii="仿宋" w:eastAsia="仿宋" w:cs="Times New Roman"/>
          <w:color w:val="auto"/>
          <w:kern w:val="0"/>
          <w:sz w:val="24"/>
        </w:rPr>
        <w:t>布置数量视鼠类、蝇类密度而定，毒鼠屋布置在鼠经常出没的地方，尽量隐蔽设置。及时检查、添加补充药物。毒鼠屋如有缺少的，应及时补装。如有缺少或没投放（补投）药物的，视情扣款。捕蝇笼布置在蝇蛆孳生地，尽量固定设置。（一）属于消杀服务区域范围内的农贸市场、食品加工厂（场）、酿造厂、屠宰厂（场）、粮库(站、店)、垃圾填埋场及焚烧场、垃圾中转站、粪便处理场、废旧品收购站(点)等场所必须布置。公共厕所、医院、火车站、长途汽车站、饭店宾馆、商场、超市、饮食店、副食品店等场所视情况布置。（二）重点部位布置：属于消杀服务范围内的各单位厨房、库房；建筑工地(包括拆迁工地、闲置地块)、垃圾收集点、下水道（窨井）、公园、动物园、地下停车场、绿地、河流湖泊沿岸、堤坝渠壁、铁道两侧、学校、单位院内、蓄水容器、住宅区外环境等重点部位视情况布置。</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b w:val="0"/>
          <w:bCs w:val="0"/>
          <w:color w:val="auto"/>
          <w:kern w:val="0"/>
          <w:sz w:val="24"/>
        </w:rPr>
        <w:t>2.2.1.3</w:t>
      </w:r>
      <w:r>
        <w:rPr>
          <w:rFonts w:hint="eastAsia" w:ascii="仿宋" w:eastAsia="仿宋" w:cs="Times New Roman"/>
          <w:color w:val="auto"/>
          <w:kern w:val="0"/>
          <w:sz w:val="24"/>
        </w:rPr>
        <w:t>四害密度控制均达到国家病媒生物密度控制标准（GB/T 27770-2011鼠类、GB/T 27771-2011蚊虫、GB/T 27772-2011蝇类、GB/T 27773-2011蜚蠊）C级要求，并通过市爱卫办委托的第三方效果评估考核。</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b w:val="0"/>
          <w:bCs w:val="0"/>
          <w:color w:val="auto"/>
          <w:kern w:val="0"/>
          <w:sz w:val="24"/>
        </w:rPr>
        <w:t>2.2.1.4</w:t>
      </w:r>
      <w:r>
        <w:rPr>
          <w:rFonts w:hint="eastAsia" w:ascii="仿宋" w:eastAsia="仿宋" w:cs="Times New Roman"/>
          <w:color w:val="auto"/>
          <w:kern w:val="0"/>
          <w:sz w:val="24"/>
        </w:rPr>
        <w:t>按照《绍兴市区2021年病媒生物防制工作计划》要求，在4月和11月进行两次春、秋两季灭鼠投药， 5～11月进行7个月的灭蚊蝇消杀，每月不少于两次，6月、8月进行两次灭蟑螂投药；12月至次年3月开展两次越冬蚊消杀;同时对已安装室外灭蚊灯的区域，做好日常的维护和管理。</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b w:val="0"/>
          <w:color w:val="auto"/>
          <w:kern w:val="0"/>
          <w:sz w:val="24"/>
        </w:rPr>
        <w:t>2.2.1.5</w:t>
      </w:r>
      <w:r>
        <w:rPr>
          <w:rFonts w:hint="eastAsia" w:ascii="仿宋" w:eastAsia="仿宋" w:cs="Times New Roman"/>
          <w:color w:val="auto"/>
          <w:kern w:val="0"/>
          <w:sz w:val="24"/>
        </w:rPr>
        <w:t>2021年至2022年度病媒生物控制C级评估等各项检查工作中不失责任分。如因病媒生物防制原因导致上级检查未通过的，扣除半年合同价款。</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b w:val="0"/>
          <w:bCs w:val="0"/>
          <w:color w:val="auto"/>
          <w:kern w:val="0"/>
          <w:sz w:val="24"/>
        </w:rPr>
        <w:t>2.2.1.6</w:t>
      </w:r>
      <w:r>
        <w:rPr>
          <w:rFonts w:hint="eastAsia" w:ascii="仿宋" w:eastAsia="仿宋" w:cs="Times New Roman"/>
          <w:color w:val="auto"/>
          <w:kern w:val="0"/>
          <w:sz w:val="24"/>
        </w:rPr>
        <w:t xml:space="preserve"> 每月登革热布雷图指数控制在20以下。</w:t>
      </w:r>
    </w:p>
    <w:p>
      <w:pPr>
        <w:widowControl/>
        <w:snapToGrid w:val="0"/>
        <w:spacing w:line="480" w:lineRule="exact"/>
        <w:ind w:firstLine="0"/>
        <w:jc w:val="left"/>
        <w:rPr>
          <w:rFonts w:hint="eastAsia" w:ascii="仿宋" w:eastAsia="仿宋"/>
          <w:b w:val="0"/>
          <w:color w:val="auto"/>
          <w:kern w:val="0"/>
          <w:sz w:val="24"/>
        </w:rPr>
      </w:pPr>
      <w:r>
        <w:rPr>
          <w:rFonts w:hint="eastAsia" w:ascii="仿宋" w:eastAsia="仿宋"/>
          <w:b w:val="0"/>
          <w:color w:val="auto"/>
          <w:kern w:val="0"/>
          <w:sz w:val="24"/>
        </w:rPr>
        <w:t>2.2.1.7 现场消杀质量要求</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rPr>
        <w:t>①中标公司需提供公共外环境除四害实施方案、技术方案并每月到街道报到一次，向街道分管人员汇报工作动态。</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rPr>
        <w:t>②中标公司的消杀人员每次消杀均需做好消杀记录，并由当地社区、村工作人员或居民代表签字确认，一式三份并提交给服务街道、消杀村社区各一份。</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rPr>
        <w:t>③做好服务街道的四害密度监测工作，并每月向市、区、街道爱卫办提交每月密度监测报表、当月四害消杀情况小结及下月工作安排。每次向街道爱卫办报送消杀工作计划表，并在消杀后报送消杀情况。</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rPr>
        <w:t>④中标公司所使用除四害药物须符合国家规定要求，禁止使用无农药登记证或者农药临时登记证、无农药生产许可证或者农药生产批准文件、无产品质量标准和产品质量合格证以及检验合格证的防制药品。</w:t>
      </w:r>
    </w:p>
    <w:p>
      <w:pPr>
        <w:widowControl/>
        <w:snapToGrid w:val="0"/>
        <w:spacing w:line="480" w:lineRule="exact"/>
        <w:ind w:firstLine="0"/>
        <w:jc w:val="left"/>
        <w:rPr>
          <w:rFonts w:hint="eastAsia" w:ascii="仿宋" w:eastAsia="仿宋"/>
          <w:b w:val="0"/>
          <w:color w:val="auto"/>
          <w:kern w:val="0"/>
          <w:sz w:val="24"/>
        </w:rPr>
      </w:pPr>
      <w:r>
        <w:rPr>
          <w:rFonts w:hint="eastAsia" w:ascii="仿宋" w:eastAsia="仿宋"/>
          <w:b w:val="0"/>
          <w:color w:val="auto"/>
          <w:kern w:val="0"/>
          <w:sz w:val="24"/>
        </w:rPr>
        <w:t>2.2.1.8灭蚊要求</w:t>
      </w:r>
    </w:p>
    <w:p>
      <w:pPr>
        <w:widowControl/>
        <w:snapToGrid w:val="0"/>
        <w:spacing w:line="480" w:lineRule="exact"/>
        <w:ind w:firstLine="0" w:firstLineChars="0"/>
        <w:jc w:val="left"/>
        <w:rPr>
          <w:rFonts w:hint="eastAsia" w:ascii="仿宋" w:eastAsia="仿宋" w:cs="Times New Roman"/>
          <w:b w:val="0"/>
          <w:bCs w:val="0"/>
          <w:color w:val="auto"/>
          <w:kern w:val="0"/>
          <w:sz w:val="24"/>
        </w:rPr>
      </w:pPr>
      <w:r>
        <w:rPr>
          <w:rFonts w:hint="eastAsia" w:ascii="仿宋" w:eastAsia="仿宋" w:cs="Times New Roman"/>
          <w:b w:val="0"/>
          <w:bCs w:val="0"/>
          <w:color w:val="auto"/>
          <w:kern w:val="0"/>
          <w:sz w:val="24"/>
        </w:rPr>
        <w:t>2.2.1.8.1现场要求</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rPr>
        <w:t>2.2.1.8.1.1突出人居环境的整洁卫生，摸清、掌握蚊类孳生地基本情况，建档率达100%；清除孳生场所，包括各类积水容器，孳生地清除覆盖率95%以上。</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rPr>
        <w:t>2.2.1.8.1.2成蚊检查。采用人诱法检查公园、河道、绿化带、废品、轮胎、缸罐存放处、建筑工地、城郊结合部等室外场所和半开放式场所。特殊场所白天人诱蚊30分钟，平均每人次诱获成蚊数不超过1只。</w:t>
      </w:r>
    </w:p>
    <w:p>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2.2.1.8.2指标要求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2.2.1.8.2.1布雷图指数监测。无登革热疫情时，布雷图指数小于20；出现登革热疫情时，布雷图指数小于5。</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布雷图指数（BI）计算公式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2521585" cy="673100"/>
            <wp:effectExtent l="0" t="0" r="1206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lum/>
                    </a:blip>
                    <a:stretch>
                      <a:fillRect/>
                    </a:stretch>
                  </pic:blipFill>
                  <pic:spPr>
                    <a:xfrm>
                      <a:off x="0" y="0"/>
                      <a:ext cx="2521585" cy="673100"/>
                    </a:xfrm>
                    <a:prstGeom prst="rect">
                      <a:avLst/>
                    </a:prstGeom>
                    <a:noFill/>
                    <a:ln>
                      <a:noFill/>
                    </a:ln>
                  </pic:spPr>
                </pic:pic>
              </a:graphicData>
            </a:graphic>
          </wp:inline>
        </w:drawing>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2.2.1.5.2.2房屋指数、容器指数的调查监测。房屋指数和容器指数控制在10以下。</w:t>
      </w:r>
    </w:p>
    <w:p>
      <w:pPr>
        <w:spacing w:line="200" w:lineRule="exact"/>
        <w:ind w:firstLine="2040" w:firstLineChars="850"/>
        <w:rPr>
          <w:rFonts w:hint="eastAsia" w:ascii="仿宋" w:hAnsi="仿宋" w:eastAsia="仿宋" w:cs="仿宋"/>
          <w:sz w:val="24"/>
          <w:szCs w:val="24"/>
        </w:rPr>
      </w:pPr>
      <w:r>
        <w:rPr>
          <w:rFonts w:hint="eastAsia" w:ascii="仿宋" w:hAnsi="仿宋" w:eastAsia="仿宋" w:cs="仿宋"/>
          <w:sz w:val="24"/>
          <w:szCs w:val="24"/>
        </w:rPr>
        <w:t>阳性户数</w:t>
      </w:r>
    </w:p>
    <w:p>
      <w:pPr>
        <w:spacing w:line="2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房屋指数=  -------------  X 100  </w:t>
      </w:r>
    </w:p>
    <w:p>
      <w:pPr>
        <w:spacing w:line="200" w:lineRule="exact"/>
        <w:ind w:firstLine="2040" w:firstLineChars="850"/>
        <w:rPr>
          <w:rFonts w:hint="eastAsia" w:ascii="仿宋" w:hAnsi="仿宋" w:eastAsia="仿宋" w:cs="仿宋"/>
          <w:sz w:val="24"/>
          <w:szCs w:val="24"/>
        </w:rPr>
      </w:pPr>
      <w:r>
        <w:rPr>
          <w:rFonts w:hint="eastAsia" w:ascii="仿宋" w:hAnsi="仿宋" w:eastAsia="仿宋" w:cs="仿宋"/>
          <w:sz w:val="24"/>
          <w:szCs w:val="24"/>
        </w:rPr>
        <w:t>调查户数</w:t>
      </w:r>
    </w:p>
    <w:p>
      <w:pPr>
        <w:spacing w:line="200" w:lineRule="exact"/>
        <w:ind w:firstLine="2040" w:firstLineChars="850"/>
        <w:rPr>
          <w:rFonts w:hint="eastAsia" w:ascii="仿宋" w:hAnsi="仿宋" w:eastAsia="仿宋" w:cs="仿宋"/>
          <w:sz w:val="24"/>
          <w:szCs w:val="24"/>
        </w:rPr>
      </w:pPr>
    </w:p>
    <w:p>
      <w:pPr>
        <w:spacing w:line="200" w:lineRule="exact"/>
        <w:ind w:firstLine="2040" w:firstLineChars="850"/>
        <w:rPr>
          <w:rFonts w:hint="eastAsia" w:ascii="仿宋" w:hAnsi="仿宋" w:eastAsia="仿宋" w:cs="仿宋"/>
          <w:sz w:val="24"/>
          <w:szCs w:val="24"/>
        </w:rPr>
      </w:pPr>
    </w:p>
    <w:p>
      <w:pPr>
        <w:spacing w:line="300" w:lineRule="exact"/>
        <w:ind w:firstLine="1920" w:firstLineChars="800"/>
        <w:rPr>
          <w:rFonts w:hint="eastAsia" w:ascii="仿宋" w:hAnsi="仿宋" w:eastAsia="仿宋" w:cs="仿宋"/>
          <w:sz w:val="24"/>
          <w:szCs w:val="24"/>
        </w:rPr>
      </w:pPr>
      <w:r>
        <w:rPr>
          <w:rFonts w:hint="eastAsia" w:ascii="仿宋" w:hAnsi="仿宋" w:eastAsia="仿宋" w:cs="仿宋"/>
          <w:sz w:val="24"/>
          <w:szCs w:val="24"/>
        </w:rPr>
        <w:t>阳性容器数</w:t>
      </w:r>
    </w:p>
    <w:p>
      <w:pPr>
        <w:spacing w:line="2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容器指数=  --------------  X 100 </w:t>
      </w:r>
    </w:p>
    <w:p>
      <w:pPr>
        <w:spacing w:line="200" w:lineRule="exact"/>
        <w:ind w:firstLine="1920" w:firstLineChars="800"/>
        <w:rPr>
          <w:rFonts w:hint="eastAsia" w:ascii="仿宋" w:hAnsi="仿宋" w:eastAsia="仿宋" w:cs="仿宋"/>
          <w:sz w:val="24"/>
          <w:szCs w:val="24"/>
        </w:rPr>
      </w:pPr>
      <w:r>
        <w:rPr>
          <w:rFonts w:hint="eastAsia" w:ascii="仿宋" w:hAnsi="仿宋" w:eastAsia="仿宋" w:cs="仿宋"/>
          <w:sz w:val="24"/>
          <w:szCs w:val="24"/>
        </w:rPr>
        <w:t>调查容器数</w:t>
      </w:r>
    </w:p>
    <w:p>
      <w:pPr>
        <w:widowControl/>
        <w:snapToGrid w:val="0"/>
        <w:spacing w:line="480" w:lineRule="exact"/>
        <w:ind w:firstLine="0" w:firstLineChars="0"/>
        <w:jc w:val="left"/>
        <w:rPr>
          <w:rFonts w:hint="eastAsia" w:ascii="仿宋" w:eastAsia="仿宋" w:cs="Times New Roman"/>
          <w:b w:val="0"/>
          <w:bCs w:val="0"/>
          <w:color w:val="auto"/>
          <w:kern w:val="0"/>
          <w:sz w:val="24"/>
        </w:rPr>
      </w:pPr>
      <w:r>
        <w:rPr>
          <w:rFonts w:hint="eastAsia" w:ascii="仿宋" w:eastAsia="仿宋" w:cs="Times New Roman"/>
          <w:b w:val="0"/>
          <w:bCs w:val="0"/>
          <w:color w:val="auto"/>
          <w:kern w:val="0"/>
          <w:sz w:val="24"/>
        </w:rPr>
        <w:t>2.2.1.8.3积水处理要求</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b w:val="0"/>
          <w:bCs w:val="0"/>
          <w:color w:val="auto"/>
          <w:kern w:val="0"/>
          <w:sz w:val="24"/>
        </w:rPr>
        <w:t>2.2.1.8.3.1</w:t>
      </w:r>
      <w:r>
        <w:rPr>
          <w:rFonts w:hint="eastAsia" w:ascii="仿宋" w:eastAsia="仿宋" w:cs="Times New Roman"/>
          <w:color w:val="auto"/>
          <w:kern w:val="0"/>
          <w:sz w:val="24"/>
        </w:rPr>
        <w:t>中标公司应在签约后协助作业范围内的社区、村每月进行三次积水清理工作（若进入登革热高发期，可根据实际增加积水清理次数），并附积水处理确认单由社区、村签字确认，每月月底上报街道。</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b w:val="0"/>
          <w:bCs w:val="0"/>
          <w:color w:val="auto"/>
          <w:kern w:val="0"/>
          <w:sz w:val="24"/>
        </w:rPr>
        <w:t>2.2.1.8.3.2</w:t>
      </w:r>
      <w:r>
        <w:rPr>
          <w:rFonts w:hint="eastAsia" w:ascii="仿宋" w:eastAsia="仿宋" w:cs="Times New Roman"/>
          <w:color w:val="auto"/>
          <w:kern w:val="0"/>
          <w:sz w:val="24"/>
        </w:rPr>
        <w:t>中标公司协助作业范围内的社区、村做好缸、罐、桶、盆、瓶、轮胎、植物养植容器等积水容器的倒置、倾倒工作；如征得居民同意，直接搬运、砸破并清运干净。遇荷花缸、水培植物容器或居民实在不同意处理的，作投放药物处理。</w:t>
      </w:r>
    </w:p>
    <w:p>
      <w:pPr>
        <w:widowControl/>
        <w:snapToGrid w:val="0"/>
        <w:spacing w:line="480" w:lineRule="exact"/>
        <w:ind w:firstLine="0" w:firstLineChars="0"/>
        <w:jc w:val="left"/>
        <w:rPr>
          <w:rFonts w:hint="eastAsia" w:ascii="仿宋" w:eastAsia="仿宋" w:cs="Times New Roman"/>
          <w:b w:val="0"/>
          <w:bCs w:val="0"/>
          <w:color w:val="auto"/>
          <w:kern w:val="0"/>
          <w:sz w:val="24"/>
        </w:rPr>
      </w:pPr>
      <w:r>
        <w:rPr>
          <w:rFonts w:hint="eastAsia" w:ascii="仿宋" w:eastAsia="仿宋" w:cs="Times New Roman"/>
          <w:b w:val="0"/>
          <w:bCs w:val="0"/>
          <w:color w:val="auto"/>
          <w:kern w:val="0"/>
          <w:sz w:val="24"/>
        </w:rPr>
        <w:t>2.2.1.8.3.3</w:t>
      </w:r>
      <w:r>
        <w:rPr>
          <w:rFonts w:hint="eastAsia" w:ascii="仿宋" w:eastAsia="仿宋" w:cs="Times New Roman"/>
          <w:color w:val="auto"/>
          <w:kern w:val="0"/>
          <w:sz w:val="24"/>
        </w:rPr>
        <w:t>中标公司在作业期间，应落实好人员，备好交通工具和清运车辆协助作业范围内的社区、村做好废弃容器清运工作，招标方不再提供其他费用。中标公司在作业期间，要落实好安全防范措施，如出现交通事故或工作中出现一切安全事故，由中标公司承担，均与招标方无涉。</w:t>
      </w:r>
    </w:p>
    <w:p>
      <w:pPr>
        <w:widowControl/>
        <w:snapToGrid w:val="0"/>
        <w:spacing w:line="480" w:lineRule="exact"/>
        <w:ind w:firstLine="0"/>
        <w:jc w:val="left"/>
        <w:rPr>
          <w:rFonts w:hint="eastAsia" w:ascii="仿宋" w:eastAsia="仿宋" w:cs="Times New Roman"/>
          <w:b w:val="0"/>
          <w:bCs w:val="0"/>
          <w:color w:val="auto"/>
          <w:kern w:val="0"/>
          <w:sz w:val="24"/>
        </w:rPr>
      </w:pPr>
      <w:r>
        <w:rPr>
          <w:rFonts w:hint="eastAsia" w:ascii="仿宋" w:eastAsia="仿宋" w:cs="Times New Roman"/>
          <w:b w:val="0"/>
          <w:bCs w:val="0"/>
          <w:color w:val="auto"/>
          <w:kern w:val="0"/>
          <w:sz w:val="24"/>
        </w:rPr>
        <w:t>2.2.1.8.4考核要求</w:t>
      </w:r>
    </w:p>
    <w:p>
      <w:pPr>
        <w:widowControl/>
        <w:snapToGrid w:val="0"/>
        <w:spacing w:line="480" w:lineRule="exact"/>
        <w:ind w:firstLine="0" w:firstLineChars="0"/>
        <w:jc w:val="left"/>
        <w:rPr>
          <w:rFonts w:hint="eastAsia" w:ascii="仿宋" w:eastAsia="仿宋" w:cs="Times New Roman"/>
          <w:color w:val="auto"/>
          <w:kern w:val="0"/>
          <w:sz w:val="24"/>
        </w:rPr>
      </w:pPr>
      <w:r>
        <w:rPr>
          <w:rFonts w:hint="eastAsia" w:ascii="仿宋" w:eastAsia="仿宋" w:cs="Times New Roman"/>
          <w:color w:val="auto"/>
          <w:kern w:val="0"/>
          <w:sz w:val="24"/>
        </w:rPr>
        <w:t>招标方对中标公司工作质量情况进行抽查和区登防办登革热布雷图指数监测挂钩相结合。无论任何原因引起，区登防办每月对上述区域进行登革热布雷图指数监测时，在服务范围内登革热布雷图指数监测结果大于20的，每次视情扣款2500-3000元。</w:t>
      </w:r>
    </w:p>
    <w:p>
      <w:pPr>
        <w:widowControl/>
        <w:autoSpaceDE/>
        <w:autoSpaceDN/>
        <w:adjustRightInd/>
        <w:snapToGrid w:val="0"/>
        <w:spacing w:line="480" w:lineRule="exact"/>
        <w:ind w:firstLine="0" w:firstLineChars="0"/>
        <w:jc w:val="left"/>
        <w:rPr>
          <w:rFonts w:hint="eastAsia" w:ascii="仿宋" w:eastAsia="仿宋"/>
          <w:b w:val="0"/>
          <w:color w:val="auto"/>
          <w:kern w:val="0"/>
          <w:sz w:val="24"/>
        </w:rPr>
      </w:pPr>
      <w:r>
        <w:rPr>
          <w:rFonts w:hint="eastAsia" w:ascii="仿宋" w:eastAsia="仿宋"/>
          <w:b w:val="0"/>
          <w:color w:val="auto"/>
          <w:kern w:val="0"/>
          <w:sz w:val="24"/>
        </w:rPr>
        <w:t>2.3 服务承诺</w:t>
      </w:r>
    </w:p>
    <w:p>
      <w:pPr>
        <w:widowControl/>
        <w:snapToGrid w:val="0"/>
        <w:spacing w:line="480" w:lineRule="exact"/>
        <w:ind w:firstLine="0" w:firstLineChars="0"/>
        <w:jc w:val="left"/>
        <w:rPr>
          <w:rFonts w:hint="eastAsia" w:ascii="仿宋" w:eastAsia="仿宋"/>
          <w:color w:val="auto"/>
          <w:kern w:val="0"/>
          <w:sz w:val="24"/>
          <w:lang w:val="zh-CN"/>
        </w:rPr>
      </w:pPr>
      <w:r>
        <w:rPr>
          <w:rFonts w:hint="eastAsia" w:ascii="仿宋" w:eastAsia="仿宋"/>
          <w:color w:val="auto"/>
          <w:kern w:val="0"/>
          <w:sz w:val="24"/>
          <w:lang w:val="zh-CN"/>
        </w:rPr>
        <w:t>2.3.1 保证履行招标文件中规定的各项协议条款；</w:t>
      </w:r>
    </w:p>
    <w:p>
      <w:pPr>
        <w:widowControl/>
        <w:snapToGrid w:val="0"/>
        <w:spacing w:line="480" w:lineRule="exact"/>
        <w:ind w:left="0" w:leftChars="0" w:firstLine="0" w:firstLineChars="0"/>
        <w:jc w:val="left"/>
        <w:rPr>
          <w:rFonts w:hint="eastAsia" w:ascii="仿宋" w:eastAsia="仿宋"/>
          <w:color w:val="auto"/>
          <w:kern w:val="0"/>
          <w:sz w:val="24"/>
          <w:lang w:val="zh-CN"/>
        </w:rPr>
      </w:pPr>
      <w:r>
        <w:rPr>
          <w:rFonts w:hint="eastAsia" w:ascii="仿宋" w:eastAsia="仿宋"/>
          <w:color w:val="auto"/>
          <w:kern w:val="0"/>
          <w:sz w:val="24"/>
          <w:lang w:val="zh-CN"/>
        </w:rPr>
        <w:t>2.3.2 确保病媒生物（鼠、蚊、蝇、蟑螂）</w:t>
      </w:r>
      <w:r>
        <w:rPr>
          <w:rFonts w:hint="eastAsia" w:ascii="仿宋" w:eastAsia="仿宋"/>
          <w:color w:val="auto"/>
          <w:kern w:val="0"/>
          <w:sz w:val="24"/>
        </w:rPr>
        <w:t>密度</w:t>
      </w:r>
      <w:r>
        <w:rPr>
          <w:rFonts w:hint="eastAsia" w:ascii="仿宋" w:eastAsia="仿宋"/>
          <w:color w:val="auto"/>
          <w:kern w:val="0"/>
          <w:sz w:val="24"/>
          <w:lang w:val="zh-CN"/>
        </w:rPr>
        <w:t>达到</w:t>
      </w:r>
      <w:r>
        <w:rPr>
          <w:rFonts w:hint="eastAsia" w:ascii="仿宋" w:eastAsia="仿宋"/>
          <w:color w:val="auto"/>
          <w:kern w:val="0"/>
          <w:sz w:val="24"/>
        </w:rPr>
        <w:t>国家病媒生物密度控制C级标准；</w:t>
      </w:r>
    </w:p>
    <w:p>
      <w:pPr>
        <w:widowControl/>
        <w:snapToGrid w:val="0"/>
        <w:spacing w:line="480" w:lineRule="exact"/>
        <w:ind w:left="0" w:leftChars="0" w:firstLine="0" w:firstLineChars="0"/>
        <w:jc w:val="left"/>
        <w:rPr>
          <w:rFonts w:hint="eastAsia" w:ascii="仿宋" w:eastAsia="仿宋"/>
          <w:color w:val="auto"/>
          <w:kern w:val="0"/>
          <w:sz w:val="24"/>
          <w:lang w:val="zh-CN"/>
        </w:rPr>
      </w:pPr>
      <w:r>
        <w:rPr>
          <w:rFonts w:hint="eastAsia" w:ascii="仿宋" w:eastAsia="仿宋"/>
          <w:color w:val="auto"/>
          <w:kern w:val="0"/>
          <w:sz w:val="24"/>
          <w:lang w:val="zh-CN"/>
        </w:rPr>
        <w:t>2.3.3 中标签约后7天内上报驻地消杀人员和负责人具体名单、联系电话及除害设施设置地点平面图等资料；</w:t>
      </w:r>
    </w:p>
    <w:p>
      <w:pPr>
        <w:widowControl/>
        <w:snapToGrid w:val="0"/>
        <w:spacing w:line="480" w:lineRule="exact"/>
        <w:ind w:left="0" w:leftChars="0" w:firstLine="0" w:firstLineChars="0"/>
        <w:jc w:val="left"/>
        <w:rPr>
          <w:rFonts w:hint="eastAsia" w:ascii="仿宋" w:eastAsia="仿宋"/>
          <w:color w:val="auto"/>
          <w:kern w:val="0"/>
          <w:sz w:val="24"/>
          <w:lang w:val="zh-CN"/>
        </w:rPr>
      </w:pPr>
      <w:r>
        <w:rPr>
          <w:rFonts w:hint="eastAsia" w:ascii="仿宋" w:eastAsia="仿宋"/>
          <w:color w:val="auto"/>
          <w:kern w:val="0"/>
          <w:sz w:val="24"/>
          <w:lang w:val="zh-CN"/>
        </w:rPr>
        <w:t>2.3.4 消杀人员按申报工作计划的到岗率、消杀到位率：100%。</w:t>
      </w:r>
    </w:p>
    <w:p>
      <w:pPr>
        <w:widowControl/>
        <w:snapToGrid w:val="0"/>
        <w:spacing w:line="480" w:lineRule="exact"/>
        <w:ind w:left="0" w:leftChars="0" w:firstLine="0" w:firstLineChars="0"/>
        <w:jc w:val="left"/>
        <w:rPr>
          <w:rFonts w:hint="eastAsia" w:ascii="仿宋" w:eastAsia="仿宋"/>
          <w:color w:val="auto"/>
          <w:kern w:val="0"/>
          <w:sz w:val="24"/>
          <w:lang w:val="zh-CN"/>
        </w:rPr>
      </w:pPr>
      <w:r>
        <w:rPr>
          <w:rFonts w:hint="eastAsia" w:ascii="仿宋" w:eastAsia="仿宋"/>
          <w:color w:val="auto"/>
          <w:kern w:val="0"/>
          <w:sz w:val="24"/>
          <w:lang w:val="zh-CN"/>
        </w:rPr>
        <w:t>2.3.5 不使用国家禁用的药物，将使用药物记录备案备查；</w:t>
      </w:r>
    </w:p>
    <w:p>
      <w:pPr>
        <w:widowControl/>
        <w:snapToGrid w:val="0"/>
        <w:spacing w:line="480" w:lineRule="exact"/>
        <w:ind w:left="0" w:leftChars="0" w:firstLine="0" w:firstLineChars="0"/>
        <w:jc w:val="left"/>
        <w:rPr>
          <w:rFonts w:hint="eastAsia" w:ascii="仿宋" w:eastAsia="仿宋"/>
          <w:color w:val="auto"/>
          <w:kern w:val="0"/>
          <w:sz w:val="24"/>
          <w:lang w:val="zh-CN"/>
        </w:rPr>
      </w:pPr>
      <w:r>
        <w:rPr>
          <w:rFonts w:hint="eastAsia" w:ascii="仿宋" w:eastAsia="仿宋"/>
          <w:color w:val="auto"/>
          <w:kern w:val="0"/>
          <w:sz w:val="24"/>
          <w:lang w:val="zh-CN"/>
        </w:rPr>
        <w:t>2.3.6 按计划开展除四害健康教育宣传，并提供相应活动资料；</w:t>
      </w:r>
    </w:p>
    <w:p>
      <w:pPr>
        <w:widowControl/>
        <w:snapToGrid w:val="0"/>
        <w:spacing w:line="480" w:lineRule="exact"/>
        <w:ind w:left="0" w:leftChars="0" w:firstLine="0" w:firstLineChars="0"/>
        <w:jc w:val="left"/>
        <w:rPr>
          <w:rFonts w:hint="eastAsia" w:ascii="仿宋" w:eastAsia="仿宋"/>
          <w:color w:val="auto"/>
          <w:kern w:val="0"/>
          <w:sz w:val="24"/>
          <w:lang w:val="zh-CN"/>
        </w:rPr>
      </w:pPr>
      <w:r>
        <w:rPr>
          <w:rFonts w:hint="eastAsia" w:ascii="仿宋" w:eastAsia="仿宋"/>
          <w:color w:val="auto"/>
          <w:kern w:val="0"/>
          <w:sz w:val="24"/>
          <w:lang w:val="zh-CN"/>
        </w:rPr>
        <w:t>2.3.7 对项目区域的病媒生物（鼠、蚊、蝇、蟑螂）密度监测进行自查自测；</w:t>
      </w:r>
    </w:p>
    <w:p>
      <w:pPr>
        <w:widowControl/>
        <w:snapToGrid w:val="0"/>
        <w:spacing w:line="480" w:lineRule="exact"/>
        <w:ind w:left="0" w:leftChars="0" w:firstLine="0" w:firstLineChars="0"/>
        <w:jc w:val="left"/>
        <w:rPr>
          <w:rFonts w:hint="eastAsia" w:ascii="仿宋" w:eastAsia="仿宋"/>
          <w:color w:val="auto"/>
          <w:kern w:val="0"/>
          <w:sz w:val="24"/>
          <w:lang w:val="zh-CN"/>
        </w:rPr>
      </w:pPr>
      <w:r>
        <w:rPr>
          <w:rFonts w:hint="eastAsia" w:ascii="仿宋" w:eastAsia="仿宋"/>
          <w:color w:val="auto"/>
          <w:kern w:val="0"/>
          <w:sz w:val="24"/>
          <w:lang w:val="zh-CN"/>
        </w:rPr>
        <w:t>2.3.8 根据爱卫办的统一部署开展专项性消杀活动，按采购人的要求自行配备统一的药物进行消杀；</w:t>
      </w:r>
    </w:p>
    <w:p>
      <w:pPr>
        <w:widowControl/>
        <w:autoSpaceDE/>
        <w:autoSpaceDN/>
        <w:adjustRightInd/>
        <w:snapToGrid w:val="0"/>
        <w:spacing w:line="480" w:lineRule="exact"/>
        <w:ind w:firstLine="0" w:firstLineChars="0"/>
        <w:jc w:val="left"/>
        <w:rPr>
          <w:rFonts w:hint="eastAsia" w:ascii="仿宋" w:eastAsia="仿宋"/>
          <w:color w:val="auto"/>
          <w:kern w:val="0"/>
          <w:sz w:val="24"/>
        </w:rPr>
      </w:pPr>
      <w:r>
        <w:rPr>
          <w:rFonts w:hint="eastAsia" w:ascii="仿宋" w:eastAsia="仿宋"/>
          <w:color w:val="auto"/>
          <w:kern w:val="0"/>
          <w:sz w:val="24"/>
          <w:lang w:val="zh-CN"/>
        </w:rPr>
        <w:t xml:space="preserve">2.3.9 </w:t>
      </w:r>
      <w:r>
        <w:rPr>
          <w:rFonts w:hint="eastAsia" w:ascii="仿宋" w:eastAsia="仿宋"/>
          <w:color w:val="auto"/>
          <w:kern w:val="0"/>
          <w:sz w:val="24"/>
        </w:rPr>
        <w:t>遇招标方有突出任务和公益性等任务时，无条件配合招标方做好工作，招标方将不支付其他费用。</w:t>
      </w:r>
    </w:p>
    <w:p>
      <w:pPr>
        <w:widowControl/>
        <w:autoSpaceDE/>
        <w:autoSpaceDN/>
        <w:adjustRightInd/>
        <w:snapToGrid w:val="0"/>
        <w:spacing w:line="480" w:lineRule="exact"/>
        <w:ind w:firstLine="0" w:firstLineChars="0"/>
        <w:jc w:val="left"/>
        <w:rPr>
          <w:rFonts w:hint="eastAsia" w:ascii="仿宋" w:eastAsia="仿宋"/>
          <w:b w:val="0"/>
          <w:color w:val="auto"/>
          <w:kern w:val="0"/>
          <w:sz w:val="24"/>
          <w:szCs w:val="20"/>
        </w:rPr>
      </w:pPr>
      <w:r>
        <w:rPr>
          <w:rFonts w:hint="eastAsia" w:ascii="仿宋" w:eastAsia="仿宋"/>
          <w:b w:val="0"/>
          <w:color w:val="auto"/>
          <w:kern w:val="0"/>
          <w:sz w:val="24"/>
        </w:rPr>
        <w:t>2.4  其他责任</w:t>
      </w:r>
    </w:p>
    <w:p>
      <w:pPr>
        <w:widowControl/>
        <w:snapToGrid w:val="0"/>
        <w:spacing w:line="480" w:lineRule="exact"/>
        <w:ind w:firstLine="0" w:firstLineChars="0"/>
        <w:jc w:val="left"/>
        <w:rPr>
          <w:rFonts w:hint="eastAsia" w:ascii="仿宋" w:eastAsia="仿宋"/>
          <w:color w:val="auto"/>
          <w:kern w:val="0"/>
          <w:sz w:val="24"/>
        </w:rPr>
      </w:pPr>
      <w:r>
        <w:rPr>
          <w:rFonts w:hint="eastAsia" w:ascii="仿宋" w:eastAsia="仿宋"/>
          <w:color w:val="auto"/>
          <w:kern w:val="0"/>
          <w:sz w:val="24"/>
        </w:rPr>
        <w:t>2.4.1  中标公司必须遵守劳动法相关规定，与每位员工签订劳动合同，出现劳动纠纷事件一律与采购人无关，并加强对员工的培训、教育，爱护公共财物，确保安全工作，杜绝各类事故；</w:t>
      </w:r>
    </w:p>
    <w:p>
      <w:pPr>
        <w:widowControl/>
        <w:snapToGrid w:val="0"/>
        <w:spacing w:line="480" w:lineRule="exact"/>
        <w:ind w:firstLine="0" w:firstLineChars="0"/>
        <w:jc w:val="left"/>
        <w:rPr>
          <w:rFonts w:hint="eastAsia" w:ascii="仿宋" w:eastAsia="仿宋"/>
          <w:color w:val="auto"/>
          <w:kern w:val="0"/>
          <w:sz w:val="24"/>
        </w:rPr>
      </w:pPr>
      <w:r>
        <w:rPr>
          <w:rFonts w:hint="eastAsia" w:ascii="仿宋" w:eastAsia="仿宋"/>
          <w:color w:val="auto"/>
          <w:kern w:val="0"/>
          <w:sz w:val="24"/>
        </w:rPr>
        <w:t>2.4.2  中标公司工作人员的日常管理及人身安全和发生的安全事故等均由中标公司管理和承担，出现安全事件一律与采购人无关；</w:t>
      </w:r>
    </w:p>
    <w:p>
      <w:pPr>
        <w:widowControl/>
        <w:snapToGrid w:val="0"/>
        <w:spacing w:line="480" w:lineRule="exact"/>
        <w:ind w:firstLine="0" w:firstLineChars="0"/>
        <w:jc w:val="left"/>
        <w:rPr>
          <w:rFonts w:hint="eastAsia" w:ascii="仿宋" w:eastAsia="仿宋"/>
          <w:color w:val="auto"/>
          <w:kern w:val="0"/>
          <w:sz w:val="24"/>
        </w:rPr>
      </w:pPr>
      <w:r>
        <w:rPr>
          <w:rFonts w:hint="eastAsia" w:ascii="仿宋" w:eastAsia="仿宋"/>
          <w:color w:val="auto"/>
          <w:kern w:val="0"/>
          <w:sz w:val="24"/>
        </w:rPr>
        <w:t>2.4.3  中标公司应自觉接受、配合招标人的考核。</w:t>
      </w:r>
    </w:p>
    <w:p>
      <w:pPr>
        <w:widowControl/>
        <w:snapToGrid w:val="0"/>
        <w:spacing w:line="480" w:lineRule="exact"/>
        <w:jc w:val="left"/>
        <w:rPr>
          <w:rFonts w:hint="eastAsia" w:ascii="仿宋" w:eastAsia="仿宋"/>
          <w:color w:val="auto"/>
          <w:kern w:val="0"/>
          <w:sz w:val="24"/>
          <w:lang w:val="en-US" w:eastAsia="zh-CN"/>
        </w:rPr>
      </w:pPr>
    </w:p>
    <w:p>
      <w:pPr>
        <w:pStyle w:val="4"/>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42"/>
    </w:p>
    <w:p>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w:t>
      </w:r>
      <w:r>
        <w:rPr>
          <w:rFonts w:hint="eastAsia" w:ascii="仿宋" w:eastAsia="仿宋"/>
          <w:b/>
          <w:bCs/>
          <w:color w:val="000000"/>
          <w:kern w:val="0"/>
          <w:sz w:val="24"/>
          <w:lang w:val="en-US" w:eastAsia="zh-CN"/>
        </w:rPr>
        <w:t>2</w:t>
      </w:r>
      <w:r>
        <w:rPr>
          <w:rFonts w:hint="eastAsia" w:ascii="仿宋" w:eastAsia="仿宋"/>
          <w:b/>
          <w:bCs/>
          <w:color w:val="000000"/>
          <w:kern w:val="0"/>
          <w:sz w:val="24"/>
        </w:rPr>
        <w:t>.1服务期限</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病媒生物防制服务从合同签订之日起一年。</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项目服务到期后，甲方以上级部门委托的第三方病媒生物防制评估为考核依据，若乙方在本期项目服务评估中鉴湖街道成绩均在良好及以上 ，则允许予以续签合同一年。</w:t>
      </w:r>
    </w:p>
    <w:p>
      <w:pPr>
        <w:widowControl/>
        <w:snapToGrid w:val="0"/>
        <w:spacing w:line="480" w:lineRule="exact"/>
        <w:rPr>
          <w:rFonts w:hint="eastAsia" w:ascii="仿宋" w:eastAsia="仿宋"/>
          <w:b/>
          <w:bCs/>
          <w:color w:val="000000"/>
          <w:kern w:val="0"/>
          <w:sz w:val="24"/>
          <w:highlight w:val="none"/>
          <w:lang w:eastAsia="zh-CN"/>
        </w:rPr>
      </w:pPr>
      <w:r>
        <w:rPr>
          <w:rFonts w:hint="eastAsia" w:ascii="仿宋" w:eastAsia="仿宋"/>
          <w:b/>
          <w:bCs/>
          <w:color w:val="000000"/>
          <w:kern w:val="0"/>
          <w:sz w:val="24"/>
          <w:highlight w:val="none"/>
        </w:rPr>
        <w:t>2.2</w:t>
      </w:r>
      <w:r>
        <w:rPr>
          <w:rFonts w:hint="eastAsia" w:ascii="仿宋" w:eastAsia="仿宋"/>
          <w:b/>
          <w:bCs/>
          <w:color w:val="000000"/>
          <w:kern w:val="0"/>
          <w:sz w:val="24"/>
          <w:highlight w:val="none"/>
          <w:lang w:eastAsia="zh-CN"/>
        </w:rPr>
        <w:t>服务地点</w:t>
      </w:r>
    </w:p>
    <w:p>
      <w:pPr>
        <w:widowControl/>
        <w:snapToGrid w:val="0"/>
        <w:spacing w:line="480" w:lineRule="exact"/>
        <w:ind w:firstLine="480" w:firstLineChars="200"/>
        <w:rPr>
          <w:rFonts w:hint="eastAsia" w:ascii="仿宋" w:eastAsia="仿宋"/>
          <w:color w:val="000000"/>
          <w:kern w:val="0"/>
          <w:sz w:val="24"/>
          <w:highlight w:val="none"/>
          <w:lang w:eastAsia="zh-CN"/>
        </w:rPr>
      </w:pPr>
      <w:r>
        <w:rPr>
          <w:rFonts w:hint="eastAsia" w:ascii="仿宋" w:eastAsia="仿宋"/>
          <w:color w:val="000000"/>
          <w:kern w:val="0"/>
          <w:sz w:val="24"/>
          <w:highlight w:val="none"/>
          <w:lang w:eastAsia="zh-CN"/>
        </w:rPr>
        <w:t>绍兴市越城区。</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w:t>
      </w:r>
      <w:r>
        <w:rPr>
          <w:rFonts w:ascii="仿宋" w:eastAsia="仿宋"/>
          <w:b/>
          <w:bCs/>
          <w:color w:val="000000"/>
          <w:kern w:val="0"/>
          <w:sz w:val="24"/>
          <w:highlight w:val="none"/>
        </w:rPr>
        <w:t>3</w:t>
      </w:r>
      <w:r>
        <w:rPr>
          <w:rFonts w:hint="eastAsia" w:ascii="仿宋" w:eastAsia="仿宋"/>
          <w:b/>
          <w:bCs/>
          <w:color w:val="000000"/>
          <w:kern w:val="0"/>
          <w:sz w:val="24"/>
          <w:highlight w:val="none"/>
        </w:rPr>
        <w:t>验收</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验收按国家有关规范标准（</w:t>
      </w:r>
      <w:r>
        <w:rPr>
          <w:rFonts w:hint="eastAsia" w:ascii="仿宋" w:eastAsia="仿宋"/>
          <w:sz w:val="24"/>
          <w:highlight w:val="none"/>
        </w:rPr>
        <w:t>国家无验收规范标准的按双方合同规定的要求</w:t>
      </w:r>
      <w:r>
        <w:rPr>
          <w:rFonts w:hint="eastAsia" w:ascii="仿宋" w:eastAsia="仿宋"/>
          <w:color w:val="000000"/>
          <w:kern w:val="0"/>
          <w:sz w:val="24"/>
          <w:highlight w:val="none"/>
        </w:rPr>
        <w:t>）进行。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left="0"/>
        <w:rPr>
          <w:rFonts w:hint="eastAsia" w:ascii="仿宋" w:eastAsia="仿宋"/>
          <w:b/>
          <w:bCs/>
          <w:color w:val="000000"/>
          <w:kern w:val="0"/>
          <w:sz w:val="24"/>
          <w:u w:val="none"/>
        </w:rPr>
      </w:pPr>
      <w:r>
        <w:rPr>
          <w:rFonts w:hint="eastAsia" w:ascii="仿宋" w:eastAsia="仿宋"/>
          <w:b/>
          <w:bCs/>
          <w:color w:val="000000"/>
          <w:kern w:val="0"/>
          <w:sz w:val="24"/>
        </w:rPr>
        <w:t>★</w:t>
      </w:r>
      <w:r>
        <w:rPr>
          <w:rFonts w:hint="eastAsia" w:ascii="仿宋" w:eastAsia="仿宋"/>
          <w:b/>
          <w:bCs/>
          <w:color w:val="000000"/>
          <w:kern w:val="0"/>
          <w:sz w:val="24"/>
          <w:u w:val="none"/>
        </w:rPr>
        <w:t>2.</w:t>
      </w:r>
      <w:r>
        <w:rPr>
          <w:rFonts w:hint="eastAsia" w:ascii="仿宋" w:eastAsia="仿宋"/>
          <w:b/>
          <w:bCs/>
          <w:color w:val="000000"/>
          <w:kern w:val="0"/>
          <w:sz w:val="24"/>
          <w:u w:val="none"/>
          <w:lang w:val="en-US" w:eastAsia="zh-CN"/>
        </w:rPr>
        <w:t>4</w:t>
      </w:r>
      <w:r>
        <w:rPr>
          <w:rFonts w:hint="eastAsia" w:ascii="仿宋" w:eastAsia="仿宋"/>
          <w:b/>
          <w:bCs/>
          <w:color w:val="000000"/>
          <w:kern w:val="0"/>
          <w:sz w:val="24"/>
          <w:u w:val="none"/>
        </w:rPr>
        <w:t>付款方式</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根据浙财采监〔2022〕3号文、财政部《保障中小企业款项支付条例》的规定，采购人应当在合同签订生效且具备实施条件7个工作日内支付不少于</w:t>
      </w:r>
      <w:r>
        <w:rPr>
          <w:rFonts w:hint="eastAsia" w:ascii="仿宋" w:eastAsia="仿宋"/>
          <w:color w:val="000000"/>
          <w:kern w:val="0"/>
          <w:sz w:val="24"/>
          <w:u w:val="none"/>
          <w:lang w:val="en-US" w:eastAsia="zh-CN"/>
        </w:rPr>
        <w:t>5</w:t>
      </w:r>
      <w:r>
        <w:rPr>
          <w:rFonts w:hint="eastAsia" w:ascii="仿宋" w:eastAsia="仿宋"/>
          <w:color w:val="000000"/>
          <w:kern w:val="0"/>
          <w:sz w:val="24"/>
          <w:u w:val="none"/>
        </w:rPr>
        <w:t>0%的预付款</w:t>
      </w:r>
      <w:r>
        <w:rPr>
          <w:rFonts w:hint="eastAsia" w:ascii="仿宋" w:eastAsia="仿宋"/>
          <w:color w:val="000000"/>
          <w:kern w:val="0"/>
          <w:sz w:val="24"/>
          <w:highlight w:val="none"/>
        </w:rPr>
        <w:t>；</w:t>
      </w:r>
      <w:r>
        <w:rPr>
          <w:rFonts w:hint="eastAsia" w:ascii="仿宋" w:eastAsia="仿宋"/>
          <w:color w:val="000000"/>
          <w:kern w:val="0"/>
          <w:sz w:val="24"/>
          <w:u w:val="none"/>
          <w:lang w:eastAsia="zh-CN"/>
        </w:rPr>
        <w:t>服务</w:t>
      </w:r>
      <w:r>
        <w:rPr>
          <w:rFonts w:hint="eastAsia" w:ascii="仿宋" w:eastAsia="仿宋"/>
          <w:color w:val="000000"/>
          <w:kern w:val="0"/>
          <w:sz w:val="24"/>
          <w:u w:val="none"/>
        </w:rPr>
        <w:t>结束，经</w:t>
      </w:r>
      <w:r>
        <w:rPr>
          <w:rFonts w:hint="eastAsia" w:ascii="仿宋" w:eastAsia="仿宋"/>
          <w:color w:val="000000"/>
          <w:kern w:val="0"/>
          <w:sz w:val="24"/>
          <w:u w:val="none"/>
          <w:lang w:eastAsia="zh-CN"/>
        </w:rPr>
        <w:t>采购人确认</w:t>
      </w:r>
      <w:r>
        <w:rPr>
          <w:rFonts w:hint="eastAsia" w:ascii="仿宋" w:eastAsia="仿宋"/>
          <w:color w:val="000000"/>
          <w:kern w:val="0"/>
          <w:sz w:val="24"/>
          <w:u w:val="none"/>
        </w:rPr>
        <w:t>后一次性支付合同</w:t>
      </w:r>
      <w:r>
        <w:rPr>
          <w:rFonts w:hint="eastAsia" w:ascii="仿宋" w:eastAsia="仿宋"/>
          <w:color w:val="000000"/>
          <w:kern w:val="0"/>
          <w:sz w:val="24"/>
          <w:u w:val="none"/>
          <w:lang w:eastAsia="zh-CN"/>
        </w:rPr>
        <w:t>剩余</w:t>
      </w:r>
      <w:r>
        <w:rPr>
          <w:rFonts w:hint="eastAsia" w:ascii="仿宋" w:eastAsia="仿宋"/>
          <w:color w:val="000000"/>
          <w:kern w:val="0"/>
          <w:sz w:val="24"/>
          <w:u w:val="none"/>
        </w:rPr>
        <w:t>款项。</w:t>
      </w:r>
    </w:p>
    <w:p>
      <w:pPr>
        <w:widowControl/>
        <w:snapToGrid w:val="0"/>
        <w:spacing w:line="480" w:lineRule="exact"/>
        <w:ind w:firstLine="480" w:firstLineChars="200"/>
        <w:rPr>
          <w:rFonts w:hint="eastAsia" w:ascii="仿宋" w:eastAsia="仿宋"/>
          <w:b w:val="0"/>
          <w:bCs w:val="0"/>
          <w:color w:val="000000"/>
          <w:kern w:val="0"/>
          <w:sz w:val="24"/>
          <w:highlight w:val="none"/>
        </w:rPr>
      </w:pPr>
      <w:r>
        <w:rPr>
          <w:rFonts w:hint="eastAsia" w:ascii="仿宋" w:eastAsia="仿宋" w:cs="Times New Roman"/>
          <w:b w:val="0"/>
          <w:bCs w:val="0"/>
          <w:color w:val="000000"/>
          <w:kern w:val="0"/>
          <w:sz w:val="24"/>
          <w:highlight w:val="none"/>
        </w:rPr>
        <w:t>注：以上工程款的结算均需待越城区资金到位后结算。</w:t>
      </w:r>
    </w:p>
    <w:p>
      <w:pPr>
        <w:spacing w:line="480" w:lineRule="exact"/>
        <w:ind w:firstLine="480" w:firstLineChars="200"/>
        <w:rPr>
          <w:rFonts w:hint="eastAsia" w:ascii="仿宋" w:eastAsia="仿宋"/>
          <w:b w:val="0"/>
          <w:bCs w:val="0"/>
          <w:color w:val="000000"/>
          <w:kern w:val="0"/>
          <w:sz w:val="24"/>
          <w:szCs w:val="20"/>
          <w:highlight w:val="none"/>
        </w:rPr>
      </w:pPr>
      <w:r>
        <w:rPr>
          <w:rFonts w:hint="eastAsia" w:ascii="仿宋" w:eastAsia="仿宋"/>
          <w:b w:val="0"/>
          <w:bCs w:val="0"/>
          <w:color w:val="000000"/>
          <w:kern w:val="0"/>
          <w:sz w:val="24"/>
          <w:szCs w:val="20"/>
          <w:highlight w:val="none"/>
        </w:rPr>
        <w:t>2  违约责任</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2.1 需方有权随时对供方的实施情况进行检查，检查中发现供方未按实施方案、技术方案要求严格执行, 未达到质量要求的；</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2.2 经第三方监测机构评估及（或）上级部门的检查，消杀现场及四害密度控制未达到国家病媒生物密度控制标准或合同约定的标准要求的；</w:t>
      </w:r>
    </w:p>
    <w:p>
      <w:pPr>
        <w:widowControl/>
        <w:autoSpaceDE/>
        <w:autoSpaceDN/>
        <w:adjustRightInd/>
        <w:snapToGrid w:val="0"/>
        <w:spacing w:line="480" w:lineRule="exact"/>
        <w:ind w:firstLine="480" w:firstLineChars="200"/>
        <w:jc w:val="left"/>
        <w:rPr>
          <w:rFonts w:hint="eastAsia" w:ascii="仿宋" w:eastAsia="仿宋"/>
          <w:color w:val="000000"/>
          <w:kern w:val="0"/>
          <w:sz w:val="24"/>
          <w:highlight w:val="none"/>
          <w:lang w:val="zh-CN"/>
        </w:rPr>
      </w:pPr>
      <w:r>
        <w:rPr>
          <w:rFonts w:hint="eastAsia" w:ascii="仿宋" w:eastAsia="仿宋" w:cs="Times New Roman"/>
          <w:color w:val="000000"/>
          <w:kern w:val="0"/>
          <w:sz w:val="24"/>
          <w:highlight w:val="none"/>
        </w:rPr>
        <w:t>2.3 供方使用不合格药物或未</w:t>
      </w:r>
      <w:r>
        <w:rPr>
          <w:rFonts w:hint="eastAsia" w:ascii="仿宋" w:eastAsia="仿宋" w:cs="Times New Roman"/>
          <w:color w:val="000000"/>
          <w:kern w:val="0"/>
          <w:sz w:val="24"/>
          <w:highlight w:val="none"/>
          <w:lang w:val="zh-CN"/>
        </w:rPr>
        <w:t>将使用药物记录备案备查；</w:t>
      </w:r>
    </w:p>
    <w:p>
      <w:pPr>
        <w:widowControl/>
        <w:autoSpaceDE/>
        <w:autoSpaceDN/>
        <w:adjustRightInd/>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2.4 对需方的突出任务和公益性消杀等任务，配合不力的；</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2.5供方未按时提交合同约定或需方要求提供的资料的；</w:t>
      </w:r>
    </w:p>
    <w:p>
      <w:pPr>
        <w:widowControl/>
        <w:snapToGrid w:val="0"/>
        <w:spacing w:line="480" w:lineRule="exact"/>
        <w:ind w:firstLine="480" w:firstLineChars="200"/>
        <w:jc w:val="left"/>
        <w:rPr>
          <w:rFonts w:hint="eastAsia" w:ascii="仿宋" w:eastAsia="仿宋"/>
          <w:color w:val="000000"/>
          <w:kern w:val="0"/>
          <w:sz w:val="24"/>
          <w:highlight w:val="none"/>
          <w:lang w:val="zh-CN"/>
        </w:rPr>
      </w:pPr>
      <w:r>
        <w:rPr>
          <w:rFonts w:hint="eastAsia" w:ascii="仿宋" w:eastAsia="仿宋" w:cs="Times New Roman"/>
          <w:color w:val="000000"/>
          <w:kern w:val="0"/>
          <w:sz w:val="24"/>
          <w:highlight w:val="none"/>
        </w:rPr>
        <w:t>2.6需方随时抽查发现供方未达到</w:t>
      </w:r>
      <w:r>
        <w:rPr>
          <w:rFonts w:hint="eastAsia" w:ascii="仿宋" w:eastAsia="仿宋" w:cs="Times New Roman"/>
          <w:color w:val="000000"/>
          <w:kern w:val="0"/>
          <w:sz w:val="24"/>
          <w:highlight w:val="none"/>
          <w:lang w:val="zh-CN"/>
        </w:rPr>
        <w:t>申报工作计划的到岗率和消杀到位率的；</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2.7其他违反技术标准和服务承诺及供方应承担的责任和义务的行为；</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对供方违反上述第1、2、3、4条的行为，需方可即时提出警告、限期整改并可酌情扣减5%-10%合同价款作为供方应支付的违约金及赔偿金；合同价款在限期内整改合格后再予支付（扣除违约金及赔偿金）；若经警告后供方未在限期内整改或整改后仍未达标的，则供方支付的违约金及赔偿金加倍。若同一违约行为经2次警告后供方未在限期内整改或经2次整改后仍未达标或供方中途自行退出或需方确认供方不能实现合同目的, 需方可即时与供方解除合同，另选其它单位，供方的履约保证金不再退还，需方并可要求供方赔偿因此给需方造成的全部损失，损失无法计算的，按合同价款的50%支付。</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对供方的其他违约行为（包括但不限于不能提供药物采购凭证、没有上报工作计划和工作总结、不能按要求提供消杀记录、需方测定的群众满意率未到90%等），需方有权随时提出警告、要求供方限期整改并可酌情处以1000元/次的违约金；合同价款在限期内整改合格后再予支付（扣除违约金及赔偿金）；若同一违约行为经3次警告后供方未在限期内整改或经3次整改后仍未达标，需方可即时与供方解除合同，另选其它单位，供方的履约保证金不再退还，需方并可要求供方赔偿因此给需方造成的全部损失，损失无法计算的，按合同价款的50%支付</w:t>
      </w:r>
      <w:r>
        <w:rPr>
          <w:rFonts w:hint="eastAsia" w:ascii="仿宋" w:eastAsia="仿宋"/>
          <w:color w:val="000000"/>
          <w:kern w:val="0"/>
          <w:sz w:val="24"/>
          <w:highlight w:val="none"/>
        </w:rPr>
        <w:t>。</w:t>
      </w:r>
    </w:p>
    <w:p>
      <w:pPr>
        <w:pStyle w:val="35"/>
        <w:rPr>
          <w:rFonts w:hint="eastAsia"/>
        </w:rPr>
      </w:pPr>
    </w:p>
    <w:p>
      <w:pPr>
        <w:pStyle w:val="35"/>
        <w:rPr>
          <w:rFonts w:hint="eastAsia"/>
        </w:rPr>
      </w:pPr>
    </w:p>
    <w:p>
      <w:pPr>
        <w:widowControl/>
        <w:snapToGrid w:val="0"/>
        <w:spacing w:line="480" w:lineRule="exact"/>
        <w:ind w:firstLine="480" w:firstLineChars="200"/>
        <w:rPr>
          <w:rFonts w:hint="eastAsia" w:ascii="仿宋" w:eastAsia="仿宋"/>
          <w:color w:val="000000"/>
          <w:kern w:val="0"/>
          <w:sz w:val="24"/>
          <w:highlight w:val="none"/>
        </w:rPr>
      </w:pPr>
    </w:p>
    <w:p>
      <w:pPr>
        <w:pStyle w:val="3"/>
        <w:keepNext/>
        <w:keepLines/>
        <w:pageBreakBefore w:val="0"/>
        <w:widowControl w:val="0"/>
        <w:suppressLineNumbers w:val="0"/>
        <w:suppressAutoHyphens w:val="0"/>
        <w:spacing w:line="578" w:lineRule="auto"/>
        <w:jc w:val="center"/>
        <w:rPr>
          <w:rFonts w:hint="eastAsia" w:ascii="仿宋"/>
        </w:rPr>
      </w:pPr>
      <w:bookmarkStart w:id="43" w:name="_Toc14268"/>
      <w:r>
        <w:rPr>
          <w:rFonts w:hint="eastAsia" w:ascii="仿宋"/>
        </w:rPr>
        <w:t>第四章  拟签订合同的主要条款</w:t>
      </w:r>
      <w:bookmarkEnd w:id="43"/>
    </w:p>
    <w:p>
      <w:pPr>
        <w:widowControl/>
        <w:snapToGrid w:val="0"/>
        <w:spacing w:line="480" w:lineRule="exact"/>
        <w:ind w:firstLine="480" w:firstLineChars="200"/>
        <w:jc w:val="left"/>
        <w:rPr>
          <w:rFonts w:hint="eastAsia" w:ascii="仿宋" w:eastAsia="仿宋"/>
          <w:color w:val="000000"/>
          <w:kern w:val="0"/>
          <w:sz w:val="24"/>
          <w:highlight w:val="none"/>
          <w:u w:val="none"/>
        </w:rPr>
      </w:pPr>
      <w:r>
        <w:rPr>
          <w:rFonts w:hint="eastAsia" w:ascii="仿宋" w:eastAsia="仿宋"/>
          <w:color w:val="000000"/>
          <w:kern w:val="0"/>
          <w:sz w:val="24"/>
          <w:highlight w:val="none"/>
        </w:rPr>
        <w:t>合同编号：（202</w:t>
      </w:r>
      <w:r>
        <w:rPr>
          <w:rFonts w:hint="eastAsia" w:ascii="仿宋" w:eastAsia="仿宋"/>
          <w:color w:val="000000"/>
          <w:kern w:val="0"/>
          <w:sz w:val="24"/>
          <w:highlight w:val="none"/>
          <w:lang w:val="en-US" w:eastAsia="zh-CN"/>
        </w:rPr>
        <w:t>3</w:t>
      </w:r>
      <w:r>
        <w:rPr>
          <w:rFonts w:hint="eastAsia" w:ascii="仿宋" w:eastAsia="仿宋"/>
          <w:color w:val="000000"/>
          <w:kern w:val="0"/>
          <w:sz w:val="24"/>
          <w:highlight w:val="none"/>
        </w:rPr>
        <w:t>）第</w:t>
      </w:r>
      <w:r>
        <w:rPr>
          <w:rFonts w:hint="eastAsia" w:ascii="仿宋" w:eastAsia="仿宋"/>
          <w:color w:val="000000"/>
          <w:kern w:val="0"/>
          <w:sz w:val="24"/>
          <w:highlight w:val="none"/>
          <w:u w:val="none"/>
        </w:rPr>
        <w:t>　</w:t>
      </w:r>
      <w:r>
        <w:rPr>
          <w:rFonts w:hint="eastAsia" w:ascii="仿宋" w:eastAsia="仿宋"/>
          <w:color w:val="000000"/>
          <w:kern w:val="0"/>
          <w:sz w:val="24"/>
          <w:highlight w:val="none"/>
        </w:rPr>
        <w:t>号</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签订日期：202</w:t>
      </w:r>
      <w:r>
        <w:rPr>
          <w:rFonts w:hint="eastAsia" w:ascii="仿宋" w:eastAsia="仿宋"/>
          <w:color w:val="000000"/>
          <w:kern w:val="0"/>
          <w:sz w:val="24"/>
          <w:highlight w:val="none"/>
          <w:lang w:val="en-US" w:eastAsia="zh-CN"/>
        </w:rPr>
        <w:t>3</w:t>
      </w:r>
      <w:r>
        <w:rPr>
          <w:rFonts w:hint="eastAsia" w:ascii="仿宋" w:eastAsia="仿宋"/>
          <w:color w:val="000000"/>
          <w:kern w:val="0"/>
          <w:sz w:val="24"/>
          <w:highlight w:val="none"/>
        </w:rPr>
        <w:t>年</w:t>
      </w:r>
      <w:r>
        <w:rPr>
          <w:rFonts w:hint="eastAsia" w:ascii="仿宋" w:eastAsia="仿宋"/>
          <w:color w:val="000000"/>
          <w:kern w:val="0"/>
          <w:sz w:val="24"/>
          <w:highlight w:val="none"/>
          <w:u w:val="none"/>
        </w:rPr>
        <w:t>　　</w:t>
      </w:r>
      <w:r>
        <w:rPr>
          <w:rFonts w:hint="eastAsia" w:ascii="仿宋" w:eastAsia="仿宋"/>
          <w:color w:val="000000"/>
          <w:kern w:val="0"/>
          <w:sz w:val="24"/>
          <w:highlight w:val="none"/>
        </w:rPr>
        <w:t>月</w:t>
      </w:r>
      <w:r>
        <w:rPr>
          <w:rFonts w:hint="eastAsia" w:ascii="仿宋" w:eastAsia="仿宋"/>
          <w:color w:val="000000"/>
          <w:kern w:val="0"/>
          <w:sz w:val="24"/>
          <w:highlight w:val="none"/>
          <w:u w:val="none"/>
        </w:rPr>
        <w:t>　　</w:t>
      </w:r>
      <w:r>
        <w:rPr>
          <w:rFonts w:hint="eastAsia" w:ascii="仿宋" w:eastAsia="仿宋"/>
          <w:color w:val="000000"/>
          <w:kern w:val="0"/>
          <w:sz w:val="24"/>
          <w:highlight w:val="none"/>
        </w:rPr>
        <w:t>日</w:t>
      </w:r>
    </w:p>
    <w:p>
      <w:pPr>
        <w:widowControl/>
        <w:snapToGrid w:val="0"/>
        <w:spacing w:line="480" w:lineRule="exact"/>
        <w:ind w:firstLine="480" w:firstLineChars="200"/>
        <w:jc w:val="left"/>
        <w:rPr>
          <w:rFonts w:hint="eastAsia" w:ascii="仿宋" w:eastAsia="仿宋"/>
          <w:color w:val="000000"/>
          <w:kern w:val="0"/>
          <w:sz w:val="24"/>
          <w:highlight w:val="none"/>
          <w:u w:val="none"/>
        </w:rPr>
      </w:pPr>
      <w:r>
        <w:rPr>
          <w:rFonts w:hint="eastAsia" w:ascii="仿宋" w:eastAsia="仿宋"/>
          <w:color w:val="000000"/>
          <w:kern w:val="0"/>
          <w:sz w:val="24"/>
          <w:highlight w:val="none"/>
        </w:rPr>
        <w:t>甲方：</w:t>
      </w:r>
      <w:r>
        <w:rPr>
          <w:rFonts w:hint="eastAsia" w:ascii="仿宋" w:eastAsia="仿宋"/>
          <w:color w:val="000000"/>
          <w:kern w:val="0"/>
          <w:sz w:val="24"/>
          <w:highlight w:val="none"/>
          <w:u w:val="none"/>
        </w:rPr>
        <w:t>　　　　　　　　　　　　　　</w:t>
      </w:r>
    </w:p>
    <w:p>
      <w:pPr>
        <w:widowControl/>
        <w:snapToGrid w:val="0"/>
        <w:spacing w:line="480" w:lineRule="exact"/>
        <w:ind w:firstLine="480" w:firstLineChars="200"/>
        <w:jc w:val="left"/>
        <w:rPr>
          <w:rFonts w:hint="eastAsia" w:ascii="仿宋" w:eastAsia="仿宋"/>
          <w:color w:val="000000"/>
          <w:kern w:val="0"/>
          <w:sz w:val="24"/>
          <w:highlight w:val="none"/>
          <w:u w:val="none"/>
        </w:rPr>
      </w:pPr>
      <w:r>
        <w:rPr>
          <w:rFonts w:hint="eastAsia" w:ascii="仿宋" w:eastAsia="仿宋"/>
          <w:color w:val="000000"/>
          <w:kern w:val="0"/>
          <w:sz w:val="24"/>
          <w:highlight w:val="none"/>
        </w:rPr>
        <w:t>乙方：</w:t>
      </w:r>
      <w:r>
        <w:rPr>
          <w:rFonts w:hint="eastAsia" w:ascii="仿宋" w:eastAsia="仿宋"/>
          <w:color w:val="000000"/>
          <w:kern w:val="0"/>
          <w:sz w:val="24"/>
          <w:highlight w:val="none"/>
          <w:u w:val="none"/>
        </w:rPr>
        <w:t>　　　　　　　　　　　　　　</w:t>
      </w:r>
    </w:p>
    <w:p>
      <w:pPr>
        <w:widowControl/>
        <w:snapToGrid w:val="0"/>
        <w:spacing w:line="480" w:lineRule="exact"/>
        <w:ind w:firstLine="480" w:firstLineChars="200"/>
        <w:jc w:val="left"/>
        <w:rPr>
          <w:rFonts w:hint="eastAsia" w:ascii="仿宋" w:eastAsia="仿宋"/>
          <w:color w:val="000000"/>
          <w:kern w:val="0"/>
          <w:sz w:val="24"/>
          <w:highlight w:val="none"/>
        </w:rPr>
      </w:pP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根据《</w:t>
      </w:r>
      <w:r>
        <w:rPr>
          <w:rFonts w:hint="eastAsia" w:ascii="仿宋" w:eastAsia="仿宋"/>
          <w:color w:val="000000"/>
          <w:kern w:val="0"/>
          <w:sz w:val="24"/>
          <w:highlight w:val="none"/>
          <w:lang w:eastAsia="zh-CN"/>
        </w:rPr>
        <w:t>中华人民共和国民法典</w:t>
      </w:r>
      <w:r>
        <w:rPr>
          <w:rFonts w:hint="eastAsia" w:ascii="仿宋" w:eastAsia="仿宋"/>
          <w:color w:val="000000"/>
          <w:kern w:val="0"/>
          <w:sz w:val="24"/>
          <w:highlight w:val="none"/>
        </w:rPr>
        <w:t>》、政府招标编号</w:t>
      </w:r>
      <w:r>
        <w:rPr>
          <w:rFonts w:hint="eastAsia" w:ascii="仿宋" w:eastAsia="仿宋"/>
          <w:color w:val="000000"/>
          <w:kern w:val="0"/>
          <w:sz w:val="24"/>
          <w:highlight w:val="yellow"/>
        </w:rPr>
        <w:t>为</w:t>
      </w:r>
      <w:r>
        <w:rPr>
          <w:rFonts w:hint="eastAsia" w:ascii="仿宋" w:eastAsia="仿宋"/>
          <w:color w:val="000000"/>
          <w:kern w:val="0"/>
          <w:sz w:val="24"/>
          <w:highlight w:val="yellow"/>
          <w:lang w:val="en-US" w:eastAsia="zh-CN"/>
        </w:rPr>
        <w:t xml:space="preserve">     </w:t>
      </w:r>
      <w:r>
        <w:rPr>
          <w:rFonts w:hint="eastAsia" w:ascii="仿宋" w:eastAsia="仿宋"/>
          <w:color w:val="000000"/>
          <w:kern w:val="0"/>
          <w:sz w:val="24"/>
          <w:highlight w:val="yellow"/>
        </w:rPr>
        <w:t>招标文件</w:t>
      </w:r>
      <w:r>
        <w:rPr>
          <w:rFonts w:hint="eastAsia" w:ascii="仿宋" w:eastAsia="仿宋"/>
          <w:color w:val="000000"/>
          <w:kern w:val="0"/>
          <w:sz w:val="24"/>
          <w:highlight w:val="none"/>
        </w:rPr>
        <w:t>、中标人投标</w:t>
      </w:r>
    </w:p>
    <w:p>
      <w:pPr>
        <w:widowControl/>
        <w:snapToGrid w:val="0"/>
        <w:spacing w:line="480" w:lineRule="exact"/>
        <w:ind w:firstLine="480" w:firstLineChars="200"/>
        <w:jc w:val="left"/>
        <w:rPr>
          <w:rFonts w:hint="eastAsia" w:ascii="仿宋" w:eastAsia="仿宋"/>
          <w:b w:val="0"/>
          <w:color w:val="000000"/>
          <w:kern w:val="0"/>
          <w:sz w:val="24"/>
          <w:highlight w:val="none"/>
        </w:rPr>
      </w:pPr>
      <w:r>
        <w:rPr>
          <w:rFonts w:hint="eastAsia" w:ascii="仿宋" w:eastAsia="仿宋"/>
          <w:color w:val="000000"/>
          <w:kern w:val="0"/>
          <w:sz w:val="24"/>
          <w:highlight w:val="none"/>
        </w:rPr>
        <w:t>文件的规定，经政府公开招标，签订本合同。</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一、合同范围</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①鉴湖街道公共外环境消杀面积12平方公里。下辖谢墅村、上谢墅村、秦望村、芳泉村、坡塘村、王家葑村、玉屏村、丰乐村、骆家葑村、南池村、栖凫村、春风社区、鉴园社区13个村（社区）。</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消杀范围包括：1.所辖社区（村、居）街巷、道路、房前屋后及墙弄空地、建筑工地空地、拆迁工地、绿化带、绿地、花坛、景观水池、下水道、窨窑、窨井、污水沟塘、河道漊底、公共厕所、垃圾中转站、垃圾箱（房）、地下车库、城郊结合部等室外场所和半开放式场所及无物业、无人管理的半开放式场所、老小区、老台门等其他鼠、蚊蝇、蟑螂的孳生地等重点环境；2.社区（村、居）开放式小区、居（村）民台门庭园，包含有（无）物业、有（无）人管辖的所有场所及封闭式住宅小区等，开放式农贸市场的公共环境的各类四害孳生场所，农村的公园、广场等；3.镇（街）指定区域内营业面积小于150平方米的小餐饮店等“五小”行业；4.上述承包区域外300米至500米范围的除“四害”防护带；5.突发应急事件环境消杀及其他公益消杀活动。6.协助街道做好积水清除工作，消灭蚊媒孳生地，做好登革热防控工作，确保街道辖区无本地疫情发生。6.协助街道做好积水清除工作，消灭蚊媒孳生地，做好登革热防控工作，确保街道辖区无本地疫情发生。</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二、服务标准</w:t>
      </w:r>
    </w:p>
    <w:p>
      <w:pPr>
        <w:widowControl/>
        <w:snapToGrid w:val="0"/>
        <w:spacing w:line="480" w:lineRule="exact"/>
        <w:ind w:firstLine="480" w:firstLineChars="200"/>
        <w:jc w:val="left"/>
        <w:rPr>
          <w:rFonts w:hint="eastAsia" w:ascii="仿宋" w:eastAsia="仿宋"/>
          <w:b w:val="0"/>
          <w:color w:val="000000"/>
          <w:kern w:val="0"/>
          <w:sz w:val="24"/>
          <w:highlight w:val="none"/>
        </w:rPr>
      </w:pPr>
      <w:r>
        <w:rPr>
          <w:rFonts w:hint="eastAsia" w:ascii="仿宋" w:eastAsia="仿宋"/>
          <w:b w:val="0"/>
          <w:color w:val="000000"/>
          <w:kern w:val="0"/>
          <w:sz w:val="24"/>
          <w:highlight w:val="none"/>
        </w:rPr>
        <w:t>（一）病媒生物防制服务要求</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b w:val="0"/>
          <w:bCs w:val="0"/>
          <w:color w:val="000000"/>
          <w:kern w:val="0"/>
          <w:sz w:val="24"/>
          <w:highlight w:val="none"/>
        </w:rPr>
        <w:t>1.消杀现场要求：</w:t>
      </w:r>
      <w:r>
        <w:rPr>
          <w:rFonts w:hint="eastAsia" w:ascii="仿宋" w:eastAsia="仿宋" w:cs="Times New Roman"/>
          <w:color w:val="000000"/>
          <w:kern w:val="0"/>
          <w:sz w:val="24"/>
          <w:highlight w:val="none"/>
        </w:rPr>
        <w:t>灭鼠：春秋两季鼠药（下水道悬毒饵）的投放率90%以上，每个社区（村、居）鼠粪、鼠洞等鼠迹不超过2处；灭蚊：每社区（村、居）有孑孓孳生的积水不超过2处；灭蝇：每社区（村、居）有蝇蛆孳生的场所不超过2处；灭蟑：每社区（村、居）活蟑螂或蟑迹不超过5处；</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b w:val="0"/>
          <w:bCs w:val="0"/>
          <w:color w:val="000000"/>
          <w:kern w:val="0"/>
          <w:sz w:val="24"/>
          <w:highlight w:val="none"/>
        </w:rPr>
        <w:t>2.毒鼠屋、捕蝇笼布置要求：</w:t>
      </w:r>
      <w:r>
        <w:rPr>
          <w:rFonts w:hint="eastAsia" w:ascii="仿宋" w:eastAsia="仿宋" w:cs="Times New Roman"/>
          <w:color w:val="000000"/>
          <w:kern w:val="0"/>
          <w:sz w:val="24"/>
          <w:highlight w:val="none"/>
        </w:rPr>
        <w:t>布置数量视鼠类、蝇类密度而定，毒鼠屋布置在鼠经常出没的地方，尽量隐蔽设置。及时检查、添加补充药物。毒鼠屋如有缺少的，应及时补装。如有缺少或没投放（补投）药物的，视情扣款。捕蝇笼布置在蝇蛆孳生地，尽量固定设置。（一）属于消杀服务区域范围内的农贸市场、食品加工厂（场）、酿造厂、屠宰厂（场）、粮库(站、店)、垃圾填埋场及焚烧场、垃圾中转站、粪便处理场、废旧品收购站(点)等场所必须布置。公共厕所、医院、火车站、长途汽车站、饭店宾馆、商场、超市、饮食店、副食品店等场所视情况布置。（二）重点部位布置：属于消杀服务范围内的各单位厨房、库房；建筑工地(包括拆迁工地、闲置地块)、垃圾收集点、下水道（窨井）、公园、动物园、地下停车场、绿地、河流湖泊沿岸、堤坝渠壁、铁道两侧、学校、单位院内、蓄水容器、住宅区外环境等重点部位视情况布置。</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b w:val="0"/>
          <w:bCs w:val="0"/>
          <w:color w:val="000000"/>
          <w:kern w:val="0"/>
          <w:sz w:val="24"/>
          <w:highlight w:val="none"/>
        </w:rPr>
        <w:t>3.</w:t>
      </w:r>
      <w:r>
        <w:rPr>
          <w:rFonts w:hint="eastAsia" w:ascii="仿宋" w:eastAsia="仿宋" w:cs="Times New Roman"/>
          <w:color w:val="000000"/>
          <w:kern w:val="0"/>
          <w:sz w:val="24"/>
          <w:highlight w:val="none"/>
        </w:rPr>
        <w:t>四害密度控制均达到国家病媒生物密度控制标准（GB/T 27770-2011鼠类、GB/T 27771-2011蚊虫、GB/T 27772-2011蝇类、GB/T 27773-2011蜚蠊）C级要求，并通过市爱卫办委托的第三方效果评估考核。</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b w:val="0"/>
          <w:bCs w:val="0"/>
          <w:color w:val="000000"/>
          <w:kern w:val="0"/>
          <w:sz w:val="24"/>
          <w:highlight w:val="none"/>
        </w:rPr>
        <w:t>4.</w:t>
      </w:r>
      <w:r>
        <w:rPr>
          <w:rFonts w:hint="eastAsia" w:ascii="仿宋" w:eastAsia="仿宋" w:cs="Times New Roman"/>
          <w:color w:val="000000"/>
          <w:kern w:val="0"/>
          <w:sz w:val="24"/>
          <w:highlight w:val="none"/>
        </w:rPr>
        <w:t>按照《绍兴市区2021年病媒生物防制工作计划》要求，在4月和11月进行两次春、秋两季灭鼠投药， 5～11月进行7个月的灭蚊蝇消杀，每月不少于两次，6月、8月进行两次灭蟑螂投药；12月至次年3月开展两次越冬蚊消杀;同时对已安装室外灭蚊灯的区域，做好日常的维护和管理。</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5. 2021年至2022年度病媒生物控制C级评估等各项检查工作中不失责任分。如因病媒生物防制原因导致上级检查未通过的，扣除半年合同价款。</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b w:val="0"/>
          <w:bCs w:val="0"/>
          <w:color w:val="000000"/>
          <w:kern w:val="0"/>
          <w:sz w:val="24"/>
          <w:highlight w:val="none"/>
        </w:rPr>
        <w:t>6.</w:t>
      </w:r>
      <w:r>
        <w:rPr>
          <w:rFonts w:hint="eastAsia" w:ascii="仿宋" w:eastAsia="仿宋" w:cs="Times New Roman"/>
          <w:color w:val="000000"/>
          <w:kern w:val="0"/>
          <w:sz w:val="24"/>
          <w:highlight w:val="none"/>
        </w:rPr>
        <w:t>每月登革热布雷图指数控制在20以下。</w:t>
      </w:r>
    </w:p>
    <w:p>
      <w:pPr>
        <w:widowControl/>
        <w:snapToGrid w:val="0"/>
        <w:spacing w:line="480" w:lineRule="exact"/>
        <w:ind w:firstLine="480" w:firstLineChars="200"/>
        <w:jc w:val="left"/>
        <w:rPr>
          <w:rFonts w:hint="eastAsia" w:ascii="仿宋" w:eastAsia="仿宋"/>
          <w:b w:val="0"/>
          <w:color w:val="000000"/>
          <w:kern w:val="0"/>
          <w:sz w:val="24"/>
          <w:highlight w:val="none"/>
        </w:rPr>
      </w:pPr>
      <w:r>
        <w:rPr>
          <w:rFonts w:hint="eastAsia" w:ascii="仿宋" w:eastAsia="仿宋"/>
          <w:b w:val="0"/>
          <w:color w:val="000000"/>
          <w:kern w:val="0"/>
          <w:sz w:val="24"/>
          <w:highlight w:val="none"/>
        </w:rPr>
        <w:t>7. 现场消杀质量要求</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①中标公司需提供公共外环境除四害实施方案、技术方案并每月到街道报到一次，向街道分管人员汇报工作动态。</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②中标公司的消杀人员每次消杀均需做好消杀记录，并由当地社区、村工作人员或居民代表签字确认，一式三份并提交给服务街道、消杀村社区各一份。</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③做好服务街道的四害密度监测工作，并每月向市、区、街道爱卫办提交每月密度监测报表、当月四害消杀情况小结及下月工作安排。每次向街道爱卫办报送消杀工作计划表，并在消杀后报送消杀情况。</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④中标公司所使用除四害药物须符合国家规定要求，禁止使用无农药登记证或者农药临时登记证、无农药生产许可证或者农药生产批准文件、无产品质量标准和产品质量合格证以及检验合格证的防制药品。</w:t>
      </w:r>
    </w:p>
    <w:p>
      <w:pPr>
        <w:widowControl/>
        <w:snapToGrid w:val="0"/>
        <w:spacing w:line="480" w:lineRule="exact"/>
        <w:ind w:firstLine="480" w:firstLineChars="200"/>
        <w:jc w:val="left"/>
        <w:rPr>
          <w:rFonts w:hint="eastAsia" w:ascii="仿宋" w:eastAsia="仿宋"/>
          <w:b w:val="0"/>
          <w:color w:val="000000"/>
          <w:kern w:val="0"/>
          <w:sz w:val="24"/>
          <w:highlight w:val="none"/>
        </w:rPr>
      </w:pPr>
      <w:r>
        <w:rPr>
          <w:rFonts w:hint="eastAsia" w:ascii="仿宋" w:eastAsia="仿宋"/>
          <w:b w:val="0"/>
          <w:color w:val="000000"/>
          <w:kern w:val="0"/>
          <w:sz w:val="24"/>
          <w:highlight w:val="none"/>
        </w:rPr>
        <w:t>8灭蚊要求</w:t>
      </w:r>
    </w:p>
    <w:p>
      <w:pPr>
        <w:widowControl/>
        <w:snapToGrid w:val="0"/>
        <w:spacing w:line="480" w:lineRule="exact"/>
        <w:ind w:firstLine="480" w:firstLineChars="200"/>
        <w:jc w:val="left"/>
        <w:rPr>
          <w:rFonts w:hint="eastAsia" w:ascii="仿宋" w:eastAsia="仿宋" w:cs="Times New Roman"/>
          <w:b w:val="0"/>
          <w:bCs w:val="0"/>
          <w:color w:val="000000"/>
          <w:kern w:val="0"/>
          <w:sz w:val="24"/>
          <w:highlight w:val="none"/>
        </w:rPr>
      </w:pPr>
      <w:r>
        <w:rPr>
          <w:rFonts w:hint="eastAsia" w:ascii="仿宋" w:eastAsia="仿宋" w:cs="Times New Roman"/>
          <w:b w:val="0"/>
          <w:bCs w:val="0"/>
          <w:color w:val="000000"/>
          <w:kern w:val="0"/>
          <w:sz w:val="24"/>
          <w:highlight w:val="none"/>
        </w:rPr>
        <w:t>8.1现场要求</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8.1.1突出人居环境的整洁卫生，摸清、掌握蚊类孳生地基本情况，建档率达100%；清除孳生场所，包括各类积水容器，孳生地清除覆盖率95%以上。</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color w:val="000000"/>
          <w:kern w:val="0"/>
          <w:sz w:val="24"/>
          <w:highlight w:val="none"/>
        </w:rPr>
        <w:t>8.1.2成蚊检查。采用人诱法检查公园、河道、绿化带、废品、轮胎、缸罐存放处、建筑工地、城郊结合部等室外场所和半开放式场所。特殊场所白天人诱蚊30分钟，平均每人次诱获成蚊数不超过1只。</w:t>
      </w:r>
    </w:p>
    <w:p>
      <w:pPr>
        <w:spacing w:line="40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8.2指标要求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8.2.1布雷图指数监测。无登革热疫情时，布雷图指数小于20；出现登革热疫情时，布雷图指数小于5。</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布雷图指数（BI）计算公式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2521585" cy="673100"/>
            <wp:effectExtent l="0" t="0" r="12065"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lum/>
                    </a:blip>
                    <a:stretch>
                      <a:fillRect/>
                    </a:stretch>
                  </pic:blipFill>
                  <pic:spPr>
                    <a:xfrm>
                      <a:off x="0" y="0"/>
                      <a:ext cx="2521585" cy="673100"/>
                    </a:xfrm>
                    <a:prstGeom prst="rect">
                      <a:avLst/>
                    </a:prstGeom>
                    <a:noFill/>
                    <a:ln>
                      <a:noFill/>
                    </a:ln>
                  </pic:spPr>
                </pic:pic>
              </a:graphicData>
            </a:graphic>
          </wp:inline>
        </w:drawing>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8.2.2房屋指数、容器指数的调查监测。房屋指数和容器指数控制在10以下。</w:t>
      </w:r>
    </w:p>
    <w:p>
      <w:pPr>
        <w:spacing w:line="200" w:lineRule="exact"/>
        <w:ind w:firstLine="2040" w:firstLineChars="850"/>
        <w:rPr>
          <w:rFonts w:hint="eastAsia" w:ascii="仿宋" w:hAnsi="仿宋" w:eastAsia="仿宋" w:cs="仿宋"/>
          <w:sz w:val="24"/>
          <w:szCs w:val="24"/>
        </w:rPr>
      </w:pPr>
      <w:r>
        <w:rPr>
          <w:rFonts w:hint="eastAsia" w:ascii="仿宋" w:hAnsi="仿宋" w:eastAsia="仿宋" w:cs="仿宋"/>
          <w:sz w:val="24"/>
          <w:szCs w:val="24"/>
        </w:rPr>
        <w:t>阳性户数</w:t>
      </w:r>
    </w:p>
    <w:p>
      <w:pPr>
        <w:spacing w:line="2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房屋指数=  -------------  X 100  </w:t>
      </w:r>
    </w:p>
    <w:p>
      <w:pPr>
        <w:spacing w:line="200" w:lineRule="exact"/>
        <w:ind w:firstLine="2040" w:firstLineChars="850"/>
        <w:rPr>
          <w:rFonts w:hint="eastAsia" w:ascii="仿宋" w:hAnsi="仿宋" w:eastAsia="仿宋" w:cs="仿宋"/>
          <w:sz w:val="24"/>
          <w:szCs w:val="24"/>
        </w:rPr>
      </w:pPr>
      <w:r>
        <w:rPr>
          <w:rFonts w:hint="eastAsia" w:ascii="仿宋" w:hAnsi="仿宋" w:eastAsia="仿宋" w:cs="仿宋"/>
          <w:sz w:val="24"/>
          <w:szCs w:val="24"/>
        </w:rPr>
        <w:t>调查户数</w:t>
      </w:r>
    </w:p>
    <w:p>
      <w:pPr>
        <w:spacing w:line="200" w:lineRule="exact"/>
        <w:ind w:firstLine="2040" w:firstLineChars="850"/>
        <w:rPr>
          <w:rFonts w:hint="eastAsia" w:ascii="仿宋" w:hAnsi="仿宋" w:eastAsia="仿宋" w:cs="仿宋"/>
          <w:sz w:val="24"/>
          <w:szCs w:val="24"/>
        </w:rPr>
      </w:pPr>
    </w:p>
    <w:p>
      <w:pPr>
        <w:spacing w:line="200" w:lineRule="exact"/>
        <w:ind w:firstLine="2040" w:firstLineChars="850"/>
        <w:rPr>
          <w:rFonts w:hint="eastAsia" w:ascii="仿宋" w:hAnsi="仿宋" w:eastAsia="仿宋" w:cs="仿宋"/>
          <w:sz w:val="24"/>
          <w:szCs w:val="24"/>
        </w:rPr>
      </w:pPr>
    </w:p>
    <w:p>
      <w:pPr>
        <w:spacing w:line="300" w:lineRule="exact"/>
        <w:ind w:firstLine="1920" w:firstLineChars="800"/>
        <w:rPr>
          <w:rFonts w:hint="eastAsia" w:ascii="仿宋" w:hAnsi="仿宋" w:eastAsia="仿宋" w:cs="仿宋"/>
          <w:sz w:val="24"/>
          <w:szCs w:val="24"/>
        </w:rPr>
      </w:pPr>
      <w:r>
        <w:rPr>
          <w:rFonts w:hint="eastAsia" w:ascii="仿宋" w:hAnsi="仿宋" w:eastAsia="仿宋" w:cs="仿宋"/>
          <w:sz w:val="24"/>
          <w:szCs w:val="24"/>
        </w:rPr>
        <w:t>阳性容器数</w:t>
      </w:r>
    </w:p>
    <w:p>
      <w:pPr>
        <w:spacing w:line="2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容器指数=  --------------  X 100 </w:t>
      </w:r>
    </w:p>
    <w:p>
      <w:pPr>
        <w:spacing w:line="200" w:lineRule="exact"/>
        <w:ind w:firstLine="1920" w:firstLineChars="800"/>
        <w:rPr>
          <w:rFonts w:hint="eastAsia" w:ascii="仿宋" w:hAnsi="仿宋" w:eastAsia="仿宋" w:cs="仿宋"/>
          <w:sz w:val="24"/>
          <w:szCs w:val="24"/>
        </w:rPr>
      </w:pPr>
      <w:r>
        <w:rPr>
          <w:rFonts w:hint="eastAsia" w:ascii="仿宋" w:hAnsi="仿宋" w:eastAsia="仿宋" w:cs="仿宋"/>
          <w:sz w:val="24"/>
          <w:szCs w:val="24"/>
        </w:rPr>
        <w:t>调查容器数</w:t>
      </w:r>
    </w:p>
    <w:p>
      <w:pPr>
        <w:widowControl/>
        <w:snapToGrid w:val="0"/>
        <w:spacing w:line="480" w:lineRule="exact"/>
        <w:ind w:firstLine="480" w:firstLineChars="200"/>
        <w:jc w:val="left"/>
        <w:rPr>
          <w:rFonts w:hint="eastAsia" w:ascii="仿宋" w:eastAsia="仿宋" w:cs="Times New Roman"/>
          <w:b w:val="0"/>
          <w:bCs w:val="0"/>
          <w:color w:val="000000"/>
          <w:kern w:val="0"/>
          <w:sz w:val="24"/>
          <w:highlight w:val="none"/>
        </w:rPr>
      </w:pPr>
      <w:r>
        <w:rPr>
          <w:rFonts w:hint="eastAsia" w:ascii="仿宋" w:eastAsia="仿宋" w:cs="Times New Roman"/>
          <w:b w:val="0"/>
          <w:bCs w:val="0"/>
          <w:color w:val="000000"/>
          <w:kern w:val="0"/>
          <w:sz w:val="24"/>
          <w:highlight w:val="none"/>
        </w:rPr>
        <w:t>8.3积水处理要求</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b w:val="0"/>
          <w:bCs w:val="0"/>
          <w:color w:val="000000"/>
          <w:kern w:val="0"/>
          <w:sz w:val="24"/>
          <w:highlight w:val="none"/>
        </w:rPr>
        <w:t>8.3.1</w:t>
      </w:r>
      <w:r>
        <w:rPr>
          <w:rFonts w:hint="eastAsia" w:ascii="仿宋" w:eastAsia="仿宋" w:cs="Times New Roman"/>
          <w:color w:val="000000"/>
          <w:kern w:val="0"/>
          <w:sz w:val="24"/>
          <w:highlight w:val="none"/>
        </w:rPr>
        <w:t>中标公司应在签约后协助作业范围内的社区、村每月进行三次积水清理工作（若进入登革热高发期，可根据实际增加积水清理次数），并附积水处理确认单由社区、村签字确认，每月月底上报街道。</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b w:val="0"/>
          <w:bCs w:val="0"/>
          <w:color w:val="000000"/>
          <w:kern w:val="0"/>
          <w:sz w:val="24"/>
          <w:highlight w:val="none"/>
        </w:rPr>
        <w:t>8.3.2</w:t>
      </w:r>
      <w:r>
        <w:rPr>
          <w:rFonts w:hint="eastAsia" w:ascii="仿宋" w:eastAsia="仿宋" w:cs="Times New Roman"/>
          <w:color w:val="000000"/>
          <w:kern w:val="0"/>
          <w:sz w:val="24"/>
          <w:highlight w:val="none"/>
        </w:rPr>
        <w:t>中标公司协助作业范围内的社区、村做好缸、罐、桶、盆、瓶、轮胎、植物养植容器等积水容器的倒置、倾倒工作；如征得居民同意，直接搬运、砸破并清运干净。遇荷花缸、水培植物容器或居民实在不同意处理的，作投放药物处理。</w:t>
      </w:r>
    </w:p>
    <w:p>
      <w:pPr>
        <w:widowControl/>
        <w:snapToGrid w:val="0"/>
        <w:spacing w:line="480" w:lineRule="exact"/>
        <w:ind w:firstLine="480" w:firstLineChars="200"/>
        <w:jc w:val="left"/>
        <w:rPr>
          <w:rFonts w:hint="eastAsia" w:ascii="仿宋" w:eastAsia="仿宋" w:cs="Times New Roman"/>
          <w:color w:val="000000"/>
          <w:kern w:val="0"/>
          <w:sz w:val="24"/>
          <w:highlight w:val="none"/>
        </w:rPr>
      </w:pPr>
      <w:r>
        <w:rPr>
          <w:rFonts w:hint="eastAsia" w:ascii="仿宋" w:eastAsia="仿宋" w:cs="Times New Roman"/>
          <w:b w:val="0"/>
          <w:bCs w:val="0"/>
          <w:color w:val="000000"/>
          <w:kern w:val="0"/>
          <w:sz w:val="24"/>
          <w:highlight w:val="none"/>
        </w:rPr>
        <w:t>8.3.3</w:t>
      </w:r>
      <w:r>
        <w:rPr>
          <w:rFonts w:hint="eastAsia" w:ascii="仿宋" w:eastAsia="仿宋" w:cs="Times New Roman"/>
          <w:color w:val="000000"/>
          <w:kern w:val="0"/>
          <w:sz w:val="24"/>
          <w:highlight w:val="none"/>
        </w:rPr>
        <w:t>中标公司在作业期间，应落实好人员，备好交通工具和清运车辆协助作业范围内的社区、村做好废弃容器清运工作，招标方不再提供其他费用。中标公司在作业期间，要落实好安全防范措施，如出现交通事故或工作中出现一切安全事故，由中标公司承担，均与招标方无涉。</w:t>
      </w:r>
    </w:p>
    <w:p>
      <w:pPr>
        <w:widowControl/>
        <w:snapToGrid w:val="0"/>
        <w:spacing w:line="480" w:lineRule="exact"/>
        <w:ind w:firstLine="480" w:firstLineChars="200"/>
        <w:jc w:val="left"/>
        <w:rPr>
          <w:rFonts w:hint="eastAsia" w:ascii="仿宋" w:eastAsia="仿宋" w:cs="Times New Roman"/>
          <w:b w:val="0"/>
          <w:bCs w:val="0"/>
          <w:color w:val="000000"/>
          <w:kern w:val="0"/>
          <w:sz w:val="24"/>
          <w:highlight w:val="none"/>
        </w:rPr>
      </w:pPr>
      <w:r>
        <w:rPr>
          <w:rFonts w:hint="eastAsia" w:ascii="仿宋" w:eastAsia="仿宋" w:cs="Times New Roman"/>
          <w:b w:val="0"/>
          <w:bCs w:val="0"/>
          <w:color w:val="000000"/>
          <w:kern w:val="0"/>
          <w:sz w:val="24"/>
          <w:highlight w:val="none"/>
        </w:rPr>
        <w:t>8.4考核要求</w:t>
      </w:r>
    </w:p>
    <w:p>
      <w:pPr>
        <w:widowControl/>
        <w:snapToGrid w:val="0"/>
        <w:spacing w:line="480" w:lineRule="exact"/>
        <w:ind w:firstLine="480" w:firstLineChars="200"/>
        <w:jc w:val="left"/>
        <w:rPr>
          <w:rFonts w:hint="eastAsia" w:ascii="仿宋" w:eastAsia="仿宋" w:cs="Times New Roman"/>
          <w:b w:val="0"/>
          <w:bCs w:val="0"/>
          <w:color w:val="000000"/>
          <w:kern w:val="0"/>
          <w:sz w:val="24"/>
          <w:highlight w:val="none"/>
        </w:rPr>
      </w:pPr>
      <w:r>
        <w:rPr>
          <w:rFonts w:hint="eastAsia" w:ascii="仿宋" w:eastAsia="仿宋" w:cs="Times New Roman"/>
          <w:color w:val="000000"/>
          <w:kern w:val="0"/>
          <w:sz w:val="24"/>
          <w:highlight w:val="none"/>
        </w:rPr>
        <w:t>招标方对中标公司工作质量情况进行抽查和区登防办登革热布雷图指数监测挂钩相结合。无论任何原因引起，区登防办每月对上述区域进行登革热布雷图指数监测时，在服务范围内登革热布雷图指数监测结果大于20的，每次视情扣款2500-3000元。</w:t>
      </w:r>
    </w:p>
    <w:p>
      <w:pPr>
        <w:widowControl/>
        <w:autoSpaceDE/>
        <w:autoSpaceDN/>
        <w:adjustRightInd/>
        <w:snapToGrid w:val="0"/>
        <w:spacing w:line="480" w:lineRule="exact"/>
        <w:ind w:firstLine="480" w:firstLineChars="200"/>
        <w:jc w:val="left"/>
        <w:rPr>
          <w:rFonts w:hint="eastAsia" w:ascii="仿宋" w:eastAsia="仿宋"/>
          <w:b w:val="0"/>
          <w:color w:val="000000"/>
          <w:kern w:val="0"/>
          <w:sz w:val="24"/>
          <w:highlight w:val="none"/>
        </w:rPr>
      </w:pPr>
      <w:r>
        <w:rPr>
          <w:rFonts w:hint="eastAsia" w:ascii="仿宋" w:eastAsia="仿宋"/>
          <w:b w:val="0"/>
          <w:color w:val="000000"/>
          <w:kern w:val="0"/>
          <w:sz w:val="24"/>
          <w:highlight w:val="none"/>
        </w:rPr>
        <w:t>（二）服务承诺</w:t>
      </w:r>
    </w:p>
    <w:p>
      <w:pPr>
        <w:widowControl/>
        <w:snapToGrid w:val="0"/>
        <w:spacing w:line="480" w:lineRule="exact"/>
        <w:ind w:firstLine="480" w:firstLineChars="200"/>
        <w:jc w:val="left"/>
        <w:rPr>
          <w:rFonts w:hint="eastAsia" w:ascii="仿宋" w:eastAsia="仿宋"/>
          <w:color w:val="000000"/>
          <w:kern w:val="0"/>
          <w:sz w:val="24"/>
          <w:highlight w:val="none"/>
          <w:lang w:val="zh-CN"/>
        </w:rPr>
      </w:pPr>
      <w:r>
        <w:rPr>
          <w:rFonts w:hint="eastAsia" w:ascii="仿宋" w:eastAsia="仿宋"/>
          <w:color w:val="000000"/>
          <w:kern w:val="0"/>
          <w:sz w:val="24"/>
          <w:highlight w:val="none"/>
          <w:lang w:val="zh-CN"/>
        </w:rPr>
        <w:t>1 保证履行招标文件中规定的各项协议条款；</w:t>
      </w:r>
    </w:p>
    <w:p>
      <w:pPr>
        <w:widowControl/>
        <w:snapToGrid w:val="0"/>
        <w:spacing w:line="480" w:lineRule="exact"/>
        <w:ind w:firstLine="480" w:firstLineChars="200"/>
        <w:jc w:val="left"/>
        <w:rPr>
          <w:rFonts w:hint="eastAsia" w:ascii="仿宋" w:eastAsia="仿宋"/>
          <w:color w:val="000000"/>
          <w:kern w:val="0"/>
          <w:sz w:val="24"/>
          <w:highlight w:val="none"/>
          <w:lang w:val="zh-CN"/>
        </w:rPr>
      </w:pPr>
      <w:r>
        <w:rPr>
          <w:rFonts w:hint="eastAsia" w:ascii="仿宋" w:eastAsia="仿宋"/>
          <w:color w:val="000000"/>
          <w:kern w:val="0"/>
          <w:sz w:val="24"/>
          <w:highlight w:val="none"/>
          <w:lang w:val="zh-CN"/>
        </w:rPr>
        <w:t>2 确保病媒生物（鼠、蚊、蝇、蟑螂）</w:t>
      </w:r>
      <w:r>
        <w:rPr>
          <w:rFonts w:hint="eastAsia" w:ascii="仿宋" w:eastAsia="仿宋"/>
          <w:color w:val="000000"/>
          <w:kern w:val="0"/>
          <w:sz w:val="24"/>
          <w:highlight w:val="none"/>
        </w:rPr>
        <w:t>密度</w:t>
      </w:r>
      <w:r>
        <w:rPr>
          <w:rFonts w:hint="eastAsia" w:ascii="仿宋" w:eastAsia="仿宋"/>
          <w:color w:val="000000"/>
          <w:kern w:val="0"/>
          <w:sz w:val="24"/>
          <w:highlight w:val="none"/>
          <w:lang w:val="zh-CN"/>
        </w:rPr>
        <w:t>达到</w:t>
      </w:r>
      <w:r>
        <w:rPr>
          <w:rFonts w:hint="eastAsia" w:ascii="仿宋" w:eastAsia="仿宋"/>
          <w:color w:val="000000"/>
          <w:kern w:val="0"/>
          <w:sz w:val="24"/>
          <w:highlight w:val="none"/>
        </w:rPr>
        <w:t>国家病媒生物密度控制C级标准；</w:t>
      </w:r>
    </w:p>
    <w:p>
      <w:pPr>
        <w:widowControl/>
        <w:snapToGrid w:val="0"/>
        <w:spacing w:line="480" w:lineRule="exact"/>
        <w:ind w:left="0" w:leftChars="0" w:firstLine="480" w:firstLineChars="200"/>
        <w:jc w:val="left"/>
        <w:rPr>
          <w:rFonts w:hint="eastAsia" w:ascii="仿宋" w:eastAsia="仿宋"/>
          <w:color w:val="000000"/>
          <w:kern w:val="0"/>
          <w:sz w:val="24"/>
          <w:highlight w:val="none"/>
          <w:lang w:val="zh-CN"/>
        </w:rPr>
      </w:pPr>
      <w:r>
        <w:rPr>
          <w:rFonts w:hint="eastAsia" w:ascii="仿宋" w:eastAsia="仿宋"/>
          <w:color w:val="000000"/>
          <w:kern w:val="0"/>
          <w:sz w:val="24"/>
          <w:highlight w:val="none"/>
          <w:lang w:val="zh-CN"/>
        </w:rPr>
        <w:t>3 中标签约后7天内上报驻地消杀人员和负责人具体名单、联系电话及除害设施设置地点平面图等资料；</w:t>
      </w:r>
    </w:p>
    <w:p>
      <w:pPr>
        <w:widowControl/>
        <w:snapToGrid w:val="0"/>
        <w:spacing w:line="480" w:lineRule="exact"/>
        <w:ind w:left="0" w:leftChars="0" w:firstLine="480" w:firstLineChars="200"/>
        <w:jc w:val="left"/>
        <w:rPr>
          <w:rFonts w:hint="eastAsia" w:ascii="仿宋" w:eastAsia="仿宋"/>
          <w:color w:val="000000"/>
          <w:kern w:val="0"/>
          <w:sz w:val="24"/>
          <w:highlight w:val="none"/>
          <w:lang w:val="zh-CN"/>
        </w:rPr>
      </w:pPr>
      <w:r>
        <w:rPr>
          <w:rFonts w:hint="eastAsia" w:ascii="仿宋" w:eastAsia="仿宋"/>
          <w:color w:val="000000"/>
          <w:kern w:val="0"/>
          <w:sz w:val="24"/>
          <w:highlight w:val="none"/>
          <w:lang w:val="zh-CN"/>
        </w:rPr>
        <w:t>4 消杀人员按申报工作计划的到岗率、消杀到位率：100%。</w:t>
      </w:r>
    </w:p>
    <w:p>
      <w:pPr>
        <w:widowControl/>
        <w:snapToGrid w:val="0"/>
        <w:spacing w:line="480" w:lineRule="exact"/>
        <w:ind w:left="0" w:leftChars="0" w:firstLine="480" w:firstLineChars="200"/>
        <w:jc w:val="left"/>
        <w:rPr>
          <w:rFonts w:hint="eastAsia" w:ascii="仿宋" w:eastAsia="仿宋"/>
          <w:color w:val="000000"/>
          <w:kern w:val="0"/>
          <w:sz w:val="24"/>
          <w:highlight w:val="none"/>
          <w:lang w:val="zh-CN"/>
        </w:rPr>
      </w:pPr>
      <w:r>
        <w:rPr>
          <w:rFonts w:hint="eastAsia" w:ascii="仿宋" w:eastAsia="仿宋"/>
          <w:color w:val="000000"/>
          <w:kern w:val="0"/>
          <w:sz w:val="24"/>
          <w:highlight w:val="none"/>
          <w:lang w:val="zh-CN"/>
        </w:rPr>
        <w:t>5 不使用国家禁用的药物，将使用药物记录备案备查；</w:t>
      </w:r>
    </w:p>
    <w:p>
      <w:pPr>
        <w:widowControl/>
        <w:snapToGrid w:val="0"/>
        <w:spacing w:line="480" w:lineRule="exact"/>
        <w:ind w:left="0" w:leftChars="0" w:firstLine="480" w:firstLineChars="200"/>
        <w:jc w:val="left"/>
        <w:rPr>
          <w:rFonts w:hint="eastAsia" w:ascii="仿宋" w:eastAsia="仿宋"/>
          <w:color w:val="000000"/>
          <w:kern w:val="0"/>
          <w:sz w:val="24"/>
          <w:highlight w:val="none"/>
          <w:lang w:val="zh-CN"/>
        </w:rPr>
      </w:pPr>
      <w:r>
        <w:rPr>
          <w:rFonts w:hint="eastAsia" w:ascii="仿宋" w:eastAsia="仿宋"/>
          <w:color w:val="000000"/>
          <w:kern w:val="0"/>
          <w:sz w:val="24"/>
          <w:highlight w:val="none"/>
          <w:lang w:val="zh-CN"/>
        </w:rPr>
        <w:t>6 按计划开展除四害健康教育宣传，并提供相应活动资料；</w:t>
      </w:r>
    </w:p>
    <w:p>
      <w:pPr>
        <w:widowControl/>
        <w:snapToGrid w:val="0"/>
        <w:spacing w:line="480" w:lineRule="exact"/>
        <w:ind w:left="0" w:leftChars="0" w:firstLine="480" w:firstLineChars="200"/>
        <w:jc w:val="left"/>
        <w:rPr>
          <w:rFonts w:hint="eastAsia" w:ascii="仿宋" w:eastAsia="仿宋"/>
          <w:color w:val="000000"/>
          <w:kern w:val="0"/>
          <w:sz w:val="24"/>
          <w:highlight w:val="none"/>
          <w:lang w:val="zh-CN"/>
        </w:rPr>
      </w:pPr>
      <w:r>
        <w:rPr>
          <w:rFonts w:hint="eastAsia" w:ascii="仿宋" w:eastAsia="仿宋"/>
          <w:color w:val="000000"/>
          <w:kern w:val="0"/>
          <w:sz w:val="24"/>
          <w:highlight w:val="none"/>
          <w:lang w:val="zh-CN"/>
        </w:rPr>
        <w:t>7 对项目区域的病媒生物（鼠、蚊、蝇、蟑螂）密度监测进行自查自测；</w:t>
      </w:r>
    </w:p>
    <w:p>
      <w:pPr>
        <w:widowControl/>
        <w:snapToGrid w:val="0"/>
        <w:spacing w:line="480" w:lineRule="exact"/>
        <w:ind w:left="0" w:leftChars="0" w:firstLine="480" w:firstLineChars="200"/>
        <w:jc w:val="left"/>
        <w:rPr>
          <w:rFonts w:hint="eastAsia" w:ascii="仿宋" w:eastAsia="仿宋"/>
          <w:color w:val="000000"/>
          <w:kern w:val="0"/>
          <w:sz w:val="24"/>
          <w:highlight w:val="none"/>
          <w:lang w:val="zh-CN"/>
        </w:rPr>
      </w:pPr>
      <w:r>
        <w:rPr>
          <w:rFonts w:hint="eastAsia" w:ascii="仿宋" w:eastAsia="仿宋"/>
          <w:color w:val="000000"/>
          <w:kern w:val="0"/>
          <w:sz w:val="24"/>
          <w:highlight w:val="none"/>
          <w:lang w:val="zh-CN"/>
        </w:rPr>
        <w:t>8 根据爱卫办的统一部署开展专项性消杀活动，按采购人的要求自行配备统一的药物进行消杀；</w:t>
      </w:r>
    </w:p>
    <w:p>
      <w:pPr>
        <w:widowControl/>
        <w:autoSpaceDE/>
        <w:autoSpaceDN/>
        <w:adjustRightInd/>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lang w:val="zh-CN"/>
        </w:rPr>
        <w:t xml:space="preserve">9 </w:t>
      </w:r>
      <w:r>
        <w:rPr>
          <w:rFonts w:hint="eastAsia" w:ascii="仿宋" w:eastAsia="仿宋"/>
          <w:color w:val="000000"/>
          <w:kern w:val="0"/>
          <w:sz w:val="24"/>
          <w:highlight w:val="none"/>
        </w:rPr>
        <w:t>遇招标方有突出任务和公益性等任务时，无条件配合招标方做好工作，招标方将不支付其他费用。</w:t>
      </w:r>
    </w:p>
    <w:p>
      <w:pPr>
        <w:widowControl/>
        <w:autoSpaceDE/>
        <w:autoSpaceDN/>
        <w:adjustRightInd/>
        <w:snapToGrid w:val="0"/>
        <w:spacing w:line="480" w:lineRule="exact"/>
        <w:ind w:firstLine="480" w:firstLineChars="200"/>
        <w:jc w:val="left"/>
        <w:rPr>
          <w:rFonts w:hint="eastAsia" w:ascii="仿宋" w:eastAsia="仿宋"/>
          <w:b w:val="0"/>
          <w:color w:val="000000"/>
          <w:kern w:val="0"/>
          <w:sz w:val="24"/>
          <w:szCs w:val="20"/>
          <w:highlight w:val="none"/>
        </w:rPr>
      </w:pPr>
      <w:r>
        <w:rPr>
          <w:rFonts w:hint="eastAsia" w:ascii="仿宋" w:eastAsia="仿宋"/>
          <w:b w:val="0"/>
          <w:color w:val="000000"/>
          <w:kern w:val="0"/>
          <w:sz w:val="24"/>
          <w:highlight w:val="none"/>
        </w:rPr>
        <w:t>（三） 其他责任</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1  中标公司必须遵守劳动法相关规定，与每位员工签订劳动合同，出现劳动纠纷事件一律与采购人无关，并加强对员工的培训、教育，爱护公共财物，确保安全工作，杜绝各类事故；</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2  中标公司工作人员的日常管理及人身安全和发生的安全事故等均由中标公司管理和承担，出现安全事件一律与采购人无关；</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3  中标公司应自觉接受、配合招标人的考核。</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三、甲方的责任和义务</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1、甲方组织实施考核，有权要求乙方整改不符合合同内容、规章制度和违反国家有关病媒生物防制规范的操作；</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2、对甲方交办的其它任务完成情况，以甲方评价为依据，进行扣减分。</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四、乙方的责任和义务</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1、乙方必须严格遵守《劳动法》的有关规定，加强对工作人员的培训和教育，爱护公共财物，确保安全工作，杜绝各类事故。甲方如临时紧急工作任务，乙方必须无条件调动人员，保证完成工作；</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2、按要求配好工作人员和消杀药械，确保工作质量，若甲方提出任何需要整改的意见，乙方应立即予以整改，乙方也可向甲方提出合理化意见和建议。</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3、乙方</w:t>
      </w:r>
      <w:r>
        <w:rPr>
          <w:rFonts w:hint="eastAsia" w:ascii="仿宋" w:eastAsia="仿宋" w:cs="Times New Roman"/>
          <w:color w:val="000000"/>
          <w:kern w:val="0"/>
          <w:sz w:val="24"/>
          <w:highlight w:val="none"/>
        </w:rPr>
        <w:t>签定合同后一个月内未在绍兴市三区（越城区、柯桥区、上虞区）范围内设置办公场所和药物仓库，将扣除相应的承包款。</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五、组成本合同的文件包括：</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1、本合同协议书</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2、中标通知书</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3、投标书及其附件</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4、招标文件</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六、合同期限</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病媒生物防制服务从合同签订之日起一年。</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项目服务到期后，甲方以上级部门委托的第三方病媒生物防制评估为考核依据，若乙方在本期项目服务评估中鉴湖街道成绩均在良好及以上 ，则允许予以续签合同一年。</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七、合同金额</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合同总金额：整（￥：    ）</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八、付款方式</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根据浙财采监〔2022〕3号文、财政部《保障中小企业款项支付条例》的规定，采购人应当在合同签订生效且具备实施条件7个工作日内支付不少于40%的预付款</w:t>
      </w:r>
      <w:r>
        <w:rPr>
          <w:rFonts w:hint="eastAsia" w:ascii="仿宋" w:eastAsia="仿宋"/>
          <w:color w:val="000000"/>
          <w:kern w:val="0"/>
          <w:sz w:val="24"/>
          <w:highlight w:val="none"/>
        </w:rPr>
        <w:t>；</w:t>
      </w:r>
      <w:r>
        <w:rPr>
          <w:rFonts w:hint="eastAsia" w:ascii="仿宋" w:eastAsia="仿宋"/>
          <w:color w:val="000000"/>
          <w:kern w:val="0"/>
          <w:sz w:val="24"/>
          <w:u w:val="none"/>
        </w:rPr>
        <w:t>活动结束，经</w:t>
      </w:r>
      <w:r>
        <w:rPr>
          <w:rFonts w:hint="eastAsia" w:ascii="仿宋" w:eastAsia="仿宋"/>
          <w:color w:val="000000"/>
          <w:kern w:val="0"/>
          <w:sz w:val="24"/>
          <w:u w:val="none"/>
          <w:lang w:eastAsia="zh-CN"/>
        </w:rPr>
        <w:t>采购人确认</w:t>
      </w:r>
      <w:r>
        <w:rPr>
          <w:rFonts w:hint="eastAsia" w:ascii="仿宋" w:eastAsia="仿宋"/>
          <w:color w:val="000000"/>
          <w:kern w:val="0"/>
          <w:sz w:val="24"/>
          <w:u w:val="none"/>
        </w:rPr>
        <w:t>后一次性支付合同</w:t>
      </w:r>
      <w:r>
        <w:rPr>
          <w:rFonts w:hint="eastAsia" w:ascii="仿宋" w:eastAsia="仿宋"/>
          <w:color w:val="000000"/>
          <w:kern w:val="0"/>
          <w:sz w:val="24"/>
          <w:u w:val="none"/>
          <w:lang w:eastAsia="zh-CN"/>
        </w:rPr>
        <w:t>剩余</w:t>
      </w:r>
      <w:r>
        <w:rPr>
          <w:rFonts w:hint="eastAsia" w:ascii="仿宋" w:eastAsia="仿宋"/>
          <w:color w:val="000000"/>
          <w:kern w:val="0"/>
          <w:sz w:val="24"/>
          <w:u w:val="none"/>
        </w:rPr>
        <w:t>款项。</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九、合同的变更与终止</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1、合同的变更与提前终止必须采用书面形式；</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2、本合同规定的履行期限届满，合同自行终止；</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3、在合同履行过程中，如遇不可抗的因素，双方协商以补充合同方式解决。</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十、违约责任</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1、甲方有权随时对乙方的实施情况进行检查，检查中发现乙方未按实施方案、技术方案要求严格执行, 未达到质量要求的；</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2、经第三方监测机构评估及（或）上级部门的检查，消杀现场及四害密度控制未达到国家病媒生物密度控制标准或合同约定的标准要求的；</w:t>
      </w:r>
    </w:p>
    <w:p>
      <w:pPr>
        <w:widowControl/>
        <w:autoSpaceDE/>
        <w:autoSpaceDN/>
        <w:adjustRightInd/>
        <w:snapToGrid w:val="0"/>
        <w:spacing w:line="480" w:lineRule="exact"/>
        <w:ind w:firstLine="480" w:firstLineChars="200"/>
        <w:jc w:val="left"/>
        <w:rPr>
          <w:rFonts w:hint="eastAsia" w:ascii="仿宋" w:eastAsia="仿宋"/>
          <w:color w:val="000000"/>
          <w:kern w:val="0"/>
          <w:sz w:val="24"/>
          <w:highlight w:val="none"/>
          <w:lang w:val="zh-CN"/>
        </w:rPr>
      </w:pPr>
      <w:r>
        <w:rPr>
          <w:rFonts w:hint="eastAsia" w:ascii="仿宋" w:eastAsia="仿宋" w:cs="Times New Roman"/>
          <w:color w:val="000000"/>
          <w:kern w:val="0"/>
          <w:sz w:val="24"/>
          <w:highlight w:val="none"/>
        </w:rPr>
        <w:t>3、乙方使用不合格药物或未</w:t>
      </w:r>
      <w:r>
        <w:rPr>
          <w:rFonts w:hint="eastAsia" w:ascii="仿宋" w:eastAsia="仿宋" w:cs="Times New Roman"/>
          <w:color w:val="000000"/>
          <w:kern w:val="0"/>
          <w:sz w:val="24"/>
          <w:highlight w:val="none"/>
          <w:lang w:val="zh-CN"/>
        </w:rPr>
        <w:t>将使用药物记录备案备查；</w:t>
      </w:r>
    </w:p>
    <w:p>
      <w:pPr>
        <w:widowControl/>
        <w:autoSpaceDE/>
        <w:autoSpaceDN/>
        <w:adjustRightInd/>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4、对甲方的政治任务和公益性消杀等任务，配合不力的；</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5、乙方未按时提交合同约定或甲方要求提供的资料的；</w:t>
      </w:r>
    </w:p>
    <w:p>
      <w:pPr>
        <w:widowControl/>
        <w:snapToGrid w:val="0"/>
        <w:spacing w:line="480" w:lineRule="exact"/>
        <w:ind w:firstLine="480" w:firstLineChars="200"/>
        <w:jc w:val="left"/>
        <w:rPr>
          <w:rFonts w:hint="eastAsia" w:ascii="仿宋" w:eastAsia="仿宋"/>
          <w:color w:val="000000"/>
          <w:kern w:val="0"/>
          <w:sz w:val="24"/>
          <w:highlight w:val="none"/>
          <w:lang w:val="zh-CN"/>
        </w:rPr>
      </w:pPr>
      <w:r>
        <w:rPr>
          <w:rFonts w:hint="eastAsia" w:ascii="仿宋" w:eastAsia="仿宋" w:cs="Times New Roman"/>
          <w:color w:val="000000"/>
          <w:kern w:val="0"/>
          <w:sz w:val="24"/>
          <w:highlight w:val="none"/>
        </w:rPr>
        <w:t>6、甲方随时抽查发现乙方未达到</w:t>
      </w:r>
      <w:r>
        <w:rPr>
          <w:rFonts w:hint="eastAsia" w:ascii="仿宋" w:eastAsia="仿宋" w:cs="Times New Roman"/>
          <w:color w:val="000000"/>
          <w:kern w:val="0"/>
          <w:sz w:val="24"/>
          <w:highlight w:val="none"/>
          <w:lang w:val="zh-CN"/>
        </w:rPr>
        <w:t>申报工作计划的到岗率和消杀到位率的；</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7、其他违反技术标准和服务承诺及乙方应承担的责任和义务的行为；</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对乙方违反上述第1、2、3、4条的行为，甲方可即时提出警告、限期整改并可酌情扣减5%-10%合同价款作为乙方应支付的违约金及赔偿金；合同价款在限期内整改合格后再予支付（扣除违约金及赔偿金）；若经警告后乙方未在限期内整改或整改后仍未达标的，则乙方支付的违约金及赔偿金加倍。若同一违约行为经2次警告后乙方未在限期内整改或经2次整改后仍未达标或乙方中途自行退出或甲方确认乙方不能实现合同目的, 甲方可即时与乙方解除合同，另选其它单位，乙方的履约保证金不再退还，甲方并可要求乙方赔偿因此给甲方造成的全部损失，损失无法计算的，按合同价款的50%支付。</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s="Times New Roman"/>
          <w:color w:val="000000"/>
          <w:kern w:val="0"/>
          <w:sz w:val="24"/>
          <w:highlight w:val="none"/>
        </w:rPr>
        <w:t>对乙方的其他违约行为（包括但不限于不能提供药物采购凭证、没有上报工作计划和工作总结、不能按要求提供消杀记录、甲方测定的群众满意率未到90%等），甲方有权随时提出警告、要求乙方限期整改并可酌情处以1000元/次的违约金；合同价款在限期内整改合格后再予支付（扣除违约金及赔偿金）；若同一违约行为经3次警告后乙方未在限期内整改或经3次整改后仍未达标，甲方可即时与乙方解除合同，另选其它单位，乙方的履约保证金不再退还，甲方并可要求乙方赔偿因此给甲方造成的全部损失，损失无法计算的，按合同价款的50%支付</w:t>
      </w:r>
      <w:r>
        <w:rPr>
          <w:rFonts w:hint="eastAsia" w:ascii="仿宋" w:eastAsia="仿宋"/>
          <w:color w:val="000000"/>
          <w:kern w:val="0"/>
          <w:sz w:val="24"/>
          <w:highlight w:val="none"/>
        </w:rPr>
        <w:t>。</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十一、争议解决</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在履行合同中，如双方发生争议，双方本着互谅互让的原则友好协商解决，协商不成可向合同执行地人民法院提起诉讼。</w:t>
      </w:r>
    </w:p>
    <w:p>
      <w:pPr>
        <w:widowControl/>
        <w:snapToGrid w:val="0"/>
        <w:spacing w:line="480" w:lineRule="exact"/>
        <w:ind w:firstLine="480" w:firstLineChars="200"/>
        <w:jc w:val="left"/>
        <w:rPr>
          <w:rFonts w:hint="eastAsia" w:ascii="仿宋" w:eastAsia="仿宋"/>
          <w:b w:val="0"/>
          <w:bCs w:val="0"/>
          <w:color w:val="000000"/>
          <w:kern w:val="0"/>
          <w:sz w:val="24"/>
          <w:highlight w:val="none"/>
        </w:rPr>
      </w:pPr>
      <w:r>
        <w:rPr>
          <w:rFonts w:hint="eastAsia" w:ascii="仿宋" w:eastAsia="仿宋"/>
          <w:b w:val="0"/>
          <w:bCs w:val="0"/>
          <w:color w:val="000000"/>
          <w:kern w:val="0"/>
          <w:sz w:val="24"/>
          <w:highlight w:val="none"/>
        </w:rPr>
        <w:t>十二、合同生效</w:t>
      </w:r>
    </w:p>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本合同一式五份，甲方、乙方、招标投标监督办各执一份。本合同经双方授权代表签字盖章后生效。</w:t>
      </w:r>
    </w:p>
    <w:p>
      <w:pPr>
        <w:widowControl/>
        <w:snapToGrid w:val="0"/>
        <w:spacing w:line="480" w:lineRule="exact"/>
        <w:ind w:firstLine="480" w:firstLineChars="200"/>
        <w:jc w:val="left"/>
        <w:rPr>
          <w:rFonts w:hint="eastAsia" w:ascii="仿宋" w:eastAsia="仿宋"/>
          <w:color w:val="000000"/>
          <w:kern w:val="0"/>
          <w:sz w:val="24"/>
          <w:highlight w:val="none"/>
        </w:rPr>
      </w:pPr>
    </w:p>
    <w:tbl>
      <w:tblPr>
        <w:tblStyle w:val="28"/>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44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甲方单位</w:t>
            </w:r>
          </w:p>
        </w:tc>
        <w:tc>
          <w:tcPr>
            <w:tcW w:w="234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（盖章）</w:t>
            </w:r>
          </w:p>
        </w:tc>
        <w:tc>
          <w:tcPr>
            <w:tcW w:w="162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乙方单位</w:t>
            </w:r>
          </w:p>
        </w:tc>
        <w:tc>
          <w:tcPr>
            <w:tcW w:w="270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44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代表签名</w:t>
            </w:r>
          </w:p>
        </w:tc>
        <w:tc>
          <w:tcPr>
            <w:tcW w:w="234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c>
          <w:tcPr>
            <w:tcW w:w="162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代表签名</w:t>
            </w:r>
          </w:p>
        </w:tc>
        <w:tc>
          <w:tcPr>
            <w:tcW w:w="270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44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地   址</w:t>
            </w:r>
          </w:p>
        </w:tc>
        <w:tc>
          <w:tcPr>
            <w:tcW w:w="234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c>
          <w:tcPr>
            <w:tcW w:w="162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地   址</w:t>
            </w:r>
          </w:p>
        </w:tc>
        <w:tc>
          <w:tcPr>
            <w:tcW w:w="270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44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电   话</w:t>
            </w:r>
          </w:p>
        </w:tc>
        <w:tc>
          <w:tcPr>
            <w:tcW w:w="234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c>
          <w:tcPr>
            <w:tcW w:w="162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电    话</w:t>
            </w:r>
          </w:p>
        </w:tc>
        <w:tc>
          <w:tcPr>
            <w:tcW w:w="270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44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开户银行</w:t>
            </w:r>
          </w:p>
        </w:tc>
        <w:tc>
          <w:tcPr>
            <w:tcW w:w="234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c>
          <w:tcPr>
            <w:tcW w:w="162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开户银行</w:t>
            </w:r>
          </w:p>
        </w:tc>
        <w:tc>
          <w:tcPr>
            <w:tcW w:w="270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440" w:type="dxa"/>
            <w:vAlign w:val="center"/>
          </w:tcPr>
          <w:p>
            <w:pPr>
              <w:widowControl/>
              <w:snapToGrid w:val="0"/>
              <w:spacing w:line="480" w:lineRule="exact"/>
              <w:ind w:firstLine="0" w:firstLineChars="0"/>
              <w:jc w:val="left"/>
              <w:rPr>
                <w:rFonts w:hint="eastAsia" w:ascii="仿宋" w:eastAsia="仿宋"/>
                <w:color w:val="000000"/>
                <w:kern w:val="0"/>
                <w:sz w:val="24"/>
                <w:highlight w:val="none"/>
              </w:rPr>
            </w:pPr>
            <w:r>
              <w:rPr>
                <w:rFonts w:hint="eastAsia" w:ascii="仿宋" w:eastAsia="仿宋"/>
                <w:color w:val="000000"/>
                <w:kern w:val="0"/>
                <w:sz w:val="24"/>
                <w:highlight w:val="none"/>
              </w:rPr>
              <w:t>帐   号</w:t>
            </w:r>
          </w:p>
        </w:tc>
        <w:tc>
          <w:tcPr>
            <w:tcW w:w="234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c>
          <w:tcPr>
            <w:tcW w:w="162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r>
              <w:rPr>
                <w:rFonts w:hint="eastAsia" w:ascii="仿宋" w:eastAsia="仿宋"/>
                <w:color w:val="000000"/>
                <w:kern w:val="0"/>
                <w:sz w:val="24"/>
                <w:highlight w:val="none"/>
              </w:rPr>
              <w:t>帐   号</w:t>
            </w:r>
          </w:p>
        </w:tc>
        <w:tc>
          <w:tcPr>
            <w:tcW w:w="2700" w:type="dxa"/>
            <w:vAlign w:val="center"/>
          </w:tcPr>
          <w:p>
            <w:pPr>
              <w:widowControl/>
              <w:snapToGrid w:val="0"/>
              <w:spacing w:line="480" w:lineRule="exact"/>
              <w:ind w:firstLine="480" w:firstLineChars="200"/>
              <w:jc w:val="left"/>
              <w:rPr>
                <w:rFonts w:hint="eastAsia" w:ascii="仿宋" w:eastAsia="仿宋"/>
                <w:color w:val="000000"/>
                <w:kern w:val="0"/>
                <w:sz w:val="24"/>
                <w:highlight w:val="none"/>
              </w:rPr>
            </w:pPr>
          </w:p>
        </w:tc>
      </w:tr>
    </w:tbl>
    <w:p>
      <w:pPr>
        <w:rPr>
          <w:rFonts w:hint="eastAsia"/>
        </w:rPr>
      </w:pPr>
      <w:bookmarkStart w:id="44" w:name="_Toc14424"/>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
        <w:keepNext/>
        <w:keepLines/>
        <w:pageBreakBefore w:val="0"/>
        <w:widowControl w:val="0"/>
        <w:suppressLineNumbers w:val="0"/>
        <w:suppressAutoHyphens w:val="0"/>
        <w:spacing w:line="578" w:lineRule="auto"/>
        <w:jc w:val="center"/>
        <w:rPr>
          <w:rFonts w:hint="eastAsia" w:ascii="仿宋"/>
        </w:rPr>
      </w:pPr>
      <w:r>
        <w:rPr>
          <w:rFonts w:hint="eastAsia" w:ascii="仿宋"/>
        </w:rPr>
        <w:t>第五章  评标办法及标准</w:t>
      </w:r>
      <w:bookmarkEnd w:id="44"/>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80</w:t>
      </w:r>
      <w:r>
        <w:rPr>
          <w:rFonts w:hint="eastAsia" w:ascii="仿宋" w:eastAsia="仿宋"/>
          <w:sz w:val="24"/>
        </w:rPr>
        <w:t>分，价格分</w:t>
      </w:r>
      <w:r>
        <w:rPr>
          <w:rFonts w:hint="eastAsia" w:ascii="仿宋" w:eastAsia="仿宋"/>
          <w:sz w:val="24"/>
          <w:u w:val="single"/>
          <w:lang w:val="en-US" w:eastAsia="zh-CN"/>
        </w:rPr>
        <w:t>20</w:t>
      </w:r>
      <w:r>
        <w:rPr>
          <w:rFonts w:hint="eastAsia" w:ascii="仿宋" w:eastAsia="仿宋"/>
          <w:sz w:val="24"/>
        </w:rPr>
        <w:t>分。下述所列为评分依据，分值如下（计算分值时，按其算术平均值保留小数2位）。</w:t>
      </w:r>
    </w:p>
    <w:p>
      <w:pPr>
        <w:widowControl/>
        <w:snapToGrid w:val="0"/>
        <w:spacing w:line="480" w:lineRule="exact"/>
        <w:rPr>
          <w:rFonts w:hint="eastAsia" w:ascii="宋体" w:hAnsi="宋体" w:eastAsia="宋体" w:cs="宋体"/>
          <w:b/>
          <w:bCs/>
          <w:color w:val="000000"/>
          <w:kern w:val="0"/>
          <w:sz w:val="28"/>
          <w:szCs w:val="28"/>
          <w:highlight w:val="none"/>
        </w:rPr>
      </w:pPr>
      <w:r>
        <w:rPr>
          <w:rFonts w:hint="eastAsia" w:ascii="仿宋" w:eastAsia="仿宋"/>
          <w:b/>
          <w:bCs/>
          <w:sz w:val="24"/>
          <w:highlight w:val="none"/>
          <w:bdr w:val="single" w:color="auto" w:sz="4" w:space="0"/>
        </w:rPr>
        <w:t>01标</w:t>
      </w:r>
      <w:r>
        <w:rPr>
          <w:rFonts w:hint="eastAsia" w:ascii="仿宋" w:eastAsia="仿宋"/>
          <w:b/>
          <w:bCs/>
          <w:color w:val="000000"/>
          <w:kern w:val="0"/>
          <w:sz w:val="24"/>
          <w:highlight w:val="none"/>
          <w:u w:val="none"/>
        </w:rPr>
        <w:t>商务技术分</w:t>
      </w:r>
      <w:r>
        <w:rPr>
          <w:rFonts w:hint="eastAsia" w:asciiTheme="majorEastAsia" w:hAnsiTheme="majorEastAsia" w:eastAsiaTheme="majorEastAsia"/>
          <w:b/>
          <w:bCs/>
          <w:kern w:val="0"/>
          <w:sz w:val="24"/>
          <w:highlight w:val="none"/>
        </w:rPr>
        <w:t>（80分）</w:t>
      </w:r>
      <w:r>
        <w:rPr>
          <w:rFonts w:asciiTheme="majorEastAsia" w:hAnsiTheme="majorEastAsia" w:eastAsiaTheme="majorEastAsia"/>
          <w:b/>
          <w:bCs/>
          <w:kern w:val="0"/>
          <w:sz w:val="24"/>
          <w:highlight w:val="none"/>
        </w:rPr>
        <w:t>：</w:t>
      </w:r>
    </w:p>
    <w:tbl>
      <w:tblPr>
        <w:tblStyle w:val="28"/>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00"/>
        <w:gridCol w:w="6079"/>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blHeader/>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00" w:type="dxa"/>
            <w:noWrap w:val="0"/>
            <w:vAlign w:val="center"/>
          </w:tcPr>
          <w:p>
            <w:pPr>
              <w:pStyle w:val="17"/>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评定项目</w:t>
            </w:r>
          </w:p>
        </w:tc>
        <w:tc>
          <w:tcPr>
            <w:tcW w:w="6079" w:type="dxa"/>
            <w:noWrap w:val="0"/>
            <w:vAlign w:val="center"/>
          </w:tcPr>
          <w:p>
            <w:pPr>
              <w:pStyle w:val="17"/>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备注</w:t>
            </w:r>
          </w:p>
        </w:tc>
        <w:tc>
          <w:tcPr>
            <w:tcW w:w="827" w:type="dxa"/>
            <w:noWrap w:val="0"/>
            <w:vAlign w:val="center"/>
          </w:tcPr>
          <w:p>
            <w:pPr>
              <w:pStyle w:val="17"/>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分值</w:t>
            </w:r>
          </w:p>
          <w:p>
            <w:pPr>
              <w:pStyle w:val="17"/>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00" w:type="dxa"/>
            <w:noWrap w:val="0"/>
            <w:vAlign w:val="center"/>
          </w:tcPr>
          <w:p>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投标人综合实力</w:t>
            </w:r>
          </w:p>
        </w:tc>
        <w:tc>
          <w:tcPr>
            <w:tcW w:w="6079" w:type="dxa"/>
            <w:noWrap w:val="0"/>
            <w:vAlign w:val="center"/>
          </w:tcPr>
          <w:p>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w:t>
            </w:r>
            <w:r>
              <w:rPr>
                <w:rFonts w:hint="eastAsia" w:ascii="仿宋" w:hAnsi="仿宋" w:eastAsia="仿宋" w:cs="仿宋"/>
                <w:color w:val="auto"/>
                <w:sz w:val="24"/>
                <w:szCs w:val="24"/>
                <w:highlight w:val="none"/>
                <w:lang w:eastAsia="zh-CN"/>
              </w:rPr>
              <w:t>地级市及以上相关部门颁发的有害生物防制服务机构能力证书</w:t>
            </w:r>
            <w:r>
              <w:rPr>
                <w:rFonts w:hint="eastAsia" w:ascii="仿宋" w:hAnsi="仿宋" w:eastAsia="仿宋" w:cs="仿宋"/>
                <w:color w:val="auto"/>
                <w:sz w:val="24"/>
                <w:szCs w:val="24"/>
                <w:highlight w:val="none"/>
              </w:rPr>
              <w:t>A级</w:t>
            </w:r>
            <w:r>
              <w:rPr>
                <w:rFonts w:hint="eastAsia" w:ascii="仿宋" w:hAnsi="仿宋" w:eastAsia="仿宋" w:cs="仿宋"/>
                <w:color w:val="auto"/>
                <w:sz w:val="24"/>
                <w:szCs w:val="24"/>
                <w:highlight w:val="none"/>
                <w:lang w:eastAsia="zh-CN"/>
              </w:rPr>
              <w:t>或有害生物防制服务机构能力证书甲级资质</w:t>
            </w:r>
            <w:r>
              <w:rPr>
                <w:rFonts w:hint="eastAsia" w:ascii="仿宋" w:hAnsi="仿宋" w:eastAsia="仿宋" w:cs="仿宋"/>
                <w:color w:val="auto"/>
                <w:sz w:val="24"/>
                <w:szCs w:val="24"/>
                <w:highlight w:val="none"/>
              </w:rPr>
              <w:t>证书的得3分，</w:t>
            </w:r>
            <w:r>
              <w:rPr>
                <w:rFonts w:hint="eastAsia" w:ascii="仿宋" w:hAnsi="仿宋" w:eastAsia="仿宋" w:cs="仿宋"/>
                <w:color w:val="auto"/>
                <w:sz w:val="24"/>
                <w:szCs w:val="24"/>
                <w:highlight w:val="none"/>
                <w:lang w:eastAsia="zh-CN"/>
              </w:rPr>
              <w:t>有害生物防制服务机构能力证书</w:t>
            </w:r>
            <w:r>
              <w:rPr>
                <w:rFonts w:hint="eastAsia" w:ascii="仿宋" w:hAnsi="仿宋" w:eastAsia="仿宋" w:cs="仿宋"/>
                <w:color w:val="auto"/>
                <w:sz w:val="24"/>
                <w:szCs w:val="24"/>
                <w:highlight w:val="none"/>
              </w:rPr>
              <w:t>B级</w:t>
            </w:r>
            <w:r>
              <w:rPr>
                <w:rFonts w:hint="eastAsia" w:ascii="仿宋" w:hAnsi="仿宋" w:eastAsia="仿宋" w:cs="仿宋"/>
                <w:color w:val="auto"/>
                <w:sz w:val="24"/>
                <w:szCs w:val="24"/>
                <w:highlight w:val="none"/>
                <w:lang w:eastAsia="zh-CN"/>
              </w:rPr>
              <w:t>或有害生物防制服务机构能力证书乙级</w:t>
            </w:r>
            <w:r>
              <w:rPr>
                <w:rFonts w:hint="eastAsia" w:ascii="仿宋" w:hAnsi="仿宋" w:eastAsia="仿宋" w:cs="仿宋"/>
                <w:color w:val="auto"/>
                <w:sz w:val="24"/>
                <w:szCs w:val="24"/>
                <w:highlight w:val="none"/>
              </w:rPr>
              <w:t>证书的得2分，</w:t>
            </w:r>
            <w:r>
              <w:rPr>
                <w:rFonts w:hint="eastAsia" w:ascii="仿宋" w:hAnsi="仿宋" w:eastAsia="仿宋" w:cs="仿宋"/>
                <w:color w:val="auto"/>
                <w:sz w:val="24"/>
                <w:szCs w:val="24"/>
                <w:highlight w:val="none"/>
                <w:lang w:eastAsia="zh-CN"/>
              </w:rPr>
              <w:t>有害生物防制服务机构能力证书</w:t>
            </w:r>
            <w:r>
              <w:rPr>
                <w:rFonts w:hint="eastAsia" w:ascii="仿宋" w:hAnsi="仿宋" w:eastAsia="仿宋" w:cs="仿宋"/>
                <w:color w:val="auto"/>
                <w:sz w:val="24"/>
                <w:szCs w:val="24"/>
                <w:highlight w:val="none"/>
              </w:rPr>
              <w:t>C级</w:t>
            </w:r>
            <w:r>
              <w:rPr>
                <w:rFonts w:hint="eastAsia" w:ascii="仿宋" w:hAnsi="仿宋" w:eastAsia="仿宋" w:cs="仿宋"/>
                <w:color w:val="auto"/>
                <w:sz w:val="24"/>
                <w:szCs w:val="24"/>
                <w:highlight w:val="none"/>
                <w:lang w:eastAsia="zh-CN"/>
              </w:rPr>
              <w:t>或有害生物防制服务机构能力证书丙级</w:t>
            </w:r>
            <w:r>
              <w:rPr>
                <w:rFonts w:hint="eastAsia" w:ascii="仿宋" w:hAnsi="仿宋" w:eastAsia="仿宋" w:cs="仿宋"/>
                <w:color w:val="auto"/>
                <w:sz w:val="24"/>
                <w:szCs w:val="24"/>
                <w:highlight w:val="none"/>
              </w:rPr>
              <w:t>证书得1分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CN"/>
              </w:rPr>
              <w:t>需在投标文件中提供</w:t>
            </w:r>
            <w:r>
              <w:rPr>
                <w:rFonts w:hint="eastAsia" w:ascii="仿宋" w:hAnsi="仿宋" w:eastAsia="仿宋" w:cs="仿宋"/>
                <w:color w:val="auto"/>
                <w:sz w:val="24"/>
                <w:szCs w:val="24"/>
                <w:highlight w:val="none"/>
              </w:rPr>
              <w:t>表彰文件或表彰证书</w:t>
            </w:r>
            <w:r>
              <w:rPr>
                <w:rFonts w:hint="eastAsia" w:ascii="仿宋" w:hAnsi="仿宋" w:eastAsia="仿宋" w:cs="仿宋"/>
                <w:color w:val="auto"/>
                <w:sz w:val="24"/>
                <w:szCs w:val="24"/>
                <w:highlight w:val="none"/>
                <w:lang w:val="zh-CN"/>
              </w:rPr>
              <w:t>原件彩色扫描件或图片，否则不得分。</w:t>
            </w:r>
          </w:p>
        </w:tc>
        <w:tc>
          <w:tcPr>
            <w:tcW w:w="827"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p>
        </w:tc>
        <w:tc>
          <w:tcPr>
            <w:tcW w:w="1600" w:type="dxa"/>
            <w:noWrap w:val="0"/>
            <w:vAlign w:val="center"/>
          </w:tcPr>
          <w:p>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企业荣誉</w:t>
            </w:r>
          </w:p>
        </w:tc>
        <w:tc>
          <w:tcPr>
            <w:tcW w:w="6079" w:type="dxa"/>
            <w:noWrap w:val="0"/>
            <w:vAlign w:val="center"/>
          </w:tcPr>
          <w:p>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投标人获得省级及以上政府部门颁发的先进集体荣誉的得3分；市级及以上表彰荣誉的得2分；县、区级表彰荣誉的得1分；（就高计取，不得累计得分）本项最高得3分。</w:t>
            </w:r>
          </w:p>
          <w:p>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注：需在投标文件中提供表彰文件或表彰证书原件彩色扫描件或图片，否则不得分。</w:t>
            </w:r>
          </w:p>
        </w:tc>
        <w:tc>
          <w:tcPr>
            <w:tcW w:w="827"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600"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创文明城市</w:t>
            </w:r>
          </w:p>
        </w:tc>
        <w:tc>
          <w:tcPr>
            <w:tcW w:w="6079" w:type="dxa"/>
            <w:noWrap w:val="0"/>
            <w:vAlign w:val="center"/>
          </w:tcPr>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投标人获得地市级及以上人民政府颁发的创建全国文明城市或全国卫生城市嘉奖的一个得2分，没有的不得分，最高得2分。</w:t>
            </w:r>
          </w:p>
          <w:p>
            <w:pPr>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需在投标文件中提供表彰文件或表彰证书原件彩色扫描件或图片，否则不得分。</w:t>
            </w:r>
          </w:p>
        </w:tc>
        <w:tc>
          <w:tcPr>
            <w:tcW w:w="827" w:type="dxa"/>
            <w:noWrap w:val="0"/>
            <w:vAlign w:val="center"/>
          </w:tcPr>
          <w:p>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w:t>
            </w:r>
          </w:p>
        </w:tc>
        <w:tc>
          <w:tcPr>
            <w:tcW w:w="1600" w:type="dxa"/>
            <w:noWrap w:val="0"/>
            <w:vAlign w:val="center"/>
          </w:tcPr>
          <w:p>
            <w:pPr>
              <w:widowControl/>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企业认证</w:t>
            </w:r>
          </w:p>
        </w:tc>
        <w:tc>
          <w:tcPr>
            <w:tcW w:w="6079" w:type="dxa"/>
            <w:noWrap w:val="0"/>
            <w:vAlign w:val="center"/>
          </w:tcPr>
          <w:p>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1、具有有效质量管理体系认证得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2、具有有效企业社会责任管理体系认证得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3、具有有效诚信管理体系认证得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p>
          <w:p>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注：须提供上述各项证明材料</w:t>
            </w:r>
            <w:r>
              <w:rPr>
                <w:rFonts w:hint="eastAsia" w:ascii="仿宋" w:hAnsi="仿宋" w:eastAsia="仿宋" w:cs="仿宋"/>
                <w:color w:val="auto"/>
                <w:sz w:val="24"/>
                <w:szCs w:val="24"/>
                <w:lang w:val="en-US" w:eastAsia="zh-CN"/>
              </w:rPr>
              <w:t>扫描</w:t>
            </w:r>
            <w:r>
              <w:rPr>
                <w:rFonts w:hint="eastAsia" w:ascii="仿宋" w:hAnsi="仿宋" w:eastAsia="仿宋" w:cs="仿宋"/>
                <w:color w:val="auto"/>
                <w:sz w:val="24"/>
                <w:szCs w:val="24"/>
              </w:rPr>
              <w:t>件并加盖投标人公章。</w:t>
            </w:r>
          </w:p>
          <w:p>
            <w:pPr>
              <w:widowControl/>
              <w:spacing w:line="24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注：（注：以上证书须由通过国家认证认可监督管理委员会备案通过的认证机构颁发，提供证书复印件及全国认证认可信息公共服务平台的网页查询截图。）</w:t>
            </w:r>
          </w:p>
        </w:tc>
        <w:tc>
          <w:tcPr>
            <w:tcW w:w="827" w:type="dxa"/>
            <w:noWrap w:val="0"/>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600" w:type="dxa"/>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技术方案</w:t>
            </w:r>
          </w:p>
        </w:tc>
        <w:tc>
          <w:tcPr>
            <w:tcW w:w="6079" w:type="dxa"/>
            <w:noWrap w:val="0"/>
            <w:vAlign w:val="center"/>
          </w:tcPr>
          <w:p>
            <w:pPr>
              <w:spacing w:line="240" w:lineRule="auto"/>
              <w:rPr>
                <w:rFonts w:hint="eastAsia" w:ascii="仿宋" w:hAnsi="仿宋" w:eastAsia="仿宋" w:cs="仿宋"/>
                <w:sz w:val="24"/>
                <w:szCs w:val="24"/>
              </w:rPr>
            </w:pPr>
            <w:r>
              <w:rPr>
                <w:rFonts w:hint="eastAsia" w:ascii="仿宋" w:hAnsi="仿宋" w:eastAsia="仿宋" w:cs="仿宋"/>
                <w:sz w:val="24"/>
                <w:szCs w:val="24"/>
              </w:rPr>
              <w:t>根据以下内容进行评分：</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1、有完善的内部组织管理制度（工作考勤、监督管理机制及奖罚管理）（0-</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2、社区、建筑、外环境的特点认识情况（0-</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3、防治对象、种类、孳生地调查、密度监测控制方法（0-</w:t>
            </w:r>
            <w:r>
              <w:rPr>
                <w:rFonts w:hint="eastAsia" w:ascii="仿宋" w:hAnsi="仿宋" w:eastAsia="仿宋" w:cs="仿宋"/>
                <w:sz w:val="24"/>
                <w:szCs w:val="24"/>
                <w:lang w:val="en-US" w:eastAsia="zh-CN"/>
              </w:rPr>
              <w:t>7</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4、可操作性情况（0-</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5、选择药物的合理性和安全性，依据不同环境采用药物的种类、量、及使用方法（0-</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827"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1600" w:type="dxa"/>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实施方案</w:t>
            </w:r>
          </w:p>
        </w:tc>
        <w:tc>
          <w:tcPr>
            <w:tcW w:w="6079" w:type="dxa"/>
            <w:noWrap w:val="0"/>
            <w:vAlign w:val="center"/>
          </w:tcPr>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根据以下内容进行评分：</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1、完成除四害工作总体思路的完整性、正确性，实施细则的完善性（0-3分）。</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2、对四害防治工作特点的认识情况（0-2分）。</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3、对每种害虫防治周期安排的合理性（0-3分）。</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4、人员组织和设备安排情况（0-2分）。</w:t>
            </w:r>
          </w:p>
          <w:p>
            <w:pPr>
              <w:widowControl/>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val="en-US" w:eastAsia="zh-CN"/>
              </w:rPr>
              <w:t>突发疫情处理、</w:t>
            </w:r>
            <w:r>
              <w:rPr>
                <w:rFonts w:hint="eastAsia" w:ascii="仿宋" w:hAnsi="仿宋" w:eastAsia="仿宋" w:cs="仿宋"/>
                <w:kern w:val="0"/>
                <w:sz w:val="24"/>
                <w:szCs w:val="24"/>
              </w:rPr>
              <w:t>迎检应急工作预案和药物中毒处置预案</w:t>
            </w:r>
            <w:r>
              <w:rPr>
                <w:rFonts w:hint="eastAsia" w:ascii="仿宋" w:hAnsi="仿宋" w:eastAsia="仿宋" w:cs="仿宋"/>
                <w:kern w:val="0"/>
                <w:sz w:val="24"/>
                <w:szCs w:val="24"/>
                <w:lang w:val="en-US" w:eastAsia="zh-CN"/>
              </w:rPr>
              <w:t>及实例</w:t>
            </w: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分）。</w:t>
            </w:r>
          </w:p>
          <w:p>
            <w:pPr>
              <w:spacing w:line="240" w:lineRule="auto"/>
              <w:rPr>
                <w:rFonts w:hint="eastAsia" w:ascii="仿宋" w:hAnsi="仿宋" w:eastAsia="仿宋" w:cs="仿宋"/>
                <w:sz w:val="24"/>
                <w:szCs w:val="24"/>
              </w:rPr>
            </w:pPr>
            <w:r>
              <w:rPr>
                <w:rFonts w:hint="eastAsia" w:ascii="仿宋" w:hAnsi="仿宋" w:eastAsia="仿宋" w:cs="仿宋"/>
                <w:kern w:val="0"/>
                <w:sz w:val="24"/>
                <w:szCs w:val="24"/>
              </w:rPr>
              <w:t>6、“除四害”培训、宣传方案安排科学合理（0-3分）。</w:t>
            </w:r>
          </w:p>
        </w:tc>
        <w:tc>
          <w:tcPr>
            <w:tcW w:w="827"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7</w:t>
            </w:r>
          </w:p>
        </w:tc>
        <w:tc>
          <w:tcPr>
            <w:tcW w:w="1600" w:type="dxa"/>
            <w:noWrap w:val="0"/>
            <w:vAlign w:val="center"/>
          </w:tcPr>
          <w:p>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人员要求</w:t>
            </w:r>
          </w:p>
        </w:tc>
        <w:tc>
          <w:tcPr>
            <w:tcW w:w="6079" w:type="dxa"/>
            <w:noWrap w:val="0"/>
            <w:vAlign w:val="center"/>
          </w:tcPr>
          <w:p>
            <w:pPr>
              <w:widowControl/>
              <w:spacing w:line="240" w:lineRule="auto"/>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lang w:val="en-US" w:eastAsia="zh-CN"/>
              </w:rPr>
              <w:t>1、同时</w:t>
            </w:r>
            <w:r>
              <w:rPr>
                <w:rFonts w:hint="eastAsia" w:ascii="仿宋" w:hAnsi="仿宋" w:eastAsia="仿宋" w:cs="仿宋"/>
                <w:kern w:val="0"/>
                <w:sz w:val="24"/>
                <w:szCs w:val="24"/>
                <w:highlight w:val="none"/>
                <w:lang w:val="en-US" w:eastAsia="zh-CN"/>
              </w:rPr>
              <w:t>具有本科及以上学历的得0.5分、</w:t>
            </w:r>
            <w:r>
              <w:rPr>
                <w:rFonts w:hint="eastAsia" w:ascii="仿宋" w:hAnsi="仿宋" w:eastAsia="仿宋" w:cs="仿宋"/>
                <w:kern w:val="0"/>
                <w:sz w:val="24"/>
                <w:szCs w:val="24"/>
                <w:lang w:val="en-US" w:eastAsia="zh-CN"/>
              </w:rPr>
              <w:t>省科技厅或住建部或人社局颁发的相关专业中级职称的得0.5分或者相关专业</w:t>
            </w:r>
            <w:r>
              <w:rPr>
                <w:rFonts w:hint="eastAsia" w:ascii="仿宋" w:hAnsi="仿宋" w:eastAsia="仿宋" w:cs="仿宋"/>
                <w:kern w:val="0"/>
                <w:sz w:val="24"/>
                <w:szCs w:val="24"/>
                <w:highlight w:val="none"/>
                <w:lang w:val="en-US" w:eastAsia="zh-CN"/>
              </w:rPr>
              <w:t>高级职称的得1分</w:t>
            </w:r>
            <w:r>
              <w:rPr>
                <w:rFonts w:hint="eastAsia" w:ascii="仿宋" w:hAnsi="仿宋" w:eastAsia="仿宋" w:cs="仿宋"/>
                <w:kern w:val="0"/>
                <w:sz w:val="24"/>
                <w:szCs w:val="24"/>
                <w:lang w:val="en-US" w:eastAsia="zh-CN"/>
              </w:rPr>
              <w:t>、有害生物防制员职业资格证书（三级或高级）及以上资格证书的得0.5分，最高得</w:t>
            </w:r>
            <w:r>
              <w:rPr>
                <w:rFonts w:hint="eastAsia" w:ascii="仿宋" w:hAnsi="仿宋" w:eastAsia="仿宋" w:cs="仿宋"/>
                <w:kern w:val="0"/>
                <w:sz w:val="24"/>
                <w:szCs w:val="24"/>
                <w:highlight w:val="none"/>
                <w:lang w:val="en-US" w:eastAsia="zh-CN"/>
              </w:rPr>
              <w:t>2分。</w:t>
            </w:r>
          </w:p>
          <w:p>
            <w:pPr>
              <w:widowControl/>
              <w:spacing w:line="24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2、具有有害生物防制员职业资格证书（三级或高级）及以上资格证书，每人得1分；本项最高得2分；</w:t>
            </w:r>
          </w:p>
          <w:p>
            <w:pPr>
              <w:widowControl/>
              <w:spacing w:line="24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技术人员：</w:t>
            </w:r>
          </w:p>
          <w:p>
            <w:pPr>
              <w:widowControl/>
              <w:numPr>
                <w:ilvl w:val="0"/>
                <w:numId w:val="6"/>
              </w:numPr>
              <w:spacing w:line="240" w:lineRule="auto"/>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zh-CN"/>
              </w:rPr>
              <w:t>技术人员</w:t>
            </w:r>
            <w:r>
              <w:rPr>
                <w:rFonts w:hint="eastAsia" w:ascii="仿宋" w:hAnsi="仿宋" w:eastAsia="仿宋" w:cs="仿宋"/>
                <w:kern w:val="0"/>
                <w:sz w:val="24"/>
                <w:szCs w:val="24"/>
                <w:highlight w:val="none"/>
                <w:lang w:val="en-US" w:eastAsia="zh-CN"/>
              </w:rPr>
              <w:t>中（除项目负责人外）具有有害生物防制员职业资格证书（五级或初级）人员，一人得0.5分，最高得4分；具有有害生物防制员职业资格证书（四级或中级）及以上人员，一人得1分，</w:t>
            </w:r>
            <w:r>
              <w:rPr>
                <w:rFonts w:hint="eastAsia" w:ascii="仿宋" w:hAnsi="仿宋" w:eastAsia="仿宋" w:cs="仿宋"/>
                <w:kern w:val="0"/>
                <w:sz w:val="24"/>
                <w:szCs w:val="24"/>
                <w:highlight w:val="none"/>
                <w:lang w:val="zh-CN"/>
              </w:rPr>
              <w:t>最高得分</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lang w:val="zh-CN"/>
              </w:rPr>
              <w:t>分。</w:t>
            </w:r>
            <w:r>
              <w:rPr>
                <w:rFonts w:hint="eastAsia" w:ascii="仿宋" w:hAnsi="仿宋" w:eastAsia="仿宋" w:cs="仿宋"/>
                <w:kern w:val="0"/>
                <w:sz w:val="24"/>
                <w:szCs w:val="24"/>
                <w:highlight w:val="none"/>
                <w:lang w:val="en-US" w:eastAsia="zh-CN"/>
              </w:rPr>
              <w:t>本项最高得4分。</w:t>
            </w:r>
          </w:p>
          <w:p>
            <w:pPr>
              <w:widowControl/>
              <w:numPr>
                <w:ilvl w:val="0"/>
                <w:numId w:val="0"/>
              </w:numPr>
              <w:spacing w:line="240" w:lineRule="auto"/>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lang w:val="zh-CN"/>
              </w:rPr>
              <w:t>技术人员</w:t>
            </w:r>
            <w:r>
              <w:rPr>
                <w:rFonts w:hint="eastAsia" w:ascii="仿宋" w:hAnsi="仿宋" w:eastAsia="仿宋" w:cs="仿宋"/>
                <w:kern w:val="0"/>
                <w:sz w:val="24"/>
                <w:szCs w:val="24"/>
                <w:highlight w:val="none"/>
                <w:lang w:val="en-US" w:eastAsia="zh-CN"/>
              </w:rPr>
              <w:t>中具有15人及以上拥有病媒相关培训合格证书的得3分，10人（含）-15人（不含）得2分，5人（含）-10人（不含）得1分，5人以下不得分，本项最高得3分</w:t>
            </w:r>
          </w:p>
          <w:p>
            <w:pPr>
              <w:spacing w:line="240" w:lineRule="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eastAsia="zh-CN"/>
              </w:rPr>
              <w:t>资格</w:t>
            </w:r>
            <w:r>
              <w:rPr>
                <w:rFonts w:hint="eastAsia" w:ascii="仿宋" w:hAnsi="仿宋" w:eastAsia="仿宋" w:cs="仿宋"/>
                <w:b/>
                <w:bCs/>
                <w:sz w:val="24"/>
                <w:szCs w:val="24"/>
                <w:highlight w:val="none"/>
              </w:rPr>
              <w:t>证书需通过人社部官网：技能人才评价证书全国联网查询系统”（网址：zscx.osta.org.cn或jndj.osta.org.cn）查询截图。）须提</w:t>
            </w:r>
            <w:r>
              <w:rPr>
                <w:rFonts w:hint="eastAsia" w:ascii="仿宋" w:hAnsi="仿宋" w:eastAsia="仿宋" w:cs="仿宋"/>
                <w:b/>
                <w:bCs/>
                <w:sz w:val="24"/>
                <w:szCs w:val="24"/>
                <w:highlight w:val="none"/>
                <w:lang w:val="en-US" w:eastAsia="zh-CN"/>
              </w:rPr>
              <w:t>供人员</w:t>
            </w:r>
            <w:r>
              <w:rPr>
                <w:rFonts w:hint="eastAsia" w:ascii="仿宋" w:hAnsi="仿宋" w:eastAsia="仿宋" w:cs="仿宋"/>
                <w:b/>
                <w:bCs/>
                <w:sz w:val="24"/>
                <w:szCs w:val="24"/>
                <w:highlight w:val="none"/>
              </w:rPr>
              <w:t>证书</w:t>
            </w:r>
            <w:r>
              <w:rPr>
                <w:rFonts w:hint="eastAsia" w:ascii="仿宋" w:hAnsi="仿宋" w:eastAsia="仿宋" w:cs="仿宋"/>
                <w:b/>
                <w:bCs/>
                <w:sz w:val="24"/>
                <w:szCs w:val="24"/>
                <w:highlight w:val="none"/>
                <w:lang w:val="en-US" w:eastAsia="zh-CN"/>
              </w:rPr>
              <w:t>和</w:t>
            </w:r>
            <w:r>
              <w:rPr>
                <w:rFonts w:hint="eastAsia" w:ascii="仿宋" w:hAnsi="仿宋" w:eastAsia="仿宋" w:cs="仿宋"/>
                <w:b/>
                <w:bCs/>
                <w:sz w:val="24"/>
                <w:szCs w:val="24"/>
                <w:highlight w:val="none"/>
              </w:rPr>
              <w:t>上述人员由社保部门开具的有效社会保险证明文件扫描件加盖公章，否则不得分。</w:t>
            </w:r>
          </w:p>
        </w:tc>
        <w:tc>
          <w:tcPr>
            <w:tcW w:w="827" w:type="dxa"/>
            <w:noWrap w:val="0"/>
            <w:vAlign w:val="center"/>
          </w:tcPr>
          <w:p>
            <w:pPr>
              <w:spacing w:line="24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0-</w:t>
            </w:r>
            <w:r>
              <w:rPr>
                <w:rFonts w:hint="eastAsia" w:ascii="仿宋" w:hAnsi="仿宋" w:eastAsia="仿宋" w:cs="仿宋"/>
                <w:sz w:val="24"/>
                <w:szCs w:val="24"/>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90" w:type="dxa"/>
            <w:noWrap w:val="0"/>
            <w:vAlign w:val="center"/>
          </w:tcPr>
          <w:p>
            <w:pPr>
              <w:pStyle w:val="17"/>
              <w:adjustRightInd w:val="0"/>
              <w:snapToGri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600" w:type="dxa"/>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投入使用的设备器械</w:t>
            </w:r>
          </w:p>
        </w:tc>
        <w:tc>
          <w:tcPr>
            <w:tcW w:w="6079" w:type="dxa"/>
            <w:noWrap w:val="0"/>
            <w:vAlign w:val="center"/>
          </w:tcPr>
          <w:p>
            <w:pPr>
              <w:widowControl/>
              <w:numPr>
                <w:ilvl w:val="0"/>
                <w:numId w:val="0"/>
              </w:numPr>
              <w:spacing w:line="240" w:lineRule="auto"/>
              <w:jc w:val="left"/>
              <w:rPr>
                <w:rFonts w:hint="eastAsia" w:ascii="仿宋" w:hAnsi="仿宋" w:eastAsia="仿宋" w:cs="仿宋"/>
                <w:bCs/>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rPr>
              <w:t>针对应急突发登革热防控拟投入的作业车辆设备</w:t>
            </w:r>
            <w:r>
              <w:rPr>
                <w:rFonts w:hint="eastAsia" w:ascii="仿宋" w:hAnsi="仿宋" w:eastAsia="仿宋" w:cs="仿宋"/>
                <w:sz w:val="24"/>
                <w:szCs w:val="24"/>
                <w:lang w:eastAsia="zh-CN"/>
              </w:rPr>
              <w:t>中具有总质量</w:t>
            </w:r>
            <w:r>
              <w:rPr>
                <w:rFonts w:hint="eastAsia" w:ascii="仿宋" w:hAnsi="仿宋" w:eastAsia="仿宋" w:cs="仿宋"/>
                <w:sz w:val="24"/>
                <w:szCs w:val="24"/>
                <w:lang w:val="en-US" w:eastAsia="zh-CN"/>
              </w:rPr>
              <w:t>15吨及以上抑尘车每辆得2分，最高得2分</w:t>
            </w:r>
            <w:r>
              <w:rPr>
                <w:rFonts w:hint="eastAsia" w:ascii="仿宋" w:hAnsi="仿宋" w:eastAsia="仿宋" w:cs="仿宋"/>
                <w:sz w:val="24"/>
                <w:szCs w:val="24"/>
              </w:rPr>
              <w:t>。</w:t>
            </w:r>
          </w:p>
          <w:p>
            <w:pPr>
              <w:widowControl/>
              <w:spacing w:line="240" w:lineRule="auto"/>
              <w:jc w:val="left"/>
              <w:rPr>
                <w:rFonts w:hint="eastAsia" w:ascii="仿宋" w:hAnsi="仿宋" w:eastAsia="仿宋" w:cs="仿宋"/>
                <w:bCs/>
                <w:sz w:val="24"/>
                <w:szCs w:val="24"/>
                <w:lang w:val="zh-CN"/>
              </w:rPr>
            </w:pPr>
            <w:r>
              <w:rPr>
                <w:rFonts w:hint="eastAsia" w:ascii="仿宋" w:hAnsi="仿宋" w:eastAsia="仿宋" w:cs="仿宋"/>
                <w:bCs/>
                <w:sz w:val="24"/>
                <w:szCs w:val="24"/>
              </w:rPr>
              <w:t>2.</w:t>
            </w:r>
            <w:r>
              <w:rPr>
                <w:rFonts w:hint="eastAsia" w:ascii="仿宋" w:hAnsi="仿宋" w:eastAsia="仿宋" w:cs="仿宋"/>
                <w:bCs/>
                <w:sz w:val="24"/>
                <w:szCs w:val="24"/>
                <w:lang w:val="zh-CN"/>
              </w:rPr>
              <w:t>工程机动作业车提供1辆得</w:t>
            </w:r>
            <w:r>
              <w:rPr>
                <w:rFonts w:hint="eastAsia" w:ascii="仿宋" w:hAnsi="仿宋" w:eastAsia="仿宋" w:cs="仿宋"/>
                <w:bCs/>
                <w:sz w:val="24"/>
                <w:szCs w:val="24"/>
              </w:rPr>
              <w:t>2</w:t>
            </w:r>
            <w:r>
              <w:rPr>
                <w:rFonts w:hint="eastAsia" w:ascii="仿宋" w:hAnsi="仿宋" w:eastAsia="仿宋" w:cs="仿宋"/>
                <w:bCs/>
                <w:sz w:val="24"/>
                <w:szCs w:val="24"/>
                <w:lang w:val="zh-CN"/>
              </w:rPr>
              <w:t>分。</w:t>
            </w:r>
          </w:p>
          <w:p>
            <w:pPr>
              <w:pStyle w:val="21"/>
              <w:snapToGrid/>
              <w:spacing w:line="240" w:lineRule="auto"/>
              <w:jc w:val="left"/>
              <w:rPr>
                <w:rFonts w:hint="eastAsia" w:ascii="仿宋" w:hAnsi="仿宋" w:eastAsia="仿宋" w:cs="仿宋"/>
                <w:bCs/>
                <w:sz w:val="24"/>
                <w:szCs w:val="24"/>
                <w:lang w:val="zh-CN"/>
              </w:rPr>
            </w:pPr>
            <w:r>
              <w:rPr>
                <w:rFonts w:hint="eastAsia" w:ascii="仿宋" w:hAnsi="仿宋" w:eastAsia="仿宋" w:cs="仿宋"/>
                <w:bCs/>
                <w:sz w:val="24"/>
                <w:szCs w:val="24"/>
              </w:rPr>
              <w:t>3.</w:t>
            </w:r>
            <w:r>
              <w:rPr>
                <w:rFonts w:hint="eastAsia" w:ascii="仿宋" w:hAnsi="仿宋" w:eastAsia="仿宋" w:cs="仿宋"/>
                <w:bCs/>
                <w:sz w:val="24"/>
                <w:szCs w:val="24"/>
                <w:lang w:val="zh-CN"/>
              </w:rPr>
              <w:t>车载式机动喷雾器每提供1台得1分，最高得2分。</w:t>
            </w:r>
          </w:p>
          <w:p>
            <w:pPr>
              <w:pStyle w:val="21"/>
              <w:snapToGrid/>
              <w:spacing w:line="240" w:lineRule="auto"/>
              <w:jc w:val="left"/>
              <w:rPr>
                <w:rFonts w:hint="eastAsia" w:ascii="仿宋" w:hAnsi="仿宋" w:eastAsia="仿宋" w:cs="仿宋"/>
                <w:bCs/>
                <w:sz w:val="24"/>
                <w:szCs w:val="24"/>
                <w:lang w:val="zh-CN"/>
              </w:rPr>
            </w:pPr>
            <w:r>
              <w:rPr>
                <w:rFonts w:hint="eastAsia" w:ascii="仿宋" w:hAnsi="仿宋" w:eastAsia="仿宋" w:cs="仿宋"/>
                <w:bCs/>
                <w:sz w:val="24"/>
                <w:szCs w:val="24"/>
              </w:rPr>
              <w:t>4.</w:t>
            </w:r>
            <w:r>
              <w:rPr>
                <w:rFonts w:hint="eastAsia" w:ascii="仿宋" w:hAnsi="仿宋" w:eastAsia="仿宋" w:cs="仿宋"/>
                <w:bCs/>
                <w:sz w:val="24"/>
                <w:szCs w:val="24"/>
                <w:lang w:val="zh-CN"/>
              </w:rPr>
              <w:t>背负式喷雾器（机）提供5台及以上得</w:t>
            </w:r>
            <w:r>
              <w:rPr>
                <w:rFonts w:hint="eastAsia" w:ascii="仿宋" w:hAnsi="仿宋" w:eastAsia="仿宋" w:cs="仿宋"/>
                <w:bCs/>
                <w:sz w:val="24"/>
                <w:szCs w:val="24"/>
              </w:rPr>
              <w:t>2</w:t>
            </w:r>
            <w:r>
              <w:rPr>
                <w:rFonts w:hint="eastAsia" w:ascii="仿宋" w:hAnsi="仿宋" w:eastAsia="仿宋" w:cs="仿宋"/>
                <w:bCs/>
                <w:sz w:val="24"/>
                <w:szCs w:val="24"/>
                <w:lang w:val="zh-CN"/>
              </w:rPr>
              <w:t>分。</w:t>
            </w:r>
          </w:p>
          <w:p>
            <w:pPr>
              <w:pStyle w:val="21"/>
              <w:snapToGrid/>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5.</w:t>
            </w:r>
            <w:r>
              <w:rPr>
                <w:rFonts w:hint="eastAsia" w:ascii="仿宋" w:hAnsi="仿宋" w:eastAsia="仿宋" w:cs="仿宋"/>
                <w:bCs/>
                <w:sz w:val="24"/>
                <w:szCs w:val="24"/>
                <w:lang w:val="zh-CN"/>
              </w:rPr>
              <w:t>超低容量喷雾机或气溶胶类电动喷雾机提供</w:t>
            </w:r>
            <w:r>
              <w:rPr>
                <w:rFonts w:hint="eastAsia" w:ascii="仿宋" w:hAnsi="仿宋" w:eastAsia="仿宋" w:cs="仿宋"/>
                <w:bCs/>
                <w:sz w:val="24"/>
                <w:szCs w:val="24"/>
              </w:rPr>
              <w:t>1</w:t>
            </w:r>
            <w:r>
              <w:rPr>
                <w:rFonts w:hint="eastAsia" w:ascii="仿宋" w:hAnsi="仿宋" w:eastAsia="仿宋" w:cs="仿宋"/>
                <w:bCs/>
                <w:sz w:val="24"/>
                <w:szCs w:val="24"/>
                <w:lang w:val="zh-CN"/>
              </w:rPr>
              <w:t>台得1分，最高得2分。</w:t>
            </w:r>
          </w:p>
          <w:p>
            <w:pPr>
              <w:pStyle w:val="27"/>
              <w:spacing w:line="240" w:lineRule="auto"/>
              <w:ind w:left="0" w:leftChars="0" w:firstLine="0" w:firstLineChars="0"/>
              <w:rPr>
                <w:rFonts w:hint="eastAsia" w:ascii="仿宋" w:hAnsi="仿宋" w:eastAsia="仿宋" w:cs="仿宋"/>
                <w:b/>
                <w:sz w:val="24"/>
                <w:szCs w:val="24"/>
              </w:rPr>
            </w:pPr>
            <w:r>
              <w:rPr>
                <w:rFonts w:hint="eastAsia" w:ascii="仿宋" w:hAnsi="仿宋" w:eastAsia="仿宋" w:cs="仿宋"/>
                <w:b/>
                <w:sz w:val="24"/>
                <w:szCs w:val="24"/>
              </w:rPr>
              <w:t>注：</w:t>
            </w:r>
            <w:r>
              <w:rPr>
                <w:rFonts w:hint="eastAsia" w:ascii="仿宋" w:hAnsi="仿宋" w:eastAsia="仿宋" w:cs="仿宋"/>
                <w:b/>
                <w:bCs/>
                <w:sz w:val="24"/>
                <w:szCs w:val="24"/>
                <w:lang w:val="zh-CN"/>
              </w:rPr>
              <w:t>车辆和设备须确保使用于本项目；车辆须</w:t>
            </w:r>
            <w:r>
              <w:rPr>
                <w:rFonts w:hint="eastAsia" w:ascii="仿宋" w:hAnsi="仿宋" w:eastAsia="仿宋" w:cs="仿宋"/>
                <w:b/>
                <w:bCs/>
                <w:sz w:val="24"/>
                <w:szCs w:val="24"/>
              </w:rPr>
              <w:t>提供车辆行驶证、登记证、购置发票</w:t>
            </w:r>
            <w:r>
              <w:rPr>
                <w:rFonts w:hint="eastAsia" w:ascii="仿宋" w:hAnsi="仿宋" w:eastAsia="仿宋" w:cs="仿宋"/>
                <w:b/>
                <w:bCs/>
                <w:sz w:val="24"/>
                <w:szCs w:val="24"/>
                <w:lang w:eastAsia="zh-CN"/>
              </w:rPr>
              <w:t>或租赁合同</w:t>
            </w:r>
            <w:r>
              <w:rPr>
                <w:rFonts w:hint="eastAsia" w:ascii="仿宋" w:hAnsi="仿宋" w:eastAsia="仿宋" w:cs="仿宋"/>
                <w:b/>
                <w:bCs/>
                <w:sz w:val="24"/>
                <w:szCs w:val="24"/>
                <w:lang w:val="en-US" w:eastAsia="zh-CN"/>
              </w:rPr>
              <w:t>扫描</w:t>
            </w:r>
            <w:r>
              <w:rPr>
                <w:rFonts w:hint="eastAsia" w:ascii="仿宋" w:hAnsi="仿宋" w:eastAsia="仿宋" w:cs="仿宋"/>
                <w:b/>
                <w:bCs/>
                <w:sz w:val="24"/>
                <w:szCs w:val="24"/>
              </w:rPr>
              <w:t>件加盖单位公章</w:t>
            </w:r>
            <w:r>
              <w:rPr>
                <w:rFonts w:hint="eastAsia" w:ascii="仿宋" w:hAnsi="仿宋" w:eastAsia="仿宋" w:cs="仿宋"/>
                <w:b/>
                <w:bCs/>
                <w:sz w:val="24"/>
                <w:szCs w:val="24"/>
                <w:lang w:val="zh-CN"/>
              </w:rPr>
              <w:t>，</w:t>
            </w:r>
            <w:r>
              <w:rPr>
                <w:rFonts w:hint="eastAsia" w:ascii="仿宋" w:hAnsi="仿宋" w:eastAsia="仿宋" w:cs="仿宋"/>
                <w:b/>
                <w:bCs/>
                <w:sz w:val="24"/>
                <w:szCs w:val="24"/>
              </w:rPr>
              <w:t>其他</w:t>
            </w:r>
            <w:r>
              <w:rPr>
                <w:rFonts w:hint="eastAsia" w:ascii="仿宋" w:hAnsi="仿宋" w:eastAsia="仿宋" w:cs="仿宋"/>
                <w:b/>
                <w:bCs/>
                <w:sz w:val="24"/>
                <w:szCs w:val="24"/>
                <w:lang w:val="zh-CN"/>
              </w:rPr>
              <w:t>设备提供购买发票</w:t>
            </w:r>
            <w:r>
              <w:rPr>
                <w:rFonts w:hint="eastAsia" w:ascii="仿宋" w:hAnsi="仿宋" w:eastAsia="仿宋" w:cs="仿宋"/>
                <w:b/>
                <w:bCs/>
                <w:sz w:val="24"/>
                <w:szCs w:val="24"/>
                <w:lang w:val="en-US" w:eastAsia="zh-CN"/>
              </w:rPr>
              <w:t>扫描</w:t>
            </w:r>
            <w:r>
              <w:rPr>
                <w:rFonts w:hint="eastAsia" w:ascii="仿宋" w:hAnsi="仿宋" w:eastAsia="仿宋" w:cs="仿宋"/>
                <w:b/>
                <w:bCs/>
                <w:sz w:val="24"/>
                <w:szCs w:val="24"/>
                <w:lang w:val="zh-CN"/>
              </w:rPr>
              <w:t>件</w:t>
            </w:r>
            <w:r>
              <w:rPr>
                <w:rFonts w:hint="eastAsia" w:ascii="仿宋" w:hAnsi="仿宋" w:eastAsia="仿宋" w:cs="仿宋"/>
                <w:b/>
                <w:bCs/>
                <w:sz w:val="24"/>
                <w:szCs w:val="24"/>
              </w:rPr>
              <w:t>加盖单位公章</w:t>
            </w:r>
            <w:r>
              <w:rPr>
                <w:rFonts w:hint="eastAsia" w:ascii="仿宋" w:hAnsi="仿宋" w:eastAsia="仿宋" w:cs="仿宋"/>
                <w:b/>
                <w:bCs/>
                <w:sz w:val="24"/>
                <w:szCs w:val="24"/>
                <w:lang w:val="zh-CN"/>
              </w:rPr>
              <w:t>。</w:t>
            </w:r>
          </w:p>
        </w:tc>
        <w:tc>
          <w:tcPr>
            <w:tcW w:w="827" w:type="dxa"/>
            <w:noWrap w:val="0"/>
            <w:vAlign w:val="center"/>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0-1</w:t>
            </w: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90" w:type="dxa"/>
            <w:noWrap w:val="0"/>
            <w:vAlign w:val="center"/>
          </w:tcPr>
          <w:p>
            <w:pPr>
              <w:pStyle w:val="17"/>
              <w:adjustRightInd w:val="0"/>
              <w:snapToGrid w:val="0"/>
              <w:spacing w:line="240" w:lineRule="auto"/>
              <w:jc w:val="center"/>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9</w:t>
            </w:r>
          </w:p>
        </w:tc>
        <w:tc>
          <w:tcPr>
            <w:tcW w:w="1600" w:type="dxa"/>
            <w:noWrap w:val="0"/>
            <w:vAlign w:val="center"/>
          </w:tcPr>
          <w:p>
            <w:pPr>
              <w:spacing w:line="240"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类似业绩</w:t>
            </w:r>
          </w:p>
        </w:tc>
        <w:tc>
          <w:tcPr>
            <w:tcW w:w="6079" w:type="dxa"/>
            <w:noWrap w:val="0"/>
            <w:vAlign w:val="center"/>
          </w:tcPr>
          <w:p>
            <w:pPr>
              <w:spacing w:line="240" w:lineRule="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投标人</w:t>
            </w:r>
            <w:r>
              <w:rPr>
                <w:rFonts w:hint="eastAsia" w:ascii="仿宋" w:hAnsi="仿宋" w:eastAsia="仿宋" w:cs="仿宋"/>
                <w:b w:val="0"/>
                <w:bCs w:val="0"/>
                <w:sz w:val="24"/>
                <w:szCs w:val="24"/>
                <w:highlight w:val="none"/>
                <w:lang w:eastAsia="zh-CN"/>
              </w:rPr>
              <w:t>具有</w:t>
            </w:r>
            <w:r>
              <w:rPr>
                <w:rFonts w:hint="eastAsia" w:ascii="仿宋" w:hAnsi="仿宋" w:eastAsia="仿宋" w:cs="仿宋"/>
                <w:b w:val="0"/>
                <w:bCs w:val="0"/>
                <w:sz w:val="24"/>
                <w:szCs w:val="24"/>
                <w:highlight w:val="none"/>
              </w:rPr>
              <w:t>近三年（</w:t>
            </w:r>
            <w:r>
              <w:rPr>
                <w:rFonts w:hint="eastAsia" w:ascii="仿宋" w:hAnsi="仿宋" w:eastAsia="仿宋" w:cs="仿宋"/>
                <w:b w:val="0"/>
                <w:bCs w:val="0"/>
                <w:color w:val="auto"/>
                <w:sz w:val="24"/>
                <w:szCs w:val="24"/>
                <w:highlight w:val="none"/>
              </w:rPr>
              <w:t>20</w:t>
            </w: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b w:val="0"/>
                <w:bCs w:val="0"/>
                <w:sz w:val="24"/>
                <w:szCs w:val="24"/>
                <w:highlight w:val="none"/>
              </w:rPr>
              <w:t>年1月1日以来）</w:t>
            </w:r>
            <w:r>
              <w:rPr>
                <w:rFonts w:hint="eastAsia" w:ascii="仿宋" w:hAnsi="仿宋" w:eastAsia="仿宋" w:cs="仿宋"/>
                <w:b w:val="0"/>
                <w:bCs w:val="0"/>
                <w:sz w:val="24"/>
                <w:szCs w:val="24"/>
                <w:highlight w:val="none"/>
                <w:lang w:val="en-US" w:eastAsia="zh-CN"/>
              </w:rPr>
              <w:t>类似</w:t>
            </w:r>
            <w:r>
              <w:rPr>
                <w:rFonts w:hint="eastAsia" w:ascii="仿宋" w:hAnsi="仿宋" w:eastAsia="仿宋" w:cs="仿宋"/>
                <w:b w:val="0"/>
                <w:bCs w:val="0"/>
                <w:sz w:val="24"/>
                <w:szCs w:val="24"/>
                <w:highlight w:val="none"/>
              </w:rPr>
              <w:t>消杀业绩</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提供一个业绩得</w:t>
            </w:r>
            <w:r>
              <w:rPr>
                <w:rFonts w:hint="eastAsia" w:ascii="仿宋" w:hAnsi="仿宋" w:eastAsia="仿宋" w:cs="仿宋"/>
                <w:b w:val="0"/>
                <w:bCs w:val="0"/>
                <w:sz w:val="24"/>
                <w:szCs w:val="24"/>
                <w:highlight w:val="none"/>
                <w:lang w:val="en-US" w:eastAsia="zh-CN"/>
              </w:rPr>
              <w:t>0.5</w:t>
            </w:r>
            <w:r>
              <w:rPr>
                <w:rFonts w:hint="eastAsia" w:ascii="仿宋" w:hAnsi="仿宋" w:eastAsia="仿宋" w:cs="仿宋"/>
                <w:b w:val="0"/>
                <w:bCs w:val="0"/>
                <w:sz w:val="24"/>
                <w:szCs w:val="24"/>
                <w:highlight w:val="none"/>
              </w:rPr>
              <w:t>分，最高得</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分。（以中标通知书或合同为准，须提供中标通知书或合同扫描件加盖单位公章，时间以中标通知书或合同落款时间为准）</w:t>
            </w:r>
          </w:p>
        </w:tc>
        <w:tc>
          <w:tcPr>
            <w:tcW w:w="827" w:type="dxa"/>
            <w:noWrap w:val="0"/>
            <w:vAlign w:val="center"/>
          </w:tcPr>
          <w:p>
            <w:pPr>
              <w:spacing w:line="240" w:lineRule="auto"/>
              <w:jc w:val="center"/>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0-</w:t>
            </w:r>
            <w:r>
              <w:rPr>
                <w:rFonts w:hint="eastAsia" w:ascii="仿宋" w:hAnsi="仿宋" w:eastAsia="仿宋" w:cs="仿宋"/>
                <w:b w:val="0"/>
                <w:bCs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90" w:type="dxa"/>
            <w:noWrap w:val="0"/>
            <w:vAlign w:val="center"/>
          </w:tcPr>
          <w:p>
            <w:pPr>
              <w:pStyle w:val="17"/>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600" w:type="dxa"/>
            <w:noWrap w:val="0"/>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售后服务</w:t>
            </w:r>
          </w:p>
        </w:tc>
        <w:tc>
          <w:tcPr>
            <w:tcW w:w="6079" w:type="dxa"/>
            <w:noWrap w:val="0"/>
            <w:vAlign w:val="center"/>
          </w:tcPr>
          <w:p>
            <w:pPr>
              <w:pStyle w:val="27"/>
              <w:numPr>
                <w:ilvl w:val="0"/>
                <w:numId w:val="7"/>
              </w:numPr>
              <w:tabs>
                <w:tab w:val="left" w:pos="0"/>
                <w:tab w:val="left" w:pos="993"/>
                <w:tab w:val="left" w:pos="1134"/>
              </w:tabs>
              <w:spacing w:after="0" w:line="24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根据供</w:t>
            </w:r>
            <w:bookmarkStart w:id="83" w:name="_GoBack"/>
            <w:bookmarkEnd w:id="83"/>
            <w:r>
              <w:rPr>
                <w:rFonts w:hint="eastAsia" w:ascii="仿宋" w:hAnsi="仿宋" w:eastAsia="仿宋" w:cs="仿宋"/>
                <w:sz w:val="24"/>
                <w:szCs w:val="24"/>
              </w:rPr>
              <w:t>应商服务响应时间及方案综合打分0-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827" w:type="dxa"/>
            <w:noWrap w:val="0"/>
            <w:vAlign w:val="center"/>
          </w:tcPr>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p>
        </w:tc>
      </w:tr>
    </w:tbl>
    <w:p>
      <w:pPr>
        <w:shd w:val="clear" w:color="auto" w:fill="auto"/>
        <w:spacing w:line="500" w:lineRule="exact"/>
        <w:jc w:val="left"/>
        <w:rPr>
          <w:rFonts w:hint="eastAsia" w:ascii="宋体" w:hAnsi="宋体" w:eastAsia="宋体" w:cs="宋体"/>
          <w:b/>
          <w:bCs/>
          <w:iCs/>
          <w:color w:val="auto"/>
          <w:sz w:val="24"/>
          <w:highlight w:val="none"/>
        </w:rPr>
      </w:pPr>
      <w:r>
        <w:rPr>
          <w:rFonts w:hint="eastAsia" w:ascii="宋体" w:hAnsi="宋体" w:eastAsia="宋体" w:cs="宋体"/>
          <w:b/>
          <w:bCs/>
          <w:iCs/>
          <w:color w:val="auto"/>
          <w:highlight w:val="none"/>
        </w:rPr>
        <w:t>注：</w:t>
      </w:r>
      <w:r>
        <w:rPr>
          <w:rFonts w:hint="eastAsia" w:ascii="宋体" w:hAnsi="宋体" w:eastAsia="宋体" w:cs="宋体"/>
          <w:b/>
          <w:bCs/>
          <w:iCs/>
          <w:color w:val="auto"/>
          <w:sz w:val="24"/>
          <w:highlight w:val="none"/>
        </w:rPr>
        <w:t>1、需要提供的证件或证明文件资料如有弄虚作假的，作无效标处理。</w:t>
      </w:r>
    </w:p>
    <w:p>
      <w:pPr>
        <w:numPr>
          <w:ilvl w:val="0"/>
          <w:numId w:val="8"/>
        </w:numPr>
        <w:shd w:val="clear" w:color="auto" w:fill="auto"/>
        <w:spacing w:line="500" w:lineRule="exact"/>
        <w:ind w:firstLine="954" w:firstLineChars="396"/>
        <w:jc w:val="left"/>
        <w:rPr>
          <w:rFonts w:hint="eastAsia" w:ascii="仿宋" w:eastAsia="仿宋"/>
          <w:b/>
          <w:bCs/>
          <w:iCs/>
          <w:sz w:val="24"/>
          <w:highlight w:val="none"/>
        </w:rPr>
      </w:pPr>
      <w:r>
        <w:rPr>
          <w:rFonts w:hint="eastAsia" w:ascii="宋体" w:hAnsi="宋体" w:eastAsia="宋体" w:cs="宋体"/>
          <w:b/>
          <w:bCs/>
          <w:iCs/>
          <w:color w:val="auto"/>
          <w:sz w:val="24"/>
          <w:highlight w:val="none"/>
        </w:rPr>
        <w:t>所有证书都应在有效期内，逾期不得分</w:t>
      </w:r>
      <w:r>
        <w:rPr>
          <w:rFonts w:hint="eastAsia" w:ascii="宋体" w:hAnsi="宋体" w:eastAsia="宋体" w:cs="宋体"/>
          <w:b/>
          <w:bCs/>
          <w:iCs/>
          <w:color w:val="auto"/>
          <w:sz w:val="24"/>
          <w:highlight w:val="none"/>
          <w:lang w:eastAsia="zh-CN"/>
        </w:rPr>
        <w:t>，</w:t>
      </w:r>
      <w:r>
        <w:rPr>
          <w:rFonts w:hint="eastAsia" w:ascii="仿宋" w:eastAsia="仿宋"/>
          <w:b/>
          <w:bCs/>
          <w:iCs/>
          <w:sz w:val="24"/>
          <w:highlight w:val="none"/>
          <w:lang w:val="en-US" w:eastAsia="zh-CN"/>
        </w:rPr>
        <w:t>不提供不得分</w:t>
      </w:r>
      <w:r>
        <w:rPr>
          <w:rFonts w:hint="eastAsia" w:ascii="宋体" w:hAnsi="宋体" w:eastAsia="宋体" w:cs="宋体"/>
          <w:b/>
          <w:bCs/>
          <w:iCs/>
          <w:color w:val="auto"/>
          <w:sz w:val="24"/>
          <w:highlight w:val="none"/>
        </w:rPr>
        <w:t>。</w:t>
      </w:r>
    </w:p>
    <w:p>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Theme="majorEastAsia" w:hAnsiTheme="majorEastAsia" w:eastAsiaTheme="majorEastAsia"/>
          <w:b/>
          <w:bCs/>
          <w:kern w:val="0"/>
          <w:sz w:val="24"/>
        </w:rPr>
        <w:t>（</w:t>
      </w:r>
      <w:r>
        <w:rPr>
          <w:rFonts w:hint="eastAsia" w:asciiTheme="majorEastAsia" w:hAnsiTheme="majorEastAsia" w:eastAsiaTheme="majorEastAsia"/>
          <w:b/>
          <w:bCs/>
          <w:kern w:val="0"/>
          <w:sz w:val="24"/>
          <w:lang w:val="en-US" w:eastAsia="zh-CN"/>
        </w:rPr>
        <w:t>2</w:t>
      </w:r>
      <w:r>
        <w:rPr>
          <w:rFonts w:hint="eastAsia" w:asciiTheme="majorEastAsia" w:hAnsiTheme="majorEastAsia" w:eastAsiaTheme="majorEastAsia"/>
          <w:b/>
          <w:bCs/>
          <w:kern w:val="0"/>
          <w:sz w:val="24"/>
        </w:rPr>
        <w:t>0分）</w:t>
      </w:r>
      <w:r>
        <w:rPr>
          <w:rFonts w:asciiTheme="majorEastAsia" w:hAnsiTheme="majorEastAsia" w:eastAsiaTheme="majorEastAsia"/>
          <w:b/>
          <w:bCs/>
          <w:kern w:val="0"/>
          <w:sz w:val="24"/>
        </w:rPr>
        <w:t>：</w:t>
      </w:r>
    </w:p>
    <w:p>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ind w:left="0"/>
        <w:rPr>
          <w:rFonts w:hint="eastAsia" w:ascii="仿宋" w:eastAsia="仿宋"/>
          <w:bCs/>
          <w:iCs/>
          <w:sz w:val="24"/>
          <w:u w:val="single"/>
        </w:rPr>
      </w:pPr>
      <w:r>
        <w:rPr>
          <w:rFonts w:hint="eastAsia" w:ascii="仿宋" w:eastAsia="仿宋"/>
          <w:bCs/>
          <w:iCs/>
          <w:sz w:val="24"/>
        </w:rPr>
        <w:t>即：投标报价得分=(评标基准价／投标报价)×</w:t>
      </w:r>
      <w:r>
        <w:rPr>
          <w:rFonts w:hint="eastAsia" w:ascii="仿宋" w:eastAsia="仿宋"/>
          <w:bCs/>
          <w:iCs/>
          <w:sz w:val="24"/>
          <w:lang w:val="en-US" w:eastAsia="zh-CN"/>
        </w:rPr>
        <w:t>20</w:t>
      </w:r>
    </w:p>
    <w:p>
      <w:pPr>
        <w:widowControl/>
        <w:snapToGrid w:val="0"/>
        <w:spacing w:line="480" w:lineRule="exact"/>
        <w:ind w:left="0"/>
        <w:rPr>
          <w:rFonts w:hint="eastAsia" w:ascii="仿宋" w:eastAsia="仿宋"/>
          <w:bCs/>
          <w:iCs/>
          <w:sz w:val="24"/>
          <w:u w:val="single"/>
        </w:rPr>
      </w:pPr>
    </w:p>
    <w:p>
      <w:pPr>
        <w:pStyle w:val="12"/>
        <w:rPr>
          <w:rFonts w:hint="eastAsia" w:ascii="仿宋" w:eastAsia="仿宋"/>
          <w:bCs/>
          <w:iCs/>
          <w:sz w:val="24"/>
          <w:u w:val="single"/>
        </w:rPr>
      </w:pPr>
    </w:p>
    <w:p>
      <w:pPr>
        <w:pStyle w:val="13"/>
        <w:rPr>
          <w:rFonts w:hint="eastAsia" w:ascii="仿宋" w:eastAsia="仿宋"/>
          <w:bCs/>
          <w:iCs/>
          <w:sz w:val="24"/>
          <w:u w:val="single"/>
        </w:rPr>
      </w:pPr>
    </w:p>
    <w:p>
      <w:pPr>
        <w:pStyle w:val="3"/>
        <w:keepNext/>
        <w:keepLines/>
        <w:pageBreakBefore w:val="0"/>
        <w:widowControl w:val="0"/>
        <w:suppressLineNumbers w:val="0"/>
        <w:suppressAutoHyphens w:val="0"/>
        <w:spacing w:line="578" w:lineRule="auto"/>
        <w:jc w:val="center"/>
        <w:rPr>
          <w:rFonts w:hint="eastAsia" w:ascii="仿宋"/>
        </w:rPr>
      </w:pPr>
      <w:bookmarkStart w:id="45" w:name="_Toc15148"/>
      <w:r>
        <w:rPr>
          <w:rFonts w:hint="eastAsia" w:ascii="仿宋"/>
        </w:rPr>
        <w:t>第六章  投标文件格式附件</w:t>
      </w:r>
      <w:bookmarkEnd w:id="45"/>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pStyle w:val="3"/>
        <w:rPr>
          <w:rFonts w:hint="eastAsia" w:ascii="仿宋" w:eastAsia="仿宋"/>
          <w:b/>
          <w:bCs/>
          <w:sz w:val="30"/>
          <w:szCs w:val="30"/>
        </w:rPr>
      </w:pPr>
    </w:p>
    <w:p>
      <w:pPr>
        <w:rPr>
          <w:rFonts w:hint="eastAsia" w:ascii="仿宋" w:eastAsia="仿宋"/>
          <w:b/>
          <w:bCs/>
          <w:sz w:val="30"/>
          <w:szCs w:val="30"/>
        </w:rPr>
      </w:pPr>
    </w:p>
    <w:p>
      <w:pPr>
        <w:pStyle w:val="3"/>
        <w:rPr>
          <w:rFonts w:hint="eastAsia" w:ascii="仿宋" w:eastAsia="仿宋"/>
          <w:b/>
          <w:bCs/>
          <w:sz w:val="30"/>
          <w:szCs w:val="30"/>
        </w:rPr>
      </w:pPr>
    </w:p>
    <w:p>
      <w:pPr>
        <w:rPr>
          <w:rFonts w:hint="eastAsia" w:ascii="仿宋" w:eastAsia="仿宋"/>
          <w:b/>
          <w:bCs/>
          <w:sz w:val="30"/>
          <w:szCs w:val="30"/>
        </w:rPr>
      </w:pPr>
    </w:p>
    <w:p>
      <w:pPr>
        <w:pStyle w:val="3"/>
        <w:rPr>
          <w:rFonts w:hint="eastAsia" w:ascii="仿宋" w:eastAsia="仿宋"/>
          <w:b/>
          <w:bCs/>
          <w:sz w:val="30"/>
          <w:szCs w:val="30"/>
        </w:rPr>
      </w:pPr>
    </w:p>
    <w:p>
      <w:pPr>
        <w:rPr>
          <w:rFonts w:hint="eastAsia" w:ascii="仿宋" w:eastAsia="仿宋"/>
          <w:b/>
          <w:bCs/>
          <w:sz w:val="30"/>
          <w:szCs w:val="30"/>
        </w:rPr>
      </w:pPr>
    </w:p>
    <w:p>
      <w:pPr>
        <w:pStyle w:val="3"/>
        <w:rPr>
          <w:rFonts w:hint="eastAsia" w:ascii="仿宋" w:eastAsia="仿宋"/>
          <w:b/>
          <w:bCs/>
          <w:sz w:val="30"/>
          <w:szCs w:val="30"/>
        </w:rPr>
      </w:pPr>
    </w:p>
    <w:p>
      <w:pPr>
        <w:rPr>
          <w:rFonts w:hint="eastAsia" w:ascii="仿宋" w:eastAsia="仿宋"/>
          <w:b/>
          <w:bCs/>
          <w:sz w:val="30"/>
          <w:szCs w:val="30"/>
        </w:rPr>
      </w:pPr>
    </w:p>
    <w:p>
      <w:pPr>
        <w:rPr>
          <w:rFonts w:hint="eastAsia" w:eastAsia="宋体"/>
          <w:lang w:val="en-US" w:eastAsia="zh-CN"/>
        </w:rPr>
      </w:pPr>
    </w:p>
    <w:p>
      <w:pPr>
        <w:snapToGrid w:val="0"/>
        <w:spacing w:before="156" w:beforeLines="50" w:after="50"/>
        <w:jc w:val="left"/>
        <w:rPr>
          <w:rFonts w:hint="eastAsia" w:ascii="仿宋" w:eastAsia="仿宋"/>
          <w:b/>
          <w:bCs/>
          <w:sz w:val="30"/>
          <w:szCs w:val="30"/>
        </w:rPr>
      </w:pPr>
    </w:p>
    <w:p>
      <w:pPr>
        <w:pStyle w:val="3"/>
        <w:rPr>
          <w:rFonts w:hint="eastAsia"/>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pPr>
        <w:pStyle w:val="43"/>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43"/>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pPr>
        <w:pStyle w:val="43"/>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43"/>
        <w:spacing w:line="360" w:lineRule="auto"/>
        <w:ind w:firstLine="0" w:firstLineChars="0"/>
        <w:jc w:val="left"/>
        <w:rPr>
          <w:rFonts w:ascii="仿宋" w:eastAsia="仿宋" w:cs="仿宋_GB2312"/>
        </w:rPr>
      </w:pPr>
      <w:r>
        <w:rPr>
          <w:rFonts w:ascii="仿宋" w:eastAsia="仿宋" w:cs="仿宋_GB2312"/>
        </w:rPr>
        <w:t>4</w:t>
      </w:r>
      <w:r>
        <w:rPr>
          <w:rFonts w:hint="eastAsia" w:ascii="仿宋" w:eastAsia="仿宋" w:cs="仿宋_GB2312"/>
        </w:rPr>
        <w:t>.法定代表人及其授权代表身份证…………………………………………（页码）</w:t>
      </w:r>
    </w:p>
    <w:p>
      <w:pPr>
        <w:pStyle w:val="43"/>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43"/>
        <w:spacing w:line="360" w:lineRule="auto"/>
        <w:ind w:firstLine="240" w:firstLineChars="100"/>
        <w:jc w:val="left"/>
        <w:rPr>
          <w:rFonts w:hint="eastAsia" w:ascii="仿宋" w:eastAsia="仿宋" w:cs="仿宋_GB2312"/>
        </w:rPr>
      </w:pPr>
      <w:bookmarkStart w:id="47" w:name="_Toc64369787"/>
      <w:r>
        <w:rPr>
          <w:rFonts w:ascii="仿宋" w:eastAsia="仿宋" w:cs="仿宋_GB2312"/>
        </w:rPr>
        <w:t>5</w:t>
      </w:r>
      <w:r>
        <w:rPr>
          <w:rFonts w:hint="eastAsia" w:ascii="仿宋" w:eastAsia="仿宋" w:cs="仿宋_GB2312"/>
        </w:rPr>
        <w:t>.1营业执照(或事业法人登记证书)………………………………………（页码）</w:t>
      </w:r>
      <w:bookmarkEnd w:id="47"/>
    </w:p>
    <w:p>
      <w:pPr>
        <w:pStyle w:val="43"/>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.2</w:t>
      </w:r>
      <w:bookmarkStart w:id="48" w:name="_Toc64369788"/>
      <w:r>
        <w:rPr>
          <w:rFonts w:hint="eastAsia" w:ascii="仿宋" w:eastAsia="仿宋" w:cs="仿宋_GB2312"/>
        </w:rPr>
        <w:t>特定资格条件的有关证明材料（如有）………………………………（页码）</w:t>
      </w:r>
      <w:bookmarkEnd w:id="48"/>
    </w:p>
    <w:p>
      <w:pPr>
        <w:pStyle w:val="43"/>
        <w:spacing w:line="360" w:lineRule="auto"/>
        <w:ind w:firstLine="0" w:firstLineChars="0"/>
        <w:jc w:val="left"/>
        <w:rPr>
          <w:rFonts w:hint="eastAsia" w:ascii="仿宋" w:eastAsia="仿宋" w:cs="仿宋_GB2312"/>
        </w:rPr>
      </w:pPr>
      <w:r>
        <w:rPr>
          <w:rFonts w:ascii="仿宋" w:eastAsia="仿宋" w:cs="仿宋_GB2312"/>
        </w:rPr>
        <w:t>6</w:t>
      </w:r>
      <w:r>
        <w:rPr>
          <w:rFonts w:hint="eastAsia" w:ascii="仿宋" w:eastAsia="仿宋" w:cs="仿宋_GB2312"/>
        </w:rPr>
        <w:t>.中小企业声明函（如有）…………………………………………………（页码）</w:t>
      </w:r>
    </w:p>
    <w:p>
      <w:pPr>
        <w:pStyle w:val="43"/>
        <w:spacing w:line="360" w:lineRule="auto"/>
        <w:ind w:firstLine="0" w:firstLineChars="0"/>
        <w:jc w:val="left"/>
        <w:rPr>
          <w:rFonts w:hint="eastAsia" w:ascii="仿宋" w:eastAsia="仿宋" w:cs="仿宋_GB2312"/>
        </w:rPr>
      </w:pPr>
      <w:r>
        <w:rPr>
          <w:rFonts w:ascii="仿宋" w:eastAsia="仿宋" w:cs="仿宋_GB2312"/>
        </w:rPr>
        <w:t>7</w:t>
      </w:r>
      <w:r>
        <w:rPr>
          <w:rFonts w:hint="eastAsia" w:ascii="仿宋" w:eastAsia="仿宋" w:cs="仿宋_GB2312"/>
        </w:rPr>
        <w:t>.残疾人福利性单位声明函（如有）………………………………………（页码）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8"/>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8"/>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8"/>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8"/>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8"/>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8"/>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8"/>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8"/>
        <w:spacing w:after="50" w:afterLines="0" w:line="440" w:lineRule="exact"/>
        <w:rPr>
          <w:rFonts w:hint="eastAsia" w:ascii="仿宋" w:eastAsia="仿宋"/>
          <w:szCs w:val="24"/>
        </w:rPr>
      </w:pPr>
    </w:p>
    <w:p>
      <w:pPr>
        <w:pStyle w:val="38"/>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8"/>
        <w:spacing w:after="50" w:afterLines="0" w:line="440" w:lineRule="exact"/>
        <w:rPr>
          <w:rFonts w:hint="eastAsia" w:ascii="仿宋" w:eastAsia="仿宋"/>
          <w:szCs w:val="24"/>
        </w:rPr>
      </w:pPr>
    </w:p>
    <w:p>
      <w:pPr>
        <w:pStyle w:val="38"/>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8"/>
        <w:spacing w:after="50" w:afterLines="0" w:line="440" w:lineRule="exact"/>
        <w:rPr>
          <w:rFonts w:hint="eastAsia" w:ascii="仿宋" w:eastAsia="仿宋"/>
          <w:szCs w:val="24"/>
        </w:rPr>
      </w:pPr>
    </w:p>
    <w:p>
      <w:pPr>
        <w:pStyle w:val="38"/>
        <w:spacing w:after="50" w:afterLines="0" w:line="440" w:lineRule="exact"/>
        <w:rPr>
          <w:rFonts w:hint="eastAsia" w:ascii="仿宋" w:eastAsia="仿宋"/>
          <w:szCs w:val="24"/>
        </w:rPr>
      </w:pPr>
    </w:p>
    <w:p>
      <w:pPr>
        <w:pStyle w:val="38"/>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pPr>
        <w:pStyle w:val="2"/>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2"/>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2"/>
        <w:numPr>
          <w:ilvl w:val="0"/>
          <w:numId w:val="9"/>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2"/>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pPr>
        <w:pStyle w:val="2"/>
        <w:overflowPunct w:val="0"/>
        <w:spacing w:line="460" w:lineRule="exact"/>
        <w:ind w:firstLine="513" w:firstLineChars="214"/>
        <w:rPr>
          <w:rFonts w:hint="eastAsia" w:ascii="仿宋" w:eastAsia="仿宋"/>
          <w:sz w:val="24"/>
          <w:szCs w:val="24"/>
        </w:rPr>
      </w:pPr>
    </w:p>
    <w:p>
      <w:pPr>
        <w:pStyle w:val="2"/>
        <w:overflowPunct w:val="0"/>
        <w:spacing w:line="460" w:lineRule="exact"/>
        <w:ind w:firstLine="513" w:firstLineChars="214"/>
        <w:rPr>
          <w:rFonts w:hint="eastAsia" w:ascii="仿宋" w:eastAsia="仿宋"/>
          <w:sz w:val="24"/>
          <w:szCs w:val="24"/>
        </w:rPr>
      </w:pP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2"/>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pPr>
        <w:pStyle w:val="38"/>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8"/>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6</w:t>
      </w:r>
      <w:r>
        <w:rPr>
          <w:rFonts w:hint="eastAsia" w:ascii="仿宋" w:eastAsia="仿宋"/>
          <w:b/>
          <w:bCs/>
          <w:sz w:val="28"/>
          <w:szCs w:val="28"/>
        </w:rPr>
        <w:t>：法定代表人及其授权代表身份证</w:t>
      </w:r>
    </w:p>
    <w:p>
      <w:pPr>
        <w:pStyle w:val="38"/>
        <w:spacing w:after="50" w:afterLines="0" w:line="440" w:lineRule="exact"/>
        <w:ind w:left="0" w:firstLine="0" w:firstLineChars="0"/>
        <w:rPr>
          <w:rFonts w:hint="eastAsia" w:ascii="仿宋" w:eastAsia="仿宋"/>
          <w:b/>
          <w:bCs/>
          <w:sz w:val="28"/>
          <w:szCs w:val="28"/>
        </w:rPr>
      </w:pPr>
    </w:p>
    <w:p>
      <w:pPr>
        <w:pStyle w:val="38"/>
        <w:spacing w:after="50" w:afterLines="0" w:line="440" w:lineRule="exact"/>
        <w:ind w:left="0" w:firstLine="0" w:firstLineChars="0"/>
        <w:rPr>
          <w:rFonts w:hint="eastAsia" w:ascii="仿宋" w:eastAsia="仿宋"/>
          <w:b/>
          <w:bCs/>
          <w:sz w:val="28"/>
          <w:szCs w:val="28"/>
        </w:rPr>
      </w:pPr>
    </w:p>
    <w:p>
      <w:pPr>
        <w:pStyle w:val="38"/>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8"/>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8"/>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8"/>
        <w:numPr>
          <w:ilvl w:val="0"/>
          <w:numId w:val="10"/>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pStyle w:val="38"/>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ascii="仿宋" w:eastAsia="仿宋"/>
          <w:b/>
          <w:bCs/>
          <w:sz w:val="30"/>
          <w:szCs w:val="30"/>
        </w:rPr>
        <w:t>7</w:t>
      </w:r>
      <w:r>
        <w:rPr>
          <w:rFonts w:hint="eastAsia" w:ascii="仿宋" w:eastAsia="仿宋"/>
          <w:b/>
          <w:bCs/>
          <w:sz w:val="30"/>
          <w:szCs w:val="30"/>
        </w:rPr>
        <w:t>（如有）：</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hint="eastAsia" w:ascii="仿宋" w:eastAsia="仿宋"/>
          <w:sz w:val="24"/>
          <w:szCs w:val="24"/>
          <w:u w:val="single"/>
          <w:lang w:eastAsia="zh-CN"/>
        </w:rPr>
        <w:t>绍兴市越城区鉴湖街道办事处</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w:t>
      </w:r>
      <w:r>
        <w:rPr>
          <w:rFonts w:hint="eastAsia" w:ascii="仿宋" w:eastAsia="仿宋"/>
          <w:bCs/>
          <w:sz w:val="24"/>
          <w:szCs w:val="24"/>
          <w:u w:val="single"/>
          <w:lang w:eastAsia="zh-CN"/>
        </w:rPr>
        <w:t>2023年绍兴市越城区鉴湖街道病媒生物防制服务项目</w:t>
      </w:r>
      <w:r>
        <w:rPr>
          <w:rFonts w:ascii="仿宋" w:eastAsia="仿宋"/>
          <w:sz w:val="24"/>
          <w:szCs w:val="24"/>
          <w:u w:val="single"/>
        </w:rPr>
        <w:t xml:space="preserve">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w:t>
      </w:r>
      <w:r>
        <w:rPr>
          <w:rFonts w:hint="eastAsia" w:ascii="仿宋" w:eastAsia="仿宋"/>
          <w:b w:val="0"/>
          <w:bCs w:val="0"/>
          <w:sz w:val="24"/>
          <w:szCs w:val="24"/>
          <w:u w:val="single"/>
          <w:vertAlign w:val="baseline"/>
          <w:lang w:val="en-US" w:eastAsia="zh-CN"/>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0" w:firstLineChars="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11"/>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11"/>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11"/>
        </w:numPr>
        <w:snapToGrid w:val="0"/>
        <w:spacing w:before="50" w:after="50" w:line="240" w:lineRule="auto"/>
        <w:jc w:val="left"/>
        <w:rPr>
          <w:rFonts w:ascii="仿宋" w:eastAsia="仿宋"/>
          <w:b/>
          <w:bCs/>
          <w:sz w:val="24"/>
          <w:szCs w:val="24"/>
          <w:u w:val="single"/>
        </w:rPr>
      </w:pPr>
      <w:r>
        <w:rPr>
          <w:rFonts w:hint="eastAsia" w:ascii="仿宋" w:eastAsia="仿宋" w:cs="仿宋_GB2312"/>
          <w:b/>
          <w:bCs/>
          <w:sz w:val="24"/>
          <w:u w:val="single"/>
          <w:lang w:eastAsia="zh-CN"/>
        </w:rPr>
        <w:t>“标的名称”、“所属行业”按前附表所列填写，否则资格审查不通过。</w:t>
      </w:r>
    </w:p>
    <w:p>
      <w:pPr>
        <w:snapToGrid w:val="0"/>
        <w:spacing w:before="50" w:after="50"/>
        <w:ind w:left="840"/>
        <w:jc w:val="left"/>
        <w:rPr>
          <w:rFonts w:ascii="仿宋" w:eastAsia="仿宋"/>
          <w:b/>
          <w:bCs/>
          <w:sz w:val="24"/>
          <w:szCs w:val="24"/>
        </w:rPr>
      </w:pPr>
    </w:p>
    <w:p>
      <w:pPr>
        <w:spacing w:line="588" w:lineRule="exact"/>
        <w:rPr>
          <w:rFonts w:hint="eastAsia" w:ascii="仿宋" w:eastAsia="仿宋"/>
          <w:b/>
          <w:spacing w:val="6"/>
          <w:sz w:val="30"/>
          <w:szCs w:val="30"/>
        </w:rPr>
      </w:pPr>
      <w:bookmarkStart w:id="49" w:name="_Hlk523382353"/>
      <w:r>
        <w:rPr>
          <w:rFonts w:hint="eastAsia" w:ascii="仿宋" w:eastAsia="仿宋"/>
          <w:b/>
          <w:spacing w:val="6"/>
          <w:sz w:val="30"/>
          <w:szCs w:val="30"/>
        </w:rPr>
        <w:t>附件</w:t>
      </w:r>
      <w:r>
        <w:rPr>
          <w:rFonts w:ascii="仿宋" w:eastAsia="仿宋"/>
          <w:b/>
          <w:spacing w:val="6"/>
          <w:sz w:val="30"/>
          <w:szCs w:val="30"/>
        </w:rPr>
        <w:t>8</w:t>
      </w:r>
      <w:r>
        <w:rPr>
          <w:rFonts w:hint="eastAsia" w:ascii="仿宋" w:eastAsia="仿宋"/>
          <w:b/>
          <w:spacing w:val="6"/>
          <w:sz w:val="30"/>
          <w:szCs w:val="30"/>
        </w:rPr>
        <w:t>（如有）：</w:t>
      </w:r>
    </w:p>
    <w:bookmarkEnd w:id="49"/>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ascii="仿宋" w:eastAsia="仿宋"/>
          <w:b/>
          <w:bCs/>
          <w:sz w:val="30"/>
          <w:szCs w:val="30"/>
        </w:rPr>
        <w:t>9</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10</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43"/>
        <w:spacing w:line="360" w:lineRule="auto"/>
        <w:ind w:firstLine="0" w:firstLineChars="0"/>
        <w:jc w:val="left"/>
        <w:rPr>
          <w:rFonts w:hint="eastAsia" w:ascii="仿宋" w:eastAsia="仿宋" w:cs="仿宋_GB2312"/>
        </w:rPr>
      </w:pPr>
      <w:bookmarkStart w:id="50"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50"/>
    </w:p>
    <w:p>
      <w:pPr>
        <w:pStyle w:val="43"/>
        <w:spacing w:line="360" w:lineRule="auto"/>
        <w:ind w:firstLine="0" w:firstLineChars="0"/>
        <w:jc w:val="left"/>
        <w:rPr>
          <w:rFonts w:hint="eastAsia" w:ascii="仿宋" w:eastAsia="仿宋" w:cs="仿宋_GB2312"/>
        </w:rPr>
      </w:pPr>
      <w:bookmarkStart w:id="51" w:name="_Toc64369790"/>
      <w:r>
        <w:rPr>
          <w:rFonts w:hint="eastAsia" w:ascii="仿宋" w:eastAsia="仿宋" w:cs="仿宋_GB2312"/>
        </w:rPr>
        <w:t>2.技术响应表…………………………………………………………………（页码）</w:t>
      </w:r>
      <w:bookmarkEnd w:id="51"/>
    </w:p>
    <w:p>
      <w:pPr>
        <w:pStyle w:val="43"/>
        <w:spacing w:line="360" w:lineRule="auto"/>
        <w:ind w:firstLine="0" w:firstLineChars="0"/>
        <w:jc w:val="left"/>
        <w:rPr>
          <w:rFonts w:hint="eastAsia" w:ascii="仿宋" w:eastAsia="仿宋" w:cs="仿宋_GB2312"/>
        </w:rPr>
      </w:pPr>
      <w:bookmarkStart w:id="52" w:name="_Toc64369791"/>
      <w:r>
        <w:rPr>
          <w:rFonts w:hint="eastAsia" w:ascii="仿宋" w:eastAsia="仿宋" w:cs="仿宋_GB2312"/>
        </w:rPr>
        <w:t>3.商务响应表…………………………………………………………………（页码）</w:t>
      </w:r>
      <w:bookmarkEnd w:id="52"/>
    </w:p>
    <w:p>
      <w:pPr>
        <w:pStyle w:val="43"/>
        <w:spacing w:line="360" w:lineRule="auto"/>
        <w:ind w:firstLine="0" w:firstLineChars="0"/>
        <w:jc w:val="left"/>
        <w:rPr>
          <w:rFonts w:hint="eastAsia" w:ascii="仿宋" w:eastAsia="仿宋" w:cs="仿宋_GB2312"/>
        </w:rPr>
      </w:pPr>
      <w:bookmarkStart w:id="53"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3"/>
    </w:p>
    <w:p>
      <w:pPr>
        <w:pStyle w:val="43"/>
        <w:spacing w:line="360" w:lineRule="auto"/>
        <w:ind w:firstLine="0" w:firstLineChars="0"/>
        <w:jc w:val="left"/>
        <w:rPr>
          <w:rFonts w:hint="eastAsia" w:ascii="仿宋" w:eastAsia="仿宋" w:cs="仿宋_GB2312"/>
        </w:rPr>
      </w:pPr>
      <w:bookmarkStart w:id="54"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4"/>
    </w:p>
    <w:p>
      <w:pPr>
        <w:pStyle w:val="43"/>
        <w:spacing w:line="360" w:lineRule="auto"/>
        <w:ind w:firstLine="0" w:firstLineChars="0"/>
        <w:jc w:val="left"/>
        <w:rPr>
          <w:rFonts w:ascii="仿宋" w:eastAsia="仿宋" w:cs="仿宋_GB2312"/>
        </w:rPr>
      </w:pPr>
      <w:bookmarkStart w:id="55"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pPr>
        <w:pStyle w:val="41"/>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43"/>
        <w:spacing w:line="360" w:lineRule="auto"/>
        <w:ind w:firstLine="0" w:firstLineChars="0"/>
        <w:jc w:val="left"/>
        <w:rPr>
          <w:rFonts w:hint="eastAsia" w:ascii="仿宋" w:eastAsia="仿宋" w:cs="仿宋_GB2312"/>
        </w:rPr>
      </w:pPr>
      <w:bookmarkStart w:id="56"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pPr>
        <w:pStyle w:val="43"/>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43"/>
        <w:spacing w:line="360" w:lineRule="auto"/>
        <w:ind w:firstLine="0" w:firstLineChars="0"/>
        <w:jc w:val="left"/>
        <w:rPr>
          <w:rFonts w:hint="eastAsia" w:ascii="仿宋" w:eastAsia="仿宋" w:cs="仿宋_GB2312"/>
        </w:rPr>
      </w:pPr>
      <w:bookmarkStart w:id="57"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pPr>
        <w:pStyle w:val="41"/>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8"/>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ascii="仿宋" w:eastAsia="仿宋"/>
          <w:b/>
          <w:bCs/>
          <w:sz w:val="28"/>
          <w:szCs w:val="28"/>
        </w:rPr>
        <w:t>11</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9"/>
        <w:snapToGrid w:val="0"/>
        <w:rPr>
          <w:rFonts w:hint="eastAsia" w:ascii="仿宋" w:eastAsia="仿宋"/>
          <w:sz w:val="30"/>
          <w:szCs w:val="30"/>
        </w:rPr>
      </w:pPr>
      <w:r>
        <w:rPr>
          <w:rFonts w:hint="eastAsia" w:ascii="仿宋" w:eastAsia="仿宋"/>
          <w:sz w:val="30"/>
          <w:szCs w:val="30"/>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12</w:t>
      </w:r>
      <w:r>
        <w:rPr>
          <w:rFonts w:hint="eastAsia" w:ascii="仿宋" w:eastAsia="仿宋"/>
          <w:b/>
          <w:bCs/>
          <w:sz w:val="30"/>
          <w:szCs w:val="30"/>
        </w:rPr>
        <w:t>：技术响应表</w:t>
      </w:r>
    </w:p>
    <w:p>
      <w:pPr>
        <w:snapToGrid w:val="0"/>
        <w:spacing w:before="50" w:after="50"/>
        <w:rPr>
          <w:rFonts w:hint="eastAsia" w:ascii="仿宋" w:eastAsia="仿宋"/>
          <w:b/>
          <w:bCs/>
          <w:sz w:val="30"/>
          <w:szCs w:val="30"/>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58" w:name="_Toc64369807"/>
            <w:r>
              <w:rPr>
                <w:rFonts w:hint="eastAsia" w:ascii="仿宋" w:eastAsia="仿宋"/>
                <w:spacing w:val="20"/>
                <w:sz w:val="24"/>
                <w:szCs w:val="24"/>
              </w:rPr>
              <w:t>服务部分</w:t>
            </w:r>
            <w:bookmarkEnd w:id="5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59" w:name="_Toc64369800"/>
            <w:r>
              <w:rPr>
                <w:rFonts w:hint="eastAsia" w:ascii="仿宋" w:eastAsia="仿宋"/>
                <w:spacing w:val="20"/>
                <w:sz w:val="24"/>
                <w:szCs w:val="24"/>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0" w:name="_Toc64369801"/>
            <w:bookmarkStart w:id="61"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2"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3" w:name="_Toc64369804"/>
            <w:r>
              <w:rPr>
                <w:rFonts w:hint="eastAsia" w:ascii="仿宋" w:eastAsia="仿宋"/>
                <w:spacing w:val="20"/>
                <w:sz w:val="24"/>
                <w:szCs w:val="24"/>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4" w:name="_Toc64369805"/>
            <w:r>
              <w:rPr>
                <w:rFonts w:hint="eastAsia" w:ascii="仿宋" w:eastAsia="仿宋"/>
                <w:spacing w:val="20"/>
                <w:sz w:val="24"/>
                <w:szCs w:val="24"/>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5" w:name="_Toc64369806"/>
            <w:bookmarkEnd w:id="65"/>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66"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66"/>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7" w:name="_Toc64369808"/>
            <w:r>
              <w:rPr>
                <w:rFonts w:hint="eastAsia" w:ascii="仿宋" w:eastAsia="仿宋"/>
                <w:spacing w:val="20"/>
                <w:sz w:val="24"/>
                <w:szCs w:val="24"/>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68" w:name="_Toc64369809"/>
            <w:bookmarkStart w:id="69" w:name="_Toc64369810"/>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bookmarkStart w:id="70" w:name="_Toc64369811"/>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1" w:name="_Toc64369814"/>
            <w:r>
              <w:rPr>
                <w:rFonts w:hint="eastAsia" w:ascii="仿宋" w:eastAsia="仿宋"/>
                <w:spacing w:val="20"/>
                <w:sz w:val="24"/>
                <w:szCs w:val="24"/>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hint="eastAsia" w:ascii="仿宋" w:eastAsia="仿宋"/>
          <w:sz w:val="24"/>
          <w:szCs w:val="24"/>
        </w:rPr>
      </w:pPr>
      <w:r>
        <w:rPr>
          <w:rFonts w:hint="eastAsia" w:ascii="仿宋" w:eastAsia="仿宋"/>
          <w:sz w:val="24"/>
          <w:szCs w:val="24"/>
        </w:rPr>
        <w:t xml:space="preserve">日期： </w:t>
      </w:r>
    </w:p>
    <w:p>
      <w:pPr>
        <w:snapToGrid w:val="0"/>
        <w:spacing w:before="156" w:beforeLines="50"/>
        <w:rPr>
          <w:rFonts w:hint="eastAsia" w:ascii="仿宋" w:eastAsia="仿宋"/>
          <w:sz w:val="24"/>
          <w:szCs w:val="24"/>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3</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72" w:name="_Toc64369815"/>
            <w:r>
              <w:rPr>
                <w:rFonts w:hint="eastAsia" w:ascii="仿宋" w:eastAsia="仿宋" w:cs="仿宋_GB2312"/>
                <w:spacing w:val="20"/>
                <w:sz w:val="28"/>
                <w:szCs w:val="28"/>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3" w:name="_Toc64369816"/>
            <w:r>
              <w:rPr>
                <w:rFonts w:hint="eastAsia" w:ascii="仿宋" w:eastAsia="仿宋" w:cs="仿宋_GB2312"/>
                <w:sz w:val="30"/>
                <w:szCs w:val="30"/>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4" w:name="_Toc64369817"/>
            <w:r>
              <w:rPr>
                <w:rFonts w:hint="eastAsia" w:ascii="仿宋" w:eastAsia="仿宋" w:cs="仿宋_GB2312"/>
                <w:sz w:val="30"/>
                <w:szCs w:val="30"/>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75" w:name="_Toc64369818"/>
            <w:r>
              <w:rPr>
                <w:rFonts w:hint="eastAsia" w:ascii="仿宋" w:eastAsia="仿宋" w:cs="仿宋_GB2312"/>
                <w:sz w:val="30"/>
                <w:szCs w:val="30"/>
              </w:rPr>
              <w:t>偏离情况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76" w:name="_Toc64369819"/>
            <w:bookmarkStart w:id="77" w:name="_Toc64369823"/>
            <w:r>
              <w:rPr>
                <w:rFonts w:hint="eastAsia" w:ascii="仿宋" w:eastAsia="仿宋"/>
                <w:spacing w:val="20"/>
                <w:sz w:val="28"/>
                <w:szCs w:val="28"/>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4</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9"/>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5</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12"/>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12"/>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6</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7"/>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44"/>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44"/>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44"/>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44"/>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4"/>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7"/>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7</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ascii="仿宋" w:eastAsia="仿宋"/>
          <w:b/>
          <w:bCs/>
          <w:sz w:val="30"/>
          <w:szCs w:val="30"/>
        </w:rPr>
        <w:t>8</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43"/>
        <w:spacing w:line="360" w:lineRule="auto"/>
        <w:ind w:firstLine="0" w:firstLineChars="0"/>
        <w:jc w:val="center"/>
        <w:rPr>
          <w:rFonts w:hint="eastAsia" w:ascii="仿宋" w:eastAsia="仿宋" w:cs="仿宋_GB2312"/>
        </w:rPr>
      </w:pPr>
      <w:bookmarkStart w:id="78" w:name="_Toc64369825"/>
      <w:r>
        <w:rPr>
          <w:rFonts w:hint="eastAsia" w:ascii="仿宋" w:eastAsia="仿宋" w:cs="仿宋_GB2312"/>
        </w:rPr>
        <w:t>目 录</w:t>
      </w:r>
      <w:bookmarkEnd w:id="78"/>
    </w:p>
    <w:p>
      <w:pPr>
        <w:pStyle w:val="43"/>
        <w:numPr>
          <w:ilvl w:val="0"/>
          <w:numId w:val="13"/>
        </w:numPr>
        <w:spacing w:line="360" w:lineRule="auto"/>
        <w:ind w:firstLine="0" w:firstLineChars="0"/>
        <w:jc w:val="left"/>
        <w:rPr>
          <w:rFonts w:hint="eastAsia" w:ascii="仿宋" w:eastAsia="仿宋" w:cs="仿宋_GB2312"/>
        </w:rPr>
      </w:pPr>
      <w:r>
        <w:rPr>
          <w:rFonts w:hint="eastAsia" w:ascii="仿宋" w:eastAsia="仿宋" w:cs="仿宋_GB2312"/>
        </w:rPr>
        <w:t>开标一览表 …………………………………………………………………（页码）</w:t>
      </w:r>
    </w:p>
    <w:p>
      <w:pPr>
        <w:pStyle w:val="43"/>
        <w:spacing w:line="360" w:lineRule="auto"/>
        <w:ind w:firstLine="0" w:firstLineChars="0"/>
        <w:jc w:val="left"/>
        <w:rPr>
          <w:rFonts w:hint="default" w:ascii="仿宋" w:eastAsia="仿宋" w:cs="仿宋_GB2312"/>
          <w:lang w:val="en-US" w:eastAsia="zh-CN"/>
        </w:rPr>
      </w:pPr>
      <w:r>
        <w:rPr>
          <w:rFonts w:hint="eastAsia" w:ascii="仿宋" w:eastAsia="仿宋" w:cs="仿宋_GB2312"/>
          <w:lang w:val="en-US" w:eastAsia="zh-CN"/>
        </w:rPr>
        <w:t>2、报价明细表</w:t>
      </w:r>
      <w:r>
        <w:rPr>
          <w:rFonts w:hint="eastAsia" w:ascii="仿宋" w:eastAsia="仿宋" w:cs="仿宋_GB2312"/>
        </w:rPr>
        <w:t>…………………………………………………………………（页码）</w:t>
      </w:r>
    </w:p>
    <w:p>
      <w:pPr>
        <w:pStyle w:val="43"/>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rPr>
      </w:pPr>
      <w:r>
        <w:rPr>
          <w:rFonts w:hint="eastAsia" w:ascii="仿宋" w:eastAsia="仿宋"/>
          <w:b/>
          <w:bCs/>
          <w:sz w:val="30"/>
          <w:szCs w:val="30"/>
          <w:highlight w:val="none"/>
        </w:rPr>
        <w:t>附件1</w:t>
      </w:r>
      <w:r>
        <w:rPr>
          <w:rFonts w:ascii="仿宋" w:eastAsia="仿宋"/>
          <w:b/>
          <w:bCs/>
          <w:sz w:val="30"/>
          <w:szCs w:val="30"/>
          <w:highlight w:val="none"/>
        </w:rPr>
        <w:t>9</w:t>
      </w:r>
      <w:r>
        <w:rPr>
          <w:rFonts w:hint="eastAsia" w:ascii="仿宋" w:eastAsia="仿宋"/>
          <w:b/>
          <w:bCs/>
          <w:sz w:val="30"/>
          <w:szCs w:val="30"/>
          <w:highlight w:val="none"/>
        </w:rPr>
        <w:t>：</w:t>
      </w:r>
    </w:p>
    <w:p>
      <w:pPr>
        <w:snapToGrid w:val="0"/>
        <w:spacing w:before="50" w:after="50"/>
        <w:jc w:val="center"/>
        <w:rPr>
          <w:rFonts w:hint="eastAsia" w:ascii="仿宋" w:eastAsia="仿宋"/>
          <w:b/>
          <w:sz w:val="36"/>
          <w:szCs w:val="36"/>
          <w:highlight w:val="none"/>
        </w:rPr>
      </w:pPr>
      <w:r>
        <w:rPr>
          <w:rFonts w:hint="eastAsia" w:ascii="仿宋" w:eastAsia="仿宋"/>
          <w:b/>
          <w:sz w:val="36"/>
          <w:szCs w:val="36"/>
          <w:highlight w:val="none"/>
        </w:rPr>
        <w:t>开标一览表</w:t>
      </w:r>
    </w:p>
    <w:p>
      <w:pPr>
        <w:spacing w:line="400" w:lineRule="exact"/>
        <w:rPr>
          <w:rFonts w:hint="eastAsia" w:ascii="仿宋" w:eastAsia="仿宋"/>
          <w:sz w:val="24"/>
        </w:rPr>
      </w:pP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88" w:type="dxa"/>
            <w:tcBorders>
              <w:top w:val="single" w:color="auto" w:sz="4" w:space="0"/>
              <w:left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2023年绍兴市越城区鉴湖街道病媒生物防制服务项目</w:t>
            </w:r>
          </w:p>
        </w:tc>
        <w:tc>
          <w:tcPr>
            <w:tcW w:w="2655" w:type="dxa"/>
            <w:tcBorders>
              <w:top w:val="single" w:color="auto" w:sz="4" w:space="0"/>
              <w:left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p>
        </w:tc>
        <w:tc>
          <w:tcPr>
            <w:tcW w:w="1980" w:type="dxa"/>
            <w:tcBorders>
              <w:top w:val="single" w:color="auto" w:sz="4" w:space="0"/>
              <w:left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p>
        </w:tc>
        <w:tc>
          <w:tcPr>
            <w:tcW w:w="2265" w:type="dxa"/>
            <w:tcBorders>
              <w:top w:val="single" w:color="auto" w:sz="4" w:space="0"/>
              <w:left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sz w:val="24"/>
        </w:rPr>
      </w:pPr>
      <w:r>
        <w:rPr>
          <w:rFonts w:hint="eastAsia" w:ascii="仿宋" w:eastAsia="仿宋"/>
          <w:sz w:val="24"/>
        </w:rPr>
        <w:t>2.招标人不接受2个(含)以上的报价或方案，若投标人在此表中有2个（含）以上的报价或方案，其投标作无效投标处理。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r>
        <w:rPr>
          <w:rFonts w:hint="eastAsia" w:ascii="仿宋" w:eastAsia="仿宋"/>
          <w:sz w:val="24"/>
        </w:rPr>
        <w:t xml:space="preserve">法定代表人或其授权代表签字（或盖章）：            </w:t>
      </w:r>
    </w:p>
    <w:p>
      <w:pPr>
        <w:spacing w:line="360" w:lineRule="auto"/>
        <w:jc w:val="left"/>
        <w:outlineLvl w:val="0"/>
        <w:rPr>
          <w:rFonts w:hint="eastAsia" w:ascii="仿宋" w:eastAsia="仿宋"/>
          <w:sz w:val="24"/>
        </w:rPr>
      </w:pPr>
    </w:p>
    <w:p>
      <w:pPr>
        <w:snapToGrid w:val="0"/>
        <w:ind w:firstLine="480" w:firstLineChars="200"/>
        <w:jc w:val="left"/>
        <w:rPr>
          <w:rFonts w:hint="eastAsia" w:ascii="仿宋" w:eastAsia="仿宋"/>
          <w:sz w:val="24"/>
        </w:rPr>
      </w:pPr>
      <w:r>
        <w:rPr>
          <w:rFonts w:hint="eastAsia" w:ascii="仿宋" w:eastAsia="仿宋"/>
          <w:sz w:val="24"/>
        </w:rPr>
        <w:t>日期：    年   月   日</w:t>
      </w:r>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3"/>
        <w:keepNext/>
        <w:keepLines/>
        <w:pageBreakBefore w:val="0"/>
        <w:widowControl w:val="0"/>
        <w:suppressLineNumbers w:val="0"/>
        <w:suppressAutoHyphens w:val="0"/>
        <w:spacing w:line="578" w:lineRule="auto"/>
        <w:jc w:val="center"/>
        <w:rPr>
          <w:rFonts w:hint="eastAsia" w:ascii="仿宋"/>
        </w:rPr>
      </w:pPr>
      <w:bookmarkStart w:id="79" w:name="_Toc16291"/>
      <w:r>
        <w:rPr>
          <w:rFonts w:hint="eastAsia" w:ascii="仿宋"/>
        </w:rPr>
        <w:t>第七章  询问、质疑及投诉</w:t>
      </w:r>
      <w:bookmarkEnd w:id="79"/>
    </w:p>
    <w:p>
      <w:pPr>
        <w:pStyle w:val="17"/>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spacing w:line="415" w:lineRule="auto"/>
        <w:jc w:val="center"/>
        <w:rPr>
          <w:rFonts w:hint="eastAsia" w:ascii="仿宋"/>
        </w:rPr>
      </w:pPr>
      <w:bookmarkStart w:id="80" w:name="_Toc31383"/>
      <w:r>
        <w:rPr>
          <w:rFonts w:hint="eastAsia" w:ascii="仿宋"/>
        </w:rPr>
        <w:t>一、供应商询问</w:t>
      </w:r>
      <w:bookmarkEnd w:id="80"/>
    </w:p>
    <w:p>
      <w:pPr>
        <w:pStyle w:val="17"/>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7"/>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4"/>
        <w:spacing w:line="415" w:lineRule="auto"/>
        <w:jc w:val="center"/>
        <w:rPr>
          <w:rFonts w:hint="eastAsia" w:ascii="仿宋"/>
        </w:rPr>
      </w:pPr>
      <w:bookmarkStart w:id="81" w:name="_Toc25373"/>
      <w:r>
        <w:rPr>
          <w:rFonts w:hint="eastAsia" w:ascii="仿宋"/>
        </w:rPr>
        <w:t>二、供应商质疑</w:t>
      </w:r>
      <w:bookmarkEnd w:id="81"/>
    </w:p>
    <w:p>
      <w:pPr>
        <w:pStyle w:val="17"/>
        <w:spacing w:line="360" w:lineRule="auto"/>
        <w:ind w:left="0"/>
        <w:rPr>
          <w:rFonts w:hint="eastAsia" w:ascii="仿宋" w:eastAsia="仿宋"/>
          <w:b/>
          <w:bCs/>
          <w:sz w:val="24"/>
        </w:rPr>
      </w:pPr>
      <w:r>
        <w:rPr>
          <w:rFonts w:hint="eastAsia" w:ascii="仿宋" w:eastAsia="仿宋"/>
          <w:b/>
          <w:bCs/>
          <w:sz w:val="24"/>
        </w:rPr>
        <w:t>2.1质疑有效期：</w:t>
      </w:r>
    </w:p>
    <w:p>
      <w:pPr>
        <w:pStyle w:val="17"/>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7"/>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7"/>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7"/>
        <w:spacing w:line="360" w:lineRule="auto"/>
        <w:ind w:left="0"/>
        <w:rPr>
          <w:rFonts w:hint="eastAsia" w:ascii="仿宋" w:eastAsia="仿宋"/>
          <w:b/>
          <w:bCs/>
          <w:sz w:val="24"/>
        </w:rPr>
      </w:pPr>
      <w:r>
        <w:rPr>
          <w:rFonts w:hint="eastAsia" w:ascii="仿宋" w:eastAsia="仿宋"/>
          <w:b/>
          <w:bCs/>
          <w:sz w:val="24"/>
        </w:rPr>
        <w:t>2.2质疑主体的有效性：</w:t>
      </w:r>
    </w:p>
    <w:p>
      <w:pPr>
        <w:pStyle w:val="17"/>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7"/>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pPr>
        <w:pStyle w:val="17"/>
        <w:spacing w:line="360" w:lineRule="auto"/>
        <w:ind w:left="0"/>
        <w:rPr>
          <w:rFonts w:hint="eastAsia" w:ascii="仿宋" w:eastAsia="仿宋"/>
          <w:b/>
          <w:bCs/>
          <w:sz w:val="24"/>
        </w:rPr>
      </w:pPr>
      <w:r>
        <w:rPr>
          <w:rFonts w:hint="eastAsia" w:ascii="仿宋" w:eastAsia="仿宋"/>
          <w:b/>
          <w:bCs/>
          <w:sz w:val="24"/>
        </w:rPr>
        <w:t>2.3质疑的答复</w:t>
      </w:r>
    </w:p>
    <w:p>
      <w:pPr>
        <w:pStyle w:val="17"/>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7"/>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7"/>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4"/>
        <w:keepNext/>
        <w:keepLines/>
        <w:pageBreakBefore w:val="0"/>
        <w:widowControl w:val="0"/>
        <w:suppressLineNumbers w:val="0"/>
        <w:suppressAutoHyphens w:val="0"/>
        <w:spacing w:line="415" w:lineRule="auto"/>
        <w:rPr>
          <w:rFonts w:hint="eastAsia" w:ascii="仿宋"/>
        </w:rPr>
      </w:pPr>
      <w:bookmarkStart w:id="82" w:name="_Toc17941"/>
      <w:r>
        <w:rPr>
          <w:rFonts w:hint="eastAsia" w:ascii="仿宋"/>
        </w:rPr>
        <w:t>三、供应商投诉</w:t>
      </w:r>
      <w:bookmarkEnd w:id="82"/>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011BD"/>
    <w:multiLevelType w:val="singleLevel"/>
    <w:tmpl w:val="8B5011BD"/>
    <w:lvl w:ilvl="0" w:tentative="0">
      <w:start w:val="1"/>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E7332B6"/>
    <w:multiLevelType w:val="singleLevel"/>
    <w:tmpl w:val="BE7332B6"/>
    <w:lvl w:ilvl="0" w:tentative="0">
      <w:start w:val="1"/>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E3B90E5B"/>
    <w:multiLevelType w:val="singleLevel"/>
    <w:tmpl w:val="E3B90E5B"/>
    <w:lvl w:ilvl="0" w:tentative="0">
      <w:start w:val="1"/>
      <w:numFmt w:val="decimal"/>
      <w:suff w:val="nothing"/>
      <w:lvlText w:val="%1、"/>
      <w:lvlJc w:val="left"/>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1723D2A2"/>
    <w:multiLevelType w:val="singleLevel"/>
    <w:tmpl w:val="1723D2A2"/>
    <w:lvl w:ilvl="0" w:tentative="0">
      <w:start w:val="1"/>
      <w:numFmt w:val="decimal"/>
      <w:suff w:val="nothing"/>
      <w:lvlText w:val="（%1）"/>
      <w:lvlJc w:val="left"/>
    </w:lvl>
  </w:abstractNum>
  <w:abstractNum w:abstractNumId="8">
    <w:nsid w:val="2707A767"/>
    <w:multiLevelType w:val="singleLevel"/>
    <w:tmpl w:val="2707A767"/>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487C564E"/>
    <w:multiLevelType w:val="singleLevel"/>
    <w:tmpl w:val="487C564E"/>
    <w:lvl w:ilvl="0" w:tentative="0">
      <w:start w:val="2"/>
      <w:numFmt w:val="decimal"/>
      <w:suff w:val="nothing"/>
      <w:lvlText w:val="%1、"/>
      <w:lvlJc w:val="left"/>
    </w:lvl>
  </w:abstractNum>
  <w:abstractNum w:abstractNumId="11">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8"/>
  </w:num>
  <w:num w:numId="2">
    <w:abstractNumId w:val="4"/>
  </w:num>
  <w:num w:numId="3">
    <w:abstractNumId w:val="2"/>
  </w:num>
  <w:num w:numId="4">
    <w:abstractNumId w:val="7"/>
  </w:num>
  <w:num w:numId="5">
    <w:abstractNumId w:val="11"/>
  </w:num>
  <w:num w:numId="6">
    <w:abstractNumId w:val="5"/>
  </w:num>
  <w:num w:numId="7">
    <w:abstractNumId w:val="0"/>
  </w:num>
  <w:num w:numId="8">
    <w:abstractNumId w:val="10"/>
  </w:num>
  <w:num w:numId="9">
    <w:abstractNumId w:val="6"/>
  </w:num>
  <w:num w:numId="10">
    <w:abstractNumId w:val="9"/>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ZWY5ZjUzY2VhMDhkODI5ZjQzOTJiMTQ3ZjQyNjZlMTYifQ=="/>
  </w:docVars>
  <w:rsids>
    <w:rsidRoot w:val="00000000"/>
    <w:rsid w:val="000A74E7"/>
    <w:rsid w:val="006E05BE"/>
    <w:rsid w:val="00A65CED"/>
    <w:rsid w:val="00BF10F3"/>
    <w:rsid w:val="00F4263E"/>
    <w:rsid w:val="014A3C45"/>
    <w:rsid w:val="01A159E6"/>
    <w:rsid w:val="01EA6363"/>
    <w:rsid w:val="024A3F0B"/>
    <w:rsid w:val="024B5FCF"/>
    <w:rsid w:val="029D33DC"/>
    <w:rsid w:val="03AB3070"/>
    <w:rsid w:val="03B000A4"/>
    <w:rsid w:val="03D746CC"/>
    <w:rsid w:val="04375579"/>
    <w:rsid w:val="044C0C16"/>
    <w:rsid w:val="04C03E98"/>
    <w:rsid w:val="04E71760"/>
    <w:rsid w:val="054A5B55"/>
    <w:rsid w:val="05821EE8"/>
    <w:rsid w:val="06357858"/>
    <w:rsid w:val="07124676"/>
    <w:rsid w:val="07177D54"/>
    <w:rsid w:val="07334CB8"/>
    <w:rsid w:val="07472B48"/>
    <w:rsid w:val="078828AD"/>
    <w:rsid w:val="07990616"/>
    <w:rsid w:val="07E31891"/>
    <w:rsid w:val="07F12200"/>
    <w:rsid w:val="08206641"/>
    <w:rsid w:val="08AB6853"/>
    <w:rsid w:val="09104908"/>
    <w:rsid w:val="09420839"/>
    <w:rsid w:val="09B55EFA"/>
    <w:rsid w:val="09E34BDB"/>
    <w:rsid w:val="09F169A8"/>
    <w:rsid w:val="0A983074"/>
    <w:rsid w:val="0AB3379D"/>
    <w:rsid w:val="0ABF65E6"/>
    <w:rsid w:val="0AFC7493"/>
    <w:rsid w:val="0B056B21"/>
    <w:rsid w:val="0BC1013B"/>
    <w:rsid w:val="0BC42ED8"/>
    <w:rsid w:val="0C232D87"/>
    <w:rsid w:val="0C8A49D1"/>
    <w:rsid w:val="0D1129FD"/>
    <w:rsid w:val="0DB32F07"/>
    <w:rsid w:val="0DF9211A"/>
    <w:rsid w:val="0E035A3F"/>
    <w:rsid w:val="0E372444"/>
    <w:rsid w:val="0E451C75"/>
    <w:rsid w:val="0E4A7FFC"/>
    <w:rsid w:val="0E8D2557"/>
    <w:rsid w:val="0E9B1118"/>
    <w:rsid w:val="0EA05F40"/>
    <w:rsid w:val="0F2A5FF8"/>
    <w:rsid w:val="0F565639"/>
    <w:rsid w:val="0F6251CC"/>
    <w:rsid w:val="0F655A13"/>
    <w:rsid w:val="0F897DAE"/>
    <w:rsid w:val="104C3E3F"/>
    <w:rsid w:val="106711F7"/>
    <w:rsid w:val="10EC5C5A"/>
    <w:rsid w:val="1122342A"/>
    <w:rsid w:val="11765524"/>
    <w:rsid w:val="11FA7F03"/>
    <w:rsid w:val="125B1AC5"/>
    <w:rsid w:val="13064DFC"/>
    <w:rsid w:val="13313DF9"/>
    <w:rsid w:val="13D848ED"/>
    <w:rsid w:val="13E92C15"/>
    <w:rsid w:val="147E276B"/>
    <w:rsid w:val="14D6498E"/>
    <w:rsid w:val="15591E86"/>
    <w:rsid w:val="155E69FB"/>
    <w:rsid w:val="15B900D5"/>
    <w:rsid w:val="16051B0A"/>
    <w:rsid w:val="160A4336"/>
    <w:rsid w:val="161426C7"/>
    <w:rsid w:val="162277A0"/>
    <w:rsid w:val="1647748F"/>
    <w:rsid w:val="16E85F22"/>
    <w:rsid w:val="17A51B9E"/>
    <w:rsid w:val="17F8119F"/>
    <w:rsid w:val="19FA1412"/>
    <w:rsid w:val="1A825C9E"/>
    <w:rsid w:val="1B122762"/>
    <w:rsid w:val="1B477432"/>
    <w:rsid w:val="1BD45B7E"/>
    <w:rsid w:val="1BE85270"/>
    <w:rsid w:val="1C660C85"/>
    <w:rsid w:val="1CCD60E9"/>
    <w:rsid w:val="1D343404"/>
    <w:rsid w:val="1D9A1EC1"/>
    <w:rsid w:val="1DA069F1"/>
    <w:rsid w:val="1DCE02FB"/>
    <w:rsid w:val="1E432C32"/>
    <w:rsid w:val="1E7E1EBC"/>
    <w:rsid w:val="1EA566DB"/>
    <w:rsid w:val="1F002471"/>
    <w:rsid w:val="1F307664"/>
    <w:rsid w:val="1F810999"/>
    <w:rsid w:val="20626E5C"/>
    <w:rsid w:val="2096484C"/>
    <w:rsid w:val="20FD17BE"/>
    <w:rsid w:val="2160284E"/>
    <w:rsid w:val="216B2BCB"/>
    <w:rsid w:val="218B4F24"/>
    <w:rsid w:val="21B333E3"/>
    <w:rsid w:val="222F59A7"/>
    <w:rsid w:val="228F0947"/>
    <w:rsid w:val="23353491"/>
    <w:rsid w:val="23A777BF"/>
    <w:rsid w:val="23B01593"/>
    <w:rsid w:val="23EE773B"/>
    <w:rsid w:val="24A34039"/>
    <w:rsid w:val="252E455E"/>
    <w:rsid w:val="25491055"/>
    <w:rsid w:val="256872F4"/>
    <w:rsid w:val="25BF43FD"/>
    <w:rsid w:val="263E265D"/>
    <w:rsid w:val="27475E22"/>
    <w:rsid w:val="28D03941"/>
    <w:rsid w:val="28D21782"/>
    <w:rsid w:val="29283F44"/>
    <w:rsid w:val="29291A3B"/>
    <w:rsid w:val="298E3F12"/>
    <w:rsid w:val="29A06476"/>
    <w:rsid w:val="29AE18A7"/>
    <w:rsid w:val="29BB2683"/>
    <w:rsid w:val="2A886665"/>
    <w:rsid w:val="2B9B2B99"/>
    <w:rsid w:val="2BC576F6"/>
    <w:rsid w:val="2BFA78E9"/>
    <w:rsid w:val="2CC357F9"/>
    <w:rsid w:val="2DB43204"/>
    <w:rsid w:val="2DBD12BC"/>
    <w:rsid w:val="2DE97352"/>
    <w:rsid w:val="2E2F46B9"/>
    <w:rsid w:val="2E801657"/>
    <w:rsid w:val="2EC67666"/>
    <w:rsid w:val="2EF333BA"/>
    <w:rsid w:val="2F3139F9"/>
    <w:rsid w:val="2F34284F"/>
    <w:rsid w:val="307355F9"/>
    <w:rsid w:val="312E3CFA"/>
    <w:rsid w:val="313B7EF1"/>
    <w:rsid w:val="318178A1"/>
    <w:rsid w:val="327E6664"/>
    <w:rsid w:val="328624F4"/>
    <w:rsid w:val="32870F44"/>
    <w:rsid w:val="33930FA5"/>
    <w:rsid w:val="33B36A61"/>
    <w:rsid w:val="33D6148D"/>
    <w:rsid w:val="33FB4EEF"/>
    <w:rsid w:val="340331AC"/>
    <w:rsid w:val="34330F9D"/>
    <w:rsid w:val="34A42225"/>
    <w:rsid w:val="35683252"/>
    <w:rsid w:val="35FB1672"/>
    <w:rsid w:val="360858DC"/>
    <w:rsid w:val="37560B2F"/>
    <w:rsid w:val="376C67FD"/>
    <w:rsid w:val="37A80BE0"/>
    <w:rsid w:val="3843352A"/>
    <w:rsid w:val="3843357E"/>
    <w:rsid w:val="38EE7F12"/>
    <w:rsid w:val="39161217"/>
    <w:rsid w:val="391815C9"/>
    <w:rsid w:val="394F0490"/>
    <w:rsid w:val="398B2485"/>
    <w:rsid w:val="399E1130"/>
    <w:rsid w:val="39A8203E"/>
    <w:rsid w:val="39AB3D41"/>
    <w:rsid w:val="39B55974"/>
    <w:rsid w:val="39CF34AC"/>
    <w:rsid w:val="3A013C75"/>
    <w:rsid w:val="3A112F01"/>
    <w:rsid w:val="3B9C79E6"/>
    <w:rsid w:val="3BD722E4"/>
    <w:rsid w:val="3BE26288"/>
    <w:rsid w:val="3C0A7E90"/>
    <w:rsid w:val="3C134F1C"/>
    <w:rsid w:val="3C7B53EE"/>
    <w:rsid w:val="3CDB457B"/>
    <w:rsid w:val="3EC12143"/>
    <w:rsid w:val="3EF75647"/>
    <w:rsid w:val="3EFB5137"/>
    <w:rsid w:val="3F55712C"/>
    <w:rsid w:val="3F850DC9"/>
    <w:rsid w:val="3F9E546D"/>
    <w:rsid w:val="3FB52C5C"/>
    <w:rsid w:val="40C37786"/>
    <w:rsid w:val="414A3ABB"/>
    <w:rsid w:val="4171348E"/>
    <w:rsid w:val="417A5F37"/>
    <w:rsid w:val="41EE72BB"/>
    <w:rsid w:val="42213363"/>
    <w:rsid w:val="42A45AE6"/>
    <w:rsid w:val="42B83341"/>
    <w:rsid w:val="43365054"/>
    <w:rsid w:val="434155E3"/>
    <w:rsid w:val="43AA2C88"/>
    <w:rsid w:val="43F6313C"/>
    <w:rsid w:val="43FA2BFE"/>
    <w:rsid w:val="444E5470"/>
    <w:rsid w:val="44852B14"/>
    <w:rsid w:val="44D501D8"/>
    <w:rsid w:val="451E1B7F"/>
    <w:rsid w:val="455F5273"/>
    <w:rsid w:val="45B51350"/>
    <w:rsid w:val="46A93F9C"/>
    <w:rsid w:val="46D46ADF"/>
    <w:rsid w:val="46D729A5"/>
    <w:rsid w:val="46EE399C"/>
    <w:rsid w:val="470C347D"/>
    <w:rsid w:val="47602B25"/>
    <w:rsid w:val="479003E6"/>
    <w:rsid w:val="47B63E52"/>
    <w:rsid w:val="487023A6"/>
    <w:rsid w:val="48C10A05"/>
    <w:rsid w:val="48CC36A0"/>
    <w:rsid w:val="491B667E"/>
    <w:rsid w:val="493140A5"/>
    <w:rsid w:val="49330108"/>
    <w:rsid w:val="49347A9C"/>
    <w:rsid w:val="493C4382"/>
    <w:rsid w:val="495F5E6E"/>
    <w:rsid w:val="49956348"/>
    <w:rsid w:val="4A18529C"/>
    <w:rsid w:val="4A4307F4"/>
    <w:rsid w:val="4A4E5776"/>
    <w:rsid w:val="4B8A789A"/>
    <w:rsid w:val="4C4E0247"/>
    <w:rsid w:val="4D0829EF"/>
    <w:rsid w:val="4DDF744F"/>
    <w:rsid w:val="4F02606E"/>
    <w:rsid w:val="4F866E60"/>
    <w:rsid w:val="507E5F1B"/>
    <w:rsid w:val="50C67994"/>
    <w:rsid w:val="510164F4"/>
    <w:rsid w:val="519A697F"/>
    <w:rsid w:val="5249428D"/>
    <w:rsid w:val="52497B10"/>
    <w:rsid w:val="52BF412D"/>
    <w:rsid w:val="52C37089"/>
    <w:rsid w:val="52E149CD"/>
    <w:rsid w:val="52E4072F"/>
    <w:rsid w:val="5329045E"/>
    <w:rsid w:val="536C1D08"/>
    <w:rsid w:val="536F510F"/>
    <w:rsid w:val="53B35230"/>
    <w:rsid w:val="54317DCA"/>
    <w:rsid w:val="54657905"/>
    <w:rsid w:val="549F605B"/>
    <w:rsid w:val="55E96031"/>
    <w:rsid w:val="56C03E82"/>
    <w:rsid w:val="56D03E0D"/>
    <w:rsid w:val="56E260B9"/>
    <w:rsid w:val="572F7019"/>
    <w:rsid w:val="57925A39"/>
    <w:rsid w:val="57B701F7"/>
    <w:rsid w:val="57D85BBE"/>
    <w:rsid w:val="58613E05"/>
    <w:rsid w:val="594D6137"/>
    <w:rsid w:val="597102E2"/>
    <w:rsid w:val="5A2A4E09"/>
    <w:rsid w:val="5A427C66"/>
    <w:rsid w:val="5AC86880"/>
    <w:rsid w:val="5AF8090C"/>
    <w:rsid w:val="5B582513"/>
    <w:rsid w:val="5B5E0D4A"/>
    <w:rsid w:val="5C225586"/>
    <w:rsid w:val="5C957F91"/>
    <w:rsid w:val="5CB41884"/>
    <w:rsid w:val="5D2378DB"/>
    <w:rsid w:val="5E356856"/>
    <w:rsid w:val="5EE270CE"/>
    <w:rsid w:val="5F1D035A"/>
    <w:rsid w:val="60132442"/>
    <w:rsid w:val="6045400C"/>
    <w:rsid w:val="60813B63"/>
    <w:rsid w:val="61F3273F"/>
    <w:rsid w:val="62C7407D"/>
    <w:rsid w:val="62E6604F"/>
    <w:rsid w:val="631A3827"/>
    <w:rsid w:val="63785DBF"/>
    <w:rsid w:val="63C52DF9"/>
    <w:rsid w:val="64153C8D"/>
    <w:rsid w:val="641D22DD"/>
    <w:rsid w:val="64234664"/>
    <w:rsid w:val="64DB474E"/>
    <w:rsid w:val="656778A4"/>
    <w:rsid w:val="65C44D67"/>
    <w:rsid w:val="65FF1A2E"/>
    <w:rsid w:val="662326FA"/>
    <w:rsid w:val="67964380"/>
    <w:rsid w:val="67AD0D27"/>
    <w:rsid w:val="68BB7BDF"/>
    <w:rsid w:val="68BE1872"/>
    <w:rsid w:val="691B0000"/>
    <w:rsid w:val="6972446D"/>
    <w:rsid w:val="69B51AEF"/>
    <w:rsid w:val="69FA5E67"/>
    <w:rsid w:val="69FD4B02"/>
    <w:rsid w:val="6A1D6445"/>
    <w:rsid w:val="6A88233D"/>
    <w:rsid w:val="6ACD4147"/>
    <w:rsid w:val="6AE12B83"/>
    <w:rsid w:val="6B533A81"/>
    <w:rsid w:val="6BF80185"/>
    <w:rsid w:val="6C641E9C"/>
    <w:rsid w:val="6C9900C5"/>
    <w:rsid w:val="6CF110B8"/>
    <w:rsid w:val="6D5E733D"/>
    <w:rsid w:val="6DD65749"/>
    <w:rsid w:val="6EDA1DC4"/>
    <w:rsid w:val="6F7A6951"/>
    <w:rsid w:val="6FD0280A"/>
    <w:rsid w:val="7019240C"/>
    <w:rsid w:val="7030649D"/>
    <w:rsid w:val="704E6CB4"/>
    <w:rsid w:val="707F70C6"/>
    <w:rsid w:val="70957C94"/>
    <w:rsid w:val="70A22DB5"/>
    <w:rsid w:val="70E909E4"/>
    <w:rsid w:val="70F33611"/>
    <w:rsid w:val="715A71EC"/>
    <w:rsid w:val="716F2C97"/>
    <w:rsid w:val="717B454C"/>
    <w:rsid w:val="72153666"/>
    <w:rsid w:val="726D7A05"/>
    <w:rsid w:val="72853686"/>
    <w:rsid w:val="72AB6BB1"/>
    <w:rsid w:val="739869E1"/>
    <w:rsid w:val="739E7FC4"/>
    <w:rsid w:val="740B15F2"/>
    <w:rsid w:val="74B774AD"/>
    <w:rsid w:val="751122B7"/>
    <w:rsid w:val="758F1B5A"/>
    <w:rsid w:val="77491B5B"/>
    <w:rsid w:val="778B5D9F"/>
    <w:rsid w:val="77AE30BE"/>
    <w:rsid w:val="77E2513C"/>
    <w:rsid w:val="78584264"/>
    <w:rsid w:val="786275C6"/>
    <w:rsid w:val="786818AB"/>
    <w:rsid w:val="799A0ACD"/>
    <w:rsid w:val="79E92559"/>
    <w:rsid w:val="7A510977"/>
    <w:rsid w:val="7BB96489"/>
    <w:rsid w:val="7C09509A"/>
    <w:rsid w:val="7C1C3A1B"/>
    <w:rsid w:val="7C6427DE"/>
    <w:rsid w:val="7C7B4F69"/>
    <w:rsid w:val="7C9F3284"/>
    <w:rsid w:val="7C9F63FA"/>
    <w:rsid w:val="7CD6006E"/>
    <w:rsid w:val="7D287B21"/>
    <w:rsid w:val="7D7F0706"/>
    <w:rsid w:val="7DDF608A"/>
    <w:rsid w:val="7E383F80"/>
    <w:rsid w:val="7E6E560C"/>
    <w:rsid w:val="7F741DC0"/>
    <w:rsid w:val="7F9E2C8E"/>
    <w:rsid w:val="7FAB1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3"/>
    <w:qFormat/>
    <w:uiPriority w:val="0"/>
    <w:pPr>
      <w:spacing w:line="360" w:lineRule="auto"/>
    </w:pPr>
    <w:rPr>
      <w:rFonts w:eastAsia="仿宋_GB2312"/>
      <w:sz w:val="28"/>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next w:val="18"/>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toc 2"/>
    <w:basedOn w:val="1"/>
    <w:next w:val="1"/>
    <w:qFormat/>
    <w:uiPriority w:val="0"/>
    <w:pPr>
      <w:ind w:left="420"/>
    </w:pPr>
  </w:style>
  <w:style w:type="paragraph" w:styleId="19">
    <w:name w:val="Date"/>
    <w:basedOn w:val="1"/>
    <w:next w:val="1"/>
    <w:qFormat/>
    <w:uiPriority w:val="0"/>
    <w:pPr>
      <w:ind w:left="2500" w:leftChars="2500"/>
    </w:pPr>
  </w:style>
  <w:style w:type="paragraph" w:styleId="20">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0"/>
    <w:pPr>
      <w:pBdr>
        <w:bottom w:val="single" w:color="auto" w:sz="6" w:space="1"/>
      </w:pBdr>
      <w:tabs>
        <w:tab w:val="center" w:pos="4153"/>
        <w:tab w:val="right" w:pos="8307"/>
      </w:tabs>
      <w:snapToGrid w:val="0"/>
      <w:jc w:val="center"/>
    </w:pPr>
    <w:rPr>
      <w:sz w:val="18"/>
    </w:rPr>
  </w:style>
  <w:style w:type="paragraph" w:styleId="23">
    <w:name w:val="toc 1"/>
    <w:basedOn w:val="1"/>
    <w:next w:val="1"/>
    <w:qFormat/>
    <w:uiPriority w:val="0"/>
  </w:style>
  <w:style w:type="paragraph" w:styleId="24">
    <w:name w:val="toc 4"/>
    <w:basedOn w:val="1"/>
    <w:next w:val="1"/>
    <w:qFormat/>
    <w:uiPriority w:val="0"/>
    <w:pPr>
      <w:ind w:left="1260"/>
    </w:pPr>
  </w:style>
  <w:style w:type="paragraph" w:styleId="25">
    <w:name w:val="Normal (Web)"/>
    <w:basedOn w:val="1"/>
    <w:qFormat/>
    <w:uiPriority w:val="0"/>
    <w:rPr>
      <w:sz w:val="24"/>
    </w:rPr>
  </w:style>
  <w:style w:type="paragraph" w:styleId="26">
    <w:name w:val="annotation subject"/>
    <w:basedOn w:val="10"/>
    <w:next w:val="10"/>
    <w:qFormat/>
    <w:uiPriority w:val="0"/>
    <w:rPr>
      <w:b/>
    </w:rPr>
  </w:style>
  <w:style w:type="paragraph" w:styleId="27">
    <w:name w:val="Body Text First Indent 2"/>
    <w:basedOn w:val="14"/>
    <w:qFormat/>
    <w:uiPriority w:val="0"/>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0正文"/>
    <w:basedOn w:val="1"/>
    <w:qFormat/>
    <w:uiPriority w:val="0"/>
    <w:pPr>
      <w:spacing w:line="560" w:lineRule="exact"/>
      <w:ind w:firstLine="200" w:firstLineChars="200"/>
    </w:pPr>
    <w:rPr>
      <w:rFonts w:ascii="Tahoma" w:hAnsi="Tahoma"/>
    </w:rPr>
  </w:style>
  <w:style w:type="paragraph" w:customStyle="1" w:styleId="36">
    <w:name w:val="Default"/>
    <w:next w:val="3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0">
    <w:name w:val="正文文字 7"/>
    <w:basedOn w:val="1"/>
    <w:next w:val="1"/>
    <w:qFormat/>
    <w:uiPriority w:val="0"/>
    <w:pPr>
      <w:ind w:left="240"/>
    </w:pPr>
    <w:rPr>
      <w:sz w:val="20"/>
    </w:rPr>
  </w:style>
  <w:style w:type="paragraph" w:customStyle="1" w:styleId="41">
    <w:name w:val="正文文字 8"/>
    <w:basedOn w:val="1"/>
    <w:next w:val="1"/>
    <w:qFormat/>
    <w:uiPriority w:val="0"/>
    <w:pPr>
      <w:numPr>
        <w:ilvl w:val="1"/>
        <w:numId w:val="2"/>
      </w:numPr>
      <w:ind w:left="805"/>
    </w:pPr>
    <w:rPr>
      <w:sz w:val="16"/>
    </w:rPr>
  </w:style>
  <w:style w:type="paragraph" w:customStyle="1" w:styleId="42">
    <w:name w:val="列出段落1"/>
    <w:next w:val="4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3">
    <w:name w:val="样式5"/>
    <w:next w:val="4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表格文字"/>
    <w:basedOn w:val="17"/>
    <w:qFormat/>
    <w:uiPriority w:val="0"/>
    <w:pPr>
      <w:widowControl w:val="0"/>
      <w:overflowPunct/>
      <w:autoSpaceDE/>
      <w:autoSpaceDN/>
      <w:adjustRightInd/>
      <w:textAlignment w:val="auto"/>
    </w:pPr>
    <w:rPr>
      <w:kern w:val="2"/>
      <w:sz w:val="24"/>
      <w:szCs w:val="20"/>
    </w:rPr>
  </w:style>
  <w:style w:type="paragraph" w:customStyle="1" w:styleId="46">
    <w:name w:val="1"/>
    <w:basedOn w:val="1"/>
    <w:qFormat/>
    <w:uiPriority w:val="0"/>
    <w:pPr>
      <w:widowControl/>
      <w:spacing w:before="100" w:beforeAutospacing="1" w:after="100" w:afterAutospacing="1" w:line="600" w:lineRule="atLeast"/>
      <w:jc w:val="left"/>
    </w:pPr>
    <w:rPr>
      <w:rFonts w:ascii="宋体"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56</Pages>
  <Words>23662</Words>
  <Characters>25565</Characters>
  <Lines>1498</Lines>
  <Paragraphs>801</Paragraphs>
  <TotalTime>38</TotalTime>
  <ScaleCrop>false</ScaleCrop>
  <LinksUpToDate>false</LinksUpToDate>
  <CharactersWithSpaces>27848</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Administrator</cp:lastModifiedBy>
  <cp:lastPrinted>2022-12-06T00:28:00Z</cp:lastPrinted>
  <dcterms:modified xsi:type="dcterms:W3CDTF">2023-06-25T08:17:16Z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AE39D2D33D5B4A9DB1A674FD2EF0465A</vt:lpwstr>
  </property>
</Properties>
</file>