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441781-2023-01570</w:t>
      </w:r>
    </w:p>
    <w:p>
      <w:pPr>
        <w:jc w:val="center"/>
      </w:pPr>
      <w:r>
        <w:rPr>
          <w:b/>
          <w:sz w:val="24"/>
        </w:rPr>
        <w:t>采购项目编号：</w:t>
      </w:r>
      <w:r>
        <w:rPr>
          <w:b/>
          <w:sz w:val="24"/>
        </w:rPr>
        <w:t>zksczb-2023-007</w:t>
      </w:r>
    </w:p>
    <w:p>
      <w:pPr>
        <w:jc w:val="center"/>
      </w:pPr>
      <w:r>
        <w:rPr>
          <w:b/>
          <w:sz w:val="24"/>
        </w:rPr>
        <w:t>项目名称：</w:t>
      </w:r>
      <w:r>
        <w:rPr>
          <w:b/>
          <w:sz w:val="24"/>
        </w:rPr>
        <w:t>阳春市2023年巩固国家卫生城市病媒生物防制及四防装置安装项目</w:t>
      </w:r>
    </w:p>
    <w:p>
      <w:pPr>
        <w:jc w:val="center"/>
      </w:pPr>
      <w:r>
        <w:rPr>
          <w:b/>
          <w:sz w:val="24"/>
        </w:rPr>
        <w:t>采购人：</w:t>
      </w:r>
      <w:r>
        <w:rPr>
          <w:b/>
          <w:sz w:val="24"/>
        </w:rPr>
        <w:t>阳春市卫生健康局</w:t>
      </w:r>
    </w:p>
    <w:p>
      <w:pPr>
        <w:jc w:val="center"/>
      </w:pPr>
      <w:r>
        <w:rPr>
          <w:b/>
          <w:sz w:val="24"/>
        </w:rPr>
        <w:t>采购代理机构：</w:t>
      </w:r>
      <w:r>
        <w:rPr>
          <w:b/>
          <w:sz w:val="24"/>
        </w:rPr>
        <w:t>中科思成建设集团有限公司</w:t>
      </w:r>
    </w:p>
    <w:p>
      <w:pPr>
        <w:ind w:firstLine="480"/>
      </w:pPr>
    </w:p>
    <w:p>
      <w:r>
        <w:rPr/>
        <w:t xml:space="preserve"> </w:t>
      </w:r>
    </w:p>
    <w:p/>
    <w:p>
      <w:pPr>
        <w:jc w:val="center"/>
      </w:pPr>
      <w:r>
        <w:rPr>
          <w:b/>
          <w:sz w:val="36"/>
        </w:rPr>
        <w:t>第一章投标邀请</w:t>
      </w:r>
    </w:p>
    <w:p>
      <w:pPr>
        <w:ind w:firstLine="480"/>
      </w:pPr>
      <w:r>
        <w:rPr/>
        <w:t>中科思成建设集团有限公司</w:t>
      </w:r>
      <w:r>
        <w:rPr/>
        <w:t>受</w:t>
      </w:r>
      <w:r>
        <w:rPr/>
        <w:t>阳春市卫生健康局</w:t>
      </w:r>
      <w:r>
        <w:rPr/>
        <w:t>的委托，采用</w:t>
      </w:r>
      <w:r>
        <w:rPr/>
        <w:t>公开招标</w:t>
      </w:r>
      <w:r>
        <w:rPr/>
        <w:t>方式组织采购</w:t>
      </w:r>
      <w:r>
        <w:rPr/>
        <w:t>阳春市2023年巩固国家卫生城市病媒生物防制及四防装置安装项目</w:t>
      </w:r>
      <w:r>
        <w:rPr/>
        <w:t>。欢迎符合资格条件的国内供应商参加投标。</w:t>
      </w:r>
    </w:p>
    <w:p>
      <w:r>
        <w:rPr>
          <w:b/>
          <w:sz w:val="28"/>
        </w:rPr>
        <w:t>一.项目概述</w:t>
      </w:r>
    </w:p>
    <w:p>
      <w:r>
        <w:rPr>
          <w:b/>
          <w:sz w:val="24"/>
        </w:rPr>
        <w:t>1.名称与编号</w:t>
      </w:r>
    </w:p>
    <w:p>
      <w:pPr>
        <w:ind w:firstLine="480"/>
      </w:pPr>
      <w:r>
        <w:rPr/>
        <w:t>项目名称：</w:t>
      </w:r>
      <w:r>
        <w:rPr/>
        <w:t>阳春市2023年巩固国家卫生城市病媒生物防制及四防装置安装项目</w:t>
      </w:r>
    </w:p>
    <w:p>
      <w:pPr>
        <w:ind w:firstLine="480"/>
      </w:pPr>
      <w:r>
        <w:rPr/>
        <w:t>采购计划编号：</w:t>
      </w:r>
      <w:r>
        <w:rPr/>
        <w:t>441781-2023-01570</w:t>
      </w:r>
    </w:p>
    <w:p>
      <w:pPr>
        <w:ind w:firstLine="480"/>
      </w:pPr>
      <w:r>
        <w:rPr/>
        <w:t>采购项目编号：</w:t>
      </w:r>
      <w:r>
        <w:rPr/>
        <w:t>zksczb-2023-007</w:t>
      </w:r>
    </w:p>
    <w:p>
      <w:pPr>
        <w:ind w:firstLine="480"/>
      </w:pPr>
      <w:r>
        <w:rPr/>
        <w:t>采购方式：</w:t>
      </w:r>
      <w:r>
        <w:rPr/>
        <w:t>公开招标</w:t>
      </w:r>
    </w:p>
    <w:p>
      <w:pPr>
        <w:ind w:firstLine="480"/>
      </w:pPr>
      <w:r>
        <w:rPr/>
        <w:t>预算金额：</w:t>
      </w:r>
      <w:r>
        <w:rPr/>
        <w:t>1,700,000.00</w:t>
      </w:r>
      <w:r>
        <w:rPr/>
        <w:t>元</w:t>
      </w:r>
    </w:p>
    <w:p>
      <w:r>
        <w:rPr>
          <w:b/>
          <w:sz w:val="24"/>
        </w:rPr>
        <w:t>2.项目内容及需求情况（采购项目技术规格、参数及要求）</w:t>
      </w:r>
    </w:p>
    <w:p>
      <w:pPr>
        <w:ind w:firstLine="480"/>
      </w:pPr>
    </w:p>
    <w:p/>
    <w:p>
      <w:r>
        <w:rPr/>
        <w:t>采购包1(阳春市2023年巩固国家卫生城市 病媒生物防制及四防装置安装项目):</w:t>
      </w:r>
    </w:p>
    <w:p>
      <w:r>
        <w:rPr/>
        <w:t>采购包预算金额：1,700,000.00元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阳春市2023年巩固国家卫生城市病媒生物防制及四防装置安装项目</w:t>
            </w:r>
          </w:p>
        </w:tc>
        <w:tc>
          <w:tcPr>
            <w:tcW w:type="dxa" w:w="977"/>
          </w:tcPr>
          <w:p>
            <w:r>
              <w:rPr/>
              <w:t>1(项)</w:t>
            </w:r>
          </w:p>
        </w:tc>
        <w:tc>
          <w:tcPr>
            <w:tcW w:type="dxa" w:w="977"/>
          </w:tcPr>
          <w:p>
            <w:r>
              <w:rPr/>
              <w:t>详见第二章</w:t>
            </w:r>
          </w:p>
        </w:tc>
        <w:tc>
          <w:tcPr>
            <w:tcW w:type="dxa" w:w="977"/>
          </w:tcPr>
          <w:p>
            <w:r>
              <w:rPr/>
              <w:t>1,700,000.00</w:t>
            </w:r>
          </w:p>
        </w:tc>
        <w:tc>
          <w:tcPr>
            <w:tcW w:type="dxa" w:w="977"/>
          </w:tcPr>
          <w:p>
            <w:r>
              <w:rPr/>
              <w:t>否</w:t>
            </w:r>
          </w:p>
        </w:tc>
      </w:tr>
    </w:tbl>
    <w:p/>
    <w:p>
      <w:r>
        <w:rPr/>
        <w:t>本采购包不接受联合体投标</w:t>
      </w:r>
    </w:p>
    <w:p/>
    <w:p>
      <w:r>
        <w:rPr/>
        <w:t>合同履行期限：自合同签订生效之日起为期一年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3）具有良好的商业信誉和健全的财务会计制度：提供2021年或2022年度财务状况报告或基本开户行出具的资信证明，新成立单位提供成立至今的月或季度财务状况报告或基本开户行出具的资信证明。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提供书面声明原件；若投标人自成立之日起不足3年的，则提供成立至今的书面声明原件。）：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采购包1（阳春市2023年巩固国家卫生城市 病媒生物防制及四防装置安装项目）：</w:t>
      </w:r>
      <w:r>
        <w:rPr/>
        <w:t>参与的供应商（联合体）服务全部由符合政策要求的中小企业承接</w:t>
      </w:r>
    </w:p>
    <w:p/>
    <w:p>
      <w:r>
        <w:rPr>
          <w:b/>
          <w:sz w:val="24"/>
        </w:rPr>
        <w:t>3.本项目特定的资格要求：</w:t>
      </w:r>
    </w:p>
    <w:p>
      <w:pPr>
        <w:ind w:firstLine="480"/>
      </w:pPr>
    </w:p>
    <w:p/>
    <w:p>
      <w:r>
        <w:rPr/>
        <w:t>采购包1（阳春市2023年巩固国家卫生城市 病媒生物防制及四防装置安装项目）：</w:t>
      </w:r>
    </w:p>
    <w:p/>
    <w:p>
      <w:r>
        <w:rPr/>
        <w:t>1)投标人未被列入“信用中国”网站(www.creditchina.gov.cn)“失信被执行人、税收违法黑名单”记录名单；同时，不处于中国政府采购网(www.ccgp.g ov.cn)“政府采购严重违法失信行为信息记录”中的禁止参加政府采购活动期间,（① 以采购代理机构于响应文件提交截止日当天截止时点后在“信用中国”网站（www.c reditchina.gov.cn）及中国政府采购网(www.ccgp.gov.cn)查询结果为准, 同时对信用信息查询记录截图盖章存档。②若分支机构投标：投标人为非独立法人（即由合法法人依法建立的分支机构），除了对投标人进行信息查询外，同时对总公司的信息查询记录截图盖章存档。</w:t>
      </w:r>
    </w:p>
    <w:p/>
    <w:p>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提供声明函。</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阳春市卫生健康局</w:t>
      </w:r>
    </w:p>
    <w:p>
      <w:pPr>
        <w:ind w:firstLine="480"/>
      </w:pPr>
      <w:r>
        <w:rPr/>
        <w:t>地址：</w:t>
      </w:r>
      <w:r>
        <w:rPr/>
        <w:t>广东省阳春市春城城东大道107号</w:t>
      </w:r>
    </w:p>
    <w:p>
      <w:pPr>
        <w:ind w:firstLine="480"/>
      </w:pPr>
      <w:r>
        <w:rPr/>
        <w:t>联系方式：</w:t>
      </w:r>
      <w:r>
        <w:rPr/>
        <w:t>0662-7736543</w:t>
      </w:r>
    </w:p>
    <w:p>
      <w:r>
        <w:rPr>
          <w:b/>
          <w:sz w:val="24"/>
        </w:rPr>
        <w:t>2.采购代理机构信息</w:t>
      </w:r>
    </w:p>
    <w:p>
      <w:pPr>
        <w:ind w:firstLine="480"/>
      </w:pPr>
      <w:r>
        <w:rPr/>
        <w:t>名称：</w:t>
      </w:r>
      <w:r>
        <w:rPr/>
        <w:t>中科思成建设集团有限公司</w:t>
      </w:r>
    </w:p>
    <w:p>
      <w:pPr>
        <w:ind w:firstLine="480"/>
      </w:pPr>
      <w:r>
        <w:rPr/>
        <w:t>地址：</w:t>
      </w:r>
      <w:r>
        <w:rPr/>
        <w:t>阳春市春城街道广场路东三巷3号</w:t>
      </w:r>
    </w:p>
    <w:p>
      <w:pPr>
        <w:ind w:firstLine="480"/>
      </w:pPr>
      <w:r>
        <w:rPr/>
        <w:t>联系方式：</w:t>
      </w:r>
      <w:r>
        <w:rPr/>
        <w:t>0662-7762117</w:t>
      </w:r>
    </w:p>
    <w:p>
      <w:r>
        <w:rPr>
          <w:b/>
          <w:sz w:val="24"/>
        </w:rPr>
        <w:t>3.项目联系方式</w:t>
      </w:r>
    </w:p>
    <w:p>
      <w:pPr>
        <w:ind w:firstLine="480"/>
      </w:pPr>
      <w:r>
        <w:rPr/>
        <w:t>项目联系人：</w:t>
      </w:r>
      <w:r>
        <w:rPr/>
        <w:t>董昭伟</w:t>
      </w:r>
    </w:p>
    <w:p>
      <w:pPr>
        <w:ind w:firstLine="480"/>
      </w:pPr>
      <w:r>
        <w:rPr/>
        <w:t>电话：</w:t>
      </w:r>
      <w:r>
        <w:rPr/>
        <w:t>0662-7762117</w:t>
      </w:r>
    </w:p>
    <w:p>
      <w:r>
        <w:rPr>
          <w:b/>
          <w:sz w:val="24"/>
        </w:rPr>
        <w:t>4.技术支持联系方式</w:t>
      </w:r>
    </w:p>
    <w:p>
      <w:pPr>
        <w:ind w:firstLine="480"/>
      </w:pPr>
      <w:r>
        <w:rPr/>
        <w:t>云平台联系方式：020-88696588</w:t>
      </w:r>
    </w:p>
    <w:p>
      <w:r>
        <w:rPr/>
        <w:t>采购代理机构：</w:t>
      </w:r>
      <w:r>
        <w:rPr/>
        <w:t>中科思成建设集团有限公司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sz w:val="21"/>
        </w:rPr>
        <w:t>为了改善城市人居环境，预防病媒传染病发生，消除病媒生物的危害，保障人民群众身体健康，根据现阶段巩固国家卫生城市的实际工作情况，在阳春市区范围内公共场所开展以灭鼠、灭蚊、灭蝇、灭蟑螂为重点的病媒生物防制服务及四防装置安装工作</w:t>
      </w:r>
      <w:r>
        <w:rPr>
          <w:sz w:val="21"/>
        </w:rPr>
        <w:t>。</w:t>
      </w:r>
    </w:p>
    <w:p/>
    <w:p>
      <w:pPr>
        <w:ind w:firstLine="480"/>
      </w:pPr>
    </w:p>
    <w:p/>
    <w:p>
      <w:r>
        <w:rPr/>
        <w:t>采购包1（阳春市2023年巩固国家卫生城市 病媒生物防制及四防装置安装项目）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自合同签订生效之日起为期一年</w:t>
            </w:r>
          </w:p>
        </w:tc>
      </w:tr>
      <w:tr>
        <w:tc>
          <w:tcPr>
            <w:tcW w:type="dxa" w:w="4153"/>
          </w:tcPr>
          <w:p>
            <w:r>
              <w:rPr/>
              <w:t>标的提供的地点</w:t>
            </w:r>
          </w:p>
        </w:tc>
        <w:tc>
          <w:tcPr>
            <w:tcW w:type="dxa" w:w="4153"/>
          </w:tcPr>
          <w:p/>
          <w:p>
            <w:r>
              <w:rPr/>
              <w:t>阳春市区公共外环境巩卫红线区域范围（详见技术要求附表所示巩卫区域）。</w:t>
            </w:r>
          </w:p>
        </w:tc>
      </w:tr>
      <w:tr>
        <w:tc>
          <w:tcPr>
            <w:tcW w:type="dxa" w:w="4153"/>
          </w:tcPr>
          <w:p>
            <w:r>
              <w:rPr/>
              <w:t>付款方式</w:t>
            </w:r>
          </w:p>
        </w:tc>
        <w:tc>
          <w:tcPr>
            <w:tcW w:type="dxa" w:w="4153"/>
          </w:tcPr>
          <w:p/>
          <w:p/>
          <w:p>
            <w:r>
              <w:rPr/>
              <w:t>1期：支付比例50%,经专家组验收评审如期合格，采购人将于2023年12月支付合同服务金额的50%；</w:t>
            </w:r>
          </w:p>
          <w:p/>
          <w:p>
            <w:r>
              <w:rPr/>
              <w:t>2期：支付比例50%,剩余合同服务金额的50%待合同期满验收合格后15个工作日内一次性付清给中标人。</w:t>
            </w:r>
          </w:p>
        </w:tc>
      </w:tr>
      <w:tr>
        <w:tc>
          <w:tcPr>
            <w:tcW w:type="dxa" w:w="4153"/>
          </w:tcPr>
          <w:p>
            <w:r>
              <w:rPr/>
              <w:t>验收要求</w:t>
            </w:r>
          </w:p>
        </w:tc>
        <w:tc>
          <w:tcPr>
            <w:tcW w:type="dxa" w:w="4153"/>
          </w:tcPr>
          <w:p/>
          <w:p/>
          <w:p/>
          <w:p>
            <w:r>
              <w:rPr/>
              <w:t>1期：合同签订后半年，由阳春市卫生健康局组织专家组对合同范围内病媒生物防制效果评审验收，如防制效果未能达到国家C级或C级以上标准，采购人向中标人发出书面限期整改通知书，整改后仍然未能达到国家C级或C级以上标准，采购人有权力即终止合同，一切损失由中标人负责。</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合同签订要求，采购合同由中标人与采购人双方签订，签订时间为中标人收到《中标通知书》通知后5个工作日内。</w:t>
            </w:r>
          </w:p>
          <w:p/>
          <w:p>
            <w:r>
              <w:rPr/>
              <w:t>项目评估，将委托有资质的第三方机构（具体待定）负责，中标人和采购人平均承担相关费用。评估标准按广东省有害生物防制协会颁发的粤生防协[2015]6号《关于印发专业公司承包公共外环境病媒生物防制效果现场评价方案（试行）的通知》执行。</w:t>
            </w:r>
          </w:p>
          <w:p/>
          <w:p>
            <w:r>
              <w:rPr/>
              <w:t>项目的监督和管理，1.成立阳春市区公共外环境病媒生物防制项目工作领导小组，负责日常工作，项目完成后自行撤销。 2.领导小组负责病媒生物防制技术指导，监督项目工作落实，以及项目的施工管理，严把病媒生物防制品质关，并按施工要求，严格监督落实。 3.采用低毒高效灭鼠毒饵，严格控制消杀药物浓度，使用有效的三证（农业部的农药登记证、工信部农药生产许可证或省级农业部门颁发的农药生产许可证（生产范围包括所投产品剂型）、质量技术监督部门的产品质量标准证、药品标签、药品第三方检测报告、药品化学品安全技术说明书或农药产品安全数据单（MSDS））药物，保证消杀效果。施工期间，严格按照病媒生物防制操作规程施工，确保人身安全。</w:t>
            </w:r>
          </w:p>
          <w:p/>
          <w:p>
            <w:r>
              <w:rPr/>
              <w:t>验收结算、付款方法和条件，1.合同签订后半年，由阳春市卫生健康局组织专家组对合同范围内病媒生物防制效果评审验收，如防制效果未能达到国家C级或C级以上标准，采购人向中标人发出书面限期整改通知书，整改后仍然未能达到国家C级或C级以上标准，采购人有权力即终止合同，一切损失由中标人负责。 2.经专家组验收评审如期合格，采购人将于2023年12月支付合同服务金额的50%，剩余合同服务金额的50%待合同期满验收合格后15个工作日内一次性付清给中标人。 3.专家组评审费用由采购人支付。若发生验收不及格，验收的评估费用由中标人承担。</w:t>
            </w:r>
          </w:p>
          <w:p/>
          <w:p>
            <w:r>
              <w:rPr/>
              <w:t>踏勘现场，1.本项项目实施服务地点多且地形复杂，投标人自行选择踏勘现场。 2.投标人踏勘现场所发生的费用自理，并自行负责在踏勘现场时发生的人员伤亡、人身伤害、财产损失、损害以及任何其他的损失和损害。</w:t>
            </w:r>
          </w:p>
          <w:p/>
          <w:p>
            <w:r>
              <w:rPr/>
              <w:t>服务项目督查，采购人和疾控中心加强指导督查，发现问题及时通报处理，中标单位发现影响效果的问题须及时向采购人报告。</w:t>
            </w:r>
          </w:p>
          <w:p/>
          <w:p>
            <w:r>
              <w:rPr/>
              <w:t>其他要求，1.本项目服务质量不符合要求或服务质量不合格者，采购人有权要求中标单位停工和返工，返工费用投标人必须承诺自行承担。 2.中标单位在服务期间，须严格遵守当地政府职能部门的各项规章制度，做好防火、计划生育、安全生产等工作。违反规章制度所发生的费用及损失投标人必须承诺自行承担。 3.中标单位要向采购方提供维护人员有效的证明，包括驾驶证、健康证明等。 4.配套设施维护所使用的水电费用，由中标单位负责。 5.非自然灾害不可抗力因素造成设施更换的，一切费用均由中标单位负责。 6.中标单位必须具备设施维护等所需要的设备，并承担使用设备的所有费用。 7采购人不提供施工临时食宿设施，中标单位自行考虑住宿、水电、交通运输所需费用。 8.采购人有权在签订合同时对项目方案作适当调整或修改。 9.在施工过程中，因受客观因素影响，无法按规定施工的，由采购人与中标单位协商解决。 10.投标人必须承诺在中标后在阳春市设立合法的服务机构，并办理相关的经营证件，提供承诺函。 11.中标单位须做好施工宣传告知事项，施工过程造成的人员损害由中标单位负责。</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阳春市2023年巩固国家卫生城市病媒生物防制及四防装置安装项目</w:t>
            </w:r>
          </w:p>
        </w:tc>
        <w:tc>
          <w:tcPr>
            <w:tcW w:type="dxa" w:w="933"/>
          </w:tcPr>
          <w:p>
            <w:pPr>
              <w:jc w:val="left"/>
            </w:pPr>
            <w:r>
              <w:rPr/>
              <w:t>项</w:t>
            </w:r>
          </w:p>
        </w:tc>
        <w:tc>
          <w:tcPr>
            <w:tcW w:type="dxa" w:w="933"/>
          </w:tcPr>
          <w:p>
            <w:pPr>
              <w:jc w:val="right"/>
            </w:pPr>
            <w:r>
              <w:rPr/>
              <w:t>1.00</w:t>
            </w:r>
          </w:p>
        </w:tc>
        <w:tc>
          <w:tcPr>
            <w:tcW w:type="dxa" w:w="933"/>
          </w:tcPr>
          <w:p>
            <w:pPr>
              <w:jc w:val="right"/>
            </w:pPr>
            <w:r>
              <w:rPr/>
              <w:t>1,700,000.00</w:t>
            </w:r>
          </w:p>
        </w:tc>
        <w:tc>
          <w:tcPr>
            <w:tcW w:type="dxa" w:w="933"/>
          </w:tcPr>
          <w:p>
            <w:pPr>
              <w:jc w:val="right"/>
            </w:pPr>
            <w:r>
              <w:rPr/>
              <w:t>1,700,000.00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阳春市2023年巩固国家卫生城市病媒生物防制及四防装置安装项目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一、采购项目主要工作及要求</w:t>
            </w:r>
          </w:p>
          <w:p>
            <w:pPr>
              <w:ind w:firstLine="210"/>
              <w:jc w:val="both"/>
            </w:pPr>
            <w:r>
              <w:rPr>
                <w:color w:val="000000"/>
                <w:sz w:val="21"/>
              </w:rPr>
              <w:t>1.</w:t>
            </w:r>
            <w:r>
              <w:rPr>
                <w:color w:val="000000"/>
                <w:sz w:val="21"/>
              </w:rPr>
              <w:t>阳春市区巩卫区域范围的病媒生物防制及四防装置安装（含材料）；</w:t>
            </w:r>
          </w:p>
          <w:p>
            <w:pPr>
              <w:ind w:firstLine="210"/>
              <w:jc w:val="both"/>
            </w:pPr>
            <w:r>
              <w:rPr>
                <w:color w:val="000000"/>
                <w:sz w:val="21"/>
              </w:rPr>
              <w:t>2.</w:t>
            </w:r>
            <w:r>
              <w:rPr>
                <w:color w:val="000000"/>
                <w:sz w:val="21"/>
              </w:rPr>
              <w:t>在巩卫区域内收集四害（老鼠、蟑螂等）尸体工作，并将尸体做无害化处理；在巩卫区域消除鼠粪、鼠洞、鼠咬痕等痕迹工作；</w:t>
            </w:r>
          </w:p>
          <w:p>
            <w:pPr>
              <w:ind w:firstLine="210"/>
              <w:jc w:val="both"/>
            </w:pPr>
            <w:r>
              <w:rPr>
                <w:color w:val="000000"/>
                <w:sz w:val="21"/>
              </w:rPr>
              <w:t>3.</w:t>
            </w:r>
            <w:r>
              <w:rPr>
                <w:color w:val="000000"/>
                <w:sz w:val="21"/>
              </w:rPr>
              <w:t>该预算金额包括在巩卫区域的防蚊闸和毒鼠屋查漏补缺，缺多少补装多少；但新升级改造大马路的防蚊闸不在此范围内。</w:t>
            </w:r>
          </w:p>
          <w:p>
            <w:pPr>
              <w:ind w:firstLine="210"/>
              <w:jc w:val="both"/>
            </w:pPr>
            <w:r>
              <w:rPr>
                <w:color w:val="000000"/>
                <w:sz w:val="21"/>
              </w:rPr>
              <w:t>4.</w:t>
            </w:r>
            <w:r>
              <w:rPr>
                <w:color w:val="000000"/>
                <w:sz w:val="21"/>
              </w:rPr>
              <w:t>病媒生物防制及四防装置安装服务周期一年。</w:t>
            </w:r>
          </w:p>
          <w:p>
            <w:pPr>
              <w:jc w:val="both"/>
            </w:pPr>
            <w:r>
              <w:rPr>
                <w:b/>
                <w:sz w:val="21"/>
              </w:rPr>
              <w:t>二、采购项目相关条件配置要求和用药标准要求</w:t>
            </w:r>
          </w:p>
          <w:p>
            <w:pPr>
              <w:ind w:firstLine="210"/>
              <w:jc w:val="both"/>
            </w:pPr>
            <w:r>
              <w:rPr>
                <w:sz w:val="21"/>
              </w:rPr>
              <w:t>1.</w:t>
            </w:r>
            <w:r>
              <w:rPr>
                <w:sz w:val="21"/>
              </w:rPr>
              <w:t>中标单位应在进场10天内在采购人所在地设置固定办公室，并设置固定联系电话，建立24小时值班制度，应付项目实施过程中突发事件的发生。</w:t>
            </w:r>
          </w:p>
          <w:p>
            <w:pPr>
              <w:ind w:firstLine="210"/>
              <w:jc w:val="both"/>
            </w:pPr>
            <w:r>
              <w:rPr>
                <w:sz w:val="21"/>
              </w:rPr>
              <w:t>2.</w:t>
            </w:r>
            <w:r>
              <w:rPr>
                <w:sz w:val="21"/>
              </w:rPr>
              <w:t>人员要求：中标后15天内必须组建一支可完成项目任务的队伍，要求人员配置30人以上，其中持有省级以上有害生物防制协会培训证件或者劳动部门培训的证书达15人以上，其余人员须在三个月内经培训持证上岗。</w:t>
            </w:r>
          </w:p>
          <w:p>
            <w:pPr>
              <w:ind w:firstLine="210"/>
              <w:jc w:val="both"/>
            </w:pPr>
            <w:r>
              <w:rPr>
                <w:sz w:val="21"/>
              </w:rPr>
              <w:t>3.</w:t>
            </w:r>
            <w:r>
              <w:rPr>
                <w:sz w:val="21"/>
              </w:rPr>
              <w:t>设备要求：中标单位应具有或不限于下述要求设备：应急车辆、热烟雾机、汽油弥雾机、背负式充电超低容量喷雾器或更适应实际环境要求的专业设备。</w:t>
            </w:r>
          </w:p>
          <w:p>
            <w:pPr>
              <w:ind w:firstLine="210"/>
              <w:jc w:val="both"/>
            </w:pPr>
            <w:r>
              <w:rPr>
                <w:sz w:val="21"/>
              </w:rPr>
              <w:t>4.</w:t>
            </w:r>
            <w:r>
              <w:rPr>
                <w:sz w:val="21"/>
              </w:rPr>
              <w:t>用药标准：中标单位必须注重科学合理用药，不得使用假药、国家禁用的药物，并须确保药物来源和质量正当可靠。使用的药物和器械必须符合《病媒生物控制药物器械安全使用准则》，达到“安全、高效、环保”并交替使用药物防止产生耐药性的要求。</w:t>
            </w:r>
          </w:p>
          <w:p>
            <w:pPr>
              <w:jc w:val="both"/>
            </w:pPr>
            <w:r>
              <w:rPr>
                <w:b/>
                <w:sz w:val="21"/>
              </w:rPr>
              <w:t>附表：为保证用药质量，确保巩卫工作顺利进行，使用药物必须按照以下标准和要求执行。</w:t>
            </w:r>
          </w:p>
          <w:tbl>
            <w:tblPr>
              <w:tblBorders>
                <w:top w:val="none" w:color="000000" w:sz="4"/>
                <w:left w:val="none" w:color="000000" w:sz="4"/>
                <w:bottom w:val="none" w:color="000000" w:sz="4"/>
                <w:right w:val="none" w:color="000000" w:sz="4"/>
                <w:insideH w:val="none"/>
                <w:insideV w:val="none"/>
              </w:tblBorders>
            </w:tblPr>
            <w:tblGrid>
              <w:gridCol w:w="528"/>
              <w:gridCol w:w="933"/>
              <w:gridCol w:w="3082"/>
              <w:gridCol w:w="1056"/>
            </w:tblGrid>
            <w:tr>
              <w:tc>
                <w:tcPr>
                  <w:tcW w:type="dxa" w:w="528"/>
                  <w:tcBorders>
                    <w:top w:val="single" w:color="000000" w:sz="4"/>
                    <w:left w:val="single" w:color="000000" w:sz="4"/>
                    <w:bottom w:val="single" w:color="000000" w:sz="4"/>
                    <w:right w:val="single" w:color="000000" w:sz="4"/>
                  </w:tcBorders>
                  <w:shd w:fill="FFFFFF"/>
                </w:tcPr>
                <w:p>
                  <w:pPr>
                    <w:jc w:val="center"/>
                  </w:pPr>
                  <w:r>
                    <w:rPr>
                      <w:b/>
                      <w:sz w:val="21"/>
                    </w:rPr>
                    <w:t>序号</w:t>
                  </w:r>
                </w:p>
              </w:tc>
              <w:tc>
                <w:tcPr>
                  <w:tcW w:type="dxa" w:w="933"/>
                  <w:tcBorders>
                    <w:top w:val="single" w:color="000000" w:sz="4"/>
                    <w:left w:val="none" w:color="000000" w:sz="4"/>
                    <w:bottom w:val="single" w:color="000000" w:sz="4"/>
                    <w:right w:val="single" w:color="000000" w:sz="4"/>
                  </w:tcBorders>
                  <w:shd w:fill="FFFFFF"/>
                </w:tcPr>
                <w:p>
                  <w:pPr>
                    <w:jc w:val="center"/>
                  </w:pPr>
                  <w:r>
                    <w:rPr>
                      <w:b/>
                      <w:sz w:val="21"/>
                    </w:rPr>
                    <w:t>药品名称</w:t>
                  </w:r>
                </w:p>
              </w:tc>
              <w:tc>
                <w:tcPr>
                  <w:tcW w:type="dxa" w:w="3082"/>
                  <w:tcBorders>
                    <w:top w:val="single" w:color="000000" w:sz="4"/>
                    <w:left w:val="none" w:color="000000" w:sz="4"/>
                    <w:bottom w:val="single" w:color="000000" w:sz="4"/>
                    <w:right w:val="single" w:color="000000" w:sz="4"/>
                  </w:tcBorders>
                  <w:shd w:fill="FFFFFF"/>
                </w:tcPr>
                <w:p>
                  <w:pPr>
                    <w:jc w:val="center"/>
                  </w:pPr>
                  <w:r>
                    <w:rPr>
                      <w:b/>
                      <w:sz w:val="21"/>
                    </w:rPr>
                    <w:t>有效成分及含量、剂型</w:t>
                  </w:r>
                </w:p>
              </w:tc>
              <w:tc>
                <w:tcPr>
                  <w:tcW w:type="dxa" w:w="1056"/>
                  <w:tcBorders>
                    <w:top w:val="single" w:color="000000" w:sz="4"/>
                    <w:left w:val="none" w:color="000000" w:sz="4"/>
                    <w:bottom w:val="single" w:color="000000" w:sz="4"/>
                    <w:right w:val="single" w:color="000000" w:sz="4"/>
                  </w:tcBorders>
                  <w:shd w:fill="FFFFFF"/>
                </w:tcPr>
                <w:p>
                  <w:pPr>
                    <w:jc w:val="center"/>
                  </w:pPr>
                  <w:r>
                    <w:rPr>
                      <w:b/>
                      <w:sz w:val="21"/>
                    </w:rPr>
                    <w:t>说明</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1</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溴鼠灵</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有效成分及含量：</w:t>
                  </w:r>
                  <w:r>
                    <w:rPr>
                      <w:sz w:val="21"/>
                    </w:rPr>
                    <w:t>溴鼠灵≥0.005%，</w:t>
                  </w:r>
                </w:p>
                <w:p>
                  <w:pPr>
                    <w:jc w:val="left"/>
                  </w:pPr>
                  <w:r>
                    <w:rPr>
                      <w:b/>
                      <w:sz w:val="21"/>
                    </w:rPr>
                    <w:t>剂型</w:t>
                  </w:r>
                  <w:r>
                    <w:rPr>
                      <w:sz w:val="21"/>
                    </w:rPr>
                    <w:t>：毒饵或饵剂</w:t>
                  </w:r>
                </w:p>
                <w:p>
                  <w:pPr>
                    <w:jc w:val="left"/>
                  </w:pPr>
                  <w:r>
                    <w:rPr>
                      <w:sz w:val="21"/>
                    </w:rPr>
                    <w:t>备注：新鲜稻谷。</w:t>
                  </w:r>
                </w:p>
              </w:tc>
              <w:tc>
                <w:tcPr>
                  <w:tcW w:type="dxa" w:w="1056"/>
                  <w:tcBorders>
                    <w:top w:val="none" w:color="000000" w:sz="4"/>
                    <w:left w:val="none" w:color="000000" w:sz="4"/>
                    <w:bottom w:val="single" w:color="000000" w:sz="4"/>
                    <w:right w:val="single" w:color="000000" w:sz="4"/>
                  </w:tcBorders>
                  <w:shd w:fill="FFFFFF"/>
                </w:tcPr>
                <w:p>
                  <w:pPr>
                    <w:jc w:val="center"/>
                  </w:pPr>
                  <w:r>
                    <w:rPr>
                      <w:sz w:val="21"/>
                    </w:rPr>
                    <w:t>化学灭鼠。</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2</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烯丙•氯菊</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w:t>
                  </w:r>
                  <w:r>
                    <w:rPr>
                      <w:b/>
                      <w:sz w:val="21"/>
                    </w:rPr>
                    <w:t>及含量</w:t>
                  </w:r>
                  <w:r>
                    <w:rPr>
                      <w:b/>
                      <w:sz w:val="21"/>
                    </w:rPr>
                    <w:t>：</w:t>
                  </w:r>
                  <w:r>
                    <w:rPr>
                      <w:sz w:val="21"/>
                    </w:rPr>
                    <w:t>氯菊酯</w:t>
                  </w:r>
                  <w:r>
                    <w:rPr>
                      <w:sz w:val="21"/>
                    </w:rPr>
                    <w:t>与</w:t>
                  </w:r>
                  <w:r>
                    <w:rPr>
                      <w:sz w:val="21"/>
                    </w:rPr>
                    <w:t>富右旋反式烯丙菊酯混配，总含量≥10%</w:t>
                  </w:r>
                </w:p>
                <w:p>
                  <w:pPr>
                    <w:jc w:val="left"/>
                  </w:pPr>
                  <w:r>
                    <w:rPr>
                      <w:b/>
                      <w:sz w:val="21"/>
                    </w:rPr>
                    <w:t>剂型：</w:t>
                  </w:r>
                  <w:r>
                    <w:rPr>
                      <w:sz w:val="21"/>
                    </w:rPr>
                    <w:t>水乳剂</w:t>
                  </w:r>
                </w:p>
              </w:tc>
              <w:tc>
                <w:tcPr>
                  <w:tcW w:type="dxa" w:w="1056"/>
                  <w:vMerge w:val="restart"/>
                  <w:tcBorders>
                    <w:top w:val="none" w:color="000000" w:sz="4"/>
                    <w:left w:val="none" w:color="000000" w:sz="4"/>
                    <w:bottom w:val="single" w:color="000000" w:sz="4"/>
                    <w:right w:val="single" w:color="000000" w:sz="4"/>
                  </w:tcBorders>
                  <w:shd w:fill="FFFFFF"/>
                </w:tcPr>
                <w:p>
                  <w:pPr>
                    <w:jc w:val="center"/>
                  </w:pPr>
                  <w:r>
                    <w:rPr>
                      <w:sz w:val="21"/>
                    </w:rPr>
                    <w:t>空间喷雾灭蚊、蝇。</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3</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残杀威</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w:t>
                  </w:r>
                  <w:r>
                    <w:rPr>
                      <w:b/>
                      <w:sz w:val="21"/>
                    </w:rPr>
                    <w:t>及含量</w:t>
                  </w:r>
                  <w:r>
                    <w:rPr>
                      <w:b/>
                      <w:sz w:val="21"/>
                    </w:rPr>
                    <w:t>：</w:t>
                  </w:r>
                  <w:r>
                    <w:rPr>
                      <w:sz w:val="21"/>
                    </w:rPr>
                    <w:t>残杀威</w:t>
                  </w:r>
                  <w:r>
                    <w:rPr>
                      <w:sz w:val="21"/>
                    </w:rPr>
                    <w:t>与</w:t>
                  </w:r>
                  <w:r>
                    <w:rPr>
                      <w:sz w:val="21"/>
                    </w:rPr>
                    <w:t>氯氟醚菊酯或四氟苯菊酯混配，总含量≥8%</w:t>
                  </w:r>
                </w:p>
                <w:p>
                  <w:pPr>
                    <w:jc w:val="left"/>
                  </w:pPr>
                  <w:r>
                    <w:rPr>
                      <w:b/>
                      <w:sz w:val="21"/>
                    </w:rPr>
                    <w:t>剂型：</w:t>
                  </w:r>
                  <w:r>
                    <w:rPr>
                      <w:sz w:val="21"/>
                    </w:rPr>
                    <w:t>乳油或微乳剂</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4</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高氯</w:t>
                  </w:r>
                  <w:r>
                    <w:rPr>
                      <w:sz w:val="21"/>
                    </w:rPr>
                    <w:t>·</w:t>
                  </w:r>
                  <w:r>
                    <w:rPr>
                      <w:sz w:val="21"/>
                    </w:rPr>
                    <w:t>残杀威</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w:t>
                  </w:r>
                  <w:r>
                    <w:rPr>
                      <w:b/>
                      <w:sz w:val="21"/>
                    </w:rPr>
                    <w:t>及含量</w:t>
                  </w:r>
                  <w:r>
                    <w:rPr>
                      <w:b/>
                      <w:sz w:val="21"/>
                    </w:rPr>
                    <w:t>：</w:t>
                  </w:r>
                  <w:r>
                    <w:rPr>
                      <w:sz w:val="21"/>
                    </w:rPr>
                    <w:t>高效氯氰菊酯</w:t>
                  </w:r>
                  <w:r>
                    <w:rPr>
                      <w:sz w:val="21"/>
                    </w:rPr>
                    <w:t>与残杀威混配，总含量≥10%</w:t>
                  </w:r>
                </w:p>
                <w:p>
                  <w:pPr>
                    <w:jc w:val="left"/>
                  </w:pPr>
                  <w:r>
                    <w:rPr>
                      <w:b/>
                      <w:sz w:val="21"/>
                    </w:rPr>
                    <w:t>剂型：</w:t>
                  </w:r>
                  <w:r>
                    <w:rPr>
                      <w:sz w:val="21"/>
                    </w:rPr>
                    <w:t>悬浮剂</w:t>
                  </w:r>
                </w:p>
              </w:tc>
              <w:tc>
                <w:tcPr>
                  <w:tcW w:type="dxa" w:w="1056"/>
                  <w:vMerge w:val="restart"/>
                  <w:tcBorders>
                    <w:top w:val="none" w:color="000000" w:sz="4"/>
                    <w:left w:val="none" w:color="000000" w:sz="4"/>
                    <w:bottom w:val="single" w:color="000000" w:sz="4"/>
                    <w:right w:val="single" w:color="000000" w:sz="4"/>
                  </w:tcBorders>
                  <w:shd w:fill="FFFFFF"/>
                </w:tcPr>
                <w:p>
                  <w:pPr>
                    <w:jc w:val="center"/>
                  </w:pPr>
                  <w:r>
                    <w:rPr>
                      <w:sz w:val="21"/>
                    </w:rPr>
                    <w:t>室内外灭成蚊、成蝇、蟑螂轮换使用。</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5</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高氯氰•氯丙炔</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w:t>
                  </w:r>
                  <w:r>
                    <w:rPr>
                      <w:sz w:val="21"/>
                    </w:rPr>
                    <w:t>高效氯氰菊酯</w:t>
                  </w:r>
                  <w:r>
                    <w:rPr>
                      <w:sz w:val="21"/>
                    </w:rPr>
                    <w:t>与</w:t>
                  </w:r>
                  <w:r>
                    <w:rPr>
                      <w:sz w:val="21"/>
                    </w:rPr>
                    <w:t>右旋反式氯丙炔菊酯混配，总含量</w:t>
                  </w:r>
                  <w:r>
                    <w:rPr>
                      <w:sz w:val="21"/>
                    </w:rPr>
                    <w:t>≥3</w:t>
                  </w:r>
                  <w:r>
                    <w:rPr>
                      <w:sz w:val="21"/>
                    </w:rPr>
                    <w:t>%</w:t>
                  </w:r>
                </w:p>
                <w:p>
                  <w:pPr>
                    <w:jc w:val="left"/>
                  </w:pPr>
                  <w:r>
                    <w:rPr>
                      <w:b/>
                      <w:sz w:val="21"/>
                    </w:rPr>
                    <w:t>剂型：</w:t>
                  </w:r>
                  <w:r>
                    <w:rPr>
                      <w:sz w:val="21"/>
                    </w:rPr>
                    <w:t>乳油</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6</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胺•氯菊</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有效成分及含量：</w:t>
                  </w:r>
                  <w:r>
                    <w:rPr>
                      <w:sz w:val="21"/>
                    </w:rPr>
                    <w:t>氯菊酯与胺菊酯混配，总含量≥5%</w:t>
                  </w:r>
                </w:p>
                <w:p>
                  <w:pPr>
                    <w:jc w:val="left"/>
                  </w:pPr>
                  <w:r>
                    <w:rPr>
                      <w:b/>
                      <w:sz w:val="21"/>
                    </w:rPr>
                    <w:t>剂型：</w:t>
                  </w:r>
                  <w:r>
                    <w:rPr>
                      <w:sz w:val="21"/>
                    </w:rPr>
                    <w:t>微乳剂</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7</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杀蟑饵剂</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w:t>
                  </w:r>
                  <w:r>
                    <w:rPr>
                      <w:b/>
                      <w:sz w:val="21"/>
                    </w:rPr>
                    <w:t>及含量</w:t>
                  </w:r>
                  <w:r>
                    <w:rPr>
                      <w:b/>
                      <w:sz w:val="21"/>
                    </w:rPr>
                    <w:t>：</w:t>
                  </w:r>
                  <w:r>
                    <w:rPr>
                      <w:sz w:val="21"/>
                    </w:rPr>
                    <w:t>呋虫胺或氟虫腈</w:t>
                  </w:r>
                  <w:r>
                    <w:rPr>
                      <w:sz w:val="21"/>
                    </w:rPr>
                    <w:t>≥0.5</w:t>
                  </w:r>
                  <w:r>
                    <w:rPr>
                      <w:sz w:val="21"/>
                    </w:rPr>
                    <w:t>%</w:t>
                  </w:r>
                </w:p>
                <w:p>
                  <w:pPr>
                    <w:jc w:val="left"/>
                  </w:pPr>
                  <w:r>
                    <w:rPr>
                      <w:b/>
                      <w:sz w:val="21"/>
                    </w:rPr>
                    <w:t>剂型：</w:t>
                  </w:r>
                  <w:r>
                    <w:rPr>
                      <w:sz w:val="21"/>
                    </w:rPr>
                    <w:t>饵剂</w:t>
                  </w:r>
                </w:p>
              </w:tc>
              <w:tc>
                <w:tcPr>
                  <w:tcW w:type="dxa" w:w="1056"/>
                  <w:tcBorders>
                    <w:top w:val="none" w:color="000000" w:sz="4"/>
                    <w:left w:val="none" w:color="000000" w:sz="4"/>
                    <w:bottom w:val="single" w:color="000000" w:sz="4"/>
                    <w:right w:val="single" w:color="000000" w:sz="4"/>
                  </w:tcBorders>
                  <w:shd w:fill="FFFFFF"/>
                </w:tcPr>
                <w:p>
                  <w:pPr>
                    <w:jc w:val="center"/>
                  </w:pPr>
                  <w:r>
                    <w:rPr>
                      <w:sz w:val="21"/>
                    </w:rPr>
                    <w:t>灭蟑。</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8</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杀虫热雾剂</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有效成分及含量：</w:t>
                  </w:r>
                  <w:r>
                    <w:rPr>
                      <w:sz w:val="21"/>
                    </w:rPr>
                    <w:t>高效氯氰菊酯与右旋胺菊酯或残杀威混配，总含量≥1.7%</w:t>
                  </w:r>
                </w:p>
                <w:p>
                  <w:pPr>
                    <w:jc w:val="left"/>
                  </w:pPr>
                  <w:r>
                    <w:rPr>
                      <w:b/>
                      <w:sz w:val="21"/>
                    </w:rPr>
                    <w:t>剂型：</w:t>
                  </w:r>
                  <w:r>
                    <w:rPr>
                      <w:sz w:val="21"/>
                    </w:rPr>
                    <w:t>热雾剂</w:t>
                  </w:r>
                </w:p>
              </w:tc>
              <w:tc>
                <w:tcPr>
                  <w:tcW w:type="dxa" w:w="1056"/>
                  <w:tcBorders>
                    <w:top w:val="none" w:color="000000" w:sz="4"/>
                    <w:left w:val="none" w:color="000000" w:sz="4"/>
                    <w:bottom w:val="single" w:color="000000" w:sz="4"/>
                    <w:right w:val="single" w:color="000000" w:sz="4"/>
                  </w:tcBorders>
                  <w:shd w:fill="FFFFFF"/>
                </w:tcPr>
                <w:p>
                  <w:pPr>
                    <w:jc w:val="center"/>
                  </w:pPr>
                  <w:r>
                    <w:rPr>
                      <w:sz w:val="21"/>
                    </w:rPr>
                    <w:t>烟熏灭杀蟑、蚊。</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9</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杀虫颗粒剂</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有效成分及含量：</w:t>
                  </w:r>
                  <w:r>
                    <w:rPr>
                      <w:sz w:val="21"/>
                    </w:rPr>
                    <w:t>吡虫啉或吡丙醚与倍硫磷混配，总含量≥5%</w:t>
                  </w:r>
                </w:p>
                <w:p>
                  <w:pPr>
                    <w:jc w:val="left"/>
                  </w:pPr>
                  <w:r>
                    <w:rPr>
                      <w:b/>
                      <w:sz w:val="21"/>
                    </w:rPr>
                    <w:t>剂型：</w:t>
                  </w:r>
                  <w:r>
                    <w:rPr>
                      <w:sz w:val="21"/>
                    </w:rPr>
                    <w:t>颗粒剂</w:t>
                  </w:r>
                </w:p>
              </w:tc>
              <w:tc>
                <w:tcPr>
                  <w:tcW w:type="dxa" w:w="1056"/>
                  <w:tcBorders>
                    <w:top w:val="none" w:color="000000" w:sz="4"/>
                    <w:left w:val="none" w:color="000000" w:sz="4"/>
                    <w:bottom w:val="single" w:color="000000" w:sz="4"/>
                    <w:right w:val="single" w:color="000000" w:sz="4"/>
                  </w:tcBorders>
                  <w:shd w:fill="FFFFFF"/>
                </w:tcPr>
                <w:p>
                  <w:pPr>
                    <w:jc w:val="center"/>
                  </w:pPr>
                  <w:r>
                    <w:rPr>
                      <w:sz w:val="21"/>
                    </w:rPr>
                    <w:t>化学灭蚊、蝇幼虫药物。</w:t>
                  </w:r>
                </w:p>
              </w:tc>
            </w:tr>
            <w:tr>
              <w:tc>
                <w:tcPr>
                  <w:tcW w:type="dxa" w:w="528"/>
                  <w:tcBorders>
                    <w:top w:val="none" w:color="000000" w:sz="4"/>
                    <w:left w:val="single" w:color="000000" w:sz="4"/>
                    <w:bottom w:val="single" w:color="000000" w:sz="4"/>
                    <w:right w:val="single" w:color="000000" w:sz="4"/>
                  </w:tcBorders>
                  <w:shd w:fill="FFFFFF"/>
                </w:tcPr>
                <w:p>
                  <w:pPr>
                    <w:jc w:val="center"/>
                  </w:pPr>
                  <w:r>
                    <w:rPr>
                      <w:sz w:val="21"/>
                    </w:rPr>
                    <w:t>10</w:t>
                  </w:r>
                </w:p>
              </w:tc>
              <w:tc>
                <w:tcPr>
                  <w:tcW w:type="dxa" w:w="933"/>
                  <w:tcBorders>
                    <w:top w:val="none" w:color="000000" w:sz="4"/>
                    <w:left w:val="none" w:color="000000" w:sz="4"/>
                    <w:bottom w:val="single" w:color="000000" w:sz="4"/>
                    <w:right w:val="single" w:color="000000" w:sz="4"/>
                  </w:tcBorders>
                  <w:shd w:fill="FFFFFF"/>
                </w:tcPr>
                <w:p>
                  <w:pPr>
                    <w:jc w:val="center"/>
                  </w:pPr>
                  <w:r>
                    <w:rPr>
                      <w:sz w:val="21"/>
                    </w:rPr>
                    <w:t>苏云金杆菌</w:t>
                  </w:r>
                </w:p>
              </w:tc>
              <w:tc>
                <w:tcPr>
                  <w:tcW w:type="dxa" w:w="3082"/>
                  <w:tcBorders>
                    <w:top w:val="none" w:color="000000" w:sz="4"/>
                    <w:left w:val="none" w:color="000000" w:sz="4"/>
                    <w:bottom w:val="single" w:color="000000" w:sz="4"/>
                    <w:right w:val="single" w:color="000000" w:sz="4"/>
                  </w:tcBorders>
                  <w:shd w:fill="FFFFFF"/>
                </w:tcPr>
                <w:p>
                  <w:pPr>
                    <w:jc w:val="left"/>
                  </w:pPr>
                  <w:r>
                    <w:rPr>
                      <w:b/>
                      <w:sz w:val="21"/>
                    </w:rPr>
                    <w:t>有效成分</w:t>
                  </w:r>
                  <w:r>
                    <w:rPr>
                      <w:b/>
                      <w:sz w:val="21"/>
                    </w:rPr>
                    <w:t>及含量</w:t>
                  </w:r>
                  <w:r>
                    <w:rPr>
                      <w:b/>
                      <w:sz w:val="21"/>
                    </w:rPr>
                    <w:t>：</w:t>
                  </w:r>
                  <w:r>
                    <w:rPr>
                      <w:sz w:val="21"/>
                    </w:rPr>
                    <w:t>苏云金杆菌以色列亚种</w:t>
                  </w:r>
                  <w:r>
                    <w:rPr>
                      <w:sz w:val="21"/>
                    </w:rPr>
                    <w:t>≥</w:t>
                  </w:r>
                  <w:r>
                    <w:rPr>
                      <w:sz w:val="21"/>
                    </w:rPr>
                    <w:t>600ITU/</w:t>
                  </w:r>
                  <w:r>
                    <w:rPr>
                      <w:sz w:val="21"/>
                    </w:rPr>
                    <w:t>毫克，</w:t>
                  </w:r>
                </w:p>
                <w:p>
                  <w:pPr>
                    <w:jc w:val="left"/>
                  </w:pPr>
                  <w:r>
                    <w:rPr>
                      <w:b/>
                      <w:sz w:val="21"/>
                    </w:rPr>
                    <w:t>剂型：</w:t>
                  </w:r>
                  <w:r>
                    <w:rPr>
                      <w:sz w:val="21"/>
                    </w:rPr>
                    <w:t>悬浮剂</w:t>
                  </w:r>
                </w:p>
              </w:tc>
              <w:tc>
                <w:tcPr>
                  <w:tcW w:type="dxa" w:w="1056"/>
                  <w:tcBorders>
                    <w:top w:val="none" w:color="000000" w:sz="4"/>
                    <w:left w:val="none" w:color="000000" w:sz="4"/>
                    <w:bottom w:val="single" w:color="000000" w:sz="4"/>
                    <w:right w:val="single" w:color="000000" w:sz="4"/>
                  </w:tcBorders>
                  <w:shd w:fill="FFFFFF"/>
                </w:tcPr>
                <w:p>
                  <w:pPr>
                    <w:jc w:val="center"/>
                  </w:pPr>
                  <w:r>
                    <w:rPr>
                      <w:sz w:val="21"/>
                    </w:rPr>
                    <w:t>生物灭蚊幼药物。</w:t>
                  </w:r>
                </w:p>
              </w:tc>
            </w:tr>
          </w:tbl>
          <w:p>
            <w:pPr>
              <w:ind w:firstLine="420"/>
              <w:jc w:val="both"/>
            </w:pPr>
            <w:r>
              <w:rPr>
                <w:sz w:val="21"/>
              </w:rPr>
              <w:t>▲备注：投标人在投标文件中必须提供上述药品的以下六项资料的扫描件或复印件并加盖投标人红色公章：</w:t>
            </w:r>
          </w:p>
          <w:p>
            <w:pPr>
              <w:ind w:firstLine="420"/>
              <w:jc w:val="both"/>
            </w:pPr>
            <w:r>
              <w:rPr>
                <w:sz w:val="21"/>
              </w:rPr>
              <w:t>（1）农业部颁发的农药登记证。</w:t>
            </w:r>
          </w:p>
          <w:p>
            <w:pPr>
              <w:ind w:firstLine="420"/>
              <w:jc w:val="both"/>
            </w:pPr>
            <w:r>
              <w:rPr>
                <w:sz w:val="21"/>
              </w:rPr>
              <w:t>（2）省级农业部门颁发的农药生产许可证（生产范围包括投标产品剂型）。</w:t>
            </w:r>
          </w:p>
          <w:p>
            <w:pPr>
              <w:ind w:firstLine="420"/>
              <w:jc w:val="both"/>
            </w:pPr>
            <w:r>
              <w:rPr>
                <w:sz w:val="21"/>
              </w:rPr>
              <w:t>（3）企业标准信息公共服务平台备案的企业标准封面。</w:t>
            </w:r>
          </w:p>
          <w:p>
            <w:pPr>
              <w:ind w:firstLine="420"/>
              <w:jc w:val="both"/>
            </w:pPr>
            <w:r>
              <w:rPr>
                <w:sz w:val="21"/>
              </w:rPr>
              <w:t>序号1）-3）资料的备案须在有效期内，续展期顺延三个月。</w:t>
            </w:r>
          </w:p>
          <w:p>
            <w:pPr>
              <w:ind w:firstLine="420"/>
              <w:jc w:val="both"/>
            </w:pPr>
            <w:r>
              <w:rPr>
                <w:sz w:val="21"/>
              </w:rPr>
              <w:t>（4）药品标签。</w:t>
            </w:r>
          </w:p>
          <w:p>
            <w:pPr>
              <w:ind w:firstLine="420"/>
              <w:jc w:val="both"/>
            </w:pPr>
            <w:r>
              <w:rPr>
                <w:sz w:val="21"/>
              </w:rPr>
              <w:t>（5）药品第三方检测报告。</w:t>
            </w:r>
          </w:p>
          <w:p>
            <w:pPr>
              <w:ind w:firstLine="420"/>
              <w:jc w:val="both"/>
            </w:pPr>
            <w:r>
              <w:rPr>
                <w:sz w:val="21"/>
              </w:rPr>
              <w:t>（6）药品化学品安全技术说明书或农药产品安全数据单（MSDS）</w:t>
            </w:r>
          </w:p>
          <w:p>
            <w:pPr>
              <w:jc w:val="both"/>
            </w:pPr>
            <w:r>
              <w:rPr>
                <w:b/>
                <w:sz w:val="21"/>
              </w:rPr>
              <w:t>三、开展除“四害”服务所需的药物投放与喷洒要求：</w:t>
            </w:r>
          </w:p>
          <w:p>
            <w:pPr>
              <w:ind w:firstLine="210"/>
              <w:jc w:val="both"/>
            </w:pPr>
            <w:r>
              <w:rPr>
                <w:sz w:val="21"/>
              </w:rPr>
              <w:t>1.</w:t>
            </w:r>
            <w:r>
              <w:rPr>
                <w:sz w:val="21"/>
              </w:rPr>
              <w:t>必须选择国家规定的低毒、低残留的药物。根据巩卫方案的工作内容及防治措施开展除四害工作。</w:t>
            </w:r>
          </w:p>
          <w:p>
            <w:pPr>
              <w:ind w:firstLine="210"/>
              <w:jc w:val="both"/>
            </w:pPr>
            <w:r>
              <w:rPr>
                <w:sz w:val="21"/>
              </w:rPr>
              <w:t>2.</w:t>
            </w:r>
            <w:r>
              <w:rPr>
                <w:sz w:val="21"/>
              </w:rPr>
              <w:t>灭鼠每月进行药物投放1次或以上；灭蚊、灭蝇、灭蟑5月至11月每月进行药物喷洒二次以上，孳生地灭蚊、蝇幼虫药物投放每两周一1次或以上；灭冬蚊、蝇在12月、1月、2月进行药物灭杀1次或以上（以上投放与喷洒需结合实际情况和成效适当增加）。</w:t>
            </w:r>
          </w:p>
          <w:p>
            <w:pPr>
              <w:ind w:firstLine="210"/>
              <w:jc w:val="both"/>
            </w:pPr>
            <w:r>
              <w:rPr>
                <w:sz w:val="21"/>
              </w:rPr>
              <w:t>3.</w:t>
            </w:r>
            <w:r>
              <w:rPr>
                <w:sz w:val="21"/>
              </w:rPr>
              <w:t>根椐用药标准及要求，做出合理的用药方案。</w:t>
            </w:r>
          </w:p>
          <w:p>
            <w:pPr>
              <w:ind w:firstLine="210"/>
              <w:jc w:val="both"/>
            </w:pPr>
            <w:r>
              <w:rPr>
                <w:sz w:val="21"/>
              </w:rPr>
              <w:t>4.</w:t>
            </w:r>
            <w:r>
              <w:rPr>
                <w:sz w:val="21"/>
              </w:rPr>
              <w:t>确保服务区域内“四害”密度不超标，病媒防制工作达到巩固国家卫生城市验收标准和要求。</w:t>
            </w:r>
          </w:p>
          <w:p>
            <w:pPr>
              <w:jc w:val="both"/>
            </w:pPr>
            <w:r>
              <w:rPr>
                <w:b/>
                <w:sz w:val="21"/>
              </w:rPr>
              <w:t>附表：</w:t>
            </w:r>
          </w:p>
          <w:tbl>
            <w:tblPr>
              <w:tblBorders>
                <w:top w:val="none" w:color="000000" w:sz="4"/>
                <w:left w:val="none" w:color="000000" w:sz="4"/>
                <w:bottom w:val="none" w:color="000000" w:sz="4"/>
                <w:right w:val="none" w:color="000000" w:sz="4"/>
                <w:insideH w:val="none"/>
                <w:insideV w:val="none"/>
              </w:tblBorders>
            </w:tblPr>
            <w:tblGrid>
              <w:gridCol w:w="806"/>
              <w:gridCol w:w="1660"/>
              <w:gridCol w:w="1376"/>
              <w:gridCol w:w="806"/>
              <w:gridCol w:w="0"/>
            </w:tblGrid>
            <w:tr>
              <w:tc>
                <w:tcPr>
                  <w:tcW w:type="dxa" w:w="806"/>
                  <w:tcBorders>
                    <w:top w:val="single" w:color="000000" w:sz="4"/>
                    <w:left w:val="single" w:color="000000" w:sz="4"/>
                    <w:bottom w:val="none" w:color="000000" w:sz="4"/>
                    <w:right w:val="single" w:color="000000" w:sz="4"/>
                  </w:tcBorders>
                </w:tcPr>
                <w:p>
                  <w:pPr>
                    <w:jc w:val="center"/>
                  </w:pPr>
                  <w:r>
                    <w:rPr>
                      <w:b/>
                      <w:sz w:val="21"/>
                    </w:rPr>
                    <w:t>序号</w:t>
                  </w:r>
                </w:p>
              </w:tc>
              <w:tc>
                <w:tcPr>
                  <w:tcW w:type="dxa" w:w="1660"/>
                  <w:tcBorders>
                    <w:top w:val="single" w:color="000000" w:sz="4"/>
                    <w:left w:val="none" w:color="000000" w:sz="4"/>
                    <w:bottom w:val="none" w:color="000000" w:sz="4"/>
                    <w:right w:val="single" w:color="000000" w:sz="4"/>
                  </w:tcBorders>
                </w:tcPr>
                <w:p>
                  <w:pPr>
                    <w:jc w:val="center"/>
                  </w:pPr>
                  <w:r>
                    <w:rPr>
                      <w:b/>
                      <w:sz w:val="21"/>
                    </w:rPr>
                    <w:t>村（居）委</w:t>
                  </w:r>
                </w:p>
              </w:tc>
              <w:tc>
                <w:tcPr>
                  <w:tcW w:type="dxa" w:w="1376"/>
                  <w:tcBorders>
                    <w:top w:val="single" w:color="000000" w:sz="4"/>
                    <w:left w:val="none" w:color="000000" w:sz="4"/>
                    <w:bottom w:val="none" w:color="000000" w:sz="4"/>
                    <w:right w:val="single" w:color="000000" w:sz="4"/>
                  </w:tcBorders>
                </w:tcPr>
                <w:p>
                  <w:pPr>
                    <w:jc w:val="center"/>
                  </w:pPr>
                  <w:r>
                    <w:rPr>
                      <w:b/>
                      <w:sz w:val="21"/>
                    </w:rPr>
                    <w:t>总面积</w:t>
                  </w:r>
                </w:p>
                <w:p>
                  <w:pPr>
                    <w:jc w:val="center"/>
                  </w:pPr>
                  <w:r>
                    <w:rPr>
                      <w:b/>
                      <w:sz w:val="21"/>
                    </w:rPr>
                    <w:t>(</w:t>
                  </w:r>
                  <w:r>
                    <w:rPr>
                      <w:b/>
                      <w:sz w:val="21"/>
                    </w:rPr>
                    <w:t>平方米)</w:t>
                  </w:r>
                </w:p>
              </w:tc>
              <w:tc>
                <w:tcPr>
                  <w:tcW w:type="dxa" w:w="806"/>
                  <w:tcBorders>
                    <w:top w:val="single" w:color="000000" w:sz="4"/>
                    <w:left w:val="none" w:color="000000" w:sz="4"/>
                    <w:bottom w:val="none" w:color="000000" w:sz="4"/>
                    <w:right w:val="single" w:color="000000" w:sz="4"/>
                  </w:tcBorders>
                </w:tcPr>
                <w:p>
                  <w:pPr>
                    <w:jc w:val="center"/>
                  </w:pPr>
                  <w:r>
                    <w:rPr>
                      <w:b/>
                      <w:sz w:val="21"/>
                    </w:rPr>
                    <w:t>备注</w:t>
                  </w:r>
                </w:p>
              </w:tc>
              <w:tc>
                <w:tcPr>
                  <w:tcW w:type="dxa" w:w="0"/>
                  <w:tcBorders>
                    <w:top w:val="none" w:color="000000" w:sz="4"/>
                    <w:left w:val="none" w:color="000000" w:sz="4"/>
                    <w:bottom w:val="none" w:color="000000" w:sz="4"/>
                    <w:right w:val="none" w:color="000000" w:sz="4"/>
                  </w:tcBorders>
                </w:tcPr>
                <w:p>
                  <w:r>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春江居委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3000000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红旗居委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400000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县前居委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450000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r>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前进居委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300000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龙湾居委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800000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东门居委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800000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镇北居委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5000000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城云居委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1800000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拥军居委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东湖居委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2000000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城东居委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1300000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兴华居委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2000000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竹园居委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1500000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龙脊居委</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城南村委会</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420000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城北村委会</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城郊村委会</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500000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垌尾村委会</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西堤社区</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2000000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绵登社区</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2800000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泰安社区</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1500000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站前社区</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渔业社区</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2000000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升平村委会</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730000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龙岩村委会</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1000000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1660"/>
                  <w:tcBorders>
                    <w:top w:val="none" w:color="000000" w:sz="4"/>
                    <w:left w:val="none" w:color="000000" w:sz="4"/>
                    <w:bottom w:val="single" w:color="000000" w:sz="4"/>
                    <w:right w:val="single" w:color="000000" w:sz="4"/>
                  </w:tcBorders>
                  <w:vAlign w:val="top"/>
                </w:tcPr>
                <w:p>
                  <w:pPr>
                    <w:jc w:val="center"/>
                  </w:pPr>
                  <w:r>
                    <w:rPr>
                      <w:sz w:val="21"/>
                    </w:rPr>
                    <w:t>大安管理处</w:t>
                  </w:r>
                </w:p>
              </w:tc>
              <w:tc>
                <w:tcPr>
                  <w:tcW w:type="dxa" w:w="1376"/>
                  <w:tcBorders>
                    <w:top w:val="none" w:color="000000" w:sz="4"/>
                    <w:left w:val="none" w:color="000000" w:sz="4"/>
                    <w:bottom w:val="single" w:color="000000" w:sz="4"/>
                    <w:right w:val="single" w:color="000000" w:sz="4"/>
                  </w:tcBorders>
                  <w:vAlign w:val="top"/>
                </w:tcPr>
                <w:p>
                  <w:pPr>
                    <w:jc w:val="center"/>
                  </w:pPr>
                  <w:r>
                    <w:rPr>
                      <w:sz w:val="21"/>
                    </w:rPr>
                    <w:t>600000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2466"/>
                  <w:gridSpan w:val="2"/>
                  <w:tcBorders>
                    <w:top w:val="none" w:color="000000" w:sz="4"/>
                    <w:left w:val="single" w:color="000000" w:sz="4"/>
                    <w:bottom w:val="single" w:color="000000" w:sz="4"/>
                    <w:right w:val="single" w:color="000000" w:sz="4"/>
                  </w:tcBorders>
                  <w:vAlign w:val="top"/>
                </w:tcPr>
                <w:p>
                  <w:pPr>
                    <w:jc w:val="center"/>
                  </w:pPr>
                  <w:r>
                    <w:rPr>
                      <w:b/>
                      <w:sz w:val="21"/>
                    </w:rPr>
                    <w:t>小计</w:t>
                  </w:r>
                </w:p>
              </w:tc>
              <w:tc>
                <w:tcPr>
                  <w:tcW w:type="dxa" w:w="1376"/>
                  <w:tcBorders>
                    <w:top w:val="none" w:color="000000" w:sz="4"/>
                    <w:left w:val="none" w:color="000000" w:sz="4"/>
                    <w:bottom w:val="single" w:color="000000" w:sz="4"/>
                    <w:right w:val="single" w:color="000000" w:sz="4"/>
                  </w:tcBorders>
                  <w:vAlign w:val="top"/>
                </w:tcPr>
                <w:p>
                  <w:pPr>
                    <w:jc w:val="center"/>
                  </w:pPr>
                  <w:r>
                    <w:rPr>
                      <w:b/>
                      <w:sz w:val="21"/>
                    </w:rPr>
                    <w:t>35000000</w:t>
                  </w:r>
                </w:p>
              </w:tc>
              <w:tc>
                <w:tcPr>
                  <w:tcW w:type="dxa" w:w="806"/>
                  <w:tcBorders>
                    <w:top w:val="none" w:color="000000" w:sz="4"/>
                    <w:left w:val="none" w:color="000000" w:sz="4"/>
                    <w:bottom w:val="single" w:color="000000" w:sz="4"/>
                    <w:right w:val="single" w:color="000000" w:sz="4"/>
                  </w:tcBorders>
                  <w:vAlign w:val="top"/>
                </w:tcPr>
                <w:p>
                  <w:pPr>
                    <w:jc w:val="center"/>
                  </w:pPr>
                </w:p>
              </w:tc>
              <w:tc>
                <w:tcPr>
                  <w:tcW w:type="dxa" w:w="0"/>
                  <w:tcBorders>
                    <w:top w:val="none" w:color="000000" w:sz="4"/>
                    <w:left w:val="none" w:color="000000" w:sz="4"/>
                    <w:bottom w:val="none" w:color="000000" w:sz="4"/>
                    <w:right w:val="none" w:color="000000" w:sz="4"/>
                  </w:tcBorders>
                </w:tcPr>
                <w:p>
                  <w:pPr>
                    <w:jc w:val="both"/>
                  </w:pPr>
                  <w:r>
                    <w:rPr>
                      <w:sz w:val="21"/>
                    </w:rPr>
                    <w:t xml:space="preserve"> </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1.采购代理机构：本项目是指中科思成建设集团有限公司，负责整个采购活动的组织，依法负责编制和发布招标文件，对招标文件拥有最终的解释权，不以任何身份出任评标委员会成员。</w:t>
      </w:r>
    </w:p>
    <w:p>
      <w:pPr>
        <w:ind w:firstLine="480"/>
      </w:pPr>
      <w:r>
        <w:rPr/>
        <w:t>2.采购人：本项目是指</w:t>
      </w:r>
      <w:r>
        <w:rPr/>
        <w:t>阳春市卫生健康局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采购包1：保证金人民币：17,000.00元整。</w:t>
            </w:r>
          </w:p>
          <w:p>
            <w:r>
              <w:rPr/>
              <w:t>开户单位：</w:t>
            </w:r>
            <w:r>
              <w:rPr/>
              <w:t>中科思成建设集团有限公司阳江分公司</w:t>
            </w:r>
          </w:p>
          <w:p>
            <w:r>
              <w:rPr/>
              <w:t>开户账号：</w:t>
            </w:r>
            <w:r>
              <w:rPr/>
              <w:t>80020000016213117</w:t>
            </w:r>
          </w:p>
          <w:p>
            <w:r>
              <w:rPr/>
              <w:t>开户银行：</w:t>
            </w:r>
            <w:r>
              <w:rPr/>
              <w:t>广东阳春农村商业银行股份有限公司万城支行</w:t>
            </w:r>
          </w:p>
          <w:p>
            <w:r>
              <w:rPr/>
              <w:t>支票提交方式：</w:t>
            </w:r>
            <w:r>
              <w:rPr/>
              <w:t>与投标文件一同递交</w:t>
            </w:r>
          </w:p>
          <w:p>
            <w:r>
              <w:rPr/>
              <w:t>汇票、本票提交方式：</w:t>
            </w:r>
            <w:r>
              <w:rPr/>
              <w:t>与投标文件一同递交</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采购机构代理服务收费标准：招标代理服务费按中华人民共和国国家发展计划委员会颁发的计价格[2002]1980号文《招标代理服务收费管理暂行办法》及发改价格[2011]534号文件中规定的“服务类”计费标准计费。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中科思成建设集团有限公司</w:t>
      </w:r>
      <w:r>
        <w:rPr/>
        <w:t>代收。具体操作要求详见</w:t>
      </w:r>
      <w:r>
        <w:rPr/>
        <w:t>中科思成建设集团有限公司</w:t>
      </w:r>
      <w:r>
        <w:rPr/>
        <w:t>有关指引，递交事宜请自行咨询</w:t>
      </w:r>
      <w:r>
        <w:rPr/>
        <w:t>中科思成建设集团有限公司</w:t>
      </w:r>
      <w:r>
        <w:rPr/>
        <w:t>；请各投标人在投标文件递交截止时间前按须知前附表规定的金额递交至</w:t>
      </w:r>
      <w:r>
        <w:rPr/>
        <w:t>中科思成建设集团有限公司</w:t>
      </w:r>
      <w:r>
        <w:rPr/>
        <w:t>，到账情况以开标时</w:t>
      </w:r>
      <w:r>
        <w:rPr/>
        <w:t>中科思成建设集团有限公司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董昭伟</w:t>
      </w:r>
    </w:p>
    <w:p>
      <w:pPr>
        <w:ind w:firstLine="480"/>
      </w:pPr>
      <w:r>
        <w:rPr/>
        <w:t>电话：</w:t>
      </w:r>
      <w:r>
        <w:rPr/>
        <w:t>18929637008</w:t>
      </w:r>
    </w:p>
    <w:p>
      <w:pPr>
        <w:ind w:firstLine="480"/>
      </w:pPr>
      <w:r>
        <w:rPr/>
        <w:t>传真：</w:t>
      </w:r>
      <w:r>
        <w:rPr/>
        <w:t>0662-7762117</w:t>
      </w:r>
    </w:p>
    <w:p>
      <w:pPr>
        <w:ind w:firstLine="480"/>
      </w:pPr>
      <w:r>
        <w:rPr/>
        <w:t>邮箱：</w:t>
      </w:r>
      <w:r>
        <w:rPr/>
        <w:t>477389672@qq.com</w:t>
      </w:r>
    </w:p>
    <w:p>
      <w:pPr>
        <w:ind w:firstLine="480"/>
      </w:pPr>
      <w:r>
        <w:rPr/>
        <w:t>地址：</w:t>
      </w:r>
      <w:r>
        <w:rPr/>
        <w:t>阳春市春城街道广场路东三巷3号</w:t>
      </w:r>
    </w:p>
    <w:p>
      <w:pPr>
        <w:ind w:firstLine="480"/>
      </w:pPr>
      <w:r>
        <w:rPr/>
        <w:t>邮编：</w:t>
      </w:r>
      <w:r>
        <w:rPr/>
        <w:t>529600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政府采购监督管理机构名称：阳春市政府采购事务中心</w:t>
      </w:r>
    </w:p>
    <w:p>
      <w:r>
        <w:rPr/>
        <w:t>地  址：阳春市春城朝南路73号</w:t>
      </w:r>
    </w:p>
    <w:p>
      <w:r>
        <w:rPr/>
        <w:t>电  话：0662－7745980</w:t>
      </w:r>
    </w:p>
    <w:p>
      <w:r>
        <w:rPr/>
        <w:t>邮  编：529600</w:t>
      </w:r>
    </w:p>
    <w:p>
      <w:r>
        <w:rPr/>
        <w:t>传  真：0662－7745980</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采购包1(阳春市2023年巩固国家卫生城市 病媒生物防制及四防装置安装项目)：综合评分法,是指投标文件满足招标文件全部实质性要求，且按照评审因素的量化指标评审得分最高的投标人为中标候选人的评标方法。（最低报价不是中标的唯一依据。）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中科思成建设集团有限公司</w:t>
      </w:r>
      <w:r>
        <w:rPr/>
        <w:t>统一对外发布。</w:t>
      </w:r>
    </w:p>
    <w:p>
      <w:pPr>
        <w:ind w:firstLine="480"/>
      </w:pPr>
      <w:r>
        <w:rPr/>
        <w:t>（2）对</w:t>
      </w:r>
      <w:r>
        <w:rPr/>
        <w:t>中科思成建设集团有限公司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采购包1（阳春市2023年巩固国家卫生城市 病媒生物防制及四防装置安装项目）：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采购包1（阳春市2023年巩固国家卫生城市 病媒生物防制及四防装置安装项目）：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提供2021年或2022年度财务状况报告或基本开户行出具的资信证明，新成立单位提供成立至今的月或季度财务状况报告或基本开户行出具的资信证明。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提供书面声明原件；若投标人自成立之日起不足3年的，则提供成立至今的书面声明原件。）：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投标人未被列入“信用中国”网站(www.creditchina.gov.cn)“失信被执行人、税收违法黑名单”记录名单；同时，不处于中国政府采购网(www.ccgp.g ov.cn)“政府采购严重违法失信行为信息记录”中的禁止参加政府采购活动期间,（① 以采购代理机构于响应文件提交截止日当天截止时点后在“信用中国”网站（www.c reditchina.gov.cn）及中国政府采购网(www.ccgp.gov.cn)查询结果为准, 同时对信用信息查询记录截图盖章存档。②若分支机构投标：投标人为非独立法人（即由合法法人依法建立的分支机构），除了对投标人进行信息查询外，同时对总公司的信息查询记录截图盖章存档。</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投标人，不得同时参加本采购项目(或采购包)投标(响应)。为本项目提供整体设计、规范编制或者项目管理、监理、检测等服务的投标人，不得再参与本项目投标(响应)；提供声明函。</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采购包1（阳春市2023年巩固国家卫生城市 病媒生物防制及四防装置安装项目）：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投标有效期满足招标文件要求（90天）</w:t>
            </w:r>
          </w:p>
        </w:tc>
      </w:tr>
      <w:tr>
        <w:tc>
          <w:tcPr>
            <w:tcW w:type="dxa" w:w="890"/>
          </w:tcPr>
          <w:p>
            <w:r>
              <w:rPr/>
              <w:t>2</w:t>
            </w:r>
          </w:p>
        </w:tc>
        <w:tc>
          <w:tcPr>
            <w:tcW w:type="dxa" w:w="3178"/>
          </w:tcPr>
          <w:p>
            <w:r>
              <w:rPr/>
              <w:t>投标文件的签署和盖章</w:t>
            </w:r>
          </w:p>
        </w:tc>
        <w:tc>
          <w:tcPr>
            <w:tcW w:type="dxa" w:w="4238"/>
          </w:tcPr>
          <w:p>
            <w:r>
              <w:rPr/>
              <w:t>投标文件符合招标文件的签署和盖章要求</w:t>
            </w:r>
          </w:p>
        </w:tc>
      </w:tr>
      <w:tr>
        <w:tc>
          <w:tcPr>
            <w:tcW w:type="dxa" w:w="890"/>
          </w:tcPr>
          <w:p>
            <w:r>
              <w:rPr/>
              <w:t>3</w:t>
            </w:r>
          </w:p>
        </w:tc>
        <w:tc>
          <w:tcPr>
            <w:tcW w:type="dxa" w:w="3178"/>
          </w:tcPr>
          <w:p>
            <w:r>
              <w:rPr/>
              <w:t>投标保证金</w:t>
            </w:r>
          </w:p>
        </w:tc>
        <w:tc>
          <w:tcPr>
            <w:tcW w:type="dxa" w:w="4238"/>
          </w:tcPr>
          <w:p>
            <w:r>
              <w:rPr/>
              <w:t>已按招标文件要求缴纳投标保证金</w:t>
            </w:r>
          </w:p>
        </w:tc>
      </w:tr>
      <w:tr>
        <w:tc>
          <w:tcPr>
            <w:tcW w:type="dxa" w:w="890"/>
          </w:tcPr>
          <w:p>
            <w:r>
              <w:rPr/>
              <w:t>4</w:t>
            </w:r>
          </w:p>
        </w:tc>
        <w:tc>
          <w:tcPr>
            <w:tcW w:type="dxa" w:w="3178"/>
          </w:tcPr>
          <w:p>
            <w:r>
              <w:rPr/>
              <w:t>投标报价</w:t>
            </w:r>
          </w:p>
        </w:tc>
        <w:tc>
          <w:tcPr>
            <w:tcW w:type="dxa" w:w="4238"/>
          </w:tcPr>
          <w:p>
            <w:r>
              <w:rPr/>
              <w:t>投标报价没有超出预算金额</w:t>
            </w:r>
          </w:p>
        </w:tc>
      </w:tr>
      <w:tr>
        <w:tc>
          <w:tcPr>
            <w:tcW w:type="dxa" w:w="890"/>
          </w:tcPr>
          <w:p>
            <w:r>
              <w:rPr/>
              <w:t>5</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有可能影响服务质量或者不能诚信履约的，投标人能在规定时间内应评标委员会要求证明其报价合理性。</w:t>
            </w:r>
          </w:p>
        </w:tc>
      </w:tr>
      <w:tr>
        <w:tc>
          <w:tcPr>
            <w:tcW w:type="dxa" w:w="890"/>
          </w:tcPr>
          <w:p>
            <w:r>
              <w:rPr/>
              <w:t>6</w:t>
            </w:r>
          </w:p>
        </w:tc>
        <w:tc>
          <w:tcPr>
            <w:tcW w:type="dxa" w:w="3178"/>
          </w:tcPr>
          <w:p>
            <w:r>
              <w:rPr/>
              <w:t>其他要求</w:t>
            </w:r>
          </w:p>
        </w:tc>
        <w:tc>
          <w:tcPr>
            <w:tcW w:type="dxa" w:w="4238"/>
          </w:tcPr>
          <w:p>
            <w:r>
              <w:rPr/>
              <w:t>投标文件实质性响应招标文件要求，且无经评委认定为无效标的。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采购包1(阳春市2023年巩固国家卫生城市 病媒生物防制及四防装置安装项目):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技术部分70.0分</w:t>
            </w:r>
          </w:p>
          <w:p>
            <w:r>
              <w:rPr/>
              <w:t>报价得分10.0分</w:t>
            </w:r>
          </w:p>
        </w:tc>
      </w:tr>
      <w:tr>
        <w:tc>
          <w:tcPr>
            <w:tcW w:type="dxa" w:w="922"/>
            <w:gridSpan w:val="2"/>
            <w:vMerge w:val="restart"/>
          </w:tcPr>
          <w:p>
            <w:pPr>
              <w:jc w:val="center"/>
            </w:pPr>
            <w:r>
              <w:rPr/>
              <w:t>技术部分</w:t>
            </w:r>
          </w:p>
        </w:tc>
        <w:tc>
          <w:tcPr>
            <w:tcW w:type="dxa" w:w="2307"/>
          </w:tcPr>
          <w:p>
            <w:pPr>
              <w:jc w:val="left"/>
            </w:pPr>
            <w:r>
              <w:rPr/>
              <w:t>技术参数响应情况 (18.0分)</w:t>
            </w:r>
          </w:p>
        </w:tc>
        <w:tc>
          <w:tcPr>
            <w:tcW w:type="dxa" w:w="5076"/>
          </w:tcPr>
          <w:p>
            <w:pPr>
              <w:jc w:val="left"/>
            </w:pPr>
            <w:r>
              <w:rPr/>
              <w:t>投标人应如实填写《技术和服务要求响应表》，评标委员会根据技术参数响应情况进行打分， 各项技术参数指标及要求完全满足或优于磋商文件要求的得18分。参数性质栏标注打“▲”号条款为重要技术参数每项负偏离扣2分，非“▲”号条款为一般技术参数每项负偏离扣0.5分，扣完为止。</w:t>
            </w:r>
          </w:p>
        </w:tc>
      </w:tr>
      <w:tr>
        <w:tc>
          <w:tcPr>
            <w:tcW w:type="dxa" w:w="922"/>
            <w:gridSpan w:val="2"/>
            <w:vMerge/>
          </w:tcPr>
          <w:p/>
        </w:tc>
        <w:tc>
          <w:tcPr>
            <w:tcW w:type="dxa" w:w="2307"/>
          </w:tcPr>
          <w:p>
            <w:pPr>
              <w:jc w:val="left"/>
            </w:pPr>
            <w:r>
              <w:rPr/>
              <w:t>服务方案 (10.0分)</w:t>
            </w:r>
          </w:p>
        </w:tc>
        <w:tc>
          <w:tcPr>
            <w:tcW w:type="dxa" w:w="5076"/>
          </w:tcPr>
          <w:p>
            <w:pPr>
              <w:jc w:val="left"/>
            </w:pPr>
            <w:r>
              <w:rPr/>
              <w:t>根据投标人对项目提供的服务方案（包括用药方案、工作计划、工作流程、病媒生物防治措施、四害特点、防制要点等）进行评审：   1.整体服务方案详细完善、合理、可行性高，得 10分；   2.整体服务方案较完善、较合理、可行性较高，得7分；   3.整体服务方案基本完善、基本合理、可行性一般，得 4分；   4.整体服务方案不够完善、不合理、可行性差，得 1 分； 5.未提供或提供内容偏离实际需求的，0分。</w:t>
            </w:r>
          </w:p>
        </w:tc>
      </w:tr>
      <w:tr>
        <w:tc>
          <w:tcPr>
            <w:tcW w:type="dxa" w:w="922"/>
            <w:gridSpan w:val="2"/>
            <w:vMerge/>
          </w:tcPr>
          <w:p/>
        </w:tc>
        <w:tc>
          <w:tcPr>
            <w:tcW w:type="dxa" w:w="2307"/>
          </w:tcPr>
          <w:p>
            <w:pPr>
              <w:jc w:val="left"/>
            </w:pPr>
            <w:r>
              <w:rPr/>
              <w:t>应急预案 (10.0分)</w:t>
            </w:r>
          </w:p>
        </w:tc>
        <w:tc>
          <w:tcPr>
            <w:tcW w:type="dxa" w:w="5076"/>
          </w:tcPr>
          <w:p>
            <w:pPr>
              <w:jc w:val="left"/>
            </w:pPr>
            <w:r>
              <w:rPr/>
              <w:t>根据投标人提供的应急预案（包括但不限于突发事件的处理措施、应急处理措施及疑难排除能力等）进行评审：：   1.应急预案具体，可行性高，得10分；   2.应急预案一般，可行性一般，得7分；   3.应急预案不够具体，可行性差，得4分；   4.应急预案不完善、不科学、不可行，得1分； 5.未提供或提供内容偏离实际需求的，0分。</w:t>
            </w:r>
          </w:p>
        </w:tc>
      </w:tr>
      <w:tr>
        <w:tc>
          <w:tcPr>
            <w:tcW w:type="dxa" w:w="922"/>
            <w:gridSpan w:val="2"/>
            <w:vMerge/>
          </w:tcPr>
          <w:p/>
        </w:tc>
        <w:tc>
          <w:tcPr>
            <w:tcW w:type="dxa" w:w="2307"/>
          </w:tcPr>
          <w:p>
            <w:pPr>
              <w:jc w:val="left"/>
            </w:pPr>
            <w:r>
              <w:rPr/>
              <w:t>设施维护保养方案 (7.0分)</w:t>
            </w:r>
          </w:p>
        </w:tc>
        <w:tc>
          <w:tcPr>
            <w:tcW w:type="dxa" w:w="5076"/>
          </w:tcPr>
          <w:p>
            <w:pPr>
              <w:jc w:val="left"/>
            </w:pPr>
            <w:r>
              <w:rPr/>
              <w:t>根据投标人提供的针对四害防制设施维护保养方案进行评审：   1.设施维护保养方案论述非常完善清晰，可行性高，流程合理，得7分。   2.设施维护保养方案论述较完善清晰，可行性较高，流程较合理，得4分。   3.设施维护保养方案论述片面、简单，可行性不高，流程不合理，得1分。  4.未提供或提供内容偏离实际需求的，0分。</w:t>
            </w:r>
          </w:p>
        </w:tc>
      </w:tr>
      <w:tr>
        <w:tc>
          <w:tcPr>
            <w:tcW w:type="dxa" w:w="922"/>
            <w:gridSpan w:val="2"/>
            <w:vMerge/>
          </w:tcPr>
          <w:p/>
        </w:tc>
        <w:tc>
          <w:tcPr>
            <w:tcW w:type="dxa" w:w="2307"/>
          </w:tcPr>
          <w:p>
            <w:pPr>
              <w:jc w:val="left"/>
            </w:pPr>
            <w:r>
              <w:rPr/>
              <w:t>投入设备情况 (10.0分)</w:t>
            </w:r>
          </w:p>
        </w:tc>
        <w:tc>
          <w:tcPr>
            <w:tcW w:type="dxa" w:w="5076"/>
          </w:tcPr>
          <w:p>
            <w:pPr>
              <w:jc w:val="left"/>
            </w:pPr>
            <w:r>
              <w:rPr/>
              <w:t>1.投标人具有中型载货专项作业车辆的得2分； 2.投标人具有应急车辆：1台得1分；2台或以上的得2分； 注：1.投标人自有车辆的，提供有效期内的《机动车行驶证》、《机动车登记证书》复印件(机动车行驶证、机动车登记证书所有人必须为投标单位)、能同时看清车辆车牌号码的图片，漏提供、未提供或未按要求提供相关资料的不得分；     2.若为租赁车辆，提供车辆租赁合同复印件(车辆租赁人必须为投标单位)、有效期内的《机动车行驶证》、《机动车登记证书》复印件、能同时看清车辆车牌号码的图片，漏提供、未提供或未按要求提供相关资料的不得分。 1.投标人具有汽油弥雾机：1至4台的得1分；5台或以上的得2分； 2.投标人具有背负式充电超低容量喷雾器：1至2台的得1分；3台或以上的得2分； 3.投标人具有打药机（热烟雾机）：1至3台的得1分；4台或以上的得2分。 注：1.设备为自有的，须提供相应的设备购买发票；     2.设备为租赁的，须提供租赁合同或相关证明文件；     3.未按要求提供不得分。</w:t>
            </w:r>
          </w:p>
        </w:tc>
      </w:tr>
      <w:tr>
        <w:tc>
          <w:tcPr>
            <w:tcW w:type="dxa" w:w="922"/>
            <w:gridSpan w:val="2"/>
            <w:vMerge/>
          </w:tcPr>
          <w:p/>
        </w:tc>
        <w:tc>
          <w:tcPr>
            <w:tcW w:type="dxa" w:w="2307"/>
          </w:tcPr>
          <w:p>
            <w:pPr>
              <w:jc w:val="left"/>
            </w:pPr>
            <w:r>
              <w:rPr/>
              <w:t>项目负责人 (8.0分)</w:t>
            </w:r>
          </w:p>
        </w:tc>
        <w:tc>
          <w:tcPr>
            <w:tcW w:type="dxa" w:w="5076"/>
          </w:tcPr>
          <w:p>
            <w:pPr>
              <w:jc w:val="left"/>
            </w:pPr>
            <w:r>
              <w:rPr/>
              <w:t>投入本项目负责人应同时满足以下条件：   1.持有具有人力资源和社会保障部门颁发的有害生物防制员三级/高级职业资格证书；   2.持有地级市以上城市应急管理部门颁发的安全生产知识和管理能力考核合格证（考核类别：主要负责人）证书；   3.持有省级室内环境卫生行业协会颁发的“公共场所清洁消毒治理员”证书；    4.持有相关行业或培训机构颁发的职业技能等级认定考评人员合格证书，考评职业（工种）为“有害生物防制员”； 以上全部满足得8分；每缺少一项扣2分。  注：提供证书或证明材料复印件及投标截止日前1个月的本单位社保缴纳证明并加盖公章作为评分依据，否则不得分。</w:t>
            </w:r>
          </w:p>
        </w:tc>
      </w:tr>
      <w:tr>
        <w:tc>
          <w:tcPr>
            <w:tcW w:type="dxa" w:w="922"/>
            <w:gridSpan w:val="2"/>
            <w:vMerge/>
          </w:tcPr>
          <w:p/>
        </w:tc>
        <w:tc>
          <w:tcPr>
            <w:tcW w:type="dxa" w:w="2307"/>
          </w:tcPr>
          <w:p>
            <w:pPr>
              <w:jc w:val="left"/>
            </w:pPr>
            <w:r>
              <w:rPr/>
              <w:t>人员配置情况 (7.0分)</w:t>
            </w:r>
          </w:p>
        </w:tc>
        <w:tc>
          <w:tcPr>
            <w:tcW w:type="dxa" w:w="5076"/>
          </w:tcPr>
          <w:p>
            <w:pPr>
              <w:jc w:val="left"/>
            </w:pPr>
            <w:r>
              <w:rPr/>
              <w:t>投入本项目专业服务人员应满足以下条件： 1.具有人力资源和社会保障部门颁发的有害生物防制员三级/高级职业资格证书的人员在3人以上（含本数）得3分；2人以上（含本数）得1分；其他不得分。 2.具有地级市以上城市应急管理部门颁发的安全生产知识和管理能力考核合格证（考核类别：安全生产管理人员）的每提供1人得1分，最高4分；其他不得分。 注：提供证书或证明材料复印件及投标截止日前1个月的本单位社保缴纳证明并加盖公章作为评分依据，否则不得分。</w:t>
            </w:r>
          </w:p>
        </w:tc>
      </w:tr>
      <w:tr>
        <w:tc>
          <w:tcPr>
            <w:tcW w:type="dxa" w:w="922"/>
            <w:gridSpan w:val="2"/>
            <w:vMerge w:val="restart"/>
          </w:tcPr>
          <w:p>
            <w:pPr>
              <w:jc w:val="center"/>
            </w:pPr>
            <w:r>
              <w:rPr/>
              <w:t>商务部分</w:t>
            </w:r>
          </w:p>
        </w:tc>
        <w:tc>
          <w:tcPr>
            <w:tcW w:type="dxa" w:w="2307"/>
          </w:tcPr>
          <w:p>
            <w:pPr>
              <w:jc w:val="left"/>
            </w:pPr>
            <w:r>
              <w:rPr/>
              <w:t>同类项目经验  (8.0分)</w:t>
            </w:r>
          </w:p>
        </w:tc>
        <w:tc>
          <w:tcPr>
            <w:tcW w:type="dxa" w:w="5076"/>
          </w:tcPr>
          <w:p>
            <w:pPr>
              <w:jc w:val="left"/>
            </w:pPr>
            <w:r>
              <w:rPr/>
              <w:t>投标人自 2019年 1 月 1 日（以合同签订时间为准）至今承担过同类项目业绩，每提供一个得 2分，满分8分。  注：提供合同关键页复印件及中标（成交）通知书复印件作为评审依据，否则不得分。</w:t>
            </w:r>
          </w:p>
        </w:tc>
      </w:tr>
      <w:tr>
        <w:tc>
          <w:tcPr>
            <w:tcW w:type="dxa" w:w="922"/>
            <w:gridSpan w:val="2"/>
            <w:vMerge/>
          </w:tcPr>
          <w:p/>
        </w:tc>
        <w:tc>
          <w:tcPr>
            <w:tcW w:type="dxa" w:w="2307"/>
          </w:tcPr>
          <w:p>
            <w:pPr>
              <w:jc w:val="left"/>
            </w:pPr>
            <w:r>
              <w:rPr/>
              <w:t>疫情防控能力 (6.0分)</w:t>
            </w:r>
          </w:p>
        </w:tc>
        <w:tc>
          <w:tcPr>
            <w:tcW w:type="dxa" w:w="5076"/>
          </w:tcPr>
          <w:p>
            <w:pPr>
              <w:jc w:val="left"/>
            </w:pPr>
            <w:r>
              <w:rPr/>
              <w:t>投标人自2019年1月1日（以合同签订时间为准）至今承担过消毒项目业绩，每提供一个得1分，满分6分。 注：提供合同关键页复印件或中标（成交）通知书复印件作为评审依据，否则不得分。</w:t>
            </w:r>
          </w:p>
        </w:tc>
      </w:tr>
      <w:tr>
        <w:tc>
          <w:tcPr>
            <w:tcW w:type="dxa" w:w="922"/>
            <w:gridSpan w:val="2"/>
            <w:vMerge/>
          </w:tcPr>
          <w:p/>
        </w:tc>
        <w:tc>
          <w:tcPr>
            <w:tcW w:type="dxa" w:w="2307"/>
          </w:tcPr>
          <w:p>
            <w:pPr>
              <w:jc w:val="left"/>
            </w:pPr>
            <w:r>
              <w:rPr/>
              <w:t>人员管理及培训方案  (6.0分)</w:t>
            </w:r>
          </w:p>
        </w:tc>
        <w:tc>
          <w:tcPr>
            <w:tcW w:type="dxa" w:w="5076"/>
          </w:tcPr>
          <w:p>
            <w:pPr>
              <w:jc w:val="left"/>
            </w:pPr>
            <w:r>
              <w:rPr/>
              <w:t>根据投标人对本项目的人员管理及培训方案（包括消杀人员技术培训、杀虫药物的使用常识、防制方法及措施等）进行评审：  1.方案内容齐全，合理性强，6分；     2.方案内容不够齐全，合理性一般3分；   3.方案内容不齐全，合理性差，1分；    4.未提供或提供内容偏离实际需求的，0分。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441781-2023-01570</w:t>
      </w:r>
    </w:p>
    <w:p>
      <w:pPr>
        <w:jc w:val="center"/>
      </w:pPr>
      <w:r>
        <w:rPr>
          <w:b/>
          <w:sz w:val="24"/>
        </w:rPr>
        <w:t>采购项目编号：</w:t>
      </w:r>
      <w:r>
        <w:rPr>
          <w:b/>
          <w:sz w:val="24"/>
        </w:rPr>
        <w:t>zksczb-2023-007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中科思成建设集团有限公司</w:t>
      </w:r>
    </w:p>
    <w:p>
      <w:pPr>
        <w:ind w:firstLine="480"/>
      </w:pPr>
      <w:r>
        <w:rPr/>
        <w:t>你方组织的</w:t>
      </w:r>
      <w:r>
        <w:rPr>
          <w:u w:val="single"/>
        </w:rPr>
        <w:t>“</w:t>
      </w:r>
      <w:r>
        <w:rPr>
          <w:u w:val="single"/>
        </w:rPr>
        <w:t>阳春市2023年巩固国家卫生城市病媒生物防制及四防装置安装项目</w:t>
      </w:r>
      <w:r>
        <w:rPr>
          <w:u w:val="single"/>
        </w:rPr>
        <w:t>”</w:t>
      </w:r>
      <w:r>
        <w:rPr/>
        <w:t>项目的招标[采购项目编号为：</w:t>
      </w:r>
      <w:r>
        <w:rPr>
          <w:u w:val="single"/>
        </w:rPr>
        <w:t>zksczb-2023-007</w:t>
      </w:r>
      <w:r>
        <w:rPr/>
        <w:t>]，我方愿参与投标。</w:t>
      </w:r>
    </w:p>
    <w:p>
      <w:pPr>
        <w:ind w:firstLine="480"/>
      </w:pPr>
      <w:r>
        <w:rPr/>
        <w:t>我方确认收到贵方提供的</w:t>
      </w:r>
      <w:r>
        <w:rPr>
          <w:u w:val="single"/>
        </w:rPr>
        <w:t>“</w:t>
      </w:r>
      <w:r>
        <w:rPr>
          <w:u w:val="single"/>
        </w:rPr>
        <w:t>阳春市2023年巩固国家卫生城市病媒生物防制及四防装置安装项目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中科思成建设集团有限公司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阳春市2023年巩固国家卫生城市病媒生物防制及四防装置安装项目</w:t>
      </w:r>
      <w:r>
        <w:rPr/>
        <w:t>”项目采购[采购项目编号为</w:t>
      </w:r>
      <w:r>
        <w:rPr/>
        <w:t>zksczb-2023-007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阳春市卫生健康局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中科思成建设集团有限公司</w:t>
      </w:r>
    </w:p>
    <w:p>
      <w:pPr>
        <w:ind w:firstLine="480"/>
      </w:pPr>
      <w:r>
        <w:rPr/>
        <w:t>如果我方在贵采购代理机构组织的</w:t>
      </w:r>
      <w:r>
        <w:rPr/>
        <w:t>阳春市2023年巩固国家卫生城市病媒生物防制及四防装置安装项目</w:t>
      </w:r>
      <w:r>
        <w:rPr/>
        <w:t>招标中获中标（采购项目编号：</w:t>
      </w:r>
      <w:r>
        <w:rPr/>
        <w:t>zksczb-2023-007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中科思成建设集团有限公司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中科思成建设集团有限公司</w:t>
      </w:r>
    </w:p>
    <w:p>
      <w:pPr>
        <w:ind w:firstLine="480"/>
      </w:pPr>
      <w:r>
        <w:rPr/>
        <w:t>我单位已登记并准备参与“</w:t>
      </w:r>
      <w:r>
        <w:rPr/>
        <w:t>阳春市2023年巩固国家卫生城市病媒生物防制及四防装置安装项目</w:t>
      </w:r>
      <w:r>
        <w:rPr/>
        <w:t>”项目（采购项目编号：</w:t>
      </w:r>
      <w:r>
        <w:rPr/>
        <w:t>zksczb-2023-007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