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olor w:val="auto"/>
          <w:sz w:val="24"/>
          <w:szCs w:val="28"/>
        </w:rPr>
      </w:pPr>
      <w:r>
        <w:rPr>
          <w:rFonts w:hint="eastAsia" w:ascii="黑体" w:hAnsi="宋体" w:eastAsia="黑体"/>
          <w:b/>
          <w:sz w:val="32"/>
          <w:szCs w:val="32"/>
        </w:rPr>
        <w:t>第五章  采购项目</w:t>
      </w:r>
      <w:r>
        <w:rPr>
          <w:rFonts w:hint="eastAsia" w:ascii="黑体" w:hAnsi="宋体" w:eastAsia="黑体"/>
          <w:b/>
          <w:sz w:val="32"/>
          <w:szCs w:val="32"/>
          <w:lang w:eastAsia="zh-CN"/>
        </w:rPr>
        <w:t>内容</w:t>
      </w:r>
      <w:r>
        <w:rPr>
          <w:rFonts w:hint="eastAsia" w:ascii="黑体" w:hAnsi="宋体" w:eastAsia="黑体"/>
          <w:b/>
          <w:sz w:val="32"/>
          <w:szCs w:val="32"/>
        </w:rPr>
        <w:t>、商务及其他要求</w:t>
      </w:r>
      <w:bookmarkStart w:id="0" w:name="_Toc501694853"/>
    </w:p>
    <w:bookmarkEnd w:id="0"/>
    <w:p>
      <w:pPr>
        <w:numPr>
          <w:ilvl w:val="0"/>
          <w:numId w:val="0"/>
        </w:numPr>
        <w:spacing w:line="500" w:lineRule="exact"/>
        <w:ind w:left="562" w:leftChars="0"/>
        <w:rPr>
          <w:rFonts w:hint="eastAsia" w:ascii="宋体" w:hAnsi="宋体" w:eastAsia="宋体" w:cs="宋体"/>
          <w:b/>
          <w:bCs w:val="0"/>
          <w:sz w:val="28"/>
          <w:szCs w:val="28"/>
        </w:rPr>
      </w:pPr>
      <w:r>
        <w:rPr>
          <w:rFonts w:hint="eastAsia" w:ascii="宋体" w:hAnsi="宋体" w:eastAsia="宋体" w:cs="宋体"/>
          <w:b/>
          <w:bCs w:val="0"/>
          <w:sz w:val="28"/>
          <w:szCs w:val="28"/>
          <w:lang w:eastAsia="zh-CN"/>
        </w:rPr>
        <w:t>一、</w:t>
      </w:r>
      <w:r>
        <w:rPr>
          <w:rFonts w:hint="eastAsia" w:ascii="宋体" w:hAnsi="宋体" w:eastAsia="宋体" w:cs="宋体"/>
          <w:b/>
          <w:bCs w:val="0"/>
          <w:sz w:val="28"/>
          <w:szCs w:val="28"/>
        </w:rPr>
        <w:t>项目概况</w:t>
      </w:r>
    </w:p>
    <w:p>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按照《成都市双流区卫生健康局 关于印发〈成都第31届世界大学生夏季运动会双流赛区医疗保障工作方案〉的通知》（双卫健发〔2023〕19号）文件精神，为保障大运会双流赛区（东升辖区部分）病媒生物防制工作绿色、环保、高效、规范开展，有效降低鼠、蚊、蝇、蟑螂等主要病媒生物密度及其它有害生物密度，保障参赛人员健康、不受病媒生物及其它有害生物的影响，有效预防和控制病媒生物性传染病的发生与传播及其它有害生物的骚扰。</w:t>
      </w:r>
    </w:p>
    <w:p>
      <w:pPr>
        <w:pStyle w:val="7"/>
        <w:numPr>
          <w:ilvl w:val="0"/>
          <w:numId w:val="0"/>
        </w:numPr>
        <w:ind w:leftChars="200"/>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t>二、服务内容及要求</w:t>
      </w:r>
    </w:p>
    <w:p>
      <w:pPr>
        <w:spacing w:line="240" w:lineRule="auto"/>
        <w:ind w:firstLine="241" w:firstLineChars="100"/>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（一）服务范围</w:t>
      </w:r>
      <w:r>
        <w:rPr>
          <w:rFonts w:hint="eastAsia" w:ascii="宋体" w:hAnsi="宋体" w:eastAsia="宋体" w:cs="宋体"/>
          <w:color w:val="auto"/>
          <w:sz w:val="24"/>
          <w:szCs w:val="24"/>
          <w:lang w:val="en-US" w:eastAsia="zh-CN"/>
        </w:rPr>
        <w:t>：</w:t>
      </w:r>
    </w:p>
    <w:p>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对双流体育中心、四川川投国际网球赛事中心围墙外（500米半径范围内）本辖区“一般保障区”开展病媒生物防制工作；负责大运会双流赛区公路项目比赛路径及周边重点区域病媒生物防制工作（公路项目路径自金河路三段起途经中心公园沿航鹰西路到银河路三段、四段，经凤舞湖旁花园路至金河路四段止），确保本辖区“三防”设施合格率≥95%。总面积约92万㎡。</w:t>
      </w:r>
    </w:p>
    <w:p>
      <w:pPr>
        <w:spacing w:line="240" w:lineRule="auto"/>
        <w:ind w:firstLine="241" w:firstLineChars="1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（二）服务要求：</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241" w:firstLineChars="1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color w:val="000000"/>
          <w:sz w:val="24"/>
          <w:szCs w:val="24"/>
        </w:rPr>
        <w:t>工作</w:t>
      </w:r>
      <w:r>
        <w:rPr>
          <w:rFonts w:hint="eastAsia" w:ascii="宋体" w:hAnsi="宋体" w:eastAsia="宋体" w:cs="宋体"/>
          <w:b/>
          <w:color w:val="000000"/>
          <w:sz w:val="24"/>
          <w:szCs w:val="24"/>
          <w:lang w:eastAsia="zh-CN"/>
        </w:rPr>
        <w:t>内容</w:t>
      </w:r>
    </w:p>
    <w:p>
      <w:pPr>
        <w:keepNext w:val="0"/>
        <w:keepLines w:val="0"/>
        <w:pageBreakBefore w:val="0"/>
        <w:widowControl w:val="0"/>
        <w:tabs>
          <w:tab w:val="left" w:pos="2410"/>
        </w:tabs>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Times New Roman" w:hAnsi="宋体" w:eastAsia="宋体" w:cs="Times New Roman"/>
          <w:color w:val="auto"/>
          <w:sz w:val="24"/>
          <w:lang w:val="en-US" w:eastAsia="zh-CN"/>
        </w:rPr>
        <w:t>1.1</w:t>
      </w:r>
      <w:r>
        <w:rPr>
          <w:rFonts w:hint="eastAsia" w:ascii="宋体" w:hAnsi="宋体" w:eastAsia="宋体" w:cs="宋体"/>
          <w:sz w:val="24"/>
          <w:szCs w:val="24"/>
        </w:rPr>
        <w:t>组织病媒生物防制专业队伍</w:t>
      </w:r>
      <w:r>
        <w:rPr>
          <w:rFonts w:hint="eastAsia" w:ascii="宋体" w:hAnsi="宋体" w:eastAsia="宋体" w:cs="宋体"/>
          <w:sz w:val="24"/>
          <w:szCs w:val="24"/>
          <w:lang w:eastAsia="zh-CN"/>
        </w:rPr>
        <w:t>，</w:t>
      </w:r>
      <w:r>
        <w:rPr>
          <w:rFonts w:hint="eastAsia" w:ascii="Times New Roman" w:hAnsi="宋体" w:eastAsia="宋体" w:cs="Times New Roman"/>
          <w:color w:val="auto"/>
          <w:sz w:val="24"/>
          <w:lang w:val="en-US" w:eastAsia="zh-CN"/>
        </w:rPr>
        <w:t>每周开展</w:t>
      </w:r>
      <w:r>
        <w:rPr>
          <w:rFonts w:hint="eastAsia" w:hAnsi="宋体" w:eastAsia="宋体" w:cs="Times New Roman"/>
          <w:color w:val="auto"/>
          <w:sz w:val="24"/>
          <w:lang w:val="en-US" w:eastAsia="zh-CN"/>
        </w:rPr>
        <w:t>一</w:t>
      </w:r>
      <w:r>
        <w:rPr>
          <w:rFonts w:hint="eastAsia" w:ascii="Times New Roman" w:hAnsi="宋体" w:eastAsia="宋体" w:cs="Times New Roman"/>
          <w:color w:val="auto"/>
          <w:sz w:val="24"/>
          <w:lang w:val="en-US" w:eastAsia="zh-CN"/>
        </w:rPr>
        <w:t>次环境治理和药物消杀工作，并根据“大运会”工作实际适时增加服务频次，达到《成都大运会病媒生物密度控制标准》要求（</w:t>
      </w:r>
      <w:r>
        <w:rPr>
          <w:rFonts w:hint="eastAsia" w:hAnsi="宋体" w:eastAsia="宋体" w:cs="Times New Roman"/>
          <w:color w:val="auto"/>
          <w:sz w:val="24"/>
          <w:lang w:val="en-US" w:eastAsia="zh-CN"/>
        </w:rPr>
        <w:t>见</w:t>
      </w:r>
      <w:r>
        <w:rPr>
          <w:rFonts w:hint="eastAsia" w:ascii="Times New Roman" w:hAnsi="宋体" w:eastAsia="宋体" w:cs="Times New Roman"/>
          <w:color w:val="auto"/>
          <w:sz w:val="24"/>
          <w:lang w:val="en-US" w:eastAsia="zh-CN"/>
        </w:rPr>
        <w:t>附件1）</w:t>
      </w:r>
      <w:r>
        <w:rPr>
          <w:rFonts w:hint="eastAsia" w:ascii="宋体" w:hAnsi="宋体" w:eastAsia="宋体" w:cs="宋体"/>
          <w:sz w:val="24"/>
          <w:szCs w:val="24"/>
        </w:rPr>
        <w:t>。</w:t>
      </w:r>
    </w:p>
    <w:p>
      <w:pPr>
        <w:keepNext w:val="0"/>
        <w:keepLines w:val="0"/>
        <w:pageBreakBefore w:val="0"/>
        <w:widowControl w:val="0"/>
        <w:tabs>
          <w:tab w:val="left" w:pos="2410"/>
        </w:tabs>
        <w:kinsoku/>
        <w:wordWrap/>
        <w:topLinePunct w:val="0"/>
        <w:autoSpaceDE/>
        <w:autoSpaceDN/>
        <w:bidi w:val="0"/>
        <w:adjustRightInd/>
        <w:snapToGrid/>
        <w:spacing w:line="360" w:lineRule="auto"/>
        <w:ind w:firstLine="480" w:firstLineChars="200"/>
        <w:textAlignment w:val="auto"/>
        <w:rPr>
          <w:rFonts w:hint="eastAsia" w:ascii="Times New Roman" w:hAnsi="宋体" w:eastAsia="宋体" w:cs="Times New Roman"/>
          <w:color w:val="auto"/>
          <w:sz w:val="24"/>
          <w:lang w:val="en-US" w:eastAsia="zh-CN"/>
        </w:rPr>
      </w:pPr>
      <w:r>
        <w:rPr>
          <w:rFonts w:hint="eastAsia" w:hAnsi="宋体" w:cs="宋体"/>
          <w:sz w:val="24"/>
          <w:szCs w:val="24"/>
          <w:lang w:val="en-US" w:eastAsia="zh-CN"/>
        </w:rPr>
        <w:t>1.2</w:t>
      </w:r>
      <w:r>
        <w:rPr>
          <w:rFonts w:hint="eastAsia" w:ascii="Times New Roman" w:hAnsi="宋体" w:eastAsia="宋体" w:cs="Times New Roman"/>
          <w:color w:val="auto"/>
          <w:sz w:val="24"/>
          <w:lang w:val="en-US" w:eastAsia="zh-CN"/>
        </w:rPr>
        <w:t>开展病媒生物防制工作，完善</w:t>
      </w:r>
      <w:r>
        <w:rPr>
          <w:rFonts w:hint="eastAsia" w:hAnsi="宋体" w:eastAsia="宋体" w:cs="Times New Roman"/>
          <w:color w:val="auto"/>
          <w:sz w:val="24"/>
          <w:lang w:val="en-US" w:eastAsia="zh-CN"/>
        </w:rPr>
        <w:t>防</w:t>
      </w:r>
      <w:r>
        <w:rPr>
          <w:rFonts w:hint="eastAsia" w:ascii="Times New Roman" w:hAnsi="宋体" w:eastAsia="宋体" w:cs="Times New Roman"/>
          <w:color w:val="auto"/>
          <w:sz w:val="24"/>
          <w:lang w:val="en-US" w:eastAsia="zh-CN"/>
        </w:rPr>
        <w:t>鼠</w:t>
      </w:r>
      <w:r>
        <w:rPr>
          <w:rFonts w:hint="eastAsia" w:hAnsi="宋体" w:eastAsia="宋体" w:cs="Times New Roman"/>
          <w:color w:val="auto"/>
          <w:sz w:val="24"/>
          <w:lang w:val="en-US" w:eastAsia="zh-CN"/>
        </w:rPr>
        <w:t>防蝇防蚁</w:t>
      </w:r>
      <w:r>
        <w:rPr>
          <w:rFonts w:hint="eastAsia" w:ascii="Times New Roman" w:hAnsi="宋体" w:eastAsia="宋体" w:cs="Times New Roman"/>
          <w:color w:val="auto"/>
          <w:sz w:val="24"/>
          <w:lang w:val="en-US" w:eastAsia="zh-CN"/>
        </w:rPr>
        <w:t>设施建设，病媒生物密度</w:t>
      </w:r>
      <w:r>
        <w:rPr>
          <w:rFonts w:hint="eastAsia" w:hAnsi="宋体" w:eastAsia="宋体" w:cs="Times New Roman"/>
          <w:color w:val="auto"/>
          <w:sz w:val="24"/>
          <w:lang w:val="en-US" w:eastAsia="zh-CN"/>
        </w:rPr>
        <w:t>至少达到</w:t>
      </w:r>
      <w:r>
        <w:rPr>
          <w:rFonts w:hint="eastAsia" w:ascii="Times New Roman" w:hAnsi="宋体" w:eastAsia="宋体" w:cs="Times New Roman"/>
          <w:color w:val="auto"/>
          <w:sz w:val="24"/>
          <w:lang w:val="en-US" w:eastAsia="zh-CN"/>
        </w:rPr>
        <w:t>国家</w:t>
      </w:r>
      <w:r>
        <w:rPr>
          <w:rFonts w:hint="eastAsia" w:hAnsi="宋体" w:eastAsia="宋体" w:cs="Times New Roman"/>
          <w:color w:val="auto"/>
          <w:sz w:val="24"/>
          <w:lang w:val="en-US" w:eastAsia="zh-CN"/>
        </w:rPr>
        <w:t>控制水平标准</w:t>
      </w:r>
      <w:r>
        <w:rPr>
          <w:rFonts w:hint="eastAsia" w:ascii="Times New Roman" w:hAnsi="宋体" w:eastAsia="宋体" w:cs="Times New Roman"/>
          <w:color w:val="auto"/>
          <w:sz w:val="24"/>
          <w:lang w:val="en-US" w:eastAsia="zh-CN"/>
        </w:rPr>
        <w:t xml:space="preserve">C级，防鼠防蝇防蚊设施合格率至少达到95% </w:t>
      </w:r>
      <w:r>
        <w:rPr>
          <w:rFonts w:hint="eastAsia" w:hAnsi="宋体" w:eastAsia="宋体" w:cs="Times New Roman"/>
          <w:color w:val="auto"/>
          <w:sz w:val="24"/>
          <w:lang w:val="en-US" w:eastAsia="zh-CN"/>
        </w:rPr>
        <w:t>，</w:t>
      </w:r>
      <w:r>
        <w:rPr>
          <w:rFonts w:hint="eastAsia" w:ascii="Times New Roman" w:hAnsi="宋体" w:eastAsia="宋体" w:cs="Times New Roman"/>
          <w:color w:val="auto"/>
          <w:sz w:val="24"/>
          <w:lang w:val="en-US" w:eastAsia="zh-CN"/>
        </w:rPr>
        <w:t>药物器械的使用符合《第31届世界大学生夏季运动会病媒生物控制药物器械安全使用准则》（</w:t>
      </w:r>
      <w:r>
        <w:rPr>
          <w:rFonts w:hint="eastAsia" w:hAnsi="宋体" w:eastAsia="宋体" w:cs="Times New Roman"/>
          <w:color w:val="auto"/>
          <w:sz w:val="24"/>
          <w:lang w:val="en-US" w:eastAsia="zh-CN"/>
        </w:rPr>
        <w:t>见</w:t>
      </w:r>
      <w:r>
        <w:rPr>
          <w:rFonts w:hint="eastAsia" w:ascii="Times New Roman" w:hAnsi="宋体" w:eastAsia="宋体" w:cs="Times New Roman"/>
          <w:color w:val="auto"/>
          <w:sz w:val="24"/>
          <w:lang w:val="en-US" w:eastAsia="zh-CN"/>
        </w:rPr>
        <w:t>附件2）。</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1.3</w:t>
      </w:r>
      <w:r>
        <w:rPr>
          <w:rFonts w:hint="eastAsia" w:ascii="宋体" w:hAnsi="宋体" w:eastAsia="宋体" w:cs="宋体"/>
          <w:sz w:val="24"/>
          <w:szCs w:val="24"/>
        </w:rPr>
        <w:t>定期开展病媒生物密度监测，防制前后密度调查与记录，按照采购人要求做好每次防制服务作业记录并把相关资料报送采购人留存。</w:t>
      </w:r>
    </w:p>
    <w:p>
      <w:pPr>
        <w:keepNext w:val="0"/>
        <w:keepLines w:val="0"/>
        <w:pageBreakBefore w:val="0"/>
        <w:widowControl w:val="0"/>
        <w:kinsoku/>
        <w:wordWrap/>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4.</w:t>
      </w:r>
      <w:r>
        <w:rPr>
          <w:rFonts w:hint="eastAsia" w:ascii="宋体" w:hAnsi="宋体" w:eastAsia="宋体" w:cs="宋体"/>
          <w:sz w:val="24"/>
          <w:szCs w:val="24"/>
          <w:lang w:val="en-US" w:eastAsia="zh-CN"/>
        </w:rPr>
        <w:t>组织</w:t>
      </w:r>
      <w:r>
        <w:rPr>
          <w:rFonts w:hint="eastAsia" w:ascii="宋体" w:hAnsi="宋体" w:eastAsia="宋体" w:cs="宋体"/>
          <w:sz w:val="24"/>
          <w:szCs w:val="24"/>
        </w:rPr>
        <w:t>应急处理专业队伍进入待命状态，随时应对突发事件。</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241" w:firstLineChars="100"/>
        <w:textAlignment w:val="auto"/>
        <w:rPr>
          <w:rFonts w:hint="eastAsia" w:ascii="宋体" w:hAnsi="宋体" w:eastAsia="宋体" w:cs="宋体"/>
          <w:b/>
          <w:bCs/>
          <w:sz w:val="24"/>
          <w:szCs w:val="24"/>
          <w:lang w:eastAsia="zh-CN"/>
        </w:rPr>
      </w:pPr>
      <w:r>
        <w:rPr>
          <w:rFonts w:hint="eastAsia" w:hAnsi="宋体" w:cs="宋体"/>
          <w:b/>
          <w:bCs/>
          <w:sz w:val="24"/>
          <w:szCs w:val="24"/>
          <w:lang w:val="en-US" w:eastAsia="zh-CN"/>
        </w:rPr>
        <w:t xml:space="preserve">2. </w:t>
      </w:r>
      <w:r>
        <w:rPr>
          <w:rFonts w:hint="eastAsia" w:ascii="宋体" w:hAnsi="宋体" w:eastAsia="宋体" w:cs="宋体"/>
          <w:b/>
          <w:bCs/>
          <w:sz w:val="24"/>
          <w:szCs w:val="24"/>
          <w:lang w:eastAsia="zh-CN"/>
        </w:rPr>
        <w:t>质量标准</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2.1 蚊</w:t>
      </w:r>
      <w:r>
        <w:rPr>
          <w:rFonts w:hint="eastAsia" w:ascii="宋体" w:hAnsi="宋体" w:eastAsia="宋体" w:cs="宋体"/>
          <w:b/>
          <w:bCs/>
          <w:sz w:val="24"/>
          <w:szCs w:val="24"/>
        </w:rPr>
        <w:t xml:space="preserve">类防制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2.1.1</w:t>
      </w:r>
      <w:r>
        <w:rPr>
          <w:rFonts w:hint="eastAsia" w:ascii="宋体" w:hAnsi="宋体" w:eastAsia="宋体" w:cs="宋体"/>
          <w:sz w:val="24"/>
          <w:szCs w:val="24"/>
        </w:rPr>
        <w:t xml:space="preserve">环境防制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（1）清除环境中各类积水。</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（2）清理环境中可能产生积水的各种垃圾和杂物。</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（3）加强废旧轮胎和陶罐管理。</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（4）填平积水坑、洼，疏通积水沟渠，下水道。</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（5）封闭线缆沟槽和明沟。</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（6）在建筑物的反梁结构和平顶屋设置排水系统，每周疏通清淤，雨棚要改造成斜坡，防止积水。</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（7）种养水生植物水池或容器每周清理、换水。</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（8）应在可以放养鱼类的永久性积水容器中放养鱼类。</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2.1.2</w:t>
      </w:r>
      <w:r>
        <w:rPr>
          <w:rFonts w:hint="eastAsia" w:ascii="宋体" w:hAnsi="宋体" w:eastAsia="宋体" w:cs="宋体"/>
          <w:sz w:val="24"/>
          <w:szCs w:val="24"/>
        </w:rPr>
        <w:t xml:space="preserve">物理防制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（1）成蚊可使用有含二氧化碳或化学引诱剂的诱蚊装置、光学诱蚊装置等诱杀，该类器械使用时应避免其他干扰物影响。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（2）室内少量成蚊可用电蚊拍等击杀。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（3）蚊蚴、蛹、卵等可采用开水烫杀或干燥杀灭。</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（4）安装纱门纱窗，网眼密度纵向≥16孔/5cm、横向≥16孔/5cm。</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（5）下水道口安装防蚊闸、各类管井盖孔洞使用防蚊贴。</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2.1.3</w:t>
      </w:r>
      <w:r>
        <w:rPr>
          <w:rFonts w:hint="eastAsia" w:ascii="宋体" w:hAnsi="宋体" w:eastAsia="宋体" w:cs="宋体"/>
          <w:sz w:val="24"/>
          <w:szCs w:val="24"/>
        </w:rPr>
        <w:t xml:space="preserve">化学防制 </w:t>
      </w:r>
    </w:p>
    <w:p>
      <w:pPr>
        <w:keepNext w:val="0"/>
        <w:keepLines w:val="0"/>
        <w:pageBreakBefore w:val="0"/>
        <w:widowControl w:val="0"/>
        <w:tabs>
          <w:tab w:val="left" w:pos="2410"/>
        </w:tabs>
        <w:kinsoku/>
        <w:wordWrap/>
        <w:topLinePunct w:val="0"/>
        <w:autoSpaceDE/>
        <w:autoSpaceDN/>
        <w:bidi w:val="0"/>
        <w:adjustRightInd/>
        <w:snapToGrid/>
        <w:spacing w:line="240" w:lineRule="auto"/>
        <w:ind w:left="147" w:leftChars="7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（1）对于尚未清理的孳生地或无法清除的积水（如已经积水的轮胎、防火缸、下水道口等）可以 使用化学杀蚴剂进行防制，可供选择的杀虫剂及剂量参照</w:t>
      </w:r>
      <w:r>
        <w:rPr>
          <w:rFonts w:hint="eastAsia" w:ascii="宋体" w:hAnsi="宋体" w:eastAsia="宋体" w:cs="宋体"/>
          <w:sz w:val="24"/>
          <w:szCs w:val="24"/>
          <w:lang w:eastAsia="zh-CN"/>
        </w:rPr>
        <w:t>《第31届世界大学生夏季运动会防制药械产品推介目录》（</w:t>
      </w:r>
      <w:r>
        <w:rPr>
          <w:rFonts w:hint="eastAsia" w:ascii="宋体" w:hAnsi="宋体" w:eastAsia="宋体" w:cs="宋体"/>
          <w:sz w:val="24"/>
          <w:szCs w:val="24"/>
        </w:rPr>
        <w:t>详见附件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tabs>
          <w:tab w:val="left" w:pos="2410"/>
        </w:tabs>
        <w:kinsoku/>
        <w:wordWrap/>
        <w:topLinePunct w:val="0"/>
        <w:autoSpaceDE/>
        <w:autoSpaceDN/>
        <w:bidi w:val="0"/>
        <w:adjustRightInd/>
        <w:snapToGrid/>
        <w:spacing w:line="240" w:lineRule="auto"/>
        <w:ind w:left="147" w:leftChars="7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（2）空间喷雾快速杀灭成蚊，①空间喷雾包括超低容量喷雾和热烟雾，杀虫剂形成的雾粒粒子应小于50微米，空间喷雾可供选择的器械、杀虫剂及剂量参照</w:t>
      </w:r>
      <w:r>
        <w:rPr>
          <w:rFonts w:hint="eastAsia" w:ascii="宋体" w:hAnsi="宋体" w:eastAsia="宋体" w:cs="宋体"/>
          <w:sz w:val="24"/>
          <w:szCs w:val="24"/>
          <w:lang w:eastAsia="zh-CN"/>
        </w:rPr>
        <w:t>《第31届世界大学生夏季运动会防制药械产品推介目录》（</w:t>
      </w:r>
      <w:r>
        <w:rPr>
          <w:rFonts w:hint="eastAsia" w:ascii="宋体" w:hAnsi="宋体" w:eastAsia="宋体" w:cs="宋体"/>
          <w:sz w:val="24"/>
          <w:szCs w:val="24"/>
        </w:rPr>
        <w:t>详见附件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②进行空间喷雾作业时应根据蚊虫种类、密度、环境特点选择药械和处理时间，一般在蚊虫活动高峰时段进行处理；③在风速＜4m/s(15km/h)方可进行处理，静风条件下处理效果最佳，处理时保持从下风向到上风向处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喷雾流量和喷雾移动速度可参照GB/T 31714-2015进行计算。</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GB3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⑤</w:t>
      </w:r>
      <w:r>
        <w:rPr>
          <w:rFonts w:hint="eastAsia" w:ascii="宋体" w:hAnsi="宋体" w:eastAsia="宋体" w:cs="宋体"/>
          <w:sz w:val="24"/>
          <w:szCs w:val="24"/>
        </w:rPr>
        <w:fldChar w:fldCharType="end"/>
      </w:r>
      <w:r>
        <w:rPr>
          <w:rFonts w:hint="eastAsia" w:ascii="宋体" w:hAnsi="宋体" w:eastAsia="宋体" w:cs="宋体"/>
          <w:sz w:val="24"/>
          <w:szCs w:val="24"/>
        </w:rPr>
        <w:t>注意事项，作业前对现场人员进行警告，将食物、贵重设备、物品进行覆盖，移走宠物，熄灭火源；操作者应按要求配置使用防护装备，按生产商提供的操作指南进行操作。</w:t>
      </w:r>
    </w:p>
    <w:p>
      <w:pPr>
        <w:keepNext w:val="0"/>
        <w:keepLines w:val="0"/>
        <w:pageBreakBefore w:val="0"/>
        <w:widowControl w:val="0"/>
        <w:tabs>
          <w:tab w:val="left" w:pos="2410"/>
        </w:tabs>
        <w:kinsoku/>
        <w:wordWrap/>
        <w:topLinePunct w:val="0"/>
        <w:autoSpaceDE/>
        <w:autoSpaceDN/>
        <w:bidi w:val="0"/>
        <w:adjustRightInd/>
        <w:snapToGrid/>
        <w:spacing w:line="240" w:lineRule="auto"/>
        <w:ind w:left="147" w:leftChars="70"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（3）用室内滞留喷洒防制成蚊，适用于防制在室内栖息的蚊虫，根据蚊虫栖息表面特点（不同吸收表面：墙面、家具面、玻璃面等）选择所用杀虫剂和器械，杀虫剂及剂量参照</w:t>
      </w:r>
      <w:r>
        <w:rPr>
          <w:rFonts w:hint="eastAsia" w:ascii="宋体" w:hAnsi="宋体" w:eastAsia="宋体" w:cs="宋体"/>
          <w:sz w:val="24"/>
          <w:szCs w:val="24"/>
          <w:lang w:eastAsia="zh-CN"/>
        </w:rPr>
        <w:t>《第31届世界大学生夏季运动会防制药械产品推介目录》（详见附件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，具体喷洒方式参见GB/T 31715-2015。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2.1.4</w:t>
      </w:r>
      <w:r>
        <w:rPr>
          <w:rFonts w:hint="eastAsia" w:ascii="宋体" w:hAnsi="宋体" w:eastAsia="宋体" w:cs="宋体"/>
          <w:sz w:val="24"/>
          <w:szCs w:val="24"/>
        </w:rPr>
        <w:t xml:space="preserve">生物防制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可在合适水体中饲养食蚊鱼类和使用细菌杀虫剂，如苏云金杆菌制剂、球型芽孢杆菌制剂等。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2" w:firstLineChars="200"/>
        <w:textAlignment w:val="auto"/>
        <w:rPr>
          <w:rFonts w:hint="eastAsia" w:ascii="宋体" w:hAnsi="宋体" w:eastAsia="宋体" w:cs="宋体"/>
          <w:sz w:val="24"/>
          <w:szCs w:val="24"/>
        </w:rPr>
      </w:pPr>
      <w:r>
        <w:rPr>
          <w:rFonts w:hint="eastAsia" w:hAnsi="宋体" w:cs="宋体"/>
          <w:b/>
          <w:bCs/>
          <w:sz w:val="24"/>
          <w:szCs w:val="24"/>
          <w:lang w:val="en-US" w:eastAsia="zh-CN"/>
        </w:rPr>
        <w:t>2.2</w:t>
      </w:r>
      <w:r>
        <w:rPr>
          <w:rFonts w:hint="eastAsia" w:ascii="宋体" w:hAnsi="宋体" w:eastAsia="宋体" w:cs="宋体"/>
          <w:b/>
          <w:bCs/>
          <w:sz w:val="24"/>
          <w:szCs w:val="24"/>
        </w:rPr>
        <w:t>鼠类防制</w:t>
      </w:r>
      <w:r>
        <w:rPr>
          <w:rFonts w:hint="eastAsia" w:ascii="宋体" w:hAnsi="宋体" w:eastAsia="宋体" w:cs="宋体"/>
          <w:sz w:val="24"/>
          <w:szCs w:val="24"/>
        </w:rPr>
        <w:t xml:space="preserve">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2.2.1</w:t>
      </w:r>
      <w:r>
        <w:rPr>
          <w:rFonts w:hint="eastAsia" w:ascii="宋体" w:hAnsi="宋体" w:eastAsia="宋体" w:cs="宋体"/>
          <w:sz w:val="24"/>
          <w:szCs w:val="24"/>
        </w:rPr>
        <w:t xml:space="preserve">环境防制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环境改造，平整地面，封堵建筑物与外界相通的孔洞及地面鼠洞，建筑物周围地面硬化，离墙1m范围内无杂草、树丛。（2）清理室内外杂物，保持环境整洁（3）生活垃圾日产日清，贮存容器密闭，不渗、不漏。（4）粮食、食物按要求用防鼠容器收纳。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2.2.2</w:t>
      </w:r>
      <w:r>
        <w:rPr>
          <w:rFonts w:hint="eastAsia" w:ascii="宋体" w:hAnsi="宋体" w:eastAsia="宋体" w:cs="宋体"/>
          <w:sz w:val="24"/>
          <w:szCs w:val="24"/>
        </w:rPr>
        <w:t xml:space="preserve">物理防制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室内环境以及居民区内可利用捕鼠器械和粘鼠板等捕杀鼠类。(2）灭鼠器械的选择、应用的时间、位置应根据作业地点情况进行相应调整，做到数量充足、有效布放。(3）不能封闭的建筑物与外界相通的管道、孔洞用间隔＜0.6cm的金属栏栅或直径＜0.6cm的金属孔网封堵。(4）门与门、门框、地面间隙应＜0.6cm，食品库房门口应设置高度＞60cm的挡鼠板；食堂和食物库房通向外部的木质门和框应镶高度＞30cm金属板或设置＞60cm的挡鼠板。（5）地下室、平房、楼房1层的看在排风扇和通风口应设有间隔或孔径＜0.6cm的金属栏栅或网罩，门窗玻璃无破损。（6）下水道口应有间隔或孔径＜1cm的金属栏栅或网格。</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2.2.3</w:t>
      </w:r>
      <w:r>
        <w:rPr>
          <w:rFonts w:hint="eastAsia" w:ascii="宋体" w:hAnsi="宋体" w:eastAsia="宋体" w:cs="宋体"/>
          <w:sz w:val="24"/>
          <w:szCs w:val="24"/>
        </w:rPr>
        <w:t xml:space="preserve">化学防制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杀鼠剂的种类和使用剂量参照《第31届世界大学生夏季运动会双流赛区病媒生物控制药械产品推介目录》</w:t>
      </w:r>
      <w:r>
        <w:rPr>
          <w:rFonts w:hint="eastAsia" w:ascii="宋体" w:hAnsi="宋体" w:eastAsia="宋体" w:cs="宋体"/>
          <w:sz w:val="24"/>
          <w:szCs w:val="24"/>
          <w:lang w:eastAsia="zh-CN"/>
        </w:rPr>
        <w:t>（详见附件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，遵循安全使用准则。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r>
        <w:rPr>
          <w:rFonts w:hint="eastAsia" w:hAnsi="宋体" w:cs="宋体"/>
          <w:b/>
          <w:bCs/>
          <w:sz w:val="24"/>
          <w:szCs w:val="24"/>
          <w:lang w:val="en-US" w:eastAsia="zh-CN"/>
        </w:rPr>
        <w:t>2.3</w:t>
      </w:r>
      <w:r>
        <w:rPr>
          <w:rFonts w:hint="eastAsia" w:ascii="宋体" w:hAnsi="宋体" w:eastAsia="宋体" w:cs="宋体"/>
          <w:b/>
          <w:bCs/>
          <w:sz w:val="24"/>
          <w:szCs w:val="24"/>
        </w:rPr>
        <w:t>蝇类防制</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2.3.1</w:t>
      </w:r>
      <w:r>
        <w:rPr>
          <w:rFonts w:hint="eastAsia" w:ascii="宋体" w:hAnsi="宋体" w:eastAsia="宋体" w:cs="宋体"/>
          <w:sz w:val="24"/>
          <w:szCs w:val="24"/>
        </w:rPr>
        <w:t xml:space="preserve">环境防制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 清理卫生死角，清除孳生物，加强生活垃圾和餐后食品垃圾管理。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（2）垃圾箱（桶）、泔水桶加盖密闭储放、及时清运。存放垃圾容器的地面应硬化，并保持清洁；垃圾容器清运后应彻底清洁，不留淤积物。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（3）垃圾宜采取袋装化和直运方式，淘汰垃圾池、垃圾通道储放垃圾方式。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（4）建立厕所卫生清洁制度，完善防蝇设施，厕所周围1m内地面应硬化。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（5）保证排水系统的畅通，以防堵塞后污水外溢、淤泥堆积，为蝇类孳生提供场所。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2.3.2</w:t>
      </w:r>
      <w:r>
        <w:rPr>
          <w:rFonts w:hint="eastAsia" w:ascii="宋体" w:hAnsi="宋体" w:eastAsia="宋体" w:cs="宋体"/>
          <w:sz w:val="24"/>
          <w:szCs w:val="24"/>
        </w:rPr>
        <w:t xml:space="preserve">物理防制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（1）防蝇设施主要有纱窗、纱罩、纱门、门帘及风幕机等，安装需与门匹配。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（2）门帘宽度须大于门洞宽度。胶帘式门帘的两胶片之间重叠处须≥4cm，胶片长度距地面宜≤ 0.5cm。宜在入门处增加缓冲间并在两口处都安装门帘。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（3）风幕机吹出的风幅须大于门洞宽度，风幕机的风速应大于7.62m/s，风口向外倾斜30°。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（4）防蝇设施应有专人负责，定期维护。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（5）室内有少量成蝇活动时，宜使用电蝇拍等直接捕打灭蝇。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（6）采用粘捕式灭蝇灯、电动捕蝇器、捕蝇笼、粘蝇纸等器械，设置于蝇类活动区域诱捕或诱杀成蝇，并注意避免干扰物影响。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2.3.3</w:t>
      </w:r>
      <w:r>
        <w:rPr>
          <w:rFonts w:hint="eastAsia" w:ascii="宋体" w:hAnsi="宋体" w:eastAsia="宋体" w:cs="宋体"/>
          <w:sz w:val="24"/>
          <w:szCs w:val="24"/>
        </w:rPr>
        <w:t xml:space="preserve">化学防制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（1）可供选择的器械、杀虫剂及剂量参照《第31届世界大学生运动会防制药械产品推介目录》</w:t>
      </w:r>
      <w:r>
        <w:rPr>
          <w:rFonts w:hint="eastAsia" w:ascii="宋体" w:hAnsi="宋体" w:eastAsia="宋体" w:cs="宋体"/>
          <w:sz w:val="24"/>
          <w:szCs w:val="24"/>
          <w:lang w:eastAsia="zh-CN"/>
        </w:rPr>
        <w:t>（详见附件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，遵循安全使用准则。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（2）主要方法有：空间喷雾法、滞留喷洒法、毒饵法、毒蝇绳法参见GB/T 31718-2015。</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r>
        <w:rPr>
          <w:rFonts w:hint="eastAsia" w:hAnsi="宋体" w:cs="宋体"/>
          <w:b/>
          <w:bCs/>
          <w:sz w:val="24"/>
          <w:szCs w:val="24"/>
          <w:lang w:val="en-US" w:eastAsia="zh-CN"/>
        </w:rPr>
        <w:t>2.4</w:t>
      </w:r>
      <w:r>
        <w:rPr>
          <w:rFonts w:hint="eastAsia" w:ascii="宋体" w:hAnsi="宋体" w:eastAsia="宋体" w:cs="宋体"/>
          <w:b/>
          <w:bCs/>
          <w:sz w:val="24"/>
          <w:szCs w:val="24"/>
        </w:rPr>
        <w:t xml:space="preserve">蟑螂防制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2.4.1</w:t>
      </w:r>
      <w:r>
        <w:rPr>
          <w:rFonts w:hint="eastAsia" w:ascii="宋体" w:hAnsi="宋体" w:eastAsia="宋体" w:cs="宋体"/>
          <w:sz w:val="24"/>
          <w:szCs w:val="24"/>
        </w:rPr>
        <w:t xml:space="preserve">环境防制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（1）对建筑物裂缝、管线通道缝隙、地板以及门窗框缝隙等进行堵塞，下水道口用细眼不锈钢金属网密封，清除蟑螂的栖息场所。物品进入室内之前应仔细检查，预防蟑螂及其卵鞘携带侵入。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（2）定期清理碗柜、杂物柜、书柜等家具，定期整理堆积的杂物，及时清除蟑螂粪便、残骸，保 持室内环境整洁有序。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（3）厨房和食品仓库应经常保持通风、干燥，灶台和桌面等处不留食物残渣、污物，地面、桌面 等保持洁净。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2.4.2</w:t>
      </w:r>
      <w:r>
        <w:rPr>
          <w:rFonts w:hint="eastAsia" w:ascii="宋体" w:hAnsi="宋体" w:eastAsia="宋体" w:cs="宋体"/>
          <w:sz w:val="24"/>
          <w:szCs w:val="24"/>
        </w:rPr>
        <w:t xml:space="preserve">物理防制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（1）用粘蟑纸、粘蟑盒粘捕蟑螂。粘蟑纸晚放晨收，诱捕到蟑螂后可烫杀或焚烧处理。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（2）厨房和食堂等蟑螂重点孳生场所，可用开水或蒸汽直接浇灌蟑螂栖息活动场所，烫杀蟑螂。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2.4.3</w:t>
      </w:r>
      <w:r>
        <w:rPr>
          <w:rFonts w:hint="eastAsia" w:ascii="宋体" w:hAnsi="宋体" w:eastAsia="宋体" w:cs="宋体"/>
          <w:sz w:val="24"/>
          <w:szCs w:val="24"/>
        </w:rPr>
        <w:t xml:space="preserve">化学防制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（1）可供选择的器械、杀虫剂及剂量参照</w:t>
      </w:r>
      <w:r>
        <w:rPr>
          <w:rFonts w:hint="eastAsia" w:ascii="宋体" w:hAnsi="宋体" w:eastAsia="宋体" w:cs="宋体"/>
          <w:sz w:val="24"/>
          <w:szCs w:val="24"/>
          <w:lang w:eastAsia="zh-CN"/>
        </w:rPr>
        <w:t>《第31届世界大学生夏季运动会防制药械产品推介目录》（详见附件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，遵循安全使用准则。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（2）化学防制应与防制方法综合使用，应根据蟑螂种类、习性、密度、环境特点、既往用药情况等选择药、械和方法。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（3）主要方法有：毒粉法、毒笔法、涂抹法、颗粒毒饵法、胶饵法、气雾喷洒法、滞留喷洒法、热烟雾法等参见GB/T 31719-2015。</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2.4.4</w:t>
      </w:r>
      <w:r>
        <w:rPr>
          <w:rFonts w:hint="eastAsia" w:ascii="宋体" w:hAnsi="宋体" w:eastAsia="宋体" w:cs="宋体"/>
          <w:sz w:val="24"/>
          <w:szCs w:val="24"/>
        </w:rPr>
        <w:t xml:space="preserve">生物防制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(1）采用由蟑螂信息素、蟑螂病毒、病毒协调激活因子等成分复配形成的新型杀蟑生物制剂进行生物防制。</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2" w:firstLineChars="200"/>
        <w:textAlignment w:val="auto"/>
        <w:rPr>
          <w:rFonts w:hint="eastAsia" w:ascii="宋体" w:hAnsi="宋体" w:eastAsia="宋体" w:cs="宋体"/>
          <w:b/>
          <w:bCs/>
          <w:sz w:val="24"/>
          <w:szCs w:val="24"/>
        </w:rPr>
      </w:pPr>
      <w:r>
        <w:rPr>
          <w:rFonts w:hint="eastAsia" w:hAnsi="宋体" w:cs="宋体"/>
          <w:b/>
          <w:bCs/>
          <w:sz w:val="24"/>
          <w:szCs w:val="24"/>
          <w:lang w:val="en-US" w:eastAsia="zh-CN"/>
        </w:rPr>
        <w:t>2.5</w:t>
      </w:r>
      <w:r>
        <w:rPr>
          <w:rFonts w:hint="eastAsia" w:ascii="宋体" w:hAnsi="宋体" w:eastAsia="宋体" w:cs="宋体"/>
          <w:b/>
          <w:bCs/>
          <w:sz w:val="24"/>
          <w:szCs w:val="24"/>
        </w:rPr>
        <w:t xml:space="preserve">卫生杀虫剂的安全使用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2.5.1</w:t>
      </w:r>
      <w:r>
        <w:rPr>
          <w:rFonts w:hint="eastAsia" w:ascii="宋体" w:hAnsi="宋体" w:eastAsia="宋体" w:cs="宋体"/>
          <w:sz w:val="24"/>
          <w:szCs w:val="24"/>
        </w:rPr>
        <w:t xml:space="preserve">合理选用卫生杀虫剂、杀鼠剂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（1）选用的卫生杀虫剂、杀鼠剂必须是</w:t>
      </w:r>
      <w:r>
        <w:rPr>
          <w:rFonts w:hint="eastAsia" w:ascii="宋体" w:hAnsi="宋体" w:eastAsia="宋体" w:cs="宋体"/>
          <w:sz w:val="24"/>
          <w:szCs w:val="24"/>
          <w:lang w:eastAsia="zh-CN"/>
        </w:rPr>
        <w:t>《第31届世界大学生夏季运动会防制药械产品推介目录》（详见附件</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中的产品。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（2）优先选择对哺乳动物毒性低、环境友好性好的品种。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（3）条件允许时宜优先选用水基剂型的品种，例如水剂、水乳剂、悬浮剂。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（4）优先选用生产厂家信誉度高的品种。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（5）优先选用病媒生物抗性监测显示敏感或低抗性的卫生杀虫剂、杀鼠剂。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2.5.2</w:t>
      </w:r>
      <w:r>
        <w:rPr>
          <w:rFonts w:hint="eastAsia" w:ascii="宋体" w:hAnsi="宋体" w:eastAsia="宋体" w:cs="宋体"/>
          <w:sz w:val="24"/>
          <w:szCs w:val="24"/>
        </w:rPr>
        <w:t xml:space="preserve">卫生杀虫剂的安全配制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（1）卫生杀虫剂施药方法及施药浓度应参照产品使用说明书。特殊情况下，依据防制对象、施药场所等因素可进行适当调整。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（2）配制卫生杀虫剂应使用专用工具和容器，如量筒、刻度烧杯、刻度吸管、取液器等。工具、容器应有明显的“有毒物品”或“危险物品”的标志，未经清洗处理的专用器具不得转作它用或丢弃。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（3）配制杀虫药剂应在通风良好的场所，配制人员要穿戴必要的防护用品。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（4）对于活性高、稀释倍数高的药剂应采用两次稀释法。应使用中性、无固体杂质、硬度不可过高的稀释药剂用水。说明书没有特别指出的，不得随意添加其他物质。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2.5.3</w:t>
      </w:r>
      <w:r>
        <w:rPr>
          <w:rFonts w:hint="eastAsia" w:ascii="宋体" w:hAnsi="宋体" w:eastAsia="宋体" w:cs="宋体"/>
          <w:sz w:val="24"/>
          <w:szCs w:val="24"/>
        </w:rPr>
        <w:t xml:space="preserve">卫生杀虫剂的施用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（1）施药器械的选择应根据防治目的和药物剂型而定。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（2）施药人员应穿戴必要的个人防护用品，施药期间不得抽烟、进食、喝水，未经清洗的个人防护用品不得带回居所。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（3）施药场所的食品、待加工食品原料、直接与食品接触的容器等应有良好的遮盖，避免药液污染。应注意保护好鱼类、鸟类等非靶标生物。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（4）未兑水稀释的剩余药剂，保质期内可继续使用，已到保质期的药剂要交有关部门处理。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（5）施药如有剩余，药液不能随意倾倒，少量药液可加碱液处理后再倒掉。剩余药液量大的应交有关部门处理。</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2.5.4</w:t>
      </w:r>
      <w:r>
        <w:rPr>
          <w:rFonts w:hint="eastAsia" w:ascii="宋体" w:hAnsi="宋体" w:eastAsia="宋体" w:cs="宋体"/>
          <w:sz w:val="24"/>
          <w:szCs w:val="24"/>
        </w:rPr>
        <w:t>杀鼠剂的使用注意事项</w:t>
      </w:r>
    </w:p>
    <w:p>
      <w:pPr>
        <w:keepNext w:val="0"/>
        <w:keepLines w:val="0"/>
        <w:pageBreakBefore w:val="0"/>
        <w:widowControl w:val="0"/>
        <w:numPr>
          <w:ilvl w:val="0"/>
          <w:numId w:val="2"/>
        </w:numPr>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使用成品毒饵，投放在毒饵盒内并设有警示标识</w:t>
      </w:r>
    </w:p>
    <w:p>
      <w:pPr>
        <w:keepNext w:val="0"/>
        <w:keepLines w:val="0"/>
        <w:pageBreakBefore w:val="0"/>
        <w:widowControl w:val="0"/>
        <w:numPr>
          <w:ilvl w:val="0"/>
          <w:numId w:val="2"/>
        </w:numPr>
        <w:tabs>
          <w:tab w:val="left" w:pos="2410"/>
        </w:tabs>
        <w:kinsoku/>
        <w:wordWrap/>
        <w:topLinePunct w:val="0"/>
        <w:autoSpaceDE/>
        <w:autoSpaceDN/>
        <w:bidi w:val="0"/>
        <w:adjustRightInd/>
        <w:snapToGrid/>
        <w:spacing w:line="24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投放毒饵时以公告形式告知，并采取防止未成年人以及家畜、家禽、宠物接触毒饵的措施，直至毒饵清除。</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tabs>
          <w:tab w:val="left" w:pos="2410"/>
        </w:tabs>
        <w:kinsoku/>
        <w:wordWrap/>
        <w:topLinePunct w:val="0"/>
        <w:autoSpaceDE/>
        <w:autoSpaceDN/>
        <w:bidi w:val="0"/>
        <w:adjustRightInd/>
        <w:snapToGrid/>
        <w:spacing w:line="240" w:lineRule="auto"/>
        <w:ind w:leftChars="200"/>
        <w:textAlignment w:val="auto"/>
        <w:rPr>
          <w:rFonts w:hint="eastAsia" w:ascii="宋体" w:hAnsi="宋体" w:eastAsia="宋体" w:cs="宋体"/>
          <w:sz w:val="24"/>
          <w:szCs w:val="24"/>
        </w:rPr>
      </w:pPr>
      <w:r>
        <w:rPr>
          <w:rFonts w:hint="eastAsia" w:ascii="宋体" w:hAnsi="宋体" w:eastAsia="宋体" w:cs="宋体"/>
          <w:sz w:val="24"/>
          <w:szCs w:val="24"/>
        </w:rPr>
        <w:t>（3）毒饵警示期不得少于20天，警示期后投放者应及时清除残留毒饵。</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2.5.5</w:t>
      </w:r>
      <w:r>
        <w:rPr>
          <w:rFonts w:hint="eastAsia" w:ascii="宋体" w:hAnsi="宋体" w:eastAsia="宋体" w:cs="宋体"/>
          <w:sz w:val="24"/>
          <w:szCs w:val="24"/>
        </w:rPr>
        <w:t xml:space="preserve">卫生杀虫剂、杀鼠剂的运输与储存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（1）卫生杀虫剂、杀鼠剂在运输、储存、施用过程中均属危险化学品，应由具有相应知识的人员进行管理。 </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lang w:val="en-US" w:eastAsia="zh-CN"/>
        </w:rPr>
      </w:pPr>
      <w:r>
        <w:rPr>
          <w:rFonts w:hint="eastAsia" w:ascii="宋体" w:hAnsi="宋体" w:eastAsia="宋体" w:cs="宋体"/>
          <w:sz w:val="24"/>
          <w:szCs w:val="24"/>
        </w:rPr>
        <w:t>（2）卫生杀虫剂、杀鼠剂应置于专用仓库储存，并有专人进行登记管理。</w:t>
      </w:r>
    </w:p>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新宋体" w:hAnsi="新宋体" w:eastAsia="新宋体" w:cs="新宋体"/>
          <w:b/>
          <w:bCs/>
          <w:sz w:val="24"/>
          <w:szCs w:val="24"/>
          <w:lang w:eastAsia="zh-CN"/>
        </w:rPr>
      </w:pPr>
      <w:r>
        <w:rPr>
          <w:rFonts w:hint="eastAsia" w:ascii="仿宋" w:hAnsi="仿宋" w:eastAsia="仿宋" w:cs="仿宋"/>
          <w:b/>
          <w:bCs/>
          <w:sz w:val="24"/>
          <w:szCs w:val="24"/>
          <w:lang w:val="en-US" w:eastAsia="zh-CN"/>
        </w:rPr>
        <w:t>▲</w:t>
      </w:r>
      <w:r>
        <w:rPr>
          <w:rFonts w:hint="eastAsia" w:ascii="新宋体" w:hAnsi="新宋体" w:eastAsia="新宋体" w:cs="新宋体"/>
          <w:b/>
          <w:bCs/>
          <w:sz w:val="24"/>
          <w:szCs w:val="24"/>
          <w:lang w:val="en-US" w:eastAsia="zh-CN"/>
        </w:rPr>
        <w:t>3、</w:t>
      </w:r>
      <w:r>
        <w:rPr>
          <w:rFonts w:hint="eastAsia" w:ascii="新宋体" w:hAnsi="新宋体" w:eastAsia="新宋体" w:cs="新宋体"/>
          <w:b/>
          <w:bCs/>
          <w:sz w:val="24"/>
          <w:szCs w:val="24"/>
          <w:lang w:eastAsia="zh-CN"/>
        </w:rPr>
        <w:t>作业安全要求（提供承诺函，格式自拟）</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供应商应注意道路作业安全、用药安全、机械操作安全；药物及器械的使用需符合《第31届世界大学生夏季运动会双流赛区病媒生物控制药械推介目录》（详见附件</w:t>
      </w:r>
      <w:r>
        <w:rPr>
          <w:rFonts w:hint="eastAsia" w:ascii="宋体" w:hAnsi="宋体" w:eastAsia="宋体" w:cs="宋体"/>
          <w:sz w:val="24"/>
          <w:szCs w:val="24"/>
          <w:lang w:val="en-US" w:eastAsia="zh-CN"/>
        </w:rPr>
        <w:t>3</w:t>
      </w:r>
      <w:r>
        <w:rPr>
          <w:rFonts w:hint="eastAsia" w:ascii="宋体" w:hAnsi="宋体" w:eastAsia="宋体" w:cs="宋体"/>
          <w:sz w:val="24"/>
          <w:szCs w:val="24"/>
        </w:rPr>
        <w:t>）和《第31届世界大学生夏季运动会双流赛区病媒生物控制药物器械安全使用准则》（详见附件</w:t>
      </w:r>
      <w:r>
        <w:rPr>
          <w:rFonts w:hint="eastAsia" w:ascii="宋体" w:hAnsi="宋体" w:eastAsia="宋体" w:cs="宋体"/>
          <w:sz w:val="24"/>
          <w:szCs w:val="24"/>
          <w:lang w:val="en-US" w:eastAsia="zh-CN"/>
        </w:rPr>
        <w:t>2</w:t>
      </w:r>
      <w:r>
        <w:rPr>
          <w:rFonts w:hint="eastAsia" w:ascii="宋体" w:hAnsi="宋体" w:eastAsia="宋体" w:cs="宋体"/>
          <w:sz w:val="24"/>
          <w:szCs w:val="24"/>
        </w:rPr>
        <w:t>）的有关规定。如违规使用不符合要求的药物或不按规定操作药物器械的，因此引发的安全事故，由供应商承担全部责任。</w:t>
      </w:r>
    </w:p>
    <w:p>
      <w:pPr>
        <w:rPr>
          <w:rFonts w:hint="eastAsia" w:ascii="仿宋" w:hAnsi="仿宋" w:eastAsia="仿宋" w:cs="Times New Roman"/>
          <w:bCs/>
          <w:color w:val="000000"/>
          <w:sz w:val="24"/>
          <w:szCs w:val="24"/>
        </w:rPr>
      </w:pPr>
      <w:r>
        <w:rPr>
          <w:rFonts w:hint="eastAsia" w:ascii="新宋体" w:hAnsi="新宋体" w:eastAsia="新宋体" w:cs="新宋体"/>
          <w:b/>
          <w:bCs/>
          <w:sz w:val="24"/>
          <w:szCs w:val="24"/>
          <w:lang w:val="en-US" w:eastAsia="zh-CN"/>
        </w:rPr>
        <w:t>4、人员</w:t>
      </w:r>
      <w:r>
        <w:rPr>
          <w:rFonts w:hint="eastAsia" w:ascii="新宋体" w:hAnsi="新宋体" w:eastAsia="新宋体" w:cs="新宋体"/>
          <w:b/>
          <w:bCs/>
          <w:sz w:val="24"/>
          <w:szCs w:val="24"/>
          <w:lang w:eastAsia="zh-CN"/>
        </w:rPr>
        <w:t>要求</w:t>
      </w:r>
    </w:p>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供应商针对本项目</w:t>
      </w:r>
      <w:r>
        <w:rPr>
          <w:rFonts w:hint="eastAsia" w:ascii="宋体" w:hAnsi="宋体" w:eastAsia="宋体" w:cs="宋体"/>
          <w:sz w:val="24"/>
          <w:szCs w:val="24"/>
          <w:lang w:eastAsia="zh-CN"/>
        </w:rPr>
        <w:t>应</w:t>
      </w:r>
      <w:r>
        <w:rPr>
          <w:rFonts w:hint="eastAsia" w:ascii="宋体" w:hAnsi="宋体" w:eastAsia="宋体" w:cs="宋体"/>
          <w:sz w:val="24"/>
          <w:szCs w:val="24"/>
        </w:rPr>
        <w:t>至少配备以下人员</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195"/>
        <w:gridCol w:w="914"/>
        <w:gridCol w:w="3206"/>
        <w:gridCol w:w="2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35"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701"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人员</w:t>
            </w:r>
          </w:p>
        </w:tc>
        <w:tc>
          <w:tcPr>
            <w:tcW w:w="53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tc>
        <w:tc>
          <w:tcPr>
            <w:tcW w:w="1880"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责</w:t>
            </w:r>
          </w:p>
        </w:tc>
        <w:tc>
          <w:tcPr>
            <w:tcW w:w="1445"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5"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01"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项目总负责人</w:t>
            </w:r>
          </w:p>
        </w:tc>
        <w:tc>
          <w:tcPr>
            <w:tcW w:w="53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80"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总体负责把控项目需求调研、文档整理、质量进度、交付及验收等各个环节，以及与采购人等相关单位的沟通协调工作。</w:t>
            </w:r>
          </w:p>
        </w:tc>
        <w:tc>
          <w:tcPr>
            <w:tcW w:w="1445" w:type="pct"/>
            <w:vMerge w:val="restar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1、人员不得重复。</w:t>
            </w:r>
          </w:p>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2、需提供实施人员名单、身份证复印件</w:t>
            </w:r>
            <w:r>
              <w:rPr>
                <w:rFonts w:hint="eastAsia" w:ascii="宋体" w:hAnsi="宋体" w:eastAsia="宋体" w:cs="宋体"/>
                <w:sz w:val="24"/>
                <w:szCs w:val="24"/>
                <w:lang w:val="en-US" w:eastAsia="zh-CN"/>
              </w:rPr>
              <w:t>。</w:t>
            </w:r>
          </w:p>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435"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01"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作业人员</w:t>
            </w:r>
          </w:p>
        </w:tc>
        <w:tc>
          <w:tcPr>
            <w:tcW w:w="53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880"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rPr>
              <w:t>负责双流体育中心、四川川投国际网球赛事中心围墙外（500米半径范围内）本辖区“一般保障区”开展病媒生物防制工作；负责大运会双流赛区公路项目比赛路径及周边重点区域病媒生物防制工作。</w:t>
            </w:r>
          </w:p>
        </w:tc>
        <w:tc>
          <w:tcPr>
            <w:tcW w:w="1445" w:type="pct"/>
            <w:vMerge w:val="continue"/>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35"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01"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应急作业人员</w:t>
            </w:r>
          </w:p>
        </w:tc>
        <w:tc>
          <w:tcPr>
            <w:tcW w:w="53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80"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负责大运会期间24小时值守，提供应急保障</w:t>
            </w:r>
            <w:r>
              <w:rPr>
                <w:rFonts w:hint="eastAsia" w:ascii="宋体" w:hAnsi="宋体" w:eastAsia="宋体" w:cs="宋体"/>
                <w:sz w:val="24"/>
              </w:rPr>
              <w:t>。</w:t>
            </w:r>
          </w:p>
        </w:tc>
        <w:tc>
          <w:tcPr>
            <w:tcW w:w="1445" w:type="pct"/>
            <w:vMerge w:val="continue"/>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bl>
    <w:p>
      <w:pPr>
        <w:rPr>
          <w:rFonts w:hint="eastAsia" w:ascii="仿宋" w:hAnsi="仿宋" w:eastAsia="仿宋" w:cs="Times New Roman"/>
          <w:bCs/>
          <w:color w:val="000000"/>
          <w:sz w:val="24"/>
          <w:szCs w:val="24"/>
        </w:rPr>
      </w:pPr>
      <w:r>
        <w:rPr>
          <w:rFonts w:hint="eastAsia" w:ascii="新宋体" w:hAnsi="新宋体" w:eastAsia="新宋体" w:cs="新宋体"/>
          <w:b/>
          <w:bCs/>
          <w:sz w:val="24"/>
          <w:szCs w:val="24"/>
          <w:lang w:val="en-US" w:eastAsia="zh-CN"/>
        </w:rPr>
        <w:t>5、</w:t>
      </w:r>
      <w:r>
        <w:rPr>
          <w:rFonts w:hint="eastAsia" w:ascii="新宋体" w:hAnsi="新宋体" w:eastAsia="新宋体" w:cs="新宋体"/>
          <w:b/>
          <w:bCs/>
          <w:sz w:val="24"/>
          <w:szCs w:val="24"/>
          <w:lang w:eastAsia="zh-CN"/>
        </w:rPr>
        <w:t>设施设备</w:t>
      </w:r>
      <w:r>
        <w:rPr>
          <w:rFonts w:hint="eastAsia" w:ascii="新宋体" w:hAnsi="新宋体" w:eastAsia="新宋体" w:cs="新宋体"/>
          <w:b/>
          <w:bCs/>
          <w:sz w:val="24"/>
          <w:szCs w:val="24"/>
          <w:lang w:val="en-US" w:eastAsia="zh-CN"/>
        </w:rPr>
        <w:t>配置</w:t>
      </w:r>
      <w:r>
        <w:rPr>
          <w:rFonts w:hint="eastAsia" w:ascii="新宋体" w:hAnsi="新宋体" w:eastAsia="新宋体" w:cs="新宋体"/>
          <w:b/>
          <w:bCs/>
          <w:sz w:val="24"/>
          <w:szCs w:val="24"/>
          <w:lang w:eastAsia="zh-CN"/>
        </w:rPr>
        <w:t>要求</w:t>
      </w:r>
    </w:p>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供应商针对本项目至少配备以下设备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1954"/>
        <w:gridCol w:w="1442"/>
        <w:gridCol w:w="4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42"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1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设备名称</w:t>
            </w:r>
          </w:p>
        </w:tc>
        <w:tc>
          <w:tcPr>
            <w:tcW w:w="8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量</w:t>
            </w:r>
          </w:p>
        </w:tc>
        <w:tc>
          <w:tcPr>
            <w:tcW w:w="2464"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备</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1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工程车辆</w:t>
            </w:r>
          </w:p>
        </w:tc>
        <w:tc>
          <w:tcPr>
            <w:tcW w:w="8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辆</w:t>
            </w:r>
          </w:p>
        </w:tc>
        <w:tc>
          <w:tcPr>
            <w:tcW w:w="2464"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需提供</w:t>
            </w:r>
            <w:r>
              <w:rPr>
                <w:rFonts w:hint="eastAsia" w:ascii="宋体" w:hAnsi="宋体" w:eastAsia="宋体" w:cs="宋体"/>
                <w:w w:val="100"/>
                <w:sz w:val="24"/>
                <w:szCs w:val="24"/>
                <w:lang w:val="en-US" w:eastAsia="zh-CN"/>
              </w:rPr>
              <w:t>在年检有效期内</w:t>
            </w:r>
            <w:r>
              <w:rPr>
                <w:rFonts w:hint="eastAsia" w:ascii="宋体" w:hAnsi="宋体" w:eastAsia="宋体" w:cs="宋体"/>
                <w:sz w:val="24"/>
                <w:szCs w:val="24"/>
              </w:rPr>
              <w:t>车辆行驶证复印件（如租赁的还需提供租赁合同且租赁期需满足本项目服务期限要求）</w:t>
            </w:r>
            <w:r>
              <w:rPr>
                <w:rFonts w:hint="eastAsia" w:ascii="宋体" w:hAnsi="宋体" w:eastAsia="宋体" w:cs="宋体"/>
                <w:spacing w:val="8"/>
                <w:sz w:val="24"/>
                <w:szCs w:val="24"/>
              </w:rPr>
              <w:t>，</w:t>
            </w:r>
            <w:r>
              <w:rPr>
                <w:rFonts w:hint="eastAsia" w:ascii="宋体" w:hAnsi="宋体" w:eastAsia="宋体" w:cs="宋体"/>
                <w:spacing w:val="8"/>
                <w:sz w:val="24"/>
                <w:szCs w:val="24"/>
                <w:lang w:eastAsia="zh-CN"/>
              </w:rPr>
              <w:t>并</w:t>
            </w:r>
            <w:r>
              <w:rPr>
                <w:rFonts w:hint="eastAsia" w:ascii="宋体" w:hAnsi="宋体" w:eastAsia="宋体" w:cs="宋体"/>
                <w:spacing w:val="8"/>
                <w:sz w:val="24"/>
                <w:szCs w:val="24"/>
              </w:rPr>
              <w:t>加盖供应商公章</w:t>
            </w:r>
            <w:r>
              <w:rPr>
                <w:rFonts w:hint="eastAsia" w:ascii="宋体" w:hAnsi="宋体" w:eastAsia="宋体" w:cs="宋体"/>
                <w:spacing w:val="8"/>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42"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p>
        </w:tc>
        <w:tc>
          <w:tcPr>
            <w:tcW w:w="11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热烟雾机</w:t>
            </w:r>
          </w:p>
        </w:tc>
        <w:tc>
          <w:tcPr>
            <w:tcW w:w="8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2464" w:type="pct"/>
            <w:vMerge w:val="restar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textAlignment w:val="auto"/>
              <w:rPr>
                <w:rFonts w:hint="eastAsia" w:eastAsia="宋体"/>
                <w:sz w:val="24"/>
                <w:szCs w:val="24"/>
                <w:lang w:eastAsia="zh-CN"/>
              </w:rPr>
            </w:pPr>
            <w:r>
              <w:rPr>
                <w:rFonts w:hint="eastAsia"/>
                <w:sz w:val="24"/>
                <w:szCs w:val="24"/>
              </w:rPr>
              <w:t>1</w:t>
            </w:r>
            <w:r>
              <w:rPr>
                <w:rFonts w:hint="eastAsia"/>
                <w:sz w:val="24"/>
                <w:szCs w:val="24"/>
                <w:lang w:eastAsia="zh-CN"/>
              </w:rPr>
              <w:t>.</w:t>
            </w:r>
            <w:r>
              <w:rPr>
                <w:rFonts w:hint="eastAsia"/>
                <w:sz w:val="24"/>
                <w:szCs w:val="24"/>
              </w:rPr>
              <w:t>需提供设施设备清单，包含品牌、型号、数量</w:t>
            </w:r>
            <w:r>
              <w:rPr>
                <w:rFonts w:hint="eastAsia"/>
                <w:sz w:val="24"/>
                <w:szCs w:val="24"/>
                <w:lang w:eastAsia="zh-CN"/>
              </w:rPr>
              <w:t>。</w:t>
            </w:r>
          </w:p>
          <w:p>
            <w:pPr>
              <w:pStyle w:val="2"/>
              <w:rPr>
                <w:rFonts w:hint="eastAsia"/>
                <w:lang w:eastAsia="zh-CN"/>
              </w:rPr>
            </w:pPr>
            <w:r>
              <w:rPr>
                <w:rFonts w:hint="eastAsia"/>
                <w:sz w:val="24"/>
                <w:szCs w:val="24"/>
              </w:rPr>
              <w:t>2</w:t>
            </w:r>
            <w:r>
              <w:rPr>
                <w:rFonts w:hint="eastAsia" w:ascii="宋体" w:hAnsi="宋体" w:eastAsia="宋体" w:cs="宋体"/>
                <w:sz w:val="24"/>
                <w:szCs w:val="24"/>
                <w:lang w:val="en-US" w:eastAsia="zh-CN"/>
              </w:rPr>
              <w:t>.</w:t>
            </w:r>
            <w:r>
              <w:rPr>
                <w:rFonts w:hint="eastAsia" w:ascii="宋体" w:hAnsi="宋体" w:eastAsia="宋体" w:cs="宋体"/>
                <w:w w:val="100"/>
                <w:sz w:val="24"/>
                <w:szCs w:val="24"/>
              </w:rPr>
              <w:t>设备若为自有设备，需提供购</w:t>
            </w:r>
            <w:r>
              <w:rPr>
                <w:rFonts w:hint="eastAsia" w:ascii="宋体" w:hAnsi="宋体" w:eastAsia="宋体" w:cs="宋体"/>
                <w:sz w:val="24"/>
                <w:szCs w:val="24"/>
              </w:rPr>
              <w:t>置</w:t>
            </w:r>
            <w:r>
              <w:rPr>
                <w:rFonts w:hint="eastAsia" w:ascii="宋体" w:hAnsi="宋体" w:eastAsia="宋体" w:cs="宋体"/>
                <w:w w:val="100"/>
                <w:sz w:val="24"/>
                <w:szCs w:val="24"/>
              </w:rPr>
              <w:t>发票</w:t>
            </w:r>
            <w:r>
              <w:rPr>
                <w:rFonts w:hint="eastAsia" w:ascii="宋体" w:hAnsi="宋体" w:eastAsia="宋体" w:cs="宋体"/>
                <w:sz w:val="24"/>
                <w:szCs w:val="24"/>
              </w:rPr>
              <w:t>复印件及设备图片</w:t>
            </w:r>
            <w:r>
              <w:rPr>
                <w:rFonts w:hint="eastAsia" w:ascii="宋体" w:hAnsi="宋体" w:eastAsia="宋体" w:cs="宋体"/>
                <w:w w:val="100"/>
                <w:sz w:val="24"/>
                <w:szCs w:val="24"/>
              </w:rPr>
              <w:t>并加盖供应商</w:t>
            </w:r>
            <w:r>
              <w:rPr>
                <w:rFonts w:hint="eastAsia" w:ascii="宋体" w:hAnsi="宋体" w:eastAsia="宋体" w:cs="宋体"/>
                <w:w w:val="100"/>
                <w:sz w:val="24"/>
                <w:szCs w:val="24"/>
                <w:lang w:eastAsia="zh-CN"/>
              </w:rPr>
              <w:t>公</w:t>
            </w:r>
            <w:r>
              <w:rPr>
                <w:rFonts w:hint="eastAsia" w:ascii="宋体" w:hAnsi="宋体" w:eastAsia="宋体" w:cs="宋体"/>
                <w:w w:val="100"/>
                <w:sz w:val="24"/>
                <w:szCs w:val="24"/>
              </w:rPr>
              <w:t>章；</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设备若为租赁设备，需提供设备图片及租赁合同，且租赁期需满足本项目服务期限要求，</w:t>
            </w:r>
            <w:r>
              <w:rPr>
                <w:rFonts w:hint="eastAsia" w:ascii="宋体" w:hAnsi="宋体" w:eastAsia="宋体" w:cs="宋体"/>
                <w:spacing w:val="8"/>
                <w:sz w:val="24"/>
                <w:szCs w:val="24"/>
                <w:lang w:eastAsia="zh-CN"/>
              </w:rPr>
              <w:t>并</w:t>
            </w:r>
            <w:r>
              <w:rPr>
                <w:rFonts w:hint="eastAsia" w:ascii="宋体" w:hAnsi="宋体" w:eastAsia="宋体" w:cs="宋体"/>
                <w:spacing w:val="8"/>
                <w:sz w:val="24"/>
                <w:szCs w:val="24"/>
              </w:rPr>
              <w:t>加盖供应商公章</w:t>
            </w:r>
            <w:r>
              <w:rPr>
                <w:rFonts w:hint="eastAsia" w:ascii="宋体" w:hAnsi="宋体" w:eastAsia="宋体" w:cs="宋体"/>
                <w:spacing w:val="8"/>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42"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1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电动超低量喷</w:t>
            </w:r>
          </w:p>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color w:val="auto"/>
                <w:sz w:val="24"/>
                <w:szCs w:val="24"/>
              </w:rPr>
              <w:t>雾器</w:t>
            </w:r>
          </w:p>
        </w:tc>
        <w:tc>
          <w:tcPr>
            <w:tcW w:w="8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台</w:t>
            </w:r>
          </w:p>
        </w:tc>
        <w:tc>
          <w:tcPr>
            <w:tcW w:w="2464" w:type="pct"/>
            <w:vMerge w:val="continue"/>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42"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1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jc w:val="center"/>
              <w:textAlignment w:val="auto"/>
              <w:rPr>
                <w:rFonts w:hint="eastAsia" w:ascii="宋体" w:hAnsi="宋体" w:eastAsia="宋体" w:cs="宋体"/>
                <w:sz w:val="24"/>
                <w:szCs w:val="24"/>
              </w:rPr>
            </w:pPr>
            <w:r>
              <w:rPr>
                <w:rFonts w:hint="eastAsia" w:ascii="宋体" w:hAnsi="宋体" w:eastAsia="宋体" w:cs="宋体"/>
                <w:sz w:val="24"/>
              </w:rPr>
              <w:t>背负式机动喷雾机</w:t>
            </w:r>
          </w:p>
        </w:tc>
        <w:tc>
          <w:tcPr>
            <w:tcW w:w="8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台</w:t>
            </w:r>
          </w:p>
        </w:tc>
        <w:tc>
          <w:tcPr>
            <w:tcW w:w="2464" w:type="pct"/>
            <w:vMerge w:val="continue"/>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42"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rPr>
              <w:t>车载式/手推式喷雾机</w:t>
            </w:r>
          </w:p>
        </w:tc>
        <w:tc>
          <w:tcPr>
            <w:tcW w:w="846" w:type="pct"/>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台</w:t>
            </w:r>
          </w:p>
        </w:tc>
        <w:tc>
          <w:tcPr>
            <w:tcW w:w="2464" w:type="pct"/>
            <w:vMerge w:val="continue"/>
            <w:noWrap w:val="0"/>
            <w:vAlign w:val="center"/>
          </w:tcPr>
          <w:p>
            <w:pPr>
              <w:keepNext w:val="0"/>
              <w:keepLines w:val="0"/>
              <w:pageBreakBefore w:val="0"/>
              <w:widowControl w:val="0"/>
              <w:tabs>
                <w:tab w:val="left" w:pos="2410"/>
              </w:tabs>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tc>
      </w:tr>
    </w:tbl>
    <w:p>
      <w:pPr>
        <w:tabs>
          <w:tab w:val="left" w:pos="2410"/>
        </w:tabs>
        <w:rPr>
          <w:rFonts w:hint="eastAsia" w:ascii="宋体" w:hAnsi="宋体" w:eastAsia="新宋体" w:cs="宋体"/>
          <w:b/>
          <w:bCs/>
          <w:sz w:val="24"/>
          <w:lang w:eastAsia="zh-CN"/>
        </w:rPr>
      </w:pPr>
      <w:r>
        <w:rPr>
          <w:rFonts w:hint="eastAsia" w:ascii="宋体" w:hAnsi="宋体" w:eastAsia="宋体" w:cs="宋体"/>
          <w:b/>
          <w:bCs/>
          <w:sz w:val="24"/>
        </w:rPr>
        <w:t>备注</w:t>
      </w:r>
      <w:r>
        <w:rPr>
          <w:rFonts w:hint="eastAsia" w:ascii="宋体" w:hAnsi="宋体" w:eastAsia="宋体" w:cs="宋体"/>
          <w:sz w:val="24"/>
        </w:rPr>
        <w:t>：</w:t>
      </w:r>
      <w:r>
        <w:rPr>
          <w:rFonts w:hint="eastAsia" w:ascii="仿宋" w:hAnsi="仿宋" w:eastAsia="仿宋" w:cs="仿宋"/>
          <w:sz w:val="24"/>
        </w:rPr>
        <w:t>▲</w:t>
      </w:r>
      <w:r>
        <w:rPr>
          <w:rFonts w:hint="eastAsia" w:ascii="宋体" w:hAnsi="宋体" w:eastAsia="宋体" w:cs="宋体"/>
          <w:sz w:val="24"/>
        </w:rPr>
        <w:t>供应商需单独提供承诺函并加盖供应商公章。承诺函应包括以下内容：本项目所配备的设施设备由供应商自行管理、所产生的费用由供应商自行承担，供应商应保证以上设备能在履约过程中正常使用，若发生故障可及时更换，不得影响项目实施。</w:t>
      </w:r>
      <w:r>
        <w:rPr>
          <w:rFonts w:hint="eastAsia" w:ascii="宋体" w:hAnsi="宋体" w:eastAsia="宋体" w:cs="宋体"/>
          <w:b/>
          <w:bCs/>
          <w:sz w:val="24"/>
          <w:lang w:eastAsia="zh-CN"/>
        </w:rPr>
        <w:t>（</w:t>
      </w:r>
      <w:r>
        <w:rPr>
          <w:rFonts w:hint="eastAsia" w:ascii="宋体" w:hAnsi="宋体" w:eastAsia="宋体" w:cs="宋体"/>
          <w:b/>
          <w:bCs/>
          <w:sz w:val="24"/>
        </w:rPr>
        <w:t>提供承诺函，格式自拟</w:t>
      </w:r>
      <w:r>
        <w:rPr>
          <w:rFonts w:hint="eastAsia" w:ascii="宋体" w:hAnsi="宋体" w:eastAsia="宋体" w:cs="宋体"/>
          <w:b/>
          <w:bCs/>
          <w:sz w:val="24"/>
          <w:lang w:eastAsia="zh-CN"/>
        </w:rPr>
        <w:t>）</w:t>
      </w:r>
    </w:p>
    <w:p>
      <w:pPr>
        <w:rPr>
          <w:rFonts w:hint="eastAsia" w:ascii="宋体" w:hAnsi="宋体" w:eastAsia="宋体" w:cs="宋体"/>
          <w:b/>
          <w:bCs w:val="0"/>
          <w:color w:val="000000"/>
          <w:sz w:val="24"/>
          <w:szCs w:val="24"/>
        </w:rPr>
      </w:pPr>
    </w:p>
    <w:p>
      <w:pPr>
        <w:rPr>
          <w:rFonts w:hint="eastAsia" w:ascii="宋体" w:hAnsi="宋体" w:eastAsia="宋体" w:cs="宋体"/>
          <w:b/>
          <w:bCs w:val="0"/>
        </w:rPr>
      </w:pPr>
      <w:r>
        <w:rPr>
          <w:rFonts w:hint="eastAsia" w:ascii="宋体" w:hAnsi="宋体" w:eastAsia="宋体" w:cs="宋体"/>
          <w:b/>
          <w:bCs w:val="0"/>
          <w:color w:val="000000"/>
          <w:sz w:val="24"/>
          <w:szCs w:val="24"/>
        </w:rPr>
        <w:t>附件</w:t>
      </w:r>
      <w:r>
        <w:rPr>
          <w:rFonts w:hint="eastAsia" w:ascii="宋体" w:hAnsi="宋体" w:eastAsia="宋体" w:cs="宋体"/>
          <w:b/>
          <w:bCs w:val="0"/>
          <w:color w:val="000000"/>
          <w:sz w:val="24"/>
          <w:szCs w:val="24"/>
          <w:lang w:val="en-US" w:eastAsia="zh-CN"/>
        </w:rPr>
        <w:t>1</w:t>
      </w:r>
      <w:r>
        <w:rPr>
          <w:rFonts w:hint="eastAsia" w:ascii="宋体" w:hAnsi="宋体" w:eastAsia="宋体" w:cs="宋体"/>
          <w:b/>
          <w:bCs w:val="0"/>
          <w:color w:val="000000"/>
          <w:sz w:val="24"/>
          <w:szCs w:val="24"/>
        </w:rPr>
        <w:t>：（此附件不需要在响应文件中响应）</w:t>
      </w:r>
    </w:p>
    <w:p>
      <w:pPr>
        <w:spacing w:line="579" w:lineRule="exact"/>
        <w:jc w:val="both"/>
        <w:rPr>
          <w:rFonts w:hint="eastAsia" w:ascii="宋体" w:hAnsi="宋体" w:eastAsia="宋体" w:cs="宋体"/>
          <w:b/>
          <w:bCs/>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成都大运会病媒生物密度控制标准</w:t>
      </w:r>
    </w:p>
    <w:p>
      <w:pPr>
        <w:keepNext w:val="0"/>
        <w:keepLines w:val="0"/>
        <w:pageBreakBefore w:val="0"/>
        <w:widowControl w:val="0"/>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病媒生物密度控制水平鼠类》（GB/T27770-2011）《病媒生物密度控制水平蚊虫》（GB/T27771-2011）《病媒生物密度控制水平蝇类》（GB/T27772-2011）《病媒生物密度控制水平蜚蠊》（GB/T27773-2011）《病媒生物密度综合管理技术规范城镇》（GB/T27775-2011）等标准（以下简称国家控制水平标准）规定，成都大运会期间双流赛区病媒生物密度控制标准必须达到《成都大运会病媒生物密度控制标准》（附件1）要求。</w:t>
      </w:r>
    </w:p>
    <w:p>
      <w:pPr>
        <w:keepNext w:val="0"/>
        <w:keepLines w:val="0"/>
        <w:pageBreakBefore w:val="0"/>
        <w:widowControl w:val="0"/>
        <w:kinsoku/>
        <w:wordWrap/>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）一般保障区：重点保障区周边500米半径范围内病媒生物密度至少达到国家控制水平标准C级，防鼠防蝇防蚊设施合格率至少达到95%。</w:t>
      </w:r>
    </w:p>
    <w:p>
      <w:pPr>
        <w:keepNext w:val="0"/>
        <w:keepLines w:val="0"/>
        <w:pageBreakBefore w:val="0"/>
        <w:widowControl w:val="0"/>
        <w:tabs>
          <w:tab w:val="left" w:pos="2410"/>
        </w:tabs>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1.鼠类控制：有鼠迹房间不超过5%；鼠迹阳性率小于等于5%；建筑物防鼠设施合格率在95%以上；外环境（每1000米）鼠迹不超过5处。</w:t>
      </w:r>
    </w:p>
    <w:p>
      <w:pPr>
        <w:keepNext w:val="0"/>
        <w:keepLines w:val="0"/>
        <w:pageBreakBefore w:val="0"/>
        <w:widowControl w:val="0"/>
        <w:tabs>
          <w:tab w:val="left" w:pos="2410"/>
        </w:tabs>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2.蚊类控制：单位内外环境各种存水容器和积水中，蚊幼及蛹的阳性率不超过5%。成蚊诱捕率小于等于1.5只/（人.次）；防蚊设施合格率大于等于95%。</w:t>
      </w:r>
    </w:p>
    <w:p>
      <w:pPr>
        <w:keepNext w:val="0"/>
        <w:keepLines w:val="0"/>
        <w:pageBreakBefore w:val="0"/>
        <w:widowControl w:val="0"/>
        <w:tabs>
          <w:tab w:val="left" w:pos="2410"/>
        </w:tabs>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3.蝇类控制：有蝇房间阳性率不超过9%，平均每阳性房间不超过3只；蝇类孳生地得到有效治理，幼虫和蛹的检出率不超过5%；防蝇设施合格率应达到95%及以上；餐厅与厨房操作间不得有蝇。</w:t>
      </w:r>
    </w:p>
    <w:p>
      <w:pPr>
        <w:keepNext w:val="0"/>
        <w:keepLines w:val="0"/>
        <w:pageBreakBefore w:val="0"/>
        <w:widowControl w:val="0"/>
        <w:tabs>
          <w:tab w:val="left" w:pos="2410"/>
        </w:tabs>
        <w:kinsoku/>
        <w:wordWrap/>
        <w:overflowPunct w:val="0"/>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蟑螂控制：室内有蟑螂成虫或若虫阳性房间不超过3间，平均每阳性房间德国小蠊不超过10只（大蠊不超过5只）；有活卵鞘房间不超过3%，平均每阳性房间不超过8只；有蟑迹房间不超过7%；餐厅与厨房操作间不得有蟑螂。</w:t>
      </w:r>
    </w:p>
    <w:p>
      <w:pPr>
        <w:tabs>
          <w:tab w:val="left" w:pos="2410"/>
        </w:tabs>
        <w:overflowPunct w:val="0"/>
        <w:spacing w:line="60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具体见附表：</w:t>
      </w:r>
    </w:p>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3260"/>
        <w:gridCol w:w="1068"/>
        <w:gridCol w:w="3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1" w:type="dxa"/>
            <w:noWrap w:val="0"/>
            <w:vAlign w:val="center"/>
          </w:tcPr>
          <w:p>
            <w:pPr>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病媒</w:t>
            </w:r>
          </w:p>
          <w:p>
            <w:pPr>
              <w:spacing w:line="280" w:lineRule="exact"/>
              <w:jc w:val="center"/>
              <w:rPr>
                <w:rFonts w:hint="eastAsia" w:ascii="宋体" w:hAnsi="宋体" w:eastAsia="宋体" w:cs="宋体"/>
                <w:sz w:val="24"/>
                <w:szCs w:val="24"/>
              </w:rPr>
            </w:pPr>
            <w:r>
              <w:rPr>
                <w:rFonts w:hint="eastAsia" w:ascii="宋体" w:hAnsi="宋体" w:eastAsia="宋体" w:cs="宋体"/>
                <w:w w:val="90"/>
                <w:sz w:val="24"/>
                <w:szCs w:val="24"/>
              </w:rPr>
              <w:t>种类</w:t>
            </w:r>
          </w:p>
        </w:tc>
        <w:tc>
          <w:tcPr>
            <w:tcW w:w="851"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w w:val="90"/>
                <w:sz w:val="24"/>
                <w:szCs w:val="24"/>
              </w:rPr>
              <w:t>区域</w:t>
            </w:r>
          </w:p>
        </w:tc>
        <w:tc>
          <w:tcPr>
            <w:tcW w:w="3260"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控制目标</w:t>
            </w:r>
          </w:p>
        </w:tc>
        <w:tc>
          <w:tcPr>
            <w:tcW w:w="1068"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目标值</w:t>
            </w:r>
          </w:p>
        </w:tc>
        <w:tc>
          <w:tcPr>
            <w:tcW w:w="3043" w:type="dxa"/>
            <w:noWrap w:val="0"/>
            <w:vAlign w:val="center"/>
          </w:tcPr>
          <w:p>
            <w:pPr>
              <w:spacing w:line="280" w:lineRule="exact"/>
              <w:jc w:val="center"/>
              <w:rPr>
                <w:rFonts w:hint="eastAsia" w:ascii="宋体" w:hAnsi="宋体" w:eastAsia="宋体" w:cs="宋体"/>
                <w:sz w:val="24"/>
                <w:szCs w:val="24"/>
              </w:rPr>
            </w:pPr>
            <w:r>
              <w:rPr>
                <w:rFonts w:hint="eastAsia" w:ascii="宋体" w:hAnsi="宋体" w:eastAsia="宋体" w:cs="宋体"/>
                <w:sz w:val="24"/>
                <w:szCs w:val="24"/>
              </w:rPr>
              <w:t>依据和说明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1" w:type="dxa"/>
            <w:vMerge w:val="restart"/>
            <w:noWrap w:val="0"/>
            <w:vAlign w:val="center"/>
          </w:tcPr>
          <w:p>
            <w:pPr>
              <w:pStyle w:val="2"/>
              <w:spacing w:after="0" w:line="300" w:lineRule="exact"/>
              <w:jc w:val="center"/>
              <w:rPr>
                <w:rFonts w:hint="eastAsia" w:ascii="宋体" w:hAnsi="宋体" w:eastAsia="宋体" w:cs="宋体"/>
                <w:b/>
                <w:bCs/>
                <w:w w:val="90"/>
                <w:sz w:val="24"/>
                <w:szCs w:val="24"/>
              </w:rPr>
            </w:pPr>
            <w:r>
              <w:rPr>
                <w:rFonts w:hint="eastAsia" w:ascii="宋体" w:hAnsi="宋体" w:eastAsia="宋体" w:cs="宋体"/>
                <w:b/>
                <w:bCs/>
                <w:w w:val="90"/>
                <w:sz w:val="24"/>
                <w:szCs w:val="24"/>
              </w:rPr>
              <w:t>鼠类</w:t>
            </w:r>
          </w:p>
        </w:tc>
        <w:tc>
          <w:tcPr>
            <w:tcW w:w="851" w:type="dxa"/>
            <w:vMerge w:val="restart"/>
            <w:noWrap w:val="0"/>
            <w:vAlign w:val="center"/>
          </w:tcPr>
          <w:p>
            <w:pPr>
              <w:pStyle w:val="2"/>
              <w:spacing w:after="0" w:line="300" w:lineRule="exact"/>
              <w:jc w:val="center"/>
              <w:rPr>
                <w:rFonts w:hint="eastAsia" w:ascii="宋体" w:hAnsi="宋体" w:eastAsia="宋体" w:cs="宋体"/>
                <w:b/>
                <w:bCs/>
                <w:w w:val="80"/>
                <w:sz w:val="24"/>
                <w:szCs w:val="24"/>
              </w:rPr>
            </w:pPr>
            <w:r>
              <w:rPr>
                <w:rFonts w:hint="eastAsia" w:ascii="宋体" w:hAnsi="宋体" w:eastAsia="宋体" w:cs="宋体"/>
                <w:b/>
                <w:bCs/>
                <w:w w:val="80"/>
                <w:sz w:val="24"/>
                <w:szCs w:val="24"/>
              </w:rPr>
              <w:t>重点保障区</w:t>
            </w: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有鼠洞、鼠粪、鼠咬痕等鼠迹的房间</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≤3%</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GB/T27770-2011鼠类B级标准≤3%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51" w:type="dxa"/>
            <w:vMerge w:val="continue"/>
            <w:noWrap w:val="0"/>
            <w:vAlign w:val="center"/>
          </w:tcPr>
          <w:p>
            <w:pPr>
              <w:pStyle w:val="2"/>
              <w:spacing w:after="0" w:line="300" w:lineRule="exact"/>
              <w:jc w:val="center"/>
              <w:rPr>
                <w:rFonts w:hint="eastAsia" w:ascii="宋体" w:hAnsi="宋体" w:eastAsia="宋体" w:cs="宋体"/>
                <w:b/>
                <w:bCs/>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外环境累计1000米，鼠迹数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≤3处</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85"/>
                <w:sz w:val="24"/>
                <w:szCs w:val="24"/>
              </w:rPr>
              <w:t>GB/T27770-2011鼠类B级标准为鼠迹处数≤3处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1" w:type="dxa"/>
            <w:vMerge w:val="continue"/>
            <w:noWrap w:val="0"/>
            <w:vAlign w:val="center"/>
          </w:tcPr>
          <w:p>
            <w:pPr>
              <w:pStyle w:val="2"/>
              <w:spacing w:after="0" w:line="300" w:lineRule="exact"/>
              <w:jc w:val="center"/>
              <w:rPr>
                <w:rFonts w:hint="eastAsia" w:ascii="宋体" w:hAnsi="宋体" w:eastAsia="宋体" w:cs="宋体"/>
                <w:b/>
                <w:bCs/>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bottom"/>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应设防鼠设施合格率</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≥97%</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GB/T27770-2011鼠类B级标准为≥95%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1" w:type="dxa"/>
            <w:vMerge w:val="continue"/>
            <w:noWrap w:val="0"/>
            <w:vAlign w:val="center"/>
          </w:tcPr>
          <w:p>
            <w:pPr>
              <w:pStyle w:val="2"/>
              <w:spacing w:after="0" w:line="300" w:lineRule="exact"/>
              <w:jc w:val="center"/>
              <w:rPr>
                <w:rFonts w:hint="eastAsia" w:ascii="宋体" w:hAnsi="宋体" w:eastAsia="宋体" w:cs="宋体"/>
                <w:b/>
                <w:bCs/>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bottom"/>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有鼠洞、鼠粪、鼠咬痕等鼠迹的房间</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≤5%</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GB/T27770-2011鼠类C级标准均为≤5%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51" w:type="dxa"/>
            <w:vMerge w:val="continue"/>
            <w:noWrap w:val="0"/>
            <w:vAlign w:val="center"/>
          </w:tcPr>
          <w:p>
            <w:pPr>
              <w:pStyle w:val="2"/>
              <w:spacing w:after="0" w:line="300" w:lineRule="exact"/>
              <w:jc w:val="center"/>
              <w:rPr>
                <w:rFonts w:hint="eastAsia" w:ascii="宋体" w:hAnsi="宋体" w:eastAsia="宋体" w:cs="宋体"/>
                <w:b/>
                <w:bCs/>
                <w:w w:val="90"/>
                <w:sz w:val="24"/>
                <w:szCs w:val="24"/>
              </w:rPr>
            </w:pPr>
          </w:p>
        </w:tc>
        <w:tc>
          <w:tcPr>
            <w:tcW w:w="851" w:type="dxa"/>
            <w:vMerge w:val="restart"/>
            <w:noWrap w:val="0"/>
            <w:vAlign w:val="center"/>
          </w:tcPr>
          <w:p>
            <w:pPr>
              <w:pStyle w:val="2"/>
              <w:spacing w:after="0" w:line="300" w:lineRule="exact"/>
              <w:jc w:val="center"/>
              <w:rPr>
                <w:rFonts w:hint="eastAsia" w:ascii="宋体" w:hAnsi="宋体" w:eastAsia="宋体" w:cs="宋体"/>
                <w:b/>
                <w:bCs/>
                <w:w w:val="80"/>
                <w:sz w:val="24"/>
                <w:szCs w:val="24"/>
              </w:rPr>
            </w:pPr>
            <w:r>
              <w:rPr>
                <w:rFonts w:hint="eastAsia" w:ascii="宋体" w:hAnsi="宋体" w:eastAsia="宋体" w:cs="宋体"/>
                <w:b/>
                <w:bCs/>
                <w:w w:val="80"/>
                <w:sz w:val="24"/>
                <w:szCs w:val="24"/>
              </w:rPr>
              <w:t>一般保障区</w:t>
            </w: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外环境累计1000米，鼠迹数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≤5处</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w:t>
            </w:r>
            <w:r>
              <w:rPr>
                <w:rFonts w:hint="eastAsia" w:ascii="宋体" w:hAnsi="宋体" w:eastAsia="宋体" w:cs="宋体"/>
                <w:w w:val="85"/>
                <w:sz w:val="24"/>
                <w:szCs w:val="24"/>
              </w:rPr>
              <w:t>B/T27770-2011鼠类C级标准为鼠迹处数≤5处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51" w:type="dxa"/>
            <w:vMerge w:val="continue"/>
            <w:noWrap w:val="0"/>
            <w:vAlign w:val="top"/>
          </w:tcPr>
          <w:p>
            <w:pPr>
              <w:pStyle w:val="2"/>
              <w:spacing w:after="0" w:line="300" w:lineRule="exact"/>
              <w:rPr>
                <w:rFonts w:hint="eastAsia" w:ascii="宋体" w:hAnsi="宋体" w:eastAsia="宋体" w:cs="宋体"/>
                <w:b/>
                <w:bCs/>
                <w:w w:val="90"/>
                <w:sz w:val="24"/>
                <w:szCs w:val="24"/>
              </w:rPr>
            </w:pPr>
          </w:p>
        </w:tc>
        <w:tc>
          <w:tcPr>
            <w:tcW w:w="851" w:type="dxa"/>
            <w:vMerge w:val="continue"/>
            <w:noWrap w:val="0"/>
            <w:vAlign w:val="top"/>
          </w:tcPr>
          <w:p>
            <w:pPr>
              <w:pStyle w:val="2"/>
              <w:spacing w:after="0" w:line="300" w:lineRule="exact"/>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应设防鼠设施合格率</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≥95%</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GB/T27770-2011鼠类B级标准为≥95%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1" w:type="dxa"/>
            <w:vMerge w:val="restart"/>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b/>
                <w:bCs/>
                <w:w w:val="90"/>
                <w:sz w:val="24"/>
                <w:szCs w:val="24"/>
              </w:rPr>
              <w:t>蚊虫</w:t>
            </w:r>
          </w:p>
        </w:tc>
        <w:tc>
          <w:tcPr>
            <w:tcW w:w="851" w:type="dxa"/>
            <w:vMerge w:val="restart"/>
            <w:noWrap w:val="0"/>
            <w:vAlign w:val="center"/>
          </w:tcPr>
          <w:p>
            <w:pPr>
              <w:pStyle w:val="2"/>
              <w:spacing w:after="0" w:line="300" w:lineRule="exact"/>
              <w:jc w:val="center"/>
              <w:rPr>
                <w:rFonts w:hint="eastAsia" w:ascii="宋体" w:hAnsi="宋体" w:eastAsia="宋体" w:cs="宋体"/>
                <w:b/>
                <w:bCs/>
                <w:w w:val="80"/>
                <w:sz w:val="24"/>
                <w:szCs w:val="24"/>
              </w:rPr>
            </w:pPr>
            <w:r>
              <w:rPr>
                <w:rFonts w:hint="eastAsia" w:ascii="宋体" w:hAnsi="宋体" w:eastAsia="宋体" w:cs="宋体"/>
                <w:b/>
                <w:bCs/>
                <w:w w:val="80"/>
                <w:sz w:val="24"/>
                <w:szCs w:val="24"/>
              </w:rPr>
              <w:t>重点保障区</w:t>
            </w: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小型阳性积水路径指数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≤0.5</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GB/T27771-2011蚊虫B级标准，要求检查每1000米路径所发现幼虫阳性积水处数的路径指数≤0.5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布雷图指数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≤5</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按中疾控〔2014〕306号执行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大中型水体取样，采样勺指数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≤3%</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GB/T27771-2011蚊虫B级标准为≤3%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大中型水体取样，平均每阳性勺蚊虫幼虫和蛹数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＜5只</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GB/T27771-2011蚊虫B级标准为＜5只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蚊虫停落指数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≤1.0</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GB/T27771-2011蚊虫B级标准为≤1.0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restart"/>
            <w:noWrap w:val="0"/>
            <w:vAlign w:val="center"/>
          </w:tcPr>
          <w:p>
            <w:pPr>
              <w:pStyle w:val="2"/>
              <w:spacing w:after="0" w:line="300" w:lineRule="exact"/>
              <w:jc w:val="center"/>
              <w:rPr>
                <w:rFonts w:hint="eastAsia" w:ascii="宋体" w:hAnsi="宋体" w:eastAsia="宋体" w:cs="宋体"/>
                <w:b/>
                <w:bCs/>
                <w:w w:val="80"/>
                <w:sz w:val="24"/>
                <w:szCs w:val="24"/>
              </w:rPr>
            </w:pPr>
            <w:r>
              <w:rPr>
                <w:rFonts w:hint="eastAsia" w:ascii="宋体" w:hAnsi="宋体" w:eastAsia="宋体" w:cs="宋体"/>
                <w:b/>
                <w:bCs/>
                <w:w w:val="80"/>
                <w:sz w:val="24"/>
                <w:szCs w:val="24"/>
              </w:rPr>
              <w:t>一般保障区</w:t>
            </w: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小型阳性积水路径指数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≤0.8</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GB/T27771-2011蚊虫C级标准，要求检查每1000米路径所发现幼虫阳性积水处数的路径指数≤0.8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布雷图指数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≤10</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按中疾控〔2014〕306号执行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大中型水体取样，采样勺指数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≤5%</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GB/T27771-2011蚊虫C级标准为≤5%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大中型水体取样，平均每阳性勺蚊虫幼虫和蛹数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＜8只</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GB/T27771-2011蚊虫C级标准为＜8只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蚊虫停落指数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≤1.5</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GB/T27771-2011蚊虫C级标准为≤1.5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1" w:type="dxa"/>
            <w:vMerge w:val="restart"/>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b/>
                <w:bCs/>
                <w:w w:val="90"/>
                <w:sz w:val="24"/>
                <w:szCs w:val="24"/>
              </w:rPr>
              <w:t>蝇类</w:t>
            </w:r>
          </w:p>
        </w:tc>
        <w:tc>
          <w:tcPr>
            <w:tcW w:w="851" w:type="dxa"/>
            <w:vMerge w:val="restart"/>
            <w:noWrap w:val="0"/>
            <w:vAlign w:val="center"/>
          </w:tcPr>
          <w:p>
            <w:pPr>
              <w:pStyle w:val="2"/>
              <w:spacing w:after="0" w:line="300" w:lineRule="exact"/>
              <w:jc w:val="center"/>
              <w:rPr>
                <w:rFonts w:hint="eastAsia" w:ascii="宋体" w:hAnsi="宋体" w:eastAsia="宋体" w:cs="宋体"/>
                <w:b/>
                <w:bCs/>
                <w:w w:val="80"/>
                <w:sz w:val="24"/>
                <w:szCs w:val="24"/>
              </w:rPr>
            </w:pPr>
            <w:r>
              <w:rPr>
                <w:rFonts w:hint="eastAsia" w:ascii="宋体" w:hAnsi="宋体" w:eastAsia="宋体" w:cs="宋体"/>
                <w:b/>
                <w:bCs/>
                <w:w w:val="80"/>
                <w:sz w:val="24"/>
                <w:szCs w:val="24"/>
              </w:rPr>
              <w:t>重点保障区</w:t>
            </w: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室内有蝇房间</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≤6%</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GB/T27772-2011蝇类B级标准为≤6%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平均每阳性房间成蝇数</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≤3只</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GB/T27772-2011蝇类B级标准为≤3只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室外蝇类孳生地幼虫和蛹的检出率</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≤3%</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GB/T27772-2011蝇类B级标准为≤3%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室内防蝇设施合格率</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≥97%</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GB/T27772-2011蝇类B级标准为≥95%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1" w:type="dxa"/>
            <w:vMerge w:val="continue"/>
            <w:noWrap w:val="0"/>
            <w:vAlign w:val="top"/>
          </w:tcPr>
          <w:p>
            <w:pPr>
              <w:pStyle w:val="2"/>
              <w:spacing w:after="0" w:line="300" w:lineRule="exact"/>
              <w:rPr>
                <w:rFonts w:hint="eastAsia" w:ascii="宋体" w:hAnsi="宋体" w:eastAsia="宋体" w:cs="宋体"/>
                <w:w w:val="90"/>
                <w:sz w:val="24"/>
                <w:szCs w:val="24"/>
              </w:rPr>
            </w:pPr>
          </w:p>
        </w:tc>
        <w:tc>
          <w:tcPr>
            <w:tcW w:w="851" w:type="dxa"/>
            <w:vMerge w:val="continue"/>
            <w:noWrap w:val="0"/>
            <w:vAlign w:val="center"/>
          </w:tcPr>
          <w:p>
            <w:pPr>
              <w:pStyle w:val="2"/>
              <w:spacing w:after="0" w:line="300" w:lineRule="exact"/>
              <w:jc w:val="center"/>
              <w:rPr>
                <w:rFonts w:hint="eastAsia" w:ascii="宋体" w:hAnsi="宋体" w:eastAsia="宋体" w:cs="宋体"/>
                <w:b/>
                <w:bCs/>
                <w:w w:val="80"/>
                <w:sz w:val="24"/>
                <w:szCs w:val="24"/>
              </w:rPr>
            </w:pPr>
          </w:p>
        </w:tc>
        <w:tc>
          <w:tcPr>
            <w:tcW w:w="3260" w:type="dxa"/>
            <w:noWrap w:val="0"/>
            <w:vAlign w:val="center"/>
          </w:tcPr>
          <w:p>
            <w:pPr>
              <w:pStyle w:val="2"/>
              <w:spacing w:after="0" w:line="300" w:lineRule="exact"/>
              <w:rPr>
                <w:rFonts w:hint="eastAsia" w:ascii="宋体" w:hAnsi="宋体" w:eastAsia="宋体" w:cs="宋体"/>
                <w:w w:val="80"/>
                <w:sz w:val="24"/>
                <w:szCs w:val="24"/>
              </w:rPr>
            </w:pPr>
            <w:r>
              <w:rPr>
                <w:rFonts w:hint="eastAsia" w:ascii="宋体" w:hAnsi="宋体" w:eastAsia="宋体" w:cs="宋体"/>
                <w:w w:val="80"/>
                <w:sz w:val="24"/>
                <w:szCs w:val="24"/>
              </w:rPr>
              <w:t>加工、销售直接入口食品的场所</w:t>
            </w:r>
          </w:p>
        </w:tc>
        <w:tc>
          <w:tcPr>
            <w:tcW w:w="1068" w:type="dxa"/>
            <w:noWrap w:val="0"/>
            <w:vAlign w:val="center"/>
          </w:tcPr>
          <w:p>
            <w:pPr>
              <w:pStyle w:val="2"/>
              <w:spacing w:after="0" w:line="300" w:lineRule="exact"/>
              <w:jc w:val="center"/>
              <w:rPr>
                <w:rFonts w:hint="eastAsia" w:ascii="宋体" w:hAnsi="宋体" w:eastAsia="宋体" w:cs="宋体"/>
                <w:w w:val="90"/>
                <w:sz w:val="24"/>
                <w:szCs w:val="24"/>
              </w:rPr>
            </w:pPr>
            <w:r>
              <w:rPr>
                <w:rFonts w:hint="eastAsia" w:ascii="宋体" w:hAnsi="宋体" w:eastAsia="宋体" w:cs="宋体"/>
                <w:w w:val="90"/>
                <w:sz w:val="24"/>
                <w:szCs w:val="24"/>
              </w:rPr>
              <w:t>不得有蝇</w:t>
            </w:r>
          </w:p>
        </w:tc>
        <w:tc>
          <w:tcPr>
            <w:tcW w:w="3043" w:type="dxa"/>
            <w:noWrap w:val="0"/>
            <w:vAlign w:val="center"/>
          </w:tcPr>
          <w:p>
            <w:pPr>
              <w:pStyle w:val="2"/>
              <w:spacing w:after="0" w:line="30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GB/T27772-2011蝇类标准规定不得有蝇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restart"/>
            <w:noWrap w:val="0"/>
            <w:vAlign w:val="center"/>
          </w:tcPr>
          <w:p>
            <w:pPr>
              <w:pStyle w:val="2"/>
              <w:spacing w:line="280" w:lineRule="exact"/>
              <w:jc w:val="center"/>
              <w:rPr>
                <w:rFonts w:hint="eastAsia" w:ascii="宋体" w:hAnsi="宋体" w:eastAsia="宋体" w:cs="宋体"/>
                <w:b/>
                <w:bCs/>
                <w:w w:val="80"/>
                <w:sz w:val="24"/>
                <w:szCs w:val="24"/>
              </w:rPr>
            </w:pPr>
            <w:r>
              <w:rPr>
                <w:rFonts w:hint="eastAsia" w:ascii="宋体" w:hAnsi="宋体" w:eastAsia="宋体" w:cs="宋体"/>
                <w:b/>
                <w:bCs/>
                <w:w w:val="80"/>
                <w:sz w:val="24"/>
                <w:szCs w:val="24"/>
              </w:rPr>
              <w:t>一般保障区</w:t>
            </w: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室内有蝇房间</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≤9%</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GB/T27772-2011蝇类C级标准为≤9%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b/>
                <w:bCs/>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平均每阳性房间成蝇数</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≤3只</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GB/T27772-2011蝇类C级标准为≤3只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b/>
                <w:bCs/>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室外蝇类孳生地幼虫和蛹的检出率</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≤5%</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GB/T27772-2011蝇类C级标准为≤5%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b/>
                <w:bCs/>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室内防蝇设施合格率</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≥95%</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GB/T27772-2011蝇类C级标准为≥90%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b/>
                <w:bCs/>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加工、销售直接入口食品的场所</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不得有蝇</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GB/T27772-2011蝇类标准规定不得有蝇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51" w:type="dxa"/>
            <w:vMerge w:val="restart"/>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b/>
                <w:bCs/>
                <w:w w:val="90"/>
                <w:sz w:val="24"/>
                <w:szCs w:val="24"/>
              </w:rPr>
              <w:t>蟑螂</w:t>
            </w:r>
          </w:p>
        </w:tc>
        <w:tc>
          <w:tcPr>
            <w:tcW w:w="851" w:type="dxa"/>
            <w:vMerge w:val="restart"/>
            <w:noWrap w:val="0"/>
            <w:vAlign w:val="center"/>
          </w:tcPr>
          <w:p>
            <w:pPr>
              <w:pStyle w:val="2"/>
              <w:spacing w:line="280" w:lineRule="exact"/>
              <w:jc w:val="center"/>
              <w:rPr>
                <w:rFonts w:hint="eastAsia" w:ascii="宋体" w:hAnsi="宋体" w:eastAsia="宋体" w:cs="宋体"/>
                <w:b/>
                <w:bCs/>
                <w:w w:val="80"/>
                <w:sz w:val="24"/>
                <w:szCs w:val="24"/>
              </w:rPr>
            </w:pPr>
            <w:r>
              <w:rPr>
                <w:rFonts w:hint="eastAsia" w:ascii="宋体" w:hAnsi="宋体" w:eastAsia="宋体" w:cs="宋体"/>
                <w:b/>
                <w:bCs/>
                <w:w w:val="80"/>
                <w:sz w:val="24"/>
                <w:szCs w:val="24"/>
              </w:rPr>
              <w:t>重点保障区</w:t>
            </w: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室内有蟑螂成虫或若虫阳性房间</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≤3%</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GB/T27773-2011蜚蠊B级标准为≤3%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平均每阳性间（处）成若虫数小蠊只数</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≤10只</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GB/T27773-2011蜚蠊B级标准为≤10只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平均每阳性间（处）成若虫数大蠊只数</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≤5只</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GB/T27773-2011蜚蠊B级标准为≤5只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蟑螂卵鞘查获率</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≤2%</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GB/T27773-2011蜚蠊B级标准为≤2%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平均每阳性间（处）卵鞘数</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≤4只</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GB/T27773-2011蜚蠊B级标准为≤4只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center"/>
          </w:tcPr>
          <w:p>
            <w:pPr>
              <w:pStyle w:val="2"/>
              <w:spacing w:line="280" w:lineRule="exact"/>
              <w:jc w:val="center"/>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蟑螂粪便、蜕皮等蟑迹的房间</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≤5%</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GB/T27773-2011蜚蠊B级标准为≤5%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restart"/>
            <w:noWrap w:val="0"/>
            <w:vAlign w:val="center"/>
          </w:tcPr>
          <w:p>
            <w:pPr>
              <w:pStyle w:val="2"/>
              <w:spacing w:line="280" w:lineRule="exact"/>
              <w:jc w:val="center"/>
              <w:rPr>
                <w:rFonts w:hint="eastAsia" w:ascii="宋体" w:hAnsi="宋体" w:eastAsia="宋体" w:cs="宋体"/>
                <w:w w:val="80"/>
                <w:sz w:val="24"/>
                <w:szCs w:val="24"/>
              </w:rPr>
            </w:pPr>
            <w:r>
              <w:rPr>
                <w:rFonts w:hint="eastAsia" w:ascii="宋体" w:hAnsi="宋体" w:eastAsia="宋体" w:cs="宋体"/>
                <w:b/>
                <w:bCs/>
                <w:w w:val="80"/>
                <w:sz w:val="24"/>
                <w:szCs w:val="24"/>
              </w:rPr>
              <w:t>一般保障区</w:t>
            </w: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室内有蟑螂成虫或若虫阳性房间</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≤5%</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GB/T27773-2011蜚蠊C级标准为≤5%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top"/>
          </w:tcPr>
          <w:p>
            <w:pPr>
              <w:pStyle w:val="2"/>
              <w:spacing w:line="280" w:lineRule="exact"/>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平均每阳性间（处）成若虫数小蠊只数</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≤10只</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GB/T27773-2011蜚蠊C级标准为≤10只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top"/>
          </w:tcPr>
          <w:p>
            <w:pPr>
              <w:pStyle w:val="2"/>
              <w:spacing w:line="280" w:lineRule="exact"/>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平均每阳性间（处）成若虫数大蠊只数</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≤5只</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GB/T27773-2011蜚蠊C级标准为≤5只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top"/>
          </w:tcPr>
          <w:p>
            <w:pPr>
              <w:pStyle w:val="2"/>
              <w:spacing w:line="280" w:lineRule="exact"/>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蟑螂卵鞘查获率</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≤3%</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GB/T27773-2011蜚蠊C级标准为≤3%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top"/>
          </w:tcPr>
          <w:p>
            <w:pPr>
              <w:pStyle w:val="2"/>
              <w:spacing w:line="280" w:lineRule="exact"/>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平均每阳性间（处）卵鞘数</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≤8只</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GB/T27773-2011蜚蠊C级标准为≤8只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51" w:type="dxa"/>
            <w:vMerge w:val="continue"/>
            <w:noWrap w:val="0"/>
            <w:vAlign w:val="top"/>
          </w:tcPr>
          <w:p>
            <w:pPr>
              <w:pStyle w:val="2"/>
              <w:spacing w:line="280" w:lineRule="exact"/>
              <w:rPr>
                <w:rFonts w:hint="eastAsia" w:ascii="宋体" w:hAnsi="宋体" w:eastAsia="宋体" w:cs="宋体"/>
                <w:w w:val="90"/>
                <w:sz w:val="24"/>
                <w:szCs w:val="24"/>
              </w:rPr>
            </w:pPr>
          </w:p>
        </w:tc>
        <w:tc>
          <w:tcPr>
            <w:tcW w:w="851" w:type="dxa"/>
            <w:vMerge w:val="continue"/>
            <w:noWrap w:val="0"/>
            <w:vAlign w:val="top"/>
          </w:tcPr>
          <w:p>
            <w:pPr>
              <w:pStyle w:val="2"/>
              <w:spacing w:line="280" w:lineRule="exact"/>
              <w:rPr>
                <w:rFonts w:hint="eastAsia" w:ascii="宋体" w:hAnsi="宋体" w:eastAsia="宋体" w:cs="宋体"/>
                <w:w w:val="80"/>
                <w:sz w:val="24"/>
                <w:szCs w:val="24"/>
              </w:rPr>
            </w:pPr>
          </w:p>
        </w:tc>
        <w:tc>
          <w:tcPr>
            <w:tcW w:w="3260" w:type="dxa"/>
            <w:noWrap w:val="0"/>
            <w:vAlign w:val="center"/>
          </w:tcPr>
          <w:p>
            <w:pPr>
              <w:pStyle w:val="2"/>
              <w:spacing w:line="280" w:lineRule="exact"/>
              <w:rPr>
                <w:rFonts w:hint="eastAsia" w:ascii="宋体" w:hAnsi="宋体" w:eastAsia="宋体" w:cs="宋体"/>
                <w:w w:val="80"/>
                <w:sz w:val="24"/>
                <w:szCs w:val="24"/>
              </w:rPr>
            </w:pPr>
            <w:r>
              <w:rPr>
                <w:rFonts w:hint="eastAsia" w:ascii="宋体" w:hAnsi="宋体" w:eastAsia="宋体" w:cs="宋体"/>
                <w:w w:val="80"/>
                <w:sz w:val="24"/>
                <w:szCs w:val="24"/>
              </w:rPr>
              <w:t>蟑螂粪便、蜕皮等蟑迹的房间</w:t>
            </w:r>
          </w:p>
        </w:tc>
        <w:tc>
          <w:tcPr>
            <w:tcW w:w="1068" w:type="dxa"/>
            <w:noWrap w:val="0"/>
            <w:vAlign w:val="center"/>
          </w:tcPr>
          <w:p>
            <w:pPr>
              <w:pStyle w:val="2"/>
              <w:spacing w:line="280" w:lineRule="exact"/>
              <w:jc w:val="center"/>
              <w:rPr>
                <w:rFonts w:hint="eastAsia" w:ascii="宋体" w:hAnsi="宋体" w:eastAsia="宋体" w:cs="宋体"/>
                <w:w w:val="90"/>
                <w:sz w:val="24"/>
                <w:szCs w:val="24"/>
              </w:rPr>
            </w:pPr>
            <w:r>
              <w:rPr>
                <w:rFonts w:hint="eastAsia" w:ascii="宋体" w:hAnsi="宋体" w:eastAsia="宋体" w:cs="宋体"/>
                <w:w w:val="90"/>
                <w:sz w:val="24"/>
                <w:szCs w:val="24"/>
              </w:rPr>
              <w:t>≤7%</w:t>
            </w:r>
          </w:p>
        </w:tc>
        <w:tc>
          <w:tcPr>
            <w:tcW w:w="3043" w:type="dxa"/>
            <w:noWrap w:val="0"/>
            <w:vAlign w:val="center"/>
          </w:tcPr>
          <w:p>
            <w:pPr>
              <w:pStyle w:val="2"/>
              <w:spacing w:line="280" w:lineRule="exact"/>
              <w:rPr>
                <w:rFonts w:hint="eastAsia" w:ascii="宋体" w:hAnsi="宋体" w:eastAsia="宋体" w:cs="宋体"/>
                <w:w w:val="90"/>
                <w:sz w:val="24"/>
                <w:szCs w:val="24"/>
              </w:rPr>
            </w:pPr>
            <w:r>
              <w:rPr>
                <w:rFonts w:hint="eastAsia" w:ascii="宋体" w:hAnsi="宋体" w:eastAsia="宋体" w:cs="宋体"/>
                <w:w w:val="90"/>
                <w:sz w:val="24"/>
                <w:szCs w:val="24"/>
              </w:rPr>
              <w:t>GB/T27773-2011蜚蠊C级标准为≤7%</w:t>
            </w:r>
          </w:p>
        </w:tc>
      </w:tr>
    </w:tbl>
    <w:p>
      <w:pPr>
        <w:spacing w:line="579" w:lineRule="exact"/>
        <w:jc w:val="both"/>
        <w:rPr>
          <w:rFonts w:hint="eastAsia" w:ascii="宋体" w:hAnsi="宋体" w:eastAsia="宋体" w:cs="宋体"/>
          <w:b/>
          <w:bCs/>
          <w:sz w:val="24"/>
          <w:szCs w:val="24"/>
          <w:lang w:eastAsia="zh-CN"/>
        </w:rPr>
      </w:pPr>
    </w:p>
    <w:p>
      <w:pPr>
        <w:spacing w:line="579"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2</w:t>
      </w:r>
      <w:r>
        <w:rPr>
          <w:rFonts w:hint="eastAsia" w:ascii="宋体" w:hAnsi="宋体" w:eastAsia="宋体" w:cs="宋体"/>
          <w:b/>
          <w:bCs/>
          <w:color w:val="000000"/>
          <w:sz w:val="24"/>
          <w:szCs w:val="24"/>
        </w:rPr>
        <w:t>（此附件不需要在响应文件中响应）</w:t>
      </w:r>
    </w:p>
    <w:p>
      <w:pPr>
        <w:spacing w:line="579" w:lineRule="exact"/>
        <w:jc w:val="both"/>
        <w:rPr>
          <w:rFonts w:hint="eastAsia" w:ascii="宋体" w:hAnsi="宋体" w:eastAsia="宋体" w:cs="宋体"/>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第31届世界大学生夏季运动会病媒生物控制药物器械安全使用准则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为保障成都大运会病媒生物控制达到“绿色、安全、环保、有效”的要求，在大运会场所/场馆外围500米保障区范围使用卫生杀虫剂、杀鼠剂及器械必须遵循以下原则：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一、卫生杀虫剂、杀鼠剂安全使用原则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（一）合法原则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选用产品必须有农药登记证、生产许可证和产品质量标准，杀虫剂必须是用于卫生用途（农药登记证第一英文字母是W）。</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杀鼠剂经销商还应具备《危险化学品经营许可证》，核准杀鼠剂经营资格。</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（二）高效、低毒、安全原则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选用产品必须是高效、低毒、对防治对象敏感性高。对高等动物低毒的产品。</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（三）质量保障原则</w:t>
      </w:r>
    </w:p>
    <w:p>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选用产品</w:t>
      </w:r>
      <w:r>
        <w:rPr>
          <w:rFonts w:hint="eastAsia" w:ascii="宋体" w:hAnsi="宋体" w:eastAsia="宋体" w:cs="宋体"/>
          <w:color w:val="000000"/>
          <w:kern w:val="0"/>
          <w:sz w:val="24"/>
          <w:szCs w:val="24"/>
        </w:rPr>
        <w:t>质量稳定，是国际知名品牌，国内优秀产品，可在主流渠道上批量购买。</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（四）绿色环保原则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选用产品必须是环境友好型、绿色环保型产品</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（五）禁用、停用、限用原则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严禁使用国家禁用杀鼠剂以及高毒、剧毒的卫生杀虫剂（含复配产品），在限制条件下使用有机磷制剂，禁止自行配制和使用杀鼠剂、卫生杀虫剂。</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二、卫生杀虫剂、杀鼠剂优先选用原则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（一）世界卫生组织推荐优先原则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优先选用有效成份为世界卫生组织（WHO）推荐、在我国登记卫生用的药剂品种。</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（二）环境友好型制剂优先原则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优先选用对环境友好、刺激性小、环境污染小的药剂。优先剂型包括水基制剂、缓释剂。</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（三）生物药剂优先原则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优先选用效果确切、对非靶标生物无毒性的生物</w:t>
      </w:r>
      <w:r>
        <w:rPr>
          <w:rFonts w:hint="eastAsia" w:ascii="宋体" w:hAnsi="宋体" w:eastAsia="宋体" w:cs="宋体"/>
          <w:color w:val="000000"/>
          <w:kern w:val="0"/>
          <w:sz w:val="24"/>
          <w:szCs w:val="24"/>
        </w:rPr>
        <w:t>或生物</w:t>
      </w:r>
      <w:r>
        <w:rPr>
          <w:rFonts w:hint="eastAsia" w:ascii="宋体" w:hAnsi="宋体" w:eastAsia="宋体" w:cs="宋体"/>
          <w:sz w:val="24"/>
          <w:szCs w:val="24"/>
        </w:rPr>
        <w:t>源性卫生杀虫剂、杀鼠剂。</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（四）奥运会、大运会、亚运会选用产品优先原则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优先选用经奥运会、亚运会使用，同时适用于成都地区环境的产品。</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（五）本地适用优先原则</w:t>
      </w:r>
    </w:p>
    <w:p>
      <w:pPr>
        <w:keepNext w:val="0"/>
        <w:keepLines w:val="0"/>
        <w:pageBreakBefore w:val="0"/>
        <w:widowControl/>
        <w:kinsoku/>
        <w:wordWrap/>
        <w:overflowPunct/>
        <w:topLinePunct w:val="0"/>
        <w:autoSpaceDE/>
        <w:autoSpaceDN/>
        <w:bidi w:val="0"/>
        <w:spacing w:line="24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优先选用常用于成都地区、效果确切、</w:t>
      </w:r>
      <w:r>
        <w:rPr>
          <w:rFonts w:hint="eastAsia" w:ascii="宋体" w:hAnsi="宋体" w:eastAsia="宋体" w:cs="宋体"/>
          <w:color w:val="000000"/>
          <w:kern w:val="0"/>
          <w:sz w:val="24"/>
          <w:szCs w:val="24"/>
        </w:rPr>
        <w:t>有本地区抗药性监测数据为依据的</w:t>
      </w:r>
      <w:r>
        <w:rPr>
          <w:rFonts w:hint="eastAsia" w:ascii="宋体" w:hAnsi="宋体" w:eastAsia="宋体" w:cs="宋体"/>
          <w:sz w:val="24"/>
          <w:szCs w:val="24"/>
        </w:rPr>
        <w:t>绿色环保产品。</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（六）生物源性、低毒性、慢性杀鼠剂优先原则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
          <w:sz w:val="24"/>
          <w:szCs w:val="24"/>
        </w:rPr>
      </w:pPr>
      <w:r>
        <w:rPr>
          <w:rFonts w:hint="eastAsia" w:ascii="宋体" w:hAnsi="宋体" w:eastAsia="宋体" w:cs="宋体"/>
          <w:sz w:val="24"/>
          <w:szCs w:val="24"/>
        </w:rPr>
        <w:t>优先选用胆钙化醇、地芬·硫酸钡、雷公藤甲素、抗凝血杀鼠剂。</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三、大运会场馆区（包括重要非竞赛区）安全药械使用原则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（一）首选物理器械原则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大运场馆、重要非竞赛区室内控制病媒生物优先选用防蚊闸、纱门、纱窗、防蝇胶帘、灭蚊蝇灯、风帘机、粘蝇纸、粘鼠板、捕鼠笼、电子捕鼠器等不产生有毒有害的器械。</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（二）只用水基剂型原则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用于室内空间喷洒或滞留喷洒的卫生杀虫剂剂型首先使用以水为溶剂的产品，包括水乳剂、悬浮剂（胶悬剂）、微胶囊剂。</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（三）室内限用杀鼠剂原则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大运会场所/场馆以防鼠为原则，室内灭鼠只使用粘鼠板、鼠夹、鼠笼等捕鼠器械，原则上不使用杀鼠剂灭鼠。</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（四）禁止烟汽原则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室内环境喷洒选用不产生废气的电动式、充电式喷雾机，或手动喷雾器械，大运场馆内禁止使用烟雾机以及烟机、热烟雾剂等发烟性药剂。</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（五）室内室外分用原则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室内室外分别使用相应的药物，严禁室外用药用于室内。</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（六）毒鼠站配套使用原则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在涉及大运会的场所进行投放毒饵灭鼠时，须配套毒鼠站投饵，不得裸露投放。同时设置警告标志。</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（七）重要场所专用原则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开、闭幕式主场馆区、大运村杀虫灭鼠原则上使用微毒、低毒级卫生杀虫剂、杀鼠剂知名产品。</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四、喷雾器械的安全使用原则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（一）匹配原则</w:t>
      </w:r>
    </w:p>
    <w:p>
      <w:pPr>
        <w:keepNext w:val="0"/>
        <w:keepLines w:val="0"/>
        <w:pageBreakBefore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根据防制的要求和药物的剂型选择合适的喷雾器械，精准计量使用药品。</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bCs/>
          <w:sz w:val="24"/>
          <w:szCs w:val="24"/>
        </w:rPr>
      </w:pPr>
      <w:r>
        <w:rPr>
          <w:rFonts w:hint="eastAsia" w:ascii="宋体" w:hAnsi="宋体" w:eastAsia="宋体" w:cs="宋体"/>
          <w:bCs/>
          <w:sz w:val="24"/>
          <w:szCs w:val="24"/>
        </w:rPr>
        <w:t>（二）性能优良原则</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1.雾化性能好：喷出的雾粒要均匀、稳定。</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2.密封性好：无渗漏、滴液现象。</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3.操作性能好：操作灵活、方便。车载超低容量喷雾器喷雾方向能够随时调整。</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4.机动性能强：可以在较大范围内实施机动。</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5.耐腐蚀性好。</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sz w:val="24"/>
          <w:szCs w:val="24"/>
        </w:rPr>
      </w:pPr>
      <w:r>
        <w:rPr>
          <w:rFonts w:hint="eastAsia" w:ascii="宋体" w:hAnsi="宋体" w:eastAsia="宋体" w:cs="宋体"/>
          <w:sz w:val="24"/>
          <w:szCs w:val="24"/>
        </w:rPr>
        <w:t>6.外观造型好。</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color w:val="auto"/>
          <w:sz w:val="24"/>
        </w:rPr>
      </w:pPr>
      <w:r>
        <w:rPr>
          <w:rFonts w:hint="eastAsia" w:ascii="宋体" w:hAnsi="宋体" w:eastAsia="宋体" w:cs="宋体"/>
          <w:sz w:val="24"/>
          <w:szCs w:val="24"/>
        </w:rPr>
        <w:t>7.使用寿命长。</w:t>
      </w:r>
      <w:r>
        <w:rPr>
          <w:rFonts w:hint="eastAsia" w:ascii="宋体" w:hAnsi="宋体" w:eastAsia="宋体" w:cs="宋体"/>
          <w:color w:val="auto"/>
          <w:sz w:val="24"/>
        </w:rPr>
        <w:t xml:space="preserve">  </w:t>
      </w:r>
    </w:p>
    <w:p>
      <w:pPr>
        <w:keepNext w:val="0"/>
        <w:keepLines w:val="0"/>
        <w:pageBreakBefore w:val="0"/>
        <w:kinsoku/>
        <w:wordWrap/>
        <w:overflowPunct/>
        <w:topLinePunct w:val="0"/>
        <w:autoSpaceDE/>
        <w:autoSpaceDN/>
        <w:bidi w:val="0"/>
        <w:spacing w:line="240" w:lineRule="auto"/>
        <w:ind w:firstLine="645"/>
        <w:textAlignment w:val="auto"/>
        <w:rPr>
          <w:rFonts w:hint="eastAsia" w:ascii="宋体" w:hAnsi="宋体" w:eastAsia="宋体" w:cs="宋体"/>
          <w:color w:val="auto"/>
          <w:sz w:val="24"/>
        </w:rPr>
      </w:pPr>
    </w:p>
    <w:p>
      <w:pPr>
        <w:spacing w:line="579" w:lineRule="exact"/>
        <w:jc w:val="both"/>
        <w:rPr>
          <w:rFonts w:hint="eastAsia" w:ascii="宋体" w:hAnsi="宋体" w:eastAsia="宋体" w:cs="宋体"/>
          <w:b/>
          <w:bCs/>
          <w:sz w:val="24"/>
          <w:szCs w:val="24"/>
          <w:lang w:val="en-US" w:eastAsia="zh-CN"/>
        </w:rPr>
      </w:pP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w:t>
      </w: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3</w:t>
      </w:r>
      <w:r>
        <w:rPr>
          <w:rFonts w:hint="eastAsia" w:ascii="宋体" w:hAnsi="宋体" w:eastAsia="宋体" w:cs="宋体"/>
          <w:b/>
          <w:bCs/>
          <w:color w:val="000000"/>
          <w:sz w:val="24"/>
          <w:szCs w:val="24"/>
        </w:rPr>
        <w:t>（此附件不需要在响应文件中响应）</w:t>
      </w:r>
    </w:p>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第31届世界大学生夏季运动会双流赛区</w:t>
      </w:r>
    </w:p>
    <w:p>
      <w:pPr>
        <w:spacing w:after="12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病媒生物控制药械推介目录</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第31届世界大学生夏季运动会病媒生物控制药物器械安全使用准则》的要求，经成都市大运会执委会医疗部病媒生物控制技术指导专家组专家审议，下列产品列入大运会场馆重点区及其周边一公里保障区病媒生物控制药物推荐使用名录。</w:t>
      </w: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表1  适用于灭鼠的杀鼠剂</w:t>
      </w:r>
    </w:p>
    <w:tbl>
      <w:tblPr>
        <w:tblStyle w:val="8"/>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24"/>
        <w:gridCol w:w="1528"/>
        <w:gridCol w:w="912"/>
        <w:gridCol w:w="1576"/>
        <w:gridCol w:w="1109"/>
        <w:gridCol w:w="772"/>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823"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有效成份</w:t>
            </w:r>
          </w:p>
        </w:tc>
        <w:tc>
          <w:tcPr>
            <w:tcW w:w="883"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类型</w:t>
            </w:r>
          </w:p>
        </w:tc>
        <w:tc>
          <w:tcPr>
            <w:tcW w:w="527"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剂型</w:t>
            </w:r>
          </w:p>
        </w:tc>
        <w:tc>
          <w:tcPr>
            <w:tcW w:w="910"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使用浓度</w:t>
            </w:r>
          </w:p>
        </w:tc>
        <w:tc>
          <w:tcPr>
            <w:tcW w:w="640"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w:t>
            </w:r>
          </w:p>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方法</w:t>
            </w:r>
          </w:p>
        </w:tc>
        <w:tc>
          <w:tcPr>
            <w:tcW w:w="446"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特点</w:t>
            </w:r>
          </w:p>
        </w:tc>
        <w:tc>
          <w:tcPr>
            <w:tcW w:w="389"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杀鼠醚</w:t>
            </w:r>
          </w:p>
        </w:tc>
        <w:tc>
          <w:tcPr>
            <w:tcW w:w="88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第一代抗凝血剂</w:t>
            </w: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粉剂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0.038%</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0.75%</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堆施</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敌鼠钠盐</w:t>
            </w:r>
          </w:p>
        </w:tc>
        <w:tc>
          <w:tcPr>
            <w:tcW w:w="88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第一代抗凝血剂</w:t>
            </w: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0.05%</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0.1%</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溴敌隆</w:t>
            </w:r>
          </w:p>
        </w:tc>
        <w:tc>
          <w:tcPr>
            <w:tcW w:w="88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第二代抗凝血剂</w:t>
            </w: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0.005%</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氟鼠灵</w:t>
            </w:r>
          </w:p>
        </w:tc>
        <w:tc>
          <w:tcPr>
            <w:tcW w:w="88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第二代抗凝血剂</w:t>
            </w: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0.005%</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胆钙化醇</w:t>
            </w:r>
          </w:p>
        </w:tc>
        <w:tc>
          <w:tcPr>
            <w:tcW w:w="883" w:type="pct"/>
            <w:noWrap/>
            <w:vAlign w:val="center"/>
          </w:tcPr>
          <w:p>
            <w:pPr>
              <w:widowControl/>
              <w:rPr>
                <w:rFonts w:hint="eastAsia" w:ascii="宋体" w:hAnsi="宋体" w:eastAsia="宋体" w:cs="宋体"/>
                <w:color w:val="000000"/>
                <w:w w:val="90"/>
                <w:kern w:val="0"/>
                <w:sz w:val="24"/>
                <w:szCs w:val="24"/>
              </w:rPr>
            </w:pP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910" w:type="pct"/>
            <w:noWrap/>
            <w:vAlign w:val="center"/>
          </w:tcPr>
          <w:p>
            <w:pPr>
              <w:widowControl/>
              <w:rPr>
                <w:rFonts w:hint="eastAsia" w:ascii="宋体" w:hAnsi="宋体" w:eastAsia="宋体" w:cs="宋体"/>
                <w:color w:val="000000"/>
                <w:w w:val="90"/>
                <w:kern w:val="0"/>
                <w:sz w:val="24"/>
                <w:szCs w:val="24"/>
              </w:rPr>
            </w:pP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6</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雷公藤甲素</w:t>
            </w:r>
          </w:p>
        </w:tc>
        <w:tc>
          <w:tcPr>
            <w:tcW w:w="883" w:type="pct"/>
            <w:noWrap/>
            <w:vAlign w:val="center"/>
          </w:tcPr>
          <w:p>
            <w:pPr>
              <w:widowControl/>
              <w:rPr>
                <w:rFonts w:hint="eastAsia" w:ascii="宋体" w:hAnsi="宋体" w:eastAsia="宋体" w:cs="宋体"/>
                <w:color w:val="000000"/>
                <w:w w:val="90"/>
                <w:kern w:val="0"/>
                <w:sz w:val="24"/>
                <w:szCs w:val="24"/>
              </w:rPr>
            </w:pP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0.25毫克/千克</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7</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地芬·硫酸钡</w:t>
            </w:r>
          </w:p>
        </w:tc>
        <w:tc>
          <w:tcPr>
            <w:tcW w:w="88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肠梗阻剂</w:t>
            </w: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20.02%</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8</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α-氯代醇</w:t>
            </w:r>
          </w:p>
        </w:tc>
        <w:tc>
          <w:tcPr>
            <w:tcW w:w="883" w:type="pct"/>
            <w:noWrap/>
            <w:vAlign w:val="center"/>
          </w:tcPr>
          <w:p>
            <w:pPr>
              <w:widowControl/>
              <w:rPr>
                <w:rFonts w:hint="eastAsia" w:ascii="宋体" w:hAnsi="宋体" w:eastAsia="宋体" w:cs="宋体"/>
                <w:color w:val="000000"/>
                <w:w w:val="90"/>
                <w:kern w:val="0"/>
                <w:sz w:val="24"/>
                <w:szCs w:val="24"/>
              </w:rPr>
            </w:pP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389"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9</w:t>
            </w:r>
          </w:p>
        </w:tc>
        <w:tc>
          <w:tcPr>
            <w:tcW w:w="823"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莪术醇</w:t>
            </w:r>
          </w:p>
        </w:tc>
        <w:tc>
          <w:tcPr>
            <w:tcW w:w="883" w:type="pct"/>
            <w:noWrap/>
            <w:vAlign w:val="center"/>
          </w:tcPr>
          <w:p>
            <w:pPr>
              <w:widowControl/>
              <w:rPr>
                <w:rFonts w:hint="eastAsia" w:ascii="宋体" w:hAnsi="宋体" w:eastAsia="宋体" w:cs="宋体"/>
                <w:color w:val="000000"/>
                <w:w w:val="90"/>
                <w:kern w:val="0"/>
                <w:sz w:val="24"/>
                <w:szCs w:val="24"/>
              </w:rPr>
            </w:pPr>
          </w:p>
        </w:tc>
        <w:tc>
          <w:tcPr>
            <w:tcW w:w="52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91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0.2%</w:t>
            </w:r>
          </w:p>
        </w:tc>
        <w:tc>
          <w:tcPr>
            <w:tcW w:w="640"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投饵</w:t>
            </w:r>
          </w:p>
        </w:tc>
        <w:tc>
          <w:tcPr>
            <w:tcW w:w="4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389" w:type="pct"/>
            <w:noWrap/>
            <w:vAlign w:val="center"/>
          </w:tcPr>
          <w:p>
            <w:pPr>
              <w:widowControl/>
              <w:rPr>
                <w:rFonts w:hint="eastAsia" w:ascii="宋体" w:hAnsi="宋体" w:eastAsia="宋体" w:cs="宋体"/>
                <w:color w:val="000000"/>
                <w:w w:val="90"/>
                <w:kern w:val="0"/>
                <w:sz w:val="24"/>
                <w:szCs w:val="24"/>
              </w:rPr>
            </w:pPr>
          </w:p>
        </w:tc>
      </w:tr>
    </w:tbl>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表2  适用于防制蚊蚴的卫生杀虫剂</w:t>
      </w:r>
    </w:p>
    <w:tbl>
      <w:tblPr>
        <w:tblStyle w:val="8"/>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105"/>
        <w:gridCol w:w="1314"/>
        <w:gridCol w:w="998"/>
        <w:gridCol w:w="1157"/>
        <w:gridCol w:w="911"/>
        <w:gridCol w:w="73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224"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有效成份</w:t>
            </w:r>
          </w:p>
        </w:tc>
        <w:tc>
          <w:tcPr>
            <w:tcW w:w="764"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类型</w:t>
            </w:r>
          </w:p>
        </w:tc>
        <w:tc>
          <w:tcPr>
            <w:tcW w:w="580"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剂型</w:t>
            </w:r>
          </w:p>
        </w:tc>
        <w:tc>
          <w:tcPr>
            <w:tcW w:w="672"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使用浓度</w:t>
            </w:r>
          </w:p>
        </w:tc>
        <w:tc>
          <w:tcPr>
            <w:tcW w:w="530"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使用方法</w:t>
            </w:r>
          </w:p>
        </w:tc>
        <w:tc>
          <w:tcPr>
            <w:tcW w:w="425"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特点</w:t>
            </w:r>
          </w:p>
        </w:tc>
        <w:tc>
          <w:tcPr>
            <w:tcW w:w="476"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122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倍硫磷</w:t>
            </w:r>
          </w:p>
        </w:tc>
        <w:tc>
          <w:tcPr>
            <w:tcW w:w="76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有机磷</w:t>
            </w:r>
          </w:p>
        </w:tc>
        <w:tc>
          <w:tcPr>
            <w:tcW w:w="58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乳油</w:t>
            </w:r>
          </w:p>
        </w:tc>
        <w:tc>
          <w:tcPr>
            <w:tcW w:w="67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50%</w:t>
            </w:r>
          </w:p>
        </w:tc>
        <w:tc>
          <w:tcPr>
            <w:tcW w:w="53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撒施</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tc>
        <w:tc>
          <w:tcPr>
            <w:tcW w:w="4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15g/㎡</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122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苏云金杆菌</w:t>
            </w:r>
          </w:p>
        </w:tc>
        <w:tc>
          <w:tcPr>
            <w:tcW w:w="76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生物农药</w:t>
            </w:r>
          </w:p>
        </w:tc>
        <w:tc>
          <w:tcPr>
            <w:tcW w:w="58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tc>
        <w:tc>
          <w:tcPr>
            <w:tcW w:w="67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200ITU/毫克</w:t>
            </w:r>
          </w:p>
        </w:tc>
        <w:tc>
          <w:tcPr>
            <w:tcW w:w="53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投放</w:t>
            </w:r>
          </w:p>
        </w:tc>
        <w:tc>
          <w:tcPr>
            <w:tcW w:w="4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476"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w:t>
            </w:r>
          </w:p>
        </w:tc>
        <w:tc>
          <w:tcPr>
            <w:tcW w:w="122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苏云金杆菌（以色列亚种）</w:t>
            </w:r>
          </w:p>
        </w:tc>
        <w:tc>
          <w:tcPr>
            <w:tcW w:w="76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生物农药</w:t>
            </w:r>
          </w:p>
        </w:tc>
        <w:tc>
          <w:tcPr>
            <w:tcW w:w="58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悬浮剂</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可湿性粉剂</w:t>
            </w:r>
          </w:p>
        </w:tc>
        <w:tc>
          <w:tcPr>
            <w:tcW w:w="67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400ITU/毫克</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600ITU/毫克</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1200ITU/毫克</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1600ITU/毫克</w:t>
            </w:r>
          </w:p>
        </w:tc>
        <w:tc>
          <w:tcPr>
            <w:tcW w:w="53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投放</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tc>
        <w:tc>
          <w:tcPr>
            <w:tcW w:w="4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2g/㎡</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2-5ml/㎡</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1-2g/㎡</w:t>
            </w:r>
          </w:p>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w:t>
            </w:r>
          </w:p>
        </w:tc>
        <w:tc>
          <w:tcPr>
            <w:tcW w:w="122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吡丙醚</w:t>
            </w:r>
          </w:p>
        </w:tc>
        <w:tc>
          <w:tcPr>
            <w:tcW w:w="76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昆虫生长</w:t>
            </w:r>
          </w:p>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调节剂</w:t>
            </w:r>
          </w:p>
        </w:tc>
        <w:tc>
          <w:tcPr>
            <w:tcW w:w="58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tc>
        <w:tc>
          <w:tcPr>
            <w:tcW w:w="67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0.5%</w:t>
            </w:r>
          </w:p>
        </w:tc>
        <w:tc>
          <w:tcPr>
            <w:tcW w:w="53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撒施</w:t>
            </w:r>
          </w:p>
        </w:tc>
        <w:tc>
          <w:tcPr>
            <w:tcW w:w="4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47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tc>
        <w:tc>
          <w:tcPr>
            <w:tcW w:w="122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醚菊酯</w:t>
            </w:r>
          </w:p>
        </w:tc>
        <w:tc>
          <w:tcPr>
            <w:tcW w:w="76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58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tc>
        <w:tc>
          <w:tcPr>
            <w:tcW w:w="67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w:t>
            </w:r>
          </w:p>
        </w:tc>
        <w:tc>
          <w:tcPr>
            <w:tcW w:w="53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撒施</w:t>
            </w:r>
          </w:p>
        </w:tc>
        <w:tc>
          <w:tcPr>
            <w:tcW w:w="4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47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6</w:t>
            </w:r>
          </w:p>
        </w:tc>
        <w:tc>
          <w:tcPr>
            <w:tcW w:w="122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S-烯虫酯</w:t>
            </w:r>
          </w:p>
        </w:tc>
        <w:tc>
          <w:tcPr>
            <w:tcW w:w="764"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昆虫生长调节剂</w:t>
            </w:r>
          </w:p>
        </w:tc>
        <w:tc>
          <w:tcPr>
            <w:tcW w:w="58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悬浮剂</w:t>
            </w:r>
          </w:p>
        </w:tc>
        <w:tc>
          <w:tcPr>
            <w:tcW w:w="67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20%</w:t>
            </w:r>
          </w:p>
        </w:tc>
        <w:tc>
          <w:tcPr>
            <w:tcW w:w="530"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tc>
        <w:tc>
          <w:tcPr>
            <w:tcW w:w="425"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0.1g/㎡</w:t>
            </w:r>
          </w:p>
        </w:tc>
      </w:tr>
    </w:tbl>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表3  适用于防制蝇蛆的卫生杀虫剂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1079"/>
        <w:gridCol w:w="863"/>
        <w:gridCol w:w="1176"/>
        <w:gridCol w:w="1176"/>
        <w:gridCol w:w="907"/>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92"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663"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有效成份</w:t>
            </w:r>
          </w:p>
        </w:tc>
        <w:tc>
          <w:tcPr>
            <w:tcW w:w="609"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类型</w:t>
            </w:r>
          </w:p>
        </w:tc>
        <w:tc>
          <w:tcPr>
            <w:tcW w:w="513"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剂型</w:t>
            </w:r>
          </w:p>
        </w:tc>
        <w:tc>
          <w:tcPr>
            <w:tcW w:w="709"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使用浓度</w:t>
            </w:r>
          </w:p>
        </w:tc>
        <w:tc>
          <w:tcPr>
            <w:tcW w:w="664"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使用方法</w:t>
            </w:r>
          </w:p>
        </w:tc>
        <w:tc>
          <w:tcPr>
            <w:tcW w:w="574"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特点</w:t>
            </w:r>
          </w:p>
        </w:tc>
        <w:tc>
          <w:tcPr>
            <w:tcW w:w="872"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9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66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倍硫磷</w:t>
            </w:r>
          </w:p>
        </w:tc>
        <w:tc>
          <w:tcPr>
            <w:tcW w:w="60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有机磷</w:t>
            </w:r>
          </w:p>
        </w:tc>
        <w:tc>
          <w:tcPr>
            <w:tcW w:w="51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乳油</w:t>
            </w:r>
          </w:p>
        </w:tc>
        <w:tc>
          <w:tcPr>
            <w:tcW w:w="70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50%</w:t>
            </w:r>
          </w:p>
        </w:tc>
        <w:tc>
          <w:tcPr>
            <w:tcW w:w="66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撒施</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tc>
        <w:tc>
          <w:tcPr>
            <w:tcW w:w="57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87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15g/㎡</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66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吡丙醚</w:t>
            </w:r>
          </w:p>
        </w:tc>
        <w:tc>
          <w:tcPr>
            <w:tcW w:w="60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昆虫生长</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调节剂</w:t>
            </w:r>
          </w:p>
        </w:tc>
        <w:tc>
          <w:tcPr>
            <w:tcW w:w="51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颗粒剂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水乳剂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乳油剂</w:t>
            </w:r>
          </w:p>
        </w:tc>
        <w:tc>
          <w:tcPr>
            <w:tcW w:w="70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0.5%</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10%</w:t>
            </w:r>
          </w:p>
        </w:tc>
        <w:tc>
          <w:tcPr>
            <w:tcW w:w="66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撒施</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喷洒</w:t>
            </w:r>
          </w:p>
        </w:tc>
        <w:tc>
          <w:tcPr>
            <w:tcW w:w="57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87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20mg/㎡</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2ml/㎡</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2ml/㎡</w:t>
            </w:r>
          </w:p>
        </w:tc>
      </w:tr>
    </w:tbl>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表4  适用于滞留喷洒控制（蚊、蝇、蟑）的杀虫剂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456"/>
        <w:gridCol w:w="1493"/>
        <w:gridCol w:w="1332"/>
        <w:gridCol w:w="1392"/>
        <w:gridCol w:w="720"/>
        <w:gridCol w:w="723"/>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353"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854"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有效成份</w:t>
            </w:r>
          </w:p>
        </w:tc>
        <w:tc>
          <w:tcPr>
            <w:tcW w:w="875"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类型</w:t>
            </w:r>
          </w:p>
        </w:tc>
        <w:tc>
          <w:tcPr>
            <w:tcW w:w="781"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剂型</w:t>
            </w:r>
          </w:p>
        </w:tc>
        <w:tc>
          <w:tcPr>
            <w:tcW w:w="816"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使用浓度</w:t>
            </w:r>
          </w:p>
        </w:tc>
        <w:tc>
          <w:tcPr>
            <w:tcW w:w="422"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w:t>
            </w:r>
          </w:p>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方法</w:t>
            </w:r>
          </w:p>
        </w:tc>
        <w:tc>
          <w:tcPr>
            <w:tcW w:w="424"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特点</w:t>
            </w:r>
          </w:p>
        </w:tc>
        <w:tc>
          <w:tcPr>
            <w:tcW w:w="471"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高效氟氯氰菊酯</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悬浮剂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微囊悬浮剂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可湿性粉剂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2.5%--12.5%</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2.5%</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10%</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氟氯·吡虫啉</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菊酯类+烟碱类</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悬浮剂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31%</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呋虫胺</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烟碱类</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可溶粒剂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40%</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溴氰菊酯</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可湿性粉剂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悬浮剂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2.5%</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高效氯氰菊酯</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可湿性粉剂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悬浮剂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5%、10%</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5%、10%</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6</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氯菊·烯丙菊</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水乳剂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乳油剂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104克/升</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168.6克/升</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7</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高氯·残杀威</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悬浮剂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10%</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8</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苯氰·残杀威</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菊酯类+氨基甲酸酯</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乳油剂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10%</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9</w:t>
            </w:r>
          </w:p>
        </w:tc>
        <w:tc>
          <w:tcPr>
            <w:tcW w:w="85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甲基嘧啶磷</w:t>
            </w:r>
          </w:p>
        </w:tc>
        <w:tc>
          <w:tcPr>
            <w:tcW w:w="87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有机磷</w:t>
            </w:r>
          </w:p>
        </w:tc>
        <w:tc>
          <w:tcPr>
            <w:tcW w:w="78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微囊悬浮剂</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水乳剂</w:t>
            </w:r>
          </w:p>
        </w:tc>
        <w:tc>
          <w:tcPr>
            <w:tcW w:w="81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30%</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20%</w:t>
            </w:r>
          </w:p>
        </w:tc>
        <w:tc>
          <w:tcPr>
            <w:tcW w:w="42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42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47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bl>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p>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表5  适用于空间喷洒控制（蚊、蝇）的杀虫剂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039"/>
        <w:gridCol w:w="792"/>
        <w:gridCol w:w="984"/>
        <w:gridCol w:w="1070"/>
        <w:gridCol w:w="1367"/>
        <w:gridCol w:w="64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1248"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有效成份</w:t>
            </w:r>
          </w:p>
        </w:tc>
        <w:tc>
          <w:tcPr>
            <w:tcW w:w="487"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类型</w:t>
            </w:r>
          </w:p>
        </w:tc>
        <w:tc>
          <w:tcPr>
            <w:tcW w:w="583"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剂型</w:t>
            </w:r>
          </w:p>
        </w:tc>
        <w:tc>
          <w:tcPr>
            <w:tcW w:w="655"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使用浓度</w:t>
            </w:r>
          </w:p>
        </w:tc>
        <w:tc>
          <w:tcPr>
            <w:tcW w:w="668"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使用方法</w:t>
            </w:r>
          </w:p>
        </w:tc>
        <w:tc>
          <w:tcPr>
            <w:tcW w:w="378"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特点</w:t>
            </w:r>
          </w:p>
        </w:tc>
        <w:tc>
          <w:tcPr>
            <w:tcW w:w="604"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124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氯菊酯·四氟苯菊酯</w:t>
            </w:r>
          </w:p>
        </w:tc>
        <w:tc>
          <w:tcPr>
            <w:tcW w:w="487"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58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微乳剂</w:t>
            </w:r>
          </w:p>
        </w:tc>
        <w:tc>
          <w:tcPr>
            <w:tcW w:w="65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1.2%</w:t>
            </w:r>
          </w:p>
        </w:tc>
        <w:tc>
          <w:tcPr>
            <w:tcW w:w="66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60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124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呋虫胺</w:t>
            </w:r>
          </w:p>
        </w:tc>
        <w:tc>
          <w:tcPr>
            <w:tcW w:w="487"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烟碱类</w:t>
            </w:r>
          </w:p>
        </w:tc>
        <w:tc>
          <w:tcPr>
            <w:tcW w:w="58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可溶粒剂</w:t>
            </w:r>
          </w:p>
        </w:tc>
        <w:tc>
          <w:tcPr>
            <w:tcW w:w="65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40%</w:t>
            </w:r>
          </w:p>
        </w:tc>
        <w:tc>
          <w:tcPr>
            <w:tcW w:w="66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60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25mg/㎥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w:t>
            </w:r>
          </w:p>
        </w:tc>
        <w:tc>
          <w:tcPr>
            <w:tcW w:w="124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烯丙·氯菊</w:t>
            </w:r>
          </w:p>
        </w:tc>
        <w:tc>
          <w:tcPr>
            <w:tcW w:w="487"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58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乳油剂</w:t>
            </w:r>
          </w:p>
        </w:tc>
        <w:tc>
          <w:tcPr>
            <w:tcW w:w="65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10%</w:t>
            </w:r>
          </w:p>
        </w:tc>
        <w:tc>
          <w:tcPr>
            <w:tcW w:w="66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热烟雾机喷雾</w:t>
            </w:r>
          </w:p>
        </w:tc>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60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w:t>
            </w:r>
          </w:p>
        </w:tc>
        <w:tc>
          <w:tcPr>
            <w:tcW w:w="124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胺·氯菊</w:t>
            </w:r>
          </w:p>
        </w:tc>
        <w:tc>
          <w:tcPr>
            <w:tcW w:w="487"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58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水乳剂</w:t>
            </w:r>
          </w:p>
        </w:tc>
        <w:tc>
          <w:tcPr>
            <w:tcW w:w="65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0.45%</w:t>
            </w:r>
          </w:p>
        </w:tc>
        <w:tc>
          <w:tcPr>
            <w:tcW w:w="66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60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tc>
        <w:tc>
          <w:tcPr>
            <w:tcW w:w="124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氯菊酯+生物烯丙菊酯</w:t>
            </w:r>
          </w:p>
        </w:tc>
        <w:tc>
          <w:tcPr>
            <w:tcW w:w="487"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菊酯类</w:t>
            </w:r>
          </w:p>
        </w:tc>
        <w:tc>
          <w:tcPr>
            <w:tcW w:w="58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水乳剂</w:t>
            </w:r>
          </w:p>
        </w:tc>
        <w:tc>
          <w:tcPr>
            <w:tcW w:w="65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10.4%</w:t>
            </w:r>
          </w:p>
        </w:tc>
        <w:tc>
          <w:tcPr>
            <w:tcW w:w="66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60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6</w:t>
            </w:r>
          </w:p>
        </w:tc>
        <w:tc>
          <w:tcPr>
            <w:tcW w:w="124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甲基嘧啶磷</w:t>
            </w:r>
          </w:p>
        </w:tc>
        <w:tc>
          <w:tcPr>
            <w:tcW w:w="487"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有机磷</w:t>
            </w:r>
          </w:p>
        </w:tc>
        <w:tc>
          <w:tcPr>
            <w:tcW w:w="58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乳油剂</w:t>
            </w:r>
          </w:p>
        </w:tc>
        <w:tc>
          <w:tcPr>
            <w:tcW w:w="655"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500克/升</w:t>
            </w:r>
          </w:p>
        </w:tc>
        <w:tc>
          <w:tcPr>
            <w:tcW w:w="66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37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60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bl>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表6  适用于点施控制（蟑螂、蚂蚁）的杀虫剂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419"/>
        <w:gridCol w:w="1040"/>
        <w:gridCol w:w="951"/>
        <w:gridCol w:w="1299"/>
        <w:gridCol w:w="1287"/>
        <w:gridCol w:w="696"/>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834"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有效成份</w:t>
            </w:r>
          </w:p>
        </w:tc>
        <w:tc>
          <w:tcPr>
            <w:tcW w:w="612"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类型</w:t>
            </w:r>
          </w:p>
        </w:tc>
        <w:tc>
          <w:tcPr>
            <w:tcW w:w="559"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剂型</w:t>
            </w:r>
          </w:p>
        </w:tc>
        <w:tc>
          <w:tcPr>
            <w:tcW w:w="763"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使用浓度</w:t>
            </w:r>
          </w:p>
        </w:tc>
        <w:tc>
          <w:tcPr>
            <w:tcW w:w="756"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使用方法</w:t>
            </w:r>
          </w:p>
        </w:tc>
        <w:tc>
          <w:tcPr>
            <w:tcW w:w="398"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特点</w:t>
            </w:r>
          </w:p>
        </w:tc>
        <w:tc>
          <w:tcPr>
            <w:tcW w:w="644"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3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83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氟虫胺</w:t>
            </w:r>
          </w:p>
        </w:tc>
        <w:tc>
          <w:tcPr>
            <w:tcW w:w="61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烟碱类</w:t>
            </w:r>
          </w:p>
        </w:tc>
        <w:tc>
          <w:tcPr>
            <w:tcW w:w="55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76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0.05%</w:t>
            </w:r>
          </w:p>
        </w:tc>
        <w:tc>
          <w:tcPr>
            <w:tcW w:w="75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投放</w:t>
            </w:r>
          </w:p>
        </w:tc>
        <w:tc>
          <w:tcPr>
            <w:tcW w:w="39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64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83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氟蚁腙</w:t>
            </w:r>
          </w:p>
        </w:tc>
        <w:tc>
          <w:tcPr>
            <w:tcW w:w="61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烟碱类</w:t>
            </w:r>
          </w:p>
        </w:tc>
        <w:tc>
          <w:tcPr>
            <w:tcW w:w="55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76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2.15%</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75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投放</w:t>
            </w:r>
          </w:p>
        </w:tc>
        <w:tc>
          <w:tcPr>
            <w:tcW w:w="39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64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w:t>
            </w:r>
          </w:p>
        </w:tc>
        <w:tc>
          <w:tcPr>
            <w:tcW w:w="83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吡虫啉</w:t>
            </w:r>
          </w:p>
        </w:tc>
        <w:tc>
          <w:tcPr>
            <w:tcW w:w="61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烟碱类</w:t>
            </w:r>
          </w:p>
        </w:tc>
        <w:tc>
          <w:tcPr>
            <w:tcW w:w="55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76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2.5%</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2.15%</w:t>
            </w:r>
          </w:p>
        </w:tc>
        <w:tc>
          <w:tcPr>
            <w:tcW w:w="75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投放</w:t>
            </w:r>
          </w:p>
        </w:tc>
        <w:tc>
          <w:tcPr>
            <w:tcW w:w="39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低毒</w:t>
            </w:r>
          </w:p>
        </w:tc>
        <w:tc>
          <w:tcPr>
            <w:tcW w:w="64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w:t>
            </w:r>
          </w:p>
        </w:tc>
        <w:tc>
          <w:tcPr>
            <w:tcW w:w="83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呋虫胺</w:t>
            </w:r>
          </w:p>
        </w:tc>
        <w:tc>
          <w:tcPr>
            <w:tcW w:w="612"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烟碱类</w:t>
            </w:r>
          </w:p>
        </w:tc>
        <w:tc>
          <w:tcPr>
            <w:tcW w:w="559"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饵剂</w:t>
            </w:r>
          </w:p>
        </w:tc>
        <w:tc>
          <w:tcPr>
            <w:tcW w:w="763"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0.05%</w:t>
            </w:r>
          </w:p>
        </w:tc>
        <w:tc>
          <w:tcPr>
            <w:tcW w:w="756"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投放</w:t>
            </w:r>
          </w:p>
        </w:tc>
        <w:tc>
          <w:tcPr>
            <w:tcW w:w="398"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微毒</w:t>
            </w:r>
          </w:p>
        </w:tc>
        <w:tc>
          <w:tcPr>
            <w:tcW w:w="644"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按说明书</w:t>
            </w:r>
          </w:p>
        </w:tc>
      </w:tr>
    </w:tbl>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表7  适用于于喷洒作业喷雾器列表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361"/>
        <w:gridCol w:w="718"/>
        <w:gridCol w:w="3223"/>
        <w:gridCol w:w="789"/>
        <w:gridCol w:w="1362"/>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top"/>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序号</w:t>
            </w:r>
          </w:p>
        </w:tc>
        <w:tc>
          <w:tcPr>
            <w:tcW w:w="971"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类型</w:t>
            </w:r>
          </w:p>
        </w:tc>
        <w:tc>
          <w:tcPr>
            <w:tcW w:w="546"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主要</w:t>
            </w:r>
          </w:p>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规格</w:t>
            </w:r>
          </w:p>
        </w:tc>
        <w:tc>
          <w:tcPr>
            <w:tcW w:w="1082"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主要参数</w:t>
            </w:r>
          </w:p>
        </w:tc>
        <w:tc>
          <w:tcPr>
            <w:tcW w:w="602"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用途</w:t>
            </w:r>
          </w:p>
        </w:tc>
        <w:tc>
          <w:tcPr>
            <w:tcW w:w="677"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适用防制</w:t>
            </w:r>
          </w:p>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对象</w:t>
            </w:r>
          </w:p>
        </w:tc>
        <w:tc>
          <w:tcPr>
            <w:tcW w:w="792" w:type="pct"/>
            <w:noWrap/>
            <w:vAlign w:val="center"/>
          </w:tcPr>
          <w:p>
            <w:pPr>
              <w:widowControl/>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33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w:t>
            </w:r>
          </w:p>
        </w:tc>
        <w:tc>
          <w:tcPr>
            <w:tcW w:w="971"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常量手动喷雾器</w:t>
            </w:r>
          </w:p>
        </w:tc>
        <w:tc>
          <w:tcPr>
            <w:tcW w:w="5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1-15L</w:t>
            </w:r>
          </w:p>
        </w:tc>
        <w:tc>
          <w:tcPr>
            <w:tcW w:w="1082" w:type="pct"/>
            <w:noWrap/>
            <w:vAlign w:val="center"/>
          </w:tcPr>
          <w:p>
            <w:pPr>
              <w:widowControl/>
              <w:rPr>
                <w:rFonts w:hint="eastAsia" w:ascii="宋体" w:hAnsi="宋体" w:eastAsia="宋体" w:cs="宋体"/>
                <w:color w:val="000000"/>
                <w:sz w:val="24"/>
                <w:szCs w:val="24"/>
              </w:rPr>
            </w:pPr>
            <w:r>
              <w:rPr>
                <w:rFonts w:hint="eastAsia" w:ascii="宋体" w:hAnsi="宋体" w:eastAsia="宋体" w:cs="宋体"/>
                <w:color w:val="000000"/>
                <w:w w:val="90"/>
                <w:sz w:val="24"/>
                <w:szCs w:val="24"/>
              </w:rPr>
              <w:t>雾粒直径100-200微米；雾粒直径能稳定为好</w:t>
            </w:r>
          </w:p>
        </w:tc>
        <w:tc>
          <w:tcPr>
            <w:tcW w:w="60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67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蚊、蝇、蟑、蚤等</w:t>
            </w:r>
          </w:p>
        </w:tc>
        <w:tc>
          <w:tcPr>
            <w:tcW w:w="792"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2</w:t>
            </w:r>
          </w:p>
        </w:tc>
        <w:tc>
          <w:tcPr>
            <w:tcW w:w="971"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常量机动喷雾器</w:t>
            </w:r>
          </w:p>
        </w:tc>
        <w:tc>
          <w:tcPr>
            <w:tcW w:w="5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15-300L</w:t>
            </w:r>
          </w:p>
        </w:tc>
        <w:tc>
          <w:tcPr>
            <w:tcW w:w="108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雾粒直径100-200微米；雾粒直径能稳定为好</w:t>
            </w:r>
          </w:p>
        </w:tc>
        <w:tc>
          <w:tcPr>
            <w:tcW w:w="60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滞留喷洒</w:t>
            </w:r>
          </w:p>
        </w:tc>
        <w:tc>
          <w:tcPr>
            <w:tcW w:w="67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蚊、蝇、蟑、蚤等</w:t>
            </w:r>
          </w:p>
        </w:tc>
        <w:tc>
          <w:tcPr>
            <w:tcW w:w="792"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3</w:t>
            </w:r>
          </w:p>
        </w:tc>
        <w:tc>
          <w:tcPr>
            <w:tcW w:w="971"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电动超低量喷雾器</w:t>
            </w:r>
          </w:p>
        </w:tc>
        <w:tc>
          <w:tcPr>
            <w:tcW w:w="5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1—5L</w:t>
            </w:r>
          </w:p>
        </w:tc>
        <w:tc>
          <w:tcPr>
            <w:tcW w:w="108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雾粒直径&lt;50微米；20微米以下占比高为好</w:t>
            </w:r>
          </w:p>
        </w:tc>
        <w:tc>
          <w:tcPr>
            <w:tcW w:w="60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67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蚊、蝇、蠓等飞虫</w:t>
            </w:r>
          </w:p>
        </w:tc>
        <w:tc>
          <w:tcPr>
            <w:tcW w:w="792"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3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4</w:t>
            </w:r>
          </w:p>
        </w:tc>
        <w:tc>
          <w:tcPr>
            <w:tcW w:w="971"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机动超低量喷雾器</w:t>
            </w:r>
          </w:p>
        </w:tc>
        <w:tc>
          <w:tcPr>
            <w:tcW w:w="546"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15-300L</w:t>
            </w:r>
          </w:p>
        </w:tc>
        <w:tc>
          <w:tcPr>
            <w:tcW w:w="108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雾粒直径&lt;50微米；20微米以下雾滴占比高为好</w:t>
            </w:r>
          </w:p>
        </w:tc>
        <w:tc>
          <w:tcPr>
            <w:tcW w:w="60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67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蚊、蝇、蠓等飞虫</w:t>
            </w:r>
          </w:p>
        </w:tc>
        <w:tc>
          <w:tcPr>
            <w:tcW w:w="792" w:type="pct"/>
            <w:noWrap/>
            <w:vAlign w:val="center"/>
          </w:tcPr>
          <w:p>
            <w:pPr>
              <w:widowControl/>
              <w:rPr>
                <w:rFonts w:hint="eastAsia" w:ascii="宋体" w:hAnsi="宋体" w:eastAsia="宋体" w:cs="宋体"/>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noWrap/>
            <w:vAlign w:val="center"/>
          </w:tcPr>
          <w:p>
            <w:pPr>
              <w:widowControl/>
              <w:jc w:val="center"/>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5</w:t>
            </w:r>
          </w:p>
        </w:tc>
        <w:tc>
          <w:tcPr>
            <w:tcW w:w="971"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热烟雾机</w:t>
            </w:r>
          </w:p>
        </w:tc>
        <w:tc>
          <w:tcPr>
            <w:tcW w:w="546" w:type="pct"/>
            <w:noWrap/>
            <w:vAlign w:val="center"/>
          </w:tcPr>
          <w:p>
            <w:pPr>
              <w:widowControl/>
              <w:rPr>
                <w:rFonts w:hint="eastAsia" w:ascii="宋体" w:hAnsi="宋体" w:eastAsia="宋体" w:cs="宋体"/>
                <w:color w:val="000000"/>
                <w:w w:val="90"/>
                <w:kern w:val="0"/>
                <w:sz w:val="24"/>
                <w:szCs w:val="24"/>
              </w:rPr>
            </w:pPr>
          </w:p>
        </w:tc>
        <w:tc>
          <w:tcPr>
            <w:tcW w:w="108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雾粒直径2—5微米，性能稳定、操作简便</w:t>
            </w:r>
          </w:p>
        </w:tc>
        <w:tc>
          <w:tcPr>
            <w:tcW w:w="602"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空间喷雾</w:t>
            </w:r>
          </w:p>
        </w:tc>
        <w:tc>
          <w:tcPr>
            <w:tcW w:w="677" w:type="pct"/>
            <w:noWrap/>
            <w:vAlign w:val="center"/>
          </w:tcPr>
          <w:p>
            <w:pPr>
              <w:widowControl/>
              <w:rPr>
                <w:rFonts w:hint="eastAsia" w:ascii="宋体" w:hAnsi="宋体" w:eastAsia="宋体" w:cs="宋体"/>
                <w:color w:val="000000"/>
                <w:w w:val="90"/>
                <w:kern w:val="0"/>
                <w:sz w:val="24"/>
                <w:szCs w:val="24"/>
              </w:rPr>
            </w:pPr>
            <w:r>
              <w:rPr>
                <w:rFonts w:hint="eastAsia" w:ascii="宋体" w:hAnsi="宋体" w:eastAsia="宋体" w:cs="宋体"/>
                <w:color w:val="000000"/>
                <w:w w:val="90"/>
                <w:sz w:val="24"/>
                <w:szCs w:val="24"/>
              </w:rPr>
              <w:t>蚊、蝇、蠓等飞虫</w:t>
            </w:r>
          </w:p>
        </w:tc>
        <w:tc>
          <w:tcPr>
            <w:tcW w:w="792" w:type="pct"/>
            <w:noWrap/>
            <w:vAlign w:val="center"/>
          </w:tcPr>
          <w:p>
            <w:pPr>
              <w:widowControl/>
              <w:rPr>
                <w:rFonts w:hint="eastAsia" w:ascii="宋体" w:hAnsi="宋体" w:eastAsia="宋体" w:cs="宋体"/>
                <w:color w:val="000000"/>
                <w:w w:val="90"/>
                <w:kern w:val="0"/>
                <w:sz w:val="24"/>
                <w:szCs w:val="24"/>
              </w:rPr>
            </w:pPr>
          </w:p>
        </w:tc>
      </w:tr>
    </w:tbl>
    <w:p>
      <w:pPr>
        <w:pStyle w:val="2"/>
        <w:rPr>
          <w:rFonts w:hint="eastAsia" w:ascii="宋体" w:hAnsi="宋体" w:eastAsia="宋体" w:cs="宋体"/>
          <w:b/>
          <w:bCs/>
          <w:color w:val="auto"/>
          <w:sz w:val="24"/>
        </w:rPr>
      </w:pPr>
    </w:p>
    <w:p>
      <w:pPr>
        <w:pStyle w:val="2"/>
        <w:ind w:firstLine="482" w:firstLineChars="200"/>
        <w:rPr>
          <w:rFonts w:hint="eastAsia" w:ascii="宋体" w:hAnsi="宋体" w:eastAsia="宋体" w:cs="宋体"/>
          <w:b/>
          <w:bCs/>
          <w:sz w:val="28"/>
          <w:szCs w:val="28"/>
          <w:lang w:val="zh-CN"/>
        </w:rPr>
      </w:pPr>
      <w:r>
        <w:rPr>
          <w:rFonts w:hint="eastAsia" w:ascii="宋体" w:hAnsi="宋体" w:eastAsia="宋体" w:cs="宋体"/>
          <w:b/>
          <w:bCs/>
          <w:color w:val="auto"/>
          <w:sz w:val="24"/>
        </w:rPr>
        <w:t>▲</w:t>
      </w:r>
      <w:r>
        <w:rPr>
          <w:rFonts w:hint="eastAsia" w:ascii="宋体" w:hAnsi="宋体" w:eastAsia="宋体" w:cs="宋体"/>
          <w:b/>
          <w:bCs/>
          <w:kern w:val="2"/>
          <w:sz w:val="28"/>
          <w:szCs w:val="28"/>
          <w:lang w:val="zh-CN" w:eastAsia="zh-CN" w:bidi="ar-SA"/>
        </w:rPr>
        <w:t>三、商务要求</w:t>
      </w:r>
    </w:p>
    <w:p>
      <w:pPr>
        <w:keepNext w:val="0"/>
        <w:keepLines w:val="0"/>
        <w:pageBreakBefore w:val="0"/>
        <w:kinsoku/>
        <w:wordWrap/>
        <w:overflowPunct/>
        <w:topLinePunct w:val="0"/>
        <w:autoSpaceDE/>
        <w:autoSpaceDN/>
        <w:bidi w:val="0"/>
        <w:adjustRightInd w:val="0"/>
        <w:snapToGrid w:val="0"/>
        <w:spacing w:line="40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1.服务期</w:t>
      </w:r>
      <w:r>
        <w:rPr>
          <w:rFonts w:hint="eastAsia" w:ascii="宋体" w:hAnsi="宋体" w:eastAsia="宋体" w:cs="宋体"/>
          <w:b/>
          <w:bCs/>
          <w:color w:val="auto"/>
          <w:sz w:val="24"/>
          <w:szCs w:val="24"/>
          <w:lang w:eastAsia="zh-CN"/>
        </w:rPr>
        <w:t>限</w:t>
      </w:r>
      <w:r>
        <w:rPr>
          <w:rFonts w:hint="eastAsia" w:ascii="宋体" w:hAnsi="宋体" w:eastAsia="宋体" w:cs="宋体"/>
          <w:b/>
          <w:bCs/>
          <w:color w:val="auto"/>
          <w:sz w:val="24"/>
          <w:szCs w:val="24"/>
        </w:rPr>
        <w:t>：</w:t>
      </w:r>
      <w:r>
        <w:rPr>
          <w:rFonts w:hint="eastAsia" w:ascii="宋体" w:hAnsi="宋体" w:eastAsia="宋体" w:cs="宋体"/>
          <w:color w:val="auto"/>
          <w:kern w:val="2"/>
          <w:sz w:val="24"/>
          <w:szCs w:val="24"/>
          <w:lang w:eastAsia="zh-CN"/>
        </w:rPr>
        <w:t>签订服务合同</w:t>
      </w:r>
      <w:r>
        <w:rPr>
          <w:rFonts w:hint="eastAsia" w:ascii="宋体" w:hAnsi="宋体" w:eastAsia="宋体" w:cs="宋体"/>
          <w:color w:val="auto"/>
          <w:kern w:val="2"/>
          <w:sz w:val="24"/>
          <w:szCs w:val="24"/>
          <w:lang w:val="en-US" w:eastAsia="zh-CN"/>
        </w:rPr>
        <w:t>后至</w:t>
      </w:r>
      <w:r>
        <w:rPr>
          <w:rFonts w:hint="eastAsia" w:ascii="宋体" w:hAnsi="宋体" w:eastAsia="宋体" w:cs="宋体"/>
          <w:color w:val="auto"/>
          <w:sz w:val="24"/>
          <w:lang w:val="en-US" w:eastAsia="zh-CN"/>
        </w:rPr>
        <w:t>第31届世界大学生夏季运动会闭幕运动员离蓉完毕止</w:t>
      </w:r>
      <w:r>
        <w:rPr>
          <w:rFonts w:hint="eastAsia" w:ascii="宋体" w:hAnsi="宋体" w:eastAsia="宋体" w:cs="宋体"/>
          <w:color w:val="auto"/>
          <w:kern w:val="2"/>
          <w:sz w:val="24"/>
          <w:szCs w:val="24"/>
        </w:rPr>
        <w:t>。</w:t>
      </w:r>
    </w:p>
    <w:p>
      <w:pPr>
        <w:ind w:firstLine="482" w:firstLineChars="200"/>
        <w:jc w:val="left"/>
        <w:rPr>
          <w:rFonts w:hint="eastAsia" w:ascii="宋体" w:hAnsi="宋体" w:eastAsia="宋体" w:cs="宋体"/>
          <w:color w:val="auto"/>
          <w:sz w:val="24"/>
          <w:lang w:val="en-US" w:eastAsia="zh-CN"/>
        </w:rPr>
      </w:pPr>
      <w:r>
        <w:rPr>
          <w:rFonts w:hint="eastAsia" w:ascii="宋体" w:hAnsi="宋体" w:eastAsia="宋体" w:cs="宋体"/>
          <w:b/>
          <w:bCs/>
          <w:color w:val="auto"/>
          <w:kern w:val="2"/>
          <w:sz w:val="24"/>
          <w:szCs w:val="24"/>
          <w:lang w:val="en-US" w:eastAsia="zh-CN" w:bidi="ar-SA"/>
        </w:rPr>
        <w:t>2.</w:t>
      </w:r>
      <w:r>
        <w:rPr>
          <w:rFonts w:hint="eastAsia" w:ascii="宋体" w:hAnsi="宋体" w:eastAsia="宋体" w:cs="宋体"/>
          <w:b/>
          <w:bCs/>
          <w:color w:val="auto"/>
          <w:sz w:val="24"/>
          <w:szCs w:val="24"/>
        </w:rPr>
        <w:t>响应时间</w:t>
      </w:r>
      <w:r>
        <w:rPr>
          <w:rFonts w:hint="eastAsia" w:ascii="宋体" w:hAnsi="宋体" w:eastAsia="宋体" w:cs="宋体"/>
          <w:b/>
          <w:color w:val="000000"/>
          <w:sz w:val="24"/>
          <w:szCs w:val="24"/>
        </w:rPr>
        <w:t>：</w:t>
      </w:r>
      <w:r>
        <w:rPr>
          <w:rFonts w:hint="eastAsia" w:ascii="宋体" w:hAnsi="宋体" w:eastAsia="宋体" w:cs="宋体"/>
          <w:color w:val="auto"/>
          <w:sz w:val="24"/>
          <w:lang w:val="en-US" w:eastAsia="zh-CN"/>
        </w:rPr>
        <w:t>接到采购人通知后1小时内响应，5小时内完成相关准备工作。</w:t>
      </w:r>
    </w:p>
    <w:p>
      <w:pPr>
        <w:pStyle w:val="10"/>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3.付款方式及进度：</w:t>
      </w:r>
    </w:p>
    <w:p>
      <w:pPr>
        <w:pStyle w:val="10"/>
        <w:spacing w:line="240" w:lineRule="auto"/>
        <w:ind w:firstLine="482" w:firstLineChars="200"/>
        <w:rPr>
          <w:rFonts w:hint="eastAsia" w:ascii="宋体" w:hAnsi="宋体" w:eastAsia="宋体" w:cs="宋体"/>
          <w:color w:val="000000"/>
          <w:sz w:val="24"/>
          <w:szCs w:val="24"/>
          <w:lang w:val="en-US" w:eastAsia="zh-CN" w:bidi="ar-SA"/>
        </w:rPr>
      </w:pPr>
      <w:r>
        <w:rPr>
          <w:rFonts w:hint="eastAsia" w:ascii="宋体" w:hAnsi="宋体" w:eastAsia="宋体" w:cs="宋体"/>
          <w:b/>
          <w:bCs/>
          <w:color w:val="auto"/>
          <w:kern w:val="2"/>
          <w:sz w:val="24"/>
          <w:szCs w:val="24"/>
          <w:lang w:val="en-US" w:eastAsia="zh-CN" w:bidi="ar-SA"/>
        </w:rPr>
        <w:t>3.1</w:t>
      </w:r>
      <w:r>
        <w:rPr>
          <w:rFonts w:hint="eastAsia" w:ascii="宋体" w:hAnsi="宋体" w:eastAsia="宋体" w:cs="宋体"/>
          <w:color w:val="000000"/>
          <w:sz w:val="24"/>
          <w:szCs w:val="24"/>
        </w:rPr>
        <w:t>合同签订并生效后，自收到供应商发票</w:t>
      </w:r>
      <w:r>
        <w:rPr>
          <w:rFonts w:hint="eastAsia" w:ascii="宋体" w:hAnsi="宋体" w:eastAsia="宋体" w:cs="宋体"/>
          <w:color w:val="000000"/>
          <w:sz w:val="24"/>
          <w:szCs w:val="24"/>
          <w:lang w:val="en-US" w:eastAsia="zh-CN"/>
        </w:rPr>
        <w:t>10个工作</w:t>
      </w:r>
      <w:r>
        <w:rPr>
          <w:rFonts w:hint="eastAsia" w:ascii="宋体" w:hAnsi="宋体" w:eastAsia="宋体" w:cs="宋体"/>
          <w:color w:val="000000"/>
          <w:sz w:val="24"/>
          <w:szCs w:val="24"/>
        </w:rPr>
        <w:t>日内，采购人向供应商支付合同金额40%；项目验收合格后，供应商应向采购人发出付款所需票据凭证资料，采购人在收到票据凭证资料后的</w:t>
      </w:r>
      <w:r>
        <w:rPr>
          <w:rFonts w:hint="eastAsia" w:ascii="宋体" w:hAnsi="宋体" w:eastAsia="宋体" w:cs="宋体"/>
          <w:color w:val="000000"/>
          <w:sz w:val="24"/>
          <w:szCs w:val="24"/>
          <w:lang w:val="en-US" w:eastAsia="zh-CN"/>
        </w:rPr>
        <w:t>10个工作</w:t>
      </w:r>
      <w:r>
        <w:rPr>
          <w:rFonts w:hint="eastAsia" w:ascii="宋体" w:hAnsi="宋体" w:eastAsia="宋体" w:cs="宋体"/>
          <w:color w:val="000000"/>
          <w:sz w:val="24"/>
          <w:szCs w:val="24"/>
        </w:rPr>
        <w:t>日内支付剩余合同款项。</w:t>
      </w:r>
    </w:p>
    <w:p>
      <w:pPr>
        <w:ind w:firstLine="482" w:firstLineChars="200"/>
        <w:jc w:val="left"/>
        <w:rPr>
          <w:rFonts w:hint="eastAsia" w:ascii="宋体" w:hAnsi="宋体" w:eastAsia="宋体" w:cs="宋体"/>
          <w:bCs/>
          <w:color w:val="auto"/>
          <w:sz w:val="24"/>
          <w:szCs w:val="24"/>
          <w:lang w:val="en-US" w:eastAsia="zh-CN"/>
        </w:rPr>
      </w:pPr>
      <w:bookmarkStart w:id="1" w:name="_Hlk130291895"/>
      <w:r>
        <w:rPr>
          <w:rFonts w:hint="eastAsia" w:ascii="宋体" w:hAnsi="宋体" w:eastAsia="宋体" w:cs="宋体"/>
          <w:b/>
          <w:bCs/>
          <w:color w:val="auto"/>
          <w:kern w:val="2"/>
          <w:sz w:val="24"/>
          <w:szCs w:val="24"/>
          <w:lang w:val="en-US" w:eastAsia="zh-CN" w:bidi="ar-SA"/>
        </w:rPr>
        <w:t>3.2</w:t>
      </w:r>
      <w:r>
        <w:rPr>
          <w:rFonts w:hint="eastAsia" w:ascii="宋体" w:hAnsi="宋体" w:eastAsia="宋体" w:cs="宋体"/>
          <w:bCs/>
          <w:color w:val="000000"/>
          <w:sz w:val="24"/>
          <w:szCs w:val="24"/>
        </w:rPr>
        <w:t>每次支付前，供应商需提交付款申请，并提供增值税普通发票等相关资料进行款项支付。供应商出具的发票未经采购人财务部门审核通过的，采购人有权拒绝付款，并有权要求供应商承担因发票问题导致的所有损失和责任。</w:t>
      </w:r>
      <w:bookmarkEnd w:id="1"/>
    </w:p>
    <w:p>
      <w:pPr>
        <w:numPr>
          <w:ilvl w:val="0"/>
          <w:numId w:val="3"/>
        </w:numPr>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项目履约地点：</w:t>
      </w:r>
      <w:r>
        <w:rPr>
          <w:rFonts w:hint="eastAsia" w:ascii="宋体" w:hAnsi="宋体" w:eastAsia="宋体" w:cs="宋体"/>
          <w:bCs/>
          <w:color w:val="000000"/>
          <w:sz w:val="24"/>
          <w:szCs w:val="24"/>
        </w:rPr>
        <w:t>成都市双流区范围内。</w:t>
      </w:r>
    </w:p>
    <w:p>
      <w:pPr>
        <w:numPr>
          <w:ilvl w:val="0"/>
          <w:numId w:val="3"/>
        </w:numPr>
        <w:ind w:firstLine="482" w:firstLineChars="200"/>
        <w:rPr>
          <w:rFonts w:hint="eastAsia" w:ascii="宋体" w:hAnsi="宋体" w:eastAsia="宋体" w:cs="宋体"/>
          <w:bCs/>
          <w:color w:val="000000"/>
          <w:sz w:val="24"/>
          <w:szCs w:val="24"/>
        </w:rPr>
      </w:pPr>
      <w:r>
        <w:rPr>
          <w:rFonts w:hint="eastAsia" w:ascii="宋体" w:hAnsi="宋体" w:eastAsia="宋体" w:cs="宋体"/>
          <w:b/>
          <w:bCs/>
          <w:color w:val="auto"/>
          <w:kern w:val="2"/>
          <w:sz w:val="24"/>
          <w:szCs w:val="24"/>
          <w:lang w:val="en-US" w:eastAsia="zh-CN" w:bidi="ar-SA"/>
        </w:rPr>
        <w:t>验收标准和方法：</w:t>
      </w:r>
      <w:r>
        <w:rPr>
          <w:rFonts w:hint="eastAsia" w:ascii="宋体" w:hAnsi="宋体" w:eastAsia="宋体" w:cs="宋体"/>
          <w:bCs/>
          <w:color w:val="000000"/>
          <w:sz w:val="24"/>
          <w:szCs w:val="24"/>
        </w:rPr>
        <w:t>按照《财政部关于进一步加强政府采购需求和履约验收管理的指导意见》（财库〔2016〕205号）要求、磋商文件的质量要求和技术指标、成交供应商的响应文件及承诺以及合同约定标准进行验收。</w:t>
      </w:r>
    </w:p>
    <w:p>
      <w:pPr>
        <w:ind w:firstLine="482" w:firstLineChars="20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6.其他要求：</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6.1</w:t>
      </w:r>
      <w:r>
        <w:rPr>
          <w:rFonts w:hint="eastAsia" w:ascii="宋体" w:hAnsi="宋体" w:eastAsia="宋体" w:cs="宋体"/>
          <w:bCs/>
          <w:color w:val="auto"/>
          <w:sz w:val="24"/>
          <w:szCs w:val="24"/>
        </w:rPr>
        <w:t>采购人有权对供应商的各项工作进行监督、检查，对不符合采购人工作要求的服务行为要求其立即纠正、整改。</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6.2</w:t>
      </w:r>
      <w:r>
        <w:rPr>
          <w:rFonts w:hint="eastAsia" w:ascii="宋体" w:hAnsi="宋体" w:eastAsia="宋体" w:cs="宋体"/>
          <w:bCs/>
          <w:color w:val="auto"/>
          <w:sz w:val="24"/>
          <w:szCs w:val="24"/>
        </w:rPr>
        <w:t>如因供应商管理服务不当造成采购人损失的，采购人有权要求赔偿，并且采购人有权解除合同或采取其它措施。</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6.3</w:t>
      </w:r>
      <w:r>
        <w:rPr>
          <w:rFonts w:hint="eastAsia" w:ascii="宋体" w:hAnsi="宋体" w:eastAsia="宋体" w:cs="宋体"/>
          <w:bCs/>
          <w:color w:val="auto"/>
          <w:sz w:val="24"/>
          <w:szCs w:val="24"/>
        </w:rPr>
        <w:t>供应商应遵守采购人的规定，服从采购人管理部门统一调度，杜绝安全事故的发生，在实际作业中发生了</w:t>
      </w:r>
      <w:r>
        <w:rPr>
          <w:rFonts w:hint="eastAsia" w:ascii="宋体" w:hAnsi="宋体" w:eastAsia="宋体" w:cs="宋体"/>
          <w:color w:val="auto"/>
          <w:sz w:val="24"/>
          <w:szCs w:val="24"/>
        </w:rPr>
        <w:t>非采购人方的原因造成的</w:t>
      </w:r>
      <w:r>
        <w:rPr>
          <w:rFonts w:hint="eastAsia" w:ascii="宋体" w:hAnsi="宋体" w:eastAsia="宋体" w:cs="宋体"/>
          <w:bCs/>
          <w:color w:val="auto"/>
          <w:sz w:val="24"/>
          <w:szCs w:val="24"/>
        </w:rPr>
        <w:t>安全事故一切责任由供应商自行承担。</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6.4</w:t>
      </w:r>
      <w:r>
        <w:rPr>
          <w:rFonts w:hint="eastAsia" w:ascii="宋体" w:hAnsi="宋体" w:eastAsia="宋体" w:cs="宋体"/>
          <w:bCs/>
          <w:color w:val="auto"/>
          <w:sz w:val="24"/>
          <w:szCs w:val="24"/>
        </w:rPr>
        <w:t>质量标准：服务质量要求应满足但不限于磋商文件规定，且满足国家、行业有关规范的标准。</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6.5</w:t>
      </w:r>
      <w:r>
        <w:rPr>
          <w:rFonts w:hint="eastAsia" w:ascii="宋体" w:hAnsi="宋体" w:eastAsia="宋体" w:cs="宋体"/>
          <w:bCs/>
          <w:color w:val="auto"/>
          <w:sz w:val="24"/>
          <w:szCs w:val="24"/>
        </w:rPr>
        <w:t>本项目所涉及的服务费用、药物器械费用、</w:t>
      </w:r>
      <w:r>
        <w:rPr>
          <w:rFonts w:hint="eastAsia" w:ascii="宋体" w:hAnsi="宋体" w:eastAsia="宋体" w:cs="宋体"/>
          <w:bCs/>
          <w:color w:val="auto"/>
          <w:sz w:val="24"/>
          <w:szCs w:val="24"/>
          <w:lang w:eastAsia="zh-CN"/>
        </w:rPr>
        <w:t>机具</w:t>
      </w:r>
      <w:r>
        <w:rPr>
          <w:rFonts w:hint="eastAsia" w:ascii="宋体" w:hAnsi="宋体" w:eastAsia="宋体" w:cs="宋体"/>
          <w:bCs/>
          <w:color w:val="auto"/>
          <w:sz w:val="24"/>
          <w:szCs w:val="24"/>
        </w:rPr>
        <w:t>费用、资料费用都由供应商提供，采购人不再承担其他任何费用。</w:t>
      </w:r>
    </w:p>
    <w:p>
      <w:pPr>
        <w:ind w:firstLine="480" w:firstLineChars="200"/>
        <w:jc w:val="left"/>
        <w:rPr>
          <w:rFonts w:hint="eastAsia" w:ascii="宋体" w:hAnsi="宋体" w:eastAsia="宋体" w:cs="宋体"/>
        </w:rPr>
      </w:pPr>
      <w:r>
        <w:rPr>
          <w:rFonts w:hint="eastAsia" w:ascii="宋体" w:hAnsi="宋体" w:eastAsia="宋体" w:cs="宋体"/>
          <w:bCs/>
          <w:color w:val="auto"/>
          <w:sz w:val="24"/>
          <w:szCs w:val="24"/>
          <w:lang w:val="en-US" w:eastAsia="zh-CN"/>
        </w:rPr>
        <w:t>6.6</w:t>
      </w:r>
      <w:r>
        <w:rPr>
          <w:rFonts w:hint="eastAsia" w:ascii="宋体" w:hAnsi="宋体" w:eastAsia="宋体" w:cs="宋体"/>
          <w:bCs/>
          <w:color w:val="auto"/>
          <w:sz w:val="24"/>
          <w:szCs w:val="24"/>
        </w:rPr>
        <w:t>供应商在合同签订后5个工作日内向采购人提供在服务中使用的药品的生产厂家在有效期内的农药登记证（卫生用药）、农药生产许可证、药品企业产品标准以及其他对药品要求的相关资质材料</w:t>
      </w:r>
      <w:r>
        <w:rPr>
          <w:rFonts w:hint="eastAsia" w:ascii="宋体" w:hAnsi="宋体" w:eastAsia="宋体" w:cs="宋体"/>
          <w:b/>
          <w:bCs w:val="0"/>
          <w:color w:val="auto"/>
          <w:sz w:val="24"/>
          <w:szCs w:val="24"/>
        </w:rPr>
        <w:t>（需提供承诺函</w:t>
      </w:r>
      <w:r>
        <w:rPr>
          <w:rFonts w:hint="eastAsia" w:ascii="宋体" w:hAnsi="宋体" w:eastAsia="宋体" w:cs="宋体"/>
          <w:b/>
          <w:bCs w:val="0"/>
          <w:color w:val="auto"/>
          <w:sz w:val="24"/>
          <w:szCs w:val="24"/>
          <w:lang w:eastAsia="zh-CN"/>
        </w:rPr>
        <w:t>，格式自拟</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7</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违约责任</w:t>
      </w:r>
    </w:p>
    <w:p>
      <w:pPr>
        <w:keepNext w:val="0"/>
        <w:keepLines w:val="0"/>
        <w:widowControl/>
        <w:suppressLineNumbers w:val="0"/>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.1供应商必须遵守采购合同并执行合同中的各项规定，保证采购合同的正常履行。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2如因供应商工作人员在履行合同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7.3</w:t>
      </w:r>
      <w:r>
        <w:rPr>
          <w:rFonts w:hint="eastAsia" w:ascii="宋体" w:hAnsi="宋体" w:eastAsia="宋体" w:cs="宋体"/>
          <w:color w:val="auto"/>
          <w:sz w:val="24"/>
        </w:rPr>
        <w:t>供应商应当遵守采购人的相关项目需求及相关技术要求及实质性条款，实施完成采购合同应当完全满足相关项目需求及相关技术要求及实质性条款，若供应商瑕疵履行采购合同，采购人有权向供应商要求合同总价款20%的违约金，若造成相关损失的，采购人有权要求供应商承担所有赔偿责任。</w:t>
      </w:r>
    </w:p>
    <w:p>
      <w:pPr>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val="en-US" w:eastAsia="zh-CN"/>
        </w:rPr>
        <w:t>8.</w:t>
      </w:r>
      <w:r>
        <w:rPr>
          <w:rFonts w:hint="eastAsia" w:ascii="宋体" w:hAnsi="宋体" w:eastAsia="宋体" w:cs="宋体"/>
          <w:b/>
          <w:bCs/>
          <w:color w:val="auto"/>
          <w:sz w:val="24"/>
        </w:rPr>
        <w:t>解决合同纠纷的方式</w:t>
      </w:r>
    </w:p>
    <w:p>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执行本合同中发生的或与本合同有关的争议，双方应通过友好协商解决，经协商在 30 天内不能达成协议时，双方均可向甲方所在地法院提起诉讼。</w:t>
      </w:r>
    </w:p>
    <w:p>
      <w:pPr>
        <w:ind w:firstLine="482" w:firstLineChars="200"/>
        <w:rPr>
          <w:rFonts w:hint="eastAsia" w:ascii="宋体" w:hAnsi="宋体" w:eastAsia="宋体" w:cs="宋体"/>
          <w:b/>
          <w:color w:val="auto"/>
          <w:kern w:val="0"/>
          <w:sz w:val="24"/>
          <w:szCs w:val="24"/>
          <w:lang w:val="zh-CN"/>
        </w:rPr>
      </w:pPr>
      <w:r>
        <w:rPr>
          <w:rFonts w:hint="eastAsia" w:ascii="宋体" w:hAnsi="宋体" w:eastAsia="宋体" w:cs="宋体"/>
          <w:b/>
          <w:color w:val="auto"/>
          <w:kern w:val="0"/>
          <w:sz w:val="24"/>
          <w:szCs w:val="24"/>
          <w:lang w:val="en-US" w:eastAsia="zh-CN"/>
        </w:rPr>
        <w:t>9.</w:t>
      </w:r>
      <w:r>
        <w:rPr>
          <w:rFonts w:hint="eastAsia" w:ascii="宋体" w:hAnsi="宋体" w:eastAsia="宋体" w:cs="宋体"/>
          <w:b/>
          <w:color w:val="auto"/>
          <w:kern w:val="0"/>
          <w:sz w:val="24"/>
          <w:szCs w:val="24"/>
          <w:lang w:val="zh-CN"/>
        </w:rPr>
        <w:t>考核</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9.1</w:t>
      </w:r>
      <w:r>
        <w:rPr>
          <w:rFonts w:hint="eastAsia" w:ascii="宋体" w:hAnsi="宋体" w:eastAsia="宋体" w:cs="宋体"/>
          <w:bCs/>
          <w:color w:val="auto"/>
          <w:sz w:val="24"/>
          <w:szCs w:val="24"/>
        </w:rPr>
        <w:t>采购人在项目实施过程中对供应商的服务工作进行考核并签署考核报告；</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9.2</w:t>
      </w:r>
      <w:r>
        <w:rPr>
          <w:rFonts w:hint="eastAsia" w:ascii="宋体" w:hAnsi="宋体" w:eastAsia="宋体" w:cs="宋体"/>
          <w:bCs/>
          <w:color w:val="auto"/>
          <w:sz w:val="24"/>
          <w:szCs w:val="24"/>
        </w:rPr>
        <w:t>供应商就服务工作中出现的各类问题，应出具整改方案、计划及具体保障措施；</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9.3</w:t>
      </w:r>
      <w:r>
        <w:rPr>
          <w:rFonts w:hint="eastAsia" w:ascii="宋体" w:hAnsi="宋体" w:eastAsia="宋体" w:cs="宋体"/>
          <w:bCs/>
          <w:color w:val="auto"/>
          <w:sz w:val="24"/>
          <w:szCs w:val="24"/>
        </w:rPr>
        <w:t>首次考核不合格，扣除合同金额的0.5%，并立即整改；第二次考核不合格，扣除合同金额的1%，并立即整改；第三次考核不合格，扣除合同金额的2%，并立即整改；第四考核不合格，扣除全部剩余款项，并追究其法律责任，同时解除合同。采购人负责对供应商工作进行考核，供应商在工作过程中必须有完备的施工记录，并由采购人指定的工作人员签字确认。</w:t>
      </w:r>
    </w:p>
    <w:p>
      <w:pP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附：考核标准</w:t>
      </w:r>
    </w:p>
    <w:p>
      <w:pPr>
        <w:tabs>
          <w:tab w:val="left" w:pos="2410"/>
        </w:tabs>
        <w:overflowPunct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服务范围：</w:t>
      </w:r>
      <w:r>
        <w:rPr>
          <w:rFonts w:hint="eastAsia" w:ascii="宋体" w:hAnsi="宋体" w:eastAsia="宋体" w:cs="宋体"/>
          <w:color w:val="auto"/>
          <w:sz w:val="24"/>
        </w:rPr>
        <w:t>双流体育中心、四川川投国际网球赛事中心围墙外（500米半径范围内）本辖区“一般保障区”开展病媒生物防制工作；大运会双流赛区公路项目比赛路径及周边重点区域病媒生物防制工作。</w:t>
      </w:r>
    </w:p>
    <w:p>
      <w:pPr>
        <w:tabs>
          <w:tab w:val="left" w:pos="2410"/>
        </w:tabs>
        <w:overflowPunct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（1）鼠类控制：有鼠迹房间不超过5%；鼠迹阳性率小于等于5%；建筑物防鼠设施合格率在95%以上；外环境（每1000米）鼠迹不超过5处。</w:t>
      </w:r>
    </w:p>
    <w:p>
      <w:pPr>
        <w:tabs>
          <w:tab w:val="left" w:pos="2410"/>
        </w:tabs>
        <w:overflowPunct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（2）蚊类控制：单位内外环境各种存水容器和积水中，蚊幼及蛹的阳性率不超过5%。成蚊诱捕率小于等于1.5只/（人.次）；防蚊设施合格率大于等于95%。</w:t>
      </w:r>
    </w:p>
    <w:p>
      <w:pPr>
        <w:tabs>
          <w:tab w:val="left" w:pos="2410"/>
        </w:tabs>
        <w:overflowPunct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（3）蝇类控制：有蝇房间阳性率不超过9%，平均每阳性房间不超过3只；蝇类孳生地得到有效治理，幼虫和蛹的检出率不超过5%；防蝇设施合格率应达到95%及以上。</w:t>
      </w:r>
    </w:p>
    <w:p>
      <w:pPr>
        <w:tabs>
          <w:tab w:val="left" w:pos="2410"/>
        </w:tabs>
        <w:overflowPunct w:val="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（4）蟑螂控制：室内有蟑螂成虫或若虫阳性房间不超过3间，平均每阳性房间德国小蠊不超过10只（大蠊不超过5只）；有活卵鞘房间不超过3%，平均每阳性房间不超过8只；有蟑迹房间不超过7%。</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9.4</w:t>
      </w:r>
      <w:r>
        <w:rPr>
          <w:rFonts w:hint="eastAsia" w:ascii="宋体" w:hAnsi="宋体" w:eastAsia="宋体" w:cs="宋体"/>
          <w:bCs/>
          <w:color w:val="auto"/>
          <w:sz w:val="24"/>
          <w:szCs w:val="24"/>
        </w:rPr>
        <w:t>考核判断</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（1）最终结果统计后，采购人把结果填写在“大运</w:t>
      </w:r>
      <w:r>
        <w:rPr>
          <w:rFonts w:hint="eastAsia" w:ascii="宋体" w:hAnsi="宋体" w:eastAsia="宋体" w:cs="宋体"/>
          <w:bCs/>
          <w:color w:val="auto"/>
          <w:sz w:val="24"/>
          <w:szCs w:val="24"/>
          <w:lang w:eastAsia="zh-CN"/>
        </w:rPr>
        <w:t>会</w:t>
      </w:r>
      <w:r>
        <w:rPr>
          <w:rFonts w:hint="eastAsia" w:ascii="宋体" w:hAnsi="宋体" w:eastAsia="宋体" w:cs="宋体"/>
          <w:bCs/>
          <w:color w:val="auto"/>
          <w:sz w:val="24"/>
          <w:szCs w:val="24"/>
        </w:rPr>
        <w:t>场馆</w:t>
      </w:r>
      <w:r>
        <w:rPr>
          <w:rFonts w:hint="eastAsia" w:ascii="宋体" w:hAnsi="宋体" w:eastAsia="宋体" w:cs="宋体"/>
          <w:bCs/>
          <w:color w:val="auto"/>
          <w:sz w:val="24"/>
          <w:szCs w:val="24"/>
          <w:lang w:eastAsia="zh-CN"/>
        </w:rPr>
        <w:t>周边病媒生物控制</w:t>
      </w:r>
      <w:r>
        <w:rPr>
          <w:rFonts w:hint="eastAsia" w:ascii="宋体" w:hAnsi="宋体" w:eastAsia="宋体" w:cs="宋体"/>
          <w:bCs/>
          <w:color w:val="auto"/>
          <w:sz w:val="24"/>
          <w:szCs w:val="24"/>
        </w:rPr>
        <w:t>效果考核表”，判断相应考核项目结果是否达到要求。将检查的主要情况填写在表格的“检查情况综述”。</w:t>
      </w:r>
    </w:p>
    <w:p>
      <w:pPr>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（2）当被考核的场馆</w:t>
      </w:r>
      <w:r>
        <w:rPr>
          <w:rFonts w:hint="eastAsia" w:ascii="宋体" w:hAnsi="宋体" w:eastAsia="宋体" w:cs="宋体"/>
          <w:bCs/>
          <w:color w:val="auto"/>
          <w:sz w:val="24"/>
          <w:szCs w:val="24"/>
          <w:lang w:eastAsia="zh-CN"/>
        </w:rPr>
        <w:t>周边</w:t>
      </w:r>
      <w:r>
        <w:rPr>
          <w:rFonts w:hint="eastAsia" w:ascii="宋体" w:hAnsi="宋体" w:eastAsia="宋体" w:cs="宋体"/>
          <w:bCs/>
          <w:color w:val="auto"/>
          <w:sz w:val="24"/>
          <w:szCs w:val="24"/>
        </w:rPr>
        <w:t>的所有项目均达到与之相应的考核标准，考核结果为“通过考核”，否则为“未通过考核”。</w:t>
      </w:r>
    </w:p>
    <w:p>
      <w:pPr>
        <w:pStyle w:val="2"/>
        <w:widowControl/>
        <w:adjustRightInd w:val="0"/>
        <w:snapToGrid w:val="0"/>
        <w:spacing w:line="336" w:lineRule="auto"/>
        <w:rPr>
          <w:rFonts w:hint="eastAsia" w:ascii="宋体" w:hAnsi="宋体" w:eastAsia="宋体" w:cs="宋体"/>
          <w:b/>
          <w:bCs/>
          <w:color w:val="auto"/>
          <w:sz w:val="24"/>
        </w:rPr>
      </w:pPr>
    </w:p>
    <w:p>
      <w:pPr>
        <w:pStyle w:val="2"/>
        <w:widowControl/>
        <w:adjustRightInd w:val="0"/>
        <w:snapToGrid w:val="0"/>
        <w:spacing w:line="336" w:lineRule="auto"/>
        <w:rPr>
          <w:rFonts w:hint="eastAsia" w:ascii="宋体" w:hAnsi="宋体" w:eastAsia="宋体" w:cs="宋体"/>
          <w:color w:val="auto"/>
        </w:rPr>
      </w:pPr>
      <w:r>
        <w:rPr>
          <w:rFonts w:hint="eastAsia" w:ascii="宋体" w:hAnsi="宋体" w:eastAsia="宋体" w:cs="宋体"/>
          <w:b/>
          <w:bCs/>
          <w:color w:val="auto"/>
          <w:sz w:val="24"/>
        </w:rPr>
        <w:t>注：本章采购需求中标注 “▲” 号的条款为本次采购项目的实质性要求，供应商应全部满足，否则作响应文件无效处理。</w:t>
      </w:r>
    </w:p>
    <w:p>
      <w:pPr>
        <w:rPr>
          <w:rFonts w:hint="eastAsia" w:ascii="宋体" w:hAnsi="宋体" w:eastAsia="宋体" w:cs="宋体"/>
          <w:b/>
          <w:bCs/>
          <w:spacing w:val="-6"/>
          <w:szCs w:val="28"/>
        </w:rPr>
      </w:pPr>
    </w:p>
    <w:p>
      <w:pPr>
        <w:pStyle w:val="4"/>
        <w:rPr>
          <w:rFonts w:hint="eastAsia" w:ascii="宋体" w:hAnsi="宋体" w:eastAsia="宋体" w:cs="宋体"/>
          <w:b/>
          <w:bCs/>
          <w:spacing w:val="-6"/>
          <w:szCs w:val="28"/>
        </w:rPr>
      </w:pPr>
    </w:p>
    <w:p>
      <w:pPr>
        <w:rPr>
          <w:rFonts w:hint="eastAsia" w:ascii="宋体" w:hAnsi="宋体" w:eastAsia="宋体" w:cs="宋体"/>
          <w:b/>
          <w:bCs/>
          <w:spacing w:val="-6"/>
          <w:szCs w:val="28"/>
        </w:rPr>
      </w:pPr>
    </w:p>
    <w:p>
      <w:pPr>
        <w:pStyle w:val="6"/>
        <w:jc w:val="both"/>
        <w:outlineLvl w:val="0"/>
        <w:rPr>
          <w:rFonts w:hint="eastAsia" w:ascii="宋体" w:hAnsi="宋体" w:eastAsia="宋体" w:cs="宋体"/>
          <w:color w:val="000000"/>
        </w:rPr>
      </w:pPr>
    </w:p>
    <w:p>
      <w:pPr>
        <w:pStyle w:val="2"/>
        <w:rPr>
          <w:rFonts w:hint="eastAsia" w:ascii="宋体" w:hAnsi="宋体" w:eastAsia="宋体" w:cs="宋体"/>
          <w:color w:val="000000"/>
        </w:rPr>
      </w:pPr>
    </w:p>
    <w:p>
      <w:pPr>
        <w:pStyle w:val="11"/>
        <w:numPr>
          <w:ilvl w:val="0"/>
          <w:numId w:val="0"/>
        </w:numPr>
        <w:ind w:leftChars="0"/>
        <w:rPr>
          <w:rFonts w:hint="eastAsia" w:ascii="宋体" w:hAnsi="宋体" w:eastAsia="宋体" w:cs="宋体"/>
        </w:rPr>
      </w:pPr>
    </w:p>
    <w:p>
      <w:pPr>
        <w:rPr>
          <w:rFonts w:hint="eastAsia" w:ascii="宋体" w:hAnsi="宋体" w:eastAsia="宋体" w:cs="宋体"/>
          <w:color w:val="000000"/>
        </w:rPr>
      </w:pPr>
    </w:p>
    <w:p>
      <w:pPr>
        <w:pStyle w:val="2"/>
        <w:rPr>
          <w:rFonts w:hint="eastAsia" w:ascii="宋体" w:hAnsi="宋体" w:eastAsia="宋体" w:cs="宋体"/>
          <w:color w:val="000000"/>
        </w:rPr>
      </w:pPr>
    </w:p>
    <w:p>
      <w:pPr>
        <w:pStyle w:val="11"/>
        <w:numPr>
          <w:ilvl w:val="0"/>
          <w:numId w:val="0"/>
        </w:numPr>
        <w:ind w:leftChars="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11"/>
        <w:numPr>
          <w:ilvl w:val="0"/>
          <w:numId w:val="0"/>
        </w:numPr>
        <w:ind w:leftChars="0"/>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11"/>
        <w:numPr>
          <w:ilvl w:val="0"/>
          <w:numId w:val="0"/>
        </w:numPr>
        <w:ind w:leftChars="0"/>
        <w:rPr>
          <w:rFonts w:hint="eastAsia" w:ascii="宋体" w:hAnsi="宋体" w:eastAsia="宋体" w:cs="宋体"/>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3FEF9"/>
    <w:multiLevelType w:val="singleLevel"/>
    <w:tmpl w:val="8103FEF9"/>
    <w:lvl w:ilvl="0" w:tentative="0">
      <w:start w:val="4"/>
      <w:numFmt w:val="decimal"/>
      <w:lvlText w:val="%1."/>
      <w:lvlJc w:val="left"/>
      <w:pPr>
        <w:tabs>
          <w:tab w:val="left" w:pos="312"/>
        </w:tabs>
      </w:pPr>
      <w:rPr>
        <w:rFonts w:hint="default"/>
        <w:b/>
        <w:bCs/>
      </w:rPr>
    </w:lvl>
  </w:abstractNum>
  <w:abstractNum w:abstractNumId="1">
    <w:nsid w:val="8ECC0B5C"/>
    <w:multiLevelType w:val="singleLevel"/>
    <w:tmpl w:val="8ECC0B5C"/>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pStyle w:val="3"/>
      <w:lvlText w:val="%1、"/>
      <w:lvlJc w:val="left"/>
      <w:pPr>
        <w:tabs>
          <w:tab w:val="left" w:pos="360"/>
        </w:tabs>
        <w:ind w:left="990" w:hanging="360"/>
      </w:pPr>
    </w:lvl>
    <w:lvl w:ilvl="1" w:tentative="0">
      <w:start w:val="1"/>
      <w:numFmt w:val="decimal"/>
      <w:lvlText w:val="%2."/>
      <w:lvlJc w:val="left"/>
      <w:pPr>
        <w:tabs>
          <w:tab w:val="left" w:pos="1440"/>
        </w:tabs>
        <w:ind w:left="1860" w:hanging="360"/>
      </w:pPr>
    </w:lvl>
    <w:lvl w:ilvl="2" w:tentative="0">
      <w:start w:val="1"/>
      <w:numFmt w:val="decimal"/>
      <w:lvlText w:val="%3."/>
      <w:lvlJc w:val="left"/>
      <w:pPr>
        <w:tabs>
          <w:tab w:val="left" w:pos="2160"/>
        </w:tabs>
        <w:ind w:left="2580" w:hanging="360"/>
      </w:pPr>
    </w:lvl>
    <w:lvl w:ilvl="3" w:tentative="0">
      <w:start w:val="1"/>
      <w:numFmt w:val="decimal"/>
      <w:lvlText w:val="%4."/>
      <w:lvlJc w:val="left"/>
      <w:pPr>
        <w:tabs>
          <w:tab w:val="left" w:pos="2880"/>
        </w:tabs>
        <w:ind w:left="3300" w:hanging="360"/>
      </w:pPr>
    </w:lvl>
    <w:lvl w:ilvl="4" w:tentative="0">
      <w:start w:val="1"/>
      <w:numFmt w:val="decimal"/>
      <w:lvlText w:val="%5."/>
      <w:lvlJc w:val="left"/>
      <w:pPr>
        <w:tabs>
          <w:tab w:val="left" w:pos="3600"/>
        </w:tabs>
        <w:ind w:left="4020" w:hanging="360"/>
      </w:pPr>
    </w:lvl>
    <w:lvl w:ilvl="5" w:tentative="0">
      <w:start w:val="1"/>
      <w:numFmt w:val="decimal"/>
      <w:lvlText w:val="%6."/>
      <w:lvlJc w:val="left"/>
      <w:pPr>
        <w:tabs>
          <w:tab w:val="left" w:pos="4320"/>
        </w:tabs>
        <w:ind w:left="4740" w:hanging="360"/>
      </w:pPr>
    </w:lvl>
    <w:lvl w:ilvl="6" w:tentative="0">
      <w:start w:val="1"/>
      <w:numFmt w:val="decimal"/>
      <w:lvlText w:val="%7."/>
      <w:lvlJc w:val="left"/>
      <w:pPr>
        <w:tabs>
          <w:tab w:val="left" w:pos="5040"/>
        </w:tabs>
        <w:ind w:left="5460" w:hanging="360"/>
      </w:pPr>
    </w:lvl>
    <w:lvl w:ilvl="7" w:tentative="0">
      <w:start w:val="1"/>
      <w:numFmt w:val="decimal"/>
      <w:lvlText w:val="%8."/>
      <w:lvlJc w:val="left"/>
      <w:pPr>
        <w:tabs>
          <w:tab w:val="left" w:pos="5760"/>
        </w:tabs>
        <w:ind w:left="6180" w:hanging="360"/>
      </w:pPr>
    </w:lvl>
    <w:lvl w:ilvl="8" w:tentative="0">
      <w:start w:val="1"/>
      <w:numFmt w:val="decimal"/>
      <w:lvlText w:val="%9."/>
      <w:lvlJc w:val="left"/>
      <w:pPr>
        <w:tabs>
          <w:tab w:val="left" w:pos="6480"/>
        </w:tabs>
        <w:ind w:left="69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mFlOWQ4MWY5OGIyNTgyNTVhOThlY2IxNTE5ZTQifQ=="/>
  </w:docVars>
  <w:rsids>
    <w:rsidRoot w:val="00000000"/>
    <w:rsid w:val="3BDF4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customStyle="1" w:styleId="3">
    <w:name w:val="引用1"/>
    <w:basedOn w:val="1"/>
    <w:next w:val="1"/>
    <w:qFormat/>
    <w:uiPriority w:val="0"/>
    <w:pPr>
      <w:widowControl/>
      <w:numPr>
        <w:ilvl w:val="0"/>
        <w:numId w:val="1"/>
      </w:numPr>
      <w:spacing w:line="276" w:lineRule="auto"/>
      <w:ind w:left="0" w:firstLine="0"/>
      <w:jc w:val="left"/>
    </w:pPr>
    <w:rPr>
      <w:rFonts w:ascii="Calibri" w:hAnsi="Calibri"/>
      <w:i/>
      <w:iCs/>
      <w:color w:val="000000"/>
      <w:sz w:val="22"/>
      <w:lang w:eastAsia="en-US" w:bidi="en-US"/>
    </w:rPr>
  </w:style>
  <w:style w:type="paragraph" w:styleId="4">
    <w:name w:val="Salutation"/>
    <w:basedOn w:val="1"/>
    <w:next w:val="1"/>
    <w:unhideWhenUsed/>
    <w:qFormat/>
    <w:uiPriority w:val="0"/>
    <w:rPr>
      <w:rFonts w:ascii="Calibri" w:hAnsi="Calibri"/>
    </w:rPr>
  </w:style>
  <w:style w:type="paragraph" w:styleId="5">
    <w:name w:val="Body Text Indent"/>
    <w:basedOn w:val="1"/>
    <w:uiPriority w:val="0"/>
    <w:pPr>
      <w:ind w:firstLine="630"/>
    </w:pPr>
    <w:rPr>
      <w:sz w:val="32"/>
      <w:szCs w:val="20"/>
    </w:rPr>
  </w:style>
  <w:style w:type="paragraph" w:styleId="6">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7">
    <w:name w:val="Body Text First Indent 2"/>
    <w:basedOn w:val="5"/>
    <w:next w:val="2"/>
    <w:uiPriority w:val="0"/>
    <w:pPr>
      <w:spacing w:after="120"/>
      <w:ind w:left="420" w:leftChars="200" w:firstLine="420" w:firstLineChars="200"/>
    </w:pPr>
    <w:rPr>
      <w:rFonts w:ascii="宋体"/>
      <w:sz w:val="34"/>
    </w:rPr>
  </w:style>
  <w:style w:type="paragraph" w:customStyle="1" w:styleId="10">
    <w:name w:val="BodyText"/>
    <w:basedOn w:val="1"/>
    <w:next w:val="1"/>
    <w:qFormat/>
    <w:uiPriority w:val="0"/>
    <w:pPr>
      <w:widowControl/>
      <w:spacing w:line="360" w:lineRule="auto"/>
      <w:jc w:val="both"/>
      <w:textAlignment w:val="baseline"/>
    </w:pPr>
    <w:rPr>
      <w:color w:val="FF0000"/>
      <w:kern w:val="2"/>
      <w:sz w:val="21"/>
      <w:szCs w:val="22"/>
      <w:lang w:val="en-US" w:eastAsia="zh-CN" w:bidi="ar-SA"/>
    </w:rPr>
  </w:style>
  <w:style w:type="paragraph" w:customStyle="1" w:styleId="11">
    <w:name w:val="Quote"/>
    <w:basedOn w:val="1"/>
    <w:next w:val="1"/>
    <w:qFormat/>
    <w:uiPriority w:val="0"/>
    <w:pPr>
      <w:widowControl/>
      <w:numPr>
        <w:ilvl w:val="0"/>
        <w:numId w:val="1"/>
      </w:numPr>
      <w:spacing w:after="200" w:afterLines="0" w:line="276" w:lineRule="auto"/>
      <w:ind w:left="0" w:firstLine="0"/>
      <w:jc w:val="left"/>
    </w:pPr>
    <w:rPr>
      <w:rFonts w:ascii="Calibri" w:hAnsi="Calibri"/>
      <w:i/>
      <w:iCs/>
      <w:color w:val="000000"/>
      <w:sz w:val="22"/>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2023-06-15T03:47:14Z</dcterms:created>
  <dc:creator>Administrator</dc:creator>
  <cp:lastModifiedBy>zyk</cp:lastModifiedBy>
  <dcterms:modified xsi:type="dcterms:W3CDTF">2023-06-15T03:47:41Z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4B89F30F2E3E45A9B5542DE9619AFD32_12</vt:lpwstr>
  </property>
</Properties>
</file>