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spacing w:line="520" w:lineRule="exact"/>
        <w:jc w:val="center"/>
        <w:rPr>
          <w:rFonts w:hint="eastAsia" w:ascii="宋体" w:hAnsi="宋体" w:cs="仿宋_GB2312"/>
          <w:b/>
          <w:bCs/>
          <w:sz w:val="32"/>
          <w:szCs w:val="32"/>
          <w:lang w:eastAsia="zh-CN"/>
        </w:rPr>
      </w:pPr>
      <w:r>
        <w:rPr>
          <w:rFonts w:hint="eastAsia" w:ascii="宋体" w:hAnsi="宋体" w:cs="仿宋_GB2312"/>
          <w:b/>
          <w:bCs/>
          <w:sz w:val="32"/>
          <w:szCs w:val="32"/>
          <w:lang w:eastAsia="zh-CN"/>
        </w:rPr>
        <w:t>城市建成区公共区域的环境项目（除“四害”）购买服务（BHZC2023-C3-990164-GXZF）竞争性磋商公告附件</w:t>
      </w:r>
    </w:p>
    <w:p>
      <w:pPr>
        <w:pageBreakBefore w:val="0"/>
        <w:kinsoku/>
        <w:wordWrap/>
        <w:overflowPunct/>
        <w:topLinePunct w:val="0"/>
        <w:autoSpaceDE w:val="0"/>
        <w:autoSpaceDN/>
        <w:bidi w:val="0"/>
        <w:spacing w:line="320" w:lineRule="exact"/>
        <w:ind w:left="0" w:leftChars="0" w:firstLine="420" w:firstLineChars="200"/>
        <w:textAlignment w:val="auto"/>
        <w:rPr>
          <w:rFonts w:hint="eastAsia" w:asciiTheme="minorEastAsia" w:hAnsiTheme="minorEastAsia" w:eastAsiaTheme="minorEastAsia"/>
          <w:szCs w:val="21"/>
        </w:rPr>
      </w:pPr>
    </w:p>
    <w:p>
      <w:pPr>
        <w:keepNext w:val="0"/>
        <w:keepLines w:val="0"/>
        <w:pageBreakBefore w:val="0"/>
        <w:widowControl w:val="0"/>
        <w:numPr>
          <w:ilvl w:val="0"/>
          <w:numId w:val="1"/>
        </w:numPr>
        <w:kinsoku/>
        <w:wordWrap/>
        <w:overflowPunct/>
        <w:topLinePunct w:val="0"/>
        <w:autoSpaceDE/>
        <w:autoSpaceDN/>
        <w:bidi w:val="0"/>
        <w:jc w:val="center"/>
        <w:textAlignment w:val="auto"/>
        <w:rPr>
          <w:rFonts w:hint="eastAsia"/>
        </w:rPr>
      </w:pPr>
      <w:bookmarkStart w:id="0" w:name="_GoBack"/>
      <w:bookmarkEnd w:id="0"/>
      <w:r>
        <w:rPr>
          <w:rFonts w:hint="eastAsia" w:ascii="宋体" w:hAnsi="Times New Roman" w:eastAsia="宋体" w:cs="Times New Roman"/>
          <w:b/>
          <w:sz w:val="32"/>
          <w:szCs w:val="32"/>
        </w:rPr>
        <w:t xml:space="preserve">—— </w:t>
      </w:r>
      <w:r>
        <w:rPr>
          <w:rFonts w:hint="eastAsia" w:ascii="宋体"/>
          <w:b/>
          <w:sz w:val="32"/>
          <w:szCs w:val="32"/>
        </w:rPr>
        <w:t>技术部分</w:t>
      </w:r>
    </w:p>
    <w:p>
      <w:pPr>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（一）项目基本概况</w:t>
      </w:r>
    </w:p>
    <w:p>
      <w:pPr>
        <w:keepNext w:val="0"/>
        <w:keepLines w:val="0"/>
        <w:pageBreakBefore w:val="0"/>
        <w:widowControl w:val="0"/>
        <w:kinsoku/>
        <w:wordWrap/>
        <w:overflowPunct/>
        <w:topLinePunct w:val="0"/>
        <w:autoSpaceDE/>
        <w:autoSpaceDN/>
        <w:bidi w:val="0"/>
        <w:snapToGrid w:val="0"/>
        <w:spacing w:line="360" w:lineRule="exact"/>
        <w:ind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A分标基本概况</w:t>
      </w:r>
    </w:p>
    <w:p>
      <w:pPr>
        <w:keepNext w:val="0"/>
        <w:keepLines w:val="0"/>
        <w:pageBreakBefore w:val="0"/>
        <w:widowControl w:val="0"/>
        <w:kinsoku/>
        <w:wordWrap/>
        <w:overflowPunct/>
        <w:topLinePunct w:val="0"/>
        <w:autoSpaceDE/>
        <w:autoSpaceDN/>
        <w:bidi w:val="0"/>
        <w:snapToGrid w:val="0"/>
        <w:spacing w:line="360" w:lineRule="exact"/>
        <w:ind w:firstLine="413" w:firstLineChars="196"/>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（1）服务内容：</w:t>
      </w:r>
      <w:r>
        <w:rPr>
          <w:rFonts w:hint="eastAsia" w:ascii="宋体" w:hAnsi="宋体" w:eastAsia="宋体" w:cs="宋体"/>
          <w:color w:val="auto"/>
          <w:sz w:val="21"/>
          <w:szCs w:val="21"/>
          <w:highlight w:val="none"/>
        </w:rPr>
        <w:t>北海市湖南路（向北向南直线延长）以西的海城区公共区域安装的毒鼠屋投放鼠药；北海市湖南路（向北向南直线延长）以西的海城区公共区域及重点单位灭蚊服务、</w:t>
      </w:r>
      <w:r>
        <w:rPr>
          <w:rFonts w:hint="eastAsia" w:ascii="宋体" w:hAnsi="宋体" w:eastAsia="宋体" w:cs="宋体"/>
          <w:color w:val="auto"/>
          <w:kern w:val="0"/>
          <w:sz w:val="21"/>
          <w:szCs w:val="21"/>
          <w:highlight w:val="none"/>
        </w:rPr>
        <w:t>灭蟑和灭蝇服务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该区域属老城区，老旧小区、“三无”小区（约500多个）、国有农贸市场、市政府集中办公区、公园广场等公共区域较多，消杀面积大，工作量大。</w:t>
      </w:r>
    </w:p>
    <w:p>
      <w:pPr>
        <w:keepNext w:val="0"/>
        <w:keepLines w:val="0"/>
        <w:pageBreakBefore w:val="0"/>
        <w:widowControl w:val="0"/>
        <w:kinsoku/>
        <w:wordWrap/>
        <w:overflowPunct/>
        <w:topLinePunct w:val="0"/>
        <w:autoSpaceDE/>
        <w:autoSpaceDN/>
        <w:bidi w:val="0"/>
        <w:snapToGrid w:val="0"/>
        <w:spacing w:line="360" w:lineRule="exact"/>
        <w:ind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（2）采购预算：</w:t>
      </w:r>
    </w:p>
    <w:tbl>
      <w:tblPr>
        <w:tblStyle w:val="15"/>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915"/>
        <w:gridCol w:w="995"/>
        <w:gridCol w:w="852"/>
        <w:gridCol w:w="1502"/>
        <w:gridCol w:w="1215"/>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47"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15"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995"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52"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502"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预算</w:t>
            </w:r>
            <w:r>
              <w:rPr>
                <w:rFonts w:hint="eastAsia" w:ascii="宋体" w:hAnsi="宋体" w:eastAsia="宋体" w:cs="宋体"/>
                <w:color w:val="auto"/>
                <w:sz w:val="21"/>
                <w:szCs w:val="21"/>
                <w:highlight w:val="none"/>
              </w:rPr>
              <w:t>单价</w:t>
            </w:r>
          </w:p>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（元/年）</w:t>
            </w:r>
          </w:p>
        </w:tc>
        <w:tc>
          <w:tcPr>
            <w:tcW w:w="1215"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预算</w:t>
            </w:r>
            <w:r>
              <w:rPr>
                <w:rFonts w:hint="eastAsia" w:ascii="宋体" w:hAnsi="宋体" w:eastAsia="宋体" w:cs="宋体"/>
                <w:color w:val="auto"/>
                <w:sz w:val="21"/>
                <w:szCs w:val="21"/>
                <w:highlight w:val="none"/>
              </w:rPr>
              <w:t>合计（元）</w:t>
            </w:r>
          </w:p>
        </w:tc>
        <w:tc>
          <w:tcPr>
            <w:tcW w:w="1651"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47"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15"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毒鼠屋投放鼠药灭鼠服务</w:t>
            </w:r>
          </w:p>
        </w:tc>
        <w:tc>
          <w:tcPr>
            <w:tcW w:w="995"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50000</w:t>
            </w:r>
          </w:p>
        </w:tc>
        <w:tc>
          <w:tcPr>
            <w:tcW w:w="852"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1502" w:type="dxa"/>
            <w:noWrap w:val="0"/>
            <w:vAlign w:val="center"/>
          </w:tcPr>
          <w:p>
            <w:pPr>
              <w:snapToGrid w:val="0"/>
              <w:spacing w:line="24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3.60</w:t>
            </w:r>
          </w:p>
        </w:tc>
        <w:tc>
          <w:tcPr>
            <w:tcW w:w="1215" w:type="dxa"/>
            <w:noWrap w:val="0"/>
            <w:vAlign w:val="center"/>
          </w:tcPr>
          <w:p>
            <w:pPr>
              <w:snapToGrid w:val="0"/>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180000.00</w:t>
            </w:r>
          </w:p>
        </w:tc>
        <w:tc>
          <w:tcPr>
            <w:tcW w:w="165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highlight w:val="none"/>
              </w:rPr>
            </w:pPr>
            <w:r>
              <w:rPr>
                <w:rFonts w:hint="eastAsia" w:ascii="宋体" w:hAnsi="宋体"/>
                <w:color w:val="auto"/>
                <w:szCs w:val="21"/>
                <w:highlight w:val="none"/>
                <w:lang w:eastAsia="zh-CN"/>
              </w:rPr>
              <w:t>服务期内，要求开展服务工作不少4次。要求每次检查评估均达到国家标准。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47"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15"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北海城区公共区域及重点单位灭蚊服务</w:t>
            </w:r>
          </w:p>
        </w:tc>
        <w:tc>
          <w:tcPr>
            <w:tcW w:w="995"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54</w:t>
            </w:r>
            <w:r>
              <w:rPr>
                <w:rFonts w:ascii="宋体" w:hAnsi="宋体"/>
                <w:color w:val="auto"/>
                <w:szCs w:val="21"/>
                <w:highlight w:val="none"/>
              </w:rPr>
              <w:t>0</w:t>
            </w:r>
            <w:r>
              <w:rPr>
                <w:rFonts w:hint="eastAsia" w:ascii="宋体" w:hAnsi="宋体"/>
                <w:color w:val="auto"/>
                <w:szCs w:val="21"/>
                <w:highlight w:val="none"/>
              </w:rPr>
              <w:t>000</w:t>
            </w:r>
          </w:p>
        </w:tc>
        <w:tc>
          <w:tcPr>
            <w:tcW w:w="852"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02" w:type="dxa"/>
            <w:noWrap w:val="0"/>
            <w:vAlign w:val="center"/>
          </w:tcPr>
          <w:p>
            <w:pPr>
              <w:snapToGrid w:val="0"/>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50</w:t>
            </w:r>
          </w:p>
        </w:tc>
        <w:tc>
          <w:tcPr>
            <w:tcW w:w="1215" w:type="dxa"/>
            <w:noWrap w:val="0"/>
            <w:vAlign w:val="center"/>
          </w:tcPr>
          <w:p>
            <w:pPr>
              <w:snapToGrid w:val="0"/>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270000.00</w:t>
            </w:r>
          </w:p>
        </w:tc>
        <w:tc>
          <w:tcPr>
            <w:tcW w:w="1651" w:type="dxa"/>
            <w:vMerge w:val="continue"/>
            <w:noWrap w:val="0"/>
            <w:vAlign w:val="top"/>
          </w:tcPr>
          <w:p>
            <w:pPr>
              <w:snapToGrid w:val="0"/>
              <w:spacing w:line="40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47"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915" w:type="dxa"/>
            <w:noWrap w:val="0"/>
            <w:vAlign w:val="center"/>
          </w:tcPr>
          <w:p>
            <w:pPr>
              <w:snapToGrid w:val="0"/>
              <w:spacing w:line="240" w:lineRule="exact"/>
              <w:ind w:left="-105" w:leftChars="-50" w:right="-105" w:rightChars="-50"/>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北海城区公共区域及重点单位灭蟑和灭蝇服务（包括所负责的农贸市场安装灭蝇笼、绳等）</w:t>
            </w:r>
          </w:p>
        </w:tc>
        <w:tc>
          <w:tcPr>
            <w:tcW w:w="995" w:type="dxa"/>
            <w:noWrap w:val="0"/>
            <w:vAlign w:val="center"/>
          </w:tcPr>
          <w:p>
            <w:pPr>
              <w:snapToGrid w:val="0"/>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200000</w:t>
            </w:r>
          </w:p>
        </w:tc>
        <w:tc>
          <w:tcPr>
            <w:tcW w:w="852"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02" w:type="dxa"/>
            <w:noWrap w:val="0"/>
            <w:vAlign w:val="center"/>
          </w:tcPr>
          <w:p>
            <w:pPr>
              <w:snapToGrid w:val="0"/>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0.60</w:t>
            </w:r>
          </w:p>
        </w:tc>
        <w:tc>
          <w:tcPr>
            <w:tcW w:w="1215" w:type="dxa"/>
            <w:noWrap w:val="0"/>
            <w:vAlign w:val="center"/>
          </w:tcPr>
          <w:p>
            <w:pPr>
              <w:snapToGrid w:val="0"/>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120000.00</w:t>
            </w:r>
          </w:p>
        </w:tc>
        <w:tc>
          <w:tcPr>
            <w:tcW w:w="1651" w:type="dxa"/>
            <w:vMerge w:val="continue"/>
            <w:noWrap w:val="0"/>
            <w:vAlign w:val="top"/>
          </w:tcPr>
          <w:p>
            <w:pPr>
              <w:snapToGrid w:val="0"/>
              <w:spacing w:line="40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7"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915"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毒鼠屋购置</w:t>
            </w:r>
          </w:p>
        </w:tc>
        <w:tc>
          <w:tcPr>
            <w:tcW w:w="995"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7000</w:t>
            </w:r>
          </w:p>
        </w:tc>
        <w:tc>
          <w:tcPr>
            <w:tcW w:w="852"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1502"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215" w:type="dxa"/>
            <w:noWrap w:val="0"/>
            <w:vAlign w:val="center"/>
          </w:tcPr>
          <w:p>
            <w:pPr>
              <w:snapToGrid w:val="0"/>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140000.00</w:t>
            </w:r>
          </w:p>
        </w:tc>
        <w:tc>
          <w:tcPr>
            <w:tcW w:w="1651" w:type="dxa"/>
            <w:vMerge w:val="continue"/>
            <w:noWrap w:val="0"/>
            <w:vAlign w:val="top"/>
          </w:tcPr>
          <w:p>
            <w:pPr>
              <w:snapToGrid w:val="0"/>
              <w:spacing w:line="40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7"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915"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灭蚊蝇、蟑螂药物购置</w:t>
            </w:r>
          </w:p>
        </w:tc>
        <w:tc>
          <w:tcPr>
            <w:tcW w:w="995"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2000</w:t>
            </w:r>
          </w:p>
        </w:tc>
        <w:tc>
          <w:tcPr>
            <w:tcW w:w="852"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c>
          <w:tcPr>
            <w:tcW w:w="1502"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w:t>
            </w:r>
          </w:p>
        </w:tc>
        <w:tc>
          <w:tcPr>
            <w:tcW w:w="1215" w:type="dxa"/>
            <w:noWrap w:val="0"/>
            <w:vAlign w:val="center"/>
          </w:tcPr>
          <w:p>
            <w:pPr>
              <w:snapToGrid w:val="0"/>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40000.00</w:t>
            </w:r>
          </w:p>
        </w:tc>
        <w:tc>
          <w:tcPr>
            <w:tcW w:w="1651" w:type="dxa"/>
            <w:vMerge w:val="continue"/>
            <w:noWrap w:val="0"/>
            <w:vAlign w:val="top"/>
          </w:tcPr>
          <w:p>
            <w:pPr>
              <w:snapToGrid w:val="0"/>
              <w:spacing w:line="40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1" w:type="dxa"/>
            <w:gridSpan w:val="5"/>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215"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750000.00</w:t>
            </w:r>
          </w:p>
        </w:tc>
        <w:tc>
          <w:tcPr>
            <w:tcW w:w="1651" w:type="dxa"/>
            <w:vMerge w:val="continue"/>
            <w:noWrap w:val="0"/>
            <w:vAlign w:val="top"/>
          </w:tcPr>
          <w:p>
            <w:pPr>
              <w:snapToGrid w:val="0"/>
              <w:spacing w:line="400" w:lineRule="atLeast"/>
              <w:jc w:val="center"/>
              <w:rPr>
                <w:rFonts w:hint="eastAsia" w:ascii="宋体" w:hAnsi="宋体" w:eastAsia="宋体" w:cs="宋体"/>
                <w:color w:val="auto"/>
                <w:sz w:val="21"/>
                <w:szCs w:val="21"/>
                <w:highlight w:val="none"/>
              </w:rPr>
            </w:pPr>
          </w:p>
        </w:tc>
      </w:tr>
    </w:tbl>
    <w:p>
      <w:pPr>
        <w:snapToGrid w:val="0"/>
        <w:spacing w:line="320" w:lineRule="exact"/>
        <w:ind w:firstLine="422" w:firstLineChars="200"/>
        <w:rPr>
          <w:rFonts w:hint="eastAsia" w:ascii="宋体" w:hAnsi="宋体" w:eastAsia="宋体" w:cs="宋体"/>
          <w:b/>
          <w:color w:val="auto"/>
          <w:sz w:val="21"/>
          <w:szCs w:val="21"/>
          <w:highlight w:val="none"/>
        </w:rPr>
      </w:pPr>
    </w:p>
    <w:p>
      <w:pPr>
        <w:numPr>
          <w:ilvl w:val="0"/>
          <w:numId w:val="2"/>
        </w:numPr>
        <w:snapToGrid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B分标基本概况</w:t>
      </w:r>
    </w:p>
    <w:p>
      <w:pPr>
        <w:snapToGrid w:val="0"/>
        <w:spacing w:line="32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（1）服务内容：</w:t>
      </w:r>
      <w:r>
        <w:rPr>
          <w:rFonts w:hint="eastAsia" w:ascii="宋体" w:hAnsi="宋体" w:eastAsia="宋体" w:cs="宋体"/>
          <w:color w:val="auto"/>
          <w:sz w:val="21"/>
          <w:szCs w:val="21"/>
          <w:highlight w:val="none"/>
        </w:rPr>
        <w:t>北海市南珠大道以西的银海区公共区域安装的只毒鼠屋投放鼠药；北海市南珠大道以西的银海区公共区域绿化地带及重点单位灭蚊服务、</w:t>
      </w:r>
      <w:r>
        <w:rPr>
          <w:rFonts w:hint="eastAsia" w:ascii="宋体" w:hAnsi="宋体" w:eastAsia="宋体" w:cs="宋体"/>
          <w:color w:val="auto"/>
          <w:kern w:val="0"/>
          <w:sz w:val="21"/>
          <w:szCs w:val="21"/>
          <w:highlight w:val="none"/>
        </w:rPr>
        <w:t>灭蟑和灭蝇</w:t>
      </w:r>
      <w:r>
        <w:rPr>
          <w:rFonts w:hint="eastAsia" w:ascii="宋体" w:hAnsi="宋体" w:cs="宋体"/>
          <w:color w:val="auto"/>
          <w:kern w:val="0"/>
          <w:sz w:val="21"/>
          <w:szCs w:val="21"/>
          <w:highlight w:val="none"/>
          <w:lang w:eastAsia="zh-CN"/>
        </w:rPr>
        <w:t>等</w:t>
      </w:r>
      <w:r>
        <w:rPr>
          <w:rFonts w:hint="eastAsia" w:ascii="宋体" w:hAnsi="宋体" w:eastAsia="宋体" w:cs="宋体"/>
          <w:color w:val="auto"/>
          <w:kern w:val="0"/>
          <w:sz w:val="21"/>
          <w:szCs w:val="21"/>
          <w:highlight w:val="none"/>
        </w:rPr>
        <w:t>服务</w:t>
      </w:r>
      <w:r>
        <w:rPr>
          <w:rFonts w:hint="eastAsia" w:ascii="宋体" w:hAnsi="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该区域经统计“三无”小区约100多个。</w:t>
      </w:r>
    </w:p>
    <w:p>
      <w:pPr>
        <w:snapToGrid w:val="0"/>
        <w:spacing w:line="400" w:lineRule="atLeas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（2）采购预算：</w:t>
      </w:r>
    </w:p>
    <w:tbl>
      <w:tblPr>
        <w:tblStyle w:val="15"/>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906"/>
        <w:gridCol w:w="992"/>
        <w:gridCol w:w="850"/>
        <w:gridCol w:w="1438"/>
        <w:gridCol w:w="128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0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438"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预算</w:t>
            </w:r>
            <w:r>
              <w:rPr>
                <w:rFonts w:hint="eastAsia" w:ascii="宋体" w:hAnsi="宋体" w:eastAsia="宋体" w:cs="宋体"/>
                <w:color w:val="auto"/>
                <w:sz w:val="21"/>
                <w:szCs w:val="21"/>
                <w:highlight w:val="none"/>
              </w:rPr>
              <w:t>单价</w:t>
            </w:r>
          </w:p>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（元/年）</w:t>
            </w:r>
          </w:p>
        </w:tc>
        <w:tc>
          <w:tcPr>
            <w:tcW w:w="1281"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预算</w:t>
            </w:r>
            <w:r>
              <w:rPr>
                <w:rFonts w:hint="eastAsia" w:ascii="宋体" w:hAnsi="宋体" w:eastAsia="宋体" w:cs="宋体"/>
                <w:color w:val="auto"/>
                <w:sz w:val="21"/>
                <w:szCs w:val="21"/>
                <w:highlight w:val="none"/>
              </w:rPr>
              <w:t>合计（元）</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06"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毒鼠屋投放鼠药灭鼠服务</w:t>
            </w:r>
          </w:p>
        </w:tc>
        <w:tc>
          <w:tcPr>
            <w:tcW w:w="992"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40000</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3.60</w:t>
            </w:r>
          </w:p>
        </w:tc>
        <w:tc>
          <w:tcPr>
            <w:tcW w:w="1281"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144000.00</w:t>
            </w:r>
          </w:p>
        </w:tc>
        <w:tc>
          <w:tcPr>
            <w:tcW w:w="169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1"/>
                <w:szCs w:val="21"/>
                <w:highlight w:val="none"/>
              </w:rPr>
            </w:pPr>
            <w:r>
              <w:rPr>
                <w:rFonts w:hint="eastAsia" w:ascii="宋体" w:hAnsi="宋体"/>
                <w:color w:val="auto"/>
                <w:szCs w:val="21"/>
                <w:highlight w:val="none"/>
                <w:lang w:eastAsia="zh-CN"/>
              </w:rPr>
              <w:t>服务期内，要求开展服务工作不少4次。要求每次检查评估均达到国家标准。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06"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北海城区公共区域及重点单位灭蚊服务</w:t>
            </w:r>
          </w:p>
        </w:tc>
        <w:tc>
          <w:tcPr>
            <w:tcW w:w="992"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400000</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0.50</w:t>
            </w:r>
          </w:p>
        </w:tc>
        <w:tc>
          <w:tcPr>
            <w:tcW w:w="1281"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200000.00</w:t>
            </w:r>
          </w:p>
        </w:tc>
        <w:tc>
          <w:tcPr>
            <w:tcW w:w="1692"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4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906" w:type="dxa"/>
            <w:noWrap w:val="0"/>
            <w:vAlign w:val="center"/>
          </w:tcPr>
          <w:p>
            <w:pPr>
              <w:snapToGrid w:val="0"/>
              <w:spacing w:line="240" w:lineRule="exact"/>
              <w:ind w:left="-105" w:leftChars="-50" w:right="-105" w:rightChars="-50"/>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北海城区公共区域及重点单位灭蟑和灭蝇服务（包括所负责的农贸市场安装灭蝇笼、绳等）</w:t>
            </w:r>
          </w:p>
        </w:tc>
        <w:tc>
          <w:tcPr>
            <w:tcW w:w="992" w:type="dxa"/>
            <w:noWrap w:val="0"/>
            <w:vAlign w:val="center"/>
          </w:tcPr>
          <w:p>
            <w:pPr>
              <w:snapToGrid w:val="0"/>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60000</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0.60</w:t>
            </w:r>
          </w:p>
        </w:tc>
        <w:tc>
          <w:tcPr>
            <w:tcW w:w="1281"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36000.00</w:t>
            </w:r>
          </w:p>
        </w:tc>
        <w:tc>
          <w:tcPr>
            <w:tcW w:w="1692"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906"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毒鼠屋购置</w:t>
            </w:r>
          </w:p>
        </w:tc>
        <w:tc>
          <w:tcPr>
            <w:tcW w:w="992" w:type="dxa"/>
            <w:noWrap w:val="0"/>
            <w:vAlign w:val="center"/>
          </w:tcPr>
          <w:p>
            <w:pPr>
              <w:snapToGrid w:val="0"/>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580</w:t>
            </w:r>
            <w:r>
              <w:rPr>
                <w:rFonts w:hint="eastAsia" w:ascii="宋体" w:hAnsi="宋体"/>
                <w:color w:val="auto"/>
                <w:szCs w:val="21"/>
                <w:highlight w:val="none"/>
                <w:lang w:val="en-US" w:eastAsia="zh-CN"/>
              </w:rPr>
              <w:t>5</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281"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116</w:t>
            </w:r>
            <w:r>
              <w:rPr>
                <w:rFonts w:hint="eastAsia" w:ascii="宋体" w:hAnsi="宋体"/>
                <w:color w:val="auto"/>
                <w:szCs w:val="21"/>
                <w:highlight w:val="none"/>
                <w:lang w:val="en-US" w:eastAsia="zh-CN"/>
              </w:rPr>
              <w:t>1</w:t>
            </w:r>
            <w:r>
              <w:rPr>
                <w:rFonts w:hint="eastAsia" w:ascii="宋体" w:hAnsi="宋体"/>
                <w:color w:val="auto"/>
                <w:szCs w:val="21"/>
                <w:highlight w:val="none"/>
              </w:rPr>
              <w:t>00.00</w:t>
            </w:r>
          </w:p>
        </w:tc>
        <w:tc>
          <w:tcPr>
            <w:tcW w:w="1692"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906"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灭蚊蝇、蟑螂药物购置</w:t>
            </w:r>
          </w:p>
        </w:tc>
        <w:tc>
          <w:tcPr>
            <w:tcW w:w="992"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2000</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20.00</w:t>
            </w:r>
          </w:p>
        </w:tc>
        <w:tc>
          <w:tcPr>
            <w:tcW w:w="1281"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40000.00</w:t>
            </w:r>
          </w:p>
        </w:tc>
        <w:tc>
          <w:tcPr>
            <w:tcW w:w="1692"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32"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281"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536</w:t>
            </w:r>
            <w:r>
              <w:rPr>
                <w:rFonts w:hint="eastAsia" w:ascii="宋体" w:hAnsi="宋体"/>
                <w:color w:val="auto"/>
                <w:szCs w:val="21"/>
                <w:highlight w:val="none"/>
                <w:lang w:val="en-US" w:eastAsia="zh-CN"/>
              </w:rPr>
              <w:t>1</w:t>
            </w:r>
            <w:r>
              <w:rPr>
                <w:rFonts w:hint="eastAsia" w:ascii="宋体" w:hAnsi="宋体"/>
                <w:color w:val="auto"/>
                <w:szCs w:val="21"/>
                <w:highlight w:val="none"/>
              </w:rPr>
              <w:t>00.00</w:t>
            </w:r>
          </w:p>
        </w:tc>
        <w:tc>
          <w:tcPr>
            <w:tcW w:w="1692"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 C分标基本概况</w:t>
      </w:r>
    </w:p>
    <w:p>
      <w:pPr>
        <w:keepNext w:val="0"/>
        <w:keepLines w:val="0"/>
        <w:pageBreakBefore w:val="0"/>
        <w:widowControl w:val="0"/>
        <w:kinsoku/>
        <w:wordWrap/>
        <w:overflowPunct/>
        <w:topLinePunct w:val="0"/>
        <w:autoSpaceDE/>
        <w:autoSpaceDN/>
        <w:bidi w:val="0"/>
        <w:adjustRightInd/>
        <w:snapToGrid w:val="0"/>
        <w:spacing w:line="360" w:lineRule="exact"/>
        <w:ind w:firstLine="413" w:firstLineChars="196"/>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（1）服务内容：</w:t>
      </w:r>
      <w:r>
        <w:rPr>
          <w:rFonts w:hint="eastAsia" w:ascii="宋体" w:hAnsi="宋体" w:eastAsia="宋体" w:cs="宋体"/>
          <w:color w:val="auto"/>
          <w:sz w:val="21"/>
          <w:szCs w:val="21"/>
          <w:highlight w:val="none"/>
          <w:lang w:val="en-US" w:eastAsia="zh-CN"/>
        </w:rPr>
        <w:t>北海市湖南路（向北向南直线延长）以东、南珠大道以西的海城区公共区域，市工业园区，南珠大道以东的龙潭村委所辖区域，南珠大道沿线、银滩大道沿线、金海岸大道道路绿化带及沿路周边2公里内的城乡结合部、居民集中居住区</w:t>
      </w:r>
      <w:r>
        <w:rPr>
          <w:rFonts w:hint="eastAsia" w:ascii="宋体" w:hAnsi="宋体" w:cs="宋体"/>
          <w:color w:val="auto"/>
          <w:sz w:val="21"/>
          <w:szCs w:val="21"/>
          <w:highlight w:val="none"/>
          <w:lang w:val="en-US" w:eastAsia="zh-CN"/>
        </w:rPr>
        <w:t>等区域的</w:t>
      </w:r>
      <w:r>
        <w:rPr>
          <w:rFonts w:hint="eastAsia" w:ascii="宋体" w:hAnsi="宋体" w:eastAsia="宋体" w:cs="宋体"/>
          <w:color w:val="auto"/>
          <w:sz w:val="21"/>
          <w:szCs w:val="21"/>
          <w:highlight w:val="none"/>
        </w:rPr>
        <w:t>灭蚊服务、</w:t>
      </w:r>
      <w:r>
        <w:rPr>
          <w:rFonts w:hint="eastAsia" w:ascii="宋体" w:hAnsi="宋体" w:eastAsia="宋体" w:cs="宋体"/>
          <w:color w:val="auto"/>
          <w:kern w:val="0"/>
          <w:sz w:val="21"/>
          <w:szCs w:val="21"/>
          <w:highlight w:val="none"/>
        </w:rPr>
        <w:t>灭蟑和灭蝇</w:t>
      </w:r>
      <w:r>
        <w:rPr>
          <w:rFonts w:hint="eastAsia" w:ascii="宋体" w:hAnsi="宋体" w:cs="宋体"/>
          <w:color w:val="auto"/>
          <w:kern w:val="0"/>
          <w:sz w:val="21"/>
          <w:szCs w:val="21"/>
          <w:highlight w:val="none"/>
          <w:lang w:eastAsia="zh-CN"/>
        </w:rPr>
        <w:t>、</w:t>
      </w:r>
      <w:r>
        <w:rPr>
          <w:rFonts w:hint="eastAsia" w:ascii="宋体" w:hAnsi="宋体" w:eastAsia="宋体" w:cs="宋体"/>
          <w:color w:val="auto"/>
          <w:sz w:val="21"/>
          <w:szCs w:val="21"/>
          <w:highlight w:val="none"/>
        </w:rPr>
        <w:t>投放鼠药</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kern w:val="0"/>
          <w:sz w:val="21"/>
          <w:szCs w:val="21"/>
          <w:highlight w:val="none"/>
        </w:rPr>
        <w:t>服务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该区域多为城中村和城乡结合部，位置较为分散。</w:t>
      </w:r>
    </w:p>
    <w:p>
      <w:pPr>
        <w:keepNext w:val="0"/>
        <w:keepLines w:val="0"/>
        <w:pageBreakBefore w:val="0"/>
        <w:widowControl w:val="0"/>
        <w:kinsoku/>
        <w:wordWrap/>
        <w:overflowPunct/>
        <w:topLinePunct w:val="0"/>
        <w:autoSpaceDE/>
        <w:autoSpaceDN/>
        <w:bidi w:val="0"/>
        <w:adjustRightInd/>
        <w:snapToGrid w:val="0"/>
        <w:spacing w:line="360" w:lineRule="exact"/>
        <w:ind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（2）采购预算：</w:t>
      </w:r>
    </w:p>
    <w:tbl>
      <w:tblPr>
        <w:tblStyle w:val="15"/>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893"/>
        <w:gridCol w:w="987"/>
        <w:gridCol w:w="845"/>
        <w:gridCol w:w="1425"/>
        <w:gridCol w:w="1253"/>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42" w:type="dxa"/>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893" w:type="dxa"/>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987" w:type="dxa"/>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45" w:type="dxa"/>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425"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预算</w:t>
            </w:r>
            <w:r>
              <w:rPr>
                <w:rFonts w:hint="eastAsia" w:ascii="宋体" w:hAnsi="宋体" w:eastAsia="宋体" w:cs="宋体"/>
                <w:color w:val="auto"/>
                <w:sz w:val="21"/>
                <w:szCs w:val="21"/>
                <w:highlight w:val="none"/>
              </w:rPr>
              <w:t>单价</w:t>
            </w:r>
          </w:p>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（元/年）</w:t>
            </w:r>
          </w:p>
        </w:tc>
        <w:tc>
          <w:tcPr>
            <w:tcW w:w="1253"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预算</w:t>
            </w:r>
            <w:r>
              <w:rPr>
                <w:rFonts w:hint="eastAsia" w:ascii="宋体" w:hAnsi="宋体" w:eastAsia="宋体" w:cs="宋体"/>
                <w:color w:val="auto"/>
                <w:sz w:val="21"/>
                <w:szCs w:val="21"/>
                <w:highlight w:val="none"/>
              </w:rPr>
              <w:t>合计（元）</w:t>
            </w:r>
          </w:p>
        </w:tc>
        <w:tc>
          <w:tcPr>
            <w:tcW w:w="1711" w:type="dxa"/>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2" w:type="dxa"/>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93"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毒鼠屋投放鼠药灭鼠服务</w:t>
            </w:r>
          </w:p>
        </w:tc>
        <w:tc>
          <w:tcPr>
            <w:tcW w:w="987"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40000</w:t>
            </w:r>
          </w:p>
        </w:tc>
        <w:tc>
          <w:tcPr>
            <w:tcW w:w="845" w:type="dxa"/>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1425" w:type="dxa"/>
            <w:noWrap w:val="0"/>
            <w:vAlign w:val="center"/>
          </w:tcPr>
          <w:p>
            <w:pPr>
              <w:snapToGrid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3.60</w:t>
            </w:r>
          </w:p>
        </w:tc>
        <w:tc>
          <w:tcPr>
            <w:tcW w:w="1253"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144000.00</w:t>
            </w:r>
          </w:p>
        </w:tc>
        <w:tc>
          <w:tcPr>
            <w:tcW w:w="171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highlight w:val="none"/>
              </w:rPr>
            </w:pPr>
            <w:r>
              <w:rPr>
                <w:rFonts w:hint="eastAsia" w:ascii="宋体" w:hAnsi="宋体"/>
                <w:color w:val="auto"/>
                <w:szCs w:val="21"/>
                <w:highlight w:val="none"/>
                <w:lang w:eastAsia="zh-CN"/>
              </w:rPr>
              <w:t>服务期内，要求开展服务工作不少4次。要求每次检查评估均达到国家标准。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2" w:type="dxa"/>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893"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北海城区公共区域及重点单位灭蚊服务</w:t>
            </w:r>
          </w:p>
        </w:tc>
        <w:tc>
          <w:tcPr>
            <w:tcW w:w="987" w:type="dxa"/>
            <w:noWrap w:val="0"/>
            <w:vAlign w:val="center"/>
          </w:tcPr>
          <w:p>
            <w:pPr>
              <w:snapToGrid w:val="0"/>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340000</w:t>
            </w:r>
          </w:p>
        </w:tc>
        <w:tc>
          <w:tcPr>
            <w:tcW w:w="845" w:type="dxa"/>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25" w:type="dxa"/>
            <w:noWrap w:val="0"/>
            <w:vAlign w:val="center"/>
          </w:tcPr>
          <w:p>
            <w:pPr>
              <w:snapToGrid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0.50</w:t>
            </w:r>
          </w:p>
        </w:tc>
        <w:tc>
          <w:tcPr>
            <w:tcW w:w="1253"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170000.00</w:t>
            </w:r>
          </w:p>
        </w:tc>
        <w:tc>
          <w:tcPr>
            <w:tcW w:w="1711" w:type="dxa"/>
            <w:vMerge w:val="continue"/>
            <w:noWrap w:val="0"/>
            <w:vAlign w:val="top"/>
          </w:tcPr>
          <w:p>
            <w:pPr>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42" w:type="dxa"/>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893" w:type="dxa"/>
            <w:noWrap w:val="0"/>
            <w:vAlign w:val="center"/>
          </w:tcPr>
          <w:p>
            <w:pPr>
              <w:snapToGrid w:val="0"/>
              <w:spacing w:line="240" w:lineRule="exact"/>
              <w:ind w:left="-105" w:leftChars="-50" w:right="-105" w:rightChars="-50"/>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北海城区公共区域及重点单位灭蟑和灭蝇服务（包括所负责的农贸市场安装灭蝇笼、绳等）</w:t>
            </w:r>
          </w:p>
        </w:tc>
        <w:tc>
          <w:tcPr>
            <w:tcW w:w="987" w:type="dxa"/>
            <w:noWrap w:val="0"/>
            <w:vAlign w:val="center"/>
          </w:tcPr>
          <w:p>
            <w:pPr>
              <w:snapToGrid w:val="0"/>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80000</w:t>
            </w:r>
          </w:p>
        </w:tc>
        <w:tc>
          <w:tcPr>
            <w:tcW w:w="845" w:type="dxa"/>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25" w:type="dxa"/>
            <w:noWrap w:val="0"/>
            <w:vAlign w:val="center"/>
          </w:tcPr>
          <w:p>
            <w:pPr>
              <w:snapToGrid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0.60</w:t>
            </w:r>
          </w:p>
        </w:tc>
        <w:tc>
          <w:tcPr>
            <w:tcW w:w="1253"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48000.00</w:t>
            </w:r>
          </w:p>
        </w:tc>
        <w:tc>
          <w:tcPr>
            <w:tcW w:w="1711" w:type="dxa"/>
            <w:vMerge w:val="continue"/>
            <w:noWrap w:val="0"/>
            <w:vAlign w:val="top"/>
          </w:tcPr>
          <w:p>
            <w:pPr>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42" w:type="dxa"/>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893"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毒鼠屋购置</w:t>
            </w:r>
          </w:p>
        </w:tc>
        <w:tc>
          <w:tcPr>
            <w:tcW w:w="987"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4900</w:t>
            </w:r>
          </w:p>
        </w:tc>
        <w:tc>
          <w:tcPr>
            <w:tcW w:w="845" w:type="dxa"/>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1425" w:type="dxa"/>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253"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98000.00</w:t>
            </w:r>
          </w:p>
        </w:tc>
        <w:tc>
          <w:tcPr>
            <w:tcW w:w="1711" w:type="dxa"/>
            <w:vMerge w:val="continue"/>
            <w:noWrap w:val="0"/>
            <w:vAlign w:val="top"/>
          </w:tcPr>
          <w:p>
            <w:pPr>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42" w:type="dxa"/>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893"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灭蚊蝇、蟑螂药物购置</w:t>
            </w:r>
          </w:p>
        </w:tc>
        <w:tc>
          <w:tcPr>
            <w:tcW w:w="987"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2000</w:t>
            </w:r>
          </w:p>
        </w:tc>
        <w:tc>
          <w:tcPr>
            <w:tcW w:w="845" w:type="dxa"/>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c>
          <w:tcPr>
            <w:tcW w:w="1425" w:type="dxa"/>
            <w:noWrap w:val="0"/>
            <w:vAlign w:val="center"/>
          </w:tcPr>
          <w:p>
            <w:pPr>
              <w:snapToGrid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20.00</w:t>
            </w:r>
          </w:p>
        </w:tc>
        <w:tc>
          <w:tcPr>
            <w:tcW w:w="1253"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40000.00</w:t>
            </w:r>
          </w:p>
        </w:tc>
        <w:tc>
          <w:tcPr>
            <w:tcW w:w="1711" w:type="dxa"/>
            <w:vMerge w:val="continue"/>
            <w:noWrap w:val="0"/>
            <w:vAlign w:val="top"/>
          </w:tcPr>
          <w:p>
            <w:pPr>
              <w:snapToGrid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892" w:type="dxa"/>
            <w:gridSpan w:val="5"/>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253" w:type="dxa"/>
            <w:noWrap w:val="0"/>
            <w:vAlign w:val="center"/>
          </w:tcPr>
          <w:p>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500000.00</w:t>
            </w:r>
          </w:p>
        </w:tc>
        <w:tc>
          <w:tcPr>
            <w:tcW w:w="1711" w:type="dxa"/>
            <w:vMerge w:val="continue"/>
            <w:noWrap w:val="0"/>
            <w:vAlign w:val="top"/>
          </w:tcPr>
          <w:p>
            <w:pPr>
              <w:snapToGrid w:val="0"/>
              <w:spacing w:line="360" w:lineRule="exact"/>
              <w:jc w:val="center"/>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（二）技术规范及要求</w:t>
      </w:r>
    </w:p>
    <w:tbl>
      <w:tblPr>
        <w:tblStyle w:val="15"/>
        <w:tblW w:w="9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65"/>
        <w:gridCol w:w="1230"/>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5" w:type="dxa"/>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1665" w:type="dxa"/>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服务名称</w:t>
            </w:r>
          </w:p>
        </w:tc>
        <w:tc>
          <w:tcPr>
            <w:tcW w:w="1230" w:type="dxa"/>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服务量</w:t>
            </w:r>
          </w:p>
        </w:tc>
        <w:tc>
          <w:tcPr>
            <w:tcW w:w="6279" w:type="dxa"/>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主要服务技术规范及要求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35" w:type="dxa"/>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65"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毒鼠屋投放鼠药灭鼠服务</w:t>
            </w:r>
          </w:p>
        </w:tc>
        <w:tc>
          <w:tcPr>
            <w:tcW w:w="1230" w:type="dxa"/>
            <w:noWrap w:val="0"/>
            <w:vAlign w:val="center"/>
          </w:tcPr>
          <w:p>
            <w:pPr>
              <w:keepNext w:val="0"/>
              <w:keepLines w:val="0"/>
              <w:pageBreakBefore w:val="0"/>
              <w:kinsoku/>
              <w:wordWrap/>
              <w:overflowPunct/>
              <w:topLinePunct w:val="0"/>
              <w:autoSpaceDE/>
              <w:autoSpaceDN/>
              <w:bidi w:val="0"/>
              <w:adjustRightInd/>
              <w:snapToGrid w:val="0"/>
              <w:spacing w:line="2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kern w:val="0"/>
                <w:sz w:val="21"/>
                <w:szCs w:val="21"/>
                <w:highlight w:val="none"/>
              </w:rPr>
              <w:t>区域范围内安装的毒鼠屋投放鼠药。</w:t>
            </w:r>
          </w:p>
        </w:tc>
        <w:tc>
          <w:tcPr>
            <w:tcW w:w="6279"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1.在标段区域内安装的毒鼠屋投放鼠药。投放鼠药的时间及数量按照《北海城区灭鼠、灭蟑技术方案》要求进行，确保长期持续达到GB/27770-2011规定的C级要求效果。</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2.在投放鼠药过程中，检查安置的毒鼠屋损坏情况，对损坏的毒鼠屋按原毒鼠屋规格修复或更换补齐。及时清理死鼠。</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3.新购买的鼠屋需经市爱卫办确认批准后，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统一购买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并固定安装好。不允许购买不合格鼠屋。</w:t>
            </w:r>
          </w:p>
          <w:p>
            <w:pPr>
              <w:pStyle w:val="4"/>
              <w:keepNext w:val="0"/>
              <w:keepLines w:val="0"/>
              <w:pageBreakBefore w:val="0"/>
              <w:widowControl w:val="0"/>
              <w:kinsoku/>
              <w:wordWrap/>
              <w:overflowPunct/>
              <w:topLinePunct w:val="0"/>
              <w:autoSpaceDE/>
              <w:autoSpaceDN/>
              <w:bidi w:val="0"/>
              <w:adjustRightInd/>
              <w:spacing w:line="2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4.在各国有集贸市场、城区各公园和广场、城区各车站和飞机场、火车站广场、园博园、南珠广场、市</w:t>
            </w:r>
            <w:r>
              <w:rPr>
                <w:rFonts w:hint="eastAsia" w:ascii="宋体" w:hAnsi="宋体" w:eastAsia="宋体" w:cs="宋体"/>
                <w:color w:val="auto"/>
                <w:sz w:val="21"/>
                <w:szCs w:val="21"/>
                <w:highlight w:val="none"/>
                <w:lang w:eastAsia="zh-CN"/>
              </w:rPr>
              <w:t>建成区</w:t>
            </w:r>
            <w:r>
              <w:rPr>
                <w:rFonts w:hint="eastAsia" w:ascii="宋体" w:hAnsi="宋体" w:eastAsia="宋体" w:cs="宋体"/>
                <w:color w:val="auto"/>
                <w:sz w:val="21"/>
                <w:szCs w:val="21"/>
                <w:highlight w:val="none"/>
              </w:rPr>
              <w:t>各垃圾收集站和处理站、物业小区周边、“三无”小区等场所，设置固定毒鼠屋；城区各主干道和街道绿化带等无法固定的区域，可使用可移动毒鼠屋。</w:t>
            </w:r>
          </w:p>
          <w:p>
            <w:pPr>
              <w:pStyle w:val="4"/>
              <w:keepNext w:val="0"/>
              <w:keepLines w:val="0"/>
              <w:pageBreakBefore w:val="0"/>
              <w:widowControl w:val="0"/>
              <w:kinsoku/>
              <w:wordWrap/>
              <w:overflowPunct/>
              <w:topLinePunct w:val="0"/>
              <w:autoSpaceDE/>
              <w:autoSpaceDN/>
              <w:bidi w:val="0"/>
              <w:adjustRightInd/>
              <w:spacing w:line="2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5.对已安装固定毒鼠屋的区域需制作“毒鼠屋点位分布图”。</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6.在市各国有集贸市场、城区各公园和广场、城区各车站和飞机场、火车站广场、园博园、南珠广场、市</w:t>
            </w:r>
            <w:r>
              <w:rPr>
                <w:rFonts w:hint="eastAsia" w:ascii="宋体" w:hAnsi="宋体" w:eastAsia="宋体" w:cs="宋体"/>
                <w:color w:val="auto"/>
                <w:sz w:val="21"/>
                <w:szCs w:val="21"/>
                <w:highlight w:val="none"/>
                <w:lang w:eastAsia="zh-CN"/>
              </w:rPr>
              <w:t>建成区</w:t>
            </w:r>
            <w:r>
              <w:rPr>
                <w:rFonts w:hint="eastAsia" w:ascii="宋体" w:hAnsi="宋体" w:eastAsia="宋体" w:cs="宋体"/>
                <w:color w:val="auto"/>
                <w:sz w:val="21"/>
                <w:szCs w:val="21"/>
                <w:highlight w:val="none"/>
              </w:rPr>
              <w:t>各垃圾收集站和处理站、物业小区、“三无”小区等场所，设置警示标识公告栏。标识内容包括但不限于：“请勿触碰”、“鼠药名称”、“投放编号”、“公司名称”、“服务热线”等。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35" w:type="dxa"/>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灭蚊、灭蟑和灭蝇服务</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ascii="宋体" w:hAnsi="宋体" w:eastAsia="宋体" w:cs="宋体"/>
                <w:color w:val="auto"/>
                <w:kern w:val="0"/>
                <w:sz w:val="21"/>
                <w:szCs w:val="21"/>
                <w:highlight w:val="none"/>
              </w:rPr>
              <w:t>范围内公共区域及重点单位灭蚊、灭蟑和灭蝇。</w:t>
            </w:r>
          </w:p>
        </w:tc>
        <w:tc>
          <w:tcPr>
            <w:tcW w:w="627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北海南珠大道以西市</w:t>
            </w:r>
            <w:r>
              <w:rPr>
                <w:rFonts w:hint="eastAsia" w:ascii="宋体" w:hAnsi="宋体" w:eastAsia="宋体" w:cs="宋体"/>
                <w:color w:val="auto"/>
                <w:sz w:val="21"/>
                <w:szCs w:val="21"/>
                <w:highlight w:val="none"/>
                <w:lang w:eastAsia="zh-CN"/>
              </w:rPr>
              <w:t>建成区</w:t>
            </w:r>
            <w:r>
              <w:rPr>
                <w:rFonts w:hint="eastAsia" w:ascii="宋体" w:hAnsi="宋体" w:eastAsia="宋体" w:cs="宋体"/>
                <w:color w:val="auto"/>
                <w:sz w:val="21"/>
                <w:szCs w:val="21"/>
                <w:highlight w:val="none"/>
              </w:rPr>
              <w:t>公共区域、南珠大道沿路东侧2公里内居民居住区、市工业园区及重点单位</w:t>
            </w:r>
            <w:r>
              <w:rPr>
                <w:rFonts w:hint="eastAsia" w:ascii="宋体" w:hAnsi="宋体" w:eastAsia="宋体" w:cs="宋体"/>
                <w:color w:val="auto"/>
                <w:kern w:val="0"/>
                <w:sz w:val="21"/>
                <w:szCs w:val="21"/>
                <w:highlight w:val="none"/>
              </w:rPr>
              <w:t>灭蚊、灭蟑和灭蝇</w:t>
            </w:r>
            <w:r>
              <w:rPr>
                <w:rFonts w:hint="eastAsia" w:ascii="宋体" w:hAnsi="宋体" w:eastAsia="宋体" w:cs="宋体"/>
                <w:color w:val="auto"/>
                <w:sz w:val="21"/>
                <w:szCs w:val="21"/>
                <w:highlight w:val="none"/>
              </w:rPr>
              <w:t>，消杀时间根据蚊、蝇、蟑螂生物特性和实际工作开展，每年不少于</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次。确保长期持续达到GB/27771-2011、GB/27772-2011、GB/27773-2011规定的C级要求效果。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重点单位</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区域</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在重点单位、区域内开展灭鼠、灭蚊、灭蟑、灭蝇。</w:t>
            </w:r>
          </w:p>
        </w:tc>
        <w:tc>
          <w:tcPr>
            <w:tcW w:w="627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市政府大院（含第二、第三办公区）、海城区政府、银海区政府、市</w:t>
            </w:r>
            <w:r>
              <w:rPr>
                <w:rFonts w:hint="eastAsia" w:ascii="宋体" w:hAnsi="宋体" w:eastAsia="宋体" w:cs="宋体"/>
                <w:color w:val="auto"/>
                <w:sz w:val="21"/>
                <w:szCs w:val="21"/>
                <w:highlight w:val="none"/>
                <w:lang w:eastAsia="zh-CN"/>
              </w:rPr>
              <w:t>建成区</w:t>
            </w:r>
            <w:r>
              <w:rPr>
                <w:rFonts w:hint="eastAsia" w:ascii="宋体" w:hAnsi="宋体" w:eastAsia="宋体" w:cs="宋体"/>
                <w:color w:val="auto"/>
                <w:sz w:val="21"/>
                <w:szCs w:val="21"/>
                <w:highlight w:val="none"/>
              </w:rPr>
              <w:t>内各花鸟市场、市各国有集贸市场、城区各公园和广场、城区各主干道和街道绿化带、城区各车站和飞机场、火车站广场、园博园、冠头岭，市建成区各垃圾收集站和处理站、无主管单位、无物业管理、无治安防范措施的“三无”单位和小区、市</w:t>
            </w:r>
            <w:r>
              <w:rPr>
                <w:rFonts w:hint="eastAsia" w:ascii="宋体" w:hAnsi="宋体" w:eastAsia="宋体" w:cs="宋体"/>
                <w:color w:val="auto"/>
                <w:sz w:val="21"/>
                <w:szCs w:val="21"/>
                <w:highlight w:val="none"/>
                <w:lang w:eastAsia="zh-CN"/>
              </w:rPr>
              <w:t>建成区</w:t>
            </w:r>
            <w:r>
              <w:rPr>
                <w:rFonts w:hint="eastAsia" w:ascii="宋体" w:hAnsi="宋体" w:eastAsia="宋体" w:cs="宋体"/>
                <w:color w:val="auto"/>
                <w:sz w:val="21"/>
                <w:szCs w:val="21"/>
                <w:highlight w:val="none"/>
              </w:rPr>
              <w:t>城中村、城乡结合部。（</w:t>
            </w:r>
            <w:r>
              <w:rPr>
                <w:rFonts w:hint="eastAsia" w:ascii="宋体" w:hAnsi="宋体" w:eastAsia="宋体" w:cs="宋体"/>
                <w:color w:val="auto"/>
                <w:sz w:val="21"/>
                <w:szCs w:val="21"/>
                <w:highlight w:val="none"/>
                <w:lang w:eastAsia="zh-CN"/>
              </w:rPr>
              <w:t>中标后，采购人提供详细区域</w:t>
            </w:r>
            <w:r>
              <w:rPr>
                <w:rFonts w:hint="eastAsia" w:ascii="宋体" w:hAnsi="宋体" w:eastAsia="宋体" w:cs="宋体"/>
                <w:color w:val="auto"/>
                <w:sz w:val="21"/>
                <w:szCs w:val="21"/>
                <w:highlight w:val="none"/>
              </w:rPr>
              <w:t>）</w:t>
            </w:r>
          </w:p>
        </w:tc>
      </w:tr>
    </w:tbl>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（三）服务要求</w:t>
      </w:r>
    </w:p>
    <w:p>
      <w:pPr>
        <w:pStyle w:val="17"/>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必须根据工作需要实施和完成灭鼠、灭蚊、灭蟑螂和灭蝇任务，消杀效果要长期持续控制在国家病媒生物生物密度控制水平标准C级及以上要求。消杀期间，</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做好填鼠洞、清理痕迹、清理鼠尸、蟑尸等场所清理工作。并做好工作记录存档（文档、图片）。质量标准及验收方法：在市疾控中心的技术指导下，经市疾控中心或第三方专业机构抽查监测检查，服务区域和重点场所的鼠、蚊、苍蝇和蟑螂密度达到国家规定的控制标准（C级）。</w:t>
      </w:r>
    </w:p>
    <w:p>
      <w:pPr>
        <w:pStyle w:val="17"/>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必须开展灭前本底调查和监测，对所需药械和工作量进行测算，并形成消杀前工作计划；工作结束后，</w:t>
      </w:r>
      <w:r>
        <w:rPr>
          <w:rFonts w:hint="eastAsia" w:ascii="宋体" w:hAnsi="宋体" w:eastAsia="宋体" w:cs="宋体"/>
          <w:b/>
          <w:color w:val="auto"/>
          <w:sz w:val="21"/>
          <w:szCs w:val="21"/>
          <w:highlight w:val="none"/>
        </w:rPr>
        <w:t>整理以下材料交</w:t>
      </w:r>
      <w:r>
        <w:rPr>
          <w:rFonts w:hint="eastAsia" w:ascii="宋体" w:hAnsi="宋体" w:eastAsia="宋体" w:cs="宋体"/>
          <w:b/>
          <w:color w:val="auto"/>
          <w:sz w:val="21"/>
          <w:szCs w:val="21"/>
          <w:highlight w:val="none"/>
          <w:lang w:val="en-US" w:eastAsia="zh-CN"/>
        </w:rPr>
        <w:t>采购</w:t>
      </w:r>
      <w:r>
        <w:rPr>
          <w:rFonts w:hint="eastAsia" w:ascii="宋体" w:hAnsi="宋体" w:eastAsia="宋体" w:cs="宋体"/>
          <w:b/>
          <w:color w:val="auto"/>
          <w:sz w:val="21"/>
          <w:szCs w:val="21"/>
          <w:highlight w:val="none"/>
        </w:rPr>
        <w:t>单位：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消杀前工作计划（包括本底调查、监测相关数据、使用药物、器具数量等材料）；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采购物品的正式发票；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消杀工作证明（由开展工作区域的单位、社区居委会等签字确认）、现场工作照片、派工单等；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包括检测数据在内自评估报告和结算清单，并提交</w:t>
      </w:r>
      <w:r>
        <w:rPr>
          <w:rFonts w:hint="eastAsia" w:ascii="宋体" w:hAnsi="宋体" w:eastAsia="宋体" w:cs="宋体"/>
          <w:color w:val="auto"/>
          <w:sz w:val="21"/>
          <w:szCs w:val="21"/>
          <w:highlight w:val="none"/>
          <w:lang w:eastAsia="zh-CN"/>
        </w:rPr>
        <w:t>采购单位</w:t>
      </w:r>
      <w:r>
        <w:rPr>
          <w:rFonts w:hint="eastAsia" w:ascii="宋体" w:hAnsi="宋体" w:eastAsia="宋体" w:cs="宋体"/>
          <w:color w:val="auto"/>
          <w:sz w:val="21"/>
          <w:szCs w:val="21"/>
          <w:highlight w:val="none"/>
        </w:rPr>
        <w:t>。</w:t>
      </w:r>
    </w:p>
    <w:p>
      <w:pPr>
        <w:pStyle w:val="17"/>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采购单位</w:t>
      </w:r>
      <w:r>
        <w:rPr>
          <w:rFonts w:hint="eastAsia" w:ascii="宋体" w:hAnsi="宋体" w:eastAsia="宋体" w:cs="宋体"/>
          <w:color w:val="auto"/>
          <w:sz w:val="21"/>
          <w:szCs w:val="21"/>
          <w:highlight w:val="none"/>
        </w:rPr>
        <w:t>将使用除“四害”信息化监测软件对</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工作情况进行日常监督管理，监测软件将对服务范围内所有的公共区域、点位进行监控和记录，</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需使用监测软件记录上报每次工作信息。上报信息包括：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每个点位每次放药、补药、鼠洞清除、鼠尸清理以及“蚊、蝇、蟑”消杀等现场照片；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消杀工作证明（由开展工作区域的单位、社区居委会等签字确认）、派工单等。具体监测软件使用要求另文通知。</w:t>
      </w:r>
    </w:p>
    <w:p>
      <w:pPr>
        <w:pStyle w:val="17"/>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4.为满足</w:t>
      </w:r>
      <w:r>
        <w:rPr>
          <w:rFonts w:hint="eastAsia" w:ascii="宋体" w:hAnsi="宋体" w:eastAsia="宋体" w:cs="宋体"/>
          <w:color w:val="auto"/>
          <w:sz w:val="21"/>
          <w:szCs w:val="21"/>
          <w:highlight w:val="none"/>
          <w:lang w:eastAsia="zh-CN"/>
        </w:rPr>
        <w:t>采购单位</w:t>
      </w:r>
      <w:r>
        <w:rPr>
          <w:rFonts w:hint="eastAsia" w:ascii="宋体" w:hAnsi="宋体" w:eastAsia="宋体" w:cs="宋体"/>
          <w:color w:val="auto"/>
          <w:sz w:val="21"/>
          <w:szCs w:val="21"/>
          <w:highlight w:val="none"/>
        </w:rPr>
        <w:t>管理和质量要求，</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须配置专职人员，严格按照要求执行现场各项管理、指导监督、检查、协调沟通工作。遵守爱卫办及街道办事处全程监督及结果考核。市疾控中心负责对</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负责消杀区域范围的“四害”消杀效果进行监测，保障“四害”监测工作的真实性和有效性。</w:t>
      </w:r>
    </w:p>
    <w:p>
      <w:pPr>
        <w:pStyle w:val="17"/>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必须持有相关的除“四害”服务登记证和从业消杀人员上岗资质证明。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生产劳动若发生工伤及安全事故全部由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负责。建立规章制度，搞好排查、处理、检查、监测工作并做好记录，以备查验。教育培训其工作人员遵守</w:t>
      </w:r>
      <w:r>
        <w:rPr>
          <w:rFonts w:hint="eastAsia" w:ascii="宋体" w:hAnsi="宋体" w:eastAsia="宋体" w:cs="宋体"/>
          <w:color w:val="auto"/>
          <w:sz w:val="21"/>
          <w:szCs w:val="21"/>
          <w:highlight w:val="none"/>
          <w:lang w:eastAsia="zh-CN"/>
        </w:rPr>
        <w:t>采购单位</w:t>
      </w:r>
      <w:r>
        <w:rPr>
          <w:rFonts w:hint="eastAsia" w:ascii="宋体" w:hAnsi="宋体" w:eastAsia="宋体" w:cs="宋体"/>
          <w:color w:val="auto"/>
          <w:sz w:val="21"/>
          <w:szCs w:val="21"/>
          <w:highlight w:val="none"/>
        </w:rPr>
        <w:t>的各项规章制度，所有工作人员统一着装、佩戴工作证上岗，文明作业。制定公司内部管理规定，明确奖惩标准，严格执行，每季度上报市爱卫办奖惩制度执行情况。</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6.在上级部门对我市工作的暗访、考核、技术评估等关键节点期间及接到临时任务安排时，</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须根据</w:t>
      </w:r>
      <w:r>
        <w:rPr>
          <w:rFonts w:hint="eastAsia" w:ascii="宋体" w:hAnsi="宋体" w:eastAsia="宋体" w:cs="宋体"/>
          <w:color w:val="auto"/>
          <w:sz w:val="21"/>
          <w:szCs w:val="21"/>
          <w:highlight w:val="none"/>
          <w:lang w:eastAsia="zh-CN"/>
        </w:rPr>
        <w:t>采购单位</w:t>
      </w:r>
      <w:r>
        <w:rPr>
          <w:rFonts w:hint="eastAsia" w:ascii="宋体" w:hAnsi="宋体" w:eastAsia="宋体" w:cs="宋体"/>
          <w:color w:val="auto"/>
          <w:sz w:val="21"/>
          <w:szCs w:val="21"/>
          <w:highlight w:val="none"/>
        </w:rPr>
        <w:t>工作需要，立即组织开展负责区域范围内的工作任务。</w:t>
      </w:r>
    </w:p>
    <w:p>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7.A标B标C标分别</w:t>
      </w:r>
      <w:r>
        <w:rPr>
          <w:rFonts w:hint="eastAsia" w:ascii="宋体" w:hAnsi="宋体" w:eastAsia="宋体" w:cs="宋体"/>
          <w:color w:val="auto"/>
          <w:kern w:val="0"/>
          <w:sz w:val="21"/>
          <w:szCs w:val="21"/>
          <w:highlight w:val="none"/>
        </w:rPr>
        <w:t>购置的共</w:t>
      </w:r>
      <w:r>
        <w:rPr>
          <w:rFonts w:hint="eastAsia" w:ascii="宋体" w:hAnsi="宋体" w:cs="宋体"/>
          <w:color w:val="auto"/>
          <w:kern w:val="0"/>
          <w:sz w:val="21"/>
          <w:szCs w:val="21"/>
          <w:highlight w:val="none"/>
          <w:lang w:val="en-US" w:eastAsia="zh-CN"/>
        </w:rPr>
        <w:t>60</w:t>
      </w:r>
      <w:r>
        <w:rPr>
          <w:rFonts w:hint="eastAsia" w:ascii="宋体" w:hAnsi="宋体" w:eastAsia="宋体" w:cs="宋体"/>
          <w:color w:val="auto"/>
          <w:kern w:val="0"/>
          <w:sz w:val="21"/>
          <w:szCs w:val="21"/>
          <w:highlight w:val="none"/>
        </w:rPr>
        <w:t>00瓶灭蚊蝇、蟑螂药物需提供给市爱卫办，市爱卫办根据实际工作需要免费提供给重点区域和单位开展季节性灭蚊灭蝇灭蟑消杀工作。</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9.本项目不得转包，未经</w:t>
      </w:r>
      <w:r>
        <w:rPr>
          <w:rFonts w:hint="eastAsia" w:ascii="宋体" w:hAnsi="宋体" w:eastAsia="宋体" w:cs="宋体"/>
          <w:color w:val="auto"/>
          <w:sz w:val="21"/>
          <w:szCs w:val="21"/>
          <w:highlight w:val="none"/>
          <w:lang w:eastAsia="zh-CN"/>
        </w:rPr>
        <w:t>采购单位</w:t>
      </w:r>
      <w:r>
        <w:rPr>
          <w:rFonts w:hint="eastAsia" w:ascii="宋体" w:hAnsi="宋体" w:eastAsia="宋体" w:cs="宋体"/>
          <w:color w:val="auto"/>
          <w:sz w:val="21"/>
          <w:szCs w:val="21"/>
          <w:highlight w:val="none"/>
        </w:rPr>
        <w:t>同意不得分包。</w:t>
      </w: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（四）药物要求</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1.本项目所服务区域实行包工包料包达标，各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选用的消杀药品必须根据不同的病媒控制对象并结合不同环境类别通过合法途径以高效、低毒、环保、安全、精准投放为原则，杜绝选用低劣（已失效或批次质量不稳定）、非法（法规禁用、来源不明或未经许可自配）、高毒等的卫生杀虫剂及过度用药。杜绝使用来源不明无“三证”或质量不稳定的卫生杀虫剂，确保灭效和人畜等各项安全，符合绿色环保的有关要求。</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2.除“四害”用药及主要技术参数明细表所列卫生杀虫剂为本项目要求</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使用的消杀药品类别，</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所选用的药品必须按照以上所列的技术参数来选用，即有效成分、含量、剂型必须符合。根据消杀效果，必要时进行调整，需替换其他药物的，需书面报</w:t>
      </w:r>
      <w:r>
        <w:rPr>
          <w:rFonts w:hint="eastAsia" w:ascii="宋体" w:hAnsi="宋体" w:eastAsia="宋体" w:cs="宋体"/>
          <w:color w:val="auto"/>
          <w:sz w:val="21"/>
          <w:szCs w:val="21"/>
          <w:highlight w:val="none"/>
          <w:lang w:eastAsia="zh-CN"/>
        </w:rPr>
        <w:t>采购单位</w:t>
      </w:r>
      <w:r>
        <w:rPr>
          <w:rFonts w:hint="eastAsia" w:ascii="宋体" w:hAnsi="宋体" w:eastAsia="宋体" w:cs="宋体"/>
          <w:color w:val="auto"/>
          <w:sz w:val="21"/>
          <w:szCs w:val="21"/>
          <w:highlight w:val="none"/>
        </w:rPr>
        <w:t>同意后，方能更换，否则投标无效。</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3.根据国家对农药的有关管理规定，为了保证药品的质量及来源合法，</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于合同签订生效后3个工作日内，出具产品有效“三证”（农药登记证、农药生产许可证、技术监督部门备案的企业标准）复印件（须加盖有药品生产厂家公章），同时提供药品生产厂家针对本项目的产品质量承诺书原件（附有药品制造商联系方式），否则采购人有权单方面解除合同，并保留按国家相关法律法规追究该</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虚假应标的相关责任，由此给采购人造成的一切损失均由该</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负责赔偿。</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ind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本项目病媒生物防制用药及主要技术参数明细表</w:t>
      </w:r>
    </w:p>
    <w:tbl>
      <w:tblPr>
        <w:tblStyle w:val="15"/>
        <w:tblW w:w="0" w:type="auto"/>
        <w:jc w:val="center"/>
        <w:tblLayout w:type="fixed"/>
        <w:tblCellMar>
          <w:top w:w="15" w:type="dxa"/>
          <w:left w:w="15" w:type="dxa"/>
          <w:bottom w:w="15" w:type="dxa"/>
          <w:right w:w="15" w:type="dxa"/>
        </w:tblCellMar>
      </w:tblPr>
      <w:tblGrid>
        <w:gridCol w:w="524"/>
        <w:gridCol w:w="4574"/>
        <w:gridCol w:w="4721"/>
      </w:tblGrid>
      <w:tr>
        <w:tblPrEx>
          <w:tblCellMar>
            <w:top w:w="15" w:type="dxa"/>
            <w:left w:w="15" w:type="dxa"/>
            <w:bottom w:w="15" w:type="dxa"/>
            <w:right w:w="15" w:type="dxa"/>
          </w:tblCellMar>
        </w:tblPrEx>
        <w:trPr>
          <w:trHeight w:val="299" w:hRule="atLeast"/>
          <w:jc w:val="center"/>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7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主要技术参数（有效成分、含量、剂型）</w:t>
            </w:r>
          </w:p>
        </w:tc>
        <w:tc>
          <w:tcPr>
            <w:tcW w:w="47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ind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药品用途及类别</w:t>
            </w:r>
          </w:p>
        </w:tc>
      </w:tr>
      <w:tr>
        <w:tblPrEx>
          <w:tblCellMar>
            <w:top w:w="15" w:type="dxa"/>
            <w:left w:w="15" w:type="dxa"/>
            <w:bottom w:w="15" w:type="dxa"/>
            <w:right w:w="15" w:type="dxa"/>
          </w:tblCellMar>
        </w:tblPrEx>
        <w:trPr>
          <w:trHeight w:val="343" w:hRule="atLeast"/>
          <w:jc w:val="center"/>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吡丙醚≥0.5%（含复配剂），颗粒剂或水乳剂。</w:t>
            </w:r>
          </w:p>
        </w:tc>
        <w:tc>
          <w:tcPr>
            <w:tcW w:w="47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内外环境蚊类孳生地用药（颗粒剂）</w:t>
            </w:r>
          </w:p>
        </w:tc>
      </w:tr>
      <w:tr>
        <w:tblPrEx>
          <w:tblCellMar>
            <w:top w:w="15" w:type="dxa"/>
            <w:left w:w="15" w:type="dxa"/>
            <w:bottom w:w="15" w:type="dxa"/>
            <w:right w:w="15" w:type="dxa"/>
          </w:tblCellMar>
        </w:tblPrEx>
        <w:trPr>
          <w:trHeight w:val="355" w:hRule="atLeast"/>
          <w:jc w:val="center"/>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顺式氯氰菊酯≥8%（含复配剂）可湿性粉剂</w:t>
            </w:r>
          </w:p>
        </w:tc>
        <w:tc>
          <w:tcPr>
            <w:tcW w:w="47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外环境成蚊、蝇栖息场所用药（可湿性粉剂）</w:t>
            </w:r>
          </w:p>
        </w:tc>
      </w:tr>
      <w:tr>
        <w:tblPrEx>
          <w:tblCellMar>
            <w:top w:w="15" w:type="dxa"/>
            <w:left w:w="15" w:type="dxa"/>
            <w:bottom w:w="15" w:type="dxa"/>
            <w:right w:w="15" w:type="dxa"/>
          </w:tblCellMar>
        </w:tblPrEx>
        <w:trPr>
          <w:trHeight w:val="321" w:hRule="atLeast"/>
          <w:jc w:val="center"/>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高氯.残杀威≥8%，悬浮剂</w:t>
            </w:r>
          </w:p>
        </w:tc>
        <w:tc>
          <w:tcPr>
            <w:tcW w:w="47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内外环境成蝇、蚊、蟑用药（悬浮剂）</w:t>
            </w:r>
          </w:p>
        </w:tc>
      </w:tr>
      <w:tr>
        <w:tblPrEx>
          <w:tblCellMar>
            <w:top w:w="15" w:type="dxa"/>
            <w:left w:w="15" w:type="dxa"/>
            <w:bottom w:w="15" w:type="dxa"/>
            <w:right w:w="15" w:type="dxa"/>
          </w:tblCellMar>
        </w:tblPrEx>
        <w:trPr>
          <w:trHeight w:val="515" w:hRule="atLeast"/>
          <w:jc w:val="center"/>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氯菊酯·S-生物烯丙菊酯≥10.4%，水乳剂或微乳剂</w:t>
            </w:r>
          </w:p>
        </w:tc>
        <w:tc>
          <w:tcPr>
            <w:tcW w:w="47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外环境成蚊、蝇栖息场所用药（水乳剂）</w:t>
            </w:r>
          </w:p>
        </w:tc>
      </w:tr>
      <w:tr>
        <w:tblPrEx>
          <w:tblCellMar>
            <w:top w:w="15" w:type="dxa"/>
            <w:left w:w="15" w:type="dxa"/>
            <w:bottom w:w="15" w:type="dxa"/>
            <w:right w:w="15" w:type="dxa"/>
          </w:tblCellMar>
        </w:tblPrEx>
        <w:trPr>
          <w:trHeight w:val="331" w:hRule="atLeast"/>
          <w:jc w:val="center"/>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高效氯氰菊酯≥1%（含复配剂）， 热雾剂。</w:t>
            </w:r>
          </w:p>
        </w:tc>
        <w:tc>
          <w:tcPr>
            <w:tcW w:w="47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下水道、化粪池蟑螂等孳生、栖息地用药（热雾剂）</w:t>
            </w:r>
          </w:p>
        </w:tc>
      </w:tr>
      <w:tr>
        <w:tblPrEx>
          <w:tblCellMar>
            <w:top w:w="15" w:type="dxa"/>
            <w:left w:w="15" w:type="dxa"/>
            <w:bottom w:w="15" w:type="dxa"/>
            <w:right w:w="15" w:type="dxa"/>
          </w:tblCellMar>
        </w:tblPrEx>
        <w:trPr>
          <w:trHeight w:val="352" w:hRule="atLeast"/>
          <w:jc w:val="center"/>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氟虫腈≥0.05%，杀蟑胶饵</w:t>
            </w:r>
          </w:p>
        </w:tc>
        <w:tc>
          <w:tcPr>
            <w:tcW w:w="47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内环境蟑螂成虫杀灭用药（胶饵）</w:t>
            </w:r>
          </w:p>
        </w:tc>
      </w:tr>
      <w:tr>
        <w:tblPrEx>
          <w:tblCellMar>
            <w:top w:w="15" w:type="dxa"/>
            <w:left w:w="15" w:type="dxa"/>
            <w:bottom w:w="15" w:type="dxa"/>
            <w:right w:w="15" w:type="dxa"/>
          </w:tblCellMar>
        </w:tblPrEx>
        <w:trPr>
          <w:trHeight w:val="366" w:hRule="atLeast"/>
          <w:jc w:val="center"/>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溴敌隆（鼠谷）≥0.005%或溴鼠灵≥0.005%，饵剂。</w:t>
            </w:r>
          </w:p>
        </w:tc>
        <w:tc>
          <w:tcPr>
            <w:tcW w:w="47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公共环境灭鼠用药（饵剂）</w:t>
            </w:r>
          </w:p>
        </w:tc>
      </w:tr>
      <w:tr>
        <w:tblPrEx>
          <w:tblCellMar>
            <w:top w:w="15" w:type="dxa"/>
            <w:left w:w="15" w:type="dxa"/>
            <w:bottom w:w="15" w:type="dxa"/>
            <w:right w:w="15" w:type="dxa"/>
          </w:tblCellMar>
        </w:tblPrEx>
        <w:trPr>
          <w:trHeight w:val="275" w:hRule="atLeast"/>
          <w:jc w:val="center"/>
        </w:trPr>
        <w:tc>
          <w:tcPr>
            <w:tcW w:w="52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毒鼠屋（不可分体）</w:t>
            </w:r>
          </w:p>
        </w:tc>
        <w:tc>
          <w:tcPr>
            <w:tcW w:w="472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每1000米不少于25个。（用途:灭鼠）</w:t>
            </w:r>
          </w:p>
        </w:tc>
      </w:tr>
      <w:tr>
        <w:tblPrEx>
          <w:tblCellMar>
            <w:top w:w="15" w:type="dxa"/>
            <w:left w:w="15" w:type="dxa"/>
            <w:bottom w:w="15" w:type="dxa"/>
            <w:right w:w="15" w:type="dxa"/>
          </w:tblCellMar>
        </w:tblPrEx>
        <w:trPr>
          <w:trHeight w:val="373" w:hRule="atLeast"/>
          <w:jc w:val="center"/>
        </w:trPr>
        <w:tc>
          <w:tcPr>
            <w:tcW w:w="52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胺菊酯.氯菊酯≥0.65%杀虫气雾剂</w:t>
            </w:r>
          </w:p>
        </w:tc>
        <w:tc>
          <w:tcPr>
            <w:tcW w:w="472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瓶装气雾剂</w:t>
            </w:r>
          </w:p>
        </w:tc>
      </w:tr>
    </w:tbl>
    <w:p>
      <w:pPr>
        <w:pStyle w:val="18"/>
        <w:keepNext/>
        <w:keepLines/>
        <w:pageBreakBefore w:val="0"/>
        <w:widowControl/>
        <w:kinsoku/>
        <w:wordWrap/>
        <w:overflowPunct/>
        <w:topLinePunct w:val="0"/>
        <w:autoSpaceDE/>
        <w:autoSpaceDN/>
        <w:bidi w:val="0"/>
        <w:adjustRightInd/>
        <w:spacing w:line="380" w:lineRule="exact"/>
        <w:ind w:left="0" w:leftChars="0" w:firstLine="0" w:firstLineChars="0"/>
        <w:textAlignment w:val="auto"/>
        <w:rPr>
          <w:rFonts w:hint="eastAsia" w:ascii="宋体"/>
          <w:b/>
          <w:sz w:val="32"/>
          <w:szCs w:val="32"/>
        </w:rPr>
      </w:pPr>
    </w:p>
    <w:p/>
    <w:sectPr>
      <w:pgSz w:w="11906" w:h="16838"/>
      <w:pgMar w:top="144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0F8E6"/>
    <w:multiLevelType w:val="singleLevel"/>
    <w:tmpl w:val="B390F8E6"/>
    <w:lvl w:ilvl="0" w:tentative="0">
      <w:start w:val="2"/>
      <w:numFmt w:val="decimal"/>
      <w:suff w:val="space"/>
      <w:lvlText w:val="%1."/>
      <w:lvlJc w:val="left"/>
    </w:lvl>
  </w:abstractNum>
  <w:abstractNum w:abstractNumId="1">
    <w:nsid w:val="449AC3DB"/>
    <w:multiLevelType w:val="singleLevel"/>
    <w:tmpl w:val="449AC3DB"/>
    <w:lvl w:ilvl="0" w:tentative="0">
      <w:start w:val="1"/>
      <w:numFmt w:val="chineseCounting"/>
      <w:suff w:val="space"/>
      <w:lvlText w:val="第%1部分"/>
      <w:lvlJc w:val="left"/>
      <w:rPr>
        <w:rFonts w:hint="eastAsia"/>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NzE5ZjFkMDBiM2E1YzNmNTRjNzVhMmUwMDQ5ODAifQ=="/>
  </w:docVars>
  <w:rsids>
    <w:rsidRoot w:val="4C743FDA"/>
    <w:rsid w:val="01A64E91"/>
    <w:rsid w:val="0B55730F"/>
    <w:rsid w:val="35DB1F0E"/>
    <w:rsid w:val="4A1379A0"/>
    <w:rsid w:val="4C743FDA"/>
    <w:rsid w:val="7242682A"/>
    <w:rsid w:val="7D990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7">
    <w:name w:val="heading 3"/>
    <w:basedOn w:val="1"/>
    <w:next w:val="1"/>
    <w:unhideWhenUsed/>
    <w:qFormat/>
    <w:uiPriority w:val="9"/>
    <w:pPr>
      <w:keepNext/>
      <w:keepLines/>
      <w:spacing w:before="200" w:after="200" w:line="360" w:lineRule="auto"/>
      <w:jc w:val="left"/>
      <w:outlineLvl w:val="2"/>
    </w:pPr>
    <w:rPr>
      <w:b/>
      <w:bCs/>
      <w:color w:val="000000"/>
      <w:sz w:val="32"/>
      <w:szCs w:val="32"/>
    </w:rPr>
  </w:style>
  <w:style w:type="paragraph" w:styleId="8">
    <w:name w:val="heading 4"/>
    <w:basedOn w:val="1"/>
    <w:next w:val="1"/>
    <w:qFormat/>
    <w:uiPriority w:val="0"/>
    <w:pPr>
      <w:keepNext/>
      <w:keepLines/>
      <w:spacing w:line="360" w:lineRule="auto"/>
      <w:outlineLvl w:val="3"/>
    </w:pPr>
    <w:rPr>
      <w:rFonts w:ascii="Arial" w:hAnsi="Arial"/>
      <w:b/>
      <w:bCs/>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qFormat/>
    <w:uiPriority w:val="0"/>
    <w:pPr>
      <w:spacing w:before="25" w:after="25"/>
      <w:ind w:firstLine="0"/>
    </w:pPr>
    <w:rPr>
      <w:bCs/>
      <w:spacing w:val="10"/>
      <w:kern w:val="0"/>
    </w:rPr>
  </w:style>
  <w:style w:type="paragraph" w:styleId="3">
    <w:name w:val="Body Text Indent"/>
    <w:basedOn w:val="1"/>
    <w:next w:val="1"/>
    <w:qFormat/>
    <w:uiPriority w:val="0"/>
    <w:pPr>
      <w:ind w:firstLine="830" w:firstLineChars="352"/>
    </w:pPr>
    <w:rPr>
      <w:rFonts w:ascii="仿宋_GB2312" w:eastAsia="仿宋_GB2312"/>
      <w:sz w:val="32"/>
      <w:szCs w:val="20"/>
    </w:rPr>
  </w:style>
  <w:style w:type="paragraph" w:styleId="4">
    <w:name w:val="Body Text"/>
    <w:basedOn w:val="1"/>
    <w:next w:val="1"/>
    <w:qFormat/>
    <w:uiPriority w:val="0"/>
    <w:pPr>
      <w:spacing w:line="380" w:lineRule="exact"/>
    </w:pPr>
    <w:rPr>
      <w:sz w:val="24"/>
    </w:rPr>
  </w:style>
  <w:style w:type="paragraph" w:styleId="9">
    <w:name w:val="Normal Indent"/>
    <w:basedOn w:val="1"/>
    <w:qFormat/>
    <w:uiPriority w:val="0"/>
    <w:pPr>
      <w:ind w:firstLine="420"/>
    </w:pPr>
    <w:rPr>
      <w:szCs w:val="20"/>
    </w:rPr>
  </w:style>
  <w:style w:type="paragraph" w:styleId="10">
    <w:name w:val="footer"/>
    <w:basedOn w:val="1"/>
    <w:next w:val="1"/>
    <w:qFormat/>
    <w:uiPriority w:val="0"/>
    <w:pPr>
      <w:tabs>
        <w:tab w:val="center" w:pos="4153"/>
        <w:tab w:val="right" w:pos="8306"/>
      </w:tabs>
      <w:snapToGrid w:val="0"/>
      <w:jc w:val="left"/>
    </w:pPr>
    <w:rPr>
      <w:sz w:val="18"/>
      <w:szCs w:val="18"/>
    </w:rPr>
  </w:style>
  <w:style w:type="paragraph" w:styleId="11">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12">
    <w:name w:val="Body Text First Indent"/>
    <w:basedOn w:val="4"/>
    <w:next w:val="11"/>
    <w:qFormat/>
    <w:uiPriority w:val="0"/>
    <w:pPr>
      <w:ind w:firstLine="420" w:firstLineChars="100"/>
    </w:pPr>
  </w:style>
  <w:style w:type="paragraph" w:styleId="13">
    <w:name w:val="Body Text First Indent 2"/>
    <w:basedOn w:val="3"/>
    <w:next w:val="14"/>
    <w:unhideWhenUsed/>
    <w:qFormat/>
    <w:uiPriority w:val="99"/>
    <w:pPr>
      <w:ind w:firstLine="420" w:firstLineChars="200"/>
    </w:pPr>
  </w:style>
  <w:style w:type="paragraph" w:styleId="14">
    <w:name w:val="Intense Quote"/>
    <w:basedOn w:val="1"/>
    <w:next w:val="1"/>
    <w:qFormat/>
    <w:uiPriority w:val="0"/>
    <w:pPr>
      <w:pBdr>
        <w:bottom w:val="single" w:color="4F81BD" w:sz="4" w:space="4"/>
      </w:pBdr>
      <w:spacing w:before="200" w:beforeLines="0" w:after="280" w:afterLines="0"/>
      <w:ind w:left="936" w:right="936"/>
    </w:pPr>
    <w:rPr>
      <w:rFonts w:ascii="Calibri" w:hAnsi="Calibri" w:eastAsia="宋体" w:cs="Times New Roman"/>
      <w:b/>
      <w:i/>
      <w:color w:val="4F81BD"/>
    </w:rPr>
  </w:style>
  <w:style w:type="paragraph" w:customStyle="1" w:styleId="17">
    <w:name w:val="p0"/>
    <w:basedOn w:val="1"/>
    <w:qFormat/>
    <w:uiPriority w:val="0"/>
    <w:pPr>
      <w:widowControl/>
    </w:pPr>
    <w:rPr>
      <w:rFonts w:cs="宋体"/>
      <w:kern w:val="0"/>
      <w:szCs w:val="21"/>
    </w:rPr>
  </w:style>
  <w:style w:type="paragraph" w:customStyle="1" w:styleId="18">
    <w:name w:val="kj正文"/>
    <w:basedOn w:val="1"/>
    <w:qFormat/>
    <w:uiPriority w:val="99"/>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1155</Words>
  <Characters>1181</Characters>
  <Lines>0</Lines>
  <Paragraphs>0</Paragraphs>
  <TotalTime>0</TotalTime>
  <ScaleCrop>false</ScaleCrop>
  <LinksUpToDate>false</LinksUpToDate>
  <CharactersWithSpaces>1187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2022-11-09T08:29:00Z</dcterms:created>
  <dc:creator>Administrator</dc:creator>
  <cp:lastModifiedBy>Administrator</cp:lastModifiedBy>
  <dcterms:modified xsi:type="dcterms:W3CDTF">2023-06-12T08:26:19Z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6C03C9C7DF1B4AB88F4035A4A075A0FA_12</vt:lpwstr>
  </property>
</Properties>
</file>