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eastAsia="宋体" w:cs="宋体"/>
          <w:b/>
          <w:sz w:val="36"/>
          <w:szCs w:val="36"/>
          <w:highlight w:val="none"/>
        </w:rPr>
      </w:pPr>
      <w:bookmarkStart w:id="0" w:name="_Toc10400"/>
      <w:r>
        <w:rPr>
          <w:rFonts w:hint="eastAsia" w:ascii="宋体" w:hAnsi="宋体" w:eastAsia="宋体" w:cs="宋体"/>
          <w:b/>
          <w:sz w:val="36"/>
          <w:szCs w:val="36"/>
          <w:highlight w:val="none"/>
        </w:rPr>
        <w:t>第三部分 磋商内容及要求</w:t>
      </w:r>
      <w:bookmarkEnd w:id="0"/>
    </w:p>
    <w:p>
      <w:pPr>
        <w:spacing w:line="360" w:lineRule="auto"/>
        <w:ind w:right="111" w:rightChars="53" w:firstLine="482" w:firstLineChars="200"/>
        <w:outlineLvl w:val="0"/>
        <w:rPr>
          <w:rFonts w:hint="eastAsia" w:ascii="宋体" w:hAnsi="宋体" w:eastAsia="宋体" w:cs="宋体"/>
          <w:sz w:val="24"/>
          <w:szCs w:val="24"/>
        </w:rPr>
      </w:pPr>
      <w:bookmarkStart w:id="1" w:name="_Toc5900"/>
      <w:r>
        <w:rPr>
          <w:rFonts w:hint="eastAsia" w:ascii="宋体" w:hAnsi="宋体" w:eastAsia="宋体" w:cs="宋体"/>
          <w:b/>
          <w:bCs/>
          <w:sz w:val="24"/>
          <w:szCs w:val="24"/>
        </w:rPr>
        <w:t>一、项目概况</w:t>
      </w:r>
      <w:bookmarkEnd w:id="1"/>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1、项目名称：</w:t>
      </w:r>
      <w:r>
        <w:rPr>
          <w:rFonts w:hint="eastAsia" w:ascii="宋体" w:hAnsi="宋体" w:eastAsia="宋体" w:cs="宋体"/>
          <w:color w:val="000000"/>
          <w:sz w:val="24"/>
          <w:szCs w:val="24"/>
          <w:highlight w:val="none"/>
          <w:lang w:val="en-US" w:eastAsia="zh-CN"/>
        </w:rPr>
        <w:t>洛南县卫生健康局2023年病媒生物消杀服务采购项目；</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2、项目内容：该项目主要内容为洛南县卫生健康局病媒生物消杀服务，对灭鼠、灭蚊蝇、灭蟑螂等专业消杀服务；</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en"/>
        </w:rPr>
        <w:t>、消杀区域：本项目消杀区域涉及洛南县城区建成区（东起县河口、西至汽车站、南北到两面坡根）集中消杀服务。</w:t>
      </w:r>
    </w:p>
    <w:p>
      <w:pPr>
        <w:spacing w:line="360" w:lineRule="auto"/>
        <w:ind w:right="111" w:rightChars="53" w:firstLine="482" w:firstLineChars="200"/>
        <w:outlineLvl w:val="0"/>
        <w:rPr>
          <w:rFonts w:hint="eastAsia" w:ascii="宋体" w:hAnsi="宋体" w:eastAsia="宋体" w:cs="宋体"/>
          <w:b/>
          <w:bCs/>
          <w:sz w:val="24"/>
          <w:szCs w:val="24"/>
        </w:rPr>
      </w:pPr>
      <w:bookmarkStart w:id="2" w:name="_Toc14161"/>
      <w:r>
        <w:rPr>
          <w:rFonts w:hint="eastAsia" w:ascii="宋体" w:hAnsi="宋体" w:eastAsia="宋体" w:cs="宋体"/>
          <w:b/>
          <w:bCs/>
          <w:sz w:val="24"/>
          <w:szCs w:val="24"/>
        </w:rPr>
        <w:t>二、服务内容</w:t>
      </w:r>
      <w:bookmarkEnd w:id="2"/>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1、春秋两季集中开展灭鼠,夏秋季每月开展1次灭蚊蝇工作,针对特殊行业和采购方安排, 定期开展灭蟑螂工作。在其他时间,如发现病媒生物密度较高时,必须安排尽快进行处理。如遇县上重大活动、接待或突发事件等,需完成临时性消杀任务。</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2、对病媒生物孳生地分布情况进行全面调查，建立孳生地台账。制定孳生地治理措施上报相关部门，有效减少鼠、蚊、蝇、蟑螂等病媒生物孳生，确保孳生地处理率达到95%以上，合格率达到80%以上。</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3、指导完善病媒生物防制设施。开展重点单位和一般单位重点场所的防鼠、防蝇、防蚊设施排查，制定整改措施以书面形式报被调查单位负责人及相关主管部门，规范建立健全纱窗、风幕机、灭蝇灯、防鼠网、挡鼠板等“三防”设施，确保病媒生物防制设施设置合格率不低于95%。</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4、开展春秋季灭鼠、夏秋季灭蚊蝇以及灭蟑活动。其中，灭鼠活动主要集中在4月份和11月份开展，灭蚊蝇活动主要在5-10月份集中开展，灭蟑螂活动每年2次。采取物理防制、生物防制和化学药物防制等综合措施对鼠、蚊、蝇、蟑螂进行杀灭，确保“四害”密度符合控制标准要求。禁止使用国家违禁药品，确保相关消杀药品和器械符合相关标准要求。</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5、在县城范围内重点区域投放固定强化水泥投饵站，灭鼠剂采用环保新型灭鼠剂胆钙化醇（有效成分维生素D3），毒饵采用国际卫生组织认可的第二代抗凝血灭鼠剂(有效成分0.005%溴敌隆毒饵）每月进行一次全面检查补充更换，形成长效灭鼠。</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6、对蚊蝇孳生地进行全面调查摸底，并制定切实可行的治理方案，从源头上杜绝减少病媒生物孳生，每月对城区公共外环境、机关单位、六小行业、车站、学校、医院进行全面杀虫工作，在虫害多发季对重点行业、部位不少于两次。</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7、每月对“六小行业”进行督导检查。如发现蟑螂，确定种类及生活习性，根据现场不同环境，采用物理和化学方法防制。协助完善病媒生物防制组织制度和工作资料。建立健料，确保建立病媒生物防制长效工作机制。全病媒生物防制工作组织网络，做好预防控制和消杀工作记录，完善管理制度和工作资料，确保建立病媒生物防制长效工作机制。</w:t>
      </w:r>
    </w:p>
    <w:p>
      <w:pPr>
        <w:spacing w:line="360" w:lineRule="auto"/>
        <w:ind w:right="111" w:rightChars="53" w:firstLine="482" w:firstLineChars="200"/>
        <w:outlineLvl w:val="0"/>
        <w:rPr>
          <w:rFonts w:hint="eastAsia" w:ascii="宋体" w:hAnsi="宋体" w:eastAsia="宋体" w:cs="宋体"/>
          <w:b/>
          <w:bCs/>
          <w:sz w:val="24"/>
          <w:szCs w:val="24"/>
        </w:rPr>
      </w:pPr>
      <w:bookmarkStart w:id="3" w:name="_Toc32079"/>
      <w:r>
        <w:rPr>
          <w:rFonts w:hint="eastAsia" w:ascii="宋体" w:hAnsi="宋体" w:eastAsia="宋体" w:cs="宋体"/>
          <w:b/>
          <w:bCs/>
          <w:sz w:val="24"/>
          <w:szCs w:val="24"/>
        </w:rPr>
        <w:t>三、服务要求</w:t>
      </w:r>
      <w:bookmarkEnd w:id="3"/>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1、所使用的灭鼠除虫药物为中国农业农村部批准,全国爱卫会专家委员会推荐、认定,确保使用低毒、环保、安全、有效的药物；</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2、消杀前做好告知提示,不能影响市民的学习、工作、生活；施药时,应指出需防护的部位和措施。工作中注意安全,不得对人、动植物及公共设施造成损害。若因施工原因造成的安全事故及存在安全隐患造成自身和他人人身财产损失,其责任由防治方全部承担。</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3、每年开展1次病媒生物孳生地调查,指导各单位完善防制设施保证消杀质量,病媒生物密度不超过国家规定的相关标准；</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4、接受并通过市、省级病媒生物密度监测和防制效果考核鉴定；</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5、协助采购方进行病媒生物防制宣传；</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6、从事病媒生物消杀服务的从业人员须佩带《工作证》；</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7、作业完成后应认真填写《病媒生物防制施工记录表》交由采购人现场签认，双方各执一份，保存待查；</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8、根据病媒生物种类和有关规定，要求定期进行病媒生物密度监测或防制效果监测，资料及时统计分析上报并归档保存。</w:t>
      </w:r>
      <w:bookmarkStart w:id="8" w:name="_GoBack"/>
      <w:bookmarkEnd w:id="8"/>
    </w:p>
    <w:p>
      <w:pPr>
        <w:spacing w:line="360" w:lineRule="auto"/>
        <w:ind w:right="111" w:rightChars="53" w:firstLine="482" w:firstLineChars="200"/>
        <w:outlineLvl w:val="0"/>
        <w:rPr>
          <w:rFonts w:hint="eastAsia" w:ascii="宋体" w:hAnsi="宋体" w:eastAsia="宋体" w:cs="宋体"/>
          <w:b/>
          <w:bCs/>
          <w:sz w:val="24"/>
          <w:szCs w:val="24"/>
        </w:rPr>
      </w:pPr>
      <w:bookmarkStart w:id="4" w:name="_Toc15006"/>
      <w:r>
        <w:rPr>
          <w:rFonts w:hint="eastAsia" w:ascii="宋体" w:hAnsi="宋体" w:eastAsia="宋体" w:cs="宋体"/>
          <w:b/>
          <w:bCs/>
          <w:sz w:val="24"/>
          <w:szCs w:val="24"/>
        </w:rPr>
        <w:t>四、控制标准</w:t>
      </w:r>
      <w:bookmarkEnd w:id="4"/>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鼠、蚊、蝇、蟑螂的密度达到国家病媒生物密度控制水平标准C级要求。防鼠和防蚊蝇设施合格率≥95%。</w:t>
      </w:r>
    </w:p>
    <w:p>
      <w:pPr>
        <w:spacing w:line="360" w:lineRule="auto"/>
        <w:ind w:right="111" w:rightChars="53" w:firstLine="482" w:firstLineChars="200"/>
        <w:outlineLvl w:val="0"/>
        <w:rPr>
          <w:rFonts w:hint="eastAsia" w:ascii="宋体" w:hAnsi="宋体" w:eastAsia="宋体" w:cs="宋体"/>
          <w:b/>
          <w:bCs/>
          <w:sz w:val="24"/>
          <w:szCs w:val="24"/>
          <w:highlight w:val="red"/>
        </w:rPr>
      </w:pPr>
      <w:bookmarkStart w:id="5" w:name="_Toc2504"/>
      <w:r>
        <w:rPr>
          <w:rFonts w:hint="eastAsia" w:ascii="宋体" w:hAnsi="宋体" w:eastAsia="宋体" w:cs="宋体"/>
          <w:b/>
          <w:bCs/>
          <w:sz w:val="24"/>
          <w:szCs w:val="24"/>
          <w:highlight w:val="red"/>
        </w:rPr>
        <w:t>五、消杀次数及用药</w:t>
      </w:r>
      <w:bookmarkEnd w:id="5"/>
    </w:p>
    <w:p>
      <w:pPr>
        <w:snapToGrid w:val="0"/>
        <w:spacing w:after="156" w:line="360" w:lineRule="auto"/>
        <w:ind w:firstLine="480" w:firstLineChars="200"/>
        <w:jc w:val="left"/>
        <w:rPr>
          <w:rFonts w:hint="eastAsia" w:ascii="宋体" w:hAnsi="宋体" w:eastAsia="宋体" w:cs="宋体"/>
          <w:color w:val="000000"/>
          <w:sz w:val="24"/>
          <w:szCs w:val="24"/>
          <w:highlight w:val="red"/>
          <w:lang w:val="en"/>
        </w:rPr>
      </w:pPr>
      <w:r>
        <w:rPr>
          <w:rFonts w:hint="eastAsia" w:ascii="宋体" w:hAnsi="宋体" w:eastAsia="宋体" w:cs="宋体"/>
          <w:color w:val="000000"/>
          <w:sz w:val="24"/>
          <w:szCs w:val="24"/>
          <w:highlight w:val="red"/>
          <w:lang w:val="en"/>
        </w:rPr>
        <w:t>主要药械要求：病媒生物消杀公司应按下表要求优先向采购人提供病媒生物药品及消杀作业服务。</w:t>
      </w:r>
    </w:p>
    <w:tbl>
      <w:tblPr>
        <w:tblStyle w:val="6"/>
        <w:tblpPr w:leftFromText="180" w:rightFromText="180" w:vertAnchor="text" w:horzAnchor="page" w:tblpX="1554" w:tblpY="211"/>
        <w:tblOverlap w:val="never"/>
        <w:tblW w:w="47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8"/>
        <w:gridCol w:w="1419"/>
        <w:gridCol w:w="2769"/>
        <w:gridCol w:w="2017"/>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7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1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2769"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2017"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有效成分</w:t>
            </w:r>
          </w:p>
        </w:tc>
        <w:tc>
          <w:tcPr>
            <w:tcW w:w="2283"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87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19" w:type="dxa"/>
            <w:vMerge w:val="restart"/>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灭鼠</w:t>
            </w:r>
          </w:p>
        </w:tc>
        <w:tc>
          <w:tcPr>
            <w:tcW w:w="276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水泥强化灭鼠投饵站</w:t>
            </w:r>
          </w:p>
        </w:tc>
        <w:tc>
          <w:tcPr>
            <w:tcW w:w="2017"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≧长26cm</w:t>
            </w:r>
          </w:p>
        </w:tc>
        <w:tc>
          <w:tcPr>
            <w:tcW w:w="2283"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87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19" w:type="dxa"/>
            <w:vMerge w:val="continue"/>
            <w:noWrap w:val="0"/>
            <w:vAlign w:val="center"/>
          </w:tcPr>
          <w:p>
            <w:pPr>
              <w:spacing w:line="240" w:lineRule="auto"/>
              <w:jc w:val="center"/>
              <w:rPr>
                <w:rFonts w:hint="eastAsia" w:ascii="宋体" w:hAnsi="宋体" w:eastAsia="宋体" w:cs="宋体"/>
                <w:color w:val="000000"/>
                <w:sz w:val="24"/>
                <w:szCs w:val="24"/>
              </w:rPr>
            </w:pPr>
          </w:p>
        </w:tc>
        <w:tc>
          <w:tcPr>
            <w:tcW w:w="276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环保新型灭鼠剂</w:t>
            </w:r>
          </w:p>
        </w:tc>
        <w:tc>
          <w:tcPr>
            <w:tcW w:w="2017"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胆钙化醇</w:t>
            </w:r>
          </w:p>
        </w:tc>
        <w:tc>
          <w:tcPr>
            <w:tcW w:w="2283"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有效成分维生素D3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87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19" w:type="dxa"/>
            <w:vMerge w:val="continue"/>
            <w:noWrap w:val="0"/>
            <w:vAlign w:val="center"/>
          </w:tcPr>
          <w:p>
            <w:pPr>
              <w:spacing w:line="240" w:lineRule="auto"/>
              <w:jc w:val="center"/>
              <w:rPr>
                <w:rFonts w:hint="eastAsia" w:ascii="宋体" w:hAnsi="宋体" w:eastAsia="宋体" w:cs="宋体"/>
                <w:color w:val="000000"/>
                <w:sz w:val="24"/>
                <w:szCs w:val="24"/>
              </w:rPr>
            </w:pPr>
          </w:p>
        </w:tc>
        <w:tc>
          <w:tcPr>
            <w:tcW w:w="276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灭鼠毒饵</w:t>
            </w:r>
          </w:p>
        </w:tc>
        <w:tc>
          <w:tcPr>
            <w:tcW w:w="2017"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0.005%溴敌隆灭鼠剂</w:t>
            </w:r>
          </w:p>
        </w:tc>
        <w:tc>
          <w:tcPr>
            <w:tcW w:w="2283" w:type="dxa"/>
            <w:noWrap w:val="0"/>
            <w:vAlign w:val="center"/>
          </w:tcPr>
          <w:p>
            <w:pPr>
              <w:spacing w:line="240" w:lineRule="auto"/>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7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19" w:type="dxa"/>
            <w:vMerge w:val="restart"/>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灭蚊蝇</w:t>
            </w:r>
          </w:p>
        </w:tc>
        <w:tc>
          <w:tcPr>
            <w:tcW w:w="2769" w:type="dxa"/>
            <w:noWrap w:val="0"/>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辛硫</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高氯氟</w:t>
            </w:r>
          </w:p>
        </w:tc>
        <w:tc>
          <w:tcPr>
            <w:tcW w:w="2017" w:type="dxa"/>
            <w:noWrap w:val="0"/>
            <w:vAlign w:val="center"/>
          </w:tcPr>
          <w:p>
            <w:pPr>
              <w:spacing w:line="24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高氯氟，20%辛硫磷</w:t>
            </w:r>
          </w:p>
        </w:tc>
        <w:tc>
          <w:tcPr>
            <w:tcW w:w="2283" w:type="dxa"/>
            <w:noWrap w:val="0"/>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87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19" w:type="dxa"/>
            <w:vMerge w:val="continue"/>
            <w:noWrap w:val="0"/>
            <w:vAlign w:val="center"/>
          </w:tcPr>
          <w:p>
            <w:pPr>
              <w:spacing w:line="240" w:lineRule="auto"/>
              <w:jc w:val="center"/>
              <w:rPr>
                <w:rFonts w:hint="eastAsia" w:ascii="宋体" w:hAnsi="宋体" w:eastAsia="宋体" w:cs="宋体"/>
                <w:color w:val="000000"/>
                <w:sz w:val="24"/>
                <w:szCs w:val="24"/>
              </w:rPr>
            </w:pPr>
          </w:p>
        </w:tc>
        <w:tc>
          <w:tcPr>
            <w:tcW w:w="276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10%高效氯氰菊酯悬浮剂</w:t>
            </w:r>
          </w:p>
        </w:tc>
        <w:tc>
          <w:tcPr>
            <w:tcW w:w="2017"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10%高效氯氰菊酯</w:t>
            </w:r>
          </w:p>
        </w:tc>
        <w:tc>
          <w:tcPr>
            <w:tcW w:w="2283"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87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19" w:type="dxa"/>
            <w:vMerge w:val="continue"/>
            <w:noWrap w:val="0"/>
            <w:vAlign w:val="center"/>
          </w:tcPr>
          <w:p>
            <w:pPr>
              <w:spacing w:line="240" w:lineRule="auto"/>
              <w:jc w:val="center"/>
              <w:rPr>
                <w:rFonts w:hint="eastAsia" w:ascii="宋体" w:hAnsi="宋体" w:eastAsia="宋体" w:cs="宋体"/>
                <w:color w:val="000000"/>
                <w:sz w:val="24"/>
                <w:szCs w:val="24"/>
              </w:rPr>
            </w:pPr>
          </w:p>
        </w:tc>
        <w:tc>
          <w:tcPr>
            <w:tcW w:w="276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%残杀威乳油</w:t>
            </w:r>
          </w:p>
        </w:tc>
        <w:tc>
          <w:tcPr>
            <w:tcW w:w="2017"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%残杀威</w:t>
            </w:r>
          </w:p>
        </w:tc>
        <w:tc>
          <w:tcPr>
            <w:tcW w:w="2283"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879" w:type="dxa"/>
            <w:vMerge w:val="restart"/>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41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灭蚊蝇、灭蟑</w:t>
            </w:r>
          </w:p>
        </w:tc>
        <w:tc>
          <w:tcPr>
            <w:tcW w:w="276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杀虫</w:t>
            </w:r>
            <w:r>
              <w:rPr>
                <w:rFonts w:hint="eastAsia" w:ascii="宋体" w:hAnsi="宋体" w:eastAsia="宋体" w:cs="宋体"/>
                <w:color w:val="000000"/>
                <w:sz w:val="24"/>
                <w:szCs w:val="24"/>
              </w:rPr>
              <w:t>泡腾片</w:t>
            </w:r>
          </w:p>
        </w:tc>
        <w:tc>
          <w:tcPr>
            <w:tcW w:w="2017"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6%甲嘧·2.5%高氯氟</w:t>
            </w:r>
          </w:p>
        </w:tc>
        <w:tc>
          <w:tcPr>
            <w:tcW w:w="2283"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879" w:type="dxa"/>
            <w:vMerge w:val="continue"/>
            <w:noWrap w:val="0"/>
            <w:vAlign w:val="center"/>
          </w:tcPr>
          <w:p>
            <w:pPr>
              <w:spacing w:line="240" w:lineRule="auto"/>
              <w:jc w:val="center"/>
              <w:rPr>
                <w:rFonts w:hint="eastAsia" w:ascii="宋体" w:hAnsi="宋体" w:eastAsia="宋体" w:cs="宋体"/>
                <w:color w:val="000000"/>
                <w:sz w:val="24"/>
                <w:szCs w:val="24"/>
              </w:rPr>
            </w:pPr>
          </w:p>
        </w:tc>
        <w:tc>
          <w:tcPr>
            <w:tcW w:w="1419" w:type="dxa"/>
            <w:noWrap w:val="0"/>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灭蟑</w:t>
            </w:r>
          </w:p>
        </w:tc>
        <w:tc>
          <w:tcPr>
            <w:tcW w:w="2769" w:type="dxa"/>
            <w:noWrap w:val="0"/>
            <w:vAlign w:val="center"/>
          </w:tcPr>
          <w:p>
            <w:pPr>
              <w:spacing w:line="24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氟虫氰悬浮剂</w:t>
            </w:r>
          </w:p>
        </w:tc>
        <w:tc>
          <w:tcPr>
            <w:tcW w:w="2017" w:type="dxa"/>
            <w:noWrap w:val="0"/>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氟虫氰</w:t>
            </w:r>
          </w:p>
        </w:tc>
        <w:tc>
          <w:tcPr>
            <w:tcW w:w="2283" w:type="dxa"/>
            <w:noWrap w:val="0"/>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7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41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灭蟑</w:t>
            </w:r>
          </w:p>
        </w:tc>
        <w:tc>
          <w:tcPr>
            <w:tcW w:w="2769"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灭蟑</w:t>
            </w:r>
            <w:r>
              <w:rPr>
                <w:rFonts w:hint="eastAsia" w:ascii="宋体" w:hAnsi="宋体" w:eastAsia="宋体" w:cs="宋体"/>
                <w:color w:val="000000"/>
                <w:sz w:val="24"/>
                <w:szCs w:val="24"/>
              </w:rPr>
              <w:t>胶饵</w:t>
            </w:r>
          </w:p>
        </w:tc>
        <w:tc>
          <w:tcPr>
            <w:tcW w:w="2017"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0.05%氟虫氰</w:t>
            </w:r>
          </w:p>
        </w:tc>
        <w:tc>
          <w:tcPr>
            <w:tcW w:w="2283" w:type="dxa"/>
            <w:noWrap w:val="0"/>
            <w:vAlign w:val="center"/>
          </w:tcPr>
          <w:p>
            <w:pPr>
              <w:spacing w:line="240" w:lineRule="auto"/>
              <w:jc w:val="center"/>
              <w:rPr>
                <w:rFonts w:hint="eastAsia" w:ascii="宋体" w:hAnsi="宋体" w:eastAsia="宋体" w:cs="宋体"/>
                <w:color w:val="000000"/>
                <w:sz w:val="24"/>
                <w:szCs w:val="24"/>
              </w:rPr>
            </w:pPr>
          </w:p>
        </w:tc>
      </w:tr>
    </w:tbl>
    <w:p>
      <w:pPr>
        <w:snapToGrid w:val="0"/>
        <w:spacing w:after="156" w:line="360" w:lineRule="auto"/>
        <w:ind w:firstLine="482" w:firstLineChars="200"/>
        <w:jc w:val="left"/>
        <w:rPr>
          <w:rFonts w:hint="eastAsia" w:ascii="宋体" w:hAnsi="宋体" w:eastAsia="宋体" w:cs="宋体"/>
          <w:b/>
          <w:bCs/>
          <w:color w:val="000000"/>
          <w:sz w:val="24"/>
          <w:szCs w:val="24"/>
          <w:highlight w:val="none"/>
          <w:lang w:val="en"/>
        </w:rPr>
      </w:pPr>
      <w:r>
        <w:rPr>
          <w:rFonts w:hint="eastAsia" w:ascii="宋体" w:hAnsi="宋体" w:eastAsia="宋体" w:cs="宋体"/>
          <w:b/>
          <w:bCs/>
          <w:color w:val="000000"/>
          <w:sz w:val="24"/>
          <w:szCs w:val="24"/>
          <w:highlight w:val="none"/>
          <w:lang w:val="en" w:eastAsia="zh-CN"/>
        </w:rPr>
        <w:t>注</w:t>
      </w:r>
      <w:r>
        <w:rPr>
          <w:rFonts w:hint="eastAsia" w:ascii="宋体" w:hAnsi="宋体" w:eastAsia="宋体" w:cs="宋体"/>
          <w:b/>
          <w:bCs/>
          <w:color w:val="000000"/>
          <w:sz w:val="24"/>
          <w:szCs w:val="24"/>
          <w:highlight w:val="none"/>
          <w:lang w:val="en"/>
        </w:rPr>
        <w:t>：提供药品生产企业针对本项目的质量保证书、供货确认函、药品三证（注：加盖生产企业公章）以保证产品质量和药品使用安全。</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消杀公司组织专业人员对县城城区，进行环境调查、制定方案，进行消杀，消杀频次5至10月至少每月1次，工作流程、地点、用药效果要有月报。消杀用药需符合国家有关要求。对单位消杀应完整的填写消杀记录单并有单位负责人签字。</w:t>
      </w:r>
    </w:p>
    <w:p>
      <w:pPr>
        <w:spacing w:line="360" w:lineRule="auto"/>
        <w:ind w:right="111" w:rightChars="53" w:firstLine="482" w:firstLineChars="200"/>
        <w:outlineLvl w:val="0"/>
        <w:rPr>
          <w:rFonts w:hint="eastAsia" w:ascii="宋体" w:hAnsi="宋体" w:eastAsia="宋体" w:cs="宋体"/>
          <w:b/>
          <w:bCs/>
          <w:sz w:val="24"/>
          <w:szCs w:val="24"/>
        </w:rPr>
      </w:pPr>
      <w:bookmarkStart w:id="6" w:name="_Toc10295"/>
      <w:r>
        <w:rPr>
          <w:rFonts w:hint="eastAsia" w:ascii="宋体" w:hAnsi="宋体" w:eastAsia="宋体" w:cs="宋体"/>
          <w:b/>
          <w:bCs/>
          <w:sz w:val="24"/>
          <w:szCs w:val="24"/>
        </w:rPr>
        <w:t>六、实施原则</w:t>
      </w:r>
      <w:bookmarkEnd w:id="6"/>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成交单位在实施病媒生物防制工作中，坚持以下六项原则：</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1、无打扰服务：即在服务过程中，从服务方案的设计到服务工程的实施上，尽量不影响市民的正常生活工作。</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2、安全性：所使用的药物必须符合国家的相关规定和标准，服务过程中，作业人员及客户安全由乙方负责。</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3、舒适性：即所使用的杀虫剂没有异味，对人和动物没有刺激，不使用刺激性强的杀虫药剂。</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4、美观性：所选用的杀虫剂不会留下痕迹，所设置的防治设施美观漂亮，附合审美学的要求。</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5、环保性：在不同场所使用不同消杀方案，使之既消杀有效又具有环保性。</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6、善后性：及时将消杀的有害生物收集处理，不影响环境。</w:t>
      </w:r>
    </w:p>
    <w:p>
      <w:pPr>
        <w:spacing w:line="360" w:lineRule="auto"/>
        <w:ind w:right="111" w:rightChars="53" w:firstLine="482" w:firstLineChars="200"/>
        <w:outlineLvl w:val="0"/>
        <w:rPr>
          <w:rFonts w:hint="eastAsia" w:ascii="宋体" w:hAnsi="宋体" w:eastAsia="宋体" w:cs="宋体"/>
          <w:b/>
          <w:bCs/>
          <w:sz w:val="24"/>
          <w:szCs w:val="24"/>
          <w:lang w:val="en" w:eastAsia="zh-CN"/>
        </w:rPr>
      </w:pPr>
      <w:bookmarkStart w:id="7" w:name="_Toc1430"/>
      <w:r>
        <w:rPr>
          <w:rFonts w:hint="eastAsia" w:ascii="宋体" w:hAnsi="宋体" w:eastAsia="宋体" w:cs="宋体"/>
          <w:b/>
          <w:bCs/>
          <w:sz w:val="24"/>
          <w:szCs w:val="24"/>
          <w:lang w:val="en" w:eastAsia="zh-CN"/>
        </w:rPr>
        <w:t>七、商务要求</w:t>
      </w:r>
      <w:bookmarkEnd w:id="7"/>
    </w:p>
    <w:p>
      <w:pPr>
        <w:snapToGrid w:val="0"/>
        <w:spacing w:after="156" w:line="360" w:lineRule="auto"/>
        <w:ind w:firstLine="482" w:firstLineChars="200"/>
        <w:jc w:val="left"/>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、服务期限：自签订合同之日起240日历天；</w:t>
      </w:r>
    </w:p>
    <w:p>
      <w:pPr>
        <w:snapToGrid w:val="0"/>
        <w:spacing w:after="156"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2、服务地点：采购人指定地点</w:t>
      </w:r>
    </w:p>
    <w:p>
      <w:pPr>
        <w:snapToGrid w:val="0"/>
        <w:spacing w:after="156" w:line="360" w:lineRule="auto"/>
        <w:ind w:firstLine="480" w:firstLineChars="200"/>
        <w:jc w:val="left"/>
        <w:rPr>
          <w:rFonts w:hint="eastAsia" w:ascii="宋体" w:hAnsi="宋体" w:eastAsia="宋体" w:cs="宋体"/>
          <w:color w:val="000000"/>
          <w:sz w:val="24"/>
          <w:szCs w:val="24"/>
          <w:highlight w:val="green"/>
          <w:lang w:val="en" w:eastAsia="zh-CN"/>
        </w:rPr>
      </w:pPr>
      <w:r>
        <w:rPr>
          <w:rFonts w:hint="eastAsia" w:ascii="宋体" w:hAnsi="宋体" w:eastAsia="宋体" w:cs="宋体"/>
          <w:color w:val="000000"/>
          <w:sz w:val="24"/>
          <w:szCs w:val="24"/>
          <w:highlight w:val="green"/>
          <w:lang w:val="en-US" w:eastAsia="zh-CN"/>
        </w:rPr>
        <w:t>3、付款方式：合同签订后15日内支付合同总价的30%，服务完成后支付合同总价的65%，经验收达标后15日内支付剩余5%。</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GEyY2FmYzE0ZDFhNjA3ODIxMzQ4NDA1YTA5YTEifQ=="/>
  </w:docVars>
  <w:rsids>
    <w:rsidRoot w:val="7CFC48E8"/>
    <w:rsid w:val="7CFC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style>
  <w:style w:type="paragraph" w:styleId="3">
    <w:name w:val="Body Text Indent"/>
    <w:basedOn w:val="1"/>
    <w:next w:val="4"/>
    <w:qFormat/>
    <w:uiPriority w:val="0"/>
    <w:pPr>
      <w:ind w:firstLine="480"/>
    </w:pPr>
    <w:rPr>
      <w:rFonts w:ascii="宋体" w:hAnsi="宋体"/>
      <w:kern w:val="0"/>
      <w:sz w:val="20"/>
    </w:rPr>
  </w:style>
  <w:style w:type="paragraph" w:customStyle="1" w:styleId="4">
    <w:name w:val="样式 正文文本缩进 + 首行缩进:  2 字符 行距: 1.5 倍行距"/>
    <w:basedOn w:val="3"/>
    <w:qFormat/>
    <w:uiPriority w:val="0"/>
    <w:pPr>
      <w:spacing w:before="156" w:line="360" w:lineRule="auto"/>
      <w:ind w:firstLine="482" w:firstLineChars="200"/>
    </w:pPr>
    <w:rPr>
      <w:rFonts w:cs="宋体"/>
    </w:rPr>
  </w:style>
  <w:style w:type="paragraph" w:styleId="5">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2023-06-12T06:24:00Z</dcterms:created>
  <dc:creator>梦飞扬</dc:creator>
  <cp:lastModifiedBy>梦飞扬</cp:lastModifiedBy>
  <dcterms:modified xsi:type="dcterms:W3CDTF">2023-06-12T06:25:33Z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717F95DEFCBC43C0854627BB012270AF_11</vt:lpwstr>
  </property>
</Properties>
</file>