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color w:val="auto"/>
          <w:sz w:val="24"/>
          <w:highlight w:val="none"/>
        </w:rPr>
      </w:pPr>
    </w:p>
    <w:p>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2023年白蚁监测装置采购项目</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pPr>
        <w:pStyle w:val="25"/>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p>
    <w:p>
      <w:pPr>
        <w:pStyle w:val="34"/>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JXYJ2023021</w:t>
      </w:r>
      <w:r>
        <w:rPr>
          <w:rFonts w:hint="eastAsia" w:hAnsi="宋体"/>
          <w:b/>
          <w:color w:val="auto"/>
          <w:sz w:val="30"/>
          <w:szCs w:val="48"/>
          <w:highlight w:val="none"/>
        </w:rPr>
        <w:t>(G)</w:t>
      </w:r>
    </w:p>
    <w:p>
      <w:pPr>
        <w:pStyle w:val="34"/>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2023年白蚁监测装置采购项目</w:t>
      </w:r>
    </w:p>
    <w:p>
      <w:pPr>
        <w:pStyle w:val="34"/>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嘉善县住房保障与房地产管理服务中心</w:t>
      </w:r>
    </w:p>
    <w:p>
      <w:pPr>
        <w:pStyle w:val="34"/>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2023</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6</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4"/>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4"/>
        <w:spacing w:before="120" w:after="120" w:line="600" w:lineRule="exact"/>
        <w:jc w:val="center"/>
        <w:rPr>
          <w:rFonts w:hint="eastAsia" w:hAnsi="宋体" w:cs="宋体"/>
          <w:b/>
          <w:color w:val="auto"/>
          <w:sz w:val="44"/>
          <w:szCs w:val="44"/>
          <w:highlight w:val="none"/>
        </w:rPr>
      </w:pPr>
    </w:p>
    <w:p>
      <w:pPr>
        <w:pStyle w:val="34"/>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4"/>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9"/>
          <w:rFonts w:hint="eastAsia"/>
          <w:b/>
          <w:color w:val="auto"/>
          <w:sz w:val="32"/>
          <w:szCs w:val="32"/>
          <w:highlight w:val="none"/>
        </w:rPr>
        <w:t>第一章</w:t>
      </w:r>
      <w:r>
        <w:rPr>
          <w:rStyle w:val="79"/>
          <w:b/>
          <w:color w:val="auto"/>
          <w:sz w:val="32"/>
          <w:szCs w:val="32"/>
          <w:highlight w:val="none"/>
        </w:rPr>
        <w:t xml:space="preserve">  </w:t>
      </w:r>
      <w:r>
        <w:rPr>
          <w:rStyle w:val="79"/>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9"/>
          <w:rFonts w:hint="eastAsia"/>
          <w:b/>
          <w:color w:val="auto"/>
          <w:sz w:val="32"/>
          <w:szCs w:val="32"/>
          <w:highlight w:val="none"/>
        </w:rPr>
        <w:t>第二章</w:t>
      </w:r>
      <w:r>
        <w:rPr>
          <w:rStyle w:val="79"/>
          <w:b/>
          <w:color w:val="auto"/>
          <w:sz w:val="32"/>
          <w:szCs w:val="32"/>
          <w:highlight w:val="none"/>
        </w:rPr>
        <w:t xml:space="preserve">  </w:t>
      </w:r>
      <w:r>
        <w:rPr>
          <w:rStyle w:val="79"/>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9"/>
          <w:rFonts w:hint="eastAsia"/>
          <w:b/>
          <w:color w:val="auto"/>
          <w:sz w:val="32"/>
          <w:szCs w:val="32"/>
          <w:highlight w:val="none"/>
        </w:rPr>
        <w:t>第三章</w:t>
      </w:r>
      <w:r>
        <w:rPr>
          <w:rStyle w:val="79"/>
          <w:b/>
          <w:color w:val="auto"/>
          <w:sz w:val="32"/>
          <w:szCs w:val="32"/>
          <w:highlight w:val="none"/>
        </w:rPr>
        <w:t xml:space="preserve">  </w:t>
      </w:r>
      <w:r>
        <w:rPr>
          <w:rStyle w:val="79"/>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rFonts w:hint="eastAsia"/>
          <w:b/>
          <w:color w:val="auto"/>
          <w:sz w:val="32"/>
          <w:szCs w:val="32"/>
          <w:highlight w:val="none"/>
        </w:rPr>
        <w:fldChar w:fldCharType="end"/>
      </w:r>
      <w:r>
        <w:rPr>
          <w:rFonts w:hint="eastAsia"/>
          <w:b/>
          <w:color w:val="auto"/>
          <w:sz w:val="32"/>
          <w:szCs w:val="32"/>
          <w:highlight w:val="none"/>
          <w:lang w:val="en-US" w:eastAsia="zh-CN"/>
        </w:rPr>
        <w:t>6</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9"/>
          <w:rFonts w:hint="eastAsia"/>
          <w:b/>
          <w:color w:val="auto"/>
          <w:sz w:val="32"/>
          <w:szCs w:val="32"/>
          <w:highlight w:val="none"/>
        </w:rPr>
        <w:t xml:space="preserve">第四章 </w:t>
      </w:r>
      <w:r>
        <w:rPr>
          <w:rStyle w:val="79"/>
          <w:b/>
          <w:color w:val="auto"/>
          <w:sz w:val="32"/>
          <w:szCs w:val="32"/>
          <w:highlight w:val="none"/>
        </w:rPr>
        <w:t xml:space="preserve"> </w:t>
      </w:r>
      <w:r>
        <w:rPr>
          <w:rStyle w:val="79"/>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3</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9"/>
          <w:rFonts w:hint="eastAsia"/>
          <w:b/>
          <w:color w:val="auto"/>
          <w:sz w:val="32"/>
          <w:szCs w:val="32"/>
          <w:highlight w:val="none"/>
        </w:rPr>
        <w:t>第五章</w:t>
      </w:r>
      <w:r>
        <w:rPr>
          <w:rStyle w:val="79"/>
          <w:b/>
          <w:color w:val="auto"/>
          <w:sz w:val="32"/>
          <w:szCs w:val="32"/>
          <w:highlight w:val="none"/>
        </w:rPr>
        <w:t xml:space="preserve">  </w:t>
      </w:r>
      <w:r>
        <w:rPr>
          <w:rStyle w:val="79"/>
          <w:rFonts w:hint="eastAsia"/>
          <w:b/>
          <w:color w:val="auto"/>
          <w:sz w:val="32"/>
          <w:szCs w:val="32"/>
          <w:highlight w:val="none"/>
        </w:rPr>
        <w:t>嘉善县政府采购合同（</w:t>
      </w:r>
      <w:bookmarkStart w:id="3" w:name="_Hlt497308216"/>
      <w:r>
        <w:rPr>
          <w:rStyle w:val="79"/>
          <w:rFonts w:hint="eastAsia"/>
          <w:b/>
          <w:color w:val="auto"/>
          <w:sz w:val="32"/>
          <w:szCs w:val="32"/>
          <w:highlight w:val="none"/>
        </w:rPr>
        <w:t>指</w:t>
      </w:r>
      <w:bookmarkEnd w:id="3"/>
      <w:bookmarkStart w:id="4" w:name="_Hlt497308220"/>
      <w:r>
        <w:rPr>
          <w:rStyle w:val="79"/>
          <w:rFonts w:hint="eastAsia"/>
          <w:b/>
          <w:color w:val="auto"/>
          <w:sz w:val="32"/>
          <w:szCs w:val="32"/>
          <w:highlight w:val="none"/>
        </w:rPr>
        <w:t>引</w:t>
      </w:r>
      <w:bookmarkEnd w:id="4"/>
      <w:r>
        <w:rPr>
          <w:rStyle w:val="79"/>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6</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9"/>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41</w:t>
      </w: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bookmarkEnd w:id="2"/>
    <w:p>
      <w:pPr>
        <w:adjustRightInd/>
        <w:spacing w:line="360" w:lineRule="auto"/>
        <w:jc w:val="center"/>
        <w:outlineLvl w:val="0"/>
        <w:rPr>
          <w:rFonts w:hint="eastAsia" w:ascii="仿宋" w:hAnsi="仿宋" w:eastAsia="仿宋" w:cs="仿宋_GB2312"/>
          <w:b/>
          <w:color w:val="auto"/>
          <w:sz w:val="36"/>
          <w:szCs w:val="20"/>
          <w:highlight w:val="none"/>
        </w:rPr>
      </w:pPr>
      <w:bookmarkStart w:id="7" w:name="_Hlt74649545"/>
      <w:bookmarkEnd w:id="7"/>
      <w:bookmarkStart w:id="8" w:name="_Hlt74728647"/>
      <w:bookmarkEnd w:id="8"/>
      <w:bookmarkStart w:id="9" w:name="_Hlt74729822"/>
      <w:bookmarkEnd w:id="9"/>
      <w:bookmarkStart w:id="10" w:name="_Hlt74707423"/>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2023年白蚁监测装置采购项目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2023年6月26日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JXYJ2023021</w:t>
      </w:r>
      <w:r>
        <w:rPr>
          <w:rFonts w:hint="eastAsia" w:ascii="仿宋_GB2312" w:hAnsi="仿宋" w:eastAsia="仿宋_GB2312"/>
          <w:b/>
          <w:color w:val="auto"/>
          <w:sz w:val="24"/>
          <w:highlight w:val="none"/>
        </w:rPr>
        <w:t>(G)</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2023年白蚁监测装置采购项目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500000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500000</w:t>
      </w:r>
      <w:r>
        <w:rPr>
          <w:rFonts w:hint="eastAsia" w:ascii="仿宋_GB2312" w:hAnsi="仿宋" w:eastAsia="仿宋_GB2312"/>
          <w:color w:val="auto"/>
          <w:sz w:val="24"/>
          <w:highlight w:val="none"/>
        </w:rPr>
        <w:t xml:space="preserve">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color w:val="auto"/>
          <w:sz w:val="24"/>
          <w:szCs w:val="18"/>
          <w:highlight w:val="none"/>
          <w:lang w:eastAsia="zh-CN"/>
        </w:rPr>
        <w:t>自合同签订之日起</w:t>
      </w:r>
      <w:r>
        <w:rPr>
          <w:rFonts w:hint="eastAsia" w:ascii="仿宋_GB2312" w:hAnsi="仿宋" w:eastAsia="仿宋_GB2312"/>
          <w:bCs/>
          <w:color w:val="auto"/>
          <w:sz w:val="24"/>
          <w:szCs w:val="18"/>
          <w:highlight w:val="none"/>
          <w:lang w:eastAsia="zh-CN"/>
        </w:rPr>
        <w:t>30日</w:t>
      </w:r>
      <w:r>
        <w:rPr>
          <w:rFonts w:hint="eastAsia" w:ascii="仿宋_GB2312" w:hAnsi="仿宋" w:eastAsia="仿宋_GB2312"/>
          <w:bCs/>
          <w:color w:val="auto"/>
          <w:sz w:val="24"/>
          <w:szCs w:val="18"/>
          <w:highlight w:val="none"/>
          <w:lang w:eastAsia="zh-CN"/>
        </w:rPr>
        <w:t xml:space="preserve">内供货到采购人指定地点, </w:t>
      </w:r>
      <w:r>
        <w:rPr>
          <w:rFonts w:hint="eastAsia" w:ascii="仿宋_GB2312" w:hAnsi="仿宋" w:eastAsia="仿宋_GB2312"/>
          <w:bCs/>
          <w:color w:val="auto"/>
          <w:sz w:val="24"/>
          <w:szCs w:val="18"/>
          <w:highlight w:val="none"/>
          <w:lang w:eastAsia="zh-CN"/>
        </w:rPr>
        <w:t>中标人负责系统安装</w:t>
      </w:r>
      <w:r>
        <w:rPr>
          <w:rFonts w:hint="eastAsia" w:ascii="仿宋_GB2312" w:hAnsi="仿宋" w:eastAsia="仿宋_GB2312"/>
          <w:bCs/>
          <w:color w:val="auto"/>
          <w:sz w:val="24"/>
          <w:szCs w:val="18"/>
          <w:highlight w:val="none"/>
          <w:lang w:eastAsia="zh-CN"/>
        </w:rPr>
        <w:t>，并调试完毕完成验收</w:t>
      </w:r>
      <w:r>
        <w:rPr>
          <w:rFonts w:hint="eastAsia" w:ascii="仿宋_GB2312" w:hAnsi="仿宋" w:eastAsia="仿宋_GB2312"/>
          <w:bCs/>
          <w:snapToGrid/>
          <w:color w:val="auto"/>
          <w:kern w:val="2"/>
          <w:sz w:val="22"/>
          <w:szCs w:val="22"/>
          <w:highlight w:val="none"/>
        </w:rPr>
        <w:t>。</w:t>
      </w:r>
    </w:p>
    <w:p>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w:t>
      </w:r>
      <w:r>
        <w:rPr>
          <w:rFonts w:hint="eastAsia" w:ascii="仿宋_GB2312" w:hAnsi="仿宋" w:eastAsia="仿宋_GB2312"/>
          <w:color w:val="auto"/>
          <w:sz w:val="24"/>
          <w:highlight w:val="none"/>
        </w:rPr>
        <w:t>物全部由符合政策要求的中小企业制造，提供中小企业声明函</w:t>
      </w:r>
      <w:r>
        <w:rPr>
          <w:rFonts w:hint="eastAsia" w:ascii="仿宋_GB2312" w:hAnsi="仿宋" w:eastAsia="仿宋_GB2312"/>
          <w:color w:val="auto"/>
          <w:sz w:val="24"/>
          <w:highlight w:val="none"/>
        </w:rPr>
        <w:t>；</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ascii="仿宋_GB2312" w:hAnsi="仿宋" w:eastAsia="仿宋_GB2312"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2023年6月26日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2023年6月26日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2023年6月26日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嘉善县住房保障与房地产管理服务中心</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lang w:eastAsia="zh-CN"/>
        </w:rPr>
        <w:t>嘉善县境内</w:t>
      </w:r>
      <w:r>
        <w:rPr>
          <w:rFonts w:ascii="仿宋_GB2312" w:hAnsi="仿宋" w:eastAsia="仿宋_GB2312"/>
          <w:color w:val="auto"/>
          <w:sz w:val="24"/>
          <w:highlight w:val="none"/>
        </w:rPr>
        <w:t xml:space="preserve">      </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宋体" w:hAnsi="宋体"/>
          <w:color w:val="auto"/>
          <w:sz w:val="24"/>
        </w:rPr>
        <w:t>宗女士</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宋体" w:hAnsi="宋体"/>
          <w:color w:val="auto"/>
          <w:sz w:val="24"/>
        </w:rPr>
        <w:t>0573-84023829</w:t>
      </w:r>
      <w:r>
        <w:rPr>
          <w:rFonts w:hint="eastAsia"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宋体" w:hAnsi="宋体" w:cs="宋体"/>
          <w:color w:val="auto"/>
          <w:kern w:val="0"/>
          <w:sz w:val="24"/>
        </w:rPr>
        <w:t>张女士</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ascii="宋体" w:hAnsi="宋体" w:cs="宋体"/>
          <w:color w:val="auto"/>
          <w:kern w:val="0"/>
          <w:sz w:val="24"/>
        </w:rPr>
        <w:t>0573-84022675</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pStyle w:val="264"/>
        <w:numPr>
          <w:ilvl w:val="0"/>
          <w:numId w:val="0"/>
        </w:numPr>
        <w:adjustRightInd w:val="0"/>
        <w:snapToGrid w:val="0"/>
        <w:ind w:leftChars="0" w:firstLine="241" w:firstLineChars="100"/>
        <w:outlineLvl w:val="1"/>
        <w:rPr>
          <w:rFonts w:hint="eastAsia" w:ascii="宋体" w:hAnsi="宋体" w:eastAsia="宋体" w:cs="Times New Roman"/>
          <w:b/>
          <w:bCs w:val="0"/>
          <w:color w:val="auto"/>
          <w:kern w:val="2"/>
          <w:sz w:val="24"/>
          <w:szCs w:val="32"/>
          <w:lang w:val="en-US" w:eastAsia="zh-CN" w:bidi="ar-SA"/>
        </w:rPr>
      </w:pPr>
      <w:r>
        <w:rPr>
          <w:rFonts w:hint="eastAsia" w:ascii="宋体" w:hAnsi="宋体" w:eastAsia="宋体" w:cs="Times New Roman"/>
          <w:b/>
          <w:bCs w:val="0"/>
          <w:color w:val="auto"/>
          <w:kern w:val="2"/>
          <w:sz w:val="24"/>
          <w:szCs w:val="32"/>
          <w:lang w:val="en-US" w:eastAsia="zh-CN" w:bidi="ar-SA"/>
        </w:rPr>
        <w:t>一、采购清单</w:t>
      </w:r>
    </w:p>
    <w:p>
      <w:pPr>
        <w:pStyle w:val="264"/>
        <w:numPr>
          <w:ilvl w:val="0"/>
          <w:numId w:val="2"/>
        </w:numPr>
        <w:adjustRightInd w:val="0"/>
        <w:snapToGrid w:val="0"/>
        <w:ind w:firstLineChars="0"/>
        <w:outlineLvl w:val="1"/>
        <w:rPr>
          <w:rFonts w:ascii="宋体" w:hAnsi="宋体" w:cs="仿宋"/>
          <w:b/>
          <w:bCs/>
          <w:color w:val="auto"/>
        </w:rPr>
      </w:pPr>
      <w:r>
        <w:rPr>
          <w:rFonts w:hint="eastAsia" w:ascii="宋体" w:hAnsi="宋体" w:cs="仿宋"/>
          <w:b/>
          <w:bCs/>
          <w:color w:val="auto"/>
        </w:rPr>
        <w:t>半智能白蚁监测装置（含饵块）</w:t>
      </w:r>
      <w:r>
        <w:rPr>
          <w:rFonts w:hint="eastAsia" w:ascii="宋体" w:hAnsi="宋体" w:cs="仿宋"/>
          <w:b/>
          <w:bCs/>
          <w:color w:val="auto"/>
          <w:lang w:val="en-US" w:eastAsia="zh-CN"/>
        </w:rPr>
        <w:t>4500</w:t>
      </w:r>
      <w:r>
        <w:rPr>
          <w:rFonts w:hint="eastAsia" w:ascii="宋体" w:hAnsi="宋体" w:cs="仿宋"/>
          <w:b/>
          <w:bCs/>
          <w:color w:val="auto"/>
        </w:rPr>
        <w:t>套</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8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286" w:type="dxa"/>
            <w:gridSpan w:val="2"/>
            <w:noWrap w:val="0"/>
            <w:vAlign w:val="center"/>
          </w:tcPr>
          <w:p>
            <w:pPr>
              <w:adjustRightInd w:val="0"/>
              <w:snapToGrid w:val="0"/>
              <w:jc w:val="center"/>
              <w:rPr>
                <w:rFonts w:ascii="宋体" w:hAnsi="宋体"/>
                <w:b/>
                <w:bCs/>
                <w:color w:val="auto"/>
                <w:szCs w:val="21"/>
              </w:rPr>
            </w:pPr>
            <w:r>
              <w:rPr>
                <w:rFonts w:hint="eastAsia" w:ascii="宋体" w:hAnsi="宋体"/>
                <w:b/>
                <w:bCs/>
                <w:color w:val="auto"/>
                <w:sz w:val="22"/>
                <w:szCs w:val="22"/>
              </w:rPr>
              <w:t>技术参数或配置要求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13" w:type="dxa"/>
            <w:vMerge w:val="restart"/>
            <w:noWrap w:val="0"/>
            <w:vAlign w:val="center"/>
          </w:tcPr>
          <w:p>
            <w:pPr>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装置壳体及饵块要求</w:t>
            </w:r>
          </w:p>
        </w:tc>
        <w:tc>
          <w:tcPr>
            <w:tcW w:w="8273" w:type="dxa"/>
            <w:noWrap w:val="0"/>
            <w:vAlign w:val="center"/>
          </w:tcPr>
          <w:p>
            <w:pPr>
              <w:suppressAutoHyphens/>
              <w:adjustRightInd w:val="0"/>
              <w:snapToGrid w:val="0"/>
              <w:rPr>
                <w:rStyle w:val="972"/>
                <w:rFonts w:ascii="宋体" w:hAnsi="宋体"/>
                <w:b/>
                <w:color w:val="auto"/>
                <w:kern w:val="0"/>
                <w:sz w:val="20"/>
                <w:szCs w:val="20"/>
              </w:rPr>
            </w:pPr>
            <w:r>
              <w:rPr>
                <w:rFonts w:hint="eastAsia"/>
                <w:color w:val="auto"/>
                <w:sz w:val="24"/>
                <w:szCs w:val="24"/>
                <w:lang w:val="en-US" w:eastAsia="zh-CN"/>
              </w:rPr>
              <w:t>1.</w:t>
            </w:r>
            <w:r>
              <w:rPr>
                <w:rFonts w:hint="eastAsia"/>
                <w:color w:val="auto"/>
                <w:sz w:val="24"/>
                <w:szCs w:val="24"/>
              </w:rPr>
              <w:t>产品具有阻挡雨水，泥土、草根进入的技术要求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13" w:type="dxa"/>
            <w:vMerge w:val="continue"/>
            <w:noWrap w:val="0"/>
            <w:vAlign w:val="center"/>
          </w:tcPr>
          <w:p>
            <w:pPr>
              <w:adjustRightInd w:val="0"/>
              <w:snapToGrid w:val="0"/>
              <w:jc w:val="center"/>
              <w:rPr>
                <w:rFonts w:hint="eastAsia" w:asciiTheme="minorEastAsia" w:hAnsiTheme="minorEastAsia" w:eastAsiaTheme="minorEastAsia" w:cstheme="minorEastAsia"/>
                <w:color w:val="auto"/>
                <w:sz w:val="24"/>
                <w:szCs w:val="24"/>
              </w:rPr>
            </w:pPr>
          </w:p>
        </w:tc>
        <w:tc>
          <w:tcPr>
            <w:tcW w:w="8273" w:type="dxa"/>
            <w:noWrap w:val="0"/>
            <w:vAlign w:val="center"/>
          </w:tcPr>
          <w:p>
            <w:pPr>
              <w:suppressAutoHyphens/>
              <w:adjustRightInd w:val="0"/>
              <w:snapToGrid w:val="0"/>
              <w:rPr>
                <w:rFonts w:hint="eastAsia" w:ascii="宋体" w:hAnsi="宋体"/>
                <w:b/>
                <w:color w:val="auto"/>
                <w:kern w:val="0"/>
                <w:sz w:val="20"/>
                <w:szCs w:val="20"/>
              </w:rPr>
            </w:pPr>
            <w:r>
              <w:rPr>
                <w:rFonts w:hint="eastAsia"/>
                <w:color w:val="auto"/>
                <w:sz w:val="24"/>
                <w:szCs w:val="24"/>
                <w:lang w:val="en-US" w:eastAsia="zh-CN"/>
              </w:rPr>
              <w:t>2.</w:t>
            </w:r>
            <w:r>
              <w:rPr>
                <w:rFonts w:hint="eastAsia"/>
                <w:color w:val="auto"/>
                <w:sz w:val="24"/>
                <w:szCs w:val="24"/>
              </w:rPr>
              <w:t>产品外壳具有符合国家环保检测标准的报告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3" w:type="dxa"/>
            <w:vMerge w:val="continue"/>
            <w:noWrap w:val="0"/>
            <w:vAlign w:val="center"/>
          </w:tcPr>
          <w:p>
            <w:pPr>
              <w:adjustRightInd w:val="0"/>
              <w:snapToGrid w:val="0"/>
              <w:jc w:val="center"/>
              <w:rPr>
                <w:rFonts w:hint="eastAsia" w:asciiTheme="minorEastAsia" w:hAnsiTheme="minorEastAsia" w:eastAsiaTheme="minorEastAsia" w:cstheme="minorEastAsia"/>
                <w:color w:val="auto"/>
                <w:sz w:val="24"/>
                <w:szCs w:val="24"/>
              </w:rPr>
            </w:pPr>
          </w:p>
        </w:tc>
        <w:tc>
          <w:tcPr>
            <w:tcW w:w="8273" w:type="dxa"/>
            <w:noWrap w:val="0"/>
            <w:vAlign w:val="center"/>
          </w:tcPr>
          <w:p>
            <w:pPr>
              <w:suppressAutoHyphens/>
              <w:adjustRightInd w:val="0"/>
              <w:snapToGrid w:val="0"/>
              <w:rPr>
                <w:rStyle w:val="972"/>
                <w:rFonts w:ascii="宋体" w:hAnsi="宋体"/>
                <w:color w:val="auto"/>
                <w:kern w:val="0"/>
                <w:sz w:val="20"/>
                <w:szCs w:val="20"/>
              </w:rPr>
            </w:pPr>
            <w:r>
              <w:rPr>
                <w:rFonts w:hint="eastAsia"/>
                <w:color w:val="auto"/>
                <w:sz w:val="24"/>
                <w:szCs w:val="24"/>
                <w:lang w:val="en-US" w:eastAsia="zh-CN"/>
              </w:rPr>
              <w:t>3.</w:t>
            </w:r>
            <w:r>
              <w:rPr>
                <w:rFonts w:hint="eastAsia"/>
                <w:color w:val="auto"/>
                <w:sz w:val="24"/>
                <w:szCs w:val="24"/>
              </w:rPr>
              <w:t>产品壳体颜色为绿色或者黄色，塑料外壳长度不小于170mm，壳体外壁上供白蚁进出通道口径不小于5mm</w:t>
            </w:r>
            <w:r>
              <w:rPr>
                <w:rFonts w:hint="eastAsia"/>
                <w:color w:val="auto"/>
                <w:sz w:val="24"/>
                <w:szCs w:val="24"/>
                <w:lang w:eastAsia="zh-CN"/>
              </w:rPr>
              <w:t>，</w:t>
            </w:r>
            <w:r>
              <w:rPr>
                <w:rFonts w:hint="eastAsia"/>
                <w:color w:val="auto"/>
                <w:sz w:val="24"/>
                <w:szCs w:val="24"/>
              </w:rPr>
              <w:t>仓体内饵块数量不小于6块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13" w:type="dxa"/>
            <w:vMerge w:val="continue"/>
            <w:noWrap w:val="0"/>
            <w:vAlign w:val="center"/>
          </w:tcPr>
          <w:p>
            <w:pPr>
              <w:adjustRightInd w:val="0"/>
              <w:snapToGrid w:val="0"/>
              <w:jc w:val="center"/>
              <w:rPr>
                <w:rFonts w:hint="eastAsia" w:asciiTheme="minorEastAsia" w:hAnsiTheme="minorEastAsia" w:eastAsiaTheme="minorEastAsia" w:cstheme="minorEastAsia"/>
                <w:color w:val="auto"/>
                <w:sz w:val="24"/>
                <w:szCs w:val="24"/>
              </w:rPr>
            </w:pPr>
          </w:p>
        </w:tc>
        <w:tc>
          <w:tcPr>
            <w:tcW w:w="8273" w:type="dxa"/>
            <w:noWrap w:val="0"/>
            <w:vAlign w:val="center"/>
          </w:tcPr>
          <w:p>
            <w:pPr>
              <w:suppressAutoHyphens/>
              <w:adjustRightInd w:val="0"/>
              <w:snapToGrid w:val="0"/>
              <w:rPr>
                <w:rStyle w:val="972"/>
                <w:rFonts w:hint="eastAsia" w:ascii="宋体" w:hAnsi="宋体"/>
                <w:color w:val="auto"/>
                <w:kern w:val="0"/>
                <w:sz w:val="20"/>
                <w:szCs w:val="20"/>
              </w:rPr>
            </w:pPr>
            <w:r>
              <w:rPr>
                <w:rFonts w:hint="eastAsia"/>
                <w:color w:val="auto"/>
                <w:sz w:val="24"/>
                <w:szCs w:val="24"/>
                <w:lang w:val="en-US" w:eastAsia="zh-CN"/>
              </w:rPr>
              <w:t>4.</w:t>
            </w:r>
            <w:r>
              <w:rPr>
                <w:rFonts w:hint="eastAsia"/>
                <w:color w:val="auto"/>
                <w:sz w:val="24"/>
                <w:szCs w:val="24"/>
              </w:rPr>
              <w:t>壳体具有良好的抗压强度和抗降解性能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13" w:type="dxa"/>
            <w:vMerge w:val="restart"/>
            <w:noWrap w:val="0"/>
            <w:vAlign w:val="center"/>
          </w:tcPr>
          <w:p>
            <w:pPr>
              <w:spacing w:line="360" w:lineRule="auto"/>
              <w:ind w:firstLine="2400" w:firstLineChars="10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无无线信息传输性能</w:t>
            </w:r>
          </w:p>
        </w:tc>
        <w:tc>
          <w:tcPr>
            <w:tcW w:w="8273" w:type="dxa"/>
            <w:noWrap w:val="0"/>
            <w:vAlign w:val="center"/>
          </w:tcPr>
          <w:p>
            <w:pPr>
              <w:suppressAutoHyphens/>
              <w:adjustRightInd w:val="0"/>
              <w:snapToGrid w:val="0"/>
              <w:rPr>
                <w:rStyle w:val="972"/>
                <w:rFonts w:hint="eastAsia" w:ascii="宋体" w:hAnsi="宋体"/>
                <w:color w:val="auto"/>
                <w:kern w:val="0"/>
                <w:sz w:val="20"/>
                <w:szCs w:val="20"/>
              </w:rPr>
            </w:pPr>
            <w:r>
              <w:rPr>
                <w:rFonts w:hint="eastAsia"/>
                <w:color w:val="auto"/>
                <w:sz w:val="24"/>
                <w:szCs w:val="24"/>
                <w:lang w:val="en-US" w:eastAsia="zh-CN"/>
              </w:rPr>
              <w:t>1.</w:t>
            </w:r>
            <w:r>
              <w:rPr>
                <w:rFonts w:hint="eastAsia"/>
                <w:color w:val="auto"/>
                <w:sz w:val="24"/>
                <w:szCs w:val="24"/>
              </w:rPr>
              <w:t>产品以无源方式传输蚁情，蚁情触发为单一触发模式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13" w:type="dxa"/>
            <w:vMerge w:val="continue"/>
            <w:noWrap w:val="0"/>
            <w:vAlign w:val="center"/>
          </w:tcPr>
          <w:p>
            <w:pPr>
              <w:adjustRightInd w:val="0"/>
              <w:snapToGrid w:val="0"/>
              <w:jc w:val="center"/>
              <w:rPr>
                <w:rFonts w:hint="eastAsia" w:asciiTheme="minorEastAsia" w:hAnsiTheme="minorEastAsia" w:eastAsiaTheme="minorEastAsia" w:cstheme="minorEastAsia"/>
                <w:color w:val="auto"/>
                <w:sz w:val="24"/>
                <w:szCs w:val="24"/>
              </w:rPr>
            </w:pPr>
          </w:p>
        </w:tc>
        <w:tc>
          <w:tcPr>
            <w:tcW w:w="8273" w:type="dxa"/>
            <w:noWrap w:val="0"/>
            <w:vAlign w:val="center"/>
          </w:tcPr>
          <w:p>
            <w:pPr>
              <w:suppressAutoHyphens/>
              <w:adjustRightInd w:val="0"/>
              <w:snapToGrid w:val="0"/>
              <w:rPr>
                <w:rFonts w:hint="eastAsia" w:ascii="宋体" w:hAnsi="宋体"/>
                <w:color w:val="auto"/>
                <w:kern w:val="0"/>
                <w:sz w:val="20"/>
                <w:szCs w:val="20"/>
              </w:rPr>
            </w:pPr>
            <w:r>
              <w:rPr>
                <w:rFonts w:hint="eastAsia"/>
                <w:color w:val="auto"/>
                <w:sz w:val="24"/>
                <w:szCs w:val="24"/>
                <w:lang w:val="en-US" w:eastAsia="zh-CN"/>
              </w:rPr>
              <w:t>2.监测装置埋设安装后，覆土20厘米蚁情采集器仍能正常读取信号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13" w:type="dxa"/>
            <w:vMerge w:val="restart"/>
            <w:noWrap w:val="0"/>
            <w:vAlign w:val="center"/>
          </w:tcPr>
          <w:p>
            <w:pPr>
              <w:adjustRightInd w:val="0"/>
              <w:snapToGrid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软件管理系统</w:t>
            </w:r>
          </w:p>
        </w:tc>
        <w:tc>
          <w:tcPr>
            <w:tcW w:w="8273" w:type="dxa"/>
            <w:noWrap w:val="0"/>
            <w:vAlign w:val="center"/>
          </w:tcPr>
          <w:p>
            <w:pPr>
              <w:suppressAutoHyphens/>
              <w:adjustRightInd w:val="0"/>
              <w:snapToGrid w:val="0"/>
              <w:rPr>
                <w:rStyle w:val="972"/>
                <w:rFonts w:hint="eastAsia" w:ascii="宋体" w:hAnsi="宋体" w:eastAsia="宋体"/>
                <w:color w:val="auto"/>
                <w:kern w:val="0"/>
                <w:sz w:val="20"/>
                <w:szCs w:val="20"/>
                <w:lang w:eastAsia="zh-CN"/>
              </w:rPr>
            </w:pPr>
            <w:r>
              <w:rPr>
                <w:rFonts w:hint="eastAsia"/>
                <w:color w:val="auto"/>
                <w:sz w:val="24"/>
                <w:szCs w:val="24"/>
                <w:lang w:val="en-US" w:eastAsia="zh-CN"/>
              </w:rPr>
              <w:t>1.智能型白蚁监测装置配备有相应的软件管理系统，</w:t>
            </w:r>
            <w:r>
              <w:rPr>
                <w:rFonts w:hint="eastAsia"/>
                <w:color w:val="auto"/>
                <w:sz w:val="24"/>
                <w:szCs w:val="24"/>
              </w:rPr>
              <w:t>安装数据能上传至管理系统</w:t>
            </w:r>
            <w:r>
              <w:rPr>
                <w:rFonts w:hint="eastAsia"/>
                <w:color w:val="auto"/>
                <w:sz w:val="24"/>
                <w:szCs w:val="24"/>
                <w:lang w:eastAsia="zh-CN"/>
              </w:rPr>
              <w:t>，并提供系统登入截图。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13" w:type="dxa"/>
            <w:vMerge w:val="continue"/>
            <w:noWrap w:val="0"/>
            <w:vAlign w:val="center"/>
          </w:tcPr>
          <w:p>
            <w:pPr>
              <w:adjustRightInd w:val="0"/>
              <w:snapToGrid w:val="0"/>
              <w:jc w:val="center"/>
              <w:rPr>
                <w:rFonts w:hint="eastAsia" w:asciiTheme="minorEastAsia" w:hAnsiTheme="minorEastAsia" w:eastAsiaTheme="minorEastAsia" w:cstheme="minorEastAsia"/>
                <w:color w:val="auto"/>
                <w:sz w:val="24"/>
                <w:szCs w:val="24"/>
                <w:lang w:val="en-US" w:eastAsia="zh-CN"/>
              </w:rPr>
            </w:pPr>
          </w:p>
        </w:tc>
        <w:tc>
          <w:tcPr>
            <w:tcW w:w="8273" w:type="dxa"/>
            <w:noWrap w:val="0"/>
            <w:vAlign w:val="center"/>
          </w:tcPr>
          <w:p>
            <w:pPr>
              <w:suppressAutoHyphens/>
              <w:adjustRightInd w:val="0"/>
              <w:snapToGrid w:val="0"/>
              <w:rPr>
                <w:rFonts w:hint="default"/>
                <w:color w:val="auto"/>
                <w:sz w:val="24"/>
                <w:szCs w:val="24"/>
                <w:lang w:val="en-US" w:eastAsia="zh-CN"/>
              </w:rPr>
            </w:pPr>
            <w:r>
              <w:rPr>
                <w:rFonts w:hint="eastAsia"/>
                <w:color w:val="auto"/>
                <w:sz w:val="24"/>
                <w:szCs w:val="24"/>
                <w:lang w:val="en-US" w:eastAsia="zh-CN"/>
              </w:rPr>
              <w:t>2、智能型白蚁监测装置需提供软件著作证明</w:t>
            </w:r>
          </w:p>
        </w:tc>
      </w:tr>
    </w:tbl>
    <w:p>
      <w:pPr>
        <w:ind w:left="902"/>
        <w:rPr>
          <w:rFonts w:hint="eastAsia"/>
          <w:color w:val="auto"/>
        </w:rPr>
      </w:pPr>
    </w:p>
    <w:p>
      <w:pPr>
        <w:numPr>
          <w:ilvl w:val="0"/>
          <w:numId w:val="2"/>
        </w:numPr>
        <w:adjustRightInd w:val="0"/>
        <w:snapToGrid w:val="0"/>
        <w:spacing w:line="360" w:lineRule="auto"/>
        <w:outlineLvl w:val="1"/>
        <w:rPr>
          <w:rFonts w:hint="eastAsia" w:ascii="宋体" w:hAnsi="宋体" w:cs="仿宋"/>
          <w:b/>
          <w:bCs/>
          <w:color w:val="auto"/>
          <w:sz w:val="24"/>
        </w:rPr>
      </w:pPr>
      <w:r>
        <w:rPr>
          <w:rFonts w:hint="eastAsia" w:ascii="宋体" w:hAnsi="宋体" w:cs="仿宋"/>
          <w:b/>
          <w:bCs/>
          <w:color w:val="auto"/>
          <w:sz w:val="24"/>
        </w:rPr>
        <w:t>普通白蚁监测装置（含饵块）</w:t>
      </w:r>
      <w:r>
        <w:rPr>
          <w:rFonts w:hint="eastAsia" w:ascii="宋体" w:hAnsi="宋体" w:cs="仿宋"/>
          <w:b/>
          <w:bCs/>
          <w:color w:val="auto"/>
          <w:sz w:val="24"/>
          <w:lang w:val="en-US" w:eastAsia="zh-CN"/>
        </w:rPr>
        <w:t>4500</w:t>
      </w:r>
      <w:r>
        <w:rPr>
          <w:rFonts w:hint="eastAsia" w:ascii="宋体" w:hAnsi="宋体" w:cs="仿宋"/>
          <w:b/>
          <w:bCs/>
          <w:color w:val="auto"/>
          <w:sz w:val="24"/>
        </w:rPr>
        <w:t>套</w:t>
      </w:r>
    </w:p>
    <w:tbl>
      <w:tblPr>
        <w:tblStyle w:val="65"/>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287" w:type="dxa"/>
            <w:gridSpan w:val="2"/>
            <w:noWrap w:val="0"/>
            <w:vAlign w:val="center"/>
          </w:tcPr>
          <w:p>
            <w:pPr>
              <w:adjustRightInd w:val="0"/>
              <w:snapToGrid w:val="0"/>
              <w:jc w:val="center"/>
              <w:rPr>
                <w:rFonts w:ascii="宋体" w:hAnsi="宋体"/>
                <w:b/>
                <w:bCs/>
                <w:color w:val="auto"/>
                <w:szCs w:val="21"/>
              </w:rPr>
            </w:pPr>
            <w:r>
              <w:rPr>
                <w:rFonts w:hint="eastAsia" w:ascii="宋体" w:hAnsi="宋体"/>
                <w:b/>
                <w:bCs/>
                <w:color w:val="auto"/>
                <w:sz w:val="22"/>
                <w:szCs w:val="22"/>
              </w:rPr>
              <w:t>技术参数或配置要求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0" w:type="dxa"/>
            <w:vMerge w:val="restart"/>
            <w:noWrap w:val="0"/>
            <w:vAlign w:val="center"/>
          </w:tcPr>
          <w:p>
            <w:pPr>
              <w:adjustRightInd w:val="0"/>
              <w:snapToGrid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装置壳体及饵块要求</w:t>
            </w:r>
          </w:p>
        </w:tc>
        <w:tc>
          <w:tcPr>
            <w:tcW w:w="8337" w:type="dxa"/>
            <w:noWrap w:val="0"/>
            <w:vAlign w:val="center"/>
          </w:tcPr>
          <w:p>
            <w:pPr>
              <w:suppressAutoHyphens/>
              <w:adjustRightInd w:val="0"/>
              <w:snapToGrid w:val="0"/>
              <w:rPr>
                <w:rStyle w:val="972"/>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产品具有阻挡雨水，泥土、草根进入的技术要求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0" w:type="dxa"/>
            <w:vMerge w:val="continue"/>
            <w:noWrap w:val="0"/>
            <w:vAlign w:val="center"/>
          </w:tcPr>
          <w:p>
            <w:pPr>
              <w:adjustRightInd w:val="0"/>
              <w:snapToGrid w:val="0"/>
              <w:rPr>
                <w:rFonts w:hint="eastAsia" w:asciiTheme="minorEastAsia" w:hAnsiTheme="minorEastAsia" w:eastAsiaTheme="minorEastAsia" w:cstheme="minorEastAsia"/>
                <w:color w:val="auto"/>
                <w:sz w:val="24"/>
                <w:szCs w:val="24"/>
              </w:rPr>
            </w:pPr>
          </w:p>
        </w:tc>
        <w:tc>
          <w:tcPr>
            <w:tcW w:w="8337" w:type="dxa"/>
            <w:noWrap w:val="0"/>
            <w:vAlign w:val="center"/>
          </w:tcPr>
          <w:p>
            <w:pPr>
              <w:suppressAutoHyphens/>
              <w:adjustRightInd w:val="0"/>
              <w:snapToGrid w:val="0"/>
              <w:rPr>
                <w:rStyle w:val="972"/>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产品外壳具有符合国家环保检测标准的报告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0" w:type="dxa"/>
            <w:vMerge w:val="continue"/>
            <w:noWrap w:val="0"/>
            <w:vAlign w:val="center"/>
          </w:tcPr>
          <w:p>
            <w:pPr>
              <w:adjustRightInd w:val="0"/>
              <w:snapToGrid w:val="0"/>
              <w:rPr>
                <w:rFonts w:hint="eastAsia" w:asciiTheme="minorEastAsia" w:hAnsiTheme="minorEastAsia" w:eastAsiaTheme="minorEastAsia" w:cstheme="minorEastAsia"/>
                <w:color w:val="auto"/>
                <w:sz w:val="24"/>
                <w:szCs w:val="24"/>
              </w:rPr>
            </w:pPr>
          </w:p>
        </w:tc>
        <w:tc>
          <w:tcPr>
            <w:tcW w:w="8337" w:type="dxa"/>
            <w:noWrap w:val="0"/>
            <w:vAlign w:val="center"/>
          </w:tcPr>
          <w:p>
            <w:pPr>
              <w:suppressAutoHyphens/>
              <w:adjustRightInd w:val="0"/>
              <w:snapToGrid w:val="0"/>
              <w:rPr>
                <w:rStyle w:val="972"/>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产品壳体颜色为绿色或者黄色，塑料外壳长度不小于170mm，壳体外壁上供白蚁进出通道口径不小于5mm</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仓体内饵块数量不小于6块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50" w:type="dxa"/>
            <w:vMerge w:val="continue"/>
            <w:noWrap w:val="0"/>
            <w:vAlign w:val="center"/>
          </w:tcPr>
          <w:p>
            <w:pPr>
              <w:adjustRightInd w:val="0"/>
              <w:snapToGrid w:val="0"/>
              <w:rPr>
                <w:rFonts w:hint="eastAsia" w:asciiTheme="minorEastAsia" w:hAnsiTheme="minorEastAsia" w:eastAsiaTheme="minorEastAsia" w:cstheme="minorEastAsia"/>
                <w:color w:val="auto"/>
                <w:sz w:val="24"/>
                <w:szCs w:val="24"/>
              </w:rPr>
            </w:pPr>
          </w:p>
        </w:tc>
        <w:tc>
          <w:tcPr>
            <w:tcW w:w="8337" w:type="dxa"/>
            <w:noWrap w:val="0"/>
            <w:vAlign w:val="center"/>
          </w:tcPr>
          <w:p>
            <w:pPr>
              <w:suppressAutoHyphens/>
              <w:adjustRightInd w:val="0"/>
              <w:snapToGrid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壳体具有良好的抗压强度和抗降解性能</w:t>
            </w:r>
          </w:p>
        </w:tc>
      </w:tr>
    </w:tbl>
    <w:p>
      <w:pPr>
        <w:rPr>
          <w:rFonts w:hint="eastAsia"/>
          <w:color w:val="auto"/>
        </w:rPr>
      </w:pPr>
    </w:p>
    <w:p>
      <w:pPr>
        <w:numPr>
          <w:ilvl w:val="0"/>
          <w:numId w:val="2"/>
        </w:numPr>
        <w:adjustRightInd w:val="0"/>
        <w:snapToGrid w:val="0"/>
        <w:spacing w:line="360" w:lineRule="auto"/>
        <w:outlineLvl w:val="1"/>
        <w:rPr>
          <w:rFonts w:ascii="宋体" w:hAnsi="宋体" w:cs="仿宋"/>
          <w:b/>
          <w:bCs/>
          <w:color w:val="auto"/>
          <w:sz w:val="24"/>
        </w:rPr>
      </w:pPr>
      <w:r>
        <w:rPr>
          <w:rFonts w:ascii="宋体" w:hAnsi="宋体" w:cs="仿宋"/>
          <w:b/>
          <w:bCs/>
          <w:color w:val="auto"/>
          <w:sz w:val="24"/>
        </w:rPr>
        <w:t>蚁情采集</w:t>
      </w:r>
      <w:r>
        <w:rPr>
          <w:rFonts w:hint="eastAsia" w:ascii="宋体" w:hAnsi="宋体" w:cs="仿宋"/>
          <w:b/>
          <w:bCs/>
          <w:color w:val="auto"/>
          <w:sz w:val="24"/>
        </w:rPr>
        <w:t>手持仪4台</w:t>
      </w:r>
    </w:p>
    <w:p>
      <w:pPr>
        <w:rPr>
          <w:color w:val="auto"/>
        </w:rPr>
      </w:pPr>
    </w:p>
    <w:tbl>
      <w:tblPr>
        <w:tblStyle w:val="6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288" w:type="dxa"/>
            <w:gridSpan w:val="2"/>
            <w:noWrap w:val="0"/>
            <w:vAlign w:val="center"/>
          </w:tcPr>
          <w:p>
            <w:pPr>
              <w:adjustRightInd w:val="0"/>
              <w:snapToGrid w:val="0"/>
              <w:jc w:val="center"/>
              <w:rPr>
                <w:rFonts w:hint="eastAsia" w:ascii="宋体" w:hAnsi="宋体"/>
                <w:color w:val="auto"/>
                <w:szCs w:val="21"/>
              </w:rPr>
            </w:pPr>
            <w:r>
              <w:rPr>
                <w:rStyle w:val="972"/>
                <w:rFonts w:ascii="宋体" w:hAnsi="宋体"/>
                <w:b/>
                <w:bCs/>
                <w:color w:val="auto"/>
                <w:kern w:val="0"/>
                <w:szCs w:val="21"/>
              </w:rPr>
              <w:t>蚁情采集手持仪性能要求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0" w:type="dxa"/>
            <w:noWrap w:val="0"/>
            <w:vAlign w:val="center"/>
          </w:tcPr>
          <w:p>
            <w:pPr>
              <w:adjustRightInd w:val="0"/>
              <w:snapToGrid w:val="0"/>
              <w:rPr>
                <w:rStyle w:val="972"/>
                <w:color w:val="auto"/>
                <w:kern w:val="0"/>
              </w:rPr>
            </w:pPr>
            <w:r>
              <w:rPr>
                <w:rStyle w:val="972"/>
                <w:rFonts w:hint="eastAsia"/>
                <w:color w:val="auto"/>
                <w:kern w:val="0"/>
              </w:rPr>
              <w:t>1</w:t>
            </w:r>
          </w:p>
        </w:tc>
        <w:tc>
          <w:tcPr>
            <w:tcW w:w="8458" w:type="dxa"/>
            <w:noWrap w:val="0"/>
            <w:vAlign w:val="center"/>
          </w:tcPr>
          <w:p>
            <w:pPr>
              <w:suppressAutoHyphens/>
              <w:adjustRightInd w:val="0"/>
              <w:snapToGrid w:val="0"/>
              <w:rPr>
                <w:rStyle w:val="972"/>
                <w:rFonts w:ascii="宋体" w:hAnsi="宋体"/>
                <w:color w:val="auto"/>
                <w:kern w:val="0"/>
                <w:szCs w:val="21"/>
              </w:rPr>
            </w:pPr>
            <w:r>
              <w:rPr>
                <w:rFonts w:hint="eastAsia" w:asciiTheme="minorEastAsia" w:hAnsiTheme="minorEastAsia" w:eastAsiaTheme="minorEastAsia" w:cstheme="minorEastAsia"/>
                <w:color w:val="auto"/>
                <w:sz w:val="24"/>
                <w:szCs w:val="24"/>
              </w:rPr>
              <w:t>蚁情采集手持仪须与本次招标的半智能白蚁监测装置配套使用（每1000套智能白蚁监测装置配备1台）</w:t>
            </w:r>
          </w:p>
        </w:tc>
      </w:tr>
    </w:tbl>
    <w:p>
      <w:pPr>
        <w:pStyle w:val="63"/>
        <w:rPr>
          <w:rFonts w:hint="eastAsia" w:ascii="宋体" w:hAnsi="宋体"/>
          <w:b/>
          <w:color w:val="auto"/>
          <w:szCs w:val="24"/>
          <w:lang w:eastAsia="zh-CN"/>
        </w:rPr>
      </w:pPr>
    </w:p>
    <w:p>
      <w:pPr>
        <w:pStyle w:val="63"/>
        <w:rPr>
          <w:rFonts w:hint="eastAsia"/>
          <w:b/>
          <w:bCs w:val="0"/>
          <w:color w:val="auto"/>
          <w:sz w:val="24"/>
          <w:szCs w:val="32"/>
          <w:highlight w:val="none"/>
        </w:rPr>
      </w:pPr>
      <w:r>
        <w:rPr>
          <w:rFonts w:hint="eastAsia" w:ascii="宋体" w:hAnsi="宋体"/>
          <w:b/>
          <w:bCs w:val="0"/>
          <w:color w:val="auto"/>
          <w:sz w:val="24"/>
          <w:szCs w:val="32"/>
          <w:lang w:eastAsia="zh-CN"/>
        </w:rPr>
        <w:t>二、</w:t>
      </w:r>
      <w:r>
        <w:rPr>
          <w:rFonts w:hint="eastAsia" w:ascii="宋体" w:hAnsi="宋体"/>
          <w:b/>
          <w:bCs w:val="0"/>
          <w:color w:val="auto"/>
          <w:sz w:val="24"/>
          <w:szCs w:val="32"/>
        </w:rPr>
        <w:t>商务要求表</w:t>
      </w:r>
    </w:p>
    <w:tbl>
      <w:tblPr>
        <w:tblStyle w:val="65"/>
        <w:tblW w:w="9225" w:type="dxa"/>
        <w:jc w:val="center"/>
        <w:tblLayout w:type="fixed"/>
        <w:tblCellMar>
          <w:top w:w="0" w:type="dxa"/>
          <w:left w:w="108" w:type="dxa"/>
          <w:bottom w:w="0" w:type="dxa"/>
          <w:right w:w="108" w:type="dxa"/>
        </w:tblCellMar>
      </w:tblPr>
      <w:tblGrid>
        <w:gridCol w:w="2336"/>
        <w:gridCol w:w="6889"/>
      </w:tblGrid>
      <w:tr>
        <w:tblPrEx>
          <w:tblCellMar>
            <w:top w:w="0" w:type="dxa"/>
            <w:left w:w="108" w:type="dxa"/>
            <w:bottom w:w="0" w:type="dxa"/>
            <w:right w:w="108" w:type="dxa"/>
          </w:tblCellMar>
        </w:tblPrEx>
        <w:trPr>
          <w:trHeight w:val="667" w:hRule="atLeast"/>
          <w:tblHeader/>
          <w:jc w:val="center"/>
        </w:trPr>
        <w:tc>
          <w:tcPr>
            <w:tcW w:w="2336" w:type="dxa"/>
            <w:tcBorders>
              <w:top w:val="single" w:color="000000" w:sz="4" w:space="0"/>
              <w:left w:val="single" w:color="000000" w:sz="4" w:space="0"/>
              <w:bottom w:val="single" w:color="000000" w:sz="4" w:space="0"/>
            </w:tcBorders>
            <w:noWrap w:val="0"/>
            <w:vAlign w:val="center"/>
          </w:tcPr>
          <w:p>
            <w:pPr>
              <w:adjustRightInd w:val="0"/>
              <w:snapToGrid w:val="0"/>
              <w:jc w:val="center"/>
              <w:rPr>
                <w:rFonts w:ascii="宋体" w:hAnsi="宋体" w:cs="宋体"/>
                <w:b/>
                <w:color w:val="auto"/>
                <w:sz w:val="24"/>
              </w:rPr>
            </w:pPr>
            <w:r>
              <w:rPr>
                <w:rFonts w:hint="eastAsia" w:ascii="宋体" w:hAnsi="宋体" w:cs="宋体"/>
                <w:b/>
                <w:color w:val="auto"/>
                <w:sz w:val="24"/>
              </w:rPr>
              <w:t>项目内容</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pStyle w:val="264"/>
              <w:adjustRightInd w:val="0"/>
              <w:snapToGrid w:val="0"/>
              <w:spacing w:line="240" w:lineRule="auto"/>
              <w:ind w:left="170" w:firstLine="0" w:firstLineChars="0"/>
              <w:jc w:val="center"/>
              <w:rPr>
                <w:rFonts w:ascii="宋体" w:hAnsi="宋体" w:cs="宋体"/>
                <w:b/>
                <w:color w:val="auto"/>
                <w:szCs w:val="24"/>
                <w:lang w:val="en-US" w:eastAsia="zh-CN"/>
              </w:rPr>
            </w:pPr>
            <w:r>
              <w:rPr>
                <w:rFonts w:hint="eastAsia" w:ascii="宋体" w:hAnsi="宋体" w:cs="宋体"/>
                <w:b/>
                <w:color w:val="auto"/>
                <w:szCs w:val="24"/>
                <w:lang w:val="en-US" w:eastAsia="zh-CN"/>
              </w:rPr>
              <w:t>招标要求</w:t>
            </w:r>
          </w:p>
        </w:tc>
      </w:tr>
      <w:tr>
        <w:tblPrEx>
          <w:tblCellMar>
            <w:top w:w="0" w:type="dxa"/>
            <w:left w:w="108" w:type="dxa"/>
            <w:bottom w:w="0" w:type="dxa"/>
            <w:right w:w="108" w:type="dxa"/>
          </w:tblCellMar>
        </w:tblPrEx>
        <w:trPr>
          <w:trHeight w:val="644" w:hRule="atLeast"/>
          <w:jc w:val="center"/>
        </w:trPr>
        <w:tc>
          <w:tcPr>
            <w:tcW w:w="2336"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eastAsia" w:ascii="宋体" w:hAnsi="宋体"/>
                <w:color w:val="auto"/>
                <w:sz w:val="24"/>
                <w:u w:val="single"/>
              </w:rPr>
            </w:pPr>
            <w:r>
              <w:rPr>
                <w:rFonts w:hint="eastAsia" w:ascii="宋体" w:hAnsi="宋体"/>
                <w:color w:val="auto"/>
                <w:sz w:val="24"/>
              </w:rPr>
              <w:t>合同履行期限</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int="eastAsia" w:ascii="宋体" w:hAnsi="宋体"/>
                <w:color w:val="auto"/>
                <w:sz w:val="24"/>
              </w:rPr>
            </w:pPr>
            <w:r>
              <w:rPr>
                <w:rFonts w:hint="eastAsia" w:ascii="宋体" w:hAnsi="宋体"/>
                <w:color w:val="auto"/>
                <w:sz w:val="24"/>
                <w:lang w:eastAsia="zh-CN"/>
              </w:rPr>
              <w:t>自合同签订之日起</w:t>
            </w:r>
            <w:r>
              <w:rPr>
                <w:rFonts w:hint="eastAsia" w:ascii="宋体" w:hAnsi="宋体"/>
                <w:color w:val="auto"/>
                <w:sz w:val="24"/>
                <w:lang w:eastAsia="zh-CN"/>
              </w:rPr>
              <w:t>30日</w:t>
            </w:r>
            <w:r>
              <w:rPr>
                <w:rFonts w:hint="eastAsia" w:ascii="宋体" w:hAnsi="宋体"/>
                <w:color w:val="auto"/>
                <w:sz w:val="24"/>
                <w:lang w:eastAsia="zh-CN"/>
              </w:rPr>
              <w:t xml:space="preserve">内供货到采购人指定地点, </w:t>
            </w:r>
            <w:r>
              <w:rPr>
                <w:rFonts w:hint="eastAsia" w:ascii="宋体" w:hAnsi="宋体"/>
                <w:color w:val="auto"/>
                <w:sz w:val="24"/>
                <w:lang w:eastAsia="zh-CN"/>
              </w:rPr>
              <w:t>中标人负责系统安装</w:t>
            </w:r>
            <w:r>
              <w:rPr>
                <w:rFonts w:hint="eastAsia" w:ascii="宋体" w:hAnsi="宋体"/>
                <w:color w:val="auto"/>
                <w:sz w:val="24"/>
                <w:lang w:eastAsia="zh-CN"/>
              </w:rPr>
              <w:t>，并调试完毕完成验收</w:t>
            </w:r>
          </w:p>
        </w:tc>
      </w:tr>
      <w:tr>
        <w:tblPrEx>
          <w:tblCellMar>
            <w:top w:w="0" w:type="dxa"/>
            <w:left w:w="108" w:type="dxa"/>
            <w:bottom w:w="0" w:type="dxa"/>
            <w:right w:w="108" w:type="dxa"/>
          </w:tblCellMar>
        </w:tblPrEx>
        <w:trPr>
          <w:trHeight w:val="1052" w:hRule="atLeast"/>
          <w:jc w:val="center"/>
        </w:trPr>
        <w:tc>
          <w:tcPr>
            <w:tcW w:w="2336"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eastAsia" w:ascii="宋体" w:hAnsi="宋体"/>
                <w:color w:val="auto"/>
                <w:sz w:val="24"/>
              </w:rPr>
            </w:pPr>
            <w:r>
              <w:rPr>
                <w:rFonts w:hint="eastAsia" w:ascii="宋体" w:hAnsi="宋体"/>
                <w:b/>
                <w:color w:val="auto"/>
                <w:sz w:val="24"/>
              </w:rPr>
              <w:t>验收</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olor w:val="auto"/>
                <w:sz w:val="24"/>
              </w:rPr>
            </w:pPr>
            <w:r>
              <w:rPr>
                <w:rFonts w:hint="eastAsia" w:ascii="宋体" w:hAnsi="宋体"/>
                <w:color w:val="auto"/>
                <w:sz w:val="24"/>
              </w:rPr>
              <w:t>1.中标人应提供合同货物的有效检验文件，经采购人认可后，与合同的性能指标一起作为合同货物验收标准。</w:t>
            </w:r>
          </w:p>
          <w:p>
            <w:pPr>
              <w:spacing w:line="400" w:lineRule="exact"/>
              <w:rPr>
                <w:rFonts w:hint="eastAsia" w:ascii="宋体" w:hAnsi="宋体"/>
                <w:color w:val="auto"/>
                <w:sz w:val="24"/>
              </w:rPr>
            </w:pPr>
            <w:r>
              <w:rPr>
                <w:rFonts w:hint="eastAsia" w:ascii="宋体" w:hAnsi="宋体"/>
                <w:color w:val="auto"/>
                <w:sz w:val="24"/>
              </w:rPr>
              <w:t>采购人验收中发现合同货物达不到验收标准或合同规定的性能指标，中标人必须更换合同货物，并负担由此给采购人造成的损失，直到验收合格为止。</w:t>
            </w:r>
          </w:p>
          <w:p>
            <w:pPr>
              <w:spacing w:line="400" w:lineRule="exact"/>
              <w:rPr>
                <w:rFonts w:hint="eastAsia" w:ascii="宋体" w:hAnsi="宋体"/>
                <w:color w:val="auto"/>
                <w:sz w:val="24"/>
              </w:rPr>
            </w:pPr>
            <w:r>
              <w:rPr>
                <w:rFonts w:hint="eastAsia" w:ascii="宋体" w:hAnsi="宋体"/>
                <w:color w:val="auto"/>
                <w:sz w:val="24"/>
              </w:rPr>
              <w:t>2.投标人应于投标文件中提供合同货物的验收标准，验收标准应符合中国有关的国家、地方、行业的标准，如若中标，经采购人确认后作为验收的依据。</w:t>
            </w:r>
          </w:p>
          <w:p>
            <w:pPr>
              <w:spacing w:line="400" w:lineRule="exact"/>
              <w:rPr>
                <w:rFonts w:hint="eastAsia" w:ascii="宋体" w:hAnsi="宋体"/>
                <w:color w:val="auto"/>
                <w:sz w:val="24"/>
              </w:rPr>
            </w:pPr>
            <w:r>
              <w:rPr>
                <w:rFonts w:hint="eastAsia" w:ascii="宋体" w:hAnsi="宋体"/>
                <w:color w:val="auto"/>
                <w:sz w:val="24"/>
              </w:rPr>
              <w:t>3.验收费用由中标人承担。</w:t>
            </w:r>
          </w:p>
        </w:tc>
      </w:tr>
      <w:tr>
        <w:tblPrEx>
          <w:tblCellMar>
            <w:top w:w="0" w:type="dxa"/>
            <w:left w:w="108" w:type="dxa"/>
            <w:bottom w:w="0" w:type="dxa"/>
            <w:right w:w="108" w:type="dxa"/>
          </w:tblCellMar>
        </w:tblPrEx>
        <w:trPr>
          <w:trHeight w:val="577" w:hRule="atLeast"/>
          <w:jc w:val="center"/>
        </w:trPr>
        <w:tc>
          <w:tcPr>
            <w:tcW w:w="2336"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质保期</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baseline"/>
              <w:rPr>
                <w:rStyle w:val="972"/>
                <w:rFonts w:hint="eastAsia" w:ascii="宋体" w:hAnsi="宋体"/>
                <w:color w:val="auto"/>
                <w:sz w:val="24"/>
              </w:rPr>
            </w:pPr>
            <w:r>
              <w:rPr>
                <w:rStyle w:val="972"/>
                <w:rFonts w:hint="eastAsia" w:ascii="宋体" w:hAnsi="宋体"/>
                <w:color w:val="auto"/>
                <w:sz w:val="24"/>
              </w:rPr>
              <w:t>质保期</w:t>
            </w:r>
            <w:r>
              <w:rPr>
                <w:rStyle w:val="972"/>
                <w:rFonts w:ascii="宋体" w:hAnsi="宋体"/>
                <w:color w:val="auto"/>
                <w:sz w:val="24"/>
              </w:rPr>
              <w:t>1 年</w:t>
            </w:r>
            <w:r>
              <w:rPr>
                <w:rStyle w:val="972"/>
                <w:rFonts w:hint="eastAsia" w:ascii="宋体" w:hAnsi="宋体"/>
                <w:color w:val="auto"/>
                <w:sz w:val="24"/>
              </w:rPr>
              <w:t>，</w:t>
            </w:r>
            <w:r>
              <w:rPr>
                <w:rStyle w:val="972"/>
                <w:rFonts w:ascii="宋体" w:hAnsi="宋体"/>
                <w:color w:val="auto"/>
                <w:sz w:val="24"/>
              </w:rPr>
              <w:t>自交货验收合格之日起计。</w:t>
            </w:r>
          </w:p>
          <w:p>
            <w:pPr>
              <w:widowControl/>
              <w:adjustRightInd w:val="0"/>
              <w:snapToGrid w:val="0"/>
              <w:jc w:val="left"/>
              <w:textAlignment w:val="baseline"/>
              <w:rPr>
                <w:rFonts w:ascii="宋体" w:hAnsi="宋体"/>
                <w:color w:val="auto"/>
                <w:sz w:val="24"/>
              </w:rPr>
            </w:pPr>
            <w:r>
              <w:rPr>
                <w:rFonts w:hint="eastAsia"/>
                <w:b/>
                <w:color w:val="auto"/>
                <w:sz w:val="24"/>
                <w:szCs w:val="32"/>
              </w:rPr>
              <w:t>质保期</w:t>
            </w:r>
            <w:r>
              <w:rPr>
                <w:rFonts w:hint="eastAsia" w:ascii="宋体" w:hAnsi="宋体"/>
                <w:b/>
                <w:color w:val="auto"/>
                <w:sz w:val="24"/>
              </w:rPr>
              <w:t>内因装置本身质量问题由中标人免费更换。</w:t>
            </w:r>
          </w:p>
          <w:p>
            <w:pPr>
              <w:spacing w:before="120" w:beforeLines="50" w:line="360" w:lineRule="auto"/>
              <w:rPr>
                <w:rFonts w:hint="eastAsia" w:ascii="宋体" w:hAnsi="宋体"/>
                <w:color w:val="auto"/>
                <w:sz w:val="24"/>
              </w:rPr>
            </w:pPr>
            <w:r>
              <w:rPr>
                <w:rFonts w:ascii="宋体" w:hAnsi="宋体"/>
                <w:b/>
                <w:color w:val="auto"/>
                <w:sz w:val="24"/>
              </w:rPr>
              <w:t>在</w:t>
            </w:r>
            <w:r>
              <w:rPr>
                <w:rFonts w:hint="eastAsia" w:ascii="宋体" w:hAnsi="宋体"/>
                <w:b/>
                <w:color w:val="auto"/>
                <w:sz w:val="24"/>
              </w:rPr>
              <w:t>质保期</w:t>
            </w:r>
            <w:r>
              <w:rPr>
                <w:rFonts w:ascii="宋体" w:hAnsi="宋体"/>
                <w:b/>
                <w:color w:val="auto"/>
                <w:sz w:val="24"/>
              </w:rPr>
              <w:t>内，</w:t>
            </w:r>
            <w:r>
              <w:rPr>
                <w:rFonts w:hint="eastAsia" w:ascii="宋体" w:hAnsi="宋体"/>
                <w:b/>
                <w:color w:val="auto"/>
                <w:sz w:val="24"/>
              </w:rPr>
              <w:t>所有因装置质量原因产生的</w:t>
            </w:r>
            <w:r>
              <w:rPr>
                <w:rFonts w:ascii="宋体" w:hAnsi="宋体"/>
                <w:b/>
                <w:color w:val="auto"/>
                <w:sz w:val="24"/>
              </w:rPr>
              <w:t>费用由</w:t>
            </w:r>
            <w:r>
              <w:rPr>
                <w:rFonts w:hint="eastAsia" w:ascii="宋体" w:hAnsi="宋体"/>
                <w:b/>
                <w:color w:val="auto"/>
                <w:sz w:val="24"/>
              </w:rPr>
              <w:t>中标人</w:t>
            </w:r>
            <w:r>
              <w:rPr>
                <w:rFonts w:ascii="宋体" w:hAnsi="宋体"/>
                <w:b/>
                <w:color w:val="auto"/>
                <w:sz w:val="24"/>
              </w:rPr>
              <w:t>承担。</w:t>
            </w:r>
          </w:p>
        </w:tc>
      </w:tr>
      <w:tr>
        <w:tblPrEx>
          <w:tblCellMar>
            <w:top w:w="0" w:type="dxa"/>
            <w:left w:w="108" w:type="dxa"/>
            <w:bottom w:w="0" w:type="dxa"/>
            <w:right w:w="108" w:type="dxa"/>
          </w:tblCellMar>
        </w:tblPrEx>
        <w:trPr>
          <w:trHeight w:val="577" w:hRule="atLeast"/>
          <w:jc w:val="center"/>
        </w:trPr>
        <w:tc>
          <w:tcPr>
            <w:tcW w:w="2336" w:type="dxa"/>
            <w:tcBorders>
              <w:top w:val="single" w:color="000000" w:sz="4" w:space="0"/>
              <w:left w:val="single" w:color="000000" w:sz="4" w:space="0"/>
              <w:bottom w:val="single" w:color="000000" w:sz="4" w:space="0"/>
            </w:tcBorders>
            <w:noWrap w:val="0"/>
            <w:vAlign w:val="center"/>
          </w:tcPr>
          <w:p>
            <w:pPr>
              <w:adjustRightInd w:val="0"/>
              <w:snapToGrid w:val="0"/>
              <w:jc w:val="center"/>
              <w:rPr>
                <w:rFonts w:hint="eastAsia" w:ascii="宋体" w:hAnsi="宋体" w:cs="宋体"/>
                <w:color w:val="auto"/>
                <w:sz w:val="24"/>
              </w:rPr>
            </w:pPr>
            <w:r>
              <w:rPr>
                <w:rFonts w:hint="eastAsia" w:ascii="宋体" w:hAnsi="宋体" w:cs="宋体"/>
                <w:color w:val="auto"/>
                <w:sz w:val="24"/>
              </w:rPr>
              <w:t>售后服务</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adjustRightInd w:val="0"/>
              <w:snapToGrid w:val="0"/>
              <w:ind w:left="0" w:firstLine="268" w:firstLineChars="112"/>
              <w:jc w:val="left"/>
              <w:rPr>
                <w:rStyle w:val="972"/>
                <w:rFonts w:hint="eastAsia" w:ascii="宋体" w:hAnsi="宋体"/>
                <w:color w:val="auto"/>
                <w:sz w:val="24"/>
              </w:rPr>
            </w:pPr>
            <w:r>
              <w:rPr>
                <w:rStyle w:val="972"/>
                <w:rFonts w:hint="eastAsia" w:ascii="宋体" w:hAnsi="宋体"/>
                <w:color w:val="auto"/>
                <w:sz w:val="24"/>
              </w:rPr>
              <w:t>响应时间</w:t>
            </w:r>
            <w:r>
              <w:rPr>
                <w:rStyle w:val="972"/>
                <w:rFonts w:ascii="宋体" w:hAnsi="宋体"/>
                <w:color w:val="auto"/>
                <w:sz w:val="24"/>
              </w:rPr>
              <w:t>：</w:t>
            </w:r>
            <w:r>
              <w:rPr>
                <w:rFonts w:hint="eastAsia" w:ascii="宋体" w:hAnsi="宋体"/>
                <w:color w:val="auto"/>
                <w:sz w:val="24"/>
              </w:rPr>
              <w:t>中标人应承诺在</w:t>
            </w:r>
            <w:r>
              <w:rPr>
                <w:rFonts w:ascii="宋体" w:hAnsi="宋体"/>
                <w:color w:val="auto"/>
                <w:sz w:val="24"/>
              </w:rPr>
              <w:t>接到</w:t>
            </w:r>
            <w:r>
              <w:rPr>
                <w:rFonts w:hint="eastAsia" w:ascii="宋体" w:hAnsi="宋体"/>
                <w:color w:val="auto"/>
                <w:sz w:val="24"/>
              </w:rPr>
              <w:t>采购人</w:t>
            </w:r>
            <w:r>
              <w:rPr>
                <w:rFonts w:ascii="宋体" w:hAnsi="宋体"/>
                <w:color w:val="auto"/>
                <w:sz w:val="24"/>
              </w:rPr>
              <w:t>通知后</w:t>
            </w:r>
            <w:r>
              <w:rPr>
                <w:rFonts w:hint="eastAsia" w:ascii="宋体" w:hAnsi="宋体"/>
                <w:b/>
                <w:color w:val="auto"/>
                <w:sz w:val="24"/>
              </w:rPr>
              <w:t>当天</w:t>
            </w:r>
            <w:r>
              <w:rPr>
                <w:rFonts w:hint="eastAsia" w:ascii="宋体" w:hAnsi="宋体"/>
                <w:color w:val="auto"/>
                <w:sz w:val="24"/>
              </w:rPr>
              <w:t>响应并提出解决方案，并</w:t>
            </w:r>
            <w:r>
              <w:rPr>
                <w:rFonts w:ascii="宋体" w:hAnsi="宋体"/>
                <w:color w:val="auto"/>
                <w:sz w:val="24"/>
              </w:rPr>
              <w:t>在</w:t>
            </w:r>
            <w:r>
              <w:rPr>
                <w:rFonts w:hint="eastAsia" w:ascii="宋体" w:hAnsi="宋体"/>
                <w:color w:val="auto"/>
                <w:sz w:val="24"/>
              </w:rPr>
              <w:t>7天以内完成更换；质保期内，如采购人有需求，中标人需派技术人员进行现场技术性指导，派遣的技术人员的所有费用由中标人承担；</w:t>
            </w:r>
          </w:p>
          <w:p>
            <w:pPr>
              <w:widowControl/>
              <w:numPr>
                <w:ilvl w:val="0"/>
                <w:numId w:val="3"/>
              </w:numPr>
              <w:adjustRightInd w:val="0"/>
              <w:snapToGrid w:val="0"/>
              <w:ind w:left="0" w:firstLine="268" w:firstLineChars="112"/>
              <w:jc w:val="left"/>
              <w:rPr>
                <w:rStyle w:val="972"/>
                <w:rFonts w:hint="eastAsia" w:ascii="宋体" w:hAnsi="宋体"/>
                <w:color w:val="auto"/>
                <w:sz w:val="24"/>
              </w:rPr>
            </w:pPr>
            <w:r>
              <w:rPr>
                <w:rStyle w:val="972"/>
                <w:rFonts w:ascii="宋体" w:hAnsi="宋体"/>
                <w:color w:val="auto"/>
                <w:sz w:val="24"/>
              </w:rPr>
              <w:t>培训：提供技术服务，根据采购人要求免费为相关人员进行培训（包括设备基本原理、安装、调试、操作使用及日常维修等）</w:t>
            </w:r>
            <w:r>
              <w:rPr>
                <w:rStyle w:val="972"/>
                <w:rFonts w:hint="eastAsia" w:ascii="宋体" w:hAnsi="宋体"/>
                <w:color w:val="auto"/>
                <w:sz w:val="24"/>
              </w:rPr>
              <w:t>；</w:t>
            </w:r>
          </w:p>
          <w:p>
            <w:pPr>
              <w:widowControl/>
              <w:numPr>
                <w:ilvl w:val="0"/>
                <w:numId w:val="3"/>
              </w:numPr>
              <w:adjustRightInd w:val="0"/>
              <w:snapToGrid w:val="0"/>
              <w:ind w:left="0" w:firstLine="268" w:firstLineChars="112"/>
              <w:jc w:val="left"/>
              <w:rPr>
                <w:rFonts w:hint="eastAsia" w:ascii="宋体" w:hAnsi="宋体"/>
                <w:color w:val="auto"/>
                <w:sz w:val="24"/>
              </w:rPr>
            </w:pPr>
            <w:r>
              <w:rPr>
                <w:rStyle w:val="972"/>
                <w:rFonts w:ascii="宋体" w:hAnsi="宋体"/>
                <w:color w:val="auto"/>
                <w:sz w:val="24"/>
              </w:rPr>
              <w:t>保证提供设备后续使用期间的主要备件及耗材</w:t>
            </w:r>
            <w:r>
              <w:rPr>
                <w:rStyle w:val="972"/>
                <w:rFonts w:hint="eastAsia" w:ascii="宋体" w:hAnsi="宋体"/>
                <w:color w:val="auto"/>
                <w:sz w:val="24"/>
              </w:rPr>
              <w:t>，</w:t>
            </w:r>
            <w:r>
              <w:rPr>
                <w:rStyle w:val="972"/>
                <w:rFonts w:ascii="宋体" w:hAnsi="宋体"/>
                <w:color w:val="auto"/>
                <w:sz w:val="24"/>
              </w:rPr>
              <w:t>免费</w:t>
            </w:r>
            <w:r>
              <w:rPr>
                <w:rStyle w:val="972"/>
                <w:rFonts w:hint="eastAsia" w:ascii="宋体" w:hAnsi="宋体"/>
                <w:color w:val="auto"/>
                <w:sz w:val="24"/>
              </w:rPr>
              <w:t>提供相应的蚁情监测系统及后续的系统</w:t>
            </w:r>
            <w:r>
              <w:rPr>
                <w:rStyle w:val="972"/>
                <w:rFonts w:ascii="宋体" w:hAnsi="宋体"/>
                <w:color w:val="auto"/>
                <w:sz w:val="24"/>
              </w:rPr>
              <w:t>升级</w:t>
            </w:r>
            <w:r>
              <w:rPr>
                <w:rStyle w:val="972"/>
                <w:rFonts w:hint="eastAsia" w:ascii="宋体" w:hAnsi="宋体"/>
                <w:color w:val="auto"/>
                <w:sz w:val="24"/>
              </w:rPr>
              <w:t>服务。</w:t>
            </w:r>
          </w:p>
        </w:tc>
      </w:tr>
      <w:tr>
        <w:tblPrEx>
          <w:tblCellMar>
            <w:top w:w="0" w:type="dxa"/>
            <w:left w:w="108" w:type="dxa"/>
            <w:bottom w:w="0" w:type="dxa"/>
            <w:right w:w="108" w:type="dxa"/>
          </w:tblCellMar>
        </w:tblPrEx>
        <w:trPr>
          <w:trHeight w:val="985" w:hRule="atLeast"/>
          <w:jc w:val="center"/>
        </w:trPr>
        <w:tc>
          <w:tcPr>
            <w:tcW w:w="2336" w:type="dxa"/>
            <w:tcBorders>
              <w:top w:val="single" w:color="000000" w:sz="4" w:space="0"/>
              <w:left w:val="single" w:color="000000" w:sz="4" w:space="0"/>
              <w:bottom w:val="single" w:color="000000" w:sz="4" w:space="0"/>
            </w:tcBorders>
            <w:noWrap w:val="0"/>
            <w:vAlign w:val="center"/>
          </w:tcPr>
          <w:p>
            <w:pPr>
              <w:adjustRightInd w:val="0"/>
              <w:snapToGrid w:val="0"/>
              <w:jc w:val="center"/>
              <w:rPr>
                <w:rFonts w:ascii="宋体" w:hAnsi="宋体"/>
                <w:color w:val="auto"/>
                <w:sz w:val="24"/>
              </w:rPr>
            </w:pPr>
            <w:r>
              <w:rPr>
                <w:rFonts w:hint="eastAsia" w:ascii="宋体" w:hAnsi="宋体" w:cs="宋体"/>
                <w:color w:val="auto"/>
                <w:sz w:val="24"/>
              </w:rPr>
              <w:t>付款方式</w:t>
            </w:r>
          </w:p>
        </w:tc>
        <w:tc>
          <w:tcPr>
            <w:tcW w:w="68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color w:val="auto"/>
                <w:sz w:val="24"/>
              </w:rPr>
            </w:pPr>
            <w:r>
              <w:rPr>
                <w:rFonts w:hint="eastAsia" w:ascii="宋体" w:hAnsi="宋体"/>
                <w:color w:val="auto"/>
                <w:sz w:val="24"/>
              </w:rPr>
              <w:t>合同生效以及具备实施条件后7个工作日内支付合同金额的40%；设备全部安装调试完毕，项目验收合格并经审价后7个工作日内按照审定价格付清尾款。</w:t>
            </w:r>
          </w:p>
          <w:p>
            <w:pPr>
              <w:pStyle w:val="24"/>
              <w:spacing w:before="120" w:beforeLines="50"/>
              <w:rPr>
                <w:rFonts w:ascii="宋体" w:hAnsi="宋体" w:cs="宋体"/>
                <w:b/>
                <w:color w:val="auto"/>
                <w:sz w:val="24"/>
                <w:lang w:val="en-US"/>
              </w:rPr>
            </w:pPr>
            <w:r>
              <w:rPr>
                <w:rFonts w:hint="eastAsia" w:ascii="宋体" w:hAnsi="宋体" w:cs="宋体"/>
                <w:b/>
                <w:color w:val="auto"/>
                <w:sz w:val="24"/>
                <w:lang w:val="en-US" w:eastAsia="zh-CN"/>
              </w:rPr>
              <w:t>注：验收不合格的，中标人需在7天内完成产品更换并重新申请验收，连续2次验收不合格或超时未完成产品更换并申请验收的，采购人有权终止合同并保留追究中标人法律责任的权利。</w:t>
            </w:r>
          </w:p>
        </w:tc>
      </w:tr>
    </w:tbl>
    <w:p>
      <w:pPr>
        <w:pageBreakBefore w:val="0"/>
        <w:kinsoku/>
        <w:wordWrap/>
        <w:overflowPunct/>
        <w:topLinePunct w:val="0"/>
        <w:bidi w:val="0"/>
        <w:spacing w:line="360" w:lineRule="auto"/>
        <w:ind w:firstLine="723" w:firstLineChars="200"/>
        <w:rPr>
          <w:rFonts w:hint="eastAsia" w:ascii="仿宋" w:hAnsi="仿宋" w:eastAsia="仿宋" w:cs="仿宋_GB2312"/>
          <w:b/>
          <w:color w:val="auto"/>
          <w:sz w:val="36"/>
          <w:szCs w:val="20"/>
          <w:highlight w:val="none"/>
          <w:lang w:eastAsia="zh-CN"/>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both"/>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both"/>
        <w:rPr>
          <w:rFonts w:hint="eastAsia"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pPr>
        <w:rPr>
          <w:color w:val="auto"/>
          <w:highlight w:val="none"/>
        </w:rPr>
      </w:pPr>
    </w:p>
    <w:p>
      <w:pPr>
        <w:pStyle w:val="25"/>
        <w:wordWrap w:val="0"/>
        <w:overflowPunct w:val="0"/>
        <w:adjustRightInd/>
        <w:spacing w:before="24" w:beforeLines="10"/>
        <w:ind w:firstLine="487"/>
        <w:rPr>
          <w:rFonts w:hAnsi="宋体" w:cs="宋体"/>
          <w:color w:val="auto"/>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5"/>
        <w:tblW w:w="0" w:type="auto"/>
        <w:tblInd w:w="142" w:type="dxa"/>
        <w:tblLayout w:type="fixed"/>
        <w:tblCellMar>
          <w:top w:w="0" w:type="dxa"/>
          <w:left w:w="108" w:type="dxa"/>
          <w:bottom w:w="0" w:type="dxa"/>
          <w:right w:w="108" w:type="dxa"/>
        </w:tblCellMar>
      </w:tblPr>
      <w:tblGrid>
        <w:gridCol w:w="744"/>
        <w:gridCol w:w="8399"/>
      </w:tblGrid>
      <w:tr>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2023年白蚁监测装置采购项目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val="en-US" w:eastAsia="zh-CN"/>
              </w:rPr>
              <w:t>50.00</w:t>
            </w:r>
            <w:r>
              <w:rPr>
                <w:rFonts w:hint="eastAsia" w:cs="宋体"/>
                <w:color w:val="auto"/>
                <w:highlight w:val="none"/>
                <w:u w:val="single"/>
              </w:rPr>
              <w:t>万元</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2023年6月26日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2023年6月26日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w:t>
            </w:r>
            <w:r>
              <w:rPr>
                <w:rFonts w:hint="eastAsia" w:ascii="宋体" w:hAnsi="宋体" w:cs="宋体"/>
                <w:color w:val="auto"/>
                <w:sz w:val="24"/>
                <w:highlight w:val="none"/>
              </w:rPr>
              <w:t>签订合同前中标人应向采购人交纳合同金额的1%作为履约保证金，履约保证金在合同履行完毕后一个月内无息退还。</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color w:val="auto"/>
                <w:sz w:val="24"/>
                <w:highlight w:val="none"/>
              </w:rPr>
            </w:pPr>
            <w:r>
              <w:rPr>
                <w:rFonts w:hint="eastAsia" w:ascii="宋体" w:hAnsi="宋体" w:cs="宋体"/>
                <w:color w:val="auto"/>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lang w:eastAsia="zh-CN"/>
              </w:rPr>
              <w:t>合同生效以及具备实施条件后7个工作日内支付合同金额的40%</w:t>
            </w:r>
            <w:r>
              <w:rPr>
                <w:rFonts w:hint="eastAsia" w:ascii="宋体" w:hAnsi="宋体" w:cs="宋体"/>
                <w:color w:val="auto"/>
                <w:sz w:val="24"/>
                <w:highlight w:val="none"/>
              </w:rPr>
              <w:t>；设备全部安装调试完毕，项目验收合格并经审价后7个工作日内按照审定价格付清尾款</w:t>
            </w:r>
            <w:r>
              <w:rPr>
                <w:rFonts w:hint="eastAsia" w:ascii="宋体" w:hAnsi="宋体" w:cs="宋体"/>
                <w:color w:val="auto"/>
                <w:sz w:val="24"/>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注：付款前中标单位应按规定向采购人开具正规发票。</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pPr>
              <w:pStyle w:val="34"/>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34"/>
        <w:wordWrap w:val="0"/>
        <w:overflowPunct w:val="0"/>
        <w:autoSpaceDE w:val="0"/>
        <w:autoSpaceDN w:val="0"/>
        <w:snapToGrid w:val="0"/>
        <w:spacing w:line="400" w:lineRule="exact"/>
        <w:outlineLvl w:val="0"/>
        <w:rPr>
          <w:rFonts w:hAnsi="宋体" w:cs="宋体"/>
          <w:b/>
          <w:color w:val="auto"/>
          <w:sz w:val="24"/>
          <w:szCs w:val="24"/>
          <w:highlight w:val="none"/>
        </w:rPr>
      </w:pPr>
    </w:p>
    <w:p>
      <w:pPr>
        <w:pStyle w:val="34"/>
        <w:numPr>
          <w:ilvl w:val="0"/>
          <w:numId w:val="4"/>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8.“★”系指重要技术指标。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26"/>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4"/>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pPr>
        <w:numPr>
          <w:ilvl w:val="0"/>
          <w:numId w:val="5"/>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pPr>
        <w:numPr>
          <w:ilvl w:val="0"/>
          <w:numId w:val="5"/>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pPr>
        <w:numPr>
          <w:ilvl w:val="0"/>
          <w:numId w:val="5"/>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pPr>
        <w:pStyle w:val="60"/>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商务响应（偏离）表（格式见第六章）</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供应商实力</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业绩要求（格式见第六章同类项目业绩一览表）</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合理化建议</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优惠条件</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技术指标偏离情况（格式见第六章技术响应（偏离）表）</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产品实力</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w:t>
      </w:r>
    </w:p>
    <w:p>
      <w:pPr>
        <w:numPr>
          <w:ilvl w:val="0"/>
          <w:numId w:val="6"/>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pPr>
        <w:pStyle w:val="34"/>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numPr>
          <w:ilvl w:val="0"/>
          <w:numId w:val="7"/>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pPr>
        <w:numPr>
          <w:ilvl w:val="0"/>
          <w:numId w:val="7"/>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pPr>
        <w:numPr>
          <w:ilvl w:val="0"/>
          <w:numId w:val="7"/>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pPr>
        <w:numPr>
          <w:ilvl w:val="0"/>
          <w:numId w:val="7"/>
        </w:numPr>
        <w:tabs>
          <w:tab w:val="left" w:pos="851"/>
          <w:tab w:val="left" w:pos="1134"/>
        </w:tabs>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▲2.投标报价是履行合同的最终价格，报价采用固定单价方式进行报价</w:t>
      </w:r>
      <w:r>
        <w:rPr>
          <w:rFonts w:hint="eastAsia" w:ascii="宋体" w:hAnsi="宋体" w:cs="宋体"/>
          <w:color w:val="auto"/>
          <w:sz w:val="24"/>
          <w:highlight w:val="none"/>
          <w:lang w:eastAsia="zh-CN"/>
        </w:rPr>
        <w:t>，</w:t>
      </w:r>
      <w:r>
        <w:rPr>
          <w:rFonts w:hint="eastAsia" w:ascii="宋体" w:hAnsi="宋体"/>
          <w:color w:val="auto"/>
          <w:sz w:val="24"/>
          <w:highlight w:val="none"/>
        </w:rPr>
        <w:t>最终结算总价=</w:t>
      </w:r>
      <w:r>
        <w:rPr>
          <w:rFonts w:hint="eastAsia" w:ascii="宋体" w:hAnsi="宋体"/>
          <w:color w:val="auto"/>
          <w:sz w:val="24"/>
          <w:highlight w:val="none"/>
          <w:lang w:eastAsia="zh-CN"/>
        </w:rPr>
        <w:t>中标</w:t>
      </w:r>
      <w:r>
        <w:rPr>
          <w:rFonts w:hint="eastAsia" w:ascii="宋体" w:hAnsi="宋体"/>
          <w:color w:val="auto"/>
          <w:sz w:val="24"/>
          <w:highlight w:val="none"/>
        </w:rPr>
        <w:t>单价*</w:t>
      </w:r>
      <w:r>
        <w:rPr>
          <w:rFonts w:hint="eastAsia" w:ascii="宋体" w:hAnsi="宋体"/>
          <w:color w:val="auto"/>
          <w:sz w:val="24"/>
          <w:highlight w:val="none"/>
          <w:lang w:eastAsia="zh-CN"/>
        </w:rPr>
        <w:t>实际采购</w:t>
      </w:r>
      <w:r>
        <w:rPr>
          <w:rFonts w:hint="eastAsia" w:ascii="宋体" w:hAnsi="宋体"/>
          <w:color w:val="auto"/>
          <w:sz w:val="24"/>
          <w:highlight w:val="none"/>
        </w:rPr>
        <w:t>设备数量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报价包括生产、供货、运输、装卸、安装调试、税金、保险、备品备件、配件、附件、培训、验收、辅助工作及售后服务等完成本项目的所有费用。</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9"/>
          <w:rFonts w:hint="eastAsia" w:ascii="宋体" w:hAnsi="宋体" w:cs="宋体"/>
          <w:bCs/>
          <w:color w:val="auto"/>
          <w:sz w:val="24"/>
          <w:highlight w:val="none"/>
        </w:rPr>
        <w:t>）及本招标文件规定的格式和顺序编制电子投标文件并进行关联定位。</w:t>
      </w:r>
      <w:r>
        <w:rPr>
          <w:rStyle w:val="79"/>
          <w:rFonts w:hint="eastAsia" w:ascii="宋体" w:hAnsi="宋体" w:cs="宋体"/>
          <w:bCs/>
          <w:color w:val="auto"/>
          <w:sz w:val="24"/>
          <w:highlight w:val="none"/>
        </w:rPr>
        <w:fldChar w:fldCharType="end"/>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6371437"/>
      <w:bookmarkStart w:id="19" w:name="_Toc359856803"/>
      <w:r>
        <w:rPr>
          <w:rFonts w:hint="eastAsia" w:hAnsi="宋体" w:cs="宋体"/>
          <w:b/>
          <w:color w:val="auto"/>
          <w:sz w:val="24"/>
          <w:szCs w:val="24"/>
          <w:highlight w:val="none"/>
        </w:rPr>
        <w:t>（八）投标文件的递交</w:t>
      </w:r>
      <w:bookmarkEnd w:id="18"/>
      <w:bookmarkEnd w:id="19"/>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8"/>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投标有效期、交付期限、质保期等商务条款不能满足招标文件要求的；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26"/>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pPr>
        <w:pStyle w:val="26"/>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pPr>
        <w:pStyle w:val="26"/>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26"/>
        <w:snapToGrid w:val="0"/>
        <w:spacing w:line="360" w:lineRule="auto"/>
        <w:rPr>
          <w:color w:val="auto"/>
          <w:highlight w:val="none"/>
        </w:rPr>
      </w:pPr>
      <w:r>
        <w:rPr>
          <w:rFonts w:hint="eastAsia"/>
          <w:color w:val="auto"/>
          <w:highlight w:val="none"/>
        </w:rPr>
        <w:t>（1）未采用人民币报价或者未按照采购文件标明的币种报价的；</w:t>
      </w:r>
    </w:p>
    <w:p>
      <w:pPr>
        <w:pStyle w:val="26"/>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pPr>
        <w:pStyle w:val="26"/>
        <w:snapToGrid w:val="0"/>
        <w:spacing w:line="360" w:lineRule="auto"/>
        <w:rPr>
          <w:color w:val="auto"/>
          <w:highlight w:val="none"/>
        </w:rPr>
      </w:pPr>
      <w:r>
        <w:rPr>
          <w:rFonts w:hint="eastAsia"/>
          <w:color w:val="auto"/>
          <w:highlight w:val="none"/>
        </w:rPr>
        <w:t>（3）报价文件内容与商务、技术文件内容严重不一致，评标委员会无法评审的；</w:t>
      </w:r>
    </w:p>
    <w:p>
      <w:pPr>
        <w:pStyle w:val="26"/>
        <w:snapToGrid w:val="0"/>
        <w:spacing w:line="360" w:lineRule="auto"/>
        <w:rPr>
          <w:color w:val="auto"/>
          <w:highlight w:val="none"/>
        </w:rPr>
      </w:pPr>
      <w:r>
        <w:rPr>
          <w:rFonts w:hint="eastAsia"/>
          <w:color w:val="auto"/>
          <w:highlight w:val="none"/>
        </w:rPr>
        <w:t>（4）评标委员会认定属投标人自身原因有重大漏项的。</w:t>
      </w:r>
    </w:p>
    <w:p>
      <w:pPr>
        <w:pStyle w:val="26"/>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color w:val="auto"/>
          <w:highlight w:val="none"/>
        </w:rPr>
      </w:pPr>
      <w:r>
        <w:rPr>
          <w:rFonts w:hint="eastAsia"/>
          <w:color w:val="auto"/>
          <w:highlight w:val="none"/>
        </w:rPr>
        <w:t>（6）报价超过采购文件中规定的预算金额或者最高限价的。</w:t>
      </w:r>
    </w:p>
    <w:p>
      <w:pPr>
        <w:pStyle w:val="26"/>
        <w:snapToGrid w:val="0"/>
        <w:spacing w:line="360" w:lineRule="auto"/>
        <w:rPr>
          <w:color w:val="auto"/>
          <w:highlight w:val="none"/>
        </w:rPr>
      </w:pPr>
      <w:r>
        <w:rPr>
          <w:rFonts w:hint="eastAsia"/>
          <w:color w:val="auto"/>
          <w:highlight w:val="none"/>
        </w:rPr>
        <w:t>（7）报价文件无法定代表人或授权代表签字（或盖章）的；</w:t>
      </w:r>
    </w:p>
    <w:p>
      <w:pPr>
        <w:pStyle w:val="26"/>
        <w:snapToGrid w:val="0"/>
        <w:spacing w:line="360" w:lineRule="auto"/>
        <w:rPr>
          <w:color w:val="auto"/>
          <w:highlight w:val="none"/>
        </w:rPr>
      </w:pPr>
      <w:r>
        <w:rPr>
          <w:rFonts w:hint="eastAsia"/>
          <w:color w:val="auto"/>
          <w:highlight w:val="none"/>
        </w:rPr>
        <w:t>（8）报价文件格式不规范、项目不齐全或者内容虚假的；</w:t>
      </w:r>
    </w:p>
    <w:p>
      <w:pPr>
        <w:pStyle w:val="26"/>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4"/>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4"/>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4"/>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4"/>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4"/>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4"/>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4"/>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4"/>
        <w:snapToGrid w:val="0"/>
        <w:spacing w:line="360" w:lineRule="auto"/>
        <w:rPr>
          <w:rFonts w:hAnsi="宋体" w:cs="宋体"/>
          <w:b/>
          <w:color w:val="auto"/>
          <w:sz w:val="24"/>
          <w:szCs w:val="24"/>
          <w:highlight w:val="none"/>
        </w:rPr>
      </w:pPr>
      <w:r>
        <w:rPr>
          <w:rFonts w:hint="eastAsia" w:hAnsi="宋体" w:cs="宋体"/>
          <w:color w:val="auto"/>
          <w:sz w:val="24"/>
          <w:szCs w:val="24"/>
          <w:highlight w:val="none"/>
        </w:rPr>
        <w:t>2.签订合同后，如中标人不按双方合同约定履约，则没收其全部履约保证金，履约保证金不足以赔偿损失的，按实际损失赔偿</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4"/>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pPr>
        <w:pStyle w:val="34"/>
        <w:snapToGrid w:val="0"/>
        <w:spacing w:line="360" w:lineRule="auto"/>
        <w:rPr>
          <w:rFonts w:hAnsi="宋体" w:cs="宋体"/>
          <w:b/>
          <w:color w:val="auto"/>
          <w:sz w:val="24"/>
          <w:szCs w:val="24"/>
          <w:highlight w:val="none"/>
        </w:rPr>
      </w:pPr>
      <w:bookmarkStart w:id="21" w:name="_Hlt68072990"/>
      <w:bookmarkEnd w:id="21"/>
      <w:bookmarkStart w:id="22" w:name="_Hlt75236290"/>
      <w:bookmarkEnd w:id="22"/>
      <w:bookmarkStart w:id="23" w:name="_Hlt74729768"/>
      <w:bookmarkEnd w:id="23"/>
      <w:bookmarkStart w:id="24" w:name="_Hlt68073093"/>
      <w:bookmarkEnd w:id="24"/>
      <w:bookmarkStart w:id="25" w:name="_Hlt75236101"/>
      <w:bookmarkEnd w:id="25"/>
      <w:bookmarkStart w:id="26" w:name="_Hlt68072998"/>
      <w:bookmarkEnd w:id="26"/>
      <w:bookmarkStart w:id="27" w:name="_Hlt74730295"/>
      <w:bookmarkEnd w:id="27"/>
      <w:bookmarkStart w:id="28" w:name="_Hlt68403820"/>
      <w:bookmarkEnd w:id="28"/>
      <w:bookmarkStart w:id="29" w:name="_Hlt75236011"/>
      <w:bookmarkEnd w:id="29"/>
      <w:bookmarkStart w:id="30" w:name="_Hlt74707468"/>
      <w:bookmarkEnd w:id="30"/>
      <w:bookmarkStart w:id="31" w:name="_Hlt68057669"/>
      <w:bookmarkEnd w:id="31"/>
      <w:bookmarkStart w:id="32" w:name="_Hlt74714665"/>
      <w:bookmarkEnd w:id="32"/>
      <w:r>
        <w:rPr>
          <w:rFonts w:hint="eastAsia" w:hAnsi="宋体" w:cs="宋体"/>
          <w:b/>
          <w:color w:val="auto"/>
          <w:sz w:val="24"/>
          <w:szCs w:val="24"/>
          <w:highlight w:val="none"/>
        </w:rPr>
        <w:t>九、招标代理费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bl>
    <w:p>
      <w:pPr>
        <w:keepNext w:val="0"/>
        <w:keepLines w:val="0"/>
        <w:pageBreakBefore w:val="0"/>
        <w:kinsoku/>
        <w:topLinePunct w:val="0"/>
        <w:bidi w:val="0"/>
        <w:adjustRightInd w:val="0"/>
        <w:snapToGrid w:val="0"/>
        <w:spacing w:line="360" w:lineRule="auto"/>
        <w:ind w:left="480" w:hanging="480" w:hangingChars="200"/>
        <w:jc w:val="left"/>
        <w:rPr>
          <w:rFonts w:hint="eastAsia" w:ascii="宋体" w:hAnsi="宋体"/>
          <w:color w:val="auto"/>
          <w:sz w:val="24"/>
          <w:highlight w:val="none"/>
          <w:lang w:val="en-US" w:eastAsia="zh-CN"/>
        </w:rPr>
      </w:pPr>
      <w:r>
        <w:rPr>
          <w:rFonts w:hint="eastAsia" w:ascii="宋体" w:hAnsi="宋体"/>
          <w:color w:val="auto"/>
          <w:sz w:val="24"/>
          <w:highlight w:val="none"/>
        </w:rPr>
        <w:t>例如：某项目</w:t>
      </w:r>
      <w:r>
        <w:rPr>
          <w:rFonts w:hint="eastAsia" w:ascii="宋体" w:hAnsi="宋体"/>
          <w:color w:val="auto"/>
          <w:sz w:val="24"/>
          <w:highlight w:val="none"/>
          <w:lang w:eastAsia="zh-CN"/>
        </w:rPr>
        <w:t>货物</w:t>
      </w:r>
      <w:r>
        <w:rPr>
          <w:rFonts w:hint="eastAsia" w:ascii="宋体" w:hAnsi="宋体"/>
          <w:color w:val="auto"/>
          <w:sz w:val="24"/>
          <w:highlight w:val="none"/>
        </w:rPr>
        <w:t>类招标代理业务中标金额为</w:t>
      </w:r>
      <w:r>
        <w:rPr>
          <w:rFonts w:hint="eastAsia" w:ascii="宋体" w:hAnsi="宋体"/>
          <w:color w:val="auto"/>
          <w:sz w:val="24"/>
          <w:highlight w:val="none"/>
          <w:lang w:val="en-US" w:eastAsia="zh-CN"/>
        </w:rPr>
        <w:t>100</w:t>
      </w:r>
      <w:r>
        <w:rPr>
          <w:rFonts w:hint="eastAsia" w:ascii="宋体" w:hAnsi="宋体"/>
          <w:color w:val="auto"/>
          <w:sz w:val="24"/>
          <w:highlight w:val="none"/>
        </w:rPr>
        <w:t>万元，计算中标服务费收费额如下：</w:t>
      </w:r>
      <w:r>
        <w:rPr>
          <w:rFonts w:hint="eastAsia" w:ascii="宋体" w:hAnsi="宋体"/>
          <w:color w:val="auto"/>
          <w:sz w:val="24"/>
          <w:highlight w:val="none"/>
          <w:lang w:val="en-US" w:eastAsia="zh-CN"/>
        </w:rPr>
        <w:t xml:space="preserve">  </w:t>
      </w:r>
    </w:p>
    <w:p>
      <w:pPr>
        <w:keepNext w:val="0"/>
        <w:keepLines w:val="0"/>
        <w:pageBreakBefore w:val="0"/>
        <w:kinsoku/>
        <w:topLinePunct w:val="0"/>
        <w:bidi w:val="0"/>
        <w:adjustRightInd w:val="0"/>
        <w:snapToGrid w:val="0"/>
        <w:spacing w:line="360" w:lineRule="auto"/>
        <w:ind w:left="479" w:leftChars="228" w:firstLine="720" w:firstLineChars="300"/>
        <w:jc w:val="left"/>
        <w:rPr>
          <w:rStyle w:val="973"/>
          <w:rFonts w:ascii="宋体" w:hAnsi="宋体" w:eastAsia="宋体"/>
          <w:b w:val="0"/>
          <w:i w:val="0"/>
          <w:caps w:val="0"/>
          <w:color w:val="auto"/>
          <w:spacing w:val="0"/>
          <w:w w:val="100"/>
          <w:kern w:val="2"/>
          <w:sz w:val="24"/>
          <w:szCs w:val="24"/>
          <w:highlight w:val="none"/>
          <w:lang w:val="en-US" w:eastAsia="zh-CN" w:bidi="ar-SA"/>
        </w:rPr>
      </w:pPr>
      <w:r>
        <w:rPr>
          <w:rStyle w:val="972"/>
          <w:rFonts w:ascii="宋体" w:hAnsi="宋体"/>
          <w:color w:val="auto"/>
          <w:sz w:val="24"/>
          <w:highlight w:val="none"/>
        </w:rPr>
        <w:t>100万元×1.5%=</w:t>
      </w:r>
      <w:r>
        <w:rPr>
          <w:rStyle w:val="972"/>
          <w:rFonts w:hint="eastAsia" w:ascii="宋体" w:hAnsi="宋体"/>
          <w:color w:val="auto"/>
          <w:sz w:val="24"/>
          <w:highlight w:val="none"/>
        </w:rPr>
        <w:t xml:space="preserve"> </w:t>
      </w:r>
      <w:r>
        <w:rPr>
          <w:rStyle w:val="972"/>
          <w:rFonts w:hint="eastAsia" w:ascii="宋体" w:hAnsi="宋体"/>
          <w:color w:val="auto"/>
          <w:sz w:val="24"/>
          <w:highlight w:val="none"/>
          <w:lang w:val="en-US"/>
        </w:rPr>
        <w:t>15000</w:t>
      </w:r>
      <w:r>
        <w:rPr>
          <w:rStyle w:val="972"/>
          <w:rFonts w:ascii="宋体" w:hAnsi="宋体"/>
          <w:color w:val="auto"/>
          <w:sz w:val="24"/>
          <w:highlight w:val="none"/>
        </w:rPr>
        <w:t>元</w:t>
      </w:r>
    </w:p>
    <w:p>
      <w:pPr>
        <w:keepNext w:val="0"/>
        <w:keepLines w:val="0"/>
        <w:pageBreakBefore w:val="0"/>
        <w:kinsoku/>
        <w:topLinePunct w:val="0"/>
        <w:bidi w:val="0"/>
        <w:adjustRightInd w:val="0"/>
        <w:snapToGrid w:val="0"/>
        <w:spacing w:line="360" w:lineRule="auto"/>
        <w:ind w:firstLine="600" w:firstLineChars="250"/>
        <w:jc w:val="left"/>
        <w:rPr>
          <w:rFonts w:hint="eastAsia" w:ascii="宋体" w:hAnsi="宋体"/>
          <w:bCs/>
          <w:color w:val="auto"/>
          <w:sz w:val="24"/>
          <w:highlight w:val="none"/>
          <w:lang w:val="zh-CN"/>
        </w:rPr>
      </w:pPr>
      <w:r>
        <w:rPr>
          <w:rFonts w:hint="eastAsia" w:ascii="宋体" w:hAnsi="宋体"/>
          <w:color w:val="auto"/>
          <w:sz w:val="24"/>
          <w:highlight w:val="none"/>
        </w:rPr>
        <w:t>3、本项目以</w:t>
      </w:r>
      <w:r>
        <w:rPr>
          <w:rFonts w:hint="eastAsia" w:ascii="宋体" w:hAnsi="宋体"/>
          <w:color w:val="auto"/>
          <w:sz w:val="24"/>
          <w:highlight w:val="none"/>
          <w:lang w:eastAsia="zh-CN"/>
        </w:rPr>
        <w:t>货物</w:t>
      </w:r>
      <w:r>
        <w:rPr>
          <w:rFonts w:hint="eastAsia" w:ascii="宋体" w:hAnsi="宋体"/>
          <w:color w:val="auto"/>
          <w:sz w:val="24"/>
          <w:highlight w:val="none"/>
        </w:rPr>
        <w:t>招标收费标准的</w:t>
      </w:r>
      <w:r>
        <w:rPr>
          <w:rFonts w:hint="eastAsia" w:ascii="宋体" w:hAnsi="宋体"/>
          <w:color w:val="auto"/>
          <w:sz w:val="24"/>
          <w:highlight w:val="none"/>
          <w:lang w:val="en-US" w:eastAsia="zh-CN"/>
        </w:rPr>
        <w:t>75</w:t>
      </w:r>
      <w:r>
        <w:rPr>
          <w:rFonts w:hint="eastAsia" w:ascii="宋体" w:hAnsi="宋体"/>
          <w:color w:val="auto"/>
          <w:sz w:val="24"/>
          <w:highlight w:val="none"/>
        </w:rPr>
        <w:t>%收取中标服务费</w:t>
      </w:r>
      <w:r>
        <w:rPr>
          <w:rFonts w:hint="eastAsia" w:ascii="宋体" w:hAnsi="宋体"/>
          <w:bCs/>
          <w:color w:val="auto"/>
          <w:sz w:val="24"/>
          <w:highlight w:val="none"/>
          <w:lang w:val="zh-CN"/>
        </w:rPr>
        <w:t>。</w:t>
      </w:r>
    </w:p>
    <w:p>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 xml:space="preserve">计收费 = </w:t>
      </w:r>
      <w:r>
        <w:rPr>
          <w:rStyle w:val="972"/>
          <w:rFonts w:hint="eastAsia" w:ascii="宋体" w:hAnsi="宋体"/>
          <w:color w:val="auto"/>
          <w:sz w:val="24"/>
          <w:highlight w:val="none"/>
          <w:lang w:val="en-US"/>
        </w:rPr>
        <w:t>15000</w:t>
      </w:r>
      <w:r>
        <w:rPr>
          <w:rFonts w:hint="eastAsia" w:ascii="宋体" w:hAnsi="宋体"/>
          <w:color w:val="auto"/>
          <w:sz w:val="24"/>
          <w:highlight w:val="none"/>
        </w:rPr>
        <w:t>元×</w:t>
      </w:r>
      <w:r>
        <w:rPr>
          <w:rFonts w:hint="eastAsia" w:ascii="宋体" w:hAnsi="宋体"/>
          <w:color w:val="auto"/>
          <w:sz w:val="24"/>
          <w:highlight w:val="none"/>
          <w:lang w:val="en-US" w:eastAsia="zh-CN"/>
        </w:rPr>
        <w:t>75</w:t>
      </w:r>
      <w:r>
        <w:rPr>
          <w:rFonts w:hint="eastAsia" w:ascii="宋体" w:hAnsi="宋体"/>
          <w:color w:val="auto"/>
          <w:sz w:val="24"/>
          <w:highlight w:val="none"/>
        </w:rPr>
        <w:t>%= 11250元</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6、服务费以银行划账方式按下列要求提交：</w:t>
      </w:r>
    </w:p>
    <w:p>
      <w:pPr>
        <w:widowControl/>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嘉兴市银建工程咨询评估有限公司嘉善魏塘分公司</w:t>
      </w:r>
    </w:p>
    <w:p>
      <w:pPr>
        <w:widowControl/>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pPr>
        <w:tabs>
          <w:tab w:val="left" w:pos="0"/>
        </w:tabs>
        <w:spacing w:line="360" w:lineRule="auto"/>
        <w:ind w:firstLine="1024" w:firstLineChars="427"/>
        <w:rPr>
          <w:rFonts w:hint="eastAsia" w:ascii="宋体" w:hAnsi="宋体" w:eastAsia="宋体"/>
          <w:color w:val="auto"/>
          <w:sz w:val="24"/>
          <w:highlight w:val="none"/>
          <w:lang w:val="en-US" w:eastAsia="zh-CN"/>
        </w:rPr>
      </w:pPr>
      <w:r>
        <w:rPr>
          <w:rFonts w:hint="eastAsia" w:ascii="宋体" w:hAnsi="宋体"/>
          <w:color w:val="auto"/>
          <w:sz w:val="24"/>
          <w:highlight w:val="none"/>
        </w:rPr>
        <w:t>账号：90510120190007461</w:t>
      </w:r>
      <w:r>
        <w:rPr>
          <w:rFonts w:hint="eastAsia" w:ascii="宋体" w:hAnsi="宋体"/>
          <w:color w:val="auto"/>
          <w:sz w:val="24"/>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pPr>
        <w:tabs>
          <w:tab w:val="left" w:pos="0"/>
        </w:tabs>
        <w:spacing w:line="360" w:lineRule="auto"/>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rPr>
        <w:t>8、服务费不在投标报价中单列，由各投标人自行考虑在投标报价中</w:t>
      </w:r>
    </w:p>
    <w:p>
      <w:pPr>
        <w:pStyle w:val="16"/>
        <w:rPr>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5"/>
    <w:bookmarkEnd w:id="16"/>
    <w:p>
      <w:pPr>
        <w:snapToGrid w:val="0"/>
        <w:spacing w:line="360" w:lineRule="auto"/>
        <w:jc w:val="center"/>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pPr>
        <w:spacing w:line="480" w:lineRule="exact"/>
        <w:ind w:firstLine="420"/>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2023年白蚁监测装置采购项目</w:t>
      </w:r>
      <w:r>
        <w:rPr>
          <w:rFonts w:hint="eastAsia" w:ascii="宋体" w:hAnsi="宋体" w:cs="宋体"/>
          <w:color w:val="auto"/>
          <w:sz w:val="24"/>
          <w:highlight w:val="none"/>
        </w:rPr>
        <w:t>的评标。</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w:t>
      </w:r>
      <w:r>
        <w:rPr>
          <w:rFonts w:hint="eastAsia" w:ascii="宋体" w:hAnsi="宋体"/>
          <w:color w:val="auto"/>
          <w:sz w:val="24"/>
          <w:highlight w:val="none"/>
        </w:rPr>
        <w:t>其中价格分</w:t>
      </w:r>
      <w:r>
        <w:rPr>
          <w:rFonts w:hint="eastAsia" w:ascii="宋体" w:hAnsi="宋体"/>
          <w:color w:val="auto"/>
          <w:sz w:val="24"/>
          <w:highlight w:val="none"/>
          <w:lang w:val="en-US" w:eastAsia="zh-CN"/>
        </w:rPr>
        <w:t>4</w:t>
      </w:r>
      <w:r>
        <w:rPr>
          <w:rFonts w:hint="eastAsia" w:ascii="宋体" w:hAnsi="宋体"/>
          <w:color w:val="auto"/>
          <w:sz w:val="24"/>
          <w:highlight w:val="none"/>
        </w:rPr>
        <w:t>0分、商务技术</w:t>
      </w:r>
      <w:r>
        <w:rPr>
          <w:rFonts w:hint="eastAsia" w:ascii="宋体" w:hAnsi="宋体"/>
          <w:color w:val="auto"/>
          <w:sz w:val="24"/>
          <w:highlight w:val="none"/>
          <w:lang w:val="en-US" w:eastAsia="zh-CN"/>
        </w:rPr>
        <w:t>6</w:t>
      </w:r>
      <w:r>
        <w:rPr>
          <w:rFonts w:hint="eastAsia" w:ascii="宋体" w:hAnsi="宋体"/>
          <w:color w:val="auto"/>
          <w:sz w:val="24"/>
          <w:highlight w:val="none"/>
        </w:rPr>
        <w:t>0分（其中：商务资信分</w:t>
      </w:r>
      <w:r>
        <w:rPr>
          <w:rFonts w:hint="eastAsia" w:ascii="宋体" w:hAnsi="宋体"/>
          <w:color w:val="auto"/>
          <w:sz w:val="24"/>
          <w:highlight w:val="none"/>
          <w:lang w:val="en-US" w:eastAsia="zh-CN"/>
        </w:rPr>
        <w:t>10</w:t>
      </w:r>
      <w:r>
        <w:rPr>
          <w:rFonts w:hint="eastAsia" w:ascii="宋体" w:hAnsi="宋体"/>
          <w:color w:val="auto"/>
          <w:sz w:val="24"/>
          <w:highlight w:val="none"/>
        </w:rPr>
        <w:t>分，技术分</w:t>
      </w:r>
      <w:r>
        <w:rPr>
          <w:rFonts w:hint="eastAsia" w:ascii="宋体" w:hAnsi="宋体"/>
          <w:color w:val="auto"/>
          <w:sz w:val="24"/>
          <w:highlight w:val="none"/>
          <w:lang w:val="en-US" w:eastAsia="zh-CN"/>
        </w:rPr>
        <w:t>50</w:t>
      </w:r>
      <w:r>
        <w:rPr>
          <w:rFonts w:hint="eastAsia" w:ascii="宋体" w:hAnsi="宋体"/>
          <w:color w:val="auto"/>
          <w:sz w:val="24"/>
          <w:highlight w:val="none"/>
        </w:rPr>
        <w:t>分）</w:t>
      </w:r>
      <w:r>
        <w:rPr>
          <w:rFonts w:hint="eastAsia" w:ascii="宋体" w:hAnsi="宋体"/>
          <w:color w:val="auto"/>
          <w:sz w:val="24"/>
          <w:highlight w:val="none"/>
        </w:rPr>
        <w:t>。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pPr>
        <w:pStyle w:val="26"/>
        <w:ind w:firstLine="482"/>
        <w:rPr>
          <w:b/>
          <w:bCs/>
          <w:color w:val="auto"/>
          <w:highlight w:val="none"/>
        </w:rPr>
      </w:pPr>
      <w:r>
        <w:rPr>
          <w:b/>
          <w:color w:val="auto"/>
          <w:highlight w:val="none"/>
        </w:rPr>
        <w:t>（一）</w:t>
      </w:r>
      <w:r>
        <w:rPr>
          <w:b/>
          <w:bCs/>
          <w:color w:val="auto"/>
          <w:highlight w:val="none"/>
        </w:rPr>
        <w:t>价格分（</w:t>
      </w:r>
      <w:r>
        <w:rPr>
          <w:rFonts w:hint="eastAsia"/>
          <w:b/>
          <w:bCs/>
          <w:color w:val="auto"/>
          <w:highlight w:val="none"/>
          <w:lang w:val="en-US" w:eastAsia="zh-CN"/>
        </w:rPr>
        <w:t>4</w:t>
      </w:r>
      <w:r>
        <w:rPr>
          <w:rFonts w:hint="eastAsia"/>
          <w:b/>
          <w:bCs/>
          <w:color w:val="auto"/>
          <w:highlight w:val="none"/>
        </w:rPr>
        <w:t>0分）</w:t>
      </w:r>
    </w:p>
    <w:p>
      <w:pPr>
        <w:pStyle w:val="26"/>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0%×100</w:t>
      </w:r>
    </w:p>
    <w:p>
      <w:pPr>
        <w:spacing w:line="480" w:lineRule="exact"/>
        <w:ind w:firstLine="480" w:firstLineChars="200"/>
        <w:rPr>
          <w:rFonts w:hAnsi="宋体"/>
          <w:bCs/>
          <w:color w:val="auto"/>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before="120" w:beforeLines="50" w:after="120" w:afterLines="50" w:line="360" w:lineRule="auto"/>
        <w:ind w:firstLine="482"/>
        <w:rPr>
          <w:rFonts w:cs="宋体"/>
          <w:b/>
          <w:color w:val="auto"/>
          <w:highlight w:val="none"/>
        </w:rPr>
      </w:pPr>
      <w:r>
        <w:rPr>
          <w:rFonts w:hint="eastAsia" w:cs="宋体"/>
          <w:b/>
          <w:color w:val="auto"/>
          <w:highlight w:val="none"/>
        </w:rPr>
        <w:t>（二）商务资信分（</w:t>
      </w:r>
      <w:r>
        <w:rPr>
          <w:rFonts w:hint="eastAsia" w:cs="宋体"/>
          <w:b/>
          <w:color w:val="auto"/>
          <w:highlight w:val="none"/>
          <w:lang w:val="en-US" w:eastAsia="zh-CN"/>
        </w:rPr>
        <w:t>10</w:t>
      </w:r>
      <w:r>
        <w:rPr>
          <w:rFonts w:hint="eastAsia" w:cs="宋体"/>
          <w:b/>
          <w:color w:val="auto"/>
          <w:highlight w:val="none"/>
        </w:rPr>
        <w:t>分）</w:t>
      </w:r>
    </w:p>
    <w:tbl>
      <w:tblPr>
        <w:tblStyle w:val="65"/>
        <w:tblW w:w="8487" w:type="dxa"/>
        <w:jc w:val="center"/>
        <w:tblLayout w:type="fixed"/>
        <w:tblCellMar>
          <w:top w:w="0" w:type="dxa"/>
          <w:left w:w="108" w:type="dxa"/>
          <w:bottom w:w="0" w:type="dxa"/>
          <w:right w:w="108" w:type="dxa"/>
        </w:tblCellMar>
      </w:tblPr>
      <w:tblGrid>
        <w:gridCol w:w="516"/>
        <w:gridCol w:w="982"/>
        <w:gridCol w:w="6151"/>
        <w:gridCol w:w="838"/>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ind w:firstLine="0" w:firstLineChars="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商资信分10分</w:t>
            </w:r>
          </w:p>
          <w:p>
            <w:pPr>
              <w:pStyle w:val="83"/>
              <w:tabs>
                <w:tab w:val="left" w:pos="0"/>
                <w:tab w:val="clear" w:pos="8268"/>
              </w:tabs>
              <w:spacing w:line="302" w:lineRule="auto"/>
              <w:ind w:firstLine="420"/>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p>
          <w:p>
            <w:pPr>
              <w:pStyle w:val="83"/>
              <w:tabs>
                <w:tab w:val="left" w:pos="0"/>
                <w:tab w:val="clear" w:pos="8268"/>
              </w:tabs>
              <w:spacing w:line="302"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供应商实力</w:t>
            </w:r>
          </w:p>
        </w:tc>
        <w:tc>
          <w:tcPr>
            <w:tcW w:w="6151"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投标人所投产品取得中华人民共和国国家知识产权局颁发的有效专利的，每个得1分。最高得2分。证书专利权人须为投标人（提供专利证明材料复印件，否则不得分。）</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2分</w:t>
            </w:r>
          </w:p>
        </w:tc>
      </w:tr>
      <w:tr>
        <w:tblPrEx>
          <w:tblCellMar>
            <w:top w:w="0" w:type="dxa"/>
            <w:left w:w="108" w:type="dxa"/>
            <w:bottom w:w="0" w:type="dxa"/>
            <w:right w:w="108" w:type="dxa"/>
          </w:tblCellMar>
        </w:tblPrEx>
        <w:trPr>
          <w:trHeight w:val="1217" w:hRule="exact"/>
          <w:jc w:val="center"/>
        </w:trPr>
        <w:tc>
          <w:tcPr>
            <w:tcW w:w="516" w:type="dxa"/>
            <w:vMerge w:val="continue"/>
            <w:tcBorders>
              <w:left w:val="single" w:color="auto" w:sz="4" w:space="0"/>
              <w:right w:val="single" w:color="auto" w:sz="4" w:space="0"/>
            </w:tcBorders>
            <w:vAlign w:val="center"/>
          </w:tcPr>
          <w:p>
            <w:pPr>
              <w:pStyle w:val="83"/>
              <w:tabs>
                <w:tab w:val="left" w:pos="0"/>
                <w:tab w:val="clear" w:pos="8268"/>
              </w:tabs>
              <w:spacing w:line="302"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业绩要求</w:t>
            </w:r>
          </w:p>
        </w:tc>
        <w:tc>
          <w:tcPr>
            <w:tcW w:w="6151"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投标人近三年（自投标截止日起往前追溯3年，以合同签订时间为准）以来具有所独立承担同类项目业绩的，每提供一份得1分，最高得3分；（合同、中标通知书同时提供，缺一不可，否则不得分）</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3分</w:t>
            </w:r>
          </w:p>
        </w:tc>
      </w:tr>
      <w:tr>
        <w:tblPrEx>
          <w:tblCellMar>
            <w:top w:w="0" w:type="dxa"/>
            <w:left w:w="108" w:type="dxa"/>
            <w:bottom w:w="0" w:type="dxa"/>
            <w:right w:w="108" w:type="dxa"/>
          </w:tblCellMar>
        </w:tblPrEx>
        <w:trPr>
          <w:trHeight w:val="1267"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tabs>
                <w:tab w:val="left" w:pos="0"/>
                <w:tab w:val="clear" w:pos="8268"/>
              </w:tabs>
              <w:spacing w:line="302"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合理化建议</w:t>
            </w:r>
          </w:p>
        </w:tc>
        <w:tc>
          <w:tcPr>
            <w:tcW w:w="61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根据投标人对本项目实际情况的了解及结合对本项目的理解，针对本项目提供合理化建议和措施，得到专家认可且有实际意义的，每项1分，最多2分（应与本项目相关）</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2分</w:t>
            </w:r>
          </w:p>
        </w:tc>
      </w:tr>
      <w:tr>
        <w:tblPrEx>
          <w:tblCellMar>
            <w:top w:w="0" w:type="dxa"/>
            <w:left w:w="108" w:type="dxa"/>
            <w:bottom w:w="0" w:type="dxa"/>
            <w:right w:w="108" w:type="dxa"/>
          </w:tblCellMar>
        </w:tblPrEx>
        <w:trPr>
          <w:trHeight w:val="1466"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rPr>
                <w:rFonts w:hint="eastAsia" w:asciiTheme="minorEastAsia" w:hAnsiTheme="minorEastAsia" w:eastAsiaTheme="minorEastAsia" w:cstheme="minorEastAsia"/>
                <w:b w:val="0"/>
                <w:bCs w:val="0"/>
                <w:color w:val="auto"/>
                <w:kern w:val="2"/>
                <w:sz w:val="24"/>
                <w:szCs w:val="24"/>
                <w:highlight w:val="none"/>
                <w:lang w:val="en-US" w:eastAsia="zh-CN" w:bidi="ar-SA"/>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优惠条件</w:t>
            </w:r>
          </w:p>
        </w:tc>
        <w:tc>
          <w:tcPr>
            <w:tcW w:w="61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投标人承诺质保期在满足招标文件质保期基础上,每延长质保期1年的得1分，最高得3分。（投标人须在投标文件中做出相应承诺，无承诺不得分），延长时间不足一年的不加分 </w:t>
            </w:r>
          </w:p>
        </w:tc>
        <w:tc>
          <w:tcPr>
            <w:tcW w:w="8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3分</w:t>
            </w:r>
          </w:p>
        </w:tc>
      </w:tr>
    </w:tbl>
    <w:p>
      <w:pPr>
        <w:snapToGrid w:val="0"/>
        <w:spacing w:before="72" w:beforeLines="30" w:line="400" w:lineRule="exact"/>
        <w:jc w:val="left"/>
        <w:outlineLvl w:val="1"/>
        <w:rPr>
          <w:rFonts w:ascii="宋体" w:hAnsi="宋体"/>
          <w:b/>
          <w:color w:val="auto"/>
          <w:sz w:val="24"/>
          <w:highlight w:val="none"/>
        </w:rPr>
      </w:pP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50</w:t>
      </w:r>
      <w:r>
        <w:rPr>
          <w:rFonts w:hint="eastAsia" w:ascii="宋体" w:hAnsi="宋体" w:cs="宋体"/>
          <w:b/>
          <w:color w:val="auto"/>
          <w:sz w:val="24"/>
          <w:highlight w:val="none"/>
        </w:rPr>
        <w:t>分）</w:t>
      </w:r>
    </w:p>
    <w:tbl>
      <w:tblPr>
        <w:tblStyle w:val="65"/>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17" w:type="dxa"/>
            <w:vMerge w:val="restart"/>
            <w:tcBorders>
              <w:tl2br w:val="nil"/>
              <w:tr2bl w:val="nil"/>
            </w:tcBorders>
            <w:vAlign w:val="center"/>
          </w:tcPr>
          <w:p>
            <w:pPr>
              <w:pStyle w:val="83"/>
              <w:widowControl/>
              <w:tabs>
                <w:tab w:val="left" w:pos="0"/>
                <w:tab w:val="clear" w:pos="8268"/>
              </w:tabs>
              <w:spacing w:line="400" w:lineRule="atLeast"/>
              <w:ind w:firstLine="0" w:firstLineChars="0"/>
              <w:rPr>
                <w:rStyle w:val="972"/>
                <w:rFonts w:hint="eastAsia" w:asciiTheme="minorEastAsia" w:hAnsiTheme="minorEastAsia" w:eastAsiaTheme="minorEastAsia" w:cstheme="minorEastAsia"/>
                <w:b w:val="0"/>
                <w:bCs w:val="0"/>
                <w:color w:val="auto"/>
                <w:sz w:val="24"/>
                <w:szCs w:val="24"/>
                <w:highlight w:val="none"/>
              </w:rPr>
            </w:pPr>
            <w:r>
              <w:rPr>
                <w:rStyle w:val="972"/>
                <w:rFonts w:hint="eastAsia" w:asciiTheme="minorEastAsia" w:hAnsiTheme="minorEastAsia" w:eastAsiaTheme="minorEastAsia" w:cstheme="minorEastAsia"/>
                <w:b w:val="0"/>
                <w:bCs w:val="0"/>
                <w:color w:val="auto"/>
                <w:sz w:val="24"/>
                <w:szCs w:val="24"/>
                <w:highlight w:val="none"/>
              </w:rPr>
              <w:t>技术分</w:t>
            </w:r>
            <w:r>
              <w:rPr>
                <w:rStyle w:val="972"/>
                <w:rFonts w:hint="eastAsia" w:asciiTheme="minorEastAsia" w:hAnsiTheme="minorEastAsia" w:eastAsiaTheme="minorEastAsia" w:cstheme="minorEastAsia"/>
                <w:b w:val="0"/>
                <w:bCs w:val="0"/>
                <w:color w:val="auto"/>
                <w:sz w:val="24"/>
                <w:szCs w:val="24"/>
                <w:highlight w:val="none"/>
                <w:lang w:val="en-US"/>
              </w:rPr>
              <w:t>50</w:t>
            </w:r>
            <w:r>
              <w:rPr>
                <w:rStyle w:val="972"/>
                <w:rFonts w:hint="eastAsia" w:asciiTheme="minorEastAsia" w:hAnsiTheme="minorEastAsia" w:eastAsiaTheme="minorEastAsia" w:cstheme="minorEastAsia"/>
                <w:b w:val="0"/>
                <w:bCs w:val="0"/>
                <w:color w:val="auto"/>
                <w:sz w:val="24"/>
                <w:szCs w:val="24"/>
                <w:highlight w:val="none"/>
              </w:rPr>
              <w:t>分</w:t>
            </w:r>
          </w:p>
          <w:p>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b w:val="0"/>
                <w:bCs w:val="0"/>
                <w:color w:val="auto"/>
                <w:sz w:val="24"/>
                <w:szCs w:val="24"/>
                <w:highlight w:val="none"/>
              </w:rPr>
            </w:pPr>
          </w:p>
        </w:tc>
        <w:tc>
          <w:tcPr>
            <w:tcW w:w="1035" w:type="dxa"/>
            <w:tcBorders>
              <w:tl2br w:val="nil"/>
              <w:tr2bl w:val="nil"/>
            </w:tcBorders>
            <w:vAlign w:val="center"/>
          </w:tcPr>
          <w:p>
            <w:pPr>
              <w:widowControl/>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技术指标偏离情况</w:t>
            </w:r>
          </w:p>
        </w:tc>
        <w:tc>
          <w:tcPr>
            <w:tcW w:w="6069" w:type="dxa"/>
            <w:tcBorders>
              <w:tl2br w:val="nil"/>
              <w:tr2bl w:val="nil"/>
            </w:tcBorders>
            <w:vAlign w:val="center"/>
          </w:tcPr>
          <w:p>
            <w:pPr>
              <w:widowControl/>
              <w:jc w:val="left"/>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完全满足招标文件需求得</w:t>
            </w:r>
            <w:r>
              <w:rPr>
                <w:rFonts w:hint="eastAsia" w:asciiTheme="minorEastAsia" w:hAnsiTheme="minorEastAsia" w:eastAsiaTheme="minorEastAsia" w:cstheme="minorEastAsia"/>
                <w:b w:val="0"/>
                <w:bCs w:val="0"/>
                <w:color w:val="auto"/>
                <w:sz w:val="24"/>
                <w:szCs w:val="24"/>
                <w:highlight w:val="none"/>
                <w:lang w:val="en-US" w:eastAsia="zh-CN"/>
              </w:rPr>
              <w:t>13</w:t>
            </w:r>
            <w:r>
              <w:rPr>
                <w:rFonts w:hint="eastAsia" w:asciiTheme="minorEastAsia" w:hAnsiTheme="minorEastAsia" w:eastAsiaTheme="minorEastAsia" w:cstheme="minorEastAsia"/>
                <w:b w:val="0"/>
                <w:bCs w:val="0"/>
                <w:color w:val="auto"/>
                <w:sz w:val="24"/>
                <w:szCs w:val="24"/>
                <w:highlight w:val="none"/>
              </w:rPr>
              <w:t>分</w:t>
            </w:r>
            <w:r>
              <w:rPr>
                <w:rFonts w:hint="eastAsia" w:asciiTheme="minorEastAsia" w:hAnsiTheme="minorEastAsia" w:eastAsiaTheme="minorEastAsia" w:cstheme="minorEastAsia"/>
                <w:b w:val="0"/>
                <w:bCs w:val="0"/>
                <w:color w:val="auto"/>
                <w:sz w:val="24"/>
                <w:szCs w:val="24"/>
                <w:highlight w:val="none"/>
              </w:rPr>
              <w:t>；技术指标不满足招标文件要求的（负偏离）每项扣</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分</w:t>
            </w:r>
            <w:r>
              <w:rPr>
                <w:rFonts w:hint="eastAsia" w:asciiTheme="minorEastAsia" w:hAnsiTheme="minorEastAsia" w:eastAsiaTheme="minorEastAsia" w:cstheme="minorEastAsia"/>
                <w:b w:val="0"/>
                <w:bCs w:val="0"/>
                <w:color w:val="auto"/>
                <w:sz w:val="24"/>
                <w:szCs w:val="24"/>
                <w:highlight w:val="none"/>
              </w:rPr>
              <w:t>，扣完为止。</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13</w:t>
            </w:r>
            <w:r>
              <w:rPr>
                <w:rFonts w:hint="eastAsia" w:asciiTheme="minorEastAsia" w:hAnsiTheme="minorEastAsia" w:eastAsiaTheme="minorEastAsia" w:cstheme="minorEastAsia"/>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b w:val="0"/>
                <w:bCs w:val="0"/>
                <w:color w:val="auto"/>
                <w:sz w:val="24"/>
                <w:szCs w:val="24"/>
                <w:highlight w:val="none"/>
              </w:rPr>
            </w:pPr>
          </w:p>
        </w:tc>
        <w:tc>
          <w:tcPr>
            <w:tcW w:w="1035" w:type="dxa"/>
            <w:vMerge w:val="restart"/>
            <w:tcBorders>
              <w:tl2br w:val="nil"/>
              <w:tr2bl w:val="nil"/>
            </w:tcBorders>
            <w:vAlign w:val="center"/>
          </w:tcPr>
          <w:p>
            <w:pPr>
              <w:widowControl/>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产品实力</w:t>
            </w:r>
          </w:p>
        </w:tc>
        <w:tc>
          <w:tcPr>
            <w:tcW w:w="6069" w:type="dxa"/>
            <w:tcBorders>
              <w:tl2br w:val="nil"/>
              <w:tr2bl w:val="nil"/>
            </w:tcBorders>
            <w:vAlign w:val="center"/>
          </w:tcPr>
          <w:p>
            <w:pPr>
              <w:spacing w:line="360" w:lineRule="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rPr>
              <w:t>半智能白蚁监测装置</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2"/>
                <w:kern w:val="0"/>
                <w:sz w:val="24"/>
                <w:szCs w:val="24"/>
              </w:rPr>
              <w:t>半智能白蚁监测装置设计技术、配套系统服务管理软件功能先进，考虑全面，对白蚁监测工作有利，得</w:t>
            </w:r>
            <w:r>
              <w:rPr>
                <w:rFonts w:hint="eastAsia" w:asciiTheme="minorEastAsia" w:hAnsiTheme="minorEastAsia" w:eastAsiaTheme="minorEastAsia" w:cstheme="minorEastAsia"/>
                <w:b w:val="0"/>
                <w:bCs w:val="0"/>
                <w:color w:val="auto"/>
                <w:spacing w:val="-2"/>
                <w:kern w:val="0"/>
                <w:sz w:val="24"/>
                <w:szCs w:val="24"/>
                <w:lang w:val="en-US" w:eastAsia="zh-CN"/>
              </w:rPr>
              <w:t>11-12</w:t>
            </w:r>
            <w:r>
              <w:rPr>
                <w:rFonts w:hint="eastAsia" w:asciiTheme="minorEastAsia" w:hAnsiTheme="minorEastAsia" w:eastAsiaTheme="minorEastAsia" w:cstheme="minorEastAsia"/>
                <w:b w:val="0"/>
                <w:bCs w:val="0"/>
                <w:color w:val="auto"/>
                <w:spacing w:val="-2"/>
                <w:kern w:val="0"/>
                <w:sz w:val="24"/>
                <w:szCs w:val="24"/>
              </w:rPr>
              <w:t>分；半智能白蚁监测装置设计技术、配套系统服务管理软件功能较先进，考虑较全面，或对白蚁监测工作无特殊帮助的，得</w:t>
            </w:r>
            <w:r>
              <w:rPr>
                <w:rFonts w:hint="eastAsia" w:asciiTheme="minorEastAsia" w:hAnsiTheme="minorEastAsia" w:eastAsiaTheme="minorEastAsia" w:cstheme="minorEastAsia"/>
                <w:b w:val="0"/>
                <w:bCs w:val="0"/>
                <w:color w:val="auto"/>
                <w:spacing w:val="-2"/>
                <w:kern w:val="0"/>
                <w:sz w:val="24"/>
                <w:szCs w:val="24"/>
                <w:lang w:val="en-US" w:eastAsia="zh-CN"/>
              </w:rPr>
              <w:t>10-11</w:t>
            </w:r>
            <w:r>
              <w:rPr>
                <w:rFonts w:hint="eastAsia" w:asciiTheme="minorEastAsia" w:hAnsiTheme="minorEastAsia" w:eastAsiaTheme="minorEastAsia" w:cstheme="minorEastAsia"/>
                <w:b w:val="0"/>
                <w:bCs w:val="0"/>
                <w:color w:val="auto"/>
                <w:spacing w:val="-2"/>
                <w:kern w:val="0"/>
                <w:sz w:val="24"/>
                <w:szCs w:val="24"/>
              </w:rPr>
              <w:t>分；半智能白蚁监测装置设计技术、配套系统服务管理软件功能一般，无优势无特色的，得</w:t>
            </w:r>
            <w:r>
              <w:rPr>
                <w:rFonts w:hint="eastAsia" w:asciiTheme="minorEastAsia" w:hAnsiTheme="minorEastAsia" w:eastAsiaTheme="minorEastAsia" w:cstheme="minorEastAsia"/>
                <w:b w:val="0"/>
                <w:bCs w:val="0"/>
                <w:color w:val="auto"/>
                <w:spacing w:val="-2"/>
                <w:kern w:val="0"/>
                <w:sz w:val="24"/>
                <w:szCs w:val="24"/>
                <w:lang w:val="en-US" w:eastAsia="zh-CN"/>
              </w:rPr>
              <w:t>9-10</w:t>
            </w:r>
            <w:r>
              <w:rPr>
                <w:rFonts w:hint="eastAsia" w:asciiTheme="minorEastAsia" w:hAnsiTheme="minorEastAsia" w:eastAsiaTheme="minorEastAsia" w:cstheme="minorEastAsia"/>
                <w:b w:val="0"/>
                <w:bCs w:val="0"/>
                <w:color w:val="auto"/>
                <w:spacing w:val="-2"/>
                <w:kern w:val="0"/>
                <w:sz w:val="24"/>
                <w:szCs w:val="24"/>
              </w:rPr>
              <w:t>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b w:val="0"/>
                <w:bCs w:val="0"/>
                <w:color w:val="auto"/>
                <w:sz w:val="24"/>
                <w:szCs w:val="24"/>
                <w:highlight w:val="none"/>
              </w:rPr>
            </w:pPr>
          </w:p>
        </w:tc>
        <w:tc>
          <w:tcPr>
            <w:tcW w:w="1035" w:type="dxa"/>
            <w:vMerge w:val="continue"/>
            <w:tcBorders>
              <w:tl2br w:val="nil"/>
              <w:tr2bl w:val="nil"/>
            </w:tcBorders>
            <w:vAlign w:val="center"/>
          </w:tcPr>
          <w:p>
            <w:pPr>
              <w:widowControl/>
              <w:jc w:val="center"/>
              <w:rPr>
                <w:rFonts w:hint="eastAsia" w:asciiTheme="minorEastAsia" w:hAnsiTheme="minorEastAsia" w:eastAsiaTheme="minorEastAsia" w:cstheme="minorEastAsia"/>
                <w:b w:val="0"/>
                <w:bCs w:val="0"/>
                <w:color w:val="auto"/>
                <w:sz w:val="24"/>
                <w:szCs w:val="24"/>
                <w:highlight w:val="none"/>
              </w:rPr>
            </w:pPr>
          </w:p>
        </w:tc>
        <w:tc>
          <w:tcPr>
            <w:tcW w:w="6069" w:type="dxa"/>
            <w:tcBorders>
              <w:tl2br w:val="nil"/>
              <w:tr2bl w:val="nil"/>
            </w:tcBorders>
            <w:vAlign w:val="center"/>
          </w:tcPr>
          <w:p>
            <w:pPr>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rPr>
              <w:t>普通白蚁监测装置</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2"/>
                <w:kern w:val="0"/>
                <w:sz w:val="24"/>
                <w:szCs w:val="24"/>
              </w:rPr>
              <w:t>普通白蚁监测装置设计技术先进，考虑全面，对白蚁监测工作有利，得</w:t>
            </w:r>
            <w:r>
              <w:rPr>
                <w:rFonts w:hint="eastAsia" w:asciiTheme="minorEastAsia" w:hAnsiTheme="minorEastAsia" w:eastAsiaTheme="minorEastAsia" w:cstheme="minorEastAsia"/>
                <w:b w:val="0"/>
                <w:bCs w:val="0"/>
                <w:color w:val="auto"/>
                <w:spacing w:val="-2"/>
                <w:kern w:val="0"/>
                <w:sz w:val="24"/>
                <w:szCs w:val="24"/>
                <w:lang w:val="en-US" w:eastAsia="zh-CN"/>
              </w:rPr>
              <w:t>9-10</w:t>
            </w:r>
            <w:r>
              <w:rPr>
                <w:rFonts w:hint="eastAsia" w:asciiTheme="minorEastAsia" w:hAnsiTheme="minorEastAsia" w:eastAsiaTheme="minorEastAsia" w:cstheme="minorEastAsia"/>
                <w:b w:val="0"/>
                <w:bCs w:val="0"/>
                <w:color w:val="auto"/>
                <w:spacing w:val="-2"/>
                <w:kern w:val="0"/>
                <w:sz w:val="24"/>
                <w:szCs w:val="24"/>
              </w:rPr>
              <w:t>分；普通白蚁监测装置设计技术较先进，考虑较全面，或对白蚁监测工作无特殊帮助的，得</w:t>
            </w:r>
            <w:r>
              <w:rPr>
                <w:rFonts w:hint="eastAsia" w:asciiTheme="minorEastAsia" w:hAnsiTheme="minorEastAsia" w:eastAsiaTheme="minorEastAsia" w:cstheme="minorEastAsia"/>
                <w:b w:val="0"/>
                <w:bCs w:val="0"/>
                <w:color w:val="auto"/>
                <w:spacing w:val="-2"/>
                <w:kern w:val="0"/>
                <w:sz w:val="24"/>
                <w:szCs w:val="24"/>
                <w:lang w:val="en-US" w:eastAsia="zh-CN"/>
              </w:rPr>
              <w:t>8-9</w:t>
            </w:r>
            <w:r>
              <w:rPr>
                <w:rFonts w:hint="eastAsia" w:asciiTheme="minorEastAsia" w:hAnsiTheme="minorEastAsia" w:eastAsiaTheme="minorEastAsia" w:cstheme="minorEastAsia"/>
                <w:b w:val="0"/>
                <w:bCs w:val="0"/>
                <w:color w:val="auto"/>
                <w:spacing w:val="-2"/>
                <w:kern w:val="0"/>
                <w:sz w:val="24"/>
                <w:szCs w:val="24"/>
              </w:rPr>
              <w:t>分；普通白蚁监测装置设计一般，无优势无特色的，得</w:t>
            </w:r>
            <w:r>
              <w:rPr>
                <w:rFonts w:hint="eastAsia" w:asciiTheme="minorEastAsia" w:hAnsiTheme="minorEastAsia" w:eastAsiaTheme="minorEastAsia" w:cstheme="minorEastAsia"/>
                <w:b w:val="0"/>
                <w:bCs w:val="0"/>
                <w:color w:val="auto"/>
                <w:spacing w:val="-2"/>
                <w:kern w:val="0"/>
                <w:sz w:val="24"/>
                <w:szCs w:val="24"/>
                <w:lang w:val="en-US" w:eastAsia="zh-CN"/>
              </w:rPr>
              <w:t>7-8</w:t>
            </w:r>
            <w:r>
              <w:rPr>
                <w:rFonts w:hint="eastAsia" w:asciiTheme="minorEastAsia" w:hAnsiTheme="minorEastAsia" w:eastAsiaTheme="minorEastAsia" w:cstheme="minorEastAsia"/>
                <w:b w:val="0"/>
                <w:bCs w:val="0"/>
                <w:color w:val="auto"/>
                <w:spacing w:val="-2"/>
                <w:kern w:val="0"/>
                <w:sz w:val="24"/>
                <w:szCs w:val="24"/>
              </w:rPr>
              <w:t>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b w:val="0"/>
                <w:bCs w:val="0"/>
                <w:color w:val="auto"/>
                <w:sz w:val="24"/>
                <w:szCs w:val="24"/>
                <w:highlight w:val="none"/>
              </w:rPr>
            </w:pPr>
          </w:p>
        </w:tc>
        <w:tc>
          <w:tcPr>
            <w:tcW w:w="1035" w:type="dxa"/>
            <w:vMerge w:val="continue"/>
            <w:tcBorders>
              <w:tl2br w:val="nil"/>
              <w:tr2bl w:val="nil"/>
            </w:tcBorders>
            <w:vAlign w:val="center"/>
          </w:tcPr>
          <w:p>
            <w:pPr>
              <w:widowControl/>
              <w:jc w:val="center"/>
              <w:rPr>
                <w:rFonts w:hint="eastAsia" w:asciiTheme="minorEastAsia" w:hAnsiTheme="minorEastAsia" w:eastAsiaTheme="minorEastAsia" w:cstheme="minorEastAsia"/>
                <w:b w:val="0"/>
                <w:bCs w:val="0"/>
                <w:color w:val="auto"/>
                <w:sz w:val="24"/>
                <w:szCs w:val="24"/>
                <w:highlight w:val="none"/>
              </w:rPr>
            </w:pPr>
          </w:p>
        </w:tc>
        <w:tc>
          <w:tcPr>
            <w:tcW w:w="6069" w:type="dxa"/>
            <w:tcBorders>
              <w:tl2br w:val="nil"/>
              <w:tr2bl w:val="nil"/>
            </w:tcBorders>
            <w:vAlign w:val="center"/>
          </w:tcPr>
          <w:p>
            <w:pPr>
              <w:spacing w:line="360" w:lineRule="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rPr>
              <w:t>蚁情采集手持仪</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2"/>
                <w:kern w:val="0"/>
                <w:sz w:val="24"/>
                <w:szCs w:val="24"/>
              </w:rPr>
              <w:t>蚁情采集手持仪设计技术先进，操作简单、携带方便，监测准确率高的，得</w:t>
            </w:r>
            <w:r>
              <w:rPr>
                <w:rFonts w:hint="eastAsia" w:asciiTheme="minorEastAsia" w:hAnsiTheme="minorEastAsia" w:eastAsiaTheme="minorEastAsia" w:cstheme="minorEastAsia"/>
                <w:b w:val="0"/>
                <w:bCs w:val="0"/>
                <w:color w:val="auto"/>
                <w:spacing w:val="-2"/>
                <w:kern w:val="0"/>
                <w:sz w:val="24"/>
                <w:szCs w:val="24"/>
                <w:lang w:val="en-US" w:eastAsia="zh-CN"/>
              </w:rPr>
              <w:t>7-8</w:t>
            </w:r>
            <w:r>
              <w:rPr>
                <w:rFonts w:hint="eastAsia" w:asciiTheme="minorEastAsia" w:hAnsiTheme="minorEastAsia" w:eastAsiaTheme="minorEastAsia" w:cstheme="minorEastAsia"/>
                <w:b w:val="0"/>
                <w:bCs w:val="0"/>
                <w:color w:val="auto"/>
                <w:spacing w:val="-2"/>
                <w:kern w:val="0"/>
                <w:sz w:val="24"/>
                <w:szCs w:val="24"/>
              </w:rPr>
              <w:t>分；蚁情采集手持仪设计技术较先进，操作简单，监测准确率一般的，得</w:t>
            </w:r>
            <w:r>
              <w:rPr>
                <w:rFonts w:hint="eastAsia" w:asciiTheme="minorEastAsia" w:hAnsiTheme="minorEastAsia" w:eastAsiaTheme="minorEastAsia" w:cstheme="minorEastAsia"/>
                <w:b w:val="0"/>
                <w:bCs w:val="0"/>
                <w:color w:val="auto"/>
                <w:spacing w:val="-2"/>
                <w:kern w:val="0"/>
                <w:sz w:val="24"/>
                <w:szCs w:val="24"/>
                <w:lang w:val="en-US" w:eastAsia="zh-CN"/>
              </w:rPr>
              <w:t>6-7</w:t>
            </w:r>
            <w:r>
              <w:rPr>
                <w:rFonts w:hint="eastAsia" w:asciiTheme="minorEastAsia" w:hAnsiTheme="minorEastAsia" w:eastAsiaTheme="minorEastAsia" w:cstheme="minorEastAsia"/>
                <w:b w:val="0"/>
                <w:bCs w:val="0"/>
                <w:color w:val="auto"/>
                <w:spacing w:val="-2"/>
                <w:kern w:val="0"/>
                <w:sz w:val="24"/>
                <w:szCs w:val="24"/>
              </w:rPr>
              <w:t>分；蚁情采集手持仪设计一般，无优势无特色的，得</w:t>
            </w:r>
            <w:r>
              <w:rPr>
                <w:rFonts w:hint="eastAsia" w:asciiTheme="minorEastAsia" w:hAnsiTheme="minorEastAsia" w:eastAsiaTheme="minorEastAsia" w:cstheme="minorEastAsia"/>
                <w:b w:val="0"/>
                <w:bCs w:val="0"/>
                <w:color w:val="auto"/>
                <w:spacing w:val="-2"/>
                <w:kern w:val="0"/>
                <w:sz w:val="24"/>
                <w:szCs w:val="24"/>
                <w:lang w:val="en-US" w:eastAsia="zh-CN"/>
              </w:rPr>
              <w:t>5-6</w:t>
            </w:r>
            <w:r>
              <w:rPr>
                <w:rFonts w:hint="eastAsia" w:asciiTheme="minorEastAsia" w:hAnsiTheme="minorEastAsia" w:eastAsiaTheme="minorEastAsia" w:cstheme="minorEastAsia"/>
                <w:b w:val="0"/>
                <w:bCs w:val="0"/>
                <w:color w:val="auto"/>
                <w:spacing w:val="-2"/>
                <w:kern w:val="0"/>
                <w:sz w:val="24"/>
                <w:szCs w:val="24"/>
              </w:rPr>
              <w:t>分。</w:t>
            </w:r>
          </w:p>
        </w:tc>
        <w:tc>
          <w:tcPr>
            <w:tcW w:w="924" w:type="dxa"/>
            <w:tcBorders>
              <w:tl2br w:val="nil"/>
              <w:tr2bl w:val="nil"/>
            </w:tcBorders>
            <w:vAlign w:val="center"/>
          </w:tcPr>
          <w:p>
            <w:pPr>
              <w:widowControl/>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hint="eastAsia" w:asciiTheme="minorEastAsia" w:hAnsiTheme="minorEastAsia" w:eastAsiaTheme="minorEastAsia" w:cstheme="minorEastAsia"/>
                <w:b w:val="0"/>
                <w:bCs w:val="0"/>
                <w:color w:val="auto"/>
                <w:sz w:val="24"/>
                <w:szCs w:val="24"/>
                <w:highlight w:val="none"/>
              </w:rPr>
            </w:pPr>
          </w:p>
        </w:tc>
        <w:tc>
          <w:tcPr>
            <w:tcW w:w="1035" w:type="dxa"/>
            <w:tcBorders>
              <w:tl2br w:val="nil"/>
              <w:tr2bl w:val="nil"/>
            </w:tcBorders>
            <w:vAlign w:val="center"/>
          </w:tcPr>
          <w:p>
            <w:pPr>
              <w:widowControl/>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售后服务</w:t>
            </w:r>
          </w:p>
        </w:tc>
        <w:tc>
          <w:tcPr>
            <w:tcW w:w="6069" w:type="dxa"/>
            <w:tcBorders>
              <w:tl2br w:val="nil"/>
              <w:tr2bl w:val="nil"/>
            </w:tcBorders>
            <w:vAlign w:val="center"/>
          </w:tcPr>
          <w:p>
            <w:pP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根据供应商提供的投标文件，对其针对本项目制定的</w:t>
            </w:r>
            <w:r>
              <w:rPr>
                <w:rFonts w:hint="eastAsia" w:asciiTheme="minorEastAsia" w:hAnsiTheme="minorEastAsia" w:eastAsiaTheme="minorEastAsia" w:cstheme="minorEastAsia"/>
                <w:b w:val="0"/>
                <w:bCs w:val="0"/>
                <w:color w:val="auto"/>
                <w:sz w:val="24"/>
                <w:szCs w:val="24"/>
                <w:highlight w:val="none"/>
              </w:rPr>
              <w:t>售后服务方案（包括但不限于：服务响应时间、</w:t>
            </w:r>
            <w:r>
              <w:rPr>
                <w:rFonts w:hint="eastAsia" w:asciiTheme="minorEastAsia" w:hAnsiTheme="minorEastAsia" w:eastAsiaTheme="minorEastAsia" w:cstheme="minorEastAsia"/>
                <w:b w:val="0"/>
                <w:bCs w:val="0"/>
                <w:color w:val="auto"/>
                <w:sz w:val="24"/>
                <w:szCs w:val="24"/>
                <w:highlight w:val="none"/>
                <w:lang w:eastAsia="zh-CN"/>
              </w:rPr>
              <w:t>质保期承诺、技术支持、质量问题措施等</w:t>
            </w:r>
            <w:r>
              <w:rPr>
                <w:rFonts w:hint="eastAsia" w:asciiTheme="minorEastAsia" w:hAnsiTheme="minorEastAsia" w:eastAsiaTheme="minorEastAsia" w:cstheme="minorEastAsia"/>
                <w:b w:val="0"/>
                <w:bCs w:val="0"/>
                <w:color w:val="auto"/>
                <w:sz w:val="24"/>
                <w:szCs w:val="24"/>
                <w:highlight w:val="none"/>
              </w:rPr>
              <w:t>情况）</w:t>
            </w:r>
            <w:r>
              <w:rPr>
                <w:rFonts w:hint="eastAsia" w:asciiTheme="minorEastAsia" w:hAnsiTheme="minorEastAsia" w:eastAsiaTheme="minorEastAsia" w:cstheme="minorEastAsia"/>
                <w:b w:val="0"/>
                <w:bCs w:val="0"/>
                <w:color w:val="auto"/>
                <w:sz w:val="24"/>
                <w:szCs w:val="24"/>
                <w:highlight w:val="none"/>
                <w:lang w:val="zh-CN"/>
              </w:rPr>
              <w:t>进行评审，评委根据参与投标的供应商提供的售后服务方案进行比较，方案内容全面，售后服务质量保障程度高的得</w:t>
            </w:r>
            <w:r>
              <w:rPr>
                <w:rFonts w:hint="eastAsia" w:asciiTheme="minorEastAsia" w:hAnsiTheme="minorEastAsia" w:eastAsiaTheme="minorEastAsia" w:cstheme="minorEastAsia"/>
                <w:b w:val="0"/>
                <w:bCs w:val="0"/>
                <w:color w:val="auto"/>
                <w:sz w:val="24"/>
                <w:szCs w:val="24"/>
                <w:highlight w:val="none"/>
                <w:lang w:val="en-US" w:eastAsia="zh-CN"/>
              </w:rPr>
              <w:t>6-7</w:t>
            </w:r>
            <w:r>
              <w:rPr>
                <w:rFonts w:hint="eastAsia" w:asciiTheme="minorEastAsia" w:hAnsiTheme="minorEastAsia" w:eastAsiaTheme="minorEastAsia" w:cstheme="minorEastAsia"/>
                <w:b w:val="0"/>
                <w:bCs w:val="0"/>
                <w:color w:val="auto"/>
                <w:sz w:val="24"/>
                <w:szCs w:val="24"/>
                <w:highlight w:val="none"/>
                <w:lang w:val="en-US" w:eastAsia="zh-CN"/>
              </w:rPr>
              <w:t>分；方案内容较全面，售后服务质量保障程度较高的得</w:t>
            </w:r>
            <w:r>
              <w:rPr>
                <w:rFonts w:hint="eastAsia" w:asciiTheme="minorEastAsia" w:hAnsiTheme="minorEastAsia" w:eastAsiaTheme="minorEastAsia" w:cstheme="minorEastAsia"/>
                <w:b w:val="0"/>
                <w:bCs w:val="0"/>
                <w:color w:val="auto"/>
                <w:sz w:val="24"/>
                <w:szCs w:val="24"/>
                <w:highlight w:val="none"/>
                <w:lang w:val="en-US" w:eastAsia="zh-CN"/>
              </w:rPr>
              <w:t>5-6</w:t>
            </w:r>
            <w:r>
              <w:rPr>
                <w:rFonts w:hint="eastAsia" w:asciiTheme="minorEastAsia" w:hAnsiTheme="minorEastAsia" w:eastAsiaTheme="minorEastAsia" w:cstheme="minorEastAsia"/>
                <w:b w:val="0"/>
                <w:bCs w:val="0"/>
                <w:color w:val="auto"/>
                <w:sz w:val="24"/>
                <w:szCs w:val="24"/>
                <w:highlight w:val="none"/>
                <w:lang w:val="en-US" w:eastAsia="zh-CN"/>
              </w:rPr>
              <w:t>分；方案内容不够全面，售后服务质量保障程度一般的得</w:t>
            </w:r>
            <w:r>
              <w:rPr>
                <w:rFonts w:hint="eastAsia" w:asciiTheme="minorEastAsia" w:hAnsiTheme="minorEastAsia" w:eastAsiaTheme="minorEastAsia" w:cstheme="minorEastAsia"/>
                <w:b w:val="0"/>
                <w:bCs w:val="0"/>
                <w:color w:val="auto"/>
                <w:sz w:val="24"/>
                <w:szCs w:val="24"/>
                <w:highlight w:val="none"/>
                <w:lang w:val="en-US" w:eastAsia="zh-CN"/>
              </w:rPr>
              <w:t>4-5</w:t>
            </w:r>
            <w:r>
              <w:rPr>
                <w:rFonts w:hint="eastAsia" w:asciiTheme="minorEastAsia" w:hAnsiTheme="minorEastAsia" w:eastAsiaTheme="minorEastAsia" w:cstheme="minorEastAsia"/>
                <w:b w:val="0"/>
                <w:bCs w:val="0"/>
                <w:color w:val="auto"/>
                <w:sz w:val="24"/>
                <w:szCs w:val="24"/>
                <w:highlight w:val="none"/>
                <w:lang w:val="en-US" w:eastAsia="zh-CN"/>
              </w:rPr>
              <w:t>分；未提供任何方案的不得分。</w:t>
            </w:r>
          </w:p>
        </w:tc>
        <w:tc>
          <w:tcPr>
            <w:tcW w:w="924" w:type="dxa"/>
            <w:tcBorders>
              <w:tl2br w:val="nil"/>
              <w:tr2bl w:val="nil"/>
            </w:tcBorders>
            <w:vAlign w:val="center"/>
          </w:tcPr>
          <w:p>
            <w:pPr>
              <w:widowControl/>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7分</w:t>
            </w:r>
          </w:p>
        </w:tc>
      </w:tr>
    </w:tbl>
    <w:p>
      <w:pPr>
        <w:pStyle w:val="4"/>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pPr>
        <w:rPr>
          <w:color w:val="auto"/>
          <w:highlight w:val="none"/>
        </w:rPr>
      </w:pPr>
    </w:p>
    <w:p>
      <w:pPr>
        <w:pStyle w:val="4"/>
        <w:spacing w:line="480" w:lineRule="exact"/>
        <w:ind w:left="0" w:firstLine="0"/>
        <w:rPr>
          <w:color w:val="auto"/>
          <w:sz w:val="24"/>
          <w:szCs w:val="24"/>
          <w:highlight w:val="none"/>
        </w:rPr>
      </w:pPr>
    </w:p>
    <w:p>
      <w:pPr>
        <w:spacing w:before="120" w:beforeLines="50" w:line="360" w:lineRule="auto"/>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both"/>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善财采确[2023]1962号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50.00</w:t>
      </w:r>
      <w:r>
        <w:rPr>
          <w:rFonts w:hint="eastAsia" w:ascii="宋体" w:hAnsi="宋体" w:cs="Arial"/>
          <w:color w:val="auto"/>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嘉善县住房保障与房地产管理服务中心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w:t>
      </w:r>
      <w:bookmarkStart w:id="36" w:name="_GoBack"/>
      <w:bookmarkEnd w:id="36"/>
      <w:r>
        <w:rPr>
          <w:rFonts w:hint="eastAsia" w:ascii="宋体" w:hAnsi="宋体" w:cs="宋体"/>
          <w:color w:val="auto"/>
          <w:kern w:val="0"/>
          <w:sz w:val="24"/>
          <w:highlight w:val="none"/>
        </w:rPr>
        <w:t>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JXYJ2023021</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2023年白蚁监测装置采购项目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2023年白蚁监测装置采购项目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rPr>
        <w:sym w:font="Wingdings 2" w:char="0052"/>
      </w:r>
      <w:r>
        <w:rPr>
          <w:rFonts w:hint="eastAsia" w:ascii="宋体" w:hAnsi="宋体" w:cs="宋体"/>
          <w:color w:val="auto"/>
          <w:kern w:val="0"/>
          <w:sz w:val="24"/>
          <w:highlight w:val="none"/>
        </w:rPr>
        <w:t>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w:t>
      </w:r>
      <w:r>
        <w:rPr>
          <w:rFonts w:hint="eastAsia" w:ascii="宋体" w:hAnsi="宋体" w:cs="宋体"/>
          <w:color w:val="auto"/>
          <w:sz w:val="24"/>
          <w:highlight w:val="none"/>
        </w:rPr>
        <w:t>生产、供货、运输、装卸、安装调试、税金、保险、备品备件、配件、附件、培训、验收、辅助工作及售后服务等完成本项目的所有费用）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预算管理资金</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收入退库；</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rPr>
        <w:t>甲方根据年初预算申请生成用款计划，再在支付管理系统中发起支付申请</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合同生效以及具备实施条件后7个工作日内支付合同金额的40%</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设备</w:t>
      </w:r>
      <w:r>
        <w:rPr>
          <w:rFonts w:hint="eastAsia" w:ascii="宋体" w:hAnsi="宋体" w:cs="宋体"/>
          <w:color w:val="auto"/>
          <w:kern w:val="0"/>
          <w:sz w:val="24"/>
          <w:highlight w:val="none"/>
        </w:rPr>
        <w:t>全部安装调试完毕，项目验收合格并经审价后7个工作日内按照审定价格付清尾款。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1、本项目设置履约保证金,</w:t>
      </w:r>
      <w:r>
        <w:rPr>
          <w:rFonts w:hint="eastAsia" w:ascii="宋体" w:hAnsi="宋体" w:cs="宋体"/>
          <w:color w:val="auto"/>
          <w:sz w:val="24"/>
          <w:highlight w:val="none"/>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本合同一式五份，甲乙双方各2份，招标代理机构各持一份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5"/>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4"/>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2023年白蚁监测装置采购项目</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验收小组签字：（3人以上）</w:t>
      </w:r>
    </w:p>
    <w:p>
      <w:pPr>
        <w:pStyle w:val="3"/>
        <w:numPr>
          <w:ilvl w:val="0"/>
          <w:numId w:val="9"/>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napToGrid w:val="0"/>
        <w:spacing w:before="120" w:beforeLines="50" w:after="50"/>
        <w:rPr>
          <w:b/>
          <w:color w:val="auto"/>
          <w:sz w:val="24"/>
          <w:highlight w:val="none"/>
        </w:rPr>
      </w:pPr>
    </w:p>
    <w:p>
      <w:pPr>
        <w:snapToGrid w:val="0"/>
        <w:jc w:val="center"/>
        <w:rPr>
          <w:rFonts w:hint="eastAsia"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pPr>
        <w:pStyle w:val="969"/>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pPr>
        <w:pStyle w:val="969"/>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pPr>
        <w:pStyle w:val="969"/>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9"/>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9"/>
        <w:snapToGrid w:val="0"/>
        <w:ind w:firstLine="494"/>
        <w:rPr>
          <w:rFonts w:ascii="宋体" w:eastAsia="宋体"/>
          <w:bCs/>
          <w:color w:val="auto"/>
          <w:sz w:val="24"/>
          <w:szCs w:val="24"/>
          <w:highlight w:val="none"/>
        </w:rPr>
      </w:pPr>
    </w:p>
    <w:p>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9"/>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9"/>
        <w:snapToGrid w:val="0"/>
        <w:spacing w:line="240" w:lineRule="auto"/>
        <w:ind w:firstLine="0" w:firstLineChars="0"/>
        <w:rPr>
          <w:rFonts w:ascii="宋体" w:eastAsia="宋体"/>
          <w:bCs/>
          <w:color w:val="auto"/>
          <w:sz w:val="24"/>
          <w:szCs w:val="24"/>
          <w:highlight w:val="none"/>
        </w:rPr>
      </w:pP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工业（制造业）</w:t>
      </w:r>
      <w:r>
        <w:rPr>
          <w:rFonts w:hint="eastAsia" w:ascii="宋体" w:eastAsia="宋体"/>
          <w:bCs/>
          <w:color w:val="auto"/>
          <w:sz w:val="24"/>
          <w:szCs w:val="24"/>
          <w:highlight w:val="none"/>
        </w:rPr>
        <w:t>；</w:t>
      </w:r>
    </w:p>
    <w:p>
      <w:pPr>
        <w:pStyle w:val="969"/>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9"/>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969"/>
        <w:snapToGrid w:val="0"/>
        <w:spacing w:line="240" w:lineRule="auto"/>
        <w:ind w:firstLine="0" w:firstLineChars="0"/>
        <w:rPr>
          <w:rFonts w:hint="default" w:ascii="宋体" w:eastAsia="宋体"/>
          <w:b/>
          <w:bCs w:val="0"/>
          <w:color w:val="auto"/>
          <w:sz w:val="24"/>
          <w:szCs w:val="24"/>
          <w:highlight w:val="none"/>
          <w:lang w:val="en-US" w:eastAsia="zh-CN"/>
        </w:rPr>
      </w:pPr>
      <w:r>
        <w:rPr>
          <w:rFonts w:hint="eastAsia" w:ascii="宋体" w:eastAsia="宋体"/>
          <w:b/>
          <w:bCs w:val="0"/>
          <w:color w:val="auto"/>
          <w:sz w:val="24"/>
          <w:szCs w:val="24"/>
          <w:highlight w:val="none"/>
          <w:lang w:val="en-US" w:eastAsia="zh-CN"/>
        </w:rPr>
        <w:t>5.填写要求：“标的名称”依据采购文件第二章招标需求中</w:t>
      </w:r>
      <w:r>
        <w:rPr>
          <w:rFonts w:hint="eastAsia" w:ascii="宋体" w:eastAsia="宋体"/>
          <w:b/>
          <w:bCs w:val="0"/>
          <w:color w:val="auto"/>
          <w:sz w:val="24"/>
          <w:szCs w:val="24"/>
          <w:highlight w:val="none"/>
          <w:lang w:val="en-US" w:eastAsia="zh-CN"/>
        </w:rPr>
        <w:t>采购清单</w:t>
      </w:r>
      <w:r>
        <w:rPr>
          <w:rFonts w:hint="eastAsia" w:ascii="宋体" w:eastAsia="宋体"/>
          <w:b/>
          <w:bCs w:val="0"/>
          <w:color w:val="auto"/>
          <w:sz w:val="24"/>
          <w:szCs w:val="24"/>
          <w:highlight w:val="none"/>
          <w:lang w:val="en-US" w:eastAsia="zh-CN"/>
        </w:rPr>
        <w:t>逐一填写，不得缺漏；</w:t>
      </w:r>
    </w:p>
    <w:p>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6.中型企业、小型企业、微型企业等3种企业类型，结合以上数据，依据《中小企业划型标准规定》（工信部联企业〔2011〕300号）确定</w:t>
      </w:r>
    </w:p>
    <w:p>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7.投标人提供的《中小企业声明函》与实际情况不符的或者未按以上要求填写的，声明函无效。声明内容不实的，属于提供虚假材料谋取中标、成交的，依法承担法律责任。</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70"/>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jc w:val="center"/>
        <w:rPr>
          <w:color w:val="auto"/>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16"/>
        <w:rPr>
          <w:color w:val="auto"/>
          <w:highlight w:val="none"/>
        </w:rPr>
      </w:pPr>
    </w:p>
    <w:p>
      <w:pPr>
        <w:snapToGrid w:val="0"/>
        <w:spacing w:before="120" w:beforeLines="50" w:after="50"/>
        <w:rPr>
          <w:rFonts w:hint="eastAsia"/>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3"/>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rPr>
          <w:rFonts w:ascii="仿宋" w:hAnsi="仿宋" w:eastAsia="仿宋"/>
          <w:bCs/>
          <w:color w:val="auto"/>
          <w:sz w:val="24"/>
          <w:highlight w:val="none"/>
        </w:rPr>
      </w:pPr>
    </w:p>
    <w:p>
      <w:pPr>
        <w:spacing w:line="360" w:lineRule="auto"/>
        <w:jc w:val="center"/>
        <w:rPr>
          <w:rFonts w:ascii="宋体" w:hAnsi="宋体" w:cs="宋体"/>
          <w:b/>
          <w:color w:val="auto"/>
          <w:sz w:val="24"/>
          <w:highlight w:val="none"/>
        </w:rPr>
      </w:pPr>
      <w:bookmarkStart w:id="35"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hint="eastAsia"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6"/>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8"/>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8"/>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color w:val="auto"/>
          <w:sz w:val="24"/>
          <w:highlight w:val="none"/>
        </w:rPr>
      </w:pPr>
    </w:p>
    <w:p>
      <w:pPr>
        <w:pStyle w:val="968"/>
        <w:spacing w:line="360" w:lineRule="auto"/>
        <w:rPr>
          <w:rFonts w:hAnsi="宋体" w:eastAsia="宋体" w:cs="宋体"/>
          <w:b/>
          <w:color w:val="auto"/>
          <w:sz w:val="24"/>
          <w:szCs w:val="24"/>
          <w:highlight w:val="none"/>
        </w:rPr>
      </w:pPr>
    </w:p>
    <w:p>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pPr>
              <w:rPr>
                <w:rFonts w:ascii="宋体" w:hAnsi="宋体" w:cs="宋体"/>
                <w:color w:val="auto"/>
                <w:sz w:val="22"/>
                <w:szCs w:val="28"/>
                <w:highlight w:val="none"/>
              </w:rPr>
            </w:pPr>
          </w:p>
        </w:tc>
        <w:tc>
          <w:tcPr>
            <w:tcW w:w="1980" w:type="dxa"/>
            <w:vAlign w:val="center"/>
          </w:tcPr>
          <w:p>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pPr>
        <w:wordWrap w:val="0"/>
        <w:spacing w:before="120" w:beforeLines="50"/>
        <w:rPr>
          <w:rFonts w:ascii="宋体" w:hAnsi="宋体" w:cs="宋体"/>
          <w:b/>
          <w:bCs/>
          <w:color w:val="auto"/>
          <w:sz w:val="24"/>
          <w:highlight w:val="none"/>
          <w:lang w:bidi="ar"/>
        </w:rPr>
      </w:pPr>
    </w:p>
    <w:p>
      <w:pPr>
        <w:wordWrap w:val="0"/>
        <w:spacing w:line="360" w:lineRule="auto"/>
        <w:ind w:firstLine="480"/>
        <w:jc w:val="right"/>
        <w:rPr>
          <w:rFonts w:ascii="宋体" w:hAnsi="宋体" w:cs="宋体"/>
          <w:color w:val="auto"/>
          <w:sz w:val="24"/>
          <w:highlight w:val="none"/>
          <w:lang w:bidi="ar"/>
        </w:rPr>
      </w:pPr>
    </w:p>
    <w:p>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968"/>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pPr>
        <w:pStyle w:val="968"/>
        <w:spacing w:line="360" w:lineRule="auto"/>
        <w:jc w:val="center"/>
        <w:rPr>
          <w:rFonts w:hAnsi="宋体" w:eastAsia="宋体" w:cs="宋体"/>
          <w:b/>
          <w:color w:val="auto"/>
          <w:sz w:val="24"/>
          <w:szCs w:val="24"/>
          <w:highlight w:val="none"/>
        </w:rPr>
      </w:pPr>
    </w:p>
    <w:p>
      <w:pPr>
        <w:pStyle w:val="968"/>
        <w:spacing w:line="360" w:lineRule="auto"/>
        <w:jc w:val="center"/>
        <w:rPr>
          <w:rFonts w:hAnsi="宋体" w:eastAsia="宋体" w:cs="宋体"/>
          <w:b/>
          <w:color w:val="auto"/>
          <w:sz w:val="24"/>
          <w:szCs w:val="24"/>
          <w:highlight w:val="none"/>
        </w:rPr>
      </w:pPr>
    </w:p>
    <w:p>
      <w:pPr>
        <w:pStyle w:val="968"/>
        <w:spacing w:line="360" w:lineRule="auto"/>
        <w:jc w:val="center"/>
        <w:rPr>
          <w:rFonts w:hAnsi="宋体" w:eastAsia="宋体" w:cs="宋体"/>
          <w:b/>
          <w:color w:val="auto"/>
          <w:sz w:val="24"/>
          <w:szCs w:val="24"/>
          <w:highlight w:val="none"/>
        </w:rPr>
      </w:pPr>
    </w:p>
    <w:p>
      <w:pPr>
        <w:pStyle w:val="968"/>
        <w:spacing w:line="360" w:lineRule="auto"/>
        <w:jc w:val="center"/>
        <w:rPr>
          <w:rFonts w:hAnsi="宋体" w:eastAsia="宋体" w:cs="宋体"/>
          <w:b/>
          <w:color w:val="auto"/>
          <w:sz w:val="24"/>
          <w:szCs w:val="24"/>
          <w:highlight w:val="none"/>
        </w:rPr>
      </w:pPr>
    </w:p>
    <w:p>
      <w:pPr>
        <w:pStyle w:val="968"/>
        <w:spacing w:line="360" w:lineRule="auto"/>
        <w:jc w:val="center"/>
        <w:rPr>
          <w:rFonts w:hAnsi="宋体" w:eastAsia="宋体" w:cs="宋体"/>
          <w:b/>
          <w:color w:val="auto"/>
          <w:sz w:val="24"/>
          <w:szCs w:val="24"/>
          <w:highlight w:val="none"/>
        </w:rPr>
      </w:pPr>
    </w:p>
    <w:p>
      <w:pPr>
        <w:pStyle w:val="968"/>
        <w:spacing w:line="360" w:lineRule="auto"/>
        <w:jc w:val="center"/>
        <w:rPr>
          <w:rFonts w:hAnsi="宋体" w:eastAsia="宋体" w:cs="宋体"/>
          <w:b/>
          <w:color w:val="auto"/>
          <w:sz w:val="24"/>
          <w:szCs w:val="24"/>
          <w:highlight w:val="none"/>
        </w:rPr>
      </w:pPr>
    </w:p>
    <w:p>
      <w:pPr>
        <w:pStyle w:val="968"/>
        <w:spacing w:line="360" w:lineRule="auto"/>
        <w:rPr>
          <w:rFonts w:hAnsi="宋体" w:eastAsia="宋体" w:cs="宋体"/>
          <w:b/>
          <w:color w:val="auto"/>
          <w:sz w:val="24"/>
          <w:szCs w:val="24"/>
          <w:highlight w:val="none"/>
        </w:rPr>
      </w:pPr>
    </w:p>
    <w:p>
      <w:pPr>
        <w:pStyle w:val="968"/>
        <w:spacing w:line="360" w:lineRule="auto"/>
        <w:jc w:val="center"/>
        <w:rPr>
          <w:rFonts w:hint="eastAsia" w:hAnsi="宋体" w:eastAsia="宋体"/>
          <w:b/>
          <w:color w:val="auto"/>
          <w:sz w:val="21"/>
          <w:szCs w:val="21"/>
          <w:highlight w:val="none"/>
        </w:rPr>
      </w:pPr>
    </w:p>
    <w:p>
      <w:pPr>
        <w:pStyle w:val="968"/>
        <w:spacing w:line="360" w:lineRule="auto"/>
        <w:jc w:val="center"/>
        <w:rPr>
          <w:rFonts w:hint="eastAsia" w:hAnsi="宋体" w:eastAsia="宋体"/>
          <w:b/>
          <w:color w:val="auto"/>
          <w:sz w:val="21"/>
          <w:szCs w:val="21"/>
          <w:highlight w:val="none"/>
        </w:rPr>
      </w:pPr>
    </w:p>
    <w:p>
      <w:pPr>
        <w:pStyle w:val="968"/>
        <w:spacing w:line="360" w:lineRule="auto"/>
        <w:jc w:val="center"/>
        <w:rPr>
          <w:rFonts w:hint="eastAsia" w:hAnsi="宋体" w:eastAsia="宋体"/>
          <w:b/>
          <w:color w:val="auto"/>
          <w:sz w:val="21"/>
          <w:szCs w:val="21"/>
          <w:highlight w:val="none"/>
        </w:rPr>
      </w:pPr>
    </w:p>
    <w:p>
      <w:pPr>
        <w:pStyle w:val="968"/>
        <w:spacing w:line="360" w:lineRule="auto"/>
        <w:jc w:val="center"/>
        <w:rPr>
          <w:rFonts w:hint="eastAsia" w:hAnsi="宋体" w:eastAsia="宋体"/>
          <w:b/>
          <w:color w:val="auto"/>
          <w:sz w:val="21"/>
          <w:szCs w:val="21"/>
          <w:highlight w:val="none"/>
        </w:rPr>
      </w:pPr>
      <w:r>
        <w:rPr>
          <w:rFonts w:hint="eastAsia" w:hAnsi="宋体" w:eastAsia="宋体"/>
          <w:b/>
          <w:color w:val="auto"/>
          <w:sz w:val="21"/>
          <w:szCs w:val="21"/>
          <w:highlight w:val="none"/>
        </w:rPr>
        <w:t>同类项目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一览表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330" w:type="dxa"/>
            <w:vAlign w:val="center"/>
          </w:tcPr>
          <w:p>
            <w:pPr>
              <w:jc w:val="center"/>
              <w:rPr>
                <w:rFonts w:ascii="宋体" w:hAnsi="宋体"/>
                <w:b/>
                <w:color w:val="auto"/>
                <w:szCs w:val="21"/>
                <w:highlight w:val="none"/>
              </w:rPr>
            </w:pPr>
            <w:r>
              <w:rPr>
                <w:rFonts w:hint="eastAsia" w:ascii="宋体" w:hAnsi="宋体"/>
                <w:b/>
                <w:color w:val="auto"/>
                <w:szCs w:val="21"/>
                <w:highlight w:val="none"/>
              </w:rPr>
              <w:t>采购人</w:t>
            </w:r>
            <w:r>
              <w:rPr>
                <w:rFonts w:ascii="宋体" w:hAnsi="宋体"/>
                <w:b/>
                <w:color w:val="auto"/>
                <w:szCs w:val="21"/>
                <w:highlight w:val="none"/>
              </w:rPr>
              <w:br w:type="textWrapping"/>
            </w:r>
            <w:r>
              <w:rPr>
                <w:rFonts w:hint="eastAsia" w:ascii="宋体" w:hAnsi="宋体"/>
                <w:b/>
                <w:color w:val="auto"/>
                <w:szCs w:val="21"/>
                <w:highlight w:val="none"/>
              </w:rPr>
              <w:t>名   称</w:t>
            </w:r>
          </w:p>
        </w:tc>
        <w:tc>
          <w:tcPr>
            <w:tcW w:w="1511" w:type="dxa"/>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项目起止时间</w:t>
            </w:r>
          </w:p>
        </w:tc>
        <w:tc>
          <w:tcPr>
            <w:tcW w:w="1259" w:type="dxa"/>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设备或项目名称</w:t>
            </w:r>
          </w:p>
        </w:tc>
        <w:tc>
          <w:tcPr>
            <w:tcW w:w="943" w:type="dxa"/>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w:t>
            </w:r>
            <w:r>
              <w:rPr>
                <w:rFonts w:ascii="宋体" w:hAnsi="宋体"/>
                <w:b/>
                <w:color w:val="auto"/>
                <w:szCs w:val="21"/>
                <w:highlight w:val="none"/>
              </w:rPr>
              <w:br w:type="textWrapping"/>
            </w:r>
            <w:r>
              <w:rPr>
                <w:rFonts w:hint="eastAsia" w:ascii="宋体" w:hAnsi="宋体"/>
                <w:b/>
                <w:color w:val="auto"/>
                <w:szCs w:val="21"/>
                <w:highlight w:val="none"/>
              </w:rPr>
              <w:t>数量</w:t>
            </w:r>
          </w:p>
        </w:tc>
        <w:tc>
          <w:tcPr>
            <w:tcW w:w="818" w:type="dxa"/>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1331" w:type="dxa"/>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合同金额</w:t>
            </w:r>
          </w:p>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（万元）</w:t>
            </w:r>
          </w:p>
        </w:tc>
        <w:tc>
          <w:tcPr>
            <w:tcW w:w="1850" w:type="dxa"/>
            <w:vAlign w:val="center"/>
          </w:tcPr>
          <w:p>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330" w:type="dxa"/>
            <w:vAlign w:val="center"/>
          </w:tcPr>
          <w:p>
            <w:pPr>
              <w:jc w:val="center"/>
              <w:rPr>
                <w:rFonts w:ascii="宋体" w:hAnsi="宋体"/>
                <w:color w:val="auto"/>
                <w:szCs w:val="21"/>
                <w:highlight w:val="none"/>
              </w:rPr>
            </w:pPr>
          </w:p>
        </w:tc>
        <w:tc>
          <w:tcPr>
            <w:tcW w:w="1511" w:type="dxa"/>
          </w:tcPr>
          <w:p>
            <w:pPr>
              <w:jc w:val="center"/>
              <w:rPr>
                <w:rFonts w:ascii="宋体" w:hAnsi="宋体"/>
                <w:color w:val="auto"/>
                <w:szCs w:val="21"/>
                <w:highlight w:val="none"/>
              </w:rPr>
            </w:pPr>
          </w:p>
        </w:tc>
        <w:tc>
          <w:tcPr>
            <w:tcW w:w="1259" w:type="dxa"/>
          </w:tcPr>
          <w:p>
            <w:pPr>
              <w:jc w:val="center"/>
              <w:rPr>
                <w:rFonts w:ascii="宋体" w:hAnsi="宋体"/>
                <w:color w:val="auto"/>
                <w:szCs w:val="21"/>
                <w:highlight w:val="none"/>
              </w:rPr>
            </w:pPr>
          </w:p>
        </w:tc>
        <w:tc>
          <w:tcPr>
            <w:tcW w:w="943" w:type="dxa"/>
          </w:tcPr>
          <w:p>
            <w:pPr>
              <w:jc w:val="center"/>
              <w:rPr>
                <w:rFonts w:ascii="宋体" w:hAnsi="宋体"/>
                <w:color w:val="auto"/>
                <w:szCs w:val="21"/>
                <w:highlight w:val="none"/>
              </w:rPr>
            </w:pPr>
          </w:p>
        </w:tc>
        <w:tc>
          <w:tcPr>
            <w:tcW w:w="818" w:type="dxa"/>
          </w:tcPr>
          <w:p>
            <w:pPr>
              <w:jc w:val="center"/>
              <w:rPr>
                <w:rFonts w:ascii="宋体" w:hAnsi="宋体"/>
                <w:color w:val="auto"/>
                <w:szCs w:val="21"/>
                <w:highlight w:val="none"/>
              </w:rPr>
            </w:pPr>
          </w:p>
        </w:tc>
        <w:tc>
          <w:tcPr>
            <w:tcW w:w="1331" w:type="dxa"/>
            <w:vAlign w:val="center"/>
          </w:tcPr>
          <w:p>
            <w:pPr>
              <w:jc w:val="center"/>
              <w:rPr>
                <w:rFonts w:ascii="宋体" w:hAnsi="宋体"/>
                <w:color w:val="auto"/>
                <w:szCs w:val="21"/>
                <w:highlight w:val="none"/>
              </w:rPr>
            </w:pPr>
          </w:p>
        </w:tc>
        <w:tc>
          <w:tcPr>
            <w:tcW w:w="1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330" w:type="dxa"/>
            <w:vAlign w:val="center"/>
          </w:tcPr>
          <w:p>
            <w:pPr>
              <w:jc w:val="center"/>
              <w:rPr>
                <w:rFonts w:ascii="宋体" w:hAnsi="宋体"/>
                <w:color w:val="auto"/>
                <w:szCs w:val="21"/>
                <w:highlight w:val="none"/>
              </w:rPr>
            </w:pPr>
          </w:p>
        </w:tc>
        <w:tc>
          <w:tcPr>
            <w:tcW w:w="1511" w:type="dxa"/>
          </w:tcPr>
          <w:p>
            <w:pPr>
              <w:jc w:val="center"/>
              <w:rPr>
                <w:rFonts w:ascii="宋体" w:hAnsi="宋体"/>
                <w:color w:val="auto"/>
                <w:szCs w:val="21"/>
                <w:highlight w:val="none"/>
              </w:rPr>
            </w:pPr>
          </w:p>
        </w:tc>
        <w:tc>
          <w:tcPr>
            <w:tcW w:w="1259" w:type="dxa"/>
          </w:tcPr>
          <w:p>
            <w:pPr>
              <w:jc w:val="center"/>
              <w:rPr>
                <w:rFonts w:ascii="宋体" w:hAnsi="宋体"/>
                <w:color w:val="auto"/>
                <w:szCs w:val="21"/>
                <w:highlight w:val="none"/>
              </w:rPr>
            </w:pPr>
          </w:p>
        </w:tc>
        <w:tc>
          <w:tcPr>
            <w:tcW w:w="943" w:type="dxa"/>
          </w:tcPr>
          <w:p>
            <w:pPr>
              <w:jc w:val="center"/>
              <w:rPr>
                <w:rFonts w:ascii="宋体" w:hAnsi="宋体"/>
                <w:color w:val="auto"/>
                <w:szCs w:val="21"/>
                <w:highlight w:val="none"/>
              </w:rPr>
            </w:pPr>
          </w:p>
        </w:tc>
        <w:tc>
          <w:tcPr>
            <w:tcW w:w="818" w:type="dxa"/>
          </w:tcPr>
          <w:p>
            <w:pPr>
              <w:jc w:val="center"/>
              <w:rPr>
                <w:rFonts w:ascii="宋体" w:hAnsi="宋体"/>
                <w:color w:val="auto"/>
                <w:szCs w:val="21"/>
                <w:highlight w:val="none"/>
              </w:rPr>
            </w:pPr>
          </w:p>
        </w:tc>
        <w:tc>
          <w:tcPr>
            <w:tcW w:w="1331" w:type="dxa"/>
            <w:vAlign w:val="center"/>
          </w:tcPr>
          <w:p>
            <w:pPr>
              <w:jc w:val="center"/>
              <w:rPr>
                <w:rFonts w:ascii="宋体" w:hAnsi="宋体"/>
                <w:color w:val="auto"/>
                <w:szCs w:val="21"/>
                <w:highlight w:val="none"/>
              </w:rPr>
            </w:pPr>
          </w:p>
        </w:tc>
        <w:tc>
          <w:tcPr>
            <w:tcW w:w="1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330" w:type="dxa"/>
            <w:vAlign w:val="center"/>
          </w:tcPr>
          <w:p>
            <w:pPr>
              <w:jc w:val="center"/>
              <w:rPr>
                <w:rFonts w:ascii="宋体" w:hAnsi="宋体"/>
                <w:color w:val="auto"/>
                <w:szCs w:val="21"/>
                <w:highlight w:val="none"/>
              </w:rPr>
            </w:pPr>
          </w:p>
        </w:tc>
        <w:tc>
          <w:tcPr>
            <w:tcW w:w="1511" w:type="dxa"/>
          </w:tcPr>
          <w:p>
            <w:pPr>
              <w:jc w:val="center"/>
              <w:rPr>
                <w:rFonts w:ascii="宋体" w:hAnsi="宋体"/>
                <w:color w:val="auto"/>
                <w:szCs w:val="21"/>
                <w:highlight w:val="none"/>
              </w:rPr>
            </w:pPr>
          </w:p>
        </w:tc>
        <w:tc>
          <w:tcPr>
            <w:tcW w:w="1259" w:type="dxa"/>
          </w:tcPr>
          <w:p>
            <w:pPr>
              <w:jc w:val="center"/>
              <w:rPr>
                <w:rFonts w:ascii="宋体" w:hAnsi="宋体"/>
                <w:color w:val="auto"/>
                <w:szCs w:val="21"/>
                <w:highlight w:val="none"/>
              </w:rPr>
            </w:pPr>
          </w:p>
        </w:tc>
        <w:tc>
          <w:tcPr>
            <w:tcW w:w="943" w:type="dxa"/>
          </w:tcPr>
          <w:p>
            <w:pPr>
              <w:jc w:val="center"/>
              <w:rPr>
                <w:rFonts w:ascii="宋体" w:hAnsi="宋体"/>
                <w:color w:val="auto"/>
                <w:szCs w:val="21"/>
                <w:highlight w:val="none"/>
              </w:rPr>
            </w:pPr>
          </w:p>
        </w:tc>
        <w:tc>
          <w:tcPr>
            <w:tcW w:w="818" w:type="dxa"/>
          </w:tcPr>
          <w:p>
            <w:pPr>
              <w:jc w:val="center"/>
              <w:rPr>
                <w:rFonts w:ascii="宋体" w:hAnsi="宋体"/>
                <w:color w:val="auto"/>
                <w:szCs w:val="21"/>
                <w:highlight w:val="none"/>
              </w:rPr>
            </w:pPr>
          </w:p>
        </w:tc>
        <w:tc>
          <w:tcPr>
            <w:tcW w:w="1331" w:type="dxa"/>
            <w:vAlign w:val="center"/>
          </w:tcPr>
          <w:p>
            <w:pPr>
              <w:jc w:val="center"/>
              <w:rPr>
                <w:rFonts w:ascii="宋体" w:hAnsi="宋体"/>
                <w:color w:val="auto"/>
                <w:szCs w:val="21"/>
                <w:highlight w:val="none"/>
              </w:rPr>
            </w:pPr>
          </w:p>
        </w:tc>
        <w:tc>
          <w:tcPr>
            <w:tcW w:w="185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330" w:type="dxa"/>
            <w:vAlign w:val="center"/>
          </w:tcPr>
          <w:p>
            <w:pPr>
              <w:jc w:val="center"/>
              <w:rPr>
                <w:rFonts w:ascii="宋体" w:hAnsi="宋体"/>
                <w:color w:val="auto"/>
                <w:szCs w:val="21"/>
                <w:highlight w:val="none"/>
              </w:rPr>
            </w:pPr>
          </w:p>
        </w:tc>
        <w:tc>
          <w:tcPr>
            <w:tcW w:w="1511" w:type="dxa"/>
          </w:tcPr>
          <w:p>
            <w:pPr>
              <w:jc w:val="center"/>
              <w:rPr>
                <w:rFonts w:ascii="宋体" w:hAnsi="宋体"/>
                <w:color w:val="auto"/>
                <w:szCs w:val="21"/>
                <w:highlight w:val="none"/>
              </w:rPr>
            </w:pPr>
          </w:p>
        </w:tc>
        <w:tc>
          <w:tcPr>
            <w:tcW w:w="1259" w:type="dxa"/>
          </w:tcPr>
          <w:p>
            <w:pPr>
              <w:jc w:val="center"/>
              <w:rPr>
                <w:rFonts w:ascii="宋体" w:hAnsi="宋体"/>
                <w:color w:val="auto"/>
                <w:szCs w:val="21"/>
                <w:highlight w:val="none"/>
              </w:rPr>
            </w:pPr>
          </w:p>
        </w:tc>
        <w:tc>
          <w:tcPr>
            <w:tcW w:w="943" w:type="dxa"/>
          </w:tcPr>
          <w:p>
            <w:pPr>
              <w:jc w:val="center"/>
              <w:rPr>
                <w:rFonts w:ascii="宋体" w:hAnsi="宋体"/>
                <w:color w:val="auto"/>
                <w:szCs w:val="21"/>
                <w:highlight w:val="none"/>
              </w:rPr>
            </w:pPr>
          </w:p>
        </w:tc>
        <w:tc>
          <w:tcPr>
            <w:tcW w:w="818" w:type="dxa"/>
          </w:tcPr>
          <w:p>
            <w:pPr>
              <w:jc w:val="center"/>
              <w:rPr>
                <w:rFonts w:ascii="宋体" w:hAnsi="宋体"/>
                <w:color w:val="auto"/>
                <w:szCs w:val="21"/>
                <w:highlight w:val="none"/>
              </w:rPr>
            </w:pPr>
          </w:p>
        </w:tc>
        <w:tc>
          <w:tcPr>
            <w:tcW w:w="1331" w:type="dxa"/>
            <w:vAlign w:val="center"/>
          </w:tcPr>
          <w:p>
            <w:pPr>
              <w:jc w:val="center"/>
              <w:rPr>
                <w:rFonts w:ascii="宋体" w:hAnsi="宋体"/>
                <w:color w:val="auto"/>
                <w:szCs w:val="21"/>
                <w:highlight w:val="none"/>
              </w:rPr>
            </w:pPr>
          </w:p>
        </w:tc>
        <w:tc>
          <w:tcPr>
            <w:tcW w:w="1850" w:type="dxa"/>
            <w:vAlign w:val="center"/>
          </w:tcPr>
          <w:p>
            <w:pPr>
              <w:jc w:val="center"/>
              <w:rPr>
                <w:rFonts w:ascii="宋体" w:hAnsi="宋体"/>
                <w:color w:val="auto"/>
                <w:szCs w:val="21"/>
                <w:highlight w:val="none"/>
              </w:rPr>
            </w:pPr>
          </w:p>
        </w:tc>
      </w:tr>
    </w:tbl>
    <w:p>
      <w:pPr>
        <w:pStyle w:val="968"/>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注：投标人同类项目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pPr>
        <w:pStyle w:val="968"/>
        <w:spacing w:line="360" w:lineRule="auto"/>
        <w:rPr>
          <w:rFonts w:hAnsi="宋体" w:eastAsia="宋体"/>
          <w:b/>
          <w:color w:val="auto"/>
          <w:sz w:val="24"/>
          <w:szCs w:val="24"/>
          <w:highlight w:val="none"/>
        </w:rPr>
      </w:pPr>
    </w:p>
    <w:p>
      <w:pPr>
        <w:pStyle w:val="968"/>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4"/>
        <w:rPr>
          <w:rFonts w:ascii="宋体" w:hAnsi="宋体" w:cs="宋体"/>
          <w:color w:val="auto"/>
          <w:sz w:val="24"/>
          <w:highlight w:val="none"/>
        </w:rPr>
      </w:pPr>
    </w:p>
    <w:p>
      <w:pPr>
        <w:rPr>
          <w:color w:val="auto"/>
          <w:highlight w:val="none"/>
        </w:rPr>
      </w:pPr>
    </w:p>
    <w:p>
      <w:pPr>
        <w:pStyle w:val="86"/>
        <w:ind w:left="420" w:firstLine="480"/>
        <w:rPr>
          <w:color w:val="auto"/>
          <w:highlight w:val="none"/>
        </w:rPr>
      </w:pPr>
    </w:p>
    <w:p>
      <w:pPr>
        <w:pStyle w:val="968"/>
        <w:spacing w:line="360" w:lineRule="auto"/>
        <w:jc w:val="center"/>
        <w:rPr>
          <w:rFonts w:hAnsi="宋体" w:eastAsia="宋体"/>
          <w:b/>
          <w:color w:val="auto"/>
          <w:sz w:val="28"/>
          <w:szCs w:val="28"/>
          <w:highlight w:val="none"/>
        </w:rPr>
      </w:pPr>
    </w:p>
    <w:p>
      <w:pPr>
        <w:pStyle w:val="34"/>
        <w:spacing w:before="120" w:after="120" w:line="360" w:lineRule="auto"/>
        <w:jc w:val="center"/>
        <w:textAlignment w:val="baseline"/>
        <w:rPr>
          <w:rFonts w:hAnsi="宋体"/>
          <w:b/>
          <w:color w:val="auto"/>
          <w:sz w:val="28"/>
          <w:szCs w:val="28"/>
          <w:highlight w:val="none"/>
        </w:rPr>
      </w:pPr>
    </w:p>
    <w:p>
      <w:pPr>
        <w:pStyle w:val="34"/>
        <w:spacing w:before="120" w:after="120" w:line="360" w:lineRule="auto"/>
        <w:jc w:val="center"/>
        <w:textAlignment w:val="baseline"/>
        <w:rPr>
          <w:rFonts w:hint="eastAsia" w:hAnsi="宋体"/>
          <w:b/>
          <w:color w:val="auto"/>
          <w:sz w:val="28"/>
          <w:szCs w:val="28"/>
          <w:highlight w:val="none"/>
        </w:rPr>
      </w:pPr>
    </w:p>
    <w:p>
      <w:pPr>
        <w:pStyle w:val="34"/>
        <w:spacing w:before="120" w:after="120" w:line="360" w:lineRule="auto"/>
        <w:jc w:val="center"/>
        <w:textAlignment w:val="baseline"/>
        <w:rPr>
          <w:rFonts w:hint="eastAsia" w:hAnsi="宋体"/>
          <w:b/>
          <w:color w:val="auto"/>
          <w:sz w:val="28"/>
          <w:szCs w:val="28"/>
          <w:highlight w:val="none"/>
        </w:rPr>
      </w:pPr>
    </w:p>
    <w:p>
      <w:pPr>
        <w:pStyle w:val="34"/>
        <w:spacing w:before="120" w:after="120" w:line="360" w:lineRule="auto"/>
        <w:jc w:val="center"/>
        <w:textAlignment w:val="baseline"/>
        <w:rPr>
          <w:rFonts w:hint="eastAsia" w:hAnsi="宋体"/>
          <w:b/>
          <w:color w:val="auto"/>
          <w:sz w:val="28"/>
          <w:szCs w:val="28"/>
          <w:highlight w:val="none"/>
        </w:rPr>
      </w:pPr>
    </w:p>
    <w:p>
      <w:pPr>
        <w:pStyle w:val="34"/>
        <w:spacing w:before="120" w:after="120" w:line="360" w:lineRule="auto"/>
        <w:jc w:val="center"/>
        <w:textAlignment w:val="baseline"/>
        <w:rPr>
          <w:rFonts w:hint="eastAsia" w:hAnsi="宋体"/>
          <w:b/>
          <w:color w:val="auto"/>
          <w:sz w:val="28"/>
          <w:szCs w:val="28"/>
          <w:highlight w:val="none"/>
        </w:rPr>
      </w:pPr>
    </w:p>
    <w:p>
      <w:pPr>
        <w:pStyle w:val="34"/>
        <w:spacing w:before="120" w:after="120" w:line="360" w:lineRule="auto"/>
        <w:jc w:val="center"/>
        <w:textAlignment w:val="baseline"/>
        <w:rPr>
          <w:rFonts w:hint="eastAsia" w:hAnsi="宋体"/>
          <w:b/>
          <w:color w:val="auto"/>
          <w:sz w:val="28"/>
          <w:szCs w:val="28"/>
          <w:highlight w:val="none"/>
        </w:rPr>
      </w:pPr>
    </w:p>
    <w:p>
      <w:pPr>
        <w:pStyle w:val="34"/>
        <w:spacing w:before="120" w:after="120" w:line="360" w:lineRule="auto"/>
        <w:jc w:val="center"/>
        <w:textAlignment w:val="baseline"/>
        <w:rPr>
          <w:rFonts w:hint="eastAsia" w:hAnsi="宋体"/>
          <w:b/>
          <w:color w:val="auto"/>
          <w:sz w:val="28"/>
          <w:szCs w:val="28"/>
          <w:highlight w:val="none"/>
        </w:rPr>
      </w:pPr>
    </w:p>
    <w:p>
      <w:pPr>
        <w:pStyle w:val="34"/>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0"/>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b/>
          <w:color w:val="auto"/>
          <w:szCs w:val="21"/>
          <w:highlight w:val="none"/>
          <w:lang w:val="en-US" w:eastAsia="zh-CN"/>
        </w:rPr>
        <w:t>1</w:t>
      </w:r>
      <w:r>
        <w:rPr>
          <w:rFonts w:hint="eastAsia" w:ascii="宋体" w:hAnsi="宋体"/>
          <w:b/>
          <w:color w:val="auto"/>
          <w:szCs w:val="21"/>
          <w:highlight w:val="none"/>
        </w:rPr>
        <w:t>、表格不够填写可添加。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6"/>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widowControl/>
        <w:jc w:val="center"/>
        <w:rPr>
          <w:rFonts w:ascii="宋体" w:hAnsi="宋体" w:cs="宋体"/>
          <w:b/>
          <w:color w:val="auto"/>
          <w:kern w:val="0"/>
          <w:sz w:val="24"/>
          <w:highlight w:val="none"/>
          <w:lang w:bidi="ar"/>
        </w:rPr>
      </w:pPr>
    </w:p>
    <w:p>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5"/>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jc w:val="center"/>
              <w:rPr>
                <w:rFonts w:hAnsi="宋体" w:cs="宋体"/>
                <w:b/>
                <w:bCs/>
                <w:color w:val="auto"/>
                <w:highlight w:val="none"/>
              </w:rPr>
            </w:pPr>
            <w:r>
              <w:rPr>
                <w:rFonts w:hint="eastAsia" w:hAnsi="宋体" w:cs="宋体"/>
                <w:b/>
                <w:bCs/>
                <w:color w:val="auto"/>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ind w:firstLine="732" w:firstLineChars="347"/>
              <w:rPr>
                <w:rFonts w:hAnsi="宋体" w:cs="宋体"/>
                <w:b/>
                <w:bCs/>
                <w:color w:val="auto"/>
                <w:highlight w:val="none"/>
              </w:rPr>
            </w:pPr>
            <w:r>
              <w:rPr>
                <w:rFonts w:hint="eastAsia" w:hAnsi="宋体" w:cs="宋体"/>
                <w:b/>
                <w:bCs/>
                <w:color w:val="auto"/>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color w:val="auto"/>
                <w:sz w:val="24"/>
                <w:highlight w:val="none"/>
              </w:rPr>
            </w:pPr>
            <w:r>
              <w:rPr>
                <w:rFonts w:hint="eastAsia" w:ascii="宋体" w:hAnsi="宋体" w:cs="宋体"/>
                <w:b/>
                <w:bCs/>
                <w:color w:val="auto"/>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4"/>
              <w:wordWrap w:val="0"/>
              <w:spacing w:before="120" w:after="120" w:line="440" w:lineRule="exact"/>
              <w:rPr>
                <w:rFonts w:hAnsi="宋体" w:cs="宋体"/>
                <w:b/>
                <w:bCs/>
                <w:color w:val="auto"/>
                <w:highlight w:val="none"/>
              </w:rPr>
            </w:pPr>
            <w:r>
              <w:rPr>
                <w:rFonts w:hint="eastAsia" w:hAnsi="宋体" w:cs="宋体"/>
                <w:b/>
                <w:bCs/>
                <w:color w:val="auto"/>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color w:val="auto"/>
                <w:sz w:val="24"/>
                <w:highlight w:val="none"/>
              </w:rPr>
            </w:pPr>
            <w:r>
              <w:rPr>
                <w:rFonts w:hint="eastAsia" w:ascii="宋体" w:hAnsi="宋体" w:cs="宋体"/>
                <w:b/>
                <w:bCs/>
                <w:color w:val="auto"/>
                <w:sz w:val="24"/>
                <w:highlight w:val="none"/>
              </w:rPr>
              <w:t>品牌</w:t>
            </w:r>
            <w:r>
              <w:rPr>
                <w:rFonts w:hint="eastAsia" w:ascii="宋体" w:hAnsi="宋体" w:cs="宋体"/>
                <w:b/>
                <w:bCs/>
                <w:color w:val="auto"/>
                <w:sz w:val="24"/>
                <w:highlight w:val="none"/>
                <w:lang w:eastAsia="zh-CN"/>
              </w:rPr>
              <w:t>（如有）</w:t>
            </w:r>
            <w:r>
              <w:rPr>
                <w:rFonts w:hint="eastAsia" w:ascii="宋体" w:hAnsi="宋体" w:cs="宋体"/>
                <w:b/>
                <w:bCs/>
                <w:color w:val="auto"/>
                <w:sz w:val="24"/>
                <w:highlight w:val="none"/>
              </w:rPr>
              <w:t>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spacing w:before="120" w:after="120" w:line="440" w:lineRule="exact"/>
              <w:ind w:firstLine="520"/>
              <w:jc w:val="center"/>
              <w:rPr>
                <w:rFonts w:hAnsi="宋体" w:cs="宋体"/>
                <w:color w:val="auto"/>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pPr>
        <w:spacing w:line="360" w:lineRule="auto"/>
        <w:rPr>
          <w:rFonts w:ascii="宋体" w:hAnsi="宋体"/>
          <w:color w:val="auto"/>
          <w:szCs w:val="21"/>
          <w:highlight w:val="none"/>
        </w:rPr>
      </w:pPr>
      <w:r>
        <w:rPr>
          <w:rFonts w:hint="eastAsia" w:ascii="宋体" w:hAnsi="宋体"/>
          <w:color w:val="auto"/>
          <w:szCs w:val="21"/>
          <w:highlight w:val="none"/>
        </w:rPr>
        <w:t>4、标“★”系重要技术指标。</w:t>
      </w:r>
    </w:p>
    <w:p>
      <w:pPr>
        <w:spacing w:line="400" w:lineRule="exact"/>
        <w:rPr>
          <w:rFonts w:ascii="宋体" w:hAnsi="宋体"/>
          <w:color w:val="auto"/>
          <w:szCs w:val="21"/>
          <w:highlight w:val="none"/>
        </w:rPr>
      </w:pPr>
      <w:r>
        <w:rPr>
          <w:rFonts w:hint="eastAsia" w:ascii="宋体" w:hAnsi="宋体"/>
          <w:color w:val="auto"/>
          <w:szCs w:val="21"/>
          <w:highlight w:val="none"/>
        </w:rPr>
        <w:t>5、上表中行数不够可自行添加。</w:t>
      </w:r>
    </w:p>
    <w:p>
      <w:pPr>
        <w:adjustRightInd/>
        <w:spacing w:line="360" w:lineRule="auto"/>
        <w:rPr>
          <w:rFonts w:ascii="宋体" w:hAnsi="宋体"/>
          <w:color w:val="auto"/>
          <w:highlight w:val="none"/>
        </w:rPr>
      </w:pPr>
    </w:p>
    <w:p>
      <w:pPr>
        <w:rPr>
          <w:rFonts w:ascii="宋体" w:hAnsi="宋体"/>
          <w:color w:val="auto"/>
          <w:highlight w:val="none"/>
          <w:lang w:val="zh-CN"/>
        </w:rPr>
      </w:pPr>
    </w:p>
    <w:p>
      <w:pPr>
        <w:rPr>
          <w:rFonts w:ascii="宋体" w:hAnsi="宋体"/>
          <w:color w:val="auto"/>
          <w:highlight w:val="none"/>
          <w:lang w:val="zh-CN"/>
        </w:rPr>
      </w:pPr>
    </w:p>
    <w:p>
      <w:pPr>
        <w:rPr>
          <w:rFonts w:ascii="宋体" w:hAnsi="宋体"/>
          <w:color w:val="auto"/>
          <w:highlight w:val="none"/>
          <w:lang w:val="zh-CN"/>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pacing w:line="360" w:lineRule="auto"/>
        <w:rPr>
          <w:b/>
          <w:color w:val="auto"/>
          <w:sz w:val="24"/>
          <w:highlight w:val="none"/>
        </w:rPr>
      </w:pPr>
      <w:r>
        <w:rPr>
          <w:rFonts w:hint="eastAsia" w:hAnsi="宋体" w:eastAsia="宋体" w:cs="宋体"/>
          <w:color w:val="auto"/>
          <w:sz w:val="24"/>
          <w:szCs w:val="24"/>
          <w:highlight w:val="none"/>
        </w:rPr>
        <w:t>日期：_____年____月____日</w:t>
      </w:r>
    </w:p>
    <w:p>
      <w:pPr>
        <w:pStyle w:val="968"/>
        <w:spacing w:line="360" w:lineRule="auto"/>
        <w:rPr>
          <w:rFonts w:hAnsi="宋体" w:eastAsia="宋体"/>
          <w:b/>
          <w:color w:val="auto"/>
          <w:sz w:val="24"/>
          <w:szCs w:val="24"/>
          <w:highlight w:val="none"/>
        </w:rPr>
      </w:pPr>
    </w:p>
    <w:p>
      <w:pPr>
        <w:pStyle w:val="976"/>
        <w:spacing w:line="276" w:lineRule="auto"/>
        <w:jc w:val="center"/>
        <w:rPr>
          <w:rFonts w:hAnsi="宋体" w:eastAsia="宋体" w:cs="宋体"/>
          <w:b/>
          <w:color w:val="auto"/>
          <w:sz w:val="28"/>
          <w:szCs w:val="28"/>
          <w:highlight w:val="none"/>
        </w:rPr>
      </w:pPr>
    </w:p>
    <w:p>
      <w:pPr>
        <w:pStyle w:val="976"/>
        <w:spacing w:line="276" w:lineRule="auto"/>
        <w:jc w:val="center"/>
        <w:rPr>
          <w:rFonts w:hint="eastAsia" w:hAnsi="宋体" w:eastAsia="宋体" w:cs="宋体"/>
          <w:b/>
          <w:color w:val="auto"/>
          <w:sz w:val="28"/>
          <w:szCs w:val="28"/>
          <w:highlight w:val="none"/>
        </w:rPr>
      </w:pPr>
    </w:p>
    <w:p>
      <w:pPr>
        <w:pStyle w:val="976"/>
        <w:spacing w:line="276" w:lineRule="auto"/>
        <w:jc w:val="center"/>
        <w:rPr>
          <w:rFonts w:hint="eastAsia" w:hAnsi="宋体" w:eastAsia="宋体" w:cs="宋体"/>
          <w:b/>
          <w:color w:val="auto"/>
          <w:sz w:val="28"/>
          <w:szCs w:val="28"/>
          <w:highlight w:val="none"/>
        </w:rPr>
      </w:pPr>
    </w:p>
    <w:p>
      <w:pPr>
        <w:pStyle w:val="976"/>
        <w:spacing w:line="276" w:lineRule="auto"/>
        <w:jc w:val="center"/>
        <w:rPr>
          <w:rFonts w:hint="eastAsia" w:hAnsi="宋体" w:eastAsia="宋体" w:cs="宋体"/>
          <w:b/>
          <w:color w:val="auto"/>
          <w:sz w:val="28"/>
          <w:szCs w:val="28"/>
          <w:highlight w:val="none"/>
        </w:rPr>
      </w:pPr>
    </w:p>
    <w:p>
      <w:pPr>
        <w:pStyle w:val="976"/>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5"/>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pPr>
        <w:numPr>
          <w:ilvl w:val="0"/>
          <w:numId w:val="10"/>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7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pPr>
        <w:pStyle w:val="968"/>
        <w:spacing w:line="360" w:lineRule="auto"/>
        <w:ind w:right="480"/>
        <w:rPr>
          <w:rFonts w:hAnsi="宋体" w:eastAsia="宋体" w:cs="宋体"/>
          <w:color w:val="auto"/>
          <w:sz w:val="24"/>
          <w:szCs w:val="24"/>
          <w:highlight w:val="none"/>
        </w:rPr>
      </w:pPr>
    </w:p>
    <w:p>
      <w:pPr>
        <w:pStyle w:val="968"/>
        <w:spacing w:line="360" w:lineRule="auto"/>
        <w:ind w:right="480"/>
        <w:rPr>
          <w:rFonts w:hAnsi="宋体" w:eastAsia="宋体" w:cs="宋体"/>
          <w:color w:val="auto"/>
          <w:sz w:val="24"/>
          <w:szCs w:val="24"/>
          <w:highlight w:val="none"/>
        </w:rPr>
      </w:pPr>
    </w:p>
    <w:p>
      <w:pPr>
        <w:pStyle w:val="968"/>
        <w:spacing w:line="360" w:lineRule="auto"/>
        <w:ind w:right="480"/>
        <w:rPr>
          <w:rFonts w:hAnsi="宋体" w:eastAsia="宋体" w:cs="宋体"/>
          <w:color w:val="auto"/>
          <w:sz w:val="24"/>
          <w:szCs w:val="24"/>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pStyle w:val="82"/>
        <w:rPr>
          <w:color w:val="auto"/>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4"/>
        <w:rPr>
          <w:rFonts w:hAnsi="宋体" w:cs="宋体"/>
          <w:color w:val="auto"/>
          <w:highlight w:val="none"/>
        </w:rPr>
      </w:pPr>
    </w:p>
    <w:p>
      <w:pPr>
        <w:pStyle w:val="24"/>
        <w:rPr>
          <w:rFonts w:hAnsi="宋体" w:cs="宋体"/>
          <w:color w:val="auto"/>
          <w:highlight w:val="none"/>
        </w:rPr>
      </w:pPr>
    </w:p>
    <w:bookmarkEnd w:id="35"/>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pPr>
        <w:snapToGrid w:val="0"/>
        <w:spacing w:line="480" w:lineRule="exact"/>
        <w:ind w:firstLine="440" w:firstLineChars="200"/>
        <w:jc w:val="left"/>
        <w:rPr>
          <w:rFonts w:ascii="宋体" w:hAnsi="宋体" w:cs="宋体"/>
          <w:color w:val="auto"/>
          <w:sz w:val="22"/>
          <w:szCs w:val="22"/>
          <w:highlight w:val="none"/>
        </w:rPr>
      </w:pPr>
    </w:p>
    <w:p>
      <w:pPr>
        <w:pStyle w:val="24"/>
        <w:rPr>
          <w:color w:val="auto"/>
          <w:highlight w:val="none"/>
        </w:rPr>
      </w:pP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3"/>
        <w:rPr>
          <w:rFonts w:hAnsi="宋体" w:cs="宋体"/>
          <w:color w:val="auto"/>
          <w:sz w:val="24"/>
          <w:szCs w:val="24"/>
          <w:highlight w:val="none"/>
        </w:rPr>
      </w:pPr>
    </w:p>
    <w:p>
      <w:pPr>
        <w:rPr>
          <w:rFonts w:hAnsi="宋体" w:cs="宋体"/>
          <w:color w:val="auto"/>
          <w:sz w:val="24"/>
          <w:highlight w:val="none"/>
        </w:rPr>
      </w:pPr>
    </w:p>
    <w:p>
      <w:pPr>
        <w:widowControl/>
        <w:spacing w:line="360" w:lineRule="auto"/>
        <w:rPr>
          <w:rFonts w:ascii="宋体" w:hAnsi="宋体"/>
          <w:b/>
          <w:color w:val="auto"/>
          <w:sz w:val="28"/>
          <w:szCs w:val="28"/>
          <w:highlight w:val="none"/>
        </w:rPr>
      </w:pPr>
    </w:p>
    <w:p>
      <w:pPr>
        <w:widowControl/>
        <w:spacing w:line="360" w:lineRule="auto"/>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pStyle w:val="63"/>
        <w:ind w:firstLine="420"/>
        <w:rPr>
          <w:color w:val="auto"/>
          <w:highlight w:val="none"/>
        </w:rPr>
      </w:pPr>
    </w:p>
    <w:p>
      <w:pPr>
        <w:widowControl/>
        <w:spacing w:line="360" w:lineRule="auto"/>
        <w:jc w:val="center"/>
        <w:rPr>
          <w:rFonts w:hint="eastAsia"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pPr>
        <w:snapToGrid w:val="0"/>
        <w:spacing w:before="120" w:after="120"/>
        <w:rPr>
          <w:rFonts w:ascii="宋体" w:hAnsi="宋体"/>
          <w:color w:val="auto"/>
          <w:sz w:val="24"/>
          <w:highlight w:val="none"/>
        </w:rPr>
      </w:pPr>
    </w:p>
    <w:p>
      <w:pPr>
        <w:snapToGrid w:val="0"/>
        <w:spacing w:before="120" w:after="12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p>
      <w:pPr>
        <w:pStyle w:val="4"/>
        <w:spacing w:line="240" w:lineRule="auto"/>
        <w:ind w:left="0" w:firstLine="0"/>
        <w:rPr>
          <w:color w:val="auto"/>
          <w:sz w:val="24"/>
          <w:szCs w:val="24"/>
          <w:highlight w:val="none"/>
          <w:lang w:val="en-US"/>
        </w:rPr>
      </w:pPr>
    </w:p>
    <w:tbl>
      <w:tblPr>
        <w:tblStyle w:val="65"/>
        <w:tblW w:w="927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62"/>
        <w:gridCol w:w="1100"/>
        <w:gridCol w:w="1138"/>
        <w:gridCol w:w="1087"/>
        <w:gridCol w:w="1063"/>
        <w:gridCol w:w="1262"/>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品牌(如有)</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数量（单位）</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半智能白蚁监测装置（含饵块）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4500</w:t>
            </w:r>
            <w:r>
              <w:rPr>
                <w:rFonts w:hint="eastAsia" w:ascii="宋体" w:hAnsi="宋体" w:eastAsia="宋体" w:cs="宋体"/>
                <w:i w:val="0"/>
                <w:iCs w:val="0"/>
                <w:color w:val="auto"/>
                <w:sz w:val="22"/>
                <w:szCs w:val="22"/>
                <w:highlight w:val="none"/>
                <w:u w:val="none"/>
              </w:rPr>
              <w:t>套</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普通白蚁监测装置（含饵块）</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4500</w:t>
            </w:r>
            <w:r>
              <w:rPr>
                <w:rFonts w:hint="eastAsia" w:ascii="宋体" w:hAnsi="宋体" w:eastAsia="宋体" w:cs="宋体"/>
                <w:i w:val="0"/>
                <w:iCs w:val="0"/>
                <w:color w:val="auto"/>
                <w:sz w:val="22"/>
                <w:szCs w:val="22"/>
                <w:highlight w:val="none"/>
                <w:u w:val="none"/>
              </w:rPr>
              <w:t>套</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蚁情采集手持仪</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4台</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rPr>
              <w:t>投标总价：    （大写），    （小写）</w:t>
            </w:r>
          </w:p>
        </w:tc>
      </w:tr>
    </w:tbl>
    <w:p>
      <w:pPr>
        <w:rPr>
          <w:rFonts w:hint="eastAsia" w:ascii="宋体" w:hAnsi="宋体" w:cs="宋体"/>
          <w:color w:val="auto"/>
          <w:kern w:val="0"/>
          <w:sz w:val="24"/>
          <w:highlight w:val="none"/>
        </w:rPr>
      </w:pPr>
    </w:p>
    <w:p>
      <w:pPr>
        <w:rPr>
          <w:rFonts w:hint="eastAsia" w:ascii="宋体" w:hAnsi="宋体" w:cs="宋体"/>
          <w:color w:val="auto"/>
          <w:kern w:val="0"/>
          <w:sz w:val="24"/>
          <w:highlight w:val="none"/>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表格</w:t>
      </w:r>
      <w:r>
        <w:rPr>
          <w:rFonts w:hint="eastAsia" w:ascii="宋体" w:hAnsi="宋体" w:cs="宋体"/>
          <w:color w:val="auto"/>
          <w:kern w:val="0"/>
          <w:sz w:val="24"/>
          <w:highlight w:val="none"/>
          <w:lang w:eastAsia="zh-CN"/>
        </w:rPr>
        <w:t>为多页的，每页均需加盖投标人公章。</w:t>
      </w:r>
    </w:p>
    <w:p>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以上报价应与“开标一览表”中的“总报价”数相一致</w:t>
      </w:r>
    </w:p>
    <w:p>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3.硬件（设备）类产品“型号”填写“产品制造商出厂定型型号”，软件产品“型号”可填写软件版本号,定制类产品无定型型号的可填写“定制”或自行编制</w:t>
      </w:r>
      <w:r>
        <w:rPr>
          <w:rFonts w:hint="eastAsia" w:ascii="宋体" w:hAnsi="宋体"/>
          <w:color w:val="auto"/>
          <w:sz w:val="24"/>
          <w:highlight w:val="none"/>
        </w:rPr>
        <w:t>。</w:t>
      </w:r>
    </w:p>
    <w:p>
      <w:pPr>
        <w:snapToGrid w:val="0"/>
        <w:spacing w:before="50" w:after="50" w:line="360" w:lineRule="auto"/>
        <w:rPr>
          <w:rFonts w:hint="eastAsia"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8"/>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16"/>
        <w:rPr>
          <w:rFonts w:hAnsi="宋体" w:cs="宋体"/>
          <w:color w:val="auto"/>
          <w:sz w:val="24"/>
          <w:szCs w:val="24"/>
          <w:highlight w:val="none"/>
        </w:rPr>
      </w:pPr>
    </w:p>
    <w:p>
      <w:pPr>
        <w:spacing w:line="360" w:lineRule="auto"/>
        <w:ind w:firstLine="275" w:firstLineChars="98"/>
        <w:jc w:val="center"/>
        <w:rPr>
          <w:rFonts w:ascii="宋体" w:hAnsi="宋体" w:cs="宋体"/>
          <w:b/>
          <w:bCs/>
          <w:color w:val="auto"/>
          <w:sz w:val="28"/>
          <w:szCs w:val="28"/>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322D2"/>
    <w:multiLevelType w:val="singleLevel"/>
    <w:tmpl w:val="A31322D2"/>
    <w:lvl w:ilvl="0" w:tentative="0">
      <w:start w:val="1"/>
      <w:numFmt w:val="decimal"/>
      <w:lvlText w:val="%1."/>
      <w:lvlJc w:val="right"/>
      <w:pPr>
        <w:ind w:left="420" w:hanging="420"/>
      </w:pPr>
      <w:rPr>
        <w:rFonts w:hint="eastAsia"/>
      </w:rPr>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BC792504"/>
    <w:multiLevelType w:val="singleLevel"/>
    <w:tmpl w:val="BC792504"/>
    <w:lvl w:ilvl="0" w:tentative="0">
      <w:start w:val="2"/>
      <w:numFmt w:val="chineseCounting"/>
      <w:suff w:val="space"/>
      <w:lvlText w:val="第%1章"/>
      <w:lvlJc w:val="left"/>
      <w:rPr>
        <w:rFonts w:hint="eastAsia"/>
      </w:rPr>
    </w:lvl>
  </w:abstractNum>
  <w:abstractNum w:abstractNumId="3">
    <w:nsid w:val="D09ECA7D"/>
    <w:multiLevelType w:val="singleLevel"/>
    <w:tmpl w:val="D09ECA7D"/>
    <w:lvl w:ilvl="0" w:tentative="0">
      <w:start w:val="2"/>
      <w:numFmt w:val="decimal"/>
      <w:suff w:val="nothing"/>
      <w:lvlText w:val="%1、"/>
      <w:lvlJc w:val="left"/>
    </w:lvl>
  </w:abstractNum>
  <w:abstractNum w:abstractNumId="4">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D804704"/>
    <w:multiLevelType w:val="singleLevel"/>
    <w:tmpl w:val="5D804704"/>
    <w:lvl w:ilvl="0" w:tentative="0">
      <w:start w:val="1"/>
      <w:numFmt w:val="chineseCounting"/>
      <w:suff w:val="nothing"/>
      <w:lvlText w:val="%1、"/>
      <w:lvlJc w:val="left"/>
    </w:lvl>
  </w:abstractNum>
  <w:abstractNum w:abstractNumId="8">
    <w:nsid w:val="5D804826"/>
    <w:multiLevelType w:val="singleLevel"/>
    <w:tmpl w:val="5D804826"/>
    <w:lvl w:ilvl="0" w:tentative="0">
      <w:start w:val="1"/>
      <w:numFmt w:val="decimal"/>
      <w:suff w:val="nothing"/>
      <w:lvlText w:val="%1."/>
      <w:lvlJc w:val="left"/>
    </w:lvl>
  </w:abstractNum>
  <w:abstractNum w:abstractNumId="9">
    <w:nsid w:val="5EC75351"/>
    <w:multiLevelType w:val="multilevel"/>
    <w:tmpl w:val="5EC7535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0"/>
  </w:num>
  <w:num w:numId="4">
    <w:abstractNumId w:val="7"/>
  </w:num>
  <w:num w:numId="5">
    <w:abstractNumId w:val="6"/>
  </w:num>
  <w:num w:numId="6">
    <w:abstractNumId w:val="4"/>
  </w:num>
  <w:num w:numId="7">
    <w:abstractNumId w:val="5"/>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3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5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6A6"/>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36AFB"/>
    <w:rsid w:val="013D1A7E"/>
    <w:rsid w:val="0155173E"/>
    <w:rsid w:val="019F7441"/>
    <w:rsid w:val="01A319FB"/>
    <w:rsid w:val="01B37585"/>
    <w:rsid w:val="01D55165"/>
    <w:rsid w:val="01DF6BF8"/>
    <w:rsid w:val="01EC2C57"/>
    <w:rsid w:val="02151639"/>
    <w:rsid w:val="022315D5"/>
    <w:rsid w:val="026B2E25"/>
    <w:rsid w:val="02734700"/>
    <w:rsid w:val="02824D4D"/>
    <w:rsid w:val="028E5F70"/>
    <w:rsid w:val="02C46BBB"/>
    <w:rsid w:val="02DC4B10"/>
    <w:rsid w:val="02DD76CE"/>
    <w:rsid w:val="02F36323"/>
    <w:rsid w:val="02F5619C"/>
    <w:rsid w:val="03056EBF"/>
    <w:rsid w:val="0326446A"/>
    <w:rsid w:val="032D5555"/>
    <w:rsid w:val="036634D2"/>
    <w:rsid w:val="037B371D"/>
    <w:rsid w:val="039E29D0"/>
    <w:rsid w:val="03B77F2C"/>
    <w:rsid w:val="03DD35E4"/>
    <w:rsid w:val="04076900"/>
    <w:rsid w:val="041A5A3B"/>
    <w:rsid w:val="042311BA"/>
    <w:rsid w:val="042A08CF"/>
    <w:rsid w:val="042B157A"/>
    <w:rsid w:val="04352F11"/>
    <w:rsid w:val="048F763B"/>
    <w:rsid w:val="049F330E"/>
    <w:rsid w:val="04AA775C"/>
    <w:rsid w:val="04AF1889"/>
    <w:rsid w:val="04CA06D2"/>
    <w:rsid w:val="04F66F48"/>
    <w:rsid w:val="05222163"/>
    <w:rsid w:val="05251E14"/>
    <w:rsid w:val="0533087A"/>
    <w:rsid w:val="054B2EBB"/>
    <w:rsid w:val="05541A7D"/>
    <w:rsid w:val="05A16594"/>
    <w:rsid w:val="05A7762D"/>
    <w:rsid w:val="05C231EC"/>
    <w:rsid w:val="06011897"/>
    <w:rsid w:val="060E5941"/>
    <w:rsid w:val="06110FAF"/>
    <w:rsid w:val="06493CA7"/>
    <w:rsid w:val="065A6178"/>
    <w:rsid w:val="066F1CF3"/>
    <w:rsid w:val="06930BB8"/>
    <w:rsid w:val="06DC1F3F"/>
    <w:rsid w:val="06E46F9F"/>
    <w:rsid w:val="07243642"/>
    <w:rsid w:val="07245D42"/>
    <w:rsid w:val="07264C62"/>
    <w:rsid w:val="075D5951"/>
    <w:rsid w:val="077855B9"/>
    <w:rsid w:val="0779354C"/>
    <w:rsid w:val="079F6195"/>
    <w:rsid w:val="07C17D1A"/>
    <w:rsid w:val="07D15156"/>
    <w:rsid w:val="08061376"/>
    <w:rsid w:val="080D354F"/>
    <w:rsid w:val="0817778D"/>
    <w:rsid w:val="082A6473"/>
    <w:rsid w:val="08452D77"/>
    <w:rsid w:val="086401F8"/>
    <w:rsid w:val="08751CAA"/>
    <w:rsid w:val="087E4C40"/>
    <w:rsid w:val="08AA4CC9"/>
    <w:rsid w:val="08D66AD6"/>
    <w:rsid w:val="08DA33A3"/>
    <w:rsid w:val="08E80F13"/>
    <w:rsid w:val="092B34F0"/>
    <w:rsid w:val="09335624"/>
    <w:rsid w:val="093D097C"/>
    <w:rsid w:val="0944690F"/>
    <w:rsid w:val="09535675"/>
    <w:rsid w:val="095F057D"/>
    <w:rsid w:val="09642282"/>
    <w:rsid w:val="09733572"/>
    <w:rsid w:val="09772C16"/>
    <w:rsid w:val="098353B5"/>
    <w:rsid w:val="09A92330"/>
    <w:rsid w:val="09B06B87"/>
    <w:rsid w:val="09C13146"/>
    <w:rsid w:val="09E04166"/>
    <w:rsid w:val="0A1C0718"/>
    <w:rsid w:val="0A213FB9"/>
    <w:rsid w:val="0A2E2D1E"/>
    <w:rsid w:val="0A3E7710"/>
    <w:rsid w:val="0A5B7E63"/>
    <w:rsid w:val="0A5C3149"/>
    <w:rsid w:val="0A826F07"/>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5D5C"/>
    <w:rsid w:val="0C170175"/>
    <w:rsid w:val="0C480CD6"/>
    <w:rsid w:val="0C571A41"/>
    <w:rsid w:val="0C5C1171"/>
    <w:rsid w:val="0C5E1CBC"/>
    <w:rsid w:val="0C615B50"/>
    <w:rsid w:val="0C8445DA"/>
    <w:rsid w:val="0C87121B"/>
    <w:rsid w:val="0CA05FA3"/>
    <w:rsid w:val="0CBA4FBD"/>
    <w:rsid w:val="0CC007F7"/>
    <w:rsid w:val="0CD60B29"/>
    <w:rsid w:val="0CDB1229"/>
    <w:rsid w:val="0CFE707A"/>
    <w:rsid w:val="0D063BDA"/>
    <w:rsid w:val="0D08375F"/>
    <w:rsid w:val="0D184CFB"/>
    <w:rsid w:val="0D1E7791"/>
    <w:rsid w:val="0D4A7419"/>
    <w:rsid w:val="0D827401"/>
    <w:rsid w:val="0D84094E"/>
    <w:rsid w:val="0D8A00E9"/>
    <w:rsid w:val="0D8D589E"/>
    <w:rsid w:val="0DA01C73"/>
    <w:rsid w:val="0DA66D6E"/>
    <w:rsid w:val="0DD63300"/>
    <w:rsid w:val="0DF50604"/>
    <w:rsid w:val="0DF702FE"/>
    <w:rsid w:val="0E060E51"/>
    <w:rsid w:val="0E24577D"/>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D60610"/>
    <w:rsid w:val="0FE73EE9"/>
    <w:rsid w:val="10043AE6"/>
    <w:rsid w:val="10505D41"/>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02BCF"/>
    <w:rsid w:val="11C6522A"/>
    <w:rsid w:val="11DC71F8"/>
    <w:rsid w:val="11E104CC"/>
    <w:rsid w:val="11E20309"/>
    <w:rsid w:val="12255233"/>
    <w:rsid w:val="122816D4"/>
    <w:rsid w:val="12530213"/>
    <w:rsid w:val="12541D09"/>
    <w:rsid w:val="127723A9"/>
    <w:rsid w:val="12862074"/>
    <w:rsid w:val="12883966"/>
    <w:rsid w:val="129E45B4"/>
    <w:rsid w:val="12AA761C"/>
    <w:rsid w:val="12D81596"/>
    <w:rsid w:val="13072A44"/>
    <w:rsid w:val="131B2827"/>
    <w:rsid w:val="13482EF0"/>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50536C3"/>
    <w:rsid w:val="150C1963"/>
    <w:rsid w:val="151252CE"/>
    <w:rsid w:val="151447A0"/>
    <w:rsid w:val="154A6454"/>
    <w:rsid w:val="15613E68"/>
    <w:rsid w:val="15762120"/>
    <w:rsid w:val="15AC270E"/>
    <w:rsid w:val="15D77B9E"/>
    <w:rsid w:val="163E55E1"/>
    <w:rsid w:val="166A18FC"/>
    <w:rsid w:val="168D6FBF"/>
    <w:rsid w:val="169F2681"/>
    <w:rsid w:val="16A8729C"/>
    <w:rsid w:val="16B33777"/>
    <w:rsid w:val="16BC70A7"/>
    <w:rsid w:val="16C6339E"/>
    <w:rsid w:val="172F2D79"/>
    <w:rsid w:val="17557BEF"/>
    <w:rsid w:val="17984446"/>
    <w:rsid w:val="179E6FD7"/>
    <w:rsid w:val="17A7720B"/>
    <w:rsid w:val="17CA130A"/>
    <w:rsid w:val="17D349C1"/>
    <w:rsid w:val="1830729E"/>
    <w:rsid w:val="186E4F56"/>
    <w:rsid w:val="1870062C"/>
    <w:rsid w:val="187F5606"/>
    <w:rsid w:val="18817102"/>
    <w:rsid w:val="18830A15"/>
    <w:rsid w:val="18852B28"/>
    <w:rsid w:val="188B5321"/>
    <w:rsid w:val="188E780C"/>
    <w:rsid w:val="18A94431"/>
    <w:rsid w:val="18AD308A"/>
    <w:rsid w:val="18DF7E53"/>
    <w:rsid w:val="19137AFC"/>
    <w:rsid w:val="19932372"/>
    <w:rsid w:val="199B1288"/>
    <w:rsid w:val="19A20DD5"/>
    <w:rsid w:val="19AE03F1"/>
    <w:rsid w:val="19BE1321"/>
    <w:rsid w:val="19C914F1"/>
    <w:rsid w:val="19DD2400"/>
    <w:rsid w:val="1A071A03"/>
    <w:rsid w:val="1A093754"/>
    <w:rsid w:val="1A1F16AE"/>
    <w:rsid w:val="1A3B5C77"/>
    <w:rsid w:val="1A4062D0"/>
    <w:rsid w:val="1A8E207F"/>
    <w:rsid w:val="1A984BAD"/>
    <w:rsid w:val="1AAC1FB7"/>
    <w:rsid w:val="1AB8220E"/>
    <w:rsid w:val="1ADC0F2F"/>
    <w:rsid w:val="1AE4166C"/>
    <w:rsid w:val="1AF06CFB"/>
    <w:rsid w:val="1AF11B8D"/>
    <w:rsid w:val="1B11359C"/>
    <w:rsid w:val="1B2A271F"/>
    <w:rsid w:val="1B530544"/>
    <w:rsid w:val="1B591FEF"/>
    <w:rsid w:val="1B713184"/>
    <w:rsid w:val="1B905DEA"/>
    <w:rsid w:val="1BA209CF"/>
    <w:rsid w:val="1BB20793"/>
    <w:rsid w:val="1BB4777D"/>
    <w:rsid w:val="1BD75AB8"/>
    <w:rsid w:val="1C0459C2"/>
    <w:rsid w:val="1C1B3B4A"/>
    <w:rsid w:val="1C2A5889"/>
    <w:rsid w:val="1C88086E"/>
    <w:rsid w:val="1D266CE1"/>
    <w:rsid w:val="1D3963AF"/>
    <w:rsid w:val="1D6A673C"/>
    <w:rsid w:val="1D9247AE"/>
    <w:rsid w:val="1DAE4D97"/>
    <w:rsid w:val="1DB567EC"/>
    <w:rsid w:val="1DC57B03"/>
    <w:rsid w:val="1DF51A98"/>
    <w:rsid w:val="1DFE0D7B"/>
    <w:rsid w:val="1E3D060F"/>
    <w:rsid w:val="1E3F7D2E"/>
    <w:rsid w:val="1E4134E4"/>
    <w:rsid w:val="1E5062B3"/>
    <w:rsid w:val="1E523514"/>
    <w:rsid w:val="1E593358"/>
    <w:rsid w:val="1E686B46"/>
    <w:rsid w:val="1E714A66"/>
    <w:rsid w:val="1E802593"/>
    <w:rsid w:val="1EA703CC"/>
    <w:rsid w:val="1EB7330C"/>
    <w:rsid w:val="1EF93289"/>
    <w:rsid w:val="1F0A0FF3"/>
    <w:rsid w:val="1F5771FF"/>
    <w:rsid w:val="1F745498"/>
    <w:rsid w:val="1FA04B6E"/>
    <w:rsid w:val="1FC07ECB"/>
    <w:rsid w:val="1FDF32F5"/>
    <w:rsid w:val="1FE868A9"/>
    <w:rsid w:val="20034907"/>
    <w:rsid w:val="20173E4B"/>
    <w:rsid w:val="20181590"/>
    <w:rsid w:val="20380D25"/>
    <w:rsid w:val="204E48BC"/>
    <w:rsid w:val="20631369"/>
    <w:rsid w:val="206801ED"/>
    <w:rsid w:val="207B66B3"/>
    <w:rsid w:val="207E2E19"/>
    <w:rsid w:val="208921B3"/>
    <w:rsid w:val="20973DEB"/>
    <w:rsid w:val="20AC592F"/>
    <w:rsid w:val="20B26522"/>
    <w:rsid w:val="20B44310"/>
    <w:rsid w:val="20CC38E7"/>
    <w:rsid w:val="20DB5D96"/>
    <w:rsid w:val="211116EB"/>
    <w:rsid w:val="21431023"/>
    <w:rsid w:val="216133FC"/>
    <w:rsid w:val="2161415A"/>
    <w:rsid w:val="21963C49"/>
    <w:rsid w:val="21B27333"/>
    <w:rsid w:val="21B62C24"/>
    <w:rsid w:val="21BC2207"/>
    <w:rsid w:val="21BE7F86"/>
    <w:rsid w:val="21D56769"/>
    <w:rsid w:val="21E52EF3"/>
    <w:rsid w:val="21FB5D7B"/>
    <w:rsid w:val="220B1C3D"/>
    <w:rsid w:val="221D1D20"/>
    <w:rsid w:val="22334A87"/>
    <w:rsid w:val="224654C1"/>
    <w:rsid w:val="22BE6801"/>
    <w:rsid w:val="22C26C62"/>
    <w:rsid w:val="233500BF"/>
    <w:rsid w:val="2335523F"/>
    <w:rsid w:val="23377FF7"/>
    <w:rsid w:val="236B425F"/>
    <w:rsid w:val="236E03B0"/>
    <w:rsid w:val="23836192"/>
    <w:rsid w:val="23901F29"/>
    <w:rsid w:val="239C0061"/>
    <w:rsid w:val="23A91BB2"/>
    <w:rsid w:val="23B908A4"/>
    <w:rsid w:val="23E95BEF"/>
    <w:rsid w:val="23FD0064"/>
    <w:rsid w:val="24224A03"/>
    <w:rsid w:val="24285E12"/>
    <w:rsid w:val="245375B0"/>
    <w:rsid w:val="24642C0A"/>
    <w:rsid w:val="24692921"/>
    <w:rsid w:val="246D0A09"/>
    <w:rsid w:val="24B22173"/>
    <w:rsid w:val="24B95AD9"/>
    <w:rsid w:val="24BE0639"/>
    <w:rsid w:val="24BE24DA"/>
    <w:rsid w:val="24CF5825"/>
    <w:rsid w:val="24D34D10"/>
    <w:rsid w:val="24D663E6"/>
    <w:rsid w:val="24D77F2B"/>
    <w:rsid w:val="24DE5462"/>
    <w:rsid w:val="25530F16"/>
    <w:rsid w:val="258B00E2"/>
    <w:rsid w:val="25A917A6"/>
    <w:rsid w:val="25BE27CC"/>
    <w:rsid w:val="25C7193F"/>
    <w:rsid w:val="25F73E14"/>
    <w:rsid w:val="25F74A5C"/>
    <w:rsid w:val="261C6242"/>
    <w:rsid w:val="2628662C"/>
    <w:rsid w:val="262D45DE"/>
    <w:rsid w:val="264A0EBF"/>
    <w:rsid w:val="264A61BF"/>
    <w:rsid w:val="2662090A"/>
    <w:rsid w:val="26A53EF9"/>
    <w:rsid w:val="26A94201"/>
    <w:rsid w:val="26AC274F"/>
    <w:rsid w:val="27044A29"/>
    <w:rsid w:val="27056071"/>
    <w:rsid w:val="271D34C8"/>
    <w:rsid w:val="276142BF"/>
    <w:rsid w:val="27783712"/>
    <w:rsid w:val="27907362"/>
    <w:rsid w:val="27DD317D"/>
    <w:rsid w:val="27E965F8"/>
    <w:rsid w:val="27EE00B2"/>
    <w:rsid w:val="28221359"/>
    <w:rsid w:val="28333E1D"/>
    <w:rsid w:val="283C6C0F"/>
    <w:rsid w:val="28454BD6"/>
    <w:rsid w:val="28455253"/>
    <w:rsid w:val="28551971"/>
    <w:rsid w:val="285B1C53"/>
    <w:rsid w:val="2895356C"/>
    <w:rsid w:val="289F7086"/>
    <w:rsid w:val="28BF3FDA"/>
    <w:rsid w:val="28C32028"/>
    <w:rsid w:val="28CC490F"/>
    <w:rsid w:val="28D62667"/>
    <w:rsid w:val="28DE40AA"/>
    <w:rsid w:val="29345E77"/>
    <w:rsid w:val="29357A83"/>
    <w:rsid w:val="294B0DAC"/>
    <w:rsid w:val="294C65AD"/>
    <w:rsid w:val="29806583"/>
    <w:rsid w:val="298B3C4C"/>
    <w:rsid w:val="29BD013F"/>
    <w:rsid w:val="29D54D29"/>
    <w:rsid w:val="29E90B31"/>
    <w:rsid w:val="29F26D24"/>
    <w:rsid w:val="2A1170FC"/>
    <w:rsid w:val="2A15033F"/>
    <w:rsid w:val="2A155109"/>
    <w:rsid w:val="2A1662C1"/>
    <w:rsid w:val="2A1C7367"/>
    <w:rsid w:val="2A2815FA"/>
    <w:rsid w:val="2A6D6092"/>
    <w:rsid w:val="2A7204D1"/>
    <w:rsid w:val="2A7D76B4"/>
    <w:rsid w:val="2AC01D81"/>
    <w:rsid w:val="2AC70EDC"/>
    <w:rsid w:val="2AEA54C5"/>
    <w:rsid w:val="2B373B1E"/>
    <w:rsid w:val="2B437463"/>
    <w:rsid w:val="2B7807EE"/>
    <w:rsid w:val="2B945009"/>
    <w:rsid w:val="2BBF00EC"/>
    <w:rsid w:val="2BC37CFD"/>
    <w:rsid w:val="2BD5237F"/>
    <w:rsid w:val="2BE536CE"/>
    <w:rsid w:val="2BE758D9"/>
    <w:rsid w:val="2BE772F2"/>
    <w:rsid w:val="2C09049E"/>
    <w:rsid w:val="2C0A653C"/>
    <w:rsid w:val="2C191F85"/>
    <w:rsid w:val="2C4712C3"/>
    <w:rsid w:val="2C556E31"/>
    <w:rsid w:val="2C6000DA"/>
    <w:rsid w:val="2C874F6F"/>
    <w:rsid w:val="2CA32A1F"/>
    <w:rsid w:val="2CE82D6F"/>
    <w:rsid w:val="2D343236"/>
    <w:rsid w:val="2D4509FB"/>
    <w:rsid w:val="2D5C086B"/>
    <w:rsid w:val="2D823314"/>
    <w:rsid w:val="2D9078D1"/>
    <w:rsid w:val="2D9214E0"/>
    <w:rsid w:val="2DD1025A"/>
    <w:rsid w:val="2DD15014"/>
    <w:rsid w:val="2DD61195"/>
    <w:rsid w:val="2DF51922"/>
    <w:rsid w:val="2DF72DE4"/>
    <w:rsid w:val="2E0220AF"/>
    <w:rsid w:val="2E07472B"/>
    <w:rsid w:val="2E0E6DB8"/>
    <w:rsid w:val="2E455766"/>
    <w:rsid w:val="2E4B082A"/>
    <w:rsid w:val="2E5D4E86"/>
    <w:rsid w:val="2E5D790B"/>
    <w:rsid w:val="2E753370"/>
    <w:rsid w:val="2E9A3C18"/>
    <w:rsid w:val="2EBB0FEE"/>
    <w:rsid w:val="2EBB1AB9"/>
    <w:rsid w:val="2EC22DD3"/>
    <w:rsid w:val="2EC63002"/>
    <w:rsid w:val="2EE364E6"/>
    <w:rsid w:val="2EFD2AE1"/>
    <w:rsid w:val="2F0A6B38"/>
    <w:rsid w:val="2F3B2DD2"/>
    <w:rsid w:val="2F6F7335"/>
    <w:rsid w:val="2F93773A"/>
    <w:rsid w:val="2F946CCB"/>
    <w:rsid w:val="2FAC6889"/>
    <w:rsid w:val="2FD25781"/>
    <w:rsid w:val="2FDB0057"/>
    <w:rsid w:val="2FFD5044"/>
    <w:rsid w:val="2FFD7934"/>
    <w:rsid w:val="30422AB5"/>
    <w:rsid w:val="30733ACD"/>
    <w:rsid w:val="3075311F"/>
    <w:rsid w:val="308C3862"/>
    <w:rsid w:val="309379D8"/>
    <w:rsid w:val="30A270F7"/>
    <w:rsid w:val="30DF1478"/>
    <w:rsid w:val="30EC586F"/>
    <w:rsid w:val="311213ED"/>
    <w:rsid w:val="31294542"/>
    <w:rsid w:val="319C6071"/>
    <w:rsid w:val="31A863E0"/>
    <w:rsid w:val="31AC537E"/>
    <w:rsid w:val="31E3679B"/>
    <w:rsid w:val="31E732FD"/>
    <w:rsid w:val="32517576"/>
    <w:rsid w:val="32BE5C2C"/>
    <w:rsid w:val="32C263C3"/>
    <w:rsid w:val="32ED07A3"/>
    <w:rsid w:val="32FB6478"/>
    <w:rsid w:val="330709B5"/>
    <w:rsid w:val="330E2F43"/>
    <w:rsid w:val="330E6900"/>
    <w:rsid w:val="33263B3F"/>
    <w:rsid w:val="332C1A8F"/>
    <w:rsid w:val="334A12E1"/>
    <w:rsid w:val="336963EB"/>
    <w:rsid w:val="33816EEB"/>
    <w:rsid w:val="338F52EF"/>
    <w:rsid w:val="33EB55CD"/>
    <w:rsid w:val="33EC4C02"/>
    <w:rsid w:val="340D2360"/>
    <w:rsid w:val="3410665D"/>
    <w:rsid w:val="34211214"/>
    <w:rsid w:val="342E63AB"/>
    <w:rsid w:val="34711E4F"/>
    <w:rsid w:val="347551BB"/>
    <w:rsid w:val="34915D87"/>
    <w:rsid w:val="34950E68"/>
    <w:rsid w:val="34986E94"/>
    <w:rsid w:val="34AF62C9"/>
    <w:rsid w:val="34CB4388"/>
    <w:rsid w:val="34FA6E12"/>
    <w:rsid w:val="358D5588"/>
    <w:rsid w:val="35C05806"/>
    <w:rsid w:val="35C42453"/>
    <w:rsid w:val="360A255B"/>
    <w:rsid w:val="361B3215"/>
    <w:rsid w:val="363A3B40"/>
    <w:rsid w:val="365302AE"/>
    <w:rsid w:val="36607A0A"/>
    <w:rsid w:val="366529DF"/>
    <w:rsid w:val="36655284"/>
    <w:rsid w:val="366E227C"/>
    <w:rsid w:val="366F2E0D"/>
    <w:rsid w:val="36735F09"/>
    <w:rsid w:val="367B6A5C"/>
    <w:rsid w:val="36A52284"/>
    <w:rsid w:val="36A74ADA"/>
    <w:rsid w:val="36AD60D5"/>
    <w:rsid w:val="36B224F9"/>
    <w:rsid w:val="36BE005A"/>
    <w:rsid w:val="36EC0CC9"/>
    <w:rsid w:val="37090039"/>
    <w:rsid w:val="371A4B70"/>
    <w:rsid w:val="37363295"/>
    <w:rsid w:val="373F410B"/>
    <w:rsid w:val="37755EB7"/>
    <w:rsid w:val="379245B6"/>
    <w:rsid w:val="37EE7094"/>
    <w:rsid w:val="38296C89"/>
    <w:rsid w:val="383002EB"/>
    <w:rsid w:val="38586797"/>
    <w:rsid w:val="38797966"/>
    <w:rsid w:val="388243AC"/>
    <w:rsid w:val="38855EC9"/>
    <w:rsid w:val="388801F5"/>
    <w:rsid w:val="3894610C"/>
    <w:rsid w:val="38B113F5"/>
    <w:rsid w:val="38BC0149"/>
    <w:rsid w:val="38D87D1C"/>
    <w:rsid w:val="38E22CFA"/>
    <w:rsid w:val="391A199A"/>
    <w:rsid w:val="39636459"/>
    <w:rsid w:val="396B7F6C"/>
    <w:rsid w:val="39B417A9"/>
    <w:rsid w:val="39BB2205"/>
    <w:rsid w:val="39F94929"/>
    <w:rsid w:val="39FC5695"/>
    <w:rsid w:val="3A006D8E"/>
    <w:rsid w:val="3A3651E5"/>
    <w:rsid w:val="3A6B67E3"/>
    <w:rsid w:val="3A744481"/>
    <w:rsid w:val="3A8C7BEF"/>
    <w:rsid w:val="3A906246"/>
    <w:rsid w:val="3AE004A0"/>
    <w:rsid w:val="3B2349B7"/>
    <w:rsid w:val="3B3C7E67"/>
    <w:rsid w:val="3B3FC59C"/>
    <w:rsid w:val="3B4257EA"/>
    <w:rsid w:val="3B616CFF"/>
    <w:rsid w:val="3B6259F6"/>
    <w:rsid w:val="3B720C0D"/>
    <w:rsid w:val="3B976654"/>
    <w:rsid w:val="3BAF42E8"/>
    <w:rsid w:val="3BB6355F"/>
    <w:rsid w:val="3BC01EFC"/>
    <w:rsid w:val="3BCA786A"/>
    <w:rsid w:val="3BD31E2F"/>
    <w:rsid w:val="3BF15831"/>
    <w:rsid w:val="3C105946"/>
    <w:rsid w:val="3C471448"/>
    <w:rsid w:val="3C5F759A"/>
    <w:rsid w:val="3C6C525A"/>
    <w:rsid w:val="3CAD649B"/>
    <w:rsid w:val="3CC33275"/>
    <w:rsid w:val="3CC34D87"/>
    <w:rsid w:val="3CCB4B5A"/>
    <w:rsid w:val="3CCE23CB"/>
    <w:rsid w:val="3CD17D17"/>
    <w:rsid w:val="3D095B46"/>
    <w:rsid w:val="3D3C7F39"/>
    <w:rsid w:val="3D4015F2"/>
    <w:rsid w:val="3D440F09"/>
    <w:rsid w:val="3D4504A0"/>
    <w:rsid w:val="3D6F6425"/>
    <w:rsid w:val="3D7824A0"/>
    <w:rsid w:val="3D864BBD"/>
    <w:rsid w:val="3D8734BB"/>
    <w:rsid w:val="3D9A11D4"/>
    <w:rsid w:val="3DA16D89"/>
    <w:rsid w:val="3DA364BE"/>
    <w:rsid w:val="3DAC2910"/>
    <w:rsid w:val="3DE041CB"/>
    <w:rsid w:val="3E0D48F6"/>
    <w:rsid w:val="3E185305"/>
    <w:rsid w:val="3E1868B4"/>
    <w:rsid w:val="3E377251"/>
    <w:rsid w:val="3E42664B"/>
    <w:rsid w:val="3E4A4A56"/>
    <w:rsid w:val="3E4B4F87"/>
    <w:rsid w:val="3E5661DC"/>
    <w:rsid w:val="3E5A7334"/>
    <w:rsid w:val="3E7B5D6B"/>
    <w:rsid w:val="3E843E66"/>
    <w:rsid w:val="3E8F51FE"/>
    <w:rsid w:val="3E926F87"/>
    <w:rsid w:val="3E9A59DE"/>
    <w:rsid w:val="3EAF4836"/>
    <w:rsid w:val="3EB94A62"/>
    <w:rsid w:val="3EC33DFA"/>
    <w:rsid w:val="3EC84D62"/>
    <w:rsid w:val="3EE85404"/>
    <w:rsid w:val="3F060E16"/>
    <w:rsid w:val="3F125A52"/>
    <w:rsid w:val="3F173D18"/>
    <w:rsid w:val="3F1C4A39"/>
    <w:rsid w:val="3F1D1096"/>
    <w:rsid w:val="3F2F0234"/>
    <w:rsid w:val="3F485DF7"/>
    <w:rsid w:val="3F6363FE"/>
    <w:rsid w:val="3F6F35A5"/>
    <w:rsid w:val="3F756B8F"/>
    <w:rsid w:val="3F782B16"/>
    <w:rsid w:val="3F8F60F8"/>
    <w:rsid w:val="3F95482B"/>
    <w:rsid w:val="3FA57E6B"/>
    <w:rsid w:val="401565BF"/>
    <w:rsid w:val="4019356B"/>
    <w:rsid w:val="40275AB8"/>
    <w:rsid w:val="4046605F"/>
    <w:rsid w:val="40592157"/>
    <w:rsid w:val="40674A44"/>
    <w:rsid w:val="406E1CAE"/>
    <w:rsid w:val="4070076D"/>
    <w:rsid w:val="407A39D5"/>
    <w:rsid w:val="40817E61"/>
    <w:rsid w:val="409A0980"/>
    <w:rsid w:val="40A0133A"/>
    <w:rsid w:val="40C11463"/>
    <w:rsid w:val="40C31A53"/>
    <w:rsid w:val="40FF545D"/>
    <w:rsid w:val="410067C8"/>
    <w:rsid w:val="41193901"/>
    <w:rsid w:val="41340454"/>
    <w:rsid w:val="418F0D2A"/>
    <w:rsid w:val="419929E5"/>
    <w:rsid w:val="41A22999"/>
    <w:rsid w:val="41D01505"/>
    <w:rsid w:val="41E9396D"/>
    <w:rsid w:val="421079C8"/>
    <w:rsid w:val="421E7984"/>
    <w:rsid w:val="42474939"/>
    <w:rsid w:val="424C3C57"/>
    <w:rsid w:val="425C592F"/>
    <w:rsid w:val="42613FF3"/>
    <w:rsid w:val="42654F91"/>
    <w:rsid w:val="42660D96"/>
    <w:rsid w:val="428667D2"/>
    <w:rsid w:val="429A368A"/>
    <w:rsid w:val="42CD1CE0"/>
    <w:rsid w:val="42E1381E"/>
    <w:rsid w:val="42ED6459"/>
    <w:rsid w:val="42F16C31"/>
    <w:rsid w:val="42FE58DD"/>
    <w:rsid w:val="43144544"/>
    <w:rsid w:val="43174B3D"/>
    <w:rsid w:val="431C3DDE"/>
    <w:rsid w:val="43354997"/>
    <w:rsid w:val="434B790E"/>
    <w:rsid w:val="4360274F"/>
    <w:rsid w:val="43977AB6"/>
    <w:rsid w:val="43A07FF2"/>
    <w:rsid w:val="43A24A91"/>
    <w:rsid w:val="43A3342B"/>
    <w:rsid w:val="43C77C27"/>
    <w:rsid w:val="43DE09EE"/>
    <w:rsid w:val="44002FAD"/>
    <w:rsid w:val="440A6DAE"/>
    <w:rsid w:val="4415542B"/>
    <w:rsid w:val="44657104"/>
    <w:rsid w:val="449101DD"/>
    <w:rsid w:val="44BA722D"/>
    <w:rsid w:val="44DE1391"/>
    <w:rsid w:val="44F96CD2"/>
    <w:rsid w:val="45106B70"/>
    <w:rsid w:val="451B225C"/>
    <w:rsid w:val="452410C9"/>
    <w:rsid w:val="45317DFB"/>
    <w:rsid w:val="456D3CE4"/>
    <w:rsid w:val="4579042C"/>
    <w:rsid w:val="457F0571"/>
    <w:rsid w:val="45851176"/>
    <w:rsid w:val="45883496"/>
    <w:rsid w:val="45AF4585"/>
    <w:rsid w:val="45B10806"/>
    <w:rsid w:val="45C63B94"/>
    <w:rsid w:val="45C7395E"/>
    <w:rsid w:val="45D778F2"/>
    <w:rsid w:val="45ED1044"/>
    <w:rsid w:val="45FF50F7"/>
    <w:rsid w:val="460A332B"/>
    <w:rsid w:val="460E7DA5"/>
    <w:rsid w:val="4629258A"/>
    <w:rsid w:val="46402205"/>
    <w:rsid w:val="46422483"/>
    <w:rsid w:val="4659254A"/>
    <w:rsid w:val="465B0637"/>
    <w:rsid w:val="465E3F0D"/>
    <w:rsid w:val="466A16E6"/>
    <w:rsid w:val="466A3861"/>
    <w:rsid w:val="467B69ED"/>
    <w:rsid w:val="46893F2B"/>
    <w:rsid w:val="46C4686E"/>
    <w:rsid w:val="4715601C"/>
    <w:rsid w:val="476C6937"/>
    <w:rsid w:val="477B778F"/>
    <w:rsid w:val="477F61D9"/>
    <w:rsid w:val="478203EC"/>
    <w:rsid w:val="478661AE"/>
    <w:rsid w:val="479C6D8B"/>
    <w:rsid w:val="47B025FA"/>
    <w:rsid w:val="47FE483C"/>
    <w:rsid w:val="4809698F"/>
    <w:rsid w:val="4811697D"/>
    <w:rsid w:val="485164AC"/>
    <w:rsid w:val="487A3E25"/>
    <w:rsid w:val="488169AC"/>
    <w:rsid w:val="488B5503"/>
    <w:rsid w:val="48937E21"/>
    <w:rsid w:val="489A0361"/>
    <w:rsid w:val="48AD6A8D"/>
    <w:rsid w:val="48B94FF3"/>
    <w:rsid w:val="48E37AAB"/>
    <w:rsid w:val="48FD4B4C"/>
    <w:rsid w:val="49061243"/>
    <w:rsid w:val="490A68E0"/>
    <w:rsid w:val="491055FE"/>
    <w:rsid w:val="491A265E"/>
    <w:rsid w:val="495A44E3"/>
    <w:rsid w:val="495F5B3E"/>
    <w:rsid w:val="496F77D7"/>
    <w:rsid w:val="497654FD"/>
    <w:rsid w:val="497E2BEC"/>
    <w:rsid w:val="499C3073"/>
    <w:rsid w:val="49B64211"/>
    <w:rsid w:val="49F6167F"/>
    <w:rsid w:val="4A064FA0"/>
    <w:rsid w:val="4A0909A1"/>
    <w:rsid w:val="4A16615C"/>
    <w:rsid w:val="4A2E3849"/>
    <w:rsid w:val="4A4424D7"/>
    <w:rsid w:val="4AB82D0F"/>
    <w:rsid w:val="4ABB17CB"/>
    <w:rsid w:val="4ABE526B"/>
    <w:rsid w:val="4AEB7664"/>
    <w:rsid w:val="4AFD7C19"/>
    <w:rsid w:val="4B01013B"/>
    <w:rsid w:val="4B0567D1"/>
    <w:rsid w:val="4B1C363A"/>
    <w:rsid w:val="4B236AAE"/>
    <w:rsid w:val="4B707271"/>
    <w:rsid w:val="4B7D15B9"/>
    <w:rsid w:val="4B9739F7"/>
    <w:rsid w:val="4BEE2503"/>
    <w:rsid w:val="4BEF5BF8"/>
    <w:rsid w:val="4C245A30"/>
    <w:rsid w:val="4C503B9A"/>
    <w:rsid w:val="4C736329"/>
    <w:rsid w:val="4C790A74"/>
    <w:rsid w:val="4C7C718B"/>
    <w:rsid w:val="4C9A4AA6"/>
    <w:rsid w:val="4CB6685F"/>
    <w:rsid w:val="4CC367FE"/>
    <w:rsid w:val="4CD670E4"/>
    <w:rsid w:val="4D077F3C"/>
    <w:rsid w:val="4D123355"/>
    <w:rsid w:val="4D2A3B31"/>
    <w:rsid w:val="4D312C52"/>
    <w:rsid w:val="4D383202"/>
    <w:rsid w:val="4D73233C"/>
    <w:rsid w:val="4D7905BB"/>
    <w:rsid w:val="4D844549"/>
    <w:rsid w:val="4D905305"/>
    <w:rsid w:val="4D964A72"/>
    <w:rsid w:val="4D9B759A"/>
    <w:rsid w:val="4D9C1254"/>
    <w:rsid w:val="4DC36632"/>
    <w:rsid w:val="4DE4323A"/>
    <w:rsid w:val="4DF55F07"/>
    <w:rsid w:val="4DFC0584"/>
    <w:rsid w:val="4E6544E7"/>
    <w:rsid w:val="4E793892"/>
    <w:rsid w:val="4E800872"/>
    <w:rsid w:val="4EB63AF8"/>
    <w:rsid w:val="4EC569ED"/>
    <w:rsid w:val="4ED50EA1"/>
    <w:rsid w:val="4EDF24BE"/>
    <w:rsid w:val="4EEC050C"/>
    <w:rsid w:val="4F104EC3"/>
    <w:rsid w:val="4F2C625F"/>
    <w:rsid w:val="4F47354A"/>
    <w:rsid w:val="4F520EB3"/>
    <w:rsid w:val="4F710CA8"/>
    <w:rsid w:val="4F911C54"/>
    <w:rsid w:val="4F931472"/>
    <w:rsid w:val="4FE625E0"/>
    <w:rsid w:val="4FE94F10"/>
    <w:rsid w:val="5021480F"/>
    <w:rsid w:val="503B1837"/>
    <w:rsid w:val="506932DB"/>
    <w:rsid w:val="50897E78"/>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1C251C4"/>
    <w:rsid w:val="521D5F8F"/>
    <w:rsid w:val="522E4CC3"/>
    <w:rsid w:val="5244713B"/>
    <w:rsid w:val="52615633"/>
    <w:rsid w:val="52977FD4"/>
    <w:rsid w:val="52A25790"/>
    <w:rsid w:val="52A96B6F"/>
    <w:rsid w:val="52B45975"/>
    <w:rsid w:val="52D94AA4"/>
    <w:rsid w:val="52EA3A62"/>
    <w:rsid w:val="52F50BB8"/>
    <w:rsid w:val="53097272"/>
    <w:rsid w:val="53332910"/>
    <w:rsid w:val="53513CED"/>
    <w:rsid w:val="53544462"/>
    <w:rsid w:val="535A1773"/>
    <w:rsid w:val="53946913"/>
    <w:rsid w:val="5397158E"/>
    <w:rsid w:val="54013861"/>
    <w:rsid w:val="54487265"/>
    <w:rsid w:val="544D6070"/>
    <w:rsid w:val="54593DEF"/>
    <w:rsid w:val="54605E1E"/>
    <w:rsid w:val="54B3506A"/>
    <w:rsid w:val="54CA0D16"/>
    <w:rsid w:val="54D934E7"/>
    <w:rsid w:val="54DD4057"/>
    <w:rsid w:val="54E7490F"/>
    <w:rsid w:val="54FA328F"/>
    <w:rsid w:val="550764A4"/>
    <w:rsid w:val="550B2BF6"/>
    <w:rsid w:val="55214EB5"/>
    <w:rsid w:val="552F04B5"/>
    <w:rsid w:val="55364EFD"/>
    <w:rsid w:val="555D4828"/>
    <w:rsid w:val="557A4C8B"/>
    <w:rsid w:val="558931E1"/>
    <w:rsid w:val="55902A27"/>
    <w:rsid w:val="55923347"/>
    <w:rsid w:val="55925180"/>
    <w:rsid w:val="55983B1B"/>
    <w:rsid w:val="55A8376B"/>
    <w:rsid w:val="55AC6D33"/>
    <w:rsid w:val="55AE4859"/>
    <w:rsid w:val="55D50903"/>
    <w:rsid w:val="55DC29B6"/>
    <w:rsid w:val="55DD4241"/>
    <w:rsid w:val="561926D0"/>
    <w:rsid w:val="566B6D1E"/>
    <w:rsid w:val="569F6AC7"/>
    <w:rsid w:val="56AA6827"/>
    <w:rsid w:val="57032A2C"/>
    <w:rsid w:val="570F5219"/>
    <w:rsid w:val="575D12B5"/>
    <w:rsid w:val="57610A87"/>
    <w:rsid w:val="5772374D"/>
    <w:rsid w:val="577B1140"/>
    <w:rsid w:val="577B7F21"/>
    <w:rsid w:val="577F181B"/>
    <w:rsid w:val="57921984"/>
    <w:rsid w:val="579737F0"/>
    <w:rsid w:val="57AB7B30"/>
    <w:rsid w:val="57AF5251"/>
    <w:rsid w:val="57B26373"/>
    <w:rsid w:val="57B63F04"/>
    <w:rsid w:val="57CD20C2"/>
    <w:rsid w:val="57D675AB"/>
    <w:rsid w:val="57D95FDD"/>
    <w:rsid w:val="57E842D2"/>
    <w:rsid w:val="57EA58F1"/>
    <w:rsid w:val="57FF17AF"/>
    <w:rsid w:val="58131835"/>
    <w:rsid w:val="58142FFC"/>
    <w:rsid w:val="585B1424"/>
    <w:rsid w:val="58917D2F"/>
    <w:rsid w:val="5894085C"/>
    <w:rsid w:val="58AE4F0C"/>
    <w:rsid w:val="58B85899"/>
    <w:rsid w:val="58CD6118"/>
    <w:rsid w:val="58E363A9"/>
    <w:rsid w:val="58E43708"/>
    <w:rsid w:val="590E29AC"/>
    <w:rsid w:val="5915214E"/>
    <w:rsid w:val="595649FB"/>
    <w:rsid w:val="595E1678"/>
    <w:rsid w:val="596D5BD4"/>
    <w:rsid w:val="59782F99"/>
    <w:rsid w:val="597E3DD8"/>
    <w:rsid w:val="59D634DF"/>
    <w:rsid w:val="59F80043"/>
    <w:rsid w:val="59FB3DE5"/>
    <w:rsid w:val="5A020A23"/>
    <w:rsid w:val="5A09252F"/>
    <w:rsid w:val="5A0B2778"/>
    <w:rsid w:val="5A133E67"/>
    <w:rsid w:val="5A2A7C7B"/>
    <w:rsid w:val="5A3E2560"/>
    <w:rsid w:val="5A41485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CEC7655"/>
    <w:rsid w:val="5D0C4701"/>
    <w:rsid w:val="5D0F0395"/>
    <w:rsid w:val="5D221076"/>
    <w:rsid w:val="5D397964"/>
    <w:rsid w:val="5D3C099D"/>
    <w:rsid w:val="5D5A391C"/>
    <w:rsid w:val="5D5F10C0"/>
    <w:rsid w:val="5D891B7B"/>
    <w:rsid w:val="5DA35AD2"/>
    <w:rsid w:val="5DAA5DD8"/>
    <w:rsid w:val="5DAD38EE"/>
    <w:rsid w:val="5DCE5EE9"/>
    <w:rsid w:val="5E006862"/>
    <w:rsid w:val="5E0207B9"/>
    <w:rsid w:val="5E0B0AD6"/>
    <w:rsid w:val="5E1834A1"/>
    <w:rsid w:val="5E261785"/>
    <w:rsid w:val="5E4A7017"/>
    <w:rsid w:val="5E4F2952"/>
    <w:rsid w:val="5E552BBA"/>
    <w:rsid w:val="5E610D01"/>
    <w:rsid w:val="5E611C10"/>
    <w:rsid w:val="5E655CD1"/>
    <w:rsid w:val="5E766130"/>
    <w:rsid w:val="5EA31D4C"/>
    <w:rsid w:val="5EF217F7"/>
    <w:rsid w:val="5EFC7377"/>
    <w:rsid w:val="5F06174D"/>
    <w:rsid w:val="5F3A3602"/>
    <w:rsid w:val="5F6277C6"/>
    <w:rsid w:val="5F6D0B1D"/>
    <w:rsid w:val="5F6FF5AD"/>
    <w:rsid w:val="5F8B0027"/>
    <w:rsid w:val="5F8D0B82"/>
    <w:rsid w:val="5FCC5339"/>
    <w:rsid w:val="5FD06E49"/>
    <w:rsid w:val="5FE34A5B"/>
    <w:rsid w:val="5FFE1E36"/>
    <w:rsid w:val="600502B2"/>
    <w:rsid w:val="60232584"/>
    <w:rsid w:val="602C4E9D"/>
    <w:rsid w:val="6060009F"/>
    <w:rsid w:val="607330CE"/>
    <w:rsid w:val="60765A99"/>
    <w:rsid w:val="60825176"/>
    <w:rsid w:val="609F2AC4"/>
    <w:rsid w:val="60FA2EE8"/>
    <w:rsid w:val="61054A27"/>
    <w:rsid w:val="610A52BC"/>
    <w:rsid w:val="611D2366"/>
    <w:rsid w:val="61401BAF"/>
    <w:rsid w:val="61421856"/>
    <w:rsid w:val="615227C4"/>
    <w:rsid w:val="6153074E"/>
    <w:rsid w:val="61654E3F"/>
    <w:rsid w:val="61721216"/>
    <w:rsid w:val="6182292A"/>
    <w:rsid w:val="618D5C6B"/>
    <w:rsid w:val="619F7F92"/>
    <w:rsid w:val="61B60EF8"/>
    <w:rsid w:val="61F94C26"/>
    <w:rsid w:val="62000E56"/>
    <w:rsid w:val="620A1913"/>
    <w:rsid w:val="620E01E9"/>
    <w:rsid w:val="620F44F5"/>
    <w:rsid w:val="62330149"/>
    <w:rsid w:val="624E346D"/>
    <w:rsid w:val="624F3E49"/>
    <w:rsid w:val="62632286"/>
    <w:rsid w:val="62885958"/>
    <w:rsid w:val="62B674A5"/>
    <w:rsid w:val="62F40B65"/>
    <w:rsid w:val="62FC2CFE"/>
    <w:rsid w:val="63024505"/>
    <w:rsid w:val="631E1D46"/>
    <w:rsid w:val="632C6FB1"/>
    <w:rsid w:val="633D721D"/>
    <w:rsid w:val="635B1DB5"/>
    <w:rsid w:val="636B0439"/>
    <w:rsid w:val="63711FED"/>
    <w:rsid w:val="63880DDC"/>
    <w:rsid w:val="638D750D"/>
    <w:rsid w:val="63A36518"/>
    <w:rsid w:val="63AC6CC0"/>
    <w:rsid w:val="63D066D2"/>
    <w:rsid w:val="64055776"/>
    <w:rsid w:val="640C0875"/>
    <w:rsid w:val="640E127D"/>
    <w:rsid w:val="64240056"/>
    <w:rsid w:val="643E143A"/>
    <w:rsid w:val="645A71B2"/>
    <w:rsid w:val="648B6EEF"/>
    <w:rsid w:val="648C1B70"/>
    <w:rsid w:val="64B33C3A"/>
    <w:rsid w:val="64C158BF"/>
    <w:rsid w:val="64C27B00"/>
    <w:rsid w:val="64CE2EAA"/>
    <w:rsid w:val="64D66A7C"/>
    <w:rsid w:val="653C3090"/>
    <w:rsid w:val="65405CCA"/>
    <w:rsid w:val="654155DA"/>
    <w:rsid w:val="655A3BEA"/>
    <w:rsid w:val="6578453C"/>
    <w:rsid w:val="65854376"/>
    <w:rsid w:val="658767BE"/>
    <w:rsid w:val="65892531"/>
    <w:rsid w:val="65BA52F7"/>
    <w:rsid w:val="6600182C"/>
    <w:rsid w:val="66065A48"/>
    <w:rsid w:val="66195831"/>
    <w:rsid w:val="662B5A52"/>
    <w:rsid w:val="662D6DA8"/>
    <w:rsid w:val="662E75B1"/>
    <w:rsid w:val="66342C2E"/>
    <w:rsid w:val="663547EF"/>
    <w:rsid w:val="663E784C"/>
    <w:rsid w:val="667A09B7"/>
    <w:rsid w:val="668B6A45"/>
    <w:rsid w:val="66A45BDC"/>
    <w:rsid w:val="66C74351"/>
    <w:rsid w:val="671B2C97"/>
    <w:rsid w:val="672F3F24"/>
    <w:rsid w:val="673E055F"/>
    <w:rsid w:val="67551CE3"/>
    <w:rsid w:val="67762F9E"/>
    <w:rsid w:val="679413D5"/>
    <w:rsid w:val="679B2025"/>
    <w:rsid w:val="67A22552"/>
    <w:rsid w:val="67B22DCC"/>
    <w:rsid w:val="67BE71AA"/>
    <w:rsid w:val="67D90273"/>
    <w:rsid w:val="67DE5875"/>
    <w:rsid w:val="67E55852"/>
    <w:rsid w:val="67EB1AB4"/>
    <w:rsid w:val="67FA1285"/>
    <w:rsid w:val="68551F4F"/>
    <w:rsid w:val="685847A6"/>
    <w:rsid w:val="68666CAF"/>
    <w:rsid w:val="687C10C9"/>
    <w:rsid w:val="68840C16"/>
    <w:rsid w:val="68876EFB"/>
    <w:rsid w:val="68884654"/>
    <w:rsid w:val="689F444F"/>
    <w:rsid w:val="68B96DBB"/>
    <w:rsid w:val="68BB37A7"/>
    <w:rsid w:val="68CA2805"/>
    <w:rsid w:val="68E72104"/>
    <w:rsid w:val="68E937A3"/>
    <w:rsid w:val="69196B57"/>
    <w:rsid w:val="691C4BA2"/>
    <w:rsid w:val="693E15D3"/>
    <w:rsid w:val="694E7060"/>
    <w:rsid w:val="69627681"/>
    <w:rsid w:val="69701FBE"/>
    <w:rsid w:val="6977531D"/>
    <w:rsid w:val="697B1F3A"/>
    <w:rsid w:val="69A53598"/>
    <w:rsid w:val="69C85FF1"/>
    <w:rsid w:val="69CC2BFF"/>
    <w:rsid w:val="69DB32EB"/>
    <w:rsid w:val="69FD55B8"/>
    <w:rsid w:val="69FF2E21"/>
    <w:rsid w:val="6A0B1C62"/>
    <w:rsid w:val="6A2406C8"/>
    <w:rsid w:val="6A2C3AC3"/>
    <w:rsid w:val="6A4B7311"/>
    <w:rsid w:val="6A834F5B"/>
    <w:rsid w:val="6A8453C5"/>
    <w:rsid w:val="6A9A6657"/>
    <w:rsid w:val="6AA602C6"/>
    <w:rsid w:val="6ADE0BD1"/>
    <w:rsid w:val="6AE96859"/>
    <w:rsid w:val="6B147746"/>
    <w:rsid w:val="6B24787C"/>
    <w:rsid w:val="6B26761E"/>
    <w:rsid w:val="6B380B3D"/>
    <w:rsid w:val="6B426AD4"/>
    <w:rsid w:val="6B573233"/>
    <w:rsid w:val="6B5B6274"/>
    <w:rsid w:val="6B935D53"/>
    <w:rsid w:val="6BDA1BDD"/>
    <w:rsid w:val="6BDC30C6"/>
    <w:rsid w:val="6C133194"/>
    <w:rsid w:val="6C196F71"/>
    <w:rsid w:val="6C1A6BD0"/>
    <w:rsid w:val="6C226FCB"/>
    <w:rsid w:val="6C31226F"/>
    <w:rsid w:val="6C514E57"/>
    <w:rsid w:val="6C552F0B"/>
    <w:rsid w:val="6C8C67B7"/>
    <w:rsid w:val="6C9D744C"/>
    <w:rsid w:val="6CC55D31"/>
    <w:rsid w:val="6D167928"/>
    <w:rsid w:val="6D26299B"/>
    <w:rsid w:val="6D4772EC"/>
    <w:rsid w:val="6D9078AF"/>
    <w:rsid w:val="6DAA3FEF"/>
    <w:rsid w:val="6DBF2DB2"/>
    <w:rsid w:val="6DC0172B"/>
    <w:rsid w:val="6DCB690C"/>
    <w:rsid w:val="6DD41A5B"/>
    <w:rsid w:val="6DF43C2E"/>
    <w:rsid w:val="6DF51CA3"/>
    <w:rsid w:val="6E0863D3"/>
    <w:rsid w:val="6E8335BD"/>
    <w:rsid w:val="6E8E12EF"/>
    <w:rsid w:val="6E972936"/>
    <w:rsid w:val="6EAC5256"/>
    <w:rsid w:val="6EBF1DC3"/>
    <w:rsid w:val="6ED446C5"/>
    <w:rsid w:val="6F2A7D94"/>
    <w:rsid w:val="6F4F7E59"/>
    <w:rsid w:val="6F730377"/>
    <w:rsid w:val="6F8331F1"/>
    <w:rsid w:val="6F8A0F8C"/>
    <w:rsid w:val="6FAE1A09"/>
    <w:rsid w:val="6FD44A65"/>
    <w:rsid w:val="6FD75BF8"/>
    <w:rsid w:val="70206492"/>
    <w:rsid w:val="706F5019"/>
    <w:rsid w:val="707723D0"/>
    <w:rsid w:val="70BF3010"/>
    <w:rsid w:val="70E5507E"/>
    <w:rsid w:val="70F5661B"/>
    <w:rsid w:val="71084023"/>
    <w:rsid w:val="710E183A"/>
    <w:rsid w:val="711B4915"/>
    <w:rsid w:val="71360107"/>
    <w:rsid w:val="713B688E"/>
    <w:rsid w:val="7151750C"/>
    <w:rsid w:val="71A265F4"/>
    <w:rsid w:val="71BD44A0"/>
    <w:rsid w:val="71D43752"/>
    <w:rsid w:val="71F1796A"/>
    <w:rsid w:val="72093BA6"/>
    <w:rsid w:val="720C45CB"/>
    <w:rsid w:val="72132D4D"/>
    <w:rsid w:val="72154626"/>
    <w:rsid w:val="72262B5D"/>
    <w:rsid w:val="72283FF7"/>
    <w:rsid w:val="722E7212"/>
    <w:rsid w:val="723904CF"/>
    <w:rsid w:val="723A0474"/>
    <w:rsid w:val="724F4877"/>
    <w:rsid w:val="725923E4"/>
    <w:rsid w:val="727163BD"/>
    <w:rsid w:val="72777EDD"/>
    <w:rsid w:val="72864BF7"/>
    <w:rsid w:val="729023FC"/>
    <w:rsid w:val="72B62B48"/>
    <w:rsid w:val="72CE1FD6"/>
    <w:rsid w:val="7328339C"/>
    <w:rsid w:val="73286404"/>
    <w:rsid w:val="73460898"/>
    <w:rsid w:val="734B48DF"/>
    <w:rsid w:val="73B95C72"/>
    <w:rsid w:val="73C0646E"/>
    <w:rsid w:val="73D239B1"/>
    <w:rsid w:val="73D96AEE"/>
    <w:rsid w:val="73E6120B"/>
    <w:rsid w:val="73EF1E6D"/>
    <w:rsid w:val="742222F5"/>
    <w:rsid w:val="743F27C9"/>
    <w:rsid w:val="74416AC4"/>
    <w:rsid w:val="74476126"/>
    <w:rsid w:val="7463243A"/>
    <w:rsid w:val="746C498F"/>
    <w:rsid w:val="74706664"/>
    <w:rsid w:val="747F3682"/>
    <w:rsid w:val="749173C8"/>
    <w:rsid w:val="749C4185"/>
    <w:rsid w:val="74BC6A08"/>
    <w:rsid w:val="75067759"/>
    <w:rsid w:val="752E6DCD"/>
    <w:rsid w:val="754405BD"/>
    <w:rsid w:val="754F2B6C"/>
    <w:rsid w:val="7551380D"/>
    <w:rsid w:val="75600BE5"/>
    <w:rsid w:val="7564475C"/>
    <w:rsid w:val="7583797F"/>
    <w:rsid w:val="75D20F1D"/>
    <w:rsid w:val="75DA2C18"/>
    <w:rsid w:val="75F54412"/>
    <w:rsid w:val="761D08E0"/>
    <w:rsid w:val="763A5CD8"/>
    <w:rsid w:val="765D347C"/>
    <w:rsid w:val="76826699"/>
    <w:rsid w:val="76B800A3"/>
    <w:rsid w:val="76C87133"/>
    <w:rsid w:val="76CD08D5"/>
    <w:rsid w:val="76DB4B92"/>
    <w:rsid w:val="77052AA4"/>
    <w:rsid w:val="77136511"/>
    <w:rsid w:val="77315B09"/>
    <w:rsid w:val="77340A39"/>
    <w:rsid w:val="77351FD0"/>
    <w:rsid w:val="77472422"/>
    <w:rsid w:val="777F31F2"/>
    <w:rsid w:val="779C6247"/>
    <w:rsid w:val="77D1700D"/>
    <w:rsid w:val="77DF044B"/>
    <w:rsid w:val="77E12CB2"/>
    <w:rsid w:val="77EC04CC"/>
    <w:rsid w:val="77ED2B68"/>
    <w:rsid w:val="77F17944"/>
    <w:rsid w:val="77FDDB5F"/>
    <w:rsid w:val="78063EE4"/>
    <w:rsid w:val="781A0520"/>
    <w:rsid w:val="782C0275"/>
    <w:rsid w:val="784F5CC9"/>
    <w:rsid w:val="78602ACB"/>
    <w:rsid w:val="78632A79"/>
    <w:rsid w:val="78664675"/>
    <w:rsid w:val="78775729"/>
    <w:rsid w:val="789324D6"/>
    <w:rsid w:val="78A42DB0"/>
    <w:rsid w:val="78A656AB"/>
    <w:rsid w:val="78B2245C"/>
    <w:rsid w:val="78CC2A74"/>
    <w:rsid w:val="78E172CC"/>
    <w:rsid w:val="78E201F2"/>
    <w:rsid w:val="78EA1D1F"/>
    <w:rsid w:val="7904172F"/>
    <w:rsid w:val="790F7E27"/>
    <w:rsid w:val="792A231A"/>
    <w:rsid w:val="79316829"/>
    <w:rsid w:val="79475498"/>
    <w:rsid w:val="797E66A9"/>
    <w:rsid w:val="798101C2"/>
    <w:rsid w:val="79A97383"/>
    <w:rsid w:val="79B70FAA"/>
    <w:rsid w:val="79B7342D"/>
    <w:rsid w:val="79D35D8D"/>
    <w:rsid w:val="79E27E8B"/>
    <w:rsid w:val="79F850CE"/>
    <w:rsid w:val="79FD443C"/>
    <w:rsid w:val="7A15183B"/>
    <w:rsid w:val="7A1D1975"/>
    <w:rsid w:val="7A307068"/>
    <w:rsid w:val="7A3E5150"/>
    <w:rsid w:val="7A4670D6"/>
    <w:rsid w:val="7A534B63"/>
    <w:rsid w:val="7A615382"/>
    <w:rsid w:val="7A67303B"/>
    <w:rsid w:val="7A8D0413"/>
    <w:rsid w:val="7AAB1D04"/>
    <w:rsid w:val="7ABA4368"/>
    <w:rsid w:val="7ACD1C1E"/>
    <w:rsid w:val="7AD05746"/>
    <w:rsid w:val="7B0F5D55"/>
    <w:rsid w:val="7B2173E8"/>
    <w:rsid w:val="7B257FFD"/>
    <w:rsid w:val="7B343476"/>
    <w:rsid w:val="7B5A2978"/>
    <w:rsid w:val="7B5A7E4C"/>
    <w:rsid w:val="7B667AF9"/>
    <w:rsid w:val="7B6B7668"/>
    <w:rsid w:val="7B7468F8"/>
    <w:rsid w:val="7B7C1ABA"/>
    <w:rsid w:val="7BAE1558"/>
    <w:rsid w:val="7BC30888"/>
    <w:rsid w:val="7BEE0103"/>
    <w:rsid w:val="7BEF462D"/>
    <w:rsid w:val="7BF56183"/>
    <w:rsid w:val="7C036B92"/>
    <w:rsid w:val="7C0A0FE4"/>
    <w:rsid w:val="7C1A1F01"/>
    <w:rsid w:val="7C254906"/>
    <w:rsid w:val="7C30396B"/>
    <w:rsid w:val="7C590818"/>
    <w:rsid w:val="7C6FCA9D"/>
    <w:rsid w:val="7C7C10F6"/>
    <w:rsid w:val="7C853BEA"/>
    <w:rsid w:val="7C881368"/>
    <w:rsid w:val="7CE27788"/>
    <w:rsid w:val="7D0C32F1"/>
    <w:rsid w:val="7D0F408D"/>
    <w:rsid w:val="7D491C6C"/>
    <w:rsid w:val="7D5429C0"/>
    <w:rsid w:val="7D5A740B"/>
    <w:rsid w:val="7D6B4FC6"/>
    <w:rsid w:val="7D6E6D43"/>
    <w:rsid w:val="7D7E1AD8"/>
    <w:rsid w:val="7DB57A34"/>
    <w:rsid w:val="7DE60973"/>
    <w:rsid w:val="7DEF0916"/>
    <w:rsid w:val="7DF74B1D"/>
    <w:rsid w:val="7E1E5218"/>
    <w:rsid w:val="7E290672"/>
    <w:rsid w:val="7E8D00FD"/>
    <w:rsid w:val="7E924985"/>
    <w:rsid w:val="7E9A4E1F"/>
    <w:rsid w:val="7EA7723A"/>
    <w:rsid w:val="7ED02A96"/>
    <w:rsid w:val="7EF56FBB"/>
    <w:rsid w:val="7F0768EB"/>
    <w:rsid w:val="7F143BEC"/>
    <w:rsid w:val="7F28097A"/>
    <w:rsid w:val="7F715AF2"/>
    <w:rsid w:val="7F886E69"/>
    <w:rsid w:val="7FBB6B37"/>
    <w:rsid w:val="7FD420D3"/>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50"/>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7"/>
    <w:qFormat/>
    <w:uiPriority w:val="0"/>
    <w:pPr>
      <w:ind w:firstLine="420"/>
    </w:pPr>
    <w:rPr>
      <w:rFonts w:hAnsi="Calibri" w:cs="Times New Roman"/>
      <w:snapToGrid/>
      <w:szCs w:val="20"/>
    </w:rPr>
  </w:style>
  <w:style w:type="paragraph" w:styleId="26">
    <w:name w:val="Body Text Indent"/>
    <w:basedOn w:val="1"/>
    <w:next w:val="16"/>
    <w:link w:val="271"/>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next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cs="Arial"/>
    </w:rPr>
  </w:style>
  <w:style w:type="paragraph" w:styleId="43">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6"/>
    <w:qFormat/>
    <w:uiPriority w:val="0"/>
    <w:pPr>
      <w:adjustRightInd/>
      <w:spacing w:before="60" w:after="60" w:line="300" w:lineRule="exact"/>
    </w:pPr>
    <w:rPr>
      <w:rFonts w:ascii="Calibri"/>
      <w:color w:val="0000FF"/>
      <w:kern w:val="0"/>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1"/>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8"/>
    <w:qFormat/>
    <w:uiPriority w:val="0"/>
    <w:pPr>
      <w:spacing w:after="120" w:line="480" w:lineRule="auto"/>
    </w:pPr>
  </w:style>
  <w:style w:type="paragraph" w:styleId="59">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qFormat/>
    <w:uiPriority w:val="0"/>
    <w:rPr>
      <w:b/>
      <w:bCs/>
    </w:rPr>
  </w:style>
  <w:style w:type="paragraph" w:styleId="63">
    <w:name w:val="Body Text First Indent 2"/>
    <w:basedOn w:val="26"/>
    <w:next w:val="64"/>
    <w:link w:val="126"/>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basedOn w:val="72"/>
    <w:qFormat/>
    <w:uiPriority w:val="99"/>
    <w:rPr>
      <w:rFonts w:ascii="Times New Roman" w:hAnsi="Times New Roman" w:eastAsia="宋体" w:cs="Times New Roman"/>
      <w:kern w:val="2"/>
      <w:sz w:val="21"/>
      <w:szCs w:val="24"/>
      <w:lang w:val="en-US" w:eastAsia="zh-CN" w:bidi="ar-SA"/>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qFormat/>
    <w:uiPriority w:val="0"/>
    <w:pPr>
      <w:spacing w:line="360" w:lineRule="auto"/>
      <w:ind w:firstLine="200" w:firstLineChars="200"/>
    </w:pPr>
    <w:rPr>
      <w:rFonts w:ascii="Calibri" w:hAnsi="Calibri"/>
      <w:sz w:val="24"/>
    </w:rPr>
  </w:style>
  <w:style w:type="paragraph" w:customStyle="1" w:styleId="85">
    <w:name w:val="_Style 2"/>
    <w:basedOn w:val="1"/>
    <w:qFormat/>
    <w:uiPriority w:val="0"/>
    <w:pPr>
      <w:ind w:firstLine="200" w:firstLineChars="200"/>
    </w:pPr>
    <w:rPr>
      <w:rFonts w:ascii="Calibri" w:hAnsi="Calibri"/>
      <w:sz w:val="28"/>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3"/>
    <w:qFormat/>
    <w:uiPriority w:val="0"/>
    <w:rPr>
      <w:rFonts w:ascii="宋体" w:hAnsi="宋体"/>
      <w:kern w:val="2"/>
      <w:sz w:val="21"/>
      <w:szCs w:val="24"/>
    </w:rPr>
  </w:style>
  <w:style w:type="character" w:customStyle="1" w:styleId="127">
    <w:name w:val="font11"/>
    <w:basedOn w:val="72"/>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7"/>
    <w:qFormat/>
    <w:uiPriority w:val="0"/>
    <w:rPr>
      <w:rFonts w:ascii="宋体"/>
      <w:kern w:val="2"/>
      <w:sz w:val="24"/>
      <w:szCs w:val="21"/>
      <w:lang w:val="zh-CN"/>
    </w:rPr>
  </w:style>
  <w:style w:type="character" w:customStyle="1" w:styleId="187">
    <w:name w:val="标题 9 字符"/>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basedOn w:val="72"/>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2"/>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next w:val="241"/>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6"/>
    <w:qFormat/>
    <w:uiPriority w:val="0"/>
    <w:rPr>
      <w:rFonts w:ascii="宋体" w:hAnsi="宋体"/>
      <w:kern w:val="2"/>
      <w:sz w:val="24"/>
      <w:szCs w:val="24"/>
    </w:rPr>
  </w:style>
  <w:style w:type="character" w:customStyle="1" w:styleId="272">
    <w:name w:val="font01"/>
    <w:basedOn w:val="72"/>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61"/>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字符"/>
    <w:link w:val="59"/>
    <w:qFormat/>
    <w:uiPriority w:val="0"/>
    <w:rPr>
      <w:rFonts w:ascii="黑体" w:hAnsi="Courier New" w:eastAsia="黑体"/>
    </w:rPr>
  </w:style>
  <w:style w:type="character" w:customStyle="1" w:styleId="308">
    <w:name w:val="正文文本 2 字符1"/>
    <w:link w:val="58"/>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9"/>
    <w:qFormat/>
    <w:uiPriority w:val="0"/>
    <w:rPr>
      <w:b/>
      <w:bCs/>
      <w:kern w:val="2"/>
      <w:sz w:val="24"/>
      <w:szCs w:val="24"/>
    </w:rPr>
  </w:style>
  <w:style w:type="character" w:customStyle="1" w:styleId="314">
    <w:name w:val="正文文本缩进 2 字符"/>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2"/>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basedOn w:val="72"/>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25"/>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2"/>
    <w:qFormat/>
    <w:uiPriority w:val="0"/>
    <w:rPr>
      <w:kern w:val="2"/>
      <w:sz w:val="21"/>
    </w:rPr>
  </w:style>
  <w:style w:type="character" w:customStyle="1" w:styleId="337">
    <w:name w:val="font31"/>
    <w:basedOn w:val="72"/>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0"/>
    <w:qFormat/>
    <w:uiPriority w:val="0"/>
    <w:rPr>
      <w:kern w:val="2"/>
      <w:sz w:val="21"/>
      <w:szCs w:val="24"/>
    </w:rPr>
  </w:style>
  <w:style w:type="character" w:customStyle="1" w:styleId="351">
    <w:name w:val="签名 字符"/>
    <w:link w:val="44"/>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字符"/>
    <w:link w:val="55"/>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字符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字符2"/>
    <w:link w:val="43"/>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2"/>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6"/>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7">
    <w:name w:val="gray6"/>
    <w:basedOn w:val="72"/>
    <w:qFormat/>
    <w:uiPriority w:val="0"/>
    <w:rPr>
      <w:rFonts w:ascii="Arial" w:hAnsi="Arial" w:eastAsia="黑体" w:cs="Arial"/>
      <w:snapToGrid w:val="0"/>
      <w:kern w:val="0"/>
      <w:szCs w:val="21"/>
    </w:rPr>
  </w:style>
  <w:style w:type="character" w:customStyle="1" w:styleId="438">
    <w:name w:val="hui"/>
    <w:basedOn w:val="72"/>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26"/>
    <w:next w:val="24"/>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0"/>
    <w:next w:val="240"/>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0"/>
    <w:next w:val="240"/>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8"/>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6"/>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pPr>
      <w:spacing w:line="360" w:lineRule="auto"/>
    </w:pPr>
    <w:rPr>
      <w:szCs w:val="20"/>
    </w:rPr>
  </w:style>
  <w:style w:type="paragraph" w:customStyle="1" w:styleId="69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0"/>
    <w:pPr>
      <w:adjustRightInd/>
      <w:spacing w:line="360" w:lineRule="auto"/>
      <w:jc w:val="center"/>
    </w:pPr>
    <w:rPr>
      <w:sz w:val="24"/>
    </w:rPr>
  </w:style>
  <w:style w:type="paragraph" w:customStyle="1" w:styleId="7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38"/>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5"/>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4"/>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9"/>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8"/>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9"/>
    <w:qFormat/>
    <w:uiPriority w:val="0"/>
    <w:rPr>
      <w:kern w:val="2"/>
      <w:sz w:val="21"/>
      <w:szCs w:val="24"/>
      <w:lang w:val="zh-CN"/>
    </w:rPr>
  </w:style>
  <w:style w:type="character" w:customStyle="1" w:styleId="936">
    <w:name w:val="无间隔 字符"/>
    <w:link w:val="489"/>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4"/>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8">
    <w:name w:val="纯文本3"/>
    <w:basedOn w:val="1"/>
    <w:qFormat/>
    <w:uiPriority w:val="0"/>
    <w:pPr>
      <w:textAlignment w:val="baseline"/>
    </w:pPr>
    <w:rPr>
      <w:rFonts w:ascii="宋体" w:hAnsi="Courier New" w:eastAsia="楷体_GB2312"/>
      <w:sz w:val="26"/>
      <w:szCs w:val="20"/>
    </w:rPr>
  </w:style>
  <w:style w:type="paragraph" w:customStyle="1" w:styleId="96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7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1">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2">
    <w:name w:val="NormalCharacter"/>
    <w:qFormat/>
    <w:uiPriority w:val="0"/>
    <w:rPr>
      <w:kern w:val="2"/>
      <w:sz w:val="21"/>
      <w:szCs w:val="24"/>
      <w:lang w:val="en-US" w:eastAsia="zh-CN" w:bidi="ar-SA"/>
    </w:rPr>
  </w:style>
  <w:style w:type="character" w:customStyle="1" w:styleId="973">
    <w:name w:val="UserStyle_12"/>
    <w:qFormat/>
    <w:uiPriority w:val="0"/>
    <w:rPr>
      <w:kern w:val="2"/>
      <w:sz w:val="21"/>
      <w:szCs w:val="24"/>
      <w:lang w:val="en-US" w:eastAsia="zh-CN" w:bidi="ar-SA"/>
    </w:rPr>
  </w:style>
  <w:style w:type="paragraph" w:customStyle="1" w:styleId="974">
    <w:name w:val="BodyText"/>
    <w:basedOn w:val="1"/>
    <w:next w:val="975"/>
    <w:qFormat/>
    <w:uiPriority w:val="0"/>
    <w:pPr>
      <w:spacing w:after="120"/>
      <w:textAlignment w:val="baseline"/>
    </w:pPr>
    <w:rPr>
      <w:rFonts w:ascii="Calibri" w:hAnsi="Calibri"/>
    </w:rPr>
  </w:style>
  <w:style w:type="paragraph" w:customStyle="1" w:styleId="975">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6">
    <w:name w:val="纯文本4"/>
    <w:basedOn w:val="1"/>
    <w:qFormat/>
    <w:uiPriority w:val="0"/>
    <w:pPr>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49</Pages>
  <Words>25280</Words>
  <Characters>26814</Characters>
  <Lines>627</Lines>
  <Paragraphs>176</Paragraphs>
  <TotalTime>21</TotalTime>
  <ScaleCrop>false</ScaleCrop>
  <LinksUpToDate>false</LinksUpToDate>
  <CharactersWithSpaces>29379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cp:lastModifiedBy>
  <cp:lastPrinted>2023-05-24T01:38:00Z</cp:lastPrinted>
  <dcterms:modified xsi:type="dcterms:W3CDTF">2023-06-01T06:30:14Z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C65A0079A9234710B9CE6A0F4EB6185A_13</vt:lpwstr>
  </property>
  <property fmtid="{D5CDD505-2E9C-101B-9397-08002B2CF9AE}" pid="5" name="commondata">
    <vt:lpwstr>eyJoZGlkIjoiMGMzMTVmNWQ0ZWUwMDFhMGMxMjI0ODY0ODBlMmFiN2UifQ==</vt:lpwstr>
  </property>
</Properties>
</file>