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40" w:after="60"/>
        <w:jc w:val="center"/>
        <w:outlineLvl w:val="0"/>
        <w:rPr>
          <w:rFonts w:ascii="仿宋" w:hAnsi="仿宋" w:eastAsia="仿宋" w:cs="Times New Roman"/>
          <w:b/>
          <w:bCs/>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采购项目技术、服务、政府采购合同内容条款及其他商务要求</w:t>
      </w:r>
    </w:p>
    <w:p>
      <w:pPr>
        <w:rPr>
          <w:rFonts w:ascii="仿宋" w:hAnsi="仿宋" w:eastAsia="仿宋"/>
          <w:color w:val="000000"/>
          <w:sz w:val="24"/>
        </w:rPr>
      </w:pPr>
    </w:p>
    <w:p>
      <w:pPr>
        <w:spacing w:line="400" w:lineRule="exact"/>
        <w:ind w:firstLine="482" w:firstLineChars="200"/>
        <w:rPr>
          <w:rFonts w:ascii="仿宋" w:hAnsi="仿宋" w:eastAsia="仿宋"/>
          <w:b/>
          <w:color w:val="000000"/>
          <w:sz w:val="24"/>
        </w:rPr>
      </w:pPr>
      <w:bookmarkStart w:id="0" w:name="PO_默认文件内容_27"/>
      <w:r>
        <w:rPr>
          <w:rFonts w:hint="eastAsia" w:ascii="仿宋" w:hAnsi="仿宋" w:eastAsia="仿宋"/>
          <w:b/>
          <w:color w:val="000000"/>
          <w:sz w:val="24"/>
        </w:rPr>
        <w:t>前提：</w:t>
      </w:r>
      <w:r>
        <w:rPr>
          <w:rFonts w:ascii="仿宋" w:hAnsi="仿宋" w:eastAsia="仿宋"/>
          <w:b/>
          <w:color w:val="000000"/>
          <w:sz w:val="24"/>
        </w:rPr>
        <w:t>本章采购需求中标注“</w:t>
      </w:r>
      <w:r>
        <w:rPr>
          <w:rFonts w:hint="eastAsia" w:ascii="仿宋" w:hAnsi="仿宋" w:eastAsia="仿宋"/>
          <w:b/>
          <w:color w:val="000000"/>
          <w:sz w:val="24"/>
        </w:rPr>
        <w:t>★</w:t>
      </w:r>
      <w:r>
        <w:rPr>
          <w:rFonts w:ascii="仿宋" w:hAnsi="仿宋" w:eastAsia="仿宋"/>
          <w:b/>
          <w:color w:val="000000"/>
          <w:sz w:val="24"/>
        </w:rPr>
        <w:t>”号的条款为本次磋商采购项目的实质性要求，供应商应全部满足。</w:t>
      </w:r>
    </w:p>
    <w:p>
      <w:pPr>
        <w:spacing w:line="400" w:lineRule="exact"/>
        <w:rPr>
          <w:rFonts w:ascii="仿宋" w:hAnsi="仿宋" w:eastAsia="仿宋"/>
          <w:b/>
          <w:bCs/>
          <w:color w:val="000000"/>
          <w:sz w:val="24"/>
        </w:rPr>
      </w:pPr>
      <w:r>
        <w:rPr>
          <w:rFonts w:hint="eastAsia" w:ascii="仿宋" w:hAnsi="仿宋" w:eastAsia="仿宋"/>
          <w:b/>
          <w:bCs/>
          <w:color w:val="000000"/>
          <w:sz w:val="24"/>
        </w:rPr>
        <w:t>一、项目概述</w:t>
      </w:r>
    </w:p>
    <w:p>
      <w:pPr>
        <w:widowControl w:val="0"/>
        <w:spacing w:line="400" w:lineRule="exact"/>
        <w:ind w:firstLine="480" w:firstLineChars="200"/>
        <w:jc w:val="both"/>
        <w:rPr>
          <w:rFonts w:ascii="仿宋" w:hAnsi="仿宋" w:eastAsia="仿宋" w:cs="Times New Roman"/>
          <w:bCs/>
          <w:color w:val="000000"/>
          <w:kern w:val="2"/>
          <w:sz w:val="24"/>
          <w:szCs w:val="24"/>
          <w:lang w:val="en-US" w:eastAsia="zh-CN" w:bidi="ar-SA"/>
        </w:rPr>
      </w:pPr>
      <w:r>
        <w:rPr>
          <w:rFonts w:hint="eastAsia" w:ascii="仿宋" w:hAnsi="仿宋" w:eastAsia="仿宋" w:cs="Times New Roman"/>
          <w:bCs/>
          <w:color w:val="000000"/>
          <w:kern w:val="2"/>
          <w:sz w:val="24"/>
          <w:szCs w:val="24"/>
          <w:lang w:val="en-US" w:eastAsia="zh-CN" w:bidi="ar-SA"/>
        </w:rPr>
        <w:t>本项目</w:t>
      </w:r>
      <w:r>
        <w:rPr>
          <w:rFonts w:ascii="仿宋" w:hAnsi="仿宋" w:eastAsia="仿宋" w:cs="Times New Roman"/>
          <w:bCs/>
          <w:color w:val="000000"/>
          <w:kern w:val="2"/>
          <w:sz w:val="24"/>
          <w:szCs w:val="24"/>
          <w:lang w:val="en-US" w:eastAsia="zh-CN" w:bidi="ar-SA"/>
        </w:rPr>
        <w:t>2</w:t>
      </w:r>
      <w:r>
        <w:rPr>
          <w:rFonts w:hint="eastAsia" w:ascii="仿宋" w:hAnsi="仿宋" w:eastAsia="仿宋" w:cs="Times New Roman"/>
          <w:bCs/>
          <w:color w:val="000000"/>
          <w:kern w:val="2"/>
          <w:sz w:val="24"/>
          <w:szCs w:val="24"/>
          <w:lang w:val="en-US" w:eastAsia="zh-CN" w:bidi="ar-SA"/>
        </w:rPr>
        <w:t>个包，成都第31届世界大学生运动会将于2023年7月—8月在成都召开，现拟采购提供2023年成都大运会双流区病媒生物防制服务供应商。</w:t>
      </w:r>
    </w:p>
    <w:p>
      <w:pPr>
        <w:widowControl w:val="0"/>
        <w:spacing w:line="400" w:lineRule="exact"/>
        <w:ind w:firstLine="0" w:firstLineChars="0"/>
        <w:jc w:val="both"/>
        <w:rPr>
          <w:rFonts w:ascii="仿宋" w:hAnsi="仿宋" w:eastAsia="仿宋" w:cs="Times New Roman"/>
          <w:b/>
          <w:bCs/>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二、项目清单</w:t>
      </w:r>
    </w:p>
    <w:tbl>
      <w:tblPr>
        <w:tblStyle w:val="8"/>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759"/>
        <w:gridCol w:w="2744"/>
        <w:gridCol w:w="1417"/>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widowControl w:val="0"/>
              <w:spacing w:line="400" w:lineRule="exact"/>
              <w:ind w:firstLine="0" w:firstLineChars="0"/>
              <w:jc w:val="both"/>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包号</w:t>
            </w:r>
          </w:p>
        </w:tc>
        <w:tc>
          <w:tcPr>
            <w:tcW w:w="759" w:type="dxa"/>
            <w:vAlign w:val="center"/>
          </w:tcPr>
          <w:p>
            <w:pPr>
              <w:widowControl w:val="0"/>
              <w:spacing w:line="400" w:lineRule="exact"/>
              <w:ind w:firstLine="0" w:firstLineChars="0"/>
              <w:jc w:val="both"/>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品目号</w:t>
            </w:r>
          </w:p>
        </w:tc>
        <w:tc>
          <w:tcPr>
            <w:tcW w:w="2744" w:type="dxa"/>
            <w:vAlign w:val="center"/>
          </w:tcPr>
          <w:p>
            <w:pPr>
              <w:widowControl w:val="0"/>
              <w:spacing w:line="400" w:lineRule="exact"/>
              <w:ind w:firstLine="0" w:firstLineChars="0"/>
              <w:jc w:val="center"/>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标的</w:t>
            </w:r>
            <w:r>
              <w:rPr>
                <w:rFonts w:ascii="仿宋" w:hAnsi="仿宋" w:eastAsia="仿宋" w:cs="Times New Roman"/>
                <w:bCs/>
                <w:color w:val="000000"/>
                <w:kern w:val="0"/>
                <w:sz w:val="24"/>
                <w:szCs w:val="24"/>
                <w:lang w:val="en-US" w:eastAsia="zh-CN" w:bidi="ar-SA"/>
              </w:rPr>
              <w:t>名称</w:t>
            </w:r>
          </w:p>
        </w:tc>
        <w:tc>
          <w:tcPr>
            <w:tcW w:w="1417" w:type="dxa"/>
            <w:vAlign w:val="center"/>
          </w:tcPr>
          <w:p>
            <w:pPr>
              <w:widowControl w:val="0"/>
              <w:spacing w:line="400" w:lineRule="exact"/>
              <w:ind w:firstLine="0" w:firstLineChars="0"/>
              <w:jc w:val="both"/>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所属行业</w:t>
            </w:r>
          </w:p>
        </w:tc>
        <w:tc>
          <w:tcPr>
            <w:tcW w:w="1134" w:type="dxa"/>
            <w:vAlign w:val="center"/>
          </w:tcPr>
          <w:p>
            <w:pPr>
              <w:widowControl w:val="0"/>
              <w:spacing w:line="400" w:lineRule="exact"/>
              <w:ind w:firstLine="0" w:firstLineChars="0"/>
              <w:jc w:val="center"/>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数量</w:t>
            </w:r>
          </w:p>
        </w:tc>
        <w:tc>
          <w:tcPr>
            <w:tcW w:w="1276" w:type="dxa"/>
            <w:vAlign w:val="center"/>
          </w:tcPr>
          <w:p>
            <w:pPr>
              <w:widowControl w:val="0"/>
              <w:spacing w:line="400" w:lineRule="exact"/>
              <w:ind w:firstLine="0" w:firstLineChars="0"/>
              <w:jc w:val="both"/>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widowControl w:val="0"/>
              <w:spacing w:line="400" w:lineRule="exact"/>
              <w:ind w:firstLine="0" w:firstLineChars="0"/>
              <w:jc w:val="both"/>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0</w:t>
            </w:r>
            <w:r>
              <w:rPr>
                <w:rFonts w:ascii="仿宋" w:hAnsi="仿宋" w:eastAsia="仿宋" w:cs="Times New Roman"/>
                <w:bCs/>
                <w:color w:val="000000"/>
                <w:kern w:val="0"/>
                <w:sz w:val="24"/>
                <w:szCs w:val="24"/>
                <w:lang w:val="en-US" w:eastAsia="zh-CN" w:bidi="ar-SA"/>
              </w:rPr>
              <w:t>1包</w:t>
            </w:r>
          </w:p>
        </w:tc>
        <w:tc>
          <w:tcPr>
            <w:tcW w:w="759" w:type="dxa"/>
            <w:vAlign w:val="center"/>
          </w:tcPr>
          <w:p>
            <w:pPr>
              <w:widowControl w:val="0"/>
              <w:spacing w:line="400" w:lineRule="exact"/>
              <w:ind w:firstLine="0" w:firstLineChars="0"/>
              <w:jc w:val="both"/>
              <w:rPr>
                <w:rFonts w:ascii="仿宋" w:hAnsi="仿宋" w:eastAsia="仿宋" w:cs="Times New Roman"/>
                <w:bCs/>
                <w:color w:val="000000"/>
                <w:kern w:val="0"/>
                <w:sz w:val="24"/>
                <w:szCs w:val="24"/>
                <w:lang w:val="en-US" w:eastAsia="zh-CN" w:bidi="ar-SA"/>
              </w:rPr>
            </w:pPr>
            <w:r>
              <w:rPr>
                <w:rFonts w:ascii="仿宋" w:hAnsi="仿宋" w:eastAsia="仿宋" w:cs="Times New Roman"/>
                <w:bCs/>
                <w:color w:val="000000"/>
                <w:kern w:val="0"/>
                <w:sz w:val="24"/>
                <w:szCs w:val="24"/>
                <w:lang w:val="en-US" w:eastAsia="zh-CN" w:bidi="ar-SA"/>
              </w:rPr>
              <w:t>1-1</w:t>
            </w:r>
          </w:p>
        </w:tc>
        <w:tc>
          <w:tcPr>
            <w:tcW w:w="2744" w:type="dxa"/>
            <w:vAlign w:val="center"/>
          </w:tcPr>
          <w:p>
            <w:pPr>
              <w:widowControl w:val="0"/>
              <w:spacing w:line="400" w:lineRule="exact"/>
              <w:ind w:firstLine="0" w:firstLineChars="0"/>
              <w:jc w:val="both"/>
              <w:rPr>
                <w:rFonts w:ascii="仿宋" w:hAnsi="仿宋" w:eastAsia="仿宋" w:cs="Times New Roman"/>
                <w:bCs/>
                <w:color w:val="000000"/>
                <w:kern w:val="0"/>
                <w:sz w:val="21"/>
                <w:szCs w:val="21"/>
                <w:lang w:val="en-US" w:eastAsia="zh-CN" w:bidi="ar-SA"/>
              </w:rPr>
            </w:pPr>
            <w:r>
              <w:rPr>
                <w:rFonts w:hint="eastAsia" w:ascii="仿宋" w:hAnsi="仿宋" w:eastAsia="仿宋" w:cs="Times New Roman"/>
                <w:color w:val="000000"/>
                <w:kern w:val="0"/>
                <w:sz w:val="21"/>
                <w:szCs w:val="21"/>
                <w:lang w:val="en-US" w:eastAsia="zh-CN" w:bidi="ar-SA"/>
              </w:rPr>
              <w:t>四川川投国际网球中心</w:t>
            </w:r>
            <w:r>
              <w:rPr>
                <w:rFonts w:hint="eastAsia" w:ascii="仿宋" w:hAnsi="仿宋" w:eastAsia="仿宋" w:cs="Times New Roman"/>
                <w:bCs/>
                <w:color w:val="000000"/>
                <w:kern w:val="0"/>
                <w:sz w:val="21"/>
                <w:szCs w:val="21"/>
                <w:lang w:val="en-US" w:eastAsia="zh-CN" w:bidi="ar-SA"/>
              </w:rPr>
              <w:t>病媒生物防制服务</w:t>
            </w:r>
          </w:p>
        </w:tc>
        <w:tc>
          <w:tcPr>
            <w:tcW w:w="1417" w:type="dxa"/>
            <w:vAlign w:val="center"/>
          </w:tcPr>
          <w:p>
            <w:pPr>
              <w:widowControl w:val="0"/>
              <w:spacing w:line="400" w:lineRule="exact"/>
              <w:ind w:firstLine="0" w:firstLineChars="0"/>
              <w:jc w:val="both"/>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其他未列明行业</w:t>
            </w:r>
          </w:p>
        </w:tc>
        <w:tc>
          <w:tcPr>
            <w:tcW w:w="1134" w:type="dxa"/>
            <w:vAlign w:val="center"/>
          </w:tcPr>
          <w:p>
            <w:pPr>
              <w:widowControl w:val="0"/>
              <w:spacing w:line="400" w:lineRule="exact"/>
              <w:ind w:firstLine="0" w:firstLineChars="0"/>
              <w:jc w:val="center"/>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1项</w:t>
            </w:r>
          </w:p>
        </w:tc>
        <w:tc>
          <w:tcPr>
            <w:tcW w:w="1276" w:type="dxa"/>
            <w:vAlign w:val="center"/>
          </w:tcPr>
          <w:p>
            <w:pPr>
              <w:widowControl w:val="0"/>
              <w:spacing w:line="400" w:lineRule="exact"/>
              <w:ind w:firstLine="0" w:firstLineChars="0"/>
              <w:jc w:val="center"/>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widowControl w:val="0"/>
              <w:spacing w:line="400" w:lineRule="exact"/>
              <w:ind w:firstLine="0" w:firstLineChars="0"/>
              <w:jc w:val="both"/>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0</w:t>
            </w:r>
            <w:r>
              <w:rPr>
                <w:rFonts w:ascii="仿宋" w:hAnsi="仿宋" w:eastAsia="仿宋" w:cs="Times New Roman"/>
                <w:bCs/>
                <w:color w:val="000000"/>
                <w:kern w:val="0"/>
                <w:sz w:val="24"/>
                <w:szCs w:val="24"/>
                <w:lang w:val="en-US" w:eastAsia="zh-CN" w:bidi="ar-SA"/>
              </w:rPr>
              <w:t>2包</w:t>
            </w:r>
          </w:p>
        </w:tc>
        <w:tc>
          <w:tcPr>
            <w:tcW w:w="759" w:type="dxa"/>
            <w:vAlign w:val="center"/>
          </w:tcPr>
          <w:p>
            <w:pPr>
              <w:widowControl w:val="0"/>
              <w:spacing w:line="400" w:lineRule="exact"/>
              <w:ind w:firstLine="0" w:firstLineChars="0"/>
              <w:jc w:val="both"/>
              <w:rPr>
                <w:rFonts w:ascii="仿宋" w:hAnsi="仿宋" w:eastAsia="仿宋" w:cs="Times New Roman"/>
                <w:bCs/>
                <w:color w:val="000000"/>
                <w:kern w:val="0"/>
                <w:sz w:val="24"/>
                <w:szCs w:val="24"/>
                <w:lang w:val="en-US" w:eastAsia="zh-CN" w:bidi="ar-SA"/>
              </w:rPr>
            </w:pPr>
            <w:r>
              <w:rPr>
                <w:rFonts w:ascii="仿宋" w:hAnsi="仿宋" w:eastAsia="仿宋" w:cs="Times New Roman"/>
                <w:bCs/>
                <w:color w:val="000000"/>
                <w:kern w:val="0"/>
                <w:sz w:val="24"/>
                <w:szCs w:val="24"/>
                <w:lang w:val="en-US" w:eastAsia="zh-CN" w:bidi="ar-SA"/>
              </w:rPr>
              <w:t>2-1</w:t>
            </w:r>
          </w:p>
        </w:tc>
        <w:tc>
          <w:tcPr>
            <w:tcW w:w="2744" w:type="dxa"/>
            <w:vAlign w:val="center"/>
          </w:tcPr>
          <w:p>
            <w:pPr>
              <w:widowControl w:val="0"/>
              <w:spacing w:line="400" w:lineRule="exact"/>
              <w:ind w:firstLine="0" w:firstLineChars="0"/>
              <w:jc w:val="both"/>
              <w:rPr>
                <w:rFonts w:ascii="仿宋" w:hAnsi="仿宋" w:eastAsia="仿宋" w:cs="Times New Roman"/>
                <w:bCs/>
                <w:color w:val="000000"/>
                <w:kern w:val="0"/>
                <w:sz w:val="21"/>
                <w:szCs w:val="21"/>
                <w:lang w:val="en-US" w:eastAsia="zh-CN" w:bidi="ar-SA"/>
              </w:rPr>
            </w:pPr>
            <w:r>
              <w:rPr>
                <w:rFonts w:hint="eastAsia" w:ascii="仿宋" w:hAnsi="仿宋" w:eastAsia="仿宋" w:cs="Times New Roman"/>
                <w:color w:val="000000"/>
                <w:kern w:val="0"/>
                <w:sz w:val="21"/>
                <w:szCs w:val="21"/>
                <w:lang w:val="en-US" w:eastAsia="zh-CN" w:bidi="ar-SA"/>
              </w:rPr>
              <w:t>成都信息工程大学航空港校区体育馆</w:t>
            </w:r>
            <w:r>
              <w:rPr>
                <w:rFonts w:hint="eastAsia" w:ascii="仿宋" w:hAnsi="仿宋" w:eastAsia="仿宋" w:cs="Times New Roman"/>
                <w:bCs/>
                <w:color w:val="000000"/>
                <w:kern w:val="0"/>
                <w:sz w:val="21"/>
                <w:szCs w:val="21"/>
                <w:lang w:val="en-US" w:eastAsia="zh-CN" w:bidi="ar-SA"/>
              </w:rPr>
              <w:t>病媒生物防制服务</w:t>
            </w:r>
          </w:p>
        </w:tc>
        <w:tc>
          <w:tcPr>
            <w:tcW w:w="1417" w:type="dxa"/>
            <w:vAlign w:val="center"/>
          </w:tcPr>
          <w:p>
            <w:pPr>
              <w:widowControl w:val="0"/>
              <w:spacing w:line="400" w:lineRule="exact"/>
              <w:ind w:firstLine="0" w:firstLineChars="0"/>
              <w:jc w:val="both"/>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其他未列明行业</w:t>
            </w:r>
          </w:p>
        </w:tc>
        <w:tc>
          <w:tcPr>
            <w:tcW w:w="1134" w:type="dxa"/>
            <w:vAlign w:val="center"/>
          </w:tcPr>
          <w:p>
            <w:pPr>
              <w:widowControl w:val="0"/>
              <w:spacing w:line="400" w:lineRule="exact"/>
              <w:ind w:firstLine="0" w:firstLineChars="0"/>
              <w:jc w:val="center"/>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1项</w:t>
            </w:r>
          </w:p>
        </w:tc>
        <w:tc>
          <w:tcPr>
            <w:tcW w:w="1276" w:type="dxa"/>
            <w:vAlign w:val="center"/>
          </w:tcPr>
          <w:p>
            <w:pPr>
              <w:widowControl w:val="0"/>
              <w:spacing w:line="400" w:lineRule="exact"/>
              <w:ind w:firstLine="0" w:firstLineChars="0"/>
              <w:jc w:val="center"/>
              <w:rPr>
                <w:rFonts w:ascii="仿宋" w:hAnsi="仿宋" w:eastAsia="仿宋" w:cs="Times New Roman"/>
                <w:bCs/>
                <w:color w:val="000000"/>
                <w:kern w:val="0"/>
                <w:sz w:val="24"/>
                <w:szCs w:val="24"/>
                <w:lang w:val="en-US" w:eastAsia="zh-CN" w:bidi="ar-SA"/>
              </w:rPr>
            </w:pPr>
            <w:r>
              <w:rPr>
                <w:rFonts w:hint="eastAsia" w:ascii="仿宋" w:hAnsi="仿宋" w:eastAsia="仿宋" w:cs="Times New Roman"/>
                <w:bCs/>
                <w:color w:val="000000"/>
                <w:kern w:val="0"/>
                <w:sz w:val="24"/>
                <w:szCs w:val="24"/>
                <w:lang w:val="en-US" w:eastAsia="zh-CN" w:bidi="ar-SA"/>
              </w:rPr>
              <w:t>否</w:t>
            </w:r>
          </w:p>
        </w:tc>
      </w:tr>
    </w:tbl>
    <w:p>
      <w:pPr>
        <w:widowControl w:val="0"/>
        <w:spacing w:line="400" w:lineRule="exact"/>
        <w:ind w:firstLine="0" w:firstLineChars="0"/>
        <w:jc w:val="both"/>
        <w:rPr>
          <w:rFonts w:ascii="仿宋" w:hAnsi="仿宋" w:eastAsia="仿宋" w:cs="Times New Roman"/>
          <w:b/>
          <w:bCs/>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★三、商务要求（各包适用）</w:t>
      </w:r>
    </w:p>
    <w:p>
      <w:pPr>
        <w:jc w:val="left"/>
        <w:rPr>
          <w:rFonts w:ascii="仿宋" w:hAnsi="仿宋" w:eastAsia="仿宋"/>
          <w:b/>
          <w:color w:val="000000"/>
          <w:sz w:val="24"/>
        </w:rPr>
      </w:pPr>
      <w:bookmarkStart w:id="1" w:name="_Hlk99653908"/>
      <w:r>
        <w:rPr>
          <w:rFonts w:hint="eastAsia" w:ascii="仿宋" w:hAnsi="仿宋" w:eastAsia="仿宋"/>
          <w:b/>
          <w:color w:val="000000"/>
          <w:sz w:val="24"/>
        </w:rPr>
        <w:t>（一）合同期限、服务期限及时间节点：</w:t>
      </w:r>
    </w:p>
    <w:p>
      <w:pPr>
        <w:widowControl/>
        <w:jc w:val="left"/>
        <w:rPr>
          <w:rFonts w:ascii="宋体" w:hAnsi="宋体"/>
          <w:bCs/>
          <w:color w:val="000000"/>
          <w:spacing w:val="8"/>
          <w:sz w:val="24"/>
        </w:rPr>
      </w:pPr>
      <w:bookmarkStart w:id="2" w:name="_Hlk130240668"/>
      <w:r>
        <w:rPr>
          <w:rFonts w:hint="eastAsia" w:ascii="仿宋" w:hAnsi="仿宋" w:eastAsia="仿宋"/>
          <w:b/>
          <w:color w:val="000000"/>
          <w:sz w:val="24"/>
        </w:rPr>
        <w:t>1、合同期限：</w:t>
      </w:r>
      <w:r>
        <w:rPr>
          <w:rFonts w:ascii="仿宋" w:hAnsi="仿宋" w:eastAsia="仿宋"/>
          <w:color w:val="000000"/>
          <w:kern w:val="0"/>
          <w:sz w:val="24"/>
        </w:rPr>
        <w:t>合同期限指自双方</w:t>
      </w:r>
      <w:r>
        <w:rPr>
          <w:rFonts w:hint="eastAsia" w:ascii="仿宋" w:hAnsi="仿宋" w:eastAsia="仿宋"/>
          <w:color w:val="000000"/>
          <w:kern w:val="0"/>
          <w:sz w:val="24"/>
        </w:rPr>
        <w:t>合同</w:t>
      </w:r>
      <w:r>
        <w:rPr>
          <w:rFonts w:ascii="仿宋" w:hAnsi="仿宋" w:eastAsia="仿宋"/>
          <w:color w:val="000000"/>
          <w:kern w:val="0"/>
          <w:sz w:val="24"/>
        </w:rPr>
        <w:t>签字盖章之日起至</w:t>
      </w:r>
      <w:r>
        <w:rPr>
          <w:rFonts w:hint="eastAsia" w:ascii="仿宋" w:hAnsi="仿宋" w:eastAsia="仿宋"/>
          <w:color w:val="000000"/>
          <w:kern w:val="0"/>
          <w:sz w:val="24"/>
        </w:rPr>
        <w:t>成交供应商</w:t>
      </w:r>
      <w:r>
        <w:rPr>
          <w:rFonts w:ascii="仿宋" w:hAnsi="仿宋" w:eastAsia="仿宋"/>
          <w:color w:val="000000"/>
          <w:kern w:val="0"/>
          <w:sz w:val="24"/>
        </w:rPr>
        <w:t>完成全部服务并交付</w:t>
      </w:r>
      <w:r>
        <w:rPr>
          <w:rFonts w:hint="eastAsia" w:ascii="仿宋" w:hAnsi="仿宋" w:eastAsia="仿宋"/>
          <w:color w:val="000000"/>
          <w:kern w:val="0"/>
          <w:sz w:val="24"/>
        </w:rPr>
        <w:t>采购人</w:t>
      </w:r>
      <w:r>
        <w:rPr>
          <w:rFonts w:ascii="仿宋" w:hAnsi="仿宋" w:eastAsia="仿宋"/>
          <w:color w:val="000000"/>
          <w:kern w:val="0"/>
          <w:sz w:val="24"/>
        </w:rPr>
        <w:t>，</w:t>
      </w:r>
      <w:r>
        <w:rPr>
          <w:rFonts w:hint="eastAsia" w:ascii="仿宋" w:hAnsi="仿宋" w:eastAsia="仿宋"/>
          <w:color w:val="000000"/>
          <w:kern w:val="0"/>
          <w:sz w:val="24"/>
        </w:rPr>
        <w:t>采购人和成交供应商</w:t>
      </w:r>
      <w:r>
        <w:rPr>
          <w:rFonts w:ascii="仿宋" w:hAnsi="仿宋" w:eastAsia="仿宋"/>
          <w:color w:val="000000"/>
          <w:kern w:val="0"/>
          <w:sz w:val="24"/>
        </w:rPr>
        <w:t>双方确认验收合格且双方完成全部合同结算</w:t>
      </w:r>
      <w:r>
        <w:rPr>
          <w:rFonts w:hint="eastAsia" w:ascii="仿宋" w:hAnsi="仿宋" w:eastAsia="仿宋"/>
          <w:bCs/>
          <w:color w:val="000000"/>
          <w:sz w:val="24"/>
        </w:rPr>
        <w:t>。</w:t>
      </w:r>
    </w:p>
    <w:p>
      <w:pPr>
        <w:jc w:val="left"/>
        <w:rPr>
          <w:rFonts w:ascii="仿宋" w:hAnsi="仿宋" w:eastAsia="仿宋"/>
          <w:bCs/>
          <w:color w:val="000000"/>
          <w:sz w:val="24"/>
        </w:rPr>
      </w:pPr>
      <w:r>
        <w:rPr>
          <w:rFonts w:ascii="仿宋" w:hAnsi="仿宋" w:eastAsia="仿宋"/>
          <w:b/>
          <w:color w:val="000000"/>
          <w:sz w:val="24"/>
        </w:rPr>
        <w:t>2</w:t>
      </w:r>
      <w:r>
        <w:rPr>
          <w:rFonts w:hint="eastAsia" w:ascii="仿宋" w:hAnsi="仿宋" w:eastAsia="仿宋"/>
          <w:b/>
          <w:color w:val="000000"/>
          <w:sz w:val="24"/>
        </w:rPr>
        <w:t>、服务期限：</w:t>
      </w:r>
      <w:r>
        <w:rPr>
          <w:rFonts w:hint="eastAsia" w:ascii="仿宋" w:hAnsi="仿宋" w:eastAsia="仿宋"/>
          <w:bCs/>
          <w:color w:val="000000"/>
          <w:sz w:val="24"/>
        </w:rPr>
        <w:t>合同签订后至成都大运会结束后</w:t>
      </w:r>
      <w:r>
        <w:rPr>
          <w:rFonts w:ascii="仿宋" w:hAnsi="仿宋" w:eastAsia="仿宋"/>
          <w:bCs/>
          <w:color w:val="000000"/>
          <w:sz w:val="24"/>
        </w:rPr>
        <w:t>30</w:t>
      </w:r>
      <w:r>
        <w:rPr>
          <w:rFonts w:hint="eastAsia" w:ascii="仿宋" w:hAnsi="仿宋" w:eastAsia="仿宋"/>
          <w:bCs/>
          <w:color w:val="000000"/>
          <w:sz w:val="24"/>
        </w:rPr>
        <w:t>日（具体按成都大运会执委会确定的时间安排和总体方案执行）。</w:t>
      </w:r>
    </w:p>
    <w:p>
      <w:pPr>
        <w:jc w:val="left"/>
        <w:rPr>
          <w:rFonts w:ascii="仿宋" w:hAnsi="仿宋" w:eastAsia="仿宋"/>
          <w:bCs/>
          <w:color w:val="000000"/>
          <w:sz w:val="24"/>
        </w:rPr>
      </w:pPr>
      <w:r>
        <w:rPr>
          <w:rFonts w:ascii="仿宋" w:hAnsi="仿宋" w:eastAsia="仿宋"/>
          <w:b/>
          <w:color w:val="000000"/>
          <w:sz w:val="24"/>
        </w:rPr>
        <w:t>3</w:t>
      </w:r>
      <w:r>
        <w:rPr>
          <w:rFonts w:hint="eastAsia" w:ascii="仿宋" w:hAnsi="仿宋" w:eastAsia="仿宋"/>
          <w:b/>
          <w:color w:val="000000"/>
          <w:sz w:val="24"/>
        </w:rPr>
        <w:t>、时间节点</w:t>
      </w:r>
      <w:r>
        <w:rPr>
          <w:rFonts w:hint="eastAsia" w:ascii="仿宋" w:hAnsi="仿宋" w:eastAsia="仿宋"/>
          <w:bCs/>
          <w:color w:val="000000"/>
          <w:sz w:val="24"/>
        </w:rPr>
        <w:t>：自签订合同之日起至成都大运会结束，防制服务质量全部达标；2</w:t>
      </w:r>
      <w:r>
        <w:rPr>
          <w:rFonts w:ascii="仿宋" w:hAnsi="仿宋" w:eastAsia="仿宋"/>
          <w:bCs/>
          <w:color w:val="000000"/>
          <w:sz w:val="24"/>
        </w:rPr>
        <w:t>023</w:t>
      </w:r>
      <w:r>
        <w:rPr>
          <w:rFonts w:hint="eastAsia" w:ascii="仿宋" w:hAnsi="仿宋" w:eastAsia="仿宋"/>
          <w:bCs/>
          <w:color w:val="000000"/>
          <w:sz w:val="24"/>
        </w:rPr>
        <w:t>年8月3</w:t>
      </w:r>
      <w:r>
        <w:rPr>
          <w:rFonts w:ascii="仿宋" w:hAnsi="仿宋" w:eastAsia="仿宋"/>
          <w:bCs/>
          <w:color w:val="000000"/>
          <w:sz w:val="24"/>
        </w:rPr>
        <w:t>1</w:t>
      </w:r>
      <w:r>
        <w:rPr>
          <w:rFonts w:hint="eastAsia" w:ascii="仿宋" w:hAnsi="仿宋" w:eastAsia="仿宋"/>
          <w:bCs/>
          <w:color w:val="000000"/>
          <w:sz w:val="24"/>
        </w:rPr>
        <w:t>日前持续开展防制巩固成果。</w:t>
      </w:r>
    </w:p>
    <w:bookmarkEnd w:id="2"/>
    <w:p>
      <w:pPr>
        <w:jc w:val="left"/>
        <w:rPr>
          <w:rFonts w:ascii="仿宋" w:hAnsi="仿宋" w:eastAsia="仿宋"/>
          <w:bCs/>
          <w:color w:val="000000"/>
          <w:sz w:val="24"/>
        </w:rPr>
      </w:pPr>
      <w:r>
        <w:rPr>
          <w:rFonts w:hint="eastAsia" w:ascii="仿宋" w:hAnsi="仿宋" w:eastAsia="仿宋"/>
          <w:b/>
          <w:color w:val="000000"/>
          <w:sz w:val="24"/>
        </w:rPr>
        <w:t>（二）响应时间：</w:t>
      </w:r>
      <w:r>
        <w:rPr>
          <w:rFonts w:hint="eastAsia" w:ascii="仿宋" w:hAnsi="仿宋" w:eastAsia="仿宋"/>
          <w:bCs/>
          <w:color w:val="000000"/>
          <w:sz w:val="24"/>
        </w:rPr>
        <w:t>接到采购人通知后1小时内响应，5小时内完成相关准备工作。</w:t>
      </w:r>
    </w:p>
    <w:p>
      <w:pPr>
        <w:jc w:val="left"/>
        <w:rPr>
          <w:rFonts w:ascii="仿宋" w:hAnsi="仿宋" w:eastAsia="仿宋"/>
          <w:b/>
          <w:color w:val="000000"/>
          <w:sz w:val="24"/>
        </w:rPr>
      </w:pPr>
      <w:r>
        <w:rPr>
          <w:rFonts w:hint="eastAsia" w:ascii="仿宋" w:hAnsi="仿宋" w:eastAsia="仿宋"/>
          <w:b/>
          <w:color w:val="000000"/>
          <w:sz w:val="24"/>
        </w:rPr>
        <w:t>（三）项目履约地点：</w:t>
      </w:r>
      <w:r>
        <w:rPr>
          <w:rFonts w:hint="eastAsia" w:ascii="仿宋" w:hAnsi="仿宋" w:eastAsia="仿宋"/>
          <w:bCs/>
          <w:color w:val="000000"/>
          <w:sz w:val="24"/>
        </w:rPr>
        <w:t>成都市双流区范围内。</w:t>
      </w:r>
    </w:p>
    <w:p>
      <w:pPr>
        <w:rPr>
          <w:rFonts w:ascii="仿宋" w:hAnsi="仿宋" w:eastAsia="仿宋"/>
          <w:b/>
          <w:color w:val="000000"/>
          <w:sz w:val="24"/>
        </w:rPr>
      </w:pPr>
      <w:r>
        <w:rPr>
          <w:rFonts w:hint="eastAsia" w:ascii="仿宋" w:hAnsi="仿宋" w:eastAsia="仿宋"/>
          <w:b/>
          <w:color w:val="000000"/>
          <w:sz w:val="24"/>
        </w:rPr>
        <w:t>（四）付款条件及进度：</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1、付款进度：</w:t>
      </w:r>
      <w:bookmarkStart w:id="3" w:name="_Hlk130291882"/>
      <w:r>
        <w:rPr>
          <w:rFonts w:hint="eastAsia" w:ascii="仿宋" w:hAnsi="仿宋" w:eastAsia="仿宋"/>
          <w:bCs/>
          <w:color w:val="000000"/>
          <w:sz w:val="24"/>
        </w:rPr>
        <w:t>合同签订并生效后，自收到供应商发票后1</w:t>
      </w:r>
      <w:r>
        <w:rPr>
          <w:rFonts w:ascii="仿宋" w:hAnsi="仿宋" w:eastAsia="仿宋"/>
          <w:bCs/>
          <w:color w:val="000000"/>
          <w:sz w:val="24"/>
        </w:rPr>
        <w:t>2</w:t>
      </w:r>
      <w:r>
        <w:rPr>
          <w:rFonts w:hint="eastAsia" w:ascii="仿宋" w:hAnsi="仿宋" w:eastAsia="仿宋"/>
          <w:bCs/>
          <w:color w:val="000000"/>
          <w:sz w:val="24"/>
        </w:rPr>
        <w:t>日内，采购人向供应商支付合同金额 4</w:t>
      </w:r>
      <w:r>
        <w:rPr>
          <w:rFonts w:ascii="仿宋" w:hAnsi="仿宋" w:eastAsia="仿宋"/>
          <w:bCs/>
          <w:color w:val="000000"/>
          <w:sz w:val="24"/>
        </w:rPr>
        <w:t>0</w:t>
      </w:r>
      <w:r>
        <w:rPr>
          <w:rFonts w:hint="eastAsia" w:ascii="仿宋" w:hAnsi="仿宋" w:eastAsia="仿宋"/>
          <w:bCs/>
          <w:color w:val="000000"/>
          <w:sz w:val="24"/>
        </w:rPr>
        <w:t>%；项目验收合格后，供应商应向采购人发出付款所需票据凭证资料，采购人在收到票据凭证资料后的</w:t>
      </w:r>
      <w:r>
        <w:rPr>
          <w:rFonts w:ascii="仿宋" w:hAnsi="仿宋" w:eastAsia="仿宋"/>
          <w:bCs/>
          <w:color w:val="000000"/>
          <w:sz w:val="24"/>
        </w:rPr>
        <w:t>12</w:t>
      </w:r>
      <w:r>
        <w:rPr>
          <w:rFonts w:hint="eastAsia" w:ascii="仿宋" w:hAnsi="仿宋" w:eastAsia="仿宋"/>
          <w:bCs/>
          <w:color w:val="000000"/>
          <w:sz w:val="24"/>
        </w:rPr>
        <w:t>日内支付剩余合同款项。</w:t>
      </w:r>
      <w:bookmarkEnd w:id="3"/>
    </w:p>
    <w:p>
      <w:pPr>
        <w:ind w:firstLine="480" w:firstLineChars="200"/>
        <w:jc w:val="left"/>
        <w:rPr>
          <w:rFonts w:ascii="仿宋" w:hAnsi="仿宋" w:eastAsia="仿宋"/>
          <w:bCs/>
          <w:color w:val="000000"/>
          <w:sz w:val="24"/>
        </w:rPr>
      </w:pPr>
      <w:r>
        <w:rPr>
          <w:rFonts w:ascii="仿宋" w:hAnsi="仿宋" w:eastAsia="仿宋"/>
          <w:bCs/>
          <w:color w:val="000000"/>
          <w:sz w:val="24"/>
        </w:rPr>
        <w:t>2</w:t>
      </w:r>
      <w:r>
        <w:rPr>
          <w:rFonts w:hint="eastAsia" w:ascii="仿宋" w:hAnsi="仿宋" w:eastAsia="仿宋"/>
          <w:bCs/>
          <w:color w:val="000000"/>
          <w:sz w:val="24"/>
        </w:rPr>
        <w:t>、付款条件：</w:t>
      </w:r>
      <w:bookmarkStart w:id="4" w:name="_Hlk130291895"/>
      <w:r>
        <w:rPr>
          <w:rFonts w:hint="eastAsia" w:ascii="仿宋" w:hAnsi="仿宋" w:eastAsia="仿宋"/>
          <w:bCs/>
          <w:color w:val="000000"/>
          <w:sz w:val="24"/>
        </w:rPr>
        <w:t>每次支付前，供应商需提交付款申请，并提供增值税普通发票等相关资料进行款项支付。供应商出具的发票未经采购人财务部门审核通过的，采购人有权拒绝付款，并有权要求供应商承担因发票问题导致的所有损失和责任。</w:t>
      </w:r>
      <w:bookmarkEnd w:id="4"/>
    </w:p>
    <w:p>
      <w:pPr>
        <w:jc w:val="left"/>
        <w:rPr>
          <w:rFonts w:ascii="仿宋" w:hAnsi="仿宋" w:eastAsia="仿宋"/>
          <w:b/>
          <w:color w:val="000000"/>
          <w:sz w:val="24"/>
        </w:rPr>
      </w:pPr>
      <w:r>
        <w:rPr>
          <w:rFonts w:hint="eastAsia" w:ascii="仿宋" w:hAnsi="仿宋" w:eastAsia="仿宋"/>
          <w:b/>
          <w:color w:val="000000"/>
          <w:sz w:val="24"/>
        </w:rPr>
        <w:t>（五）履约验收标准</w:t>
      </w:r>
    </w:p>
    <w:p>
      <w:pPr>
        <w:ind w:firstLine="480" w:firstLineChars="200"/>
        <w:rPr>
          <w:rFonts w:ascii="仿宋" w:hAnsi="仿宋" w:eastAsia="仿宋"/>
          <w:color w:val="000000"/>
          <w:sz w:val="24"/>
        </w:rPr>
      </w:pPr>
      <w:bookmarkStart w:id="5" w:name="_Hlk130291945"/>
      <w:r>
        <w:rPr>
          <w:rFonts w:ascii="仿宋" w:hAnsi="仿宋" w:eastAsia="仿宋"/>
          <w:bCs/>
          <w:color w:val="000000"/>
          <w:sz w:val="24"/>
        </w:rPr>
        <w:t>5.1</w:t>
      </w:r>
      <w:r>
        <w:rPr>
          <w:rFonts w:hint="eastAsia" w:ascii="仿宋" w:hAnsi="仿宋" w:eastAsia="仿宋"/>
          <w:color w:val="000000"/>
          <w:sz w:val="24"/>
        </w:rPr>
        <w:t>按照《财政部关于进一步加强政府采购需求和履约验收管理的指导意见》（财库〔2016〕205号）要求、磋商文件的质量要求和技术指标、成交供应商的响应文件及承诺以及合同约定标准进行验收。</w:t>
      </w:r>
    </w:p>
    <w:p>
      <w:pPr>
        <w:ind w:firstLine="480" w:firstLineChars="200"/>
        <w:rPr>
          <w:rFonts w:ascii="仿宋" w:hAnsi="仿宋" w:eastAsia="仿宋"/>
          <w:color w:val="000000"/>
          <w:sz w:val="24"/>
        </w:rPr>
      </w:pPr>
      <w:r>
        <w:rPr>
          <w:rFonts w:ascii="仿宋" w:hAnsi="仿宋" w:eastAsia="仿宋"/>
          <w:bCs/>
          <w:color w:val="000000"/>
          <w:sz w:val="24"/>
        </w:rPr>
        <w:t>5.2</w:t>
      </w:r>
      <w:r>
        <w:rPr>
          <w:rFonts w:hint="eastAsia" w:ascii="仿宋" w:hAnsi="仿宋" w:eastAsia="仿宋"/>
          <w:color w:val="000000"/>
          <w:sz w:val="24"/>
        </w:rPr>
        <w:t>履约验收方案：</w:t>
      </w:r>
    </w:p>
    <w:p>
      <w:pPr>
        <w:ind w:firstLine="480" w:firstLineChars="200"/>
        <w:rPr>
          <w:rFonts w:ascii="仿宋" w:hAnsi="仿宋" w:eastAsia="仿宋"/>
          <w:color w:val="000000"/>
          <w:sz w:val="24"/>
        </w:rPr>
      </w:pPr>
      <w:r>
        <w:rPr>
          <w:rFonts w:ascii="仿宋" w:hAnsi="仿宋" w:eastAsia="仿宋"/>
          <w:color w:val="000000"/>
          <w:sz w:val="24"/>
        </w:rPr>
        <w:t>5.2.1</w:t>
      </w:r>
      <w:r>
        <w:rPr>
          <w:rFonts w:hint="eastAsia" w:ascii="仿宋" w:hAnsi="仿宋" w:eastAsia="仿宋"/>
          <w:color w:val="000000"/>
          <w:sz w:val="24"/>
        </w:rPr>
        <w:t>履约验收的主体：成都市双流区卫生健康局</w:t>
      </w:r>
    </w:p>
    <w:p>
      <w:pPr>
        <w:ind w:firstLine="480" w:firstLineChars="200"/>
        <w:rPr>
          <w:rFonts w:ascii="仿宋" w:hAnsi="仿宋" w:eastAsia="仿宋"/>
          <w:color w:val="000000"/>
          <w:sz w:val="24"/>
        </w:rPr>
      </w:pPr>
      <w:r>
        <w:rPr>
          <w:rFonts w:ascii="仿宋" w:hAnsi="仿宋" w:eastAsia="仿宋"/>
          <w:color w:val="000000"/>
          <w:sz w:val="24"/>
        </w:rPr>
        <w:t>5.2.2</w:t>
      </w:r>
      <w:r>
        <w:rPr>
          <w:rFonts w:hint="eastAsia" w:ascii="仿宋" w:hAnsi="仿宋" w:eastAsia="仿宋"/>
          <w:color w:val="000000"/>
          <w:sz w:val="24"/>
        </w:rPr>
        <w:t>验收时间：</w:t>
      </w:r>
      <w:r>
        <w:rPr>
          <w:rFonts w:hint="eastAsia" w:ascii="仿宋" w:hAnsi="仿宋" w:eastAsia="仿宋"/>
          <w:color w:val="000000"/>
          <w:kern w:val="0"/>
          <w:sz w:val="24"/>
        </w:rPr>
        <w:t>项目完成后</w:t>
      </w:r>
      <w:r>
        <w:rPr>
          <w:rFonts w:ascii="仿宋" w:hAnsi="仿宋" w:eastAsia="仿宋"/>
          <w:color w:val="000000"/>
          <w:kern w:val="0"/>
          <w:sz w:val="24"/>
        </w:rPr>
        <w:t>15</w:t>
      </w:r>
      <w:r>
        <w:rPr>
          <w:rFonts w:hint="eastAsia" w:ascii="仿宋" w:hAnsi="仿宋" w:eastAsia="仿宋"/>
          <w:color w:val="000000"/>
          <w:kern w:val="0"/>
          <w:sz w:val="24"/>
        </w:rPr>
        <w:t>个工作日内</w:t>
      </w:r>
    </w:p>
    <w:p>
      <w:pPr>
        <w:ind w:firstLine="480" w:firstLineChars="200"/>
        <w:rPr>
          <w:rFonts w:ascii="仿宋" w:hAnsi="仿宋" w:eastAsia="仿宋"/>
          <w:color w:val="000000"/>
          <w:sz w:val="24"/>
        </w:rPr>
      </w:pPr>
      <w:r>
        <w:rPr>
          <w:rFonts w:ascii="仿宋" w:hAnsi="仿宋" w:eastAsia="仿宋"/>
          <w:color w:val="000000"/>
          <w:sz w:val="24"/>
        </w:rPr>
        <w:t>5.2.3</w:t>
      </w:r>
      <w:r>
        <w:rPr>
          <w:rFonts w:hint="eastAsia" w:ascii="仿宋" w:hAnsi="仿宋" w:eastAsia="仿宋"/>
          <w:color w:val="000000"/>
          <w:sz w:val="24"/>
        </w:rPr>
        <w:t>验收方式：由采购人、专家、供应商代表共同验收。</w:t>
      </w:r>
    </w:p>
    <w:p>
      <w:pPr>
        <w:ind w:firstLine="480" w:firstLineChars="200"/>
        <w:rPr>
          <w:rFonts w:ascii="仿宋" w:hAnsi="仿宋" w:eastAsia="仿宋"/>
          <w:color w:val="000000"/>
          <w:sz w:val="24"/>
        </w:rPr>
      </w:pPr>
      <w:r>
        <w:rPr>
          <w:rFonts w:ascii="仿宋" w:hAnsi="仿宋" w:eastAsia="仿宋"/>
          <w:color w:val="000000"/>
          <w:sz w:val="24"/>
        </w:rPr>
        <w:t>5.2.4</w:t>
      </w:r>
      <w:r>
        <w:rPr>
          <w:rFonts w:hint="eastAsia" w:ascii="仿宋" w:hAnsi="仿宋" w:eastAsia="仿宋"/>
          <w:color w:val="000000"/>
          <w:sz w:val="24"/>
        </w:rPr>
        <w:t>验收程序内容和验收标准：（包括每一项技术和商务要求的履约情况，验收标准要包括所有客观、量化指标）</w:t>
      </w:r>
    </w:p>
    <w:p>
      <w:pPr>
        <w:ind w:firstLine="480" w:firstLineChars="200"/>
        <w:rPr>
          <w:rFonts w:ascii="仿宋" w:hAnsi="仿宋" w:eastAsia="仿宋"/>
          <w:color w:val="000000"/>
          <w:sz w:val="24"/>
        </w:rPr>
      </w:pPr>
      <w:r>
        <w:rPr>
          <w:rFonts w:hint="eastAsia" w:ascii="仿宋" w:hAnsi="仿宋" w:eastAsia="仿宋"/>
          <w:color w:val="000000"/>
          <w:sz w:val="24"/>
        </w:rPr>
        <w:t>1）供应商提交验收申请书，验收组长与供应商确定拟验收的时间与地点。</w:t>
      </w:r>
    </w:p>
    <w:p>
      <w:pPr>
        <w:ind w:firstLine="480" w:firstLineChars="200"/>
        <w:rPr>
          <w:rFonts w:ascii="仿宋" w:hAnsi="仿宋" w:eastAsia="仿宋"/>
          <w:color w:val="000000"/>
          <w:sz w:val="24"/>
        </w:rPr>
      </w:pPr>
      <w:r>
        <w:rPr>
          <w:rFonts w:hint="eastAsia" w:ascii="仿宋" w:hAnsi="仿宋" w:eastAsia="仿宋"/>
          <w:color w:val="000000"/>
          <w:sz w:val="24"/>
        </w:rPr>
        <w:t>2）验收组长将验收时间、地点书面告知参与验收的人员（包括验收组员、邀请的单位/个人、通知的单位/个人），并获取确认参加的回执单。</w:t>
      </w:r>
    </w:p>
    <w:p>
      <w:pPr>
        <w:ind w:firstLine="480" w:firstLineChars="200"/>
        <w:rPr>
          <w:rFonts w:ascii="仿宋" w:hAnsi="仿宋" w:eastAsia="仿宋"/>
          <w:color w:val="000000"/>
          <w:sz w:val="24"/>
        </w:rPr>
      </w:pPr>
      <w:r>
        <w:rPr>
          <w:rFonts w:hint="eastAsia" w:ascii="仿宋" w:hAnsi="仿宋" w:eastAsia="仿宋"/>
          <w:color w:val="000000"/>
          <w:sz w:val="24"/>
        </w:rPr>
        <w:t>3）验收组长准备现场验收的相关资料（采购合同副本每人1份、验收标准每人1份、验收签到表1份、个人验收记录每人1份、个人验收意见每人1份、验收报告1份）</w:t>
      </w:r>
    </w:p>
    <w:p>
      <w:pPr>
        <w:ind w:firstLine="480" w:firstLineChars="200"/>
        <w:rPr>
          <w:rFonts w:ascii="仿宋" w:hAnsi="仿宋" w:eastAsia="仿宋"/>
          <w:color w:val="000000"/>
          <w:sz w:val="24"/>
        </w:rPr>
      </w:pPr>
      <w:r>
        <w:rPr>
          <w:rFonts w:hint="eastAsia" w:ascii="仿宋" w:hAnsi="仿宋" w:eastAsia="仿宋"/>
          <w:color w:val="000000"/>
          <w:sz w:val="24"/>
        </w:rPr>
        <w:t>4）在约定的验收时间、验收地点由验收组长现场组织验收。</w:t>
      </w:r>
    </w:p>
    <w:p>
      <w:pPr>
        <w:ind w:firstLine="480" w:firstLineChars="200"/>
        <w:rPr>
          <w:rFonts w:ascii="仿宋" w:hAnsi="仿宋" w:eastAsia="仿宋"/>
          <w:color w:val="000000"/>
          <w:sz w:val="24"/>
        </w:rPr>
      </w:pPr>
      <w:r>
        <w:rPr>
          <w:rFonts w:hint="eastAsia" w:ascii="仿宋" w:hAnsi="仿宋" w:eastAsia="仿宋"/>
          <w:color w:val="000000"/>
          <w:sz w:val="24"/>
        </w:rPr>
        <w:t>5）验收组长组织参与人员签到，并分发资料。</w:t>
      </w:r>
    </w:p>
    <w:p>
      <w:pPr>
        <w:ind w:firstLine="480" w:firstLineChars="200"/>
        <w:rPr>
          <w:rFonts w:ascii="仿宋" w:hAnsi="仿宋" w:eastAsia="仿宋"/>
          <w:color w:val="000000"/>
          <w:sz w:val="24"/>
        </w:rPr>
      </w:pPr>
      <w:r>
        <w:rPr>
          <w:rFonts w:hint="eastAsia" w:ascii="仿宋" w:hAnsi="仿宋" w:eastAsia="仿宋"/>
          <w:color w:val="000000"/>
          <w:sz w:val="24"/>
        </w:rPr>
        <w:t>6）验收组长进行项目介绍及验收工作安排。</w:t>
      </w:r>
    </w:p>
    <w:p>
      <w:pPr>
        <w:ind w:firstLine="480" w:firstLineChars="200"/>
        <w:rPr>
          <w:rFonts w:ascii="仿宋" w:hAnsi="仿宋" w:eastAsia="仿宋"/>
          <w:color w:val="000000"/>
          <w:sz w:val="24"/>
        </w:rPr>
      </w:pPr>
      <w:r>
        <w:rPr>
          <w:rFonts w:hint="eastAsia" w:ascii="仿宋" w:hAnsi="仿宋" w:eastAsia="仿宋"/>
          <w:color w:val="000000"/>
          <w:sz w:val="24"/>
        </w:rPr>
        <w:t>7)供应商进行待验项目的汇报，展示服务的全过程，重点讲述项目合同履约内容。</w:t>
      </w:r>
    </w:p>
    <w:p>
      <w:pPr>
        <w:ind w:firstLine="480" w:firstLineChars="200"/>
        <w:rPr>
          <w:rFonts w:ascii="仿宋" w:hAnsi="仿宋" w:eastAsia="仿宋"/>
          <w:color w:val="000000"/>
          <w:sz w:val="24"/>
        </w:rPr>
      </w:pPr>
      <w:r>
        <w:rPr>
          <w:rFonts w:hint="eastAsia" w:ascii="仿宋" w:hAnsi="仿宋" w:eastAsia="仿宋"/>
          <w:color w:val="000000"/>
          <w:sz w:val="24"/>
        </w:rPr>
        <w:t>8)验收小组成员根据验收清单及标准进行各环节验收并测试，如实填写验收意见。</w:t>
      </w:r>
    </w:p>
    <w:p>
      <w:pPr>
        <w:ind w:firstLine="480" w:firstLineChars="200"/>
        <w:rPr>
          <w:rFonts w:ascii="仿宋" w:hAnsi="仿宋" w:eastAsia="仿宋"/>
          <w:color w:val="000000"/>
          <w:sz w:val="24"/>
        </w:rPr>
      </w:pPr>
      <w:r>
        <w:rPr>
          <w:rFonts w:hint="eastAsia" w:ascii="仿宋" w:hAnsi="仿宋" w:eastAsia="仿宋"/>
          <w:color w:val="000000"/>
          <w:sz w:val="24"/>
        </w:rPr>
        <w:t>9)非验收小组成员根据参与验收对应的环节，并填写书面意见，作为验收小组编制验收报告的参考依据。</w:t>
      </w:r>
    </w:p>
    <w:p>
      <w:pPr>
        <w:ind w:firstLine="480" w:firstLineChars="200"/>
        <w:rPr>
          <w:rFonts w:ascii="仿宋" w:hAnsi="仿宋" w:eastAsia="仿宋"/>
          <w:color w:val="000000"/>
          <w:sz w:val="24"/>
        </w:rPr>
      </w:pPr>
      <w:r>
        <w:rPr>
          <w:rFonts w:hint="eastAsia" w:ascii="仿宋" w:hAnsi="仿宋" w:eastAsia="仿宋"/>
          <w:color w:val="000000"/>
          <w:sz w:val="24"/>
        </w:rPr>
        <w:t>10)各环节验收完成，由验收小组综合参与人意见，完成验收报告，并做出验收结论。</w:t>
      </w:r>
    </w:p>
    <w:p>
      <w:pPr>
        <w:ind w:firstLine="480" w:firstLineChars="200"/>
        <w:rPr>
          <w:rFonts w:ascii="仿宋" w:hAnsi="仿宋" w:eastAsia="仿宋"/>
          <w:color w:val="000000"/>
          <w:sz w:val="24"/>
        </w:rPr>
      </w:pPr>
      <w:r>
        <w:rPr>
          <w:rFonts w:hint="eastAsia" w:ascii="仿宋" w:hAnsi="仿宋" w:eastAsia="仿宋"/>
          <w:color w:val="000000"/>
          <w:sz w:val="24"/>
        </w:rPr>
        <w:t>11)验收结论为验收合格的，验收组长将全部验收材料统一装订成册。验收结论为验收不合格的属于允许整改的，验收小组以书面形式通知履约供应商，限期整改，整改后重新提交验收申请书，验收组长重新验收。验收结论为验收不合格的属于无法整改的，不得交付使用，由采购人依照合同追究责任。</w:t>
      </w:r>
    </w:p>
    <w:p>
      <w:pPr>
        <w:ind w:firstLine="480" w:firstLineChars="200"/>
        <w:rPr>
          <w:rFonts w:ascii="仿宋" w:hAnsi="仿宋" w:eastAsia="仿宋"/>
          <w:bCs/>
          <w:color w:val="000000"/>
          <w:sz w:val="24"/>
        </w:rPr>
      </w:pPr>
      <w:r>
        <w:rPr>
          <w:rFonts w:hint="eastAsia" w:ascii="仿宋" w:hAnsi="仿宋" w:eastAsia="仿宋"/>
          <w:color w:val="000000"/>
          <w:sz w:val="24"/>
        </w:rPr>
        <w:t>12）履约验收内容：磋商文件技术要求、商务要求以及成交供应商的响应文件。</w:t>
      </w:r>
    </w:p>
    <w:bookmarkEnd w:id="5"/>
    <w:p>
      <w:pPr>
        <w:rPr>
          <w:rFonts w:ascii="仿宋" w:hAnsi="仿宋" w:eastAsia="仿宋" w:cs="宋体"/>
          <w:b/>
          <w:color w:val="000000"/>
          <w:sz w:val="24"/>
        </w:rPr>
      </w:pPr>
      <w:r>
        <w:rPr>
          <w:rFonts w:hint="eastAsia" w:ascii="仿宋" w:hAnsi="仿宋" w:eastAsia="仿宋" w:cs="宋体"/>
          <w:b/>
          <w:color w:val="000000"/>
          <w:sz w:val="24"/>
        </w:rPr>
        <w:t>（六）违约责任</w:t>
      </w:r>
    </w:p>
    <w:p>
      <w:pPr>
        <w:ind w:left="900" w:leftChars="200" w:hanging="480" w:hangingChars="200"/>
        <w:rPr>
          <w:rFonts w:ascii="仿宋" w:hAnsi="仿宋" w:eastAsia="仿宋" w:cs="方正楷体_GBK"/>
          <w:color w:val="000000"/>
          <w:sz w:val="24"/>
          <w:lang w:val="zh-CN"/>
        </w:rPr>
      </w:pPr>
      <w:bookmarkStart w:id="6" w:name="_Hlk99654730"/>
      <w:bookmarkStart w:id="7" w:name="_Hlk99657404"/>
      <w:r>
        <w:rPr>
          <w:rFonts w:ascii="仿宋" w:hAnsi="仿宋" w:eastAsia="仿宋"/>
          <w:color w:val="000000"/>
          <w:sz w:val="24"/>
          <w:lang w:val="zh-CN"/>
        </w:rPr>
        <w:t xml:space="preserve">6.1 </w:t>
      </w:r>
      <w:r>
        <w:rPr>
          <w:rFonts w:hint="eastAsia" w:ascii="仿宋" w:hAnsi="仿宋" w:eastAsia="仿宋" w:cs="方正楷体_GBK"/>
          <w:color w:val="000000"/>
          <w:sz w:val="24"/>
          <w:lang w:val="zh-CN"/>
        </w:rPr>
        <w:t>采购人违约责任</w:t>
      </w:r>
    </w:p>
    <w:p>
      <w:pPr>
        <w:ind w:firstLine="480" w:firstLineChars="200"/>
        <w:rPr>
          <w:rFonts w:ascii="仿宋" w:hAnsi="仿宋" w:eastAsia="仿宋"/>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.1.1</w:t>
      </w:r>
      <w:r>
        <w:rPr>
          <w:rFonts w:hint="eastAsia" w:ascii="仿宋" w:hAnsi="仿宋" w:eastAsia="仿宋" w:cs="方正仿宋简体"/>
          <w:color w:val="000000"/>
          <w:sz w:val="24"/>
          <w:lang w:val="zh-CN"/>
        </w:rPr>
        <w:t>采购人无正</w:t>
      </w:r>
      <w:r>
        <w:rPr>
          <w:rFonts w:hint="eastAsia" w:ascii="仿宋" w:hAnsi="仿宋" w:eastAsia="仿宋"/>
          <w:color w:val="000000"/>
          <w:sz w:val="24"/>
          <w:lang w:val="zh-CN"/>
        </w:rPr>
        <w:t>当理由拒收产品（</w:t>
      </w:r>
      <w:r>
        <w:rPr>
          <w:rFonts w:hint="eastAsia" w:ascii="仿宋" w:hAnsi="仿宋" w:eastAsia="仿宋"/>
          <w:color w:val="000000"/>
          <w:sz w:val="24"/>
        </w:rPr>
        <w:t>含服务）</w:t>
      </w:r>
      <w:r>
        <w:rPr>
          <w:rFonts w:hint="eastAsia" w:ascii="仿宋" w:hAnsi="仿宋" w:eastAsia="仿宋"/>
          <w:color w:val="000000"/>
          <w:sz w:val="24"/>
          <w:lang w:val="zh-CN"/>
        </w:rPr>
        <w:t>超过10日的，采购人应向供应商偿付拒</w:t>
      </w:r>
      <w:r>
        <w:rPr>
          <w:rFonts w:hint="eastAsia" w:ascii="仿宋" w:hAnsi="仿宋" w:eastAsia="仿宋"/>
          <w:color w:val="000000"/>
          <w:sz w:val="24"/>
        </w:rPr>
        <w:t>收部分对应</w:t>
      </w:r>
      <w:r>
        <w:rPr>
          <w:rFonts w:hint="eastAsia" w:ascii="仿宋" w:hAnsi="仿宋" w:eastAsia="仿宋"/>
          <w:color w:val="000000"/>
          <w:sz w:val="24"/>
          <w:lang w:val="zh-CN"/>
        </w:rPr>
        <w:t>合同价款1％的违约金。</w:t>
      </w:r>
    </w:p>
    <w:p>
      <w:pPr>
        <w:ind w:firstLine="480" w:firstLineChars="200"/>
        <w:rPr>
          <w:rFonts w:ascii="仿宋" w:hAnsi="仿宋" w:eastAsia="仿宋" w:cs="方正仿宋简体"/>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1.2采购人无正当理由未按合同规定的期限向供应商支付合同价款的，采购人逾期支付合同价款超过15个工作日的，采购人按照所逾期天数乘以应付而未付款项的0.1‰/日的标准向供应商支付违约金，但累计违约金总额不超过欠款总额的1％。</w:t>
      </w:r>
    </w:p>
    <w:p>
      <w:pPr>
        <w:ind w:left="900" w:leftChars="200" w:hanging="480" w:hangingChars="200"/>
        <w:rPr>
          <w:rFonts w:ascii="仿宋" w:hAnsi="仿宋" w:eastAsia="仿宋" w:cs="方正楷体_GBK"/>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 xml:space="preserve">.2 </w:t>
      </w:r>
      <w:r>
        <w:rPr>
          <w:rFonts w:hint="eastAsia" w:ascii="仿宋" w:hAnsi="仿宋" w:eastAsia="仿宋" w:cs="方正楷体_GBK"/>
          <w:color w:val="000000"/>
          <w:sz w:val="24"/>
          <w:lang w:val="zh-CN"/>
        </w:rPr>
        <w:t>供应商违约责任</w:t>
      </w:r>
    </w:p>
    <w:p>
      <w:pPr>
        <w:ind w:firstLine="480" w:firstLineChars="200"/>
        <w:rPr>
          <w:rFonts w:ascii="仿宋" w:hAnsi="仿宋" w:eastAsia="仿宋"/>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 xml:space="preserve">.2.1 </w:t>
      </w:r>
      <w:r>
        <w:rPr>
          <w:rFonts w:hint="eastAsia" w:ascii="仿宋" w:hAnsi="仿宋" w:eastAsia="仿宋" w:cs="方正仿宋简体"/>
          <w:color w:val="000000"/>
          <w:sz w:val="24"/>
          <w:lang w:val="zh-CN"/>
        </w:rPr>
        <w:t>供应商</w:t>
      </w:r>
      <w:r>
        <w:rPr>
          <w:rFonts w:hint="eastAsia" w:ascii="仿宋" w:hAnsi="仿宋" w:eastAsia="仿宋"/>
          <w:color w:val="000000"/>
          <w:sz w:val="24"/>
          <w:lang w:val="zh-CN"/>
        </w:rPr>
        <w:t>应积极配合并接受项目行业管理部门、政府有关部门的指导及采购人的监督。按照要求配备服务团队，积极参与专题汇报、随机汇报、研讨等，若有违反，每人次需承担合同总价1‰的违约金。</w:t>
      </w:r>
    </w:p>
    <w:p>
      <w:pPr>
        <w:ind w:firstLine="480" w:firstLineChars="200"/>
        <w:rPr>
          <w:rFonts w:ascii="仿宋" w:hAnsi="仿宋" w:eastAsia="仿宋"/>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.2.2供应商所交付的产品（</w:t>
      </w:r>
      <w:r>
        <w:rPr>
          <w:rFonts w:hint="eastAsia" w:ascii="仿宋" w:hAnsi="仿宋" w:eastAsia="仿宋"/>
          <w:color w:val="000000"/>
          <w:sz w:val="24"/>
        </w:rPr>
        <w:t>含服务）</w:t>
      </w:r>
      <w:r>
        <w:rPr>
          <w:rFonts w:hint="eastAsia" w:ascii="仿宋" w:hAnsi="仿宋" w:eastAsia="仿宋"/>
          <w:color w:val="000000"/>
          <w:sz w:val="24"/>
          <w:lang w:val="zh-CN"/>
        </w:rPr>
        <w:t>不符合本合同规定的，采购人</w:t>
      </w:r>
      <w:r>
        <w:rPr>
          <w:rFonts w:hint="eastAsia" w:ascii="仿宋" w:hAnsi="仿宋" w:eastAsia="仿宋"/>
          <w:color w:val="000000"/>
          <w:sz w:val="24"/>
        </w:rPr>
        <w:t>有权</w:t>
      </w:r>
      <w:r>
        <w:rPr>
          <w:rFonts w:hint="eastAsia" w:ascii="仿宋" w:hAnsi="仿宋" w:eastAsia="仿宋"/>
          <w:color w:val="000000"/>
          <w:sz w:val="24"/>
          <w:lang w:val="zh-CN"/>
        </w:rPr>
        <w:t>拒收，同时供应商应向采购人支付合同总价1％的产品不合格违约金，同时需承担迟延交付的违约责任。供应商应在得到采购人通知之日起10个工作日内采取补救措施。若供应商上述期限内所提供的产品（</w:t>
      </w:r>
      <w:r>
        <w:rPr>
          <w:rFonts w:hint="eastAsia" w:ascii="仿宋" w:hAnsi="仿宋" w:eastAsia="仿宋"/>
          <w:color w:val="000000"/>
          <w:sz w:val="24"/>
        </w:rPr>
        <w:t>含服务）</w:t>
      </w:r>
      <w:r>
        <w:rPr>
          <w:rFonts w:hint="eastAsia" w:ascii="仿宋" w:hAnsi="仿宋" w:eastAsia="仿宋"/>
          <w:color w:val="000000"/>
          <w:sz w:val="24"/>
          <w:lang w:val="zh-CN"/>
        </w:rPr>
        <w:t>仍不符合规定，供应商应向采购人另行支付合同总价10%的违约金，同时采购人</w:t>
      </w:r>
      <w:r>
        <w:rPr>
          <w:rFonts w:hint="eastAsia" w:ascii="仿宋" w:hAnsi="仿宋" w:eastAsia="仿宋"/>
          <w:color w:val="000000"/>
          <w:sz w:val="24"/>
        </w:rPr>
        <w:t>有权</w:t>
      </w:r>
      <w:r>
        <w:rPr>
          <w:rFonts w:hint="eastAsia" w:ascii="仿宋" w:hAnsi="仿宋" w:eastAsia="仿宋"/>
          <w:color w:val="000000"/>
          <w:sz w:val="24"/>
          <w:lang w:val="zh-CN"/>
        </w:rPr>
        <w:t>单方面无条件解除合同，并要求供应商退还已支付的所有资金及其利息（按每日万分之一计算）。</w:t>
      </w:r>
    </w:p>
    <w:p>
      <w:pPr>
        <w:ind w:firstLine="480" w:firstLineChars="200"/>
        <w:rPr>
          <w:rFonts w:ascii="仿宋" w:hAnsi="仿宋" w:eastAsia="仿宋" w:cs="方正仿宋简体"/>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.2.3供应商无正当理由未按交货期要求的时间节点完成服务的，每逾期1天，供应商向采购人偿付合同总价的1%的违约金。如供应商逾期达15天，采购人</w:t>
      </w:r>
      <w:r>
        <w:rPr>
          <w:rFonts w:hint="eastAsia" w:ascii="仿宋" w:hAnsi="仿宋" w:eastAsia="仿宋"/>
          <w:color w:val="000000"/>
          <w:sz w:val="24"/>
        </w:rPr>
        <w:t>有权</w:t>
      </w:r>
      <w:r>
        <w:rPr>
          <w:rFonts w:hint="eastAsia" w:ascii="仿宋" w:hAnsi="仿宋" w:eastAsia="仿宋"/>
          <w:color w:val="000000"/>
          <w:sz w:val="24"/>
          <w:lang w:val="zh-CN"/>
        </w:rPr>
        <w:t>解除合同，采购人解除合同的通知自到达供应商时生效，同时供应商应向采购人另行支付合同总价10%的违约金，并退还所有已收取的资金及其利息（按每日万分之一计算）。在此情况下，供应商给采购人造成的实际损失</w:t>
      </w:r>
      <w:r>
        <w:rPr>
          <w:rFonts w:hint="eastAsia" w:ascii="仿宋" w:hAnsi="仿宋" w:eastAsia="仿宋" w:cs="方正仿宋简体"/>
          <w:color w:val="000000"/>
          <w:sz w:val="24"/>
          <w:lang w:val="zh-CN"/>
        </w:rPr>
        <w:t>高于违约金的，对高出违约金的部分供应商应予以赔偿。</w:t>
      </w:r>
    </w:p>
    <w:p>
      <w:pPr>
        <w:ind w:firstLine="480" w:firstLineChars="200"/>
        <w:rPr>
          <w:rFonts w:ascii="仿宋" w:hAnsi="仿宋" w:eastAsia="仿宋" w:cs="方正仿宋简体"/>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.2.4</w:t>
      </w:r>
      <w:r>
        <w:rPr>
          <w:rFonts w:hint="eastAsia" w:ascii="仿宋" w:hAnsi="仿宋" w:eastAsia="仿宋" w:cs="方正仿宋简体"/>
          <w:color w:val="000000"/>
          <w:sz w:val="24"/>
          <w:lang w:val="zh-CN"/>
        </w:rPr>
        <w:t>供应商保证本合同产品（</w:t>
      </w:r>
      <w:r>
        <w:rPr>
          <w:rFonts w:hint="eastAsia" w:ascii="仿宋" w:hAnsi="仿宋" w:eastAsia="仿宋"/>
          <w:color w:val="000000"/>
          <w:sz w:val="24"/>
        </w:rPr>
        <w:t>含服务）</w:t>
      </w:r>
      <w:r>
        <w:rPr>
          <w:rFonts w:hint="eastAsia" w:ascii="仿宋" w:hAnsi="仿宋" w:eastAsia="仿宋" w:cs="方正仿宋简体"/>
          <w:color w:val="000000"/>
          <w:sz w:val="24"/>
          <w:lang w:val="zh-CN"/>
        </w:rPr>
        <w:t>的权利无瑕疵，包括产品</w:t>
      </w:r>
      <w:r>
        <w:rPr>
          <w:rFonts w:hint="eastAsia" w:ascii="仿宋" w:hAnsi="仿宋" w:eastAsia="仿宋"/>
          <w:color w:val="000000"/>
          <w:sz w:val="24"/>
          <w:lang w:val="zh-CN"/>
        </w:rPr>
        <w:t>（</w:t>
      </w:r>
      <w:r>
        <w:rPr>
          <w:rFonts w:hint="eastAsia" w:ascii="仿宋" w:hAnsi="仿宋" w:eastAsia="仿宋"/>
          <w:color w:val="000000"/>
          <w:sz w:val="24"/>
        </w:rPr>
        <w:t>含服务）</w:t>
      </w:r>
      <w:r>
        <w:rPr>
          <w:rFonts w:hint="eastAsia" w:ascii="仿宋" w:hAnsi="仿宋" w:eastAsia="仿宋" w:cs="方正仿宋简体"/>
          <w:color w:val="000000"/>
          <w:sz w:val="24"/>
          <w:lang w:val="zh-CN"/>
        </w:rPr>
        <w:t>所有权及知识产权等权利无瑕疵。如产生了任何的纠纷、索赔或诉讼等，供应商除应向采购人返还已收款项及其利息</w:t>
      </w:r>
      <w:r>
        <w:rPr>
          <w:rFonts w:hint="eastAsia" w:ascii="仿宋" w:hAnsi="仿宋" w:eastAsia="仿宋"/>
          <w:color w:val="000000"/>
          <w:sz w:val="24"/>
          <w:lang w:val="zh-CN"/>
        </w:rPr>
        <w:t>（按每日万分之一计算）</w:t>
      </w:r>
      <w:r>
        <w:rPr>
          <w:rFonts w:hint="eastAsia" w:ascii="仿宋" w:hAnsi="仿宋" w:eastAsia="仿宋" w:cs="方正仿宋简体"/>
          <w:color w:val="000000"/>
          <w:sz w:val="24"/>
          <w:lang w:val="zh-CN"/>
        </w:rPr>
        <w:t>外，还应另按合同总价的</w:t>
      </w:r>
      <w:r>
        <w:rPr>
          <w:rFonts w:ascii="仿宋" w:hAnsi="仿宋" w:eastAsia="仿宋"/>
          <w:color w:val="000000"/>
          <w:sz w:val="24"/>
          <w:lang w:val="zh-CN"/>
        </w:rPr>
        <w:t>10%</w:t>
      </w:r>
      <w:r>
        <w:rPr>
          <w:rFonts w:hint="eastAsia" w:ascii="仿宋" w:hAnsi="仿宋" w:eastAsia="仿宋" w:cs="方正仿宋简体"/>
          <w:color w:val="000000"/>
          <w:sz w:val="24"/>
          <w:lang w:val="zh-CN"/>
        </w:rPr>
        <w:t>向采购人支付违约金并赔偿因此给采购人造成的一切损失。</w:t>
      </w:r>
    </w:p>
    <w:p>
      <w:pPr>
        <w:ind w:firstLine="480" w:firstLineChars="200"/>
        <w:rPr>
          <w:rFonts w:ascii="仿宋" w:hAnsi="仿宋" w:eastAsia="仿宋" w:cs="方正仿宋简体"/>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 xml:space="preserve">.2.5 </w:t>
      </w:r>
      <w:r>
        <w:rPr>
          <w:rFonts w:hint="eastAsia" w:ascii="仿宋" w:hAnsi="仿宋" w:eastAsia="仿宋" w:cs="方正仿宋简体"/>
          <w:color w:val="000000"/>
          <w:sz w:val="24"/>
          <w:lang w:val="zh-CN"/>
        </w:rPr>
        <w:t>除上述约定外，供应商未按照响应文件承诺和本合同约定提供服务的，每出现</w:t>
      </w:r>
      <w:r>
        <w:rPr>
          <w:rFonts w:hint="eastAsia" w:ascii="仿宋" w:hAnsi="仿宋" w:eastAsia="仿宋"/>
          <w:color w:val="000000"/>
          <w:sz w:val="24"/>
          <w:lang w:val="zh-CN"/>
        </w:rPr>
        <w:t>一次视为一次违约（逾期一天视为违约一次），供应商应按合同总价的1%向采购人支付违约金，并按照采购人要求及时整改。售后服务期内出现三次以上违约的，采购人</w:t>
      </w:r>
      <w:r>
        <w:rPr>
          <w:rFonts w:hint="eastAsia" w:ascii="仿宋" w:hAnsi="仿宋" w:eastAsia="仿宋"/>
          <w:color w:val="000000"/>
          <w:sz w:val="24"/>
        </w:rPr>
        <w:t>有权</w:t>
      </w:r>
      <w:r>
        <w:rPr>
          <w:rFonts w:hint="eastAsia" w:ascii="仿宋" w:hAnsi="仿宋" w:eastAsia="仿宋"/>
          <w:color w:val="000000"/>
          <w:sz w:val="24"/>
          <w:lang w:val="zh-CN"/>
        </w:rPr>
        <w:t>直接解除合同，自解除通知到达供应商时即生效。本合同履行期间，凡因供应商违约导致采购人解除合同的，供应商应退还采购人已付款（含按照1倍LPR计算的资金占用利息），还应另按合同总价的10%向采购人</w:t>
      </w:r>
      <w:r>
        <w:rPr>
          <w:rFonts w:hint="eastAsia" w:ascii="仿宋" w:hAnsi="仿宋" w:eastAsia="仿宋" w:cs="方正仿宋简体"/>
          <w:color w:val="000000"/>
          <w:sz w:val="24"/>
          <w:lang w:val="zh-CN"/>
        </w:rPr>
        <w:t>支付违约金并赔偿因此给采购人造成的一切损失。</w:t>
      </w:r>
    </w:p>
    <w:p>
      <w:pPr>
        <w:ind w:firstLine="480" w:firstLineChars="200"/>
        <w:rPr>
          <w:rFonts w:ascii="仿宋" w:hAnsi="仿宋" w:eastAsia="仿宋" w:cs="方正仿宋简体"/>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 xml:space="preserve">.2.6 </w:t>
      </w:r>
      <w:r>
        <w:rPr>
          <w:rFonts w:hint="eastAsia" w:ascii="仿宋" w:hAnsi="仿宋" w:eastAsia="仿宋" w:cs="方正仿宋简体"/>
          <w:color w:val="000000"/>
          <w:sz w:val="24"/>
          <w:lang w:val="zh-CN"/>
        </w:rPr>
        <w:t>供应商未经采购人书面</w:t>
      </w:r>
      <w:r>
        <w:rPr>
          <w:rFonts w:hint="eastAsia" w:ascii="仿宋" w:hAnsi="仿宋" w:eastAsia="仿宋"/>
          <w:color w:val="000000"/>
          <w:sz w:val="24"/>
          <w:lang w:val="zh-CN"/>
        </w:rPr>
        <w:t>同意进行下列行为的，应当向采购人支付合同总金额1%的</w:t>
      </w:r>
      <w:r>
        <w:rPr>
          <w:rFonts w:hint="eastAsia" w:ascii="仿宋" w:hAnsi="仿宋" w:eastAsia="仿宋" w:cs="方正仿宋简体"/>
          <w:color w:val="000000"/>
          <w:sz w:val="24"/>
          <w:lang w:val="zh-CN"/>
        </w:rPr>
        <w:t>违约金，违约金不足以弥补采购人损失的，供应商还应当赔偿采购人遭受的一切损失，采购人并有权解除合同：</w:t>
      </w:r>
    </w:p>
    <w:p>
      <w:pPr>
        <w:ind w:firstLine="480" w:firstLineChars="200"/>
        <w:rPr>
          <w:rFonts w:ascii="仿宋" w:hAnsi="仿宋" w:eastAsia="仿宋" w:cs="方正仿宋简体"/>
          <w:color w:val="000000"/>
          <w:sz w:val="24"/>
          <w:lang w:val="zh-CN"/>
        </w:rPr>
      </w:pPr>
      <w:r>
        <w:rPr>
          <w:rFonts w:hint="eastAsia" w:ascii="仿宋" w:hAnsi="仿宋" w:eastAsia="仿宋" w:cs="方正仿宋简体"/>
          <w:color w:val="000000"/>
          <w:sz w:val="24"/>
          <w:lang w:val="zh-CN"/>
        </w:rPr>
        <w:t>①在任何时间内以任何形式（包括但不限于售卖、出租、赠与等）将本合同所涉货物或服务转让或提供给任何第三方，由第三方提供的货物或服务，采购人不予认可。</w:t>
      </w:r>
    </w:p>
    <w:p>
      <w:pPr>
        <w:ind w:firstLine="480" w:firstLineChars="200"/>
        <w:rPr>
          <w:rFonts w:ascii="仿宋" w:hAnsi="仿宋" w:eastAsia="仿宋" w:cs="方正仿宋简体"/>
          <w:color w:val="000000"/>
          <w:sz w:val="24"/>
          <w:lang w:val="zh-CN"/>
        </w:rPr>
      </w:pPr>
      <w:r>
        <w:rPr>
          <w:rFonts w:hint="eastAsia" w:ascii="仿宋" w:hAnsi="仿宋" w:eastAsia="仿宋" w:cs="方正仿宋简体"/>
          <w:color w:val="000000"/>
          <w:sz w:val="24"/>
          <w:lang w:val="zh-CN"/>
        </w:rPr>
        <w:t>②对本合同服务方案或服务过程中接触到的有关内容进行修订后生产相应产品，在任何时间内以任何形式（包括但不限于售卖、出租、赠与等）将上述货物或服务转让或者提供给任何第三方。</w:t>
      </w:r>
    </w:p>
    <w:p>
      <w:pPr>
        <w:ind w:firstLine="480" w:firstLineChars="200"/>
        <w:rPr>
          <w:rFonts w:ascii="仿宋" w:hAnsi="仿宋" w:eastAsia="仿宋" w:cs="方正仿宋简体"/>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.2.</w:t>
      </w:r>
      <w:r>
        <w:rPr>
          <w:rFonts w:ascii="仿宋" w:hAnsi="仿宋" w:eastAsia="仿宋"/>
          <w:color w:val="000000"/>
          <w:sz w:val="24"/>
          <w:lang w:val="zh-CN"/>
        </w:rPr>
        <w:t>7</w:t>
      </w:r>
      <w:r>
        <w:rPr>
          <w:rFonts w:hint="eastAsia" w:ascii="仿宋" w:hAnsi="仿宋" w:eastAsia="仿宋" w:cs="方正仿宋简体"/>
          <w:color w:val="000000"/>
          <w:sz w:val="24"/>
          <w:lang w:val="zh-CN"/>
        </w:rPr>
        <w:t xml:space="preserve"> 如果供应商</w:t>
      </w:r>
      <w:r>
        <w:rPr>
          <w:rFonts w:hint="eastAsia" w:ascii="仿宋" w:hAnsi="仿宋" w:eastAsia="仿宋"/>
          <w:color w:val="000000"/>
          <w:sz w:val="24"/>
          <w:lang w:val="zh-CN"/>
        </w:rPr>
        <w:t>有其他违反合同约定的行为的，应当向采购人支付合同总金额1%的违约金，违约金不足以弥补采购人损失的，还应当赔偿采购人遭受</w:t>
      </w:r>
      <w:r>
        <w:rPr>
          <w:rFonts w:hint="eastAsia" w:ascii="仿宋" w:hAnsi="仿宋" w:eastAsia="仿宋" w:cs="方正仿宋简体"/>
          <w:color w:val="000000"/>
          <w:sz w:val="24"/>
          <w:lang w:val="zh-CN"/>
        </w:rPr>
        <w:t>的一切损失。本合同项下采购人损失包括直接损失和间接损失，以及为实现上述赔偿所支付的一切费用，包括但不限于仲裁费、律师费、公证费、差旅费等等。</w:t>
      </w:r>
    </w:p>
    <w:p>
      <w:pPr>
        <w:ind w:firstLine="480" w:firstLineChars="200"/>
        <w:rPr>
          <w:rFonts w:ascii="仿宋" w:hAnsi="仿宋" w:eastAsia="仿宋" w:cs="方正仿宋简体"/>
          <w:color w:val="000000"/>
          <w:sz w:val="24"/>
          <w:lang w:val="zh-CN"/>
        </w:rPr>
      </w:pPr>
      <w:r>
        <w:rPr>
          <w:rFonts w:ascii="仿宋" w:hAnsi="仿宋" w:eastAsia="仿宋"/>
          <w:color w:val="000000"/>
          <w:sz w:val="24"/>
          <w:lang w:val="zh-CN"/>
        </w:rPr>
        <w:t>6</w:t>
      </w:r>
      <w:r>
        <w:rPr>
          <w:rFonts w:hint="eastAsia" w:ascii="仿宋" w:hAnsi="仿宋" w:eastAsia="仿宋"/>
          <w:color w:val="000000"/>
          <w:sz w:val="24"/>
          <w:lang w:val="zh-CN"/>
        </w:rPr>
        <w:t>.3</w:t>
      </w:r>
      <w:r>
        <w:rPr>
          <w:rFonts w:hint="eastAsia" w:ascii="仿宋" w:hAnsi="仿宋" w:eastAsia="仿宋" w:cs="方正仿宋简体"/>
          <w:color w:val="000000"/>
          <w:sz w:val="24"/>
          <w:lang w:val="zh-CN"/>
        </w:rPr>
        <w:t>一方偿付的违约金不足以弥补另一方损失的，还应按另一方损失尚未弥补的部分，支付</w:t>
      </w:r>
      <w:r>
        <w:rPr>
          <w:rFonts w:hint="eastAsia" w:ascii="仿宋" w:hAnsi="仿宋" w:eastAsia="仿宋"/>
          <w:color w:val="000000"/>
          <w:sz w:val="24"/>
          <w:lang w:val="zh-CN"/>
        </w:rPr>
        <w:t>赔偿金给另一方。任何一个工作节点超时达</w:t>
      </w:r>
      <w:r>
        <w:rPr>
          <w:rFonts w:hint="eastAsia" w:ascii="仿宋" w:hAnsi="仿宋" w:eastAsia="仿宋" w:cs="方正仿宋简体"/>
          <w:color w:val="000000"/>
          <w:sz w:val="24"/>
          <w:lang w:val="zh-CN"/>
        </w:rPr>
        <w:t>到</w:t>
      </w:r>
      <w:r>
        <w:rPr>
          <w:rFonts w:hint="eastAsia" w:ascii="仿宋" w:hAnsi="仿宋" w:eastAsia="仿宋"/>
          <w:color w:val="000000"/>
          <w:sz w:val="24"/>
          <w:lang w:val="zh-CN"/>
        </w:rPr>
        <w:t>15天时</w:t>
      </w:r>
      <w:r>
        <w:rPr>
          <w:rFonts w:hint="eastAsia" w:ascii="仿宋" w:hAnsi="仿宋" w:eastAsia="仿宋" w:cs="方正仿宋简体"/>
          <w:color w:val="000000"/>
          <w:sz w:val="24"/>
          <w:lang w:val="zh-CN"/>
        </w:rPr>
        <w:t>，采购人均可解除合同。</w:t>
      </w:r>
    </w:p>
    <w:bookmarkEnd w:id="6"/>
    <w:bookmarkEnd w:id="7"/>
    <w:p>
      <w:pPr>
        <w:ind w:left="261" w:leftChars="30" w:hanging="198" w:hangingChars="82"/>
        <w:rPr>
          <w:rFonts w:ascii="仿宋" w:hAnsi="仿宋" w:eastAsia="仿宋" w:cs="Arial Unicode MS"/>
          <w:bCs/>
          <w:color w:val="000000"/>
          <w:sz w:val="24"/>
          <w:lang w:val="zh-CN"/>
        </w:rPr>
      </w:pPr>
      <w:r>
        <w:rPr>
          <w:rFonts w:hint="eastAsia" w:ascii="仿宋" w:hAnsi="仿宋" w:eastAsia="仿宋" w:cs="Arial Unicode MS"/>
          <w:b/>
          <w:bCs/>
          <w:color w:val="000000"/>
          <w:kern w:val="0"/>
          <w:sz w:val="24"/>
          <w:lang w:val="zh-CN"/>
        </w:rPr>
        <w:t>（七）包装和运输：</w:t>
      </w:r>
      <w:r>
        <w:rPr>
          <w:rFonts w:hint="eastAsia" w:ascii="仿宋" w:hAnsi="仿宋" w:eastAsia="仿宋" w:cs="Arial Unicode MS"/>
          <w:bCs/>
          <w:color w:val="000000"/>
          <w:kern w:val="0"/>
          <w:sz w:val="24"/>
          <w:lang w:val="zh-CN"/>
        </w:rPr>
        <w:t>本项目履行过程中若涉及产品包装，须</w:t>
      </w:r>
      <w:r>
        <w:rPr>
          <w:rFonts w:hint="eastAsia" w:ascii="仿宋" w:hAnsi="仿宋" w:eastAsia="仿宋" w:cs="Arial Unicode MS"/>
          <w:bCs/>
          <w:color w:val="000000"/>
          <w:sz w:val="24"/>
          <w:lang w:val="zh-CN"/>
        </w:rPr>
        <w:t>满足《商品包装政府采购需求标准（试行）》、《快递包装政府采购需求标准（试行）》的通知 财办库〔2020〕123号的相关要求。</w:t>
      </w:r>
    </w:p>
    <w:p>
      <w:pPr>
        <w:ind w:left="261" w:leftChars="30" w:hanging="198" w:hangingChars="82"/>
        <w:rPr>
          <w:rFonts w:ascii="仿宋" w:hAnsi="仿宋" w:eastAsia="仿宋" w:cs="Arial Unicode MS"/>
          <w:b/>
          <w:bCs/>
          <w:color w:val="000000"/>
          <w:kern w:val="0"/>
          <w:sz w:val="24"/>
          <w:lang w:val="zh-CN"/>
        </w:rPr>
      </w:pPr>
      <w:r>
        <w:rPr>
          <w:rFonts w:hint="eastAsia" w:ascii="仿宋" w:hAnsi="仿宋" w:eastAsia="仿宋" w:cs="Arial Unicode MS"/>
          <w:b/>
          <w:bCs/>
          <w:color w:val="000000"/>
          <w:kern w:val="0"/>
          <w:sz w:val="24"/>
          <w:lang w:val="zh-CN"/>
        </w:rPr>
        <w:t>（八）知识产权条款：</w:t>
      </w:r>
    </w:p>
    <w:p>
      <w:pPr>
        <w:ind w:firstLine="480" w:firstLineChars="200"/>
        <w:rPr>
          <w:rFonts w:ascii="仿宋" w:hAnsi="仿宋" w:eastAsia="仿宋" w:cs="方正仿宋简体"/>
          <w:color w:val="000000"/>
          <w:sz w:val="24"/>
          <w:lang w:val="zh-CN"/>
        </w:rPr>
      </w:pPr>
      <w:r>
        <w:rPr>
          <w:rFonts w:hint="eastAsia" w:ascii="仿宋" w:hAnsi="仿宋" w:eastAsia="仿宋" w:cs="方正仿宋简体"/>
          <w:color w:val="000000"/>
          <w:sz w:val="24"/>
          <w:lang w:val="zh-CN"/>
        </w:rPr>
        <w:t>供应商确认并同意，本合同的签订和履行，没有明示、暗示或者其他方式许可供应商对由成都大运会执委会在现阶段拥有或者将来拥有的任何知识产权享有任何权利，供应商无权自行或许可任何第三方使用、复制或开发成都大运会国际大体联标志、授权称谓及一切与大运会相关的标志。供应商不得在合同的履行过程中侵犯成都大运会执委会、国际大体联、中国大体协享有的知识产权，或侵犯第三方所享有的知识产权。</w:t>
      </w:r>
    </w:p>
    <w:p>
      <w:pPr>
        <w:ind w:firstLine="480" w:firstLineChars="200"/>
        <w:rPr>
          <w:rFonts w:ascii="仿宋" w:hAnsi="仿宋" w:eastAsia="仿宋" w:cs="方正仿宋简体"/>
          <w:color w:val="000000"/>
          <w:sz w:val="24"/>
          <w:lang w:val="zh-CN"/>
        </w:rPr>
      </w:pPr>
      <w:r>
        <w:rPr>
          <w:rFonts w:hint="eastAsia" w:ascii="仿宋" w:hAnsi="仿宋" w:eastAsia="仿宋" w:cs="方正仿宋简体"/>
          <w:color w:val="000000"/>
          <w:sz w:val="24"/>
          <w:lang w:val="zh-CN"/>
        </w:rPr>
        <w:t>供应商确认并同意，本合同履行过程中产生的与成都大运会有关的知识产权，以及与知识产权有关的权利，全部归属于成都大运会执委会，成都大运会执委会享有管理、使用、处分及收益的权利。供应商放弃包括与人身相关的知识产权有关权利，并承诺不得对有关知识产权提出任何人身权、财产权权利主张。</w:t>
      </w:r>
    </w:p>
    <w:p>
      <w:pPr>
        <w:widowControl/>
        <w:spacing w:line="0" w:lineRule="atLeast"/>
        <w:ind w:firstLine="480" w:firstLineChars="200"/>
        <w:rPr>
          <w:rFonts w:ascii="仿宋" w:hAnsi="仿宋" w:eastAsia="仿宋"/>
          <w:color w:val="000000"/>
          <w:sz w:val="24"/>
        </w:rPr>
      </w:pPr>
      <w:r>
        <w:rPr>
          <w:rFonts w:hint="eastAsia" w:ascii="仿宋" w:hAnsi="仿宋" w:eastAsia="仿宋"/>
          <w:color w:val="000000"/>
          <w:sz w:val="24"/>
        </w:rPr>
        <w:t xml:space="preserve"> 本项目所涉产品（服务）的知识产权归采购人所有（归属于成都大运会执委会的知识产权除外）。本项目如所涉产品（服务）的知识产权的归属和处理的，采购人验收合格后产品（服务）的知识产权全部归属采购人（归属于成都大运会执委会的知识产权除外），如果采购人收货后发生知识产权争议，供应商应承担相应的违约责任。</w:t>
      </w:r>
    </w:p>
    <w:p>
      <w:pPr>
        <w:rPr>
          <w:rFonts w:ascii="仿宋" w:hAnsi="仿宋" w:eastAsia="仿宋" w:cs="方正仿宋简体"/>
          <w:b/>
          <w:bCs/>
          <w:color w:val="000000"/>
          <w:sz w:val="24"/>
          <w:lang w:val="zh-CN"/>
        </w:rPr>
      </w:pPr>
      <w:r>
        <w:rPr>
          <w:rFonts w:hint="eastAsia" w:ascii="仿宋" w:hAnsi="仿宋" w:eastAsia="仿宋" w:cs="方正仿宋简体"/>
          <w:b/>
          <w:bCs/>
          <w:color w:val="000000"/>
          <w:sz w:val="24"/>
          <w:lang w:val="zh-CN"/>
        </w:rPr>
        <w:t>（九）反隐性市场条款</w:t>
      </w:r>
    </w:p>
    <w:p>
      <w:pPr>
        <w:ind w:firstLine="480" w:firstLineChars="200"/>
        <w:rPr>
          <w:rFonts w:ascii="仿宋" w:hAnsi="仿宋" w:eastAsia="仿宋" w:cs="方正仿宋简体"/>
          <w:color w:val="000000"/>
          <w:sz w:val="24"/>
          <w:lang w:val="zh-CN"/>
        </w:rPr>
      </w:pPr>
      <w:r>
        <w:rPr>
          <w:rFonts w:hint="eastAsia" w:ascii="仿宋" w:hAnsi="仿宋" w:eastAsia="仿宋" w:cs="方正仿宋简体"/>
          <w:color w:val="000000"/>
          <w:sz w:val="24"/>
          <w:lang w:val="zh-CN"/>
        </w:rPr>
        <w:t>供应商确认并同意, 成都大运会执委会的重要工作之一是防止与成都大运会有关的隐性市场活动；供应商不因订立和履行本合同而在将来参与成都大运会赞助商和（或）合同供货商的竞争中获得任何优先于其他竞争者的权利；供应商不得从事与成都大运会有关的任何形式的隐性市场活动。</w:t>
      </w:r>
    </w:p>
    <w:p>
      <w:pPr>
        <w:ind w:firstLine="480" w:firstLineChars="200"/>
        <w:rPr>
          <w:rFonts w:ascii="仿宋" w:hAnsi="仿宋" w:eastAsia="仿宋" w:cs="方正仿宋简体"/>
          <w:color w:val="000000"/>
          <w:sz w:val="24"/>
          <w:lang w:val="zh-CN"/>
        </w:rPr>
      </w:pPr>
      <w:r>
        <w:rPr>
          <w:rFonts w:hint="eastAsia" w:ascii="仿宋" w:hAnsi="仿宋" w:eastAsia="仿宋" w:cs="方正仿宋简体"/>
          <w:color w:val="000000"/>
          <w:sz w:val="24"/>
          <w:lang w:val="zh-CN"/>
        </w:rPr>
        <w:t>供应商确认并同意, 遵守国际大体联的规则和惯例，反对隐性市场。供应商保证，未经成都大运会执委会事先书面批准，不得自行或同意任何关联方在任何时间、任何地点、以任何方式进行任何形式（商业性或非商业性）的市场开发或宣传活动，亦不得将成都大运会执委会作为供应商的用户予以宣传。供应商应积极配合成都大运会执委会并提供必要的支持，最大限度地减少任何第三方从事的任何隐性市场活动。（隐性市场主要是指非成都大运会执委会合作伙伴与大运会建立虚假的或未经授权的联系，获取商业利益的行为）。</w:t>
      </w:r>
    </w:p>
    <w:p>
      <w:pPr>
        <w:rPr>
          <w:rFonts w:ascii="仿宋" w:hAnsi="仿宋" w:eastAsia="仿宋" w:cs="方正仿宋简体"/>
          <w:b/>
          <w:bCs/>
          <w:color w:val="000000"/>
          <w:sz w:val="24"/>
          <w:lang w:val="zh-CN"/>
        </w:rPr>
      </w:pPr>
      <w:r>
        <w:rPr>
          <w:rFonts w:hint="eastAsia" w:ascii="仿宋" w:hAnsi="仿宋" w:eastAsia="仿宋"/>
          <w:b/>
          <w:bCs/>
          <w:color w:val="000000"/>
          <w:sz w:val="24"/>
        </w:rPr>
        <w:t>（十）</w:t>
      </w:r>
      <w:r>
        <w:rPr>
          <w:rFonts w:hint="eastAsia" w:ascii="仿宋" w:hAnsi="仿宋" w:eastAsia="仿宋" w:cs="方正仿宋简体"/>
          <w:b/>
          <w:bCs/>
          <w:color w:val="000000"/>
          <w:sz w:val="24"/>
          <w:lang w:val="zh-CN"/>
        </w:rPr>
        <w:t>保密条款</w:t>
      </w:r>
    </w:p>
    <w:p>
      <w:pPr>
        <w:ind w:firstLine="480" w:firstLineChars="200"/>
        <w:rPr>
          <w:rFonts w:ascii="仿宋" w:hAnsi="仿宋" w:eastAsia="仿宋" w:cs="方正仿宋简体"/>
          <w:color w:val="000000"/>
          <w:sz w:val="24"/>
          <w:lang w:val="zh-CN"/>
        </w:rPr>
      </w:pPr>
      <w:r>
        <w:rPr>
          <w:rFonts w:hint="eastAsia" w:ascii="仿宋" w:hAnsi="仿宋" w:eastAsia="仿宋" w:cs="方正仿宋简体"/>
          <w:color w:val="000000"/>
          <w:sz w:val="24"/>
          <w:lang w:val="zh-CN"/>
        </w:rPr>
        <w:t>供应商确认并同意，对成都大运会保密信息予以严格保密。“成都大运会保密信息”，是指涉及成都大运会执委会、国际大体联、中国大体协的具有保密性质的信息、文件和资料，无论其表现形式如何，也无论通过何种方式取得，包括但不限于合同的全部条款以及同成都大运会执委会、国际大体联、中国大体协的有关事务运作、活动计划和决策等相关的信息等。</w:t>
      </w:r>
    </w:p>
    <w:p>
      <w:pPr>
        <w:ind w:firstLine="480" w:firstLineChars="200"/>
        <w:rPr>
          <w:rFonts w:ascii="仿宋" w:hAnsi="仿宋" w:eastAsia="仿宋" w:cs="方正仿宋简体"/>
          <w:color w:val="000000"/>
          <w:sz w:val="24"/>
          <w:lang w:val="zh-CN"/>
        </w:rPr>
      </w:pPr>
      <w:r>
        <w:rPr>
          <w:rFonts w:hint="eastAsia" w:ascii="仿宋" w:hAnsi="仿宋" w:eastAsia="仿宋" w:cs="方正仿宋简体"/>
          <w:color w:val="000000"/>
          <w:sz w:val="24"/>
          <w:lang w:val="zh-CN"/>
        </w:rPr>
        <w:t>当供应商为履行合同之目的接触并了解成都大运会保密信息时，供应商同意其仅因履行合同之需要使用该保密信息，而不得为任何其他目的自行使用或授权第三方使用该保密信息的全部或部分。供应商同意未经成都大运会执委会事先书面许可，供应商不得向任何第三方以任何方式为任何目的披露任何成都大运会保密信息。</w:t>
      </w:r>
    </w:p>
    <w:p>
      <w:pPr>
        <w:rPr>
          <w:rFonts w:ascii="仿宋" w:hAnsi="仿宋" w:eastAsia="仿宋" w:cs="方正仿宋简体"/>
          <w:b/>
          <w:bCs/>
          <w:color w:val="000000"/>
          <w:sz w:val="24"/>
          <w:lang w:val="zh-CN"/>
        </w:rPr>
      </w:pPr>
      <w:r>
        <w:rPr>
          <w:rFonts w:hint="eastAsia" w:ascii="仿宋" w:hAnsi="仿宋" w:eastAsia="仿宋"/>
          <w:b/>
          <w:bCs/>
          <w:color w:val="000000"/>
          <w:sz w:val="24"/>
        </w:rPr>
        <w:t>（十一）</w:t>
      </w:r>
      <w:r>
        <w:rPr>
          <w:rFonts w:hint="eastAsia" w:ascii="仿宋" w:hAnsi="仿宋" w:eastAsia="仿宋" w:cs="方正仿宋简体"/>
          <w:b/>
          <w:bCs/>
          <w:color w:val="000000"/>
          <w:sz w:val="24"/>
          <w:lang w:val="zh-CN"/>
        </w:rPr>
        <w:t>绿色条款</w:t>
      </w:r>
    </w:p>
    <w:p>
      <w:pPr>
        <w:ind w:firstLine="480" w:firstLineChars="200"/>
        <w:rPr>
          <w:rFonts w:ascii="仿宋" w:hAnsi="仿宋" w:eastAsia="仿宋" w:cs="方正仿宋简体"/>
          <w:color w:val="000000"/>
          <w:sz w:val="24"/>
          <w:lang w:val="zh-CN"/>
        </w:rPr>
      </w:pPr>
      <w:r>
        <w:rPr>
          <w:rFonts w:hint="eastAsia" w:ascii="仿宋" w:hAnsi="仿宋" w:eastAsia="仿宋" w:cs="方正仿宋简体"/>
          <w:color w:val="000000"/>
          <w:sz w:val="24"/>
          <w:lang w:val="zh-CN"/>
        </w:rPr>
        <w:t>供应商确认并同意，供应商在履行合同义务时，应严格遵守《中华人民共和国环境保护法》《中华人民共和国水污染防治法》《中华人民共和国大气污染防治法》《中华人民共和国环境噪声污染防治法》《中华人民共和国固体废物污染环境防治法》《中华人民共和国清洁生产促进法》《中华人民共和国可再生能源法》等环境保护法律法规，推动环境保护和可持续发展。</w:t>
      </w:r>
    </w:p>
    <w:p>
      <w:pPr>
        <w:rPr>
          <w:rFonts w:ascii="仿宋" w:hAnsi="仿宋" w:eastAsia="仿宋" w:cs="方正仿宋简体"/>
          <w:b/>
          <w:bCs/>
          <w:color w:val="000000"/>
          <w:sz w:val="24"/>
          <w:lang w:val="zh-CN"/>
        </w:rPr>
      </w:pPr>
      <w:r>
        <w:rPr>
          <w:rFonts w:hint="eastAsia" w:ascii="仿宋" w:hAnsi="仿宋" w:eastAsia="仿宋" w:cs="方正仿宋简体"/>
          <w:b/>
          <w:bCs/>
          <w:color w:val="000000"/>
          <w:sz w:val="24"/>
          <w:lang w:val="zh-CN"/>
        </w:rPr>
        <w:t>（十二）不可抗力条款：</w:t>
      </w:r>
    </w:p>
    <w:p>
      <w:pPr>
        <w:rPr>
          <w:rFonts w:ascii="仿宋" w:hAnsi="仿宋" w:eastAsia="仿宋" w:cs="方正仿宋简体"/>
          <w:color w:val="000000"/>
          <w:sz w:val="24"/>
          <w:lang w:val="zh-CN"/>
        </w:rPr>
      </w:pPr>
      <w:bookmarkStart w:id="8" w:name="_Hlk99654608"/>
      <w:r>
        <w:rPr>
          <w:rFonts w:ascii="仿宋" w:hAnsi="仿宋" w:eastAsia="仿宋" w:cs="方正仿宋简体"/>
          <w:color w:val="000000"/>
          <w:sz w:val="24"/>
          <w:lang w:val="zh-CN"/>
        </w:rPr>
        <w:t>1</w:t>
      </w:r>
      <w:r>
        <w:rPr>
          <w:rFonts w:hint="eastAsia" w:ascii="仿宋" w:hAnsi="仿宋" w:eastAsia="仿宋" w:cs="方正仿宋简体"/>
          <w:color w:val="000000"/>
          <w:sz w:val="24"/>
          <w:lang w:val="zh-CN"/>
        </w:rPr>
        <w:t>、不可抗力指合同各方或一方不能预见、不能避免、不能克服且在协议有效期内发生并使任何一方无法全部或部分履行协议的任何事件。不可抗力事件包括但不限于火灾、洪水、地震或其他自然灾害、疫情、战争、中国法律发生重大变化对成都大运会的影响致使协议不能履行或不能完全履行。</w:t>
      </w:r>
    </w:p>
    <w:p>
      <w:pPr>
        <w:rPr>
          <w:rFonts w:ascii="仿宋" w:hAnsi="仿宋" w:eastAsia="仿宋" w:cs="方正仿宋简体"/>
          <w:color w:val="000000"/>
          <w:sz w:val="24"/>
          <w:lang w:val="zh-CN"/>
        </w:rPr>
      </w:pPr>
      <w:r>
        <w:rPr>
          <w:rFonts w:ascii="仿宋" w:hAnsi="仿宋" w:eastAsia="仿宋" w:cs="方正仿宋简体"/>
          <w:color w:val="000000"/>
          <w:sz w:val="24"/>
          <w:lang w:val="zh-CN"/>
        </w:rPr>
        <w:t>2</w:t>
      </w:r>
      <w:r>
        <w:rPr>
          <w:rFonts w:hint="eastAsia" w:ascii="仿宋" w:hAnsi="仿宋" w:eastAsia="仿宋" w:cs="方正仿宋简体"/>
          <w:color w:val="000000"/>
          <w:sz w:val="24"/>
          <w:lang w:val="zh-CN"/>
        </w:rPr>
        <w:t>、如发生不可抗力事件，则受影响的一方应采取积极有效的措施以减少因协议不能履行或不能全部履行而给对方造成的损失，并应在不可抗力事件发生后10个工作日内通知对方。</w:t>
      </w:r>
    </w:p>
    <w:p>
      <w:pPr>
        <w:rPr>
          <w:rFonts w:ascii="仿宋" w:hAnsi="仿宋" w:eastAsia="仿宋" w:cs="方正仿宋简体"/>
          <w:color w:val="000000"/>
          <w:sz w:val="24"/>
          <w:lang w:val="zh-CN"/>
        </w:rPr>
      </w:pPr>
      <w:r>
        <w:rPr>
          <w:rFonts w:ascii="仿宋" w:hAnsi="仿宋" w:eastAsia="仿宋" w:cs="方正仿宋简体"/>
          <w:color w:val="000000"/>
          <w:sz w:val="24"/>
          <w:lang w:val="zh-CN"/>
        </w:rPr>
        <w:t>3</w:t>
      </w:r>
      <w:r>
        <w:rPr>
          <w:rFonts w:hint="eastAsia" w:ascii="仿宋" w:hAnsi="仿宋" w:eastAsia="仿宋" w:cs="方正仿宋简体"/>
          <w:color w:val="000000"/>
          <w:sz w:val="24"/>
          <w:lang w:val="zh-CN"/>
        </w:rPr>
        <w:t>、合同项下任何一方对于因不可抗力致使协议不能履行或不能完全履行而给对方造成的任何损失不承担违约责任。</w:t>
      </w:r>
    </w:p>
    <w:p>
      <w:pPr>
        <w:rPr>
          <w:rFonts w:ascii="仿宋" w:hAnsi="仿宋" w:eastAsia="仿宋" w:cs="方正仿宋简体"/>
          <w:color w:val="000000"/>
          <w:sz w:val="24"/>
          <w:lang w:val="zh-CN"/>
        </w:rPr>
      </w:pPr>
      <w:r>
        <w:rPr>
          <w:rFonts w:ascii="仿宋" w:hAnsi="仿宋" w:eastAsia="仿宋" w:cs="方正仿宋简体"/>
          <w:color w:val="000000"/>
          <w:sz w:val="24"/>
          <w:lang w:val="zh-CN"/>
        </w:rPr>
        <w:t>4</w:t>
      </w:r>
      <w:r>
        <w:rPr>
          <w:rFonts w:hint="eastAsia" w:ascii="仿宋" w:hAnsi="仿宋" w:eastAsia="仿宋" w:cs="方正仿宋简体"/>
          <w:color w:val="000000"/>
          <w:sz w:val="24"/>
          <w:lang w:val="zh-CN"/>
        </w:rPr>
        <w:t>、不可抗力影响因素消失以后，各方应协商是否继续履行协议。如果不可抗力因素对协议一方的义务产生实质性、无法补救的影响，导致协议无法继续履行，各方应通过书面形式终止合同。</w:t>
      </w:r>
    </w:p>
    <w:p>
      <w:pPr>
        <w:rPr>
          <w:rFonts w:ascii="仿宋" w:hAnsi="仿宋" w:eastAsia="仿宋" w:cs="方正仿宋简体"/>
          <w:color w:val="000000"/>
          <w:sz w:val="24"/>
          <w:lang w:val="zh-CN"/>
        </w:rPr>
      </w:pPr>
      <w:r>
        <w:rPr>
          <w:rFonts w:ascii="仿宋" w:hAnsi="仿宋" w:eastAsia="仿宋" w:cs="方正仿宋简体"/>
          <w:color w:val="000000"/>
          <w:sz w:val="24"/>
          <w:lang w:val="zh-CN"/>
        </w:rPr>
        <w:t>5</w:t>
      </w:r>
      <w:r>
        <w:rPr>
          <w:rFonts w:hint="eastAsia" w:ascii="仿宋" w:hAnsi="仿宋" w:eastAsia="仿宋" w:cs="方正仿宋简体"/>
          <w:color w:val="000000"/>
          <w:sz w:val="24"/>
          <w:lang w:val="zh-CN"/>
        </w:rPr>
        <w:t>、如因不可抗力导致合同提前终止，则任何一方均无需继续履行其在合同项下的义务，也无需为此向另一方承担违约责任；但双方应根据诚信原则，合理确定合同终止前发生的费用，并进行相应的结算。但一方延迟履行后发生不可抗力事件的，不能免除该方的违约责任。</w:t>
      </w:r>
    </w:p>
    <w:p>
      <w:pPr>
        <w:rPr>
          <w:rFonts w:ascii="仿宋" w:hAnsi="仿宋" w:eastAsia="仿宋" w:cs="方正仿宋简体"/>
          <w:color w:val="000000"/>
          <w:sz w:val="24"/>
          <w:lang w:val="zh-CN"/>
        </w:rPr>
      </w:pPr>
      <w:r>
        <w:rPr>
          <w:rFonts w:ascii="仿宋" w:hAnsi="仿宋" w:eastAsia="仿宋" w:cs="方正仿宋简体"/>
          <w:color w:val="000000"/>
          <w:sz w:val="24"/>
          <w:lang w:val="zh-CN"/>
        </w:rPr>
        <w:t>6</w:t>
      </w:r>
      <w:r>
        <w:rPr>
          <w:rFonts w:hint="eastAsia" w:ascii="仿宋" w:hAnsi="仿宋" w:eastAsia="仿宋" w:cs="方正仿宋简体"/>
          <w:color w:val="000000"/>
          <w:sz w:val="24"/>
          <w:lang w:val="zh-CN"/>
        </w:rPr>
        <w:t>、</w:t>
      </w:r>
      <w:bookmarkStart w:id="9" w:name="_Hlk130292064"/>
      <w:r>
        <w:rPr>
          <w:rFonts w:hint="eastAsia" w:ascii="仿宋" w:hAnsi="仿宋" w:eastAsia="仿宋" w:cs="方正仿宋简体"/>
          <w:color w:val="000000"/>
          <w:sz w:val="24"/>
          <w:lang w:val="zh-CN"/>
        </w:rPr>
        <w:t>供应商确认并同意，国际大体联对成都大运会的取消、调整，属于不能预见，不能避免并不能克服的客观情况，适用不可抗力有关规定。供应商确认并同意，因国际大体联原因，取消、推迟举办成都大运会、减少赛事项目、缩小赛事规模，以及因不可抗力导致合同不能履行或者不能完成履行的，采购人不承担违约责任</w:t>
      </w:r>
      <w:bookmarkEnd w:id="9"/>
      <w:r>
        <w:rPr>
          <w:rFonts w:hint="eastAsia" w:ascii="仿宋" w:hAnsi="仿宋" w:eastAsia="仿宋" w:cs="方正仿宋简体"/>
          <w:color w:val="000000"/>
          <w:sz w:val="24"/>
          <w:lang w:val="zh-CN"/>
        </w:rPr>
        <w:t>。</w:t>
      </w:r>
    </w:p>
    <w:bookmarkEnd w:id="8"/>
    <w:p>
      <w:pPr>
        <w:rPr>
          <w:rFonts w:ascii="仿宋" w:hAnsi="仿宋" w:eastAsia="仿宋" w:cs="方正仿宋简体"/>
          <w:b/>
          <w:bCs/>
          <w:color w:val="000000"/>
          <w:sz w:val="24"/>
          <w:lang w:val="zh-CN"/>
        </w:rPr>
      </w:pPr>
      <w:r>
        <w:rPr>
          <w:rFonts w:hint="eastAsia" w:ascii="仿宋" w:hAnsi="仿宋" w:eastAsia="仿宋" w:cs="方正仿宋简体"/>
          <w:b/>
          <w:bCs/>
          <w:color w:val="000000"/>
          <w:sz w:val="24"/>
          <w:lang w:val="zh-CN"/>
        </w:rPr>
        <w:t>（十三）单方变更合同条款：</w:t>
      </w:r>
    </w:p>
    <w:p>
      <w:pPr>
        <w:rPr>
          <w:rFonts w:ascii="仿宋" w:hAnsi="仿宋" w:eastAsia="仿宋" w:cs="方正仿宋简体"/>
          <w:color w:val="000000"/>
          <w:sz w:val="24"/>
          <w:lang w:val="zh-CN"/>
        </w:rPr>
      </w:pPr>
      <w:bookmarkStart w:id="10" w:name="_Hlk99654671"/>
      <w:bookmarkStart w:id="11" w:name="_Hlk130292099"/>
      <w:r>
        <w:rPr>
          <w:rFonts w:hint="eastAsia" w:ascii="仿宋" w:hAnsi="仿宋" w:eastAsia="仿宋" w:cs="方正仿宋简体"/>
          <w:color w:val="000000"/>
          <w:sz w:val="24"/>
          <w:lang w:val="zh-CN"/>
        </w:rPr>
        <w:t>举办成都大运会面临诸多不可控因素，订立合同后，合同履行中如出现国际大体联决定，取消、推迟举办成都大运会、减少赛事项目、缩小赛事规模等情形，供应商确认并同意采购人有权单方面对合同进行相应的变更。但合同的重大变更，由采购人、供应商双方按风险共担的方式予以协商、确定。</w:t>
      </w:r>
      <w:bookmarkEnd w:id="10"/>
    </w:p>
    <w:bookmarkEnd w:id="11"/>
    <w:p>
      <w:pPr>
        <w:rPr>
          <w:rFonts w:ascii="仿宋" w:hAnsi="仿宋" w:eastAsia="仿宋" w:cs="方正仿宋简体"/>
          <w:b/>
          <w:bCs/>
          <w:color w:val="000000"/>
          <w:sz w:val="24"/>
          <w:lang w:val="zh-CN"/>
        </w:rPr>
      </w:pPr>
      <w:r>
        <w:rPr>
          <w:rFonts w:hint="eastAsia" w:ascii="仿宋" w:hAnsi="仿宋" w:eastAsia="仿宋" w:cs="方正仿宋简体"/>
          <w:b/>
          <w:bCs/>
          <w:color w:val="000000"/>
          <w:sz w:val="24"/>
          <w:lang w:val="zh-CN"/>
        </w:rPr>
        <w:t>（十四）纠纷解决方式条款：</w:t>
      </w:r>
    </w:p>
    <w:p>
      <w:pPr>
        <w:rPr>
          <w:rFonts w:ascii="仿宋" w:hAnsi="仿宋" w:eastAsia="仿宋" w:cs="方正仿宋简体"/>
          <w:color w:val="000000"/>
          <w:sz w:val="24"/>
          <w:lang w:val="zh-CN"/>
        </w:rPr>
      </w:pPr>
      <w:r>
        <w:rPr>
          <w:rFonts w:ascii="仿宋" w:hAnsi="仿宋" w:eastAsia="仿宋" w:cs="方正仿宋简体"/>
          <w:color w:val="000000"/>
          <w:sz w:val="24"/>
          <w:lang w:val="zh-CN"/>
        </w:rPr>
        <w:t>1</w:t>
      </w:r>
      <w:r>
        <w:rPr>
          <w:rFonts w:hint="eastAsia" w:ascii="仿宋" w:hAnsi="仿宋" w:eastAsia="仿宋" w:cs="方正仿宋简体"/>
          <w:color w:val="000000"/>
          <w:sz w:val="24"/>
          <w:lang w:val="zh-CN"/>
        </w:rPr>
        <w:t>、供应商确认并同意，本项目合同在履行中出现的与合同有关的任何争议和纠纷，经协商未能达成协议，任何一方均应当将该争议、纠纷提交成都仲裁委员会仲裁。</w:t>
      </w:r>
    </w:p>
    <w:p>
      <w:pPr>
        <w:rPr>
          <w:rFonts w:ascii="仿宋" w:hAnsi="仿宋" w:eastAsia="仿宋" w:cs="方正仿宋简体"/>
          <w:color w:val="000000"/>
          <w:sz w:val="24"/>
          <w:lang w:val="zh-CN"/>
        </w:rPr>
      </w:pPr>
      <w:r>
        <w:rPr>
          <w:rFonts w:ascii="仿宋" w:hAnsi="仿宋" w:eastAsia="仿宋" w:cs="方正仿宋简体"/>
          <w:color w:val="000000"/>
          <w:sz w:val="24"/>
          <w:lang w:val="zh-CN"/>
        </w:rPr>
        <w:t>2</w:t>
      </w:r>
      <w:r>
        <w:rPr>
          <w:rFonts w:hint="eastAsia" w:ascii="仿宋" w:hAnsi="仿宋" w:eastAsia="仿宋" w:cs="方正仿宋简体"/>
          <w:color w:val="000000"/>
          <w:sz w:val="24"/>
          <w:lang w:val="zh-CN"/>
        </w:rPr>
        <w:t>、采购人与供应商双方认可仲裁裁决为最终决定，并对双方具有约束力。</w:t>
      </w:r>
    </w:p>
    <w:p>
      <w:pPr>
        <w:rPr>
          <w:rFonts w:ascii="仿宋" w:hAnsi="仿宋" w:eastAsia="仿宋" w:cs="方正仿宋简体"/>
          <w:color w:val="000000"/>
          <w:sz w:val="24"/>
          <w:lang w:val="zh-CN"/>
        </w:rPr>
      </w:pPr>
      <w:r>
        <w:rPr>
          <w:rFonts w:ascii="仿宋" w:hAnsi="仿宋" w:eastAsia="仿宋" w:cs="方正仿宋简体"/>
          <w:color w:val="000000"/>
          <w:sz w:val="24"/>
          <w:lang w:val="zh-CN"/>
        </w:rPr>
        <w:t>3</w:t>
      </w:r>
      <w:r>
        <w:rPr>
          <w:rFonts w:hint="eastAsia" w:ascii="仿宋" w:hAnsi="仿宋" w:eastAsia="仿宋" w:cs="方正仿宋简体"/>
          <w:color w:val="000000"/>
          <w:sz w:val="24"/>
          <w:lang w:val="zh-CN"/>
        </w:rPr>
        <w:t xml:space="preserve">除另有裁决外，仲裁费应由败诉方负担。 </w:t>
      </w:r>
    </w:p>
    <w:p>
      <w:pPr>
        <w:rPr>
          <w:rFonts w:ascii="仿宋" w:hAnsi="仿宋" w:eastAsia="仿宋" w:cs="方正仿宋简体"/>
          <w:color w:val="000000"/>
          <w:sz w:val="24"/>
          <w:lang w:val="zh-CN"/>
        </w:rPr>
      </w:pPr>
      <w:r>
        <w:rPr>
          <w:rFonts w:ascii="仿宋" w:hAnsi="仿宋" w:eastAsia="仿宋" w:cs="方正仿宋简体"/>
          <w:color w:val="000000"/>
          <w:sz w:val="24"/>
          <w:lang w:val="zh-CN"/>
        </w:rPr>
        <w:t>4</w:t>
      </w:r>
      <w:r>
        <w:rPr>
          <w:rFonts w:hint="eastAsia" w:ascii="仿宋" w:hAnsi="仿宋" w:eastAsia="仿宋" w:cs="方正仿宋简体"/>
          <w:color w:val="000000"/>
          <w:sz w:val="24"/>
          <w:lang w:val="zh-CN"/>
        </w:rPr>
        <w:t>、在仲裁期间，除正在进行仲裁部分外，合同其他部分继续执行。</w:t>
      </w:r>
    </w:p>
    <w:p>
      <w:pPr>
        <w:rPr>
          <w:rFonts w:ascii="仿宋" w:hAnsi="仿宋" w:eastAsia="仿宋" w:cs="Arial Unicode MS"/>
          <w:b/>
          <w:color w:val="000000"/>
          <w:kern w:val="0"/>
          <w:sz w:val="24"/>
          <w:lang w:val="zh-CN"/>
        </w:rPr>
      </w:pPr>
      <w:r>
        <w:rPr>
          <w:rFonts w:hint="eastAsia" w:ascii="仿宋" w:hAnsi="仿宋" w:eastAsia="仿宋" w:cs="Arial Unicode MS"/>
          <w:b/>
          <w:color w:val="000000"/>
          <w:kern w:val="0"/>
          <w:sz w:val="24"/>
          <w:lang w:val="zh-CN"/>
        </w:rPr>
        <w:t>（十五）考核</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1、采购人在项目实施过程中对供应商的服务工作进行考核并签署考核报告；</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2、供应商就服务工作中出现的各类问题， 应出具整改方案、计划及具体保障措施；</w:t>
      </w:r>
    </w:p>
    <w:p>
      <w:pPr>
        <w:ind w:firstLine="480" w:firstLineChars="200"/>
        <w:jc w:val="left"/>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首次考核不合格，扣除合同金额的0.5%，并立即整改；第二次考核不合格，扣除合同金额的1%，并立即整改；第三次考核不合格，扣除合同金额的2%，并立即整改；第四考核不合格，扣除全部剩余款项，并追究其法律责任，同时解除合同。采购人负责对供应商工作进行考核，供应商在工作过程中必须有完备的施工记录，并由采购人指定的双流区疾控中心工作人员的签字确认。</w:t>
      </w:r>
    </w:p>
    <w:p>
      <w:pPr>
        <w:rPr>
          <w:rFonts w:ascii="仿宋" w:hAnsi="仿宋" w:eastAsia="仿宋"/>
          <w:color w:val="000000"/>
          <w:sz w:val="24"/>
          <w:lang w:val="zh-CN"/>
        </w:rPr>
      </w:pPr>
      <w:r>
        <w:rPr>
          <w:rFonts w:hint="eastAsia" w:ascii="仿宋" w:hAnsi="仿宋" w:eastAsia="仿宋"/>
          <w:color w:val="000000"/>
          <w:sz w:val="24"/>
          <w:lang w:val="zh-CN"/>
        </w:rPr>
        <w:t>附：考核标准</w:t>
      </w:r>
    </w:p>
    <w:p>
      <w:pPr>
        <w:tabs>
          <w:tab w:val="left" w:pos="2410"/>
        </w:tabs>
        <w:overflowPunct w:val="0"/>
        <w:ind w:firstLine="480" w:firstLineChars="200"/>
        <w:rPr>
          <w:rFonts w:ascii="仿宋" w:hAnsi="仿宋" w:eastAsia="仿宋"/>
          <w:color w:val="000000"/>
          <w:sz w:val="24"/>
        </w:rPr>
      </w:pPr>
      <w:r>
        <w:rPr>
          <w:rFonts w:hint="eastAsia" w:ascii="仿宋" w:hAnsi="仿宋" w:eastAsia="仿宋" w:cs="楷体_GB2312"/>
          <w:color w:val="000000"/>
          <w:sz w:val="24"/>
        </w:rPr>
        <w:t>（A）重点保障区：</w:t>
      </w:r>
      <w:r>
        <w:rPr>
          <w:rFonts w:hint="eastAsia" w:ascii="仿宋" w:hAnsi="仿宋" w:eastAsia="仿宋"/>
          <w:color w:val="000000"/>
          <w:sz w:val="24"/>
        </w:rPr>
        <w:t>竞赛训练场馆、接待酒店、定点医院。</w:t>
      </w:r>
    </w:p>
    <w:p>
      <w:pPr>
        <w:tabs>
          <w:tab w:val="left" w:pos="2410"/>
        </w:tabs>
        <w:overflowPunct w:val="0"/>
        <w:ind w:firstLine="480" w:firstLineChars="200"/>
        <w:rPr>
          <w:rFonts w:ascii="仿宋" w:hAnsi="仿宋" w:eastAsia="仿宋"/>
          <w:color w:val="000000"/>
          <w:sz w:val="24"/>
        </w:rPr>
      </w:pPr>
      <w:r>
        <w:rPr>
          <w:rFonts w:hint="eastAsia" w:ascii="仿宋" w:hAnsi="仿宋" w:eastAsia="仿宋"/>
          <w:color w:val="000000"/>
          <w:sz w:val="24"/>
        </w:rPr>
        <w:t>（1）鼠类控制：有鼠迹房间不超过3%；阳性鼠迹≤3%；贵宾室、运动员休息室和更衣室、运动员诊疗室及病房、餐厅与厨房操作间不得有鼠迹；建筑物防鼠设施合格率在97%以上；外环境（每1000米）鼠活动痕迹不超过3处。</w:t>
      </w:r>
    </w:p>
    <w:p>
      <w:pPr>
        <w:tabs>
          <w:tab w:val="left" w:pos="2410"/>
        </w:tabs>
        <w:overflowPunct w:val="0"/>
        <w:ind w:firstLine="480" w:firstLineChars="200"/>
        <w:rPr>
          <w:rFonts w:ascii="仿宋" w:hAnsi="仿宋" w:eastAsia="仿宋"/>
          <w:color w:val="000000"/>
          <w:sz w:val="24"/>
        </w:rPr>
      </w:pPr>
      <w:r>
        <w:rPr>
          <w:rFonts w:hint="eastAsia" w:ascii="仿宋" w:hAnsi="仿宋" w:eastAsia="仿宋"/>
          <w:color w:val="000000"/>
          <w:sz w:val="24"/>
        </w:rPr>
        <w:t>（2）蚊类控制：单位内外环境各种存水容器和积水中，蚊幼及蛹的阳性率不超过3%。成蚊诱捕率小于1只/（人.次）；</w:t>
      </w:r>
    </w:p>
    <w:p>
      <w:pPr>
        <w:tabs>
          <w:tab w:val="left" w:pos="2410"/>
        </w:tabs>
        <w:overflowPunct w:val="0"/>
        <w:ind w:firstLine="480" w:firstLineChars="200"/>
        <w:rPr>
          <w:rFonts w:ascii="仿宋" w:hAnsi="仿宋" w:eastAsia="仿宋"/>
          <w:color w:val="000000"/>
          <w:sz w:val="24"/>
        </w:rPr>
      </w:pPr>
      <w:r>
        <w:rPr>
          <w:rFonts w:hint="eastAsia" w:ascii="仿宋" w:hAnsi="仿宋" w:eastAsia="仿宋"/>
          <w:color w:val="000000"/>
          <w:sz w:val="24"/>
        </w:rPr>
        <w:t>贵宾室、运动员诊疗室及病房、运动员休息室和更衣室、餐厅不得有成蚊；防蚊设施合格率大于97%。</w:t>
      </w:r>
    </w:p>
    <w:p>
      <w:pPr>
        <w:tabs>
          <w:tab w:val="left" w:pos="2410"/>
        </w:tabs>
        <w:overflowPunct w:val="0"/>
        <w:ind w:firstLine="480" w:firstLineChars="200"/>
        <w:rPr>
          <w:rFonts w:ascii="仿宋" w:hAnsi="仿宋" w:eastAsia="仿宋"/>
          <w:color w:val="000000"/>
          <w:sz w:val="24"/>
        </w:rPr>
      </w:pPr>
      <w:r>
        <w:rPr>
          <w:rFonts w:hint="eastAsia" w:ascii="仿宋" w:hAnsi="仿宋" w:eastAsia="仿宋"/>
          <w:color w:val="000000"/>
          <w:sz w:val="24"/>
        </w:rPr>
        <w:t>（3）蝇类控制：有蝇房间阳性率不超过6%，平均每阳性房间不超过3只；蝇类孳生地得到有效治理，幼虫和蛹的检出率不超过3%；防蝇设施合格率应达到97%以上；贵宾室、运动员诊疗室及病房、运动员休息室和更衣室、餐厅与厨房操作间不得有蝇。</w:t>
      </w:r>
    </w:p>
    <w:p>
      <w:pPr>
        <w:tabs>
          <w:tab w:val="left" w:pos="2410"/>
        </w:tabs>
        <w:overflowPunct w:val="0"/>
        <w:ind w:firstLine="480" w:firstLineChars="200"/>
        <w:rPr>
          <w:rFonts w:ascii="仿宋" w:hAnsi="仿宋" w:eastAsia="仿宋"/>
          <w:color w:val="000000"/>
          <w:sz w:val="24"/>
        </w:rPr>
      </w:pPr>
      <w:r>
        <w:rPr>
          <w:rFonts w:hint="eastAsia" w:ascii="仿宋" w:hAnsi="仿宋" w:eastAsia="仿宋"/>
          <w:color w:val="000000"/>
          <w:sz w:val="24"/>
        </w:rPr>
        <w:t>（4）蟑螂控制：室内有蟑螂成虫或若虫阳性房间不超过2间，平均每阳性房间德国小蠊不超过10只（大蠊不超过5只）；有活卵鞘房间不超过2%，平均每阳性房间不超过4只；有蟑迹房间不超过5%；贵宾室、运动员休息室和更衣室、运动员诊疗室及病房、餐厅与厨房操作间不得有蟑螂。</w:t>
      </w:r>
    </w:p>
    <w:p>
      <w:pPr>
        <w:tabs>
          <w:tab w:val="left" w:pos="2410"/>
        </w:tabs>
        <w:overflowPunct w:val="0"/>
        <w:ind w:firstLine="480" w:firstLineChars="200"/>
        <w:rPr>
          <w:rFonts w:ascii="仿宋" w:hAnsi="仿宋" w:eastAsia="仿宋"/>
          <w:color w:val="000000"/>
          <w:sz w:val="24"/>
        </w:rPr>
      </w:pPr>
      <w:r>
        <w:rPr>
          <w:rFonts w:hint="eastAsia" w:ascii="仿宋" w:hAnsi="仿宋" w:eastAsia="仿宋" w:cs="楷体_GB2312"/>
          <w:color w:val="000000"/>
          <w:sz w:val="24"/>
        </w:rPr>
        <w:t>（B）一般保障区：</w:t>
      </w:r>
      <w:r>
        <w:rPr>
          <w:rFonts w:hint="eastAsia" w:ascii="仿宋" w:hAnsi="仿宋" w:eastAsia="仿宋"/>
          <w:color w:val="000000"/>
          <w:sz w:val="24"/>
        </w:rPr>
        <w:t>各竞赛训练场馆/场所周边500米半径范围和相关单位、场所。</w:t>
      </w:r>
    </w:p>
    <w:p>
      <w:pPr>
        <w:tabs>
          <w:tab w:val="left" w:pos="2410"/>
        </w:tabs>
        <w:overflowPunct w:val="0"/>
        <w:ind w:firstLine="480" w:firstLineChars="200"/>
        <w:rPr>
          <w:rFonts w:ascii="仿宋" w:hAnsi="仿宋" w:eastAsia="仿宋"/>
          <w:color w:val="000000"/>
          <w:sz w:val="24"/>
        </w:rPr>
      </w:pPr>
      <w:r>
        <w:rPr>
          <w:rFonts w:hint="eastAsia" w:ascii="仿宋" w:hAnsi="仿宋" w:eastAsia="仿宋"/>
          <w:color w:val="000000"/>
          <w:sz w:val="24"/>
        </w:rPr>
        <w:t>（1）鼠类控制：有鼠迹房间不超过5%；鼠迹阳性率小于等于5%；建筑物防鼠设施合格率在95%以上；外环境（每1000米）鼠迹不超过5处。</w:t>
      </w:r>
    </w:p>
    <w:p>
      <w:pPr>
        <w:tabs>
          <w:tab w:val="left" w:pos="2410"/>
        </w:tabs>
        <w:overflowPunct w:val="0"/>
        <w:ind w:firstLine="480" w:firstLineChars="200"/>
        <w:rPr>
          <w:rFonts w:ascii="仿宋" w:hAnsi="仿宋" w:eastAsia="仿宋"/>
          <w:color w:val="000000"/>
          <w:sz w:val="24"/>
        </w:rPr>
      </w:pPr>
      <w:r>
        <w:rPr>
          <w:rFonts w:hint="eastAsia" w:ascii="仿宋" w:hAnsi="仿宋" w:eastAsia="仿宋"/>
          <w:color w:val="000000"/>
          <w:sz w:val="24"/>
        </w:rPr>
        <w:t>（2）蚊类控制：单位内外环境各种存水容器和积水中，蚊幼及蛹的阳性率不超过5%。成蚊诱捕率小于等于1.5只/（人.次）；</w:t>
      </w:r>
    </w:p>
    <w:p>
      <w:pPr>
        <w:tabs>
          <w:tab w:val="left" w:pos="2410"/>
        </w:tabs>
        <w:overflowPunct w:val="0"/>
        <w:ind w:firstLine="480" w:firstLineChars="200"/>
        <w:rPr>
          <w:rFonts w:ascii="仿宋" w:hAnsi="仿宋" w:eastAsia="仿宋"/>
          <w:color w:val="000000"/>
          <w:sz w:val="24"/>
        </w:rPr>
      </w:pPr>
      <w:r>
        <w:rPr>
          <w:rFonts w:hint="eastAsia" w:ascii="仿宋" w:hAnsi="仿宋" w:eastAsia="仿宋"/>
          <w:color w:val="000000"/>
          <w:sz w:val="24"/>
        </w:rPr>
        <w:t>防蚊设施合格率大于等于95%。</w:t>
      </w:r>
    </w:p>
    <w:p>
      <w:pPr>
        <w:tabs>
          <w:tab w:val="left" w:pos="2410"/>
        </w:tabs>
        <w:overflowPunct w:val="0"/>
        <w:ind w:firstLine="480" w:firstLineChars="200"/>
        <w:rPr>
          <w:rFonts w:ascii="仿宋" w:hAnsi="仿宋" w:eastAsia="仿宋"/>
          <w:color w:val="000000"/>
          <w:sz w:val="24"/>
        </w:rPr>
      </w:pPr>
      <w:r>
        <w:rPr>
          <w:rFonts w:hint="eastAsia" w:ascii="仿宋" w:hAnsi="仿宋" w:eastAsia="仿宋"/>
          <w:color w:val="000000"/>
          <w:sz w:val="24"/>
        </w:rPr>
        <w:t>（3）蝇类控制：有蝇房间阳性率不超过9%，平均每阳性房间不超过3只；蝇类孳生地得到有效治理，幼虫和蛹的检出率不超过5%；防蝇设施合格率应达到95%及以上；餐厅与厨房操作间不得有蝇。</w:t>
      </w:r>
    </w:p>
    <w:p>
      <w:pPr>
        <w:tabs>
          <w:tab w:val="left" w:pos="2410"/>
        </w:tabs>
        <w:overflowPunct w:val="0"/>
        <w:ind w:firstLine="480" w:firstLineChars="200"/>
        <w:rPr>
          <w:rFonts w:ascii="仿宋" w:hAnsi="仿宋" w:eastAsia="仿宋"/>
          <w:color w:val="000000"/>
          <w:sz w:val="24"/>
        </w:rPr>
      </w:pPr>
      <w:r>
        <w:rPr>
          <w:rFonts w:hint="eastAsia" w:ascii="仿宋" w:hAnsi="仿宋" w:eastAsia="仿宋"/>
          <w:color w:val="000000"/>
          <w:sz w:val="24"/>
        </w:rPr>
        <w:t>（4）蟑螂控制：室内有蟑螂成虫或若虫阳性房间不超过3间，平均每阳性房间德国小蠊不超过10只（大蠊不超过5只）；有活卵鞘房间不超过3%，平均每阳性房间不超过8只；有蟑迹房间不超过7%；餐厅与厨房操作间不得有蟑螂。</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4</w:t>
      </w:r>
      <w:r>
        <w:rPr>
          <w:rFonts w:ascii="仿宋" w:hAnsi="仿宋" w:eastAsia="仿宋"/>
          <w:bCs/>
          <w:color w:val="000000"/>
          <w:sz w:val="24"/>
        </w:rPr>
        <w:t>.</w:t>
      </w:r>
      <w:r>
        <w:rPr>
          <w:rFonts w:hint="eastAsia" w:ascii="仿宋" w:hAnsi="仿宋" w:eastAsia="仿宋"/>
          <w:bCs/>
          <w:color w:val="000000"/>
          <w:sz w:val="24"/>
        </w:rPr>
        <w:t>考核判断</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（1）最终结果统计后，采购人把结果填写在“大运场馆病媒生物控制效果考核表”栏，按不同场馆类型的考核标准，判断相应考核项目结果是否达到要求。将检查的主要情况填写在表格的“检查情况综述”。</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（2）当被考核的场馆的所有项目均达到与之相应的考核标准，考核结果为“通过考核”，否则为“未通过考核”。</w:t>
      </w:r>
    </w:p>
    <w:p>
      <w:pPr>
        <w:jc w:val="left"/>
        <w:rPr>
          <w:rFonts w:ascii="仿宋" w:hAnsi="仿宋" w:eastAsia="仿宋"/>
          <w:b/>
          <w:color w:val="000000"/>
          <w:sz w:val="24"/>
        </w:rPr>
      </w:pPr>
      <w:r>
        <w:rPr>
          <w:rFonts w:hint="eastAsia" w:ascii="仿宋" w:hAnsi="仿宋" w:eastAsia="仿宋"/>
          <w:b/>
          <w:color w:val="000000"/>
          <w:sz w:val="24"/>
        </w:rPr>
        <w:t>（十六）其他要求：</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1、采购人有权对供应商的各项工作进行监督、检查，对不符合采购人工作要求的服务行为要求其立即纠正、整改。</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2、如因供应商管理服务不当造成采购人损失的，采购人有权要求赔偿，并且采购人有权解除合同或采取其它措施。</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3、供应商应遵守采购人的规定，服从采购人管理部门统一调度，杜绝安全事故的发生，在实际作业中发生了</w:t>
      </w:r>
      <w:r>
        <w:rPr>
          <w:rFonts w:hint="eastAsia"/>
          <w:color w:val="000000"/>
        </w:rPr>
        <w:t>非采购人方的原因造成的</w:t>
      </w:r>
      <w:r>
        <w:rPr>
          <w:rFonts w:hint="eastAsia" w:ascii="仿宋" w:hAnsi="仿宋" w:eastAsia="仿宋"/>
          <w:bCs/>
          <w:color w:val="000000"/>
          <w:sz w:val="24"/>
        </w:rPr>
        <w:t>安全事故一切责任由供应商自行承担。</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4、质量标准：服务质量要求应满足但不限于磋商文件规定，且满足国家、行业有关规范的标准。</w:t>
      </w:r>
    </w:p>
    <w:p>
      <w:pPr>
        <w:ind w:firstLine="480" w:firstLineChars="200"/>
        <w:jc w:val="left"/>
        <w:rPr>
          <w:rFonts w:ascii="仿宋" w:hAnsi="仿宋" w:eastAsia="仿宋"/>
          <w:bCs/>
          <w:color w:val="000000"/>
          <w:sz w:val="24"/>
        </w:rPr>
      </w:pPr>
      <w:r>
        <w:rPr>
          <w:rFonts w:ascii="仿宋" w:hAnsi="仿宋" w:eastAsia="仿宋"/>
          <w:bCs/>
          <w:color w:val="000000"/>
          <w:sz w:val="24"/>
        </w:rPr>
        <w:t>5</w:t>
      </w:r>
      <w:r>
        <w:rPr>
          <w:rFonts w:hint="eastAsia" w:ascii="仿宋" w:hAnsi="仿宋" w:eastAsia="仿宋"/>
          <w:bCs/>
          <w:color w:val="000000"/>
          <w:sz w:val="24"/>
        </w:rPr>
        <w:t>、本项目所涉及的服务费用、药物器械费用、专家费用、资料费用都由供应商提供，采购人不再承担其他任何费用。</w:t>
      </w:r>
    </w:p>
    <w:p>
      <w:pPr>
        <w:ind w:firstLine="480" w:firstLineChars="200"/>
        <w:jc w:val="left"/>
        <w:rPr>
          <w:rFonts w:ascii="仿宋" w:hAnsi="仿宋" w:eastAsia="仿宋"/>
          <w:bCs/>
          <w:color w:val="000000"/>
          <w:sz w:val="24"/>
        </w:rPr>
      </w:pPr>
      <w:r>
        <w:rPr>
          <w:rFonts w:ascii="仿宋" w:hAnsi="仿宋" w:eastAsia="仿宋"/>
          <w:bCs/>
          <w:color w:val="000000"/>
          <w:sz w:val="24"/>
        </w:rPr>
        <w:t>6</w:t>
      </w:r>
      <w:r>
        <w:rPr>
          <w:rFonts w:hint="eastAsia" w:ascii="仿宋" w:hAnsi="仿宋" w:eastAsia="仿宋"/>
          <w:bCs/>
          <w:color w:val="000000"/>
          <w:sz w:val="24"/>
        </w:rPr>
        <w:t>、供应商在合同签订后5个工作日内向采购人提供</w:t>
      </w:r>
      <w:r>
        <w:rPr>
          <w:rFonts w:hint="eastAsia"/>
          <w:color w:val="000000"/>
        </w:rPr>
        <w:t>在服务中使用的药品的</w:t>
      </w:r>
      <w:r>
        <w:rPr>
          <w:rFonts w:hint="eastAsia" w:ascii="仿宋" w:hAnsi="仿宋" w:eastAsia="仿宋"/>
          <w:bCs/>
          <w:color w:val="000000"/>
          <w:sz w:val="24"/>
        </w:rPr>
        <w:t>生产厂家在有效期内的农药登记证（卫生用药）、农药生产许可证、药品企业产品标准以及其他国家对药品要求的相关资质材料（需提供承诺函）。</w:t>
      </w:r>
    </w:p>
    <w:p>
      <w:pPr>
        <w:ind w:firstLine="480" w:firstLineChars="200"/>
        <w:jc w:val="left"/>
        <w:rPr>
          <w:rFonts w:ascii="仿宋" w:hAnsi="仿宋" w:eastAsia="仿宋"/>
          <w:bCs/>
          <w:color w:val="000000"/>
          <w:sz w:val="24"/>
        </w:rPr>
      </w:pPr>
      <w:r>
        <w:rPr>
          <w:rFonts w:ascii="仿宋" w:hAnsi="仿宋" w:eastAsia="仿宋"/>
          <w:bCs/>
          <w:color w:val="000000"/>
          <w:sz w:val="24"/>
        </w:rPr>
        <w:t>7</w:t>
      </w:r>
      <w:r>
        <w:rPr>
          <w:rFonts w:hint="eastAsia" w:ascii="仿宋" w:hAnsi="仿宋" w:eastAsia="仿宋"/>
          <w:bCs/>
          <w:color w:val="000000"/>
          <w:sz w:val="24"/>
        </w:rPr>
        <w:t>、本项目供应商不得参与2023年成都大运会双流区病媒生物监测服务（需提供承诺函）。</w:t>
      </w:r>
    </w:p>
    <w:bookmarkEnd w:id="0"/>
    <w:bookmarkEnd w:id="1"/>
    <w:p>
      <w:pPr>
        <w:jc w:val="left"/>
        <w:rPr>
          <w:rFonts w:ascii="仿宋" w:hAnsi="仿宋" w:eastAsia="仿宋"/>
          <w:b/>
          <w:bCs/>
          <w:color w:val="000000"/>
          <w:sz w:val="24"/>
        </w:rPr>
      </w:pPr>
      <w:r>
        <w:rPr>
          <w:rFonts w:hint="eastAsia" w:ascii="仿宋" w:hAnsi="仿宋" w:eastAsia="仿宋"/>
          <w:b/>
          <w:bCs/>
          <w:color w:val="000000"/>
          <w:sz w:val="24"/>
        </w:rPr>
        <w:t>四、技术、服务要求</w:t>
      </w:r>
    </w:p>
    <w:p>
      <w:pPr>
        <w:widowControl w:val="0"/>
        <w:ind w:left="198" w:leftChars="0" w:hanging="198" w:hangingChars="82"/>
        <w:jc w:val="both"/>
        <w:outlineLvl w:val="2"/>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w:t>
      </w:r>
      <w:r>
        <w:rPr>
          <w:rFonts w:ascii="仿宋" w:hAnsi="仿宋" w:eastAsia="仿宋" w:cs="Times New Roman"/>
          <w:b/>
          <w:color w:val="000000"/>
          <w:kern w:val="2"/>
          <w:sz w:val="24"/>
          <w:szCs w:val="24"/>
          <w:lang w:val="en-US" w:eastAsia="zh-CN" w:bidi="ar-SA"/>
        </w:rPr>
        <w:t>（一）服务内容</w:t>
      </w:r>
      <w:r>
        <w:rPr>
          <w:rFonts w:hint="eastAsia" w:ascii="仿宋" w:hAnsi="仿宋" w:eastAsia="仿宋" w:cs="Times New Roman"/>
          <w:b/>
          <w:color w:val="000000"/>
          <w:kern w:val="2"/>
          <w:sz w:val="24"/>
          <w:szCs w:val="24"/>
          <w:lang w:val="en-US" w:eastAsia="zh-CN" w:bidi="ar-SA"/>
        </w:rPr>
        <w:t>及范围</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成都大运会双流赛区双流体育中心、国家羽毛球四川体育训练基地、四川川投国际网球中心、成都信息工程大学航空港校区、棠湖中学、五项赛事中心6个场馆围墙范围内区域病媒生物防制服务。</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1</w:t>
      </w:r>
      <w:r>
        <w:rPr>
          <w:rFonts w:ascii="仿宋" w:hAnsi="仿宋" w:eastAsia="仿宋"/>
          <w:bCs/>
          <w:color w:val="000000"/>
          <w:sz w:val="24"/>
        </w:rPr>
        <w:t>、</w:t>
      </w:r>
      <w:r>
        <w:rPr>
          <w:rFonts w:hint="eastAsia" w:ascii="仿宋" w:hAnsi="仿宋" w:eastAsia="仿宋"/>
          <w:bCs/>
          <w:color w:val="000000"/>
          <w:sz w:val="24"/>
        </w:rPr>
        <w:t>6个场馆围墙范围内“重点保障区”病媒生物防制服务。</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(重点保障区：各竞赛训练场馆/场所)</w:t>
      </w:r>
    </w:p>
    <w:tbl>
      <w:tblPr>
        <w:tblStyle w:val="7"/>
        <w:tblW w:w="5316" w:type="pct"/>
        <w:tblInd w:w="0" w:type="dxa"/>
        <w:tblLayout w:type="autofit"/>
        <w:tblCellMar>
          <w:top w:w="0" w:type="dxa"/>
          <w:left w:w="108" w:type="dxa"/>
          <w:bottom w:w="0" w:type="dxa"/>
          <w:right w:w="108" w:type="dxa"/>
        </w:tblCellMar>
      </w:tblPr>
      <w:tblGrid>
        <w:gridCol w:w="562"/>
        <w:gridCol w:w="1435"/>
        <w:gridCol w:w="1392"/>
        <w:gridCol w:w="1493"/>
        <w:gridCol w:w="736"/>
        <w:gridCol w:w="3443"/>
      </w:tblGrid>
      <w:tr>
        <w:tblPrEx>
          <w:tblCellMar>
            <w:top w:w="0" w:type="dxa"/>
            <w:left w:w="108" w:type="dxa"/>
            <w:bottom w:w="0" w:type="dxa"/>
            <w:right w:w="108" w:type="dxa"/>
          </w:tblCellMar>
        </w:tblPrEx>
        <w:trPr>
          <w:trHeight w:val="739" w:hRule="atLeast"/>
        </w:trPr>
        <w:tc>
          <w:tcPr>
            <w:tcW w:w="310" w:type="pct"/>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仿宋" w:hAnsi="仿宋" w:eastAsia="仿宋" w:cs="黑体"/>
                <w:color w:val="000000"/>
                <w:szCs w:val="21"/>
              </w:rPr>
            </w:pPr>
            <w:r>
              <w:rPr>
                <w:rFonts w:hint="eastAsia" w:ascii="仿宋" w:hAnsi="仿宋" w:eastAsia="仿宋" w:cs="黑体"/>
                <w:color w:val="000000"/>
                <w:szCs w:val="21"/>
              </w:rPr>
              <w:t>包号</w:t>
            </w:r>
          </w:p>
        </w:tc>
        <w:tc>
          <w:tcPr>
            <w:tcW w:w="79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黑体"/>
                <w:color w:val="000000"/>
                <w:szCs w:val="21"/>
              </w:rPr>
            </w:pPr>
            <w:r>
              <w:rPr>
                <w:rFonts w:hint="eastAsia" w:ascii="仿宋" w:hAnsi="仿宋" w:eastAsia="仿宋" w:cs="黑体"/>
                <w:color w:val="000000"/>
                <w:szCs w:val="21"/>
              </w:rPr>
              <w:t>场馆名称</w:t>
            </w:r>
          </w:p>
        </w:tc>
        <w:tc>
          <w:tcPr>
            <w:tcW w:w="76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黑体"/>
                <w:color w:val="000000"/>
                <w:szCs w:val="21"/>
              </w:rPr>
            </w:pPr>
            <w:r>
              <w:rPr>
                <w:rFonts w:hint="eastAsia" w:ascii="仿宋" w:hAnsi="仿宋" w:eastAsia="仿宋" w:cs="黑体"/>
                <w:color w:val="000000"/>
                <w:szCs w:val="21"/>
              </w:rPr>
              <w:t>重点保障区面积（m</w:t>
            </w:r>
            <w:r>
              <w:rPr>
                <w:rFonts w:hint="eastAsia" w:ascii="仿宋" w:hAnsi="仿宋" w:eastAsia="仿宋" w:cs="黑体"/>
                <w:color w:val="000000"/>
                <w:szCs w:val="21"/>
                <w:vertAlign w:val="superscript"/>
              </w:rPr>
              <w:t>2</w:t>
            </w:r>
            <w:r>
              <w:rPr>
                <w:rFonts w:hint="eastAsia" w:ascii="仿宋" w:hAnsi="仿宋" w:eastAsia="仿宋" w:cs="黑体"/>
                <w:color w:val="000000"/>
                <w:szCs w:val="21"/>
              </w:rPr>
              <w:t>）</w:t>
            </w:r>
          </w:p>
        </w:tc>
        <w:tc>
          <w:tcPr>
            <w:tcW w:w="824" w:type="pct"/>
            <w:tcBorders>
              <w:top w:val="single" w:color="auto" w:sz="4" w:space="0"/>
              <w:left w:val="nil"/>
              <w:bottom w:val="single" w:color="auto" w:sz="4" w:space="0"/>
              <w:right w:val="nil"/>
            </w:tcBorders>
            <w:shd w:val="clear" w:color="auto" w:fill="auto"/>
            <w:vAlign w:val="center"/>
          </w:tcPr>
          <w:p>
            <w:pPr>
              <w:widowControl/>
              <w:spacing w:line="280" w:lineRule="exact"/>
              <w:jc w:val="center"/>
              <w:rPr>
                <w:rFonts w:ascii="仿宋" w:hAnsi="仿宋" w:eastAsia="仿宋" w:cs="黑体"/>
                <w:color w:val="000000"/>
                <w:szCs w:val="21"/>
              </w:rPr>
            </w:pPr>
            <w:r>
              <w:rPr>
                <w:rFonts w:hint="eastAsia" w:ascii="仿宋" w:hAnsi="仿宋" w:eastAsia="仿宋" w:cs="黑体"/>
                <w:color w:val="000000"/>
                <w:szCs w:val="21"/>
              </w:rPr>
              <w:t>防制类别</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黑体"/>
                <w:color w:val="000000"/>
                <w:szCs w:val="21"/>
              </w:rPr>
            </w:pPr>
            <w:r>
              <w:rPr>
                <w:rFonts w:hint="eastAsia" w:ascii="仿宋" w:hAnsi="仿宋" w:eastAsia="仿宋" w:cs="黑体"/>
                <w:color w:val="000000"/>
                <w:szCs w:val="21"/>
              </w:rPr>
              <w:t>次数</w:t>
            </w:r>
          </w:p>
        </w:tc>
        <w:tc>
          <w:tcPr>
            <w:tcW w:w="1900"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黑体"/>
                <w:color w:val="000000"/>
                <w:szCs w:val="21"/>
              </w:rPr>
            </w:pPr>
            <w:r>
              <w:rPr>
                <w:rFonts w:hint="eastAsia" w:ascii="仿宋" w:hAnsi="仿宋" w:eastAsia="仿宋" w:cs="黑体"/>
                <w:color w:val="000000"/>
                <w:szCs w:val="21"/>
              </w:rPr>
              <w:t>备注</w:t>
            </w:r>
          </w:p>
        </w:tc>
      </w:tr>
      <w:tr>
        <w:tblPrEx>
          <w:tblCellMar>
            <w:top w:w="0" w:type="dxa"/>
            <w:left w:w="108" w:type="dxa"/>
            <w:bottom w:w="0" w:type="dxa"/>
            <w:right w:w="108" w:type="dxa"/>
          </w:tblCellMar>
        </w:tblPrEx>
        <w:trPr>
          <w:trHeight w:val="582" w:hRule="atLeast"/>
        </w:trPr>
        <w:tc>
          <w:tcPr>
            <w:tcW w:w="310" w:type="pct"/>
            <w:tcBorders>
              <w:top w:val="nil"/>
              <w:left w:val="single" w:color="auto" w:sz="4" w:space="0"/>
              <w:right w:val="single" w:color="auto" w:sz="4" w:space="0"/>
            </w:tcBorders>
          </w:tcPr>
          <w:p>
            <w:pPr>
              <w:widowControl/>
              <w:spacing w:line="240" w:lineRule="exact"/>
              <w:jc w:val="center"/>
              <w:rPr>
                <w:rFonts w:ascii="仿宋" w:hAnsi="仿宋" w:eastAsia="仿宋" w:cs="宋体"/>
                <w:color w:val="000000"/>
                <w:szCs w:val="21"/>
              </w:rPr>
            </w:pPr>
          </w:p>
        </w:tc>
        <w:tc>
          <w:tcPr>
            <w:tcW w:w="792"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四川川投国际网球中心（比赛）</w:t>
            </w:r>
          </w:p>
        </w:tc>
        <w:tc>
          <w:tcPr>
            <w:tcW w:w="768"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59240</w:t>
            </w: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蠓、蚊、蝇</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≥3</w:t>
            </w:r>
          </w:p>
        </w:tc>
        <w:tc>
          <w:tcPr>
            <w:tcW w:w="1900" w:type="pct"/>
            <w:vMerge w:val="restart"/>
            <w:tcBorders>
              <w:top w:val="nil"/>
              <w:left w:val="single" w:color="auto" w:sz="4" w:space="0"/>
              <w:right w:val="single" w:color="auto" w:sz="4" w:space="0"/>
            </w:tcBorders>
            <w:shd w:val="clear" w:color="auto" w:fill="auto"/>
            <w:vAlign w:val="center"/>
          </w:tcPr>
          <w:p>
            <w:pPr>
              <w:widowControl/>
              <w:spacing w:line="240" w:lineRule="exact"/>
              <w:rPr>
                <w:rFonts w:ascii="仿宋" w:hAnsi="仿宋" w:eastAsia="仿宋" w:cs="宋体"/>
                <w:color w:val="000000"/>
                <w:szCs w:val="21"/>
              </w:rPr>
            </w:pPr>
            <w:r>
              <w:rPr>
                <w:rFonts w:ascii="仿宋" w:hAnsi="仿宋" w:eastAsia="仿宋" w:cs="宋体"/>
                <w:color w:val="000000"/>
                <w:szCs w:val="21"/>
              </w:rPr>
              <w:t>6</w:t>
            </w:r>
            <w:r>
              <w:rPr>
                <w:rFonts w:hint="eastAsia" w:ascii="仿宋" w:hAnsi="仿宋" w:eastAsia="仿宋" w:cs="宋体"/>
                <w:color w:val="000000"/>
                <w:szCs w:val="21"/>
              </w:rPr>
              <w:t>月下旬—8月期间需持续开展防制</w:t>
            </w:r>
          </w:p>
        </w:tc>
      </w:tr>
      <w:tr>
        <w:tblPrEx>
          <w:tblCellMar>
            <w:top w:w="0" w:type="dxa"/>
            <w:left w:w="108" w:type="dxa"/>
            <w:bottom w:w="0" w:type="dxa"/>
            <w:right w:w="108" w:type="dxa"/>
          </w:tblCellMar>
        </w:tblPrEx>
        <w:trPr>
          <w:trHeight w:val="379" w:hRule="atLeast"/>
        </w:trPr>
        <w:tc>
          <w:tcPr>
            <w:tcW w:w="310" w:type="pct"/>
            <w:tcBorders>
              <w:left w:val="single" w:color="auto" w:sz="4" w:space="0"/>
              <w:right w:val="single" w:color="auto" w:sz="4" w:space="0"/>
            </w:tcBorders>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0</w:t>
            </w:r>
            <w:r>
              <w:rPr>
                <w:rFonts w:ascii="仿宋" w:hAnsi="仿宋" w:eastAsia="仿宋" w:cs="宋体"/>
                <w:color w:val="000000"/>
                <w:szCs w:val="21"/>
              </w:rPr>
              <w:t>1</w:t>
            </w:r>
            <w:r>
              <w:rPr>
                <w:rFonts w:hint="eastAsia" w:ascii="仿宋" w:hAnsi="仿宋" w:eastAsia="仿宋" w:cs="宋体"/>
                <w:color w:val="000000"/>
                <w:szCs w:val="21"/>
              </w:rPr>
              <w:t>包</w:t>
            </w:r>
          </w:p>
        </w:tc>
        <w:tc>
          <w:tcPr>
            <w:tcW w:w="792" w:type="pct"/>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768" w:type="pct"/>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824" w:type="pct"/>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鼠</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≥3</w:t>
            </w:r>
          </w:p>
        </w:tc>
        <w:tc>
          <w:tcPr>
            <w:tcW w:w="1900" w:type="pct"/>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000000"/>
                <w:szCs w:val="21"/>
              </w:rPr>
            </w:pPr>
          </w:p>
        </w:tc>
      </w:tr>
      <w:tr>
        <w:tblPrEx>
          <w:tblCellMar>
            <w:top w:w="0" w:type="dxa"/>
            <w:left w:w="108" w:type="dxa"/>
            <w:bottom w:w="0" w:type="dxa"/>
            <w:right w:w="108" w:type="dxa"/>
          </w:tblCellMar>
        </w:tblPrEx>
        <w:trPr>
          <w:trHeight w:val="352" w:hRule="atLeast"/>
        </w:trPr>
        <w:tc>
          <w:tcPr>
            <w:tcW w:w="310" w:type="pct"/>
            <w:tcBorders>
              <w:left w:val="single" w:color="auto" w:sz="4" w:space="0"/>
              <w:right w:val="single" w:color="auto" w:sz="4" w:space="0"/>
            </w:tcBorders>
          </w:tcPr>
          <w:p>
            <w:pPr>
              <w:widowControl/>
              <w:spacing w:line="240" w:lineRule="exact"/>
              <w:jc w:val="center"/>
              <w:rPr>
                <w:rFonts w:ascii="仿宋" w:hAnsi="仿宋" w:eastAsia="仿宋" w:cs="宋体"/>
                <w:color w:val="000000"/>
                <w:szCs w:val="21"/>
              </w:rPr>
            </w:pPr>
          </w:p>
        </w:tc>
        <w:tc>
          <w:tcPr>
            <w:tcW w:w="792" w:type="pct"/>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768" w:type="pct"/>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824" w:type="pct"/>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蟑螂</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≥1</w:t>
            </w:r>
          </w:p>
        </w:tc>
        <w:tc>
          <w:tcPr>
            <w:tcW w:w="1900" w:type="pct"/>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000000"/>
                <w:szCs w:val="21"/>
              </w:rPr>
            </w:pPr>
          </w:p>
        </w:tc>
      </w:tr>
      <w:tr>
        <w:tblPrEx>
          <w:tblCellMar>
            <w:top w:w="0" w:type="dxa"/>
            <w:left w:w="108" w:type="dxa"/>
            <w:bottom w:w="0" w:type="dxa"/>
            <w:right w:w="108" w:type="dxa"/>
          </w:tblCellMar>
        </w:tblPrEx>
        <w:trPr>
          <w:trHeight w:val="466" w:hRule="atLeast"/>
        </w:trPr>
        <w:tc>
          <w:tcPr>
            <w:tcW w:w="310" w:type="pct"/>
            <w:tcBorders>
              <w:left w:val="single" w:color="auto" w:sz="4" w:space="0"/>
              <w:bottom w:val="single" w:color="000000" w:sz="4" w:space="0"/>
              <w:right w:val="single" w:color="auto" w:sz="4" w:space="0"/>
            </w:tcBorders>
          </w:tcPr>
          <w:p>
            <w:pPr>
              <w:widowControl/>
              <w:spacing w:line="240" w:lineRule="exact"/>
              <w:jc w:val="center"/>
              <w:rPr>
                <w:rFonts w:ascii="仿宋" w:hAnsi="仿宋" w:eastAsia="仿宋" w:cs="宋体"/>
                <w:color w:val="000000"/>
                <w:szCs w:val="21"/>
              </w:rPr>
            </w:pPr>
          </w:p>
        </w:tc>
        <w:tc>
          <w:tcPr>
            <w:tcW w:w="792" w:type="pct"/>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768"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应急演练</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1</w:t>
            </w:r>
          </w:p>
        </w:tc>
        <w:tc>
          <w:tcPr>
            <w:tcW w:w="1900" w:type="pct"/>
            <w:vMerge w:val="continue"/>
            <w:tcBorders>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color w:val="000000"/>
                <w:szCs w:val="21"/>
              </w:rPr>
            </w:pPr>
          </w:p>
        </w:tc>
      </w:tr>
      <w:tr>
        <w:tblPrEx>
          <w:tblCellMar>
            <w:top w:w="0" w:type="dxa"/>
            <w:left w:w="108" w:type="dxa"/>
            <w:bottom w:w="0" w:type="dxa"/>
            <w:right w:w="108" w:type="dxa"/>
          </w:tblCellMar>
        </w:tblPrEx>
        <w:trPr>
          <w:trHeight w:val="379" w:hRule="atLeast"/>
        </w:trPr>
        <w:tc>
          <w:tcPr>
            <w:tcW w:w="310" w:type="pct"/>
            <w:vMerge w:val="restart"/>
            <w:tcBorders>
              <w:top w:val="nil"/>
              <w:left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0</w:t>
            </w:r>
            <w:r>
              <w:rPr>
                <w:rFonts w:ascii="仿宋" w:hAnsi="仿宋" w:eastAsia="仿宋" w:cs="宋体"/>
                <w:color w:val="000000"/>
                <w:szCs w:val="21"/>
              </w:rPr>
              <w:t>2</w:t>
            </w:r>
            <w:r>
              <w:rPr>
                <w:rFonts w:hint="eastAsia" w:ascii="仿宋" w:hAnsi="仿宋" w:eastAsia="仿宋" w:cs="宋体"/>
                <w:color w:val="000000"/>
                <w:szCs w:val="21"/>
              </w:rPr>
              <w:t>包</w:t>
            </w:r>
          </w:p>
        </w:tc>
        <w:tc>
          <w:tcPr>
            <w:tcW w:w="792"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成都信息工程大学航空港校区体育馆（排球-练习）</w:t>
            </w:r>
          </w:p>
        </w:tc>
        <w:tc>
          <w:tcPr>
            <w:tcW w:w="7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 xml:space="preserve">12950 </w:t>
            </w: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蠓、蚊、蝇</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≥3</w:t>
            </w:r>
          </w:p>
        </w:tc>
        <w:tc>
          <w:tcPr>
            <w:tcW w:w="1900" w:type="pct"/>
            <w:vMerge w:val="restart"/>
            <w:tcBorders>
              <w:top w:val="nil"/>
              <w:left w:val="single" w:color="auto" w:sz="4" w:space="0"/>
              <w:right w:val="single" w:color="auto" w:sz="4" w:space="0"/>
            </w:tcBorders>
            <w:shd w:val="clear" w:color="auto" w:fill="auto"/>
            <w:vAlign w:val="center"/>
          </w:tcPr>
          <w:p>
            <w:pPr>
              <w:widowControl/>
              <w:spacing w:line="240" w:lineRule="exact"/>
              <w:rPr>
                <w:rFonts w:ascii="仿宋" w:hAnsi="仿宋" w:eastAsia="仿宋" w:cs="宋体"/>
                <w:color w:val="000000"/>
                <w:szCs w:val="21"/>
              </w:rPr>
            </w:pPr>
            <w:r>
              <w:rPr>
                <w:rFonts w:ascii="仿宋" w:hAnsi="仿宋" w:eastAsia="仿宋" w:cs="宋体"/>
                <w:color w:val="000000"/>
                <w:szCs w:val="21"/>
              </w:rPr>
              <w:t>6</w:t>
            </w:r>
            <w:r>
              <w:rPr>
                <w:rFonts w:hint="eastAsia" w:ascii="仿宋" w:hAnsi="仿宋" w:eastAsia="仿宋" w:cs="宋体"/>
                <w:color w:val="000000"/>
                <w:szCs w:val="21"/>
              </w:rPr>
              <w:t>月下旬—8月期间需持续开展防制</w:t>
            </w:r>
          </w:p>
        </w:tc>
      </w:tr>
      <w:tr>
        <w:tblPrEx>
          <w:tblCellMar>
            <w:top w:w="0" w:type="dxa"/>
            <w:left w:w="108" w:type="dxa"/>
            <w:bottom w:w="0" w:type="dxa"/>
            <w:right w:w="108" w:type="dxa"/>
          </w:tblCellMar>
        </w:tblPrEx>
        <w:trPr>
          <w:trHeight w:val="291" w:hRule="atLeast"/>
        </w:trPr>
        <w:tc>
          <w:tcPr>
            <w:tcW w:w="310" w:type="pct"/>
            <w:vMerge w:val="continue"/>
            <w:tcBorders>
              <w:left w:val="single" w:color="auto" w:sz="4" w:space="0"/>
              <w:right w:val="single" w:color="auto" w:sz="4" w:space="0"/>
            </w:tcBorders>
          </w:tcPr>
          <w:p>
            <w:pPr>
              <w:widowControl/>
              <w:spacing w:line="240" w:lineRule="exact"/>
              <w:rPr>
                <w:rFonts w:ascii="仿宋" w:hAnsi="仿宋" w:eastAsia="仿宋" w:cs="宋体"/>
                <w:color w:val="000000"/>
                <w:szCs w:val="21"/>
              </w:rPr>
            </w:pPr>
          </w:p>
        </w:tc>
        <w:tc>
          <w:tcPr>
            <w:tcW w:w="792" w:type="pct"/>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7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鼠</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≥3</w:t>
            </w:r>
          </w:p>
        </w:tc>
        <w:tc>
          <w:tcPr>
            <w:tcW w:w="1900" w:type="pct"/>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000000"/>
                <w:szCs w:val="21"/>
              </w:rPr>
            </w:pPr>
          </w:p>
        </w:tc>
      </w:tr>
      <w:tr>
        <w:tblPrEx>
          <w:tblCellMar>
            <w:top w:w="0" w:type="dxa"/>
            <w:left w:w="108" w:type="dxa"/>
            <w:bottom w:w="0" w:type="dxa"/>
            <w:right w:w="108" w:type="dxa"/>
          </w:tblCellMar>
        </w:tblPrEx>
        <w:trPr>
          <w:trHeight w:val="465" w:hRule="atLeast"/>
        </w:trPr>
        <w:tc>
          <w:tcPr>
            <w:tcW w:w="310" w:type="pct"/>
            <w:vMerge w:val="continue"/>
            <w:tcBorders>
              <w:left w:val="single" w:color="auto" w:sz="4" w:space="0"/>
              <w:right w:val="single" w:color="auto" w:sz="4" w:space="0"/>
            </w:tcBorders>
          </w:tcPr>
          <w:p>
            <w:pPr>
              <w:widowControl/>
              <w:spacing w:line="240" w:lineRule="exact"/>
              <w:rPr>
                <w:rFonts w:ascii="仿宋" w:hAnsi="仿宋" w:eastAsia="仿宋" w:cs="宋体"/>
                <w:color w:val="000000"/>
                <w:szCs w:val="21"/>
              </w:rPr>
            </w:pPr>
          </w:p>
        </w:tc>
        <w:tc>
          <w:tcPr>
            <w:tcW w:w="792" w:type="pct"/>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7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蟑螂</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≥1</w:t>
            </w:r>
          </w:p>
        </w:tc>
        <w:tc>
          <w:tcPr>
            <w:tcW w:w="1900" w:type="pct"/>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000000"/>
                <w:szCs w:val="21"/>
              </w:rPr>
            </w:pPr>
          </w:p>
        </w:tc>
      </w:tr>
      <w:tr>
        <w:tblPrEx>
          <w:tblCellMar>
            <w:top w:w="0" w:type="dxa"/>
            <w:left w:w="108" w:type="dxa"/>
            <w:bottom w:w="0" w:type="dxa"/>
            <w:right w:w="108" w:type="dxa"/>
          </w:tblCellMar>
        </w:tblPrEx>
        <w:trPr>
          <w:trHeight w:val="432" w:hRule="atLeast"/>
        </w:trPr>
        <w:tc>
          <w:tcPr>
            <w:tcW w:w="310" w:type="pct"/>
            <w:vMerge w:val="continue"/>
            <w:tcBorders>
              <w:left w:val="single" w:color="auto" w:sz="4" w:space="0"/>
              <w:bottom w:val="single" w:color="000000" w:sz="4" w:space="0"/>
              <w:right w:val="single" w:color="auto" w:sz="4" w:space="0"/>
            </w:tcBorders>
          </w:tcPr>
          <w:p>
            <w:pPr>
              <w:widowControl/>
              <w:spacing w:line="240" w:lineRule="exact"/>
              <w:rPr>
                <w:rFonts w:ascii="仿宋" w:hAnsi="仿宋" w:eastAsia="仿宋" w:cs="宋体"/>
                <w:color w:val="000000"/>
                <w:szCs w:val="21"/>
              </w:rPr>
            </w:pPr>
          </w:p>
        </w:tc>
        <w:tc>
          <w:tcPr>
            <w:tcW w:w="792" w:type="pct"/>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7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szCs w:val="21"/>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应急演练</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szCs w:val="21"/>
              </w:rPr>
            </w:pPr>
            <w:r>
              <w:rPr>
                <w:rFonts w:hint="eastAsia" w:ascii="仿宋" w:hAnsi="仿宋" w:eastAsia="仿宋" w:cs="宋体"/>
                <w:color w:val="000000"/>
                <w:szCs w:val="21"/>
              </w:rPr>
              <w:t>1</w:t>
            </w:r>
          </w:p>
        </w:tc>
        <w:tc>
          <w:tcPr>
            <w:tcW w:w="1900" w:type="pct"/>
            <w:vMerge w:val="continue"/>
            <w:tcBorders>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color w:val="000000"/>
                <w:szCs w:val="21"/>
              </w:rPr>
            </w:pPr>
          </w:p>
        </w:tc>
      </w:tr>
    </w:tbl>
    <w:p>
      <w:pPr>
        <w:ind w:firstLine="480" w:firstLineChars="200"/>
        <w:jc w:val="left"/>
        <w:rPr>
          <w:rFonts w:ascii="仿宋" w:hAnsi="仿宋" w:eastAsia="仿宋"/>
          <w:bCs/>
          <w:color w:val="000000"/>
          <w:sz w:val="24"/>
        </w:rPr>
      </w:pPr>
      <w:r>
        <w:rPr>
          <w:rFonts w:hint="eastAsia" w:ascii="仿宋" w:hAnsi="仿宋" w:eastAsia="仿宋"/>
          <w:bCs/>
          <w:color w:val="000000"/>
          <w:sz w:val="24"/>
        </w:rPr>
        <w:t>2</w:t>
      </w:r>
      <w:r>
        <w:rPr>
          <w:rFonts w:ascii="仿宋" w:hAnsi="仿宋" w:eastAsia="仿宋"/>
          <w:bCs/>
          <w:color w:val="000000"/>
          <w:sz w:val="24"/>
        </w:rPr>
        <w:t>、</w:t>
      </w:r>
      <w:r>
        <w:rPr>
          <w:rFonts w:hint="eastAsia" w:ascii="仿宋" w:hAnsi="仿宋" w:eastAsia="仿宋"/>
          <w:bCs/>
          <w:color w:val="000000"/>
          <w:sz w:val="24"/>
        </w:rPr>
        <w:t>6个场馆围墙范围内“一般保障区”病媒生物防制服务。</w:t>
      </w:r>
    </w:p>
    <w:p>
      <w:pPr>
        <w:jc w:val="left"/>
        <w:rPr>
          <w:rFonts w:ascii="仿宋" w:hAnsi="仿宋" w:eastAsia="仿宋"/>
          <w:bCs/>
          <w:color w:val="000000"/>
          <w:sz w:val="24"/>
        </w:rPr>
      </w:pPr>
      <w:r>
        <w:rPr>
          <w:rFonts w:hint="eastAsia" w:ascii="仿宋" w:hAnsi="仿宋" w:eastAsia="仿宋"/>
          <w:bCs/>
          <w:color w:val="000000"/>
          <w:sz w:val="24"/>
        </w:rPr>
        <w:t>(一般保障区：以各竞赛训练场馆/场所为中心延伸至各场馆围墙之间的区域)</w:t>
      </w:r>
    </w:p>
    <w:tbl>
      <w:tblPr>
        <w:tblStyle w:val="7"/>
        <w:tblpPr w:leftFromText="180" w:rightFromText="180" w:vertAnchor="text" w:tblpX="-285" w:tblpY="1"/>
        <w:tblOverlap w:val="never"/>
        <w:tblW w:w="5000" w:type="pct"/>
        <w:tblInd w:w="0" w:type="dxa"/>
        <w:tblLayout w:type="autofit"/>
        <w:tblCellMar>
          <w:top w:w="0" w:type="dxa"/>
          <w:left w:w="108" w:type="dxa"/>
          <w:bottom w:w="0" w:type="dxa"/>
          <w:right w:w="108" w:type="dxa"/>
        </w:tblCellMar>
      </w:tblPr>
      <w:tblGrid>
        <w:gridCol w:w="903"/>
        <w:gridCol w:w="989"/>
        <w:gridCol w:w="2465"/>
        <w:gridCol w:w="1348"/>
        <w:gridCol w:w="903"/>
        <w:gridCol w:w="1914"/>
      </w:tblGrid>
      <w:tr>
        <w:tblPrEx>
          <w:tblCellMar>
            <w:top w:w="0" w:type="dxa"/>
            <w:left w:w="108" w:type="dxa"/>
            <w:bottom w:w="0" w:type="dxa"/>
            <w:right w:w="108" w:type="dxa"/>
          </w:tblCellMar>
        </w:tblPrEx>
        <w:trPr>
          <w:trHeight w:val="696" w:hRule="atLeast"/>
        </w:trPr>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包号</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场馆名称</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一般保障区面积（m</w:t>
            </w:r>
            <w:r>
              <w:rPr>
                <w:rFonts w:hint="eastAsia" w:ascii="仿宋" w:hAnsi="仿宋" w:eastAsia="仿宋" w:cs="宋体"/>
                <w:color w:val="000000"/>
                <w:kern w:val="0"/>
                <w:szCs w:val="21"/>
                <w:vertAlign w:val="superscript"/>
              </w:rPr>
              <w:t>2</w:t>
            </w:r>
            <w:r>
              <w:rPr>
                <w:rFonts w:hint="eastAsia" w:ascii="仿宋" w:hAnsi="仿宋" w:eastAsia="仿宋" w:cs="宋体"/>
                <w:color w:val="000000"/>
                <w:kern w:val="0"/>
                <w:szCs w:val="21"/>
              </w:rPr>
              <w:t>）</w:t>
            </w:r>
          </w:p>
        </w:tc>
        <w:tc>
          <w:tcPr>
            <w:tcW w:w="7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防制类别</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次数</w:t>
            </w:r>
          </w:p>
        </w:tc>
        <w:tc>
          <w:tcPr>
            <w:tcW w:w="112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备注</w:t>
            </w:r>
          </w:p>
        </w:tc>
      </w:tr>
      <w:tr>
        <w:tblPrEx>
          <w:tblCellMar>
            <w:top w:w="0" w:type="dxa"/>
            <w:left w:w="108" w:type="dxa"/>
            <w:bottom w:w="0" w:type="dxa"/>
            <w:right w:w="108" w:type="dxa"/>
          </w:tblCellMar>
        </w:tblPrEx>
        <w:trPr>
          <w:trHeight w:val="379" w:hRule="atLeast"/>
        </w:trPr>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ascii="仿宋" w:hAnsi="仿宋" w:eastAsia="仿宋" w:cs="宋体"/>
                <w:color w:val="000000"/>
                <w:kern w:val="0"/>
                <w:szCs w:val="21"/>
              </w:rPr>
              <w:t>01</w:t>
            </w:r>
            <w:r>
              <w:rPr>
                <w:rFonts w:hint="eastAsia" w:ascii="仿宋" w:hAnsi="仿宋" w:eastAsia="仿宋" w:cs="宋体"/>
                <w:color w:val="000000"/>
                <w:kern w:val="0"/>
                <w:szCs w:val="21"/>
              </w:rPr>
              <w:t>包</w:t>
            </w:r>
          </w:p>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p>
            <w:pPr>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5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四川川投国际网球中心</w:t>
            </w:r>
          </w:p>
        </w:tc>
        <w:tc>
          <w:tcPr>
            <w:tcW w:w="14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200646.67 </w:t>
            </w:r>
          </w:p>
        </w:tc>
        <w:tc>
          <w:tcPr>
            <w:tcW w:w="7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蠓、蚊、蝇</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szCs w:val="21"/>
              </w:rPr>
              <w:t>≥</w:t>
            </w:r>
            <w:r>
              <w:rPr>
                <w:rFonts w:hint="eastAsia" w:ascii="仿宋" w:hAnsi="仿宋" w:eastAsia="仿宋" w:cs="宋体"/>
                <w:color w:val="000000"/>
                <w:kern w:val="0"/>
                <w:szCs w:val="21"/>
              </w:rPr>
              <w:t>3</w:t>
            </w:r>
          </w:p>
        </w:tc>
        <w:tc>
          <w:tcPr>
            <w:tcW w:w="1123" w:type="pct"/>
            <w:vMerge w:val="restart"/>
            <w:tcBorders>
              <w:top w:val="single" w:color="auto" w:sz="4" w:space="0"/>
              <w:left w:val="single" w:color="auto" w:sz="4" w:space="0"/>
              <w:bottom w:val="single" w:color="auto" w:sz="4" w:space="0"/>
              <w:right w:val="single" w:color="auto" w:sz="4" w:space="0"/>
            </w:tcBorders>
          </w:tcPr>
          <w:p>
            <w:pPr>
              <w:jc w:val="left"/>
              <w:rPr>
                <w:rFonts w:ascii="仿宋" w:hAnsi="仿宋" w:eastAsia="仿宋"/>
                <w:bCs/>
                <w:color w:val="000000"/>
                <w:sz w:val="24"/>
              </w:rPr>
            </w:pPr>
            <w:r>
              <w:rPr>
                <w:rFonts w:ascii="仿宋" w:hAnsi="仿宋" w:eastAsia="仿宋" w:cs="宋体"/>
                <w:color w:val="000000"/>
                <w:kern w:val="0"/>
                <w:szCs w:val="21"/>
              </w:rPr>
              <w:t>6</w:t>
            </w:r>
            <w:r>
              <w:rPr>
                <w:rFonts w:hint="eastAsia" w:ascii="仿宋" w:hAnsi="仿宋" w:eastAsia="仿宋" w:cs="宋体"/>
                <w:color w:val="000000"/>
                <w:kern w:val="0"/>
                <w:szCs w:val="21"/>
              </w:rPr>
              <w:t>月下旬—8月期间需持续开展防制。</w:t>
            </w:r>
          </w:p>
          <w:p>
            <w:pPr>
              <w:widowControl/>
              <w:spacing w:line="240" w:lineRule="exact"/>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79"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宋体"/>
                <w:color w:val="000000"/>
                <w:kern w:val="0"/>
                <w:szCs w:val="21"/>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14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7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鼠</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szCs w:val="21"/>
              </w:rPr>
              <w:t>≥</w:t>
            </w:r>
            <w:r>
              <w:rPr>
                <w:rFonts w:hint="eastAsia" w:ascii="仿宋" w:hAnsi="仿宋" w:eastAsia="仿宋" w:cs="宋体"/>
                <w:color w:val="000000"/>
                <w:kern w:val="0"/>
                <w:szCs w:val="21"/>
              </w:rPr>
              <w:t>3</w:t>
            </w:r>
          </w:p>
        </w:tc>
        <w:tc>
          <w:tcPr>
            <w:tcW w:w="1123" w:type="pct"/>
            <w:vMerge w:val="continue"/>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379"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14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79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ascii="仿宋" w:hAnsi="仿宋" w:eastAsia="仿宋" w:cs="宋体"/>
                <w:color w:val="000000"/>
                <w:kern w:val="0"/>
                <w:szCs w:val="21"/>
              </w:rPr>
              <w:t>蟑</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szCs w:val="21"/>
              </w:rPr>
              <w:t>≥</w:t>
            </w:r>
            <w:r>
              <w:rPr>
                <w:rFonts w:hint="eastAsia" w:ascii="仿宋" w:hAnsi="仿宋" w:eastAsia="仿宋" w:cs="宋体"/>
                <w:color w:val="000000"/>
                <w:kern w:val="0"/>
                <w:szCs w:val="21"/>
              </w:rPr>
              <w:t>1</w:t>
            </w:r>
          </w:p>
        </w:tc>
        <w:tc>
          <w:tcPr>
            <w:tcW w:w="1123" w:type="pct"/>
            <w:vMerge w:val="continue"/>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379" w:hRule="atLeast"/>
        </w:trPr>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ascii="仿宋" w:hAnsi="仿宋" w:eastAsia="仿宋" w:cs="宋体"/>
                <w:color w:val="000000"/>
                <w:kern w:val="0"/>
                <w:szCs w:val="21"/>
              </w:rPr>
              <w:t>02</w:t>
            </w:r>
            <w:r>
              <w:rPr>
                <w:rFonts w:hint="eastAsia" w:ascii="仿宋" w:hAnsi="仿宋" w:eastAsia="仿宋" w:cs="宋体"/>
                <w:color w:val="000000"/>
                <w:kern w:val="0"/>
                <w:szCs w:val="21"/>
              </w:rPr>
              <w:t>包</w:t>
            </w:r>
          </w:p>
        </w:tc>
        <w:tc>
          <w:tcPr>
            <w:tcW w:w="5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成都信息工程大学航空港校区体育馆</w:t>
            </w:r>
          </w:p>
        </w:tc>
        <w:tc>
          <w:tcPr>
            <w:tcW w:w="14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27501.91</w:t>
            </w:r>
          </w:p>
        </w:tc>
        <w:tc>
          <w:tcPr>
            <w:tcW w:w="7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蠓、蚊、蝇</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szCs w:val="21"/>
              </w:rPr>
              <w:t>≥</w:t>
            </w:r>
            <w:r>
              <w:rPr>
                <w:rFonts w:hint="eastAsia" w:ascii="仿宋" w:hAnsi="仿宋" w:eastAsia="仿宋" w:cs="宋体"/>
                <w:color w:val="000000"/>
                <w:kern w:val="0"/>
                <w:szCs w:val="21"/>
              </w:rPr>
              <w:t>3</w:t>
            </w:r>
          </w:p>
        </w:tc>
        <w:tc>
          <w:tcPr>
            <w:tcW w:w="1123" w:type="pct"/>
            <w:vMerge w:val="continue"/>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7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14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7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鼠</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szCs w:val="21"/>
              </w:rPr>
              <w:t>≥</w:t>
            </w:r>
            <w:r>
              <w:rPr>
                <w:rFonts w:hint="eastAsia" w:ascii="仿宋" w:hAnsi="仿宋" w:eastAsia="仿宋" w:cs="宋体"/>
                <w:color w:val="000000"/>
                <w:kern w:val="0"/>
                <w:szCs w:val="21"/>
              </w:rPr>
              <w:t>3</w:t>
            </w:r>
          </w:p>
        </w:tc>
        <w:tc>
          <w:tcPr>
            <w:tcW w:w="1123" w:type="pct"/>
            <w:vMerge w:val="continue"/>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37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14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kern w:val="0"/>
                <w:szCs w:val="21"/>
              </w:rPr>
            </w:pPr>
          </w:p>
        </w:tc>
        <w:tc>
          <w:tcPr>
            <w:tcW w:w="79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kern w:val="0"/>
                <w:szCs w:val="21"/>
              </w:rPr>
            </w:pPr>
            <w:r>
              <w:rPr>
                <w:rFonts w:ascii="仿宋" w:hAnsi="仿宋" w:eastAsia="仿宋" w:cs="宋体"/>
                <w:color w:val="000000"/>
                <w:kern w:val="0"/>
                <w:szCs w:val="21"/>
              </w:rPr>
              <w:t>蟑</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szCs w:val="21"/>
              </w:rPr>
              <w:t>≥</w:t>
            </w:r>
            <w:r>
              <w:rPr>
                <w:rFonts w:hint="eastAsia" w:ascii="仿宋" w:hAnsi="仿宋" w:eastAsia="仿宋" w:cs="宋体"/>
                <w:color w:val="000000"/>
                <w:kern w:val="0"/>
                <w:szCs w:val="21"/>
              </w:rPr>
              <w:t>1</w:t>
            </w:r>
          </w:p>
        </w:tc>
        <w:tc>
          <w:tcPr>
            <w:tcW w:w="1123" w:type="pct"/>
            <w:vMerge w:val="continue"/>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color w:val="000000"/>
                <w:kern w:val="0"/>
                <w:szCs w:val="21"/>
              </w:rPr>
            </w:pPr>
          </w:p>
        </w:tc>
      </w:tr>
    </w:tbl>
    <w:p>
      <w:pPr>
        <w:widowControl w:val="0"/>
        <w:ind w:left="198" w:leftChars="0" w:hanging="198" w:hangingChars="82"/>
        <w:jc w:val="both"/>
        <w:outlineLvl w:val="2"/>
        <w:rPr>
          <w:rFonts w:ascii="仿宋" w:hAnsi="仿宋" w:eastAsia="仿宋" w:cs="Times New Roman"/>
          <w:b/>
          <w:color w:val="000000"/>
          <w:kern w:val="2"/>
          <w:sz w:val="24"/>
          <w:szCs w:val="24"/>
          <w:lang w:val="en-US" w:eastAsia="zh-CN" w:bidi="ar-SA"/>
        </w:rPr>
      </w:pPr>
      <w:r>
        <w:rPr>
          <w:rFonts w:ascii="仿宋" w:hAnsi="仿宋" w:eastAsia="仿宋" w:cs="Times New Roman"/>
          <w:b/>
          <w:color w:val="000000"/>
          <w:kern w:val="2"/>
          <w:sz w:val="24"/>
          <w:szCs w:val="24"/>
          <w:lang w:val="en-US" w:eastAsia="zh-CN" w:bidi="ar-SA"/>
        </w:rPr>
        <w:t>（二）技术及服务要求</w:t>
      </w:r>
      <w:bookmarkStart w:id="12" w:name="_Hlk98925735"/>
      <w:r>
        <w:rPr>
          <w:rFonts w:hint="eastAsia" w:ascii="仿宋" w:hAnsi="仿宋" w:eastAsia="仿宋" w:cs="Times New Roman"/>
          <w:b/>
          <w:color w:val="000000"/>
          <w:kern w:val="2"/>
          <w:sz w:val="24"/>
          <w:szCs w:val="24"/>
          <w:lang w:val="en-US" w:eastAsia="zh-CN" w:bidi="ar-SA"/>
        </w:rPr>
        <w:t>（各</w:t>
      </w:r>
      <w:r>
        <w:rPr>
          <w:rFonts w:ascii="仿宋" w:hAnsi="仿宋" w:eastAsia="仿宋" w:cs="Times New Roman"/>
          <w:b/>
          <w:color w:val="000000"/>
          <w:kern w:val="2"/>
          <w:sz w:val="24"/>
          <w:szCs w:val="24"/>
          <w:lang w:val="en-US" w:eastAsia="zh-CN" w:bidi="ar-SA"/>
        </w:rPr>
        <w:t>包适用</w:t>
      </w:r>
      <w:r>
        <w:rPr>
          <w:rFonts w:hint="eastAsia" w:ascii="仿宋" w:hAnsi="仿宋" w:eastAsia="仿宋" w:cs="Times New Roman"/>
          <w:b/>
          <w:color w:val="000000"/>
          <w:kern w:val="2"/>
          <w:sz w:val="24"/>
          <w:szCs w:val="24"/>
          <w:lang w:val="en-US" w:eastAsia="zh-CN" w:bidi="ar-SA"/>
        </w:rPr>
        <w:t>）</w:t>
      </w:r>
    </w:p>
    <w:bookmarkEnd w:id="12"/>
    <w:p>
      <w:pPr>
        <w:rPr>
          <w:rFonts w:ascii="仿宋" w:hAnsi="仿宋" w:eastAsia="仿宋"/>
          <w:b/>
          <w:color w:val="000000"/>
          <w:sz w:val="24"/>
        </w:rPr>
      </w:pPr>
      <w:r>
        <w:rPr>
          <w:rFonts w:hint="eastAsia" w:ascii="仿宋" w:hAnsi="仿宋" w:eastAsia="仿宋"/>
          <w:b/>
          <w:color w:val="000000"/>
          <w:sz w:val="24"/>
        </w:rPr>
        <w:t>★1、基本要求：</w:t>
      </w:r>
    </w:p>
    <w:p>
      <w:pPr>
        <w:jc w:val="left"/>
        <w:rPr>
          <w:rFonts w:ascii="仿宋" w:hAnsi="仿宋" w:eastAsia="仿宋"/>
          <w:bCs/>
          <w:color w:val="000000"/>
          <w:sz w:val="24"/>
        </w:rPr>
      </w:pPr>
      <w:r>
        <w:rPr>
          <w:rFonts w:hint="eastAsia" w:ascii="仿宋" w:hAnsi="仿宋" w:eastAsia="仿宋"/>
          <w:bCs/>
          <w:color w:val="000000"/>
          <w:sz w:val="24"/>
        </w:rPr>
        <w:t>（1）大运会双流赛区场馆围墙范围内区域的除“四害”和病媒生物防制服务均属于本项目服务内容。</w:t>
      </w:r>
    </w:p>
    <w:p>
      <w:pPr>
        <w:widowControl w:val="0"/>
        <w:jc w:val="left"/>
        <w:rPr>
          <w:rFonts w:ascii="Times New Roman" w:hAnsi="Times New Roman" w:eastAsia="宋体" w:cs="Times New Roman"/>
          <w:color w:val="000000"/>
          <w:kern w:val="2"/>
          <w:sz w:val="21"/>
          <w:szCs w:val="24"/>
          <w:lang w:val="en-US" w:eastAsia="zh-CN" w:bidi="ar-SA"/>
        </w:rPr>
      </w:pPr>
      <w:r>
        <w:rPr>
          <w:rFonts w:hint="eastAsia" w:ascii="仿宋" w:hAnsi="仿宋" w:eastAsia="仿宋" w:cs="Times New Roman"/>
          <w:bCs/>
          <w:color w:val="000000"/>
          <w:kern w:val="2"/>
          <w:sz w:val="24"/>
          <w:szCs w:val="24"/>
          <w:lang w:val="en-US" w:eastAsia="zh-CN" w:bidi="ar-SA"/>
        </w:rPr>
        <w:t>（2）根据工作需要完成大运会双流赛区委员会临时交办的</w:t>
      </w:r>
      <w:r>
        <w:rPr>
          <w:rFonts w:hint="eastAsia" w:ascii="Times New Roman" w:hAnsi="Times New Roman" w:eastAsia="宋体" w:cs="Times New Roman"/>
          <w:color w:val="000000"/>
          <w:kern w:val="2"/>
          <w:sz w:val="21"/>
          <w:szCs w:val="24"/>
          <w:lang w:val="en-US" w:eastAsia="zh-CN" w:bidi="ar-SA"/>
        </w:rPr>
        <w:t>与本项目相关的</w:t>
      </w:r>
      <w:r>
        <w:rPr>
          <w:rFonts w:hint="eastAsia" w:ascii="仿宋" w:hAnsi="仿宋" w:eastAsia="仿宋" w:cs="Times New Roman"/>
          <w:bCs/>
          <w:color w:val="000000"/>
          <w:kern w:val="2"/>
          <w:sz w:val="24"/>
          <w:szCs w:val="24"/>
          <w:lang w:val="en-US" w:eastAsia="zh-CN" w:bidi="ar-SA"/>
        </w:rPr>
        <w:t>病媒生物防制任务。</w:t>
      </w:r>
    </w:p>
    <w:p>
      <w:pPr>
        <w:rPr>
          <w:rFonts w:ascii="仿宋" w:hAnsi="仿宋" w:eastAsia="仿宋"/>
          <w:bCs/>
          <w:color w:val="000000"/>
          <w:sz w:val="24"/>
        </w:rPr>
      </w:pPr>
      <w:r>
        <w:rPr>
          <w:rFonts w:hint="eastAsia" w:ascii="仿宋" w:hAnsi="仿宋" w:eastAsia="仿宋"/>
          <w:bCs/>
          <w:color w:val="000000"/>
          <w:sz w:val="24"/>
        </w:rPr>
        <w:t>（3）成交供应商要按照采购人要求做好每次防制服务作业记录并把相关资料报送采购人留存。</w:t>
      </w:r>
    </w:p>
    <w:p>
      <w:pPr>
        <w:jc w:val="left"/>
        <w:rPr>
          <w:rFonts w:ascii="仿宋" w:hAnsi="仿宋" w:eastAsia="仿宋"/>
          <w:b/>
          <w:color w:val="000000"/>
          <w:sz w:val="24"/>
        </w:rPr>
      </w:pPr>
      <w:r>
        <w:rPr>
          <w:rFonts w:hint="eastAsia" w:ascii="仿宋" w:hAnsi="仿宋" w:eastAsia="仿宋"/>
          <w:b/>
          <w:color w:val="000000"/>
          <w:sz w:val="24"/>
        </w:rPr>
        <w:t>★</w:t>
      </w:r>
      <w:r>
        <w:rPr>
          <w:rFonts w:ascii="仿宋" w:hAnsi="仿宋" w:eastAsia="仿宋"/>
          <w:b/>
          <w:color w:val="000000"/>
          <w:sz w:val="24"/>
        </w:rPr>
        <w:t>2</w:t>
      </w:r>
      <w:r>
        <w:rPr>
          <w:rFonts w:hint="eastAsia" w:ascii="仿宋" w:hAnsi="仿宋" w:eastAsia="仿宋"/>
          <w:b/>
          <w:color w:val="000000"/>
          <w:sz w:val="24"/>
        </w:rPr>
        <w:t>、工作目标：</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控制老鼠、苍蝇、蟑螂、蚊子密度及常见叮咬卫生害虫防制。</w:t>
      </w:r>
    </w:p>
    <w:p>
      <w:pPr>
        <w:jc w:val="left"/>
        <w:rPr>
          <w:rFonts w:ascii="仿宋" w:hAnsi="仿宋" w:eastAsia="仿宋"/>
          <w:b/>
          <w:color w:val="000000"/>
          <w:sz w:val="24"/>
        </w:rPr>
      </w:pPr>
      <w:r>
        <w:rPr>
          <w:rFonts w:hint="eastAsia" w:ascii="仿宋" w:hAnsi="仿宋" w:eastAsia="仿宋"/>
          <w:b/>
          <w:color w:val="000000"/>
          <w:sz w:val="24"/>
        </w:rPr>
        <w:t>★</w:t>
      </w:r>
      <w:r>
        <w:rPr>
          <w:rFonts w:ascii="仿宋" w:hAnsi="仿宋" w:eastAsia="仿宋"/>
          <w:b/>
          <w:color w:val="000000"/>
          <w:sz w:val="24"/>
        </w:rPr>
        <w:t>3</w:t>
      </w:r>
      <w:r>
        <w:rPr>
          <w:rFonts w:hint="eastAsia" w:ascii="仿宋" w:hAnsi="仿宋" w:eastAsia="仿宋"/>
          <w:b/>
          <w:color w:val="000000"/>
          <w:sz w:val="24"/>
        </w:rPr>
        <w:t>、质量标准</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服务区域的除“四害”质量达到成都大运会双流赛区病媒生物密度控制标准，见下表：</w:t>
      </w:r>
    </w:p>
    <w:tbl>
      <w:tblPr>
        <w:tblStyle w:val="7"/>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79"/>
        <w:gridCol w:w="2440"/>
        <w:gridCol w:w="108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ign w:val="center"/>
          </w:tcPr>
          <w:p>
            <w:pPr>
              <w:jc w:val="center"/>
              <w:rPr>
                <w:rFonts w:ascii="仿宋" w:hAnsi="仿宋" w:eastAsia="仿宋" w:cs="黑体"/>
                <w:color w:val="000000"/>
                <w:w w:val="90"/>
                <w:sz w:val="24"/>
              </w:rPr>
            </w:pPr>
            <w:r>
              <w:rPr>
                <w:rFonts w:hint="eastAsia" w:ascii="仿宋" w:hAnsi="仿宋" w:eastAsia="仿宋" w:cs="黑体"/>
                <w:color w:val="000000"/>
                <w:w w:val="90"/>
                <w:sz w:val="24"/>
              </w:rPr>
              <w:t>病媒</w:t>
            </w:r>
          </w:p>
          <w:p>
            <w:pPr>
              <w:jc w:val="center"/>
              <w:rPr>
                <w:rFonts w:ascii="仿宋" w:hAnsi="仿宋" w:eastAsia="仿宋" w:cs="黑体"/>
                <w:color w:val="000000"/>
                <w:sz w:val="24"/>
              </w:rPr>
            </w:pPr>
            <w:r>
              <w:rPr>
                <w:rFonts w:hint="eastAsia" w:ascii="仿宋" w:hAnsi="仿宋" w:eastAsia="仿宋" w:cs="黑体"/>
                <w:color w:val="000000"/>
                <w:w w:val="90"/>
                <w:sz w:val="24"/>
              </w:rPr>
              <w:t>种类</w:t>
            </w:r>
          </w:p>
        </w:tc>
        <w:tc>
          <w:tcPr>
            <w:tcW w:w="679" w:type="dxa"/>
            <w:noWrap/>
            <w:vAlign w:val="center"/>
          </w:tcPr>
          <w:p>
            <w:pPr>
              <w:jc w:val="center"/>
              <w:rPr>
                <w:rFonts w:ascii="仿宋" w:hAnsi="仿宋" w:eastAsia="仿宋" w:cs="黑体"/>
                <w:color w:val="000000"/>
                <w:sz w:val="24"/>
              </w:rPr>
            </w:pPr>
            <w:r>
              <w:rPr>
                <w:rFonts w:hint="eastAsia" w:ascii="仿宋" w:hAnsi="仿宋" w:eastAsia="仿宋" w:cs="黑体"/>
                <w:color w:val="000000"/>
                <w:w w:val="90"/>
                <w:sz w:val="24"/>
              </w:rPr>
              <w:t>区域</w:t>
            </w:r>
          </w:p>
        </w:tc>
        <w:tc>
          <w:tcPr>
            <w:tcW w:w="2440" w:type="dxa"/>
            <w:noWrap/>
            <w:vAlign w:val="center"/>
          </w:tcPr>
          <w:p>
            <w:pPr>
              <w:jc w:val="center"/>
              <w:rPr>
                <w:rFonts w:ascii="仿宋" w:hAnsi="仿宋" w:eastAsia="仿宋" w:cs="黑体"/>
                <w:color w:val="000000"/>
                <w:sz w:val="24"/>
              </w:rPr>
            </w:pPr>
            <w:r>
              <w:rPr>
                <w:rFonts w:hint="eastAsia" w:ascii="仿宋" w:hAnsi="仿宋" w:eastAsia="仿宋" w:cs="黑体"/>
                <w:color w:val="000000"/>
                <w:sz w:val="24"/>
              </w:rPr>
              <w:t>控制目标</w:t>
            </w:r>
          </w:p>
        </w:tc>
        <w:tc>
          <w:tcPr>
            <w:tcW w:w="1087" w:type="dxa"/>
            <w:noWrap/>
            <w:vAlign w:val="center"/>
          </w:tcPr>
          <w:p>
            <w:pPr>
              <w:jc w:val="center"/>
              <w:rPr>
                <w:rFonts w:ascii="仿宋" w:hAnsi="仿宋" w:eastAsia="仿宋" w:cs="黑体"/>
                <w:color w:val="000000"/>
                <w:sz w:val="24"/>
              </w:rPr>
            </w:pPr>
            <w:r>
              <w:rPr>
                <w:rFonts w:hint="eastAsia" w:ascii="仿宋" w:hAnsi="仿宋" w:eastAsia="仿宋" w:cs="黑体"/>
                <w:color w:val="000000"/>
                <w:sz w:val="24"/>
              </w:rPr>
              <w:t>目标值</w:t>
            </w:r>
          </w:p>
        </w:tc>
        <w:tc>
          <w:tcPr>
            <w:tcW w:w="3828" w:type="dxa"/>
            <w:noWrap/>
            <w:vAlign w:val="center"/>
          </w:tcPr>
          <w:p>
            <w:pPr>
              <w:jc w:val="center"/>
              <w:rPr>
                <w:rFonts w:ascii="仿宋" w:hAnsi="仿宋" w:eastAsia="仿宋" w:cs="黑体"/>
                <w:color w:val="000000"/>
                <w:sz w:val="24"/>
              </w:rPr>
            </w:pPr>
            <w:r>
              <w:rPr>
                <w:rFonts w:hint="eastAsia" w:ascii="仿宋" w:hAnsi="仿宋" w:eastAsia="仿宋" w:cs="黑体"/>
                <w:color w:val="000000"/>
                <w:sz w:val="24"/>
              </w:rPr>
              <w:t>依据和说明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9" w:type="dxa"/>
            <w:vMerge w:val="restart"/>
            <w:noWrap/>
            <w:vAlign w:val="center"/>
          </w:tcPr>
          <w:p>
            <w:pPr>
              <w:spacing w:after="120"/>
              <w:jc w:val="center"/>
              <w:rPr>
                <w:rFonts w:ascii="仿宋" w:hAnsi="仿宋" w:eastAsia="仿宋" w:cs="仿宋_GB2312"/>
                <w:b/>
                <w:bCs/>
                <w:color w:val="000000"/>
                <w:w w:val="90"/>
                <w:sz w:val="24"/>
              </w:rPr>
            </w:pPr>
            <w:r>
              <w:rPr>
                <w:rFonts w:ascii="仿宋" w:hAnsi="仿宋" w:eastAsia="仿宋" w:cs="仿宋_GB2312"/>
                <w:b/>
                <w:bCs/>
                <w:color w:val="000000"/>
                <w:w w:val="90"/>
                <w:sz w:val="24"/>
              </w:rPr>
              <w:t>鼠类</w:t>
            </w:r>
          </w:p>
        </w:tc>
        <w:tc>
          <w:tcPr>
            <w:tcW w:w="679" w:type="dxa"/>
            <w:vMerge w:val="restart"/>
            <w:noWrap/>
            <w:vAlign w:val="center"/>
          </w:tcPr>
          <w:p>
            <w:pPr>
              <w:spacing w:after="120"/>
              <w:jc w:val="center"/>
              <w:rPr>
                <w:rFonts w:ascii="仿宋" w:hAnsi="仿宋" w:eastAsia="仿宋" w:cs="仿宋_GB2312"/>
                <w:b/>
                <w:bCs/>
                <w:color w:val="000000"/>
                <w:w w:val="80"/>
                <w:sz w:val="24"/>
              </w:rPr>
            </w:pPr>
            <w:r>
              <w:rPr>
                <w:rFonts w:hint="eastAsia" w:ascii="仿宋" w:hAnsi="仿宋" w:eastAsia="仿宋" w:cs="仿宋_GB2312"/>
                <w:b/>
                <w:bCs/>
                <w:color w:val="000000"/>
                <w:w w:val="80"/>
                <w:sz w:val="24"/>
              </w:rPr>
              <w:t>重点保障区</w:t>
            </w: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有鼠洞、鼠粪、鼠咬痕等鼠迹的房间</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≤3%</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GB/T27770-2011鼠类B级标准≤3%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9" w:type="dxa"/>
            <w:vMerge w:val="continue"/>
            <w:noWrap/>
            <w:vAlign w:val="center"/>
          </w:tcPr>
          <w:p>
            <w:pPr>
              <w:spacing w:after="120"/>
              <w:jc w:val="center"/>
              <w:rPr>
                <w:rFonts w:ascii="仿宋" w:hAnsi="仿宋" w:eastAsia="仿宋" w:cs="仿宋_GB2312"/>
                <w:b/>
                <w:bCs/>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外环境累计1000米，鼠迹数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≤3处</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85"/>
                <w:sz w:val="24"/>
              </w:rPr>
              <w:t>GB/T27770-2011鼠类B级标准为鼠迹处数≤3处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9" w:type="dxa"/>
            <w:vMerge w:val="continue"/>
            <w:noWrap/>
            <w:vAlign w:val="center"/>
          </w:tcPr>
          <w:p>
            <w:pPr>
              <w:spacing w:after="120"/>
              <w:jc w:val="center"/>
              <w:rPr>
                <w:rFonts w:ascii="仿宋" w:hAnsi="仿宋" w:eastAsia="仿宋" w:cs="仿宋_GB2312"/>
                <w:b/>
                <w:bCs/>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应设防鼠设施合格率</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≥97%</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GB/T27770-2011鼠类B级标准为≥97%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9" w:type="dxa"/>
            <w:vMerge w:val="continue"/>
            <w:noWrap/>
            <w:vAlign w:val="center"/>
          </w:tcPr>
          <w:p>
            <w:pPr>
              <w:spacing w:after="120"/>
              <w:jc w:val="center"/>
              <w:rPr>
                <w:rFonts w:ascii="仿宋" w:hAnsi="仿宋" w:eastAsia="仿宋" w:cs="仿宋_GB2312"/>
                <w:b/>
                <w:bCs/>
                <w:color w:val="000000"/>
                <w:w w:val="90"/>
                <w:sz w:val="24"/>
              </w:rPr>
            </w:pPr>
          </w:p>
        </w:tc>
        <w:tc>
          <w:tcPr>
            <w:tcW w:w="679" w:type="dxa"/>
            <w:vMerge w:val="restart"/>
            <w:noWrap/>
            <w:vAlign w:val="center"/>
          </w:tcPr>
          <w:p>
            <w:pPr>
              <w:spacing w:after="120"/>
              <w:jc w:val="center"/>
              <w:rPr>
                <w:rFonts w:ascii="仿宋" w:hAnsi="仿宋" w:eastAsia="仿宋" w:cs="仿宋_GB2312"/>
                <w:b/>
                <w:bCs/>
                <w:color w:val="000000"/>
                <w:w w:val="80"/>
                <w:sz w:val="24"/>
              </w:rPr>
            </w:pPr>
            <w:r>
              <w:rPr>
                <w:rFonts w:hint="eastAsia" w:ascii="仿宋" w:hAnsi="仿宋" w:eastAsia="仿宋" w:cs="仿宋_GB2312"/>
                <w:b/>
                <w:bCs/>
                <w:color w:val="000000"/>
                <w:w w:val="80"/>
                <w:sz w:val="24"/>
              </w:rPr>
              <w:t>一般保障区</w:t>
            </w: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外环境累计1000米，鼠迹数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≤5处</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w:t>
            </w:r>
            <w:r>
              <w:rPr>
                <w:rFonts w:hint="eastAsia" w:ascii="仿宋" w:hAnsi="仿宋" w:eastAsia="仿宋" w:cs="仿宋_GB2312"/>
                <w:color w:val="000000"/>
                <w:w w:val="85"/>
                <w:sz w:val="24"/>
              </w:rPr>
              <w:t>B/T27770-2011鼠类C级标准为鼠迹处数≤5处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19" w:type="dxa"/>
            <w:vMerge w:val="continue"/>
            <w:noWrap/>
            <w:vAlign w:val="center"/>
          </w:tcPr>
          <w:p>
            <w:pPr>
              <w:spacing w:after="120"/>
              <w:rPr>
                <w:rFonts w:ascii="仿宋" w:hAnsi="仿宋" w:eastAsia="仿宋" w:cs="仿宋_GB2312"/>
                <w:b/>
                <w:bCs/>
                <w:color w:val="000000"/>
                <w:w w:val="90"/>
                <w:sz w:val="24"/>
              </w:rPr>
            </w:pPr>
          </w:p>
        </w:tc>
        <w:tc>
          <w:tcPr>
            <w:tcW w:w="679" w:type="dxa"/>
            <w:vMerge w:val="continue"/>
            <w:noWrap/>
            <w:vAlign w:val="center"/>
          </w:tcPr>
          <w:p>
            <w:pPr>
              <w:spacing w:after="120"/>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应设防鼠设施合格率</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≥95%</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GB/T27770-2011鼠类B级标准为≥95%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restart"/>
            <w:noWrap/>
            <w:vAlign w:val="center"/>
          </w:tcPr>
          <w:p>
            <w:pPr>
              <w:spacing w:after="120"/>
              <w:jc w:val="center"/>
              <w:rPr>
                <w:rFonts w:ascii="仿宋" w:hAnsi="仿宋" w:eastAsia="仿宋" w:cs="仿宋_GB2312"/>
                <w:color w:val="000000"/>
                <w:w w:val="90"/>
                <w:sz w:val="24"/>
              </w:rPr>
            </w:pPr>
            <w:r>
              <w:rPr>
                <w:rFonts w:ascii="仿宋" w:hAnsi="仿宋" w:eastAsia="仿宋" w:cs="仿宋_GB2312"/>
                <w:b/>
                <w:bCs/>
                <w:color w:val="000000"/>
                <w:w w:val="90"/>
                <w:sz w:val="24"/>
              </w:rPr>
              <w:t>蚊虫</w:t>
            </w:r>
          </w:p>
        </w:tc>
        <w:tc>
          <w:tcPr>
            <w:tcW w:w="679" w:type="dxa"/>
            <w:vMerge w:val="restart"/>
            <w:noWrap/>
            <w:vAlign w:val="center"/>
          </w:tcPr>
          <w:p>
            <w:pPr>
              <w:spacing w:after="120"/>
              <w:jc w:val="center"/>
              <w:rPr>
                <w:rFonts w:ascii="仿宋" w:hAnsi="仿宋" w:eastAsia="仿宋" w:cs="仿宋_GB2312"/>
                <w:b/>
                <w:bCs/>
                <w:color w:val="000000"/>
                <w:w w:val="80"/>
                <w:sz w:val="24"/>
              </w:rPr>
            </w:pPr>
            <w:r>
              <w:rPr>
                <w:rFonts w:hint="eastAsia" w:ascii="仿宋" w:hAnsi="仿宋" w:eastAsia="仿宋" w:cs="仿宋_GB2312"/>
                <w:b/>
                <w:bCs/>
                <w:color w:val="000000"/>
                <w:w w:val="80"/>
                <w:sz w:val="24"/>
              </w:rPr>
              <w:t>重点保障区</w:t>
            </w: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小型阳性积水路径指数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≤0.5</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GB/T27771-2011蚊虫B级标准，要求检查每1000米路径所发现幼虫阳性积水处数的路径指数≤0.5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布雷图指数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≤5</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按中疾控〔2014〕306号执行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大中型水体取样，采样勺指数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≤3%</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GB/T27771-2011蚊虫B级标准为≤3%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大中型水体取样，平均每阳性勺蚊虫幼虫和蛹数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＜5只</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GB/T27771-2011蚊虫B级标准为＜5只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蚊虫停落指数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≤1.0</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GB/T27771-2011蚊虫B级标准为≤1.0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restart"/>
            <w:noWrap/>
            <w:vAlign w:val="center"/>
          </w:tcPr>
          <w:p>
            <w:pPr>
              <w:spacing w:after="120"/>
              <w:jc w:val="center"/>
              <w:rPr>
                <w:rFonts w:ascii="仿宋" w:hAnsi="仿宋" w:eastAsia="仿宋" w:cs="仿宋_GB2312"/>
                <w:b/>
                <w:bCs/>
                <w:color w:val="000000"/>
                <w:w w:val="80"/>
                <w:sz w:val="24"/>
              </w:rPr>
            </w:pPr>
            <w:r>
              <w:rPr>
                <w:rFonts w:hint="eastAsia" w:ascii="仿宋" w:hAnsi="仿宋" w:eastAsia="仿宋" w:cs="仿宋_GB2312"/>
                <w:b/>
                <w:bCs/>
                <w:color w:val="000000"/>
                <w:w w:val="80"/>
                <w:sz w:val="24"/>
              </w:rPr>
              <w:t>一般保障区</w:t>
            </w: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小型阳性积水路径指数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≤0.8</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GB/T27771-2011蚊虫C级标准，要求检查每1000米路径所发现幼虫阳性积水处数的路径指数≤0.8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布雷图指数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≤10</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按中疾控〔2014〕306号执行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大中型水体取样，采样勺指数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≤5%</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GB/T27771-2011蚊虫C级标准为≤5%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大中型水体取样，平均每阳性勺蚊虫幼虫和蛹数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＜8只</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GB/T27771-2011蚊虫C级标准为＜8只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蚊虫停落指数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≤1.5</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GB/T27771-2011蚊虫C级标准为≤1.5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9" w:type="dxa"/>
            <w:vMerge w:val="restart"/>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b/>
                <w:bCs/>
                <w:color w:val="000000"/>
                <w:w w:val="90"/>
                <w:sz w:val="24"/>
              </w:rPr>
              <w:t>蝇类</w:t>
            </w:r>
          </w:p>
        </w:tc>
        <w:tc>
          <w:tcPr>
            <w:tcW w:w="679" w:type="dxa"/>
            <w:vMerge w:val="restart"/>
            <w:noWrap/>
            <w:vAlign w:val="center"/>
          </w:tcPr>
          <w:p>
            <w:pPr>
              <w:spacing w:after="120"/>
              <w:jc w:val="center"/>
              <w:rPr>
                <w:rFonts w:ascii="仿宋" w:hAnsi="仿宋" w:eastAsia="仿宋" w:cs="仿宋_GB2312"/>
                <w:b/>
                <w:bCs/>
                <w:color w:val="000000"/>
                <w:w w:val="80"/>
                <w:sz w:val="24"/>
              </w:rPr>
            </w:pPr>
            <w:r>
              <w:rPr>
                <w:rFonts w:hint="eastAsia" w:ascii="仿宋" w:hAnsi="仿宋" w:eastAsia="仿宋" w:cs="仿宋_GB2312"/>
                <w:b/>
                <w:bCs/>
                <w:color w:val="000000"/>
                <w:w w:val="80"/>
                <w:sz w:val="24"/>
              </w:rPr>
              <w:t>重点保障区</w:t>
            </w: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室内有蝇房间</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≤6%</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GB/T27772-2011蝇类B级标准为≤6%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平均每阳性房间成蝇数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≤3只</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GB/T27772-2011蝇类B级标准为≤3只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室外蝇类孳生地幼虫和蛹的检出率</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≤3%</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GB/T27772-2011蝇类B级标准为≤3%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室内防蝇设施合格率</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≥97%</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GB/T27772-2011蝇类B级标准为≥97%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加工、销售直接入口食品的场所</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不得有蝇</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GB/T27772-2011蝇类标准规定不得有蝇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restart"/>
            <w:noWrap/>
            <w:vAlign w:val="center"/>
          </w:tcPr>
          <w:p>
            <w:pPr>
              <w:spacing w:after="120"/>
              <w:jc w:val="center"/>
              <w:rPr>
                <w:rFonts w:ascii="仿宋" w:hAnsi="仿宋" w:eastAsia="仿宋" w:cs="仿宋_GB2312"/>
                <w:b/>
                <w:bCs/>
                <w:color w:val="000000"/>
                <w:w w:val="80"/>
                <w:sz w:val="24"/>
              </w:rPr>
            </w:pPr>
            <w:r>
              <w:rPr>
                <w:rFonts w:hint="eastAsia" w:ascii="仿宋" w:hAnsi="仿宋" w:eastAsia="仿宋" w:cs="仿宋_GB2312"/>
                <w:b/>
                <w:bCs/>
                <w:color w:val="000000"/>
                <w:w w:val="80"/>
                <w:sz w:val="24"/>
              </w:rPr>
              <w:t>一般保障区</w:t>
            </w: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室内有蝇房间</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≤9%</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GB/T27772-2011蝇类C级标准为≤9%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平均每阳性房间成蝇数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≤3只</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GB/T27772-2011蝇类C级标准为≤3只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室外蝇类孳生地幼虫和蛹的检出率</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≤5%</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GB/T27772-2011蝇类C级标准为≤5%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室内防蝇设施合格率</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≥95%</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GB/T27772-2011蝇类C级标准为≥90%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b/>
                <w:bCs/>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加工、销售直接入口食品的场所</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不得有蝇</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GB/T27772-2011蝇类标准规定不得有蝇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restart"/>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b/>
                <w:bCs/>
                <w:color w:val="000000"/>
                <w:w w:val="90"/>
                <w:sz w:val="24"/>
              </w:rPr>
              <w:t>蟑螂</w:t>
            </w:r>
          </w:p>
        </w:tc>
        <w:tc>
          <w:tcPr>
            <w:tcW w:w="679" w:type="dxa"/>
            <w:vMerge w:val="restart"/>
            <w:noWrap/>
            <w:vAlign w:val="center"/>
          </w:tcPr>
          <w:p>
            <w:pPr>
              <w:spacing w:after="120"/>
              <w:jc w:val="center"/>
              <w:rPr>
                <w:rFonts w:ascii="仿宋" w:hAnsi="仿宋" w:eastAsia="仿宋" w:cs="仿宋_GB2312"/>
                <w:b/>
                <w:bCs/>
                <w:color w:val="000000"/>
                <w:w w:val="80"/>
                <w:sz w:val="24"/>
              </w:rPr>
            </w:pPr>
            <w:r>
              <w:rPr>
                <w:rFonts w:hint="eastAsia" w:ascii="仿宋" w:hAnsi="仿宋" w:eastAsia="仿宋" w:cs="仿宋_GB2312"/>
                <w:b/>
                <w:bCs/>
                <w:color w:val="000000"/>
                <w:w w:val="80"/>
                <w:sz w:val="24"/>
              </w:rPr>
              <w:t>重点保障区</w:t>
            </w: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室内有蟑螂成虫或若虫阳性房间</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≤3%</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GB/T27773-2011蜚蠊B级标准为≤3%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平均每阳性间（处）成若虫数小蠊只数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≤10只</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GB/T27773-2011蜚蠊B级标准为≤10只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平均每阳性间（处）成若虫数大蠊只数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≤5只</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GB/T27773-2011蜚蠊B级标准为≤5只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蟑螂卵鞘查获率</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≤2%</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GB/T27773-2011蜚蠊B级标准为≤2%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平均每阳性间（处）卵鞘数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≤4只</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GB/T27773-2011蜚蠊B级标准为≤4只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jc w:val="center"/>
              <w:rPr>
                <w:rFonts w:ascii="仿宋" w:hAnsi="仿宋" w:eastAsia="仿宋" w:cs="仿宋_GB2312"/>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蟑螂粪便、蜕皮等蟑迹的房间</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≤5%</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GB/T27773-2011蜚蠊B级标准为≤5%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restart"/>
            <w:noWrap/>
            <w:vAlign w:val="center"/>
          </w:tcPr>
          <w:p>
            <w:pPr>
              <w:spacing w:after="120"/>
              <w:jc w:val="center"/>
              <w:rPr>
                <w:rFonts w:ascii="仿宋" w:hAnsi="仿宋" w:eastAsia="仿宋" w:cs="仿宋_GB2312"/>
                <w:color w:val="000000"/>
                <w:w w:val="80"/>
                <w:sz w:val="24"/>
              </w:rPr>
            </w:pPr>
            <w:r>
              <w:rPr>
                <w:rFonts w:hint="eastAsia" w:ascii="仿宋" w:hAnsi="仿宋" w:eastAsia="仿宋" w:cs="仿宋_GB2312"/>
                <w:b/>
                <w:bCs/>
                <w:color w:val="000000"/>
                <w:w w:val="80"/>
                <w:sz w:val="24"/>
              </w:rPr>
              <w:t>一般保障区</w:t>
            </w: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室内有蟑螂成虫或若虫阳性房间</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≤5%</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GB/T27773-2011蜚蠊C级标准为≤5%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rPr>
                <w:rFonts w:ascii="仿宋" w:hAnsi="仿宋" w:eastAsia="仿宋" w:cs="仿宋_GB2312"/>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平均每阳性间（处）成若虫数小蠊只数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≤10只</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GB/T27773-2011蜚蠊C级标准为≤10只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rPr>
                <w:rFonts w:ascii="仿宋" w:hAnsi="仿宋" w:eastAsia="仿宋" w:cs="仿宋_GB2312"/>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平均每阳性间（处）成若虫数大蠊只数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≤5只</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GB/T27773-2011蜚蠊C级标准为≤5只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rPr>
                <w:rFonts w:ascii="仿宋" w:hAnsi="仿宋" w:eastAsia="仿宋" w:cs="仿宋_GB2312"/>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蟑螂卵鞘查获率</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≤3%</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GB/T27773-2011蜚蠊C级标准为≤3%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rPr>
                <w:rFonts w:ascii="仿宋" w:hAnsi="仿宋" w:eastAsia="仿宋" w:cs="仿宋_GB2312"/>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平均每阳性间（处）卵鞘数</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≤8只</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GB/T27773-2011蜚蠊C级标准为≤8只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Merge w:val="continue"/>
            <w:noWrap/>
            <w:vAlign w:val="center"/>
          </w:tcPr>
          <w:p>
            <w:pPr>
              <w:spacing w:after="120"/>
              <w:rPr>
                <w:rFonts w:ascii="仿宋" w:hAnsi="仿宋" w:eastAsia="仿宋" w:cs="仿宋_GB2312"/>
                <w:color w:val="000000"/>
                <w:w w:val="90"/>
                <w:sz w:val="24"/>
              </w:rPr>
            </w:pPr>
          </w:p>
        </w:tc>
        <w:tc>
          <w:tcPr>
            <w:tcW w:w="679" w:type="dxa"/>
            <w:vMerge w:val="continue"/>
            <w:noWrap/>
            <w:vAlign w:val="center"/>
          </w:tcPr>
          <w:p>
            <w:pPr>
              <w:spacing w:after="120"/>
              <w:rPr>
                <w:rFonts w:ascii="仿宋" w:hAnsi="仿宋" w:eastAsia="仿宋" w:cs="仿宋_GB2312"/>
                <w:color w:val="000000"/>
                <w:w w:val="80"/>
                <w:sz w:val="24"/>
              </w:rPr>
            </w:pPr>
          </w:p>
        </w:tc>
        <w:tc>
          <w:tcPr>
            <w:tcW w:w="2440" w:type="dxa"/>
            <w:noWrap/>
            <w:vAlign w:val="center"/>
          </w:tcPr>
          <w:p>
            <w:pPr>
              <w:spacing w:after="120"/>
              <w:rPr>
                <w:rFonts w:ascii="仿宋" w:hAnsi="仿宋" w:eastAsia="仿宋" w:cs="仿宋_GB2312"/>
                <w:color w:val="000000"/>
                <w:w w:val="80"/>
                <w:sz w:val="24"/>
              </w:rPr>
            </w:pPr>
            <w:r>
              <w:rPr>
                <w:rFonts w:hint="eastAsia" w:ascii="仿宋" w:hAnsi="仿宋" w:eastAsia="仿宋" w:cs="仿宋_GB2312"/>
                <w:color w:val="000000"/>
                <w:w w:val="80"/>
                <w:sz w:val="24"/>
              </w:rPr>
              <w:t>蟑螂粪便、蜕皮等蟑迹的房间</w:t>
            </w:r>
          </w:p>
        </w:tc>
        <w:tc>
          <w:tcPr>
            <w:tcW w:w="1087" w:type="dxa"/>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90"/>
                <w:sz w:val="24"/>
              </w:rPr>
              <w:t>≤7%</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GB/T27773-2011蜚蠊C级标准为≤7%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b/>
                <w:bCs/>
                <w:color w:val="000000"/>
                <w:w w:val="90"/>
                <w:sz w:val="24"/>
              </w:rPr>
              <w:t>常见叮咬卫生害虫</w:t>
            </w:r>
          </w:p>
        </w:tc>
        <w:tc>
          <w:tcPr>
            <w:tcW w:w="679" w:type="dxa"/>
            <w:noWrap/>
            <w:vAlign w:val="center"/>
          </w:tcPr>
          <w:p>
            <w:pPr>
              <w:spacing w:after="120"/>
              <w:jc w:val="center"/>
              <w:rPr>
                <w:rFonts w:ascii="仿宋" w:hAnsi="仿宋" w:eastAsia="仿宋" w:cs="仿宋_GB2312"/>
                <w:color w:val="000000"/>
                <w:w w:val="80"/>
                <w:sz w:val="24"/>
              </w:rPr>
            </w:pPr>
            <w:r>
              <w:rPr>
                <w:rFonts w:hint="eastAsia" w:ascii="仿宋" w:hAnsi="仿宋" w:eastAsia="仿宋" w:cs="仿宋_GB2312"/>
                <w:b/>
                <w:bCs/>
                <w:color w:val="000000"/>
                <w:w w:val="80"/>
                <w:sz w:val="24"/>
              </w:rPr>
              <w:t>防控区内</w:t>
            </w:r>
          </w:p>
        </w:tc>
        <w:tc>
          <w:tcPr>
            <w:tcW w:w="3527" w:type="dxa"/>
            <w:gridSpan w:val="2"/>
            <w:noWrap/>
            <w:vAlign w:val="center"/>
          </w:tcPr>
          <w:p>
            <w:pPr>
              <w:spacing w:after="120"/>
              <w:jc w:val="center"/>
              <w:rPr>
                <w:rFonts w:ascii="仿宋" w:hAnsi="仿宋" w:eastAsia="仿宋" w:cs="仿宋_GB2312"/>
                <w:color w:val="000000"/>
                <w:w w:val="90"/>
                <w:sz w:val="24"/>
              </w:rPr>
            </w:pPr>
            <w:r>
              <w:rPr>
                <w:rFonts w:hint="eastAsia" w:ascii="仿宋" w:hAnsi="仿宋" w:eastAsia="仿宋" w:cs="仿宋_GB2312"/>
                <w:color w:val="000000"/>
                <w:w w:val="80"/>
                <w:sz w:val="24"/>
              </w:rPr>
              <w:t>人诱叮咬试验不发生叮咬</w:t>
            </w:r>
          </w:p>
        </w:tc>
        <w:tc>
          <w:tcPr>
            <w:tcW w:w="3828" w:type="dxa"/>
            <w:noWrap/>
            <w:vAlign w:val="center"/>
          </w:tcPr>
          <w:p>
            <w:pPr>
              <w:spacing w:after="120"/>
              <w:rPr>
                <w:rFonts w:ascii="仿宋" w:hAnsi="仿宋" w:eastAsia="仿宋" w:cs="仿宋_GB2312"/>
                <w:color w:val="000000"/>
                <w:w w:val="90"/>
                <w:sz w:val="24"/>
              </w:rPr>
            </w:pPr>
            <w:r>
              <w:rPr>
                <w:rFonts w:hint="eastAsia" w:ascii="仿宋" w:hAnsi="仿宋" w:eastAsia="仿宋" w:cs="仿宋_GB2312"/>
                <w:color w:val="000000"/>
                <w:w w:val="90"/>
                <w:sz w:val="24"/>
              </w:rPr>
              <w:t>重点保障区和一般保障区蚊虫叮咬分别达到（GB/T27771-2011）国家控制水平标准B级和</w:t>
            </w:r>
            <w:r>
              <w:rPr>
                <w:rFonts w:ascii="仿宋" w:hAnsi="仿宋" w:eastAsia="仿宋" w:cs="仿宋_GB2312"/>
                <w:color w:val="000000"/>
                <w:w w:val="90"/>
                <w:sz w:val="24"/>
              </w:rPr>
              <w:t>C</w:t>
            </w:r>
            <w:r>
              <w:rPr>
                <w:rFonts w:hint="eastAsia" w:ascii="仿宋" w:hAnsi="仿宋" w:eastAsia="仿宋" w:cs="仿宋_GB2312"/>
                <w:color w:val="000000"/>
                <w:w w:val="90"/>
                <w:sz w:val="24"/>
              </w:rPr>
              <w:t>级。</w:t>
            </w:r>
          </w:p>
        </w:tc>
      </w:tr>
    </w:tbl>
    <w:p>
      <w:pPr>
        <w:jc w:val="left"/>
        <w:rPr>
          <w:rFonts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、除“四害”要求</w:t>
      </w:r>
    </w:p>
    <w:p>
      <w:pPr>
        <w:jc w:val="left"/>
        <w:rPr>
          <w:rFonts w:ascii="仿宋" w:hAnsi="仿宋" w:eastAsia="仿宋"/>
          <w:bCs/>
          <w:color w:val="000000"/>
          <w:sz w:val="24"/>
        </w:rPr>
      </w:pPr>
      <w:r>
        <w:rPr>
          <w:rFonts w:hint="eastAsia" w:ascii="仿宋" w:hAnsi="仿宋" w:eastAsia="仿宋"/>
          <w:bCs/>
          <w:color w:val="000000"/>
          <w:sz w:val="24"/>
        </w:rPr>
        <w:t>①灭鼠：每10天普投药物一次，投放要求为少量多堆，标准为每5米至10米放一堆药物，每堆50克至100克，每3天补投药一次，达到饱和；每15平方米设毒鼠站2个。</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②灭蚊：有积水处可清理的要及时清理，不能清理的每周投放药物一次。</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③灭蝇：所有孳生蝇类的地点（含垃圾池等地）每周投放药物一次，成蝇及时消杀，检查时一视野内不得超过3个成蝇；</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④灭蟑螂：所有沙井、电缆沟等地每月喷杀一次，检查时小蠊不超过10只，大蠊不超过5只。</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⑤常见叮咬卫生害虫防制：</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1）蠓（小咬）花卉、绿地孳生地控制，杀虫次数按实际需要制定。</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2）染蚤区即时大范围喷杀卫生杀虫剂，杀虫次数按实际需要制定。</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3）蜱虫分布区大范围喷杀卫生杀虫剂，杀虫次数按实际需要制定。</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4）蜘蛛分布区大范围喷杀卫生杀虫剂，杀虫次数按实际需要制定。</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5）蜂防控区内无野生蜂窝。</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备注：供应商应当严格执行成都市人民政府发布的《成都市除四害管理办法》，建立规章制度，做好调查、处理、检查、监测工作并做好记录，归档备查。</w:t>
      </w:r>
    </w:p>
    <w:p>
      <w:pPr>
        <w:jc w:val="left"/>
        <w:rPr>
          <w:rFonts w:ascii="仿宋" w:hAnsi="仿宋" w:eastAsia="仿宋"/>
          <w:b/>
          <w:color w:val="000000"/>
          <w:sz w:val="24"/>
        </w:rPr>
      </w:pPr>
      <w:r>
        <w:rPr>
          <w:rFonts w:hint="eastAsia" w:ascii="仿宋" w:hAnsi="仿宋" w:eastAsia="仿宋"/>
          <w:b/>
          <w:color w:val="000000"/>
          <w:sz w:val="24"/>
        </w:rPr>
        <w:t>▲</w:t>
      </w:r>
      <w:r>
        <w:rPr>
          <w:rFonts w:ascii="仿宋" w:hAnsi="仿宋" w:eastAsia="仿宋"/>
          <w:b/>
          <w:color w:val="000000"/>
          <w:sz w:val="24"/>
        </w:rPr>
        <w:t>5</w:t>
      </w:r>
      <w:r>
        <w:rPr>
          <w:rFonts w:hint="eastAsia" w:ascii="仿宋" w:hAnsi="仿宋" w:eastAsia="仿宋"/>
          <w:b/>
          <w:color w:val="000000"/>
          <w:sz w:val="24"/>
        </w:rPr>
        <w:t>、作业安全要求（提供承诺函）</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供应商应注意道路作业安全、用药安全、机械操作安全；药物及器械的使用需符合《第31届世界大学生夏季运动会双流赛区病媒生物控制药械推介目录》（详见附件一）和《第31届世界大学生夏季运动会双流赛区病媒生物控制药物器械安全使用准则》（详见附件二）的有关规定。如违规使用不符合要求的药物或不按规定操作药物器械的，因此引发的安全事故，由供应商承担全部责任。</w:t>
      </w:r>
    </w:p>
    <w:p>
      <w:pPr>
        <w:ind w:firstLine="480" w:firstLineChars="200"/>
        <w:jc w:val="left"/>
        <w:rPr>
          <w:rFonts w:ascii="仿宋" w:hAnsi="仿宋" w:eastAsia="仿宋"/>
          <w:bCs/>
          <w:color w:val="000000"/>
          <w:sz w:val="24"/>
        </w:rPr>
      </w:pPr>
      <w:r>
        <w:rPr>
          <w:rFonts w:hint="eastAsia" w:ascii="仿宋" w:hAnsi="仿宋" w:eastAsia="仿宋"/>
          <w:bCs/>
          <w:color w:val="000000"/>
          <w:sz w:val="24"/>
        </w:rPr>
        <w:t>备注：供应商需在响应文件中列明针对本项目所提供杀鼠剂以及杀虫剂的生产厂家、品牌型号、有效成分、类型、剂型、使用浓度、使用方法、特点。</w:t>
      </w:r>
    </w:p>
    <w:p>
      <w:pPr>
        <w:rPr>
          <w:rFonts w:ascii="仿宋" w:hAnsi="仿宋" w:eastAsia="仿宋"/>
          <w:bCs/>
          <w:color w:val="000000"/>
          <w:sz w:val="24"/>
        </w:rPr>
      </w:pPr>
      <w:r>
        <w:rPr>
          <w:rFonts w:hint="eastAsia" w:ascii="仿宋" w:hAnsi="仿宋" w:eastAsia="仿宋"/>
          <w:bCs/>
          <w:color w:val="000000"/>
          <w:sz w:val="24"/>
        </w:rPr>
        <w:t>附件一：（此附件不需要在响应文件中响应）</w:t>
      </w:r>
    </w:p>
    <w:p>
      <w:pPr>
        <w:jc w:val="center"/>
        <w:rPr>
          <w:rFonts w:ascii="仿宋" w:hAnsi="仿宋" w:eastAsia="仿宋"/>
          <w:b/>
          <w:bCs/>
          <w:color w:val="000000"/>
          <w:sz w:val="24"/>
        </w:rPr>
      </w:pPr>
      <w:r>
        <w:rPr>
          <w:rFonts w:hint="eastAsia" w:ascii="仿宋" w:hAnsi="仿宋" w:eastAsia="仿宋"/>
          <w:b/>
          <w:bCs/>
          <w:color w:val="000000"/>
          <w:sz w:val="24"/>
        </w:rPr>
        <w:t>第31届世界大学生夏季运动会双流赛区</w:t>
      </w:r>
    </w:p>
    <w:p>
      <w:pPr>
        <w:spacing w:after="120"/>
        <w:jc w:val="center"/>
        <w:rPr>
          <w:rFonts w:ascii="仿宋" w:hAnsi="仿宋" w:eastAsia="仿宋"/>
          <w:b/>
          <w:bCs/>
          <w:color w:val="000000"/>
          <w:sz w:val="24"/>
        </w:rPr>
      </w:pPr>
      <w:r>
        <w:rPr>
          <w:rFonts w:hint="eastAsia" w:ascii="仿宋" w:hAnsi="仿宋" w:eastAsia="仿宋"/>
          <w:b/>
          <w:bCs/>
          <w:color w:val="000000"/>
          <w:sz w:val="24"/>
        </w:rPr>
        <w:t>病媒生物控制药械推介目录</w:t>
      </w:r>
    </w:p>
    <w:p>
      <w:pPr>
        <w:ind w:firstLine="480" w:firstLineChars="200"/>
        <w:rPr>
          <w:rFonts w:ascii="仿宋" w:hAnsi="仿宋" w:eastAsia="仿宋" w:cs="仿宋_GB2312"/>
          <w:color w:val="000000"/>
          <w:sz w:val="24"/>
        </w:rPr>
      </w:pPr>
      <w:r>
        <w:rPr>
          <w:rFonts w:hint="eastAsia" w:ascii="仿宋" w:hAnsi="仿宋" w:eastAsia="仿宋" w:cs="仿宋_GB2312"/>
          <w:color w:val="000000"/>
          <w:sz w:val="24"/>
        </w:rPr>
        <w:t>根据《第31届世界大学生夏季运动会病媒生物控制药物器械安全使用准则》的要求，经成都市大运会执委会医疗部病媒生物控制技术指导专家组专家审议，下列产品列入大运会场馆重点区及其周边一公里保障区病媒生物控制药物推荐使用名录。</w:t>
      </w:r>
    </w:p>
    <w:p>
      <w:pPr>
        <w:jc w:val="center"/>
        <w:rPr>
          <w:rFonts w:ascii="仿宋" w:hAnsi="仿宋" w:eastAsia="仿宋" w:cs="方正楷体_GBK"/>
          <w:color w:val="000000"/>
          <w:sz w:val="24"/>
        </w:rPr>
      </w:pPr>
      <w:r>
        <w:rPr>
          <w:rFonts w:hint="eastAsia" w:ascii="仿宋" w:hAnsi="仿宋" w:eastAsia="仿宋" w:cs="方正楷体_GBK"/>
          <w:color w:val="000000"/>
          <w:sz w:val="24"/>
        </w:rPr>
        <w:t>表1  适用于灭鼠的杀鼠剂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420"/>
        <w:gridCol w:w="1620"/>
        <w:gridCol w:w="817"/>
        <w:gridCol w:w="1570"/>
        <w:gridCol w:w="1108"/>
        <w:gridCol w:w="66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序号</w:t>
            </w:r>
          </w:p>
        </w:tc>
        <w:tc>
          <w:tcPr>
            <w:tcW w:w="749"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有效成份</w:t>
            </w:r>
          </w:p>
        </w:tc>
        <w:tc>
          <w:tcPr>
            <w:tcW w:w="966"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类型</w:t>
            </w:r>
          </w:p>
        </w:tc>
        <w:tc>
          <w:tcPr>
            <w:tcW w:w="468"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剂型</w:t>
            </w:r>
          </w:p>
        </w:tc>
        <w:tc>
          <w:tcPr>
            <w:tcW w:w="923"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使用浓度</w:t>
            </w:r>
          </w:p>
        </w:tc>
        <w:tc>
          <w:tcPr>
            <w:tcW w:w="660"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使用方法</w:t>
            </w:r>
          </w:p>
        </w:tc>
        <w:tc>
          <w:tcPr>
            <w:tcW w:w="437"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特点</w:t>
            </w:r>
          </w:p>
        </w:tc>
        <w:tc>
          <w:tcPr>
            <w:tcW w:w="387"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w:t>
            </w:r>
          </w:p>
        </w:tc>
        <w:tc>
          <w:tcPr>
            <w:tcW w:w="74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杀鼠醚</w:t>
            </w:r>
          </w:p>
        </w:tc>
        <w:tc>
          <w:tcPr>
            <w:tcW w:w="96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第一代抗凝血剂</w:t>
            </w:r>
          </w:p>
        </w:tc>
        <w:tc>
          <w:tcPr>
            <w:tcW w:w="46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粉剂</w:t>
            </w:r>
          </w:p>
        </w:tc>
        <w:tc>
          <w:tcPr>
            <w:tcW w:w="92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0.038%</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0.75%</w:t>
            </w:r>
          </w:p>
        </w:tc>
        <w:tc>
          <w:tcPr>
            <w:tcW w:w="660"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投饵</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堆施</w:t>
            </w:r>
          </w:p>
        </w:tc>
        <w:tc>
          <w:tcPr>
            <w:tcW w:w="43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387"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2</w:t>
            </w:r>
          </w:p>
        </w:tc>
        <w:tc>
          <w:tcPr>
            <w:tcW w:w="74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敌鼠钠盐</w:t>
            </w:r>
          </w:p>
        </w:tc>
        <w:tc>
          <w:tcPr>
            <w:tcW w:w="96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第一代抗凝血剂</w:t>
            </w:r>
          </w:p>
        </w:tc>
        <w:tc>
          <w:tcPr>
            <w:tcW w:w="46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92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0.05%</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0.1%</w:t>
            </w:r>
          </w:p>
        </w:tc>
        <w:tc>
          <w:tcPr>
            <w:tcW w:w="660"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投饵</w:t>
            </w:r>
          </w:p>
        </w:tc>
        <w:tc>
          <w:tcPr>
            <w:tcW w:w="43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387"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3</w:t>
            </w:r>
          </w:p>
        </w:tc>
        <w:tc>
          <w:tcPr>
            <w:tcW w:w="74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溴敌隆</w:t>
            </w:r>
          </w:p>
        </w:tc>
        <w:tc>
          <w:tcPr>
            <w:tcW w:w="96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第二代抗凝血剂</w:t>
            </w:r>
          </w:p>
        </w:tc>
        <w:tc>
          <w:tcPr>
            <w:tcW w:w="46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92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0.005%</w:t>
            </w:r>
          </w:p>
        </w:tc>
        <w:tc>
          <w:tcPr>
            <w:tcW w:w="660"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投饵</w:t>
            </w:r>
          </w:p>
        </w:tc>
        <w:tc>
          <w:tcPr>
            <w:tcW w:w="43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387"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4</w:t>
            </w:r>
          </w:p>
        </w:tc>
        <w:tc>
          <w:tcPr>
            <w:tcW w:w="74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氟鼠灵</w:t>
            </w:r>
          </w:p>
        </w:tc>
        <w:tc>
          <w:tcPr>
            <w:tcW w:w="96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第二代抗凝血剂</w:t>
            </w:r>
          </w:p>
        </w:tc>
        <w:tc>
          <w:tcPr>
            <w:tcW w:w="46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92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0.005%</w:t>
            </w:r>
          </w:p>
        </w:tc>
        <w:tc>
          <w:tcPr>
            <w:tcW w:w="660"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投饵</w:t>
            </w:r>
          </w:p>
        </w:tc>
        <w:tc>
          <w:tcPr>
            <w:tcW w:w="43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387"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5</w:t>
            </w:r>
          </w:p>
        </w:tc>
        <w:tc>
          <w:tcPr>
            <w:tcW w:w="74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胆钙化醇</w:t>
            </w:r>
          </w:p>
        </w:tc>
        <w:tc>
          <w:tcPr>
            <w:tcW w:w="966" w:type="pct"/>
            <w:noWrap/>
            <w:vAlign w:val="center"/>
          </w:tcPr>
          <w:p>
            <w:pPr>
              <w:widowControl/>
              <w:rPr>
                <w:rFonts w:ascii="仿宋" w:hAnsi="仿宋" w:eastAsia="仿宋" w:cs="仿宋_GB2312"/>
                <w:color w:val="000000"/>
                <w:w w:val="90"/>
                <w:kern w:val="0"/>
                <w:sz w:val="24"/>
              </w:rPr>
            </w:pPr>
          </w:p>
        </w:tc>
        <w:tc>
          <w:tcPr>
            <w:tcW w:w="46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923" w:type="pct"/>
            <w:noWrap/>
            <w:vAlign w:val="center"/>
          </w:tcPr>
          <w:p>
            <w:pPr>
              <w:widowControl/>
              <w:rPr>
                <w:rFonts w:ascii="仿宋" w:hAnsi="仿宋" w:eastAsia="仿宋" w:cs="仿宋_GB2312"/>
                <w:color w:val="000000"/>
                <w:w w:val="90"/>
                <w:kern w:val="0"/>
                <w:sz w:val="24"/>
              </w:rPr>
            </w:pPr>
          </w:p>
        </w:tc>
        <w:tc>
          <w:tcPr>
            <w:tcW w:w="660"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投饵</w:t>
            </w:r>
          </w:p>
        </w:tc>
        <w:tc>
          <w:tcPr>
            <w:tcW w:w="43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tc>
        <w:tc>
          <w:tcPr>
            <w:tcW w:w="387"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6</w:t>
            </w:r>
          </w:p>
        </w:tc>
        <w:tc>
          <w:tcPr>
            <w:tcW w:w="74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雷公藤甲素</w:t>
            </w:r>
          </w:p>
        </w:tc>
        <w:tc>
          <w:tcPr>
            <w:tcW w:w="966" w:type="pct"/>
            <w:noWrap/>
            <w:vAlign w:val="center"/>
          </w:tcPr>
          <w:p>
            <w:pPr>
              <w:widowControl/>
              <w:rPr>
                <w:rFonts w:ascii="仿宋" w:hAnsi="仿宋" w:eastAsia="仿宋" w:cs="仿宋_GB2312"/>
                <w:color w:val="000000"/>
                <w:w w:val="90"/>
                <w:kern w:val="0"/>
                <w:sz w:val="24"/>
              </w:rPr>
            </w:pPr>
          </w:p>
        </w:tc>
        <w:tc>
          <w:tcPr>
            <w:tcW w:w="46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颗粒剂</w:t>
            </w:r>
          </w:p>
        </w:tc>
        <w:tc>
          <w:tcPr>
            <w:tcW w:w="92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0.25毫克/千克</w:t>
            </w:r>
          </w:p>
        </w:tc>
        <w:tc>
          <w:tcPr>
            <w:tcW w:w="660"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投饵</w:t>
            </w:r>
          </w:p>
        </w:tc>
        <w:tc>
          <w:tcPr>
            <w:tcW w:w="43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tc>
        <w:tc>
          <w:tcPr>
            <w:tcW w:w="387"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7</w:t>
            </w:r>
          </w:p>
        </w:tc>
        <w:tc>
          <w:tcPr>
            <w:tcW w:w="74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地芬·硫酸钡</w:t>
            </w:r>
          </w:p>
        </w:tc>
        <w:tc>
          <w:tcPr>
            <w:tcW w:w="96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肠梗阻剂</w:t>
            </w:r>
          </w:p>
        </w:tc>
        <w:tc>
          <w:tcPr>
            <w:tcW w:w="46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92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20.02%</w:t>
            </w:r>
          </w:p>
        </w:tc>
        <w:tc>
          <w:tcPr>
            <w:tcW w:w="660"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投饵</w:t>
            </w:r>
          </w:p>
        </w:tc>
        <w:tc>
          <w:tcPr>
            <w:tcW w:w="43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387"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8</w:t>
            </w:r>
          </w:p>
        </w:tc>
        <w:tc>
          <w:tcPr>
            <w:tcW w:w="74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α-氯代醇</w:t>
            </w:r>
          </w:p>
        </w:tc>
        <w:tc>
          <w:tcPr>
            <w:tcW w:w="966" w:type="pct"/>
            <w:noWrap/>
            <w:vAlign w:val="center"/>
          </w:tcPr>
          <w:p>
            <w:pPr>
              <w:widowControl/>
              <w:rPr>
                <w:rFonts w:ascii="仿宋" w:hAnsi="仿宋" w:eastAsia="仿宋" w:cs="仿宋_GB2312"/>
                <w:color w:val="000000"/>
                <w:w w:val="90"/>
                <w:kern w:val="0"/>
                <w:sz w:val="24"/>
              </w:rPr>
            </w:pPr>
          </w:p>
        </w:tc>
        <w:tc>
          <w:tcPr>
            <w:tcW w:w="46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92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w:t>
            </w:r>
          </w:p>
        </w:tc>
        <w:tc>
          <w:tcPr>
            <w:tcW w:w="660"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投饵</w:t>
            </w:r>
          </w:p>
        </w:tc>
        <w:tc>
          <w:tcPr>
            <w:tcW w:w="43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387"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9</w:t>
            </w:r>
          </w:p>
        </w:tc>
        <w:tc>
          <w:tcPr>
            <w:tcW w:w="74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莪术醇</w:t>
            </w:r>
          </w:p>
        </w:tc>
        <w:tc>
          <w:tcPr>
            <w:tcW w:w="966" w:type="pct"/>
            <w:noWrap/>
            <w:vAlign w:val="center"/>
          </w:tcPr>
          <w:p>
            <w:pPr>
              <w:widowControl/>
              <w:rPr>
                <w:rFonts w:ascii="仿宋" w:hAnsi="仿宋" w:eastAsia="仿宋" w:cs="仿宋_GB2312"/>
                <w:color w:val="000000"/>
                <w:w w:val="90"/>
                <w:kern w:val="0"/>
                <w:sz w:val="24"/>
              </w:rPr>
            </w:pPr>
          </w:p>
        </w:tc>
        <w:tc>
          <w:tcPr>
            <w:tcW w:w="46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92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0.2%</w:t>
            </w:r>
          </w:p>
        </w:tc>
        <w:tc>
          <w:tcPr>
            <w:tcW w:w="660"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投饵</w:t>
            </w:r>
          </w:p>
        </w:tc>
        <w:tc>
          <w:tcPr>
            <w:tcW w:w="43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387" w:type="pct"/>
            <w:noWrap/>
            <w:vAlign w:val="center"/>
          </w:tcPr>
          <w:p>
            <w:pPr>
              <w:widowControl/>
              <w:rPr>
                <w:rFonts w:ascii="仿宋" w:hAnsi="仿宋" w:eastAsia="仿宋" w:cs="仿宋_GB2312"/>
                <w:color w:val="000000"/>
                <w:w w:val="90"/>
                <w:kern w:val="0"/>
                <w:sz w:val="24"/>
              </w:rPr>
            </w:pPr>
          </w:p>
        </w:tc>
      </w:tr>
    </w:tbl>
    <w:p>
      <w:pPr>
        <w:jc w:val="center"/>
        <w:rPr>
          <w:rFonts w:ascii="仿宋" w:hAnsi="仿宋" w:eastAsia="仿宋" w:cs="方正楷体_GBK"/>
          <w:color w:val="000000"/>
          <w:sz w:val="24"/>
        </w:rPr>
      </w:pPr>
      <w:r>
        <w:rPr>
          <w:rFonts w:hint="eastAsia" w:ascii="仿宋" w:hAnsi="仿宋" w:eastAsia="仿宋" w:cs="方正楷体_GBK"/>
          <w:color w:val="000000"/>
          <w:sz w:val="24"/>
        </w:rPr>
        <w:t>表2  适用于防制蚊蚴的卫生杀虫剂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2094"/>
        <w:gridCol w:w="1311"/>
        <w:gridCol w:w="999"/>
        <w:gridCol w:w="1156"/>
        <w:gridCol w:w="912"/>
        <w:gridCol w:w="56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序号</w:t>
            </w:r>
          </w:p>
        </w:tc>
        <w:tc>
          <w:tcPr>
            <w:tcW w:w="838"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有效成份</w:t>
            </w:r>
          </w:p>
        </w:tc>
        <w:tc>
          <w:tcPr>
            <w:tcW w:w="595"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类型</w:t>
            </w:r>
          </w:p>
        </w:tc>
        <w:tc>
          <w:tcPr>
            <w:tcW w:w="667"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剂型</w:t>
            </w:r>
          </w:p>
        </w:tc>
        <w:tc>
          <w:tcPr>
            <w:tcW w:w="809"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使用浓度</w:t>
            </w:r>
          </w:p>
        </w:tc>
        <w:tc>
          <w:tcPr>
            <w:tcW w:w="646"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使用方法</w:t>
            </w:r>
          </w:p>
        </w:tc>
        <w:tc>
          <w:tcPr>
            <w:tcW w:w="405"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特点</w:t>
            </w:r>
          </w:p>
        </w:tc>
        <w:tc>
          <w:tcPr>
            <w:tcW w:w="667"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7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w:t>
            </w:r>
          </w:p>
        </w:tc>
        <w:tc>
          <w:tcPr>
            <w:tcW w:w="83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倍硫磷</w:t>
            </w:r>
          </w:p>
        </w:tc>
        <w:tc>
          <w:tcPr>
            <w:tcW w:w="59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有机磷</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颗粒剂</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乳油</w:t>
            </w:r>
          </w:p>
        </w:tc>
        <w:tc>
          <w:tcPr>
            <w:tcW w:w="8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5%</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50%</w:t>
            </w:r>
          </w:p>
        </w:tc>
        <w:tc>
          <w:tcPr>
            <w:tcW w:w="64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撒施</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喷洒</w:t>
            </w:r>
          </w:p>
        </w:tc>
        <w:tc>
          <w:tcPr>
            <w:tcW w:w="40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15g/㎡</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2</w:t>
            </w:r>
          </w:p>
        </w:tc>
        <w:tc>
          <w:tcPr>
            <w:tcW w:w="83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苏云金杆菌</w:t>
            </w:r>
          </w:p>
        </w:tc>
        <w:tc>
          <w:tcPr>
            <w:tcW w:w="59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生物农药</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颗粒剂</w:t>
            </w:r>
          </w:p>
        </w:tc>
        <w:tc>
          <w:tcPr>
            <w:tcW w:w="8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200ITU/毫克</w:t>
            </w:r>
          </w:p>
        </w:tc>
        <w:tc>
          <w:tcPr>
            <w:tcW w:w="64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投放</w:t>
            </w:r>
          </w:p>
        </w:tc>
        <w:tc>
          <w:tcPr>
            <w:tcW w:w="40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tc>
        <w:tc>
          <w:tcPr>
            <w:tcW w:w="667"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3</w:t>
            </w:r>
          </w:p>
        </w:tc>
        <w:tc>
          <w:tcPr>
            <w:tcW w:w="83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苏云金杆菌（以色列亚种）</w:t>
            </w:r>
          </w:p>
        </w:tc>
        <w:tc>
          <w:tcPr>
            <w:tcW w:w="59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生物农药</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颗粒剂</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悬浮剂</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可湿性粉剂</w:t>
            </w:r>
          </w:p>
        </w:tc>
        <w:tc>
          <w:tcPr>
            <w:tcW w:w="8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400ITU/毫克</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600ITU/毫克</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1200ITU/毫克</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1600ITU/毫克</w:t>
            </w:r>
          </w:p>
        </w:tc>
        <w:tc>
          <w:tcPr>
            <w:tcW w:w="64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投放</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喷洒</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喷洒</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喷洒</w:t>
            </w:r>
          </w:p>
        </w:tc>
        <w:tc>
          <w:tcPr>
            <w:tcW w:w="40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2g/㎡</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2-5ml/㎡</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1-2g/㎡</w:t>
            </w:r>
          </w:p>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4</w:t>
            </w:r>
          </w:p>
        </w:tc>
        <w:tc>
          <w:tcPr>
            <w:tcW w:w="83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吡丙醚</w:t>
            </w:r>
          </w:p>
        </w:tc>
        <w:tc>
          <w:tcPr>
            <w:tcW w:w="59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昆虫生长</w:t>
            </w:r>
          </w:p>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调节剂</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颗粒剂</w:t>
            </w:r>
          </w:p>
        </w:tc>
        <w:tc>
          <w:tcPr>
            <w:tcW w:w="8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0.5%</w:t>
            </w:r>
          </w:p>
        </w:tc>
        <w:tc>
          <w:tcPr>
            <w:tcW w:w="64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撒施</w:t>
            </w:r>
          </w:p>
        </w:tc>
        <w:tc>
          <w:tcPr>
            <w:tcW w:w="40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20mg/㎡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5</w:t>
            </w:r>
          </w:p>
        </w:tc>
        <w:tc>
          <w:tcPr>
            <w:tcW w:w="83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醚菊酯</w:t>
            </w:r>
          </w:p>
        </w:tc>
        <w:tc>
          <w:tcPr>
            <w:tcW w:w="59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菊酯类</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颗粒剂</w:t>
            </w:r>
          </w:p>
        </w:tc>
        <w:tc>
          <w:tcPr>
            <w:tcW w:w="8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1.5%</w:t>
            </w:r>
          </w:p>
        </w:tc>
        <w:tc>
          <w:tcPr>
            <w:tcW w:w="64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撒施</w:t>
            </w:r>
          </w:p>
        </w:tc>
        <w:tc>
          <w:tcPr>
            <w:tcW w:w="40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15-20g/㎡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6</w:t>
            </w:r>
          </w:p>
        </w:tc>
        <w:tc>
          <w:tcPr>
            <w:tcW w:w="838"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S-烯虫酯</w:t>
            </w:r>
          </w:p>
        </w:tc>
        <w:tc>
          <w:tcPr>
            <w:tcW w:w="59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昆虫生长调节剂</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悬浮剂</w:t>
            </w:r>
          </w:p>
        </w:tc>
        <w:tc>
          <w:tcPr>
            <w:tcW w:w="809"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20%</w:t>
            </w:r>
          </w:p>
        </w:tc>
        <w:tc>
          <w:tcPr>
            <w:tcW w:w="64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喷洒</w:t>
            </w:r>
          </w:p>
        </w:tc>
        <w:tc>
          <w:tcPr>
            <w:tcW w:w="405"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6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0.1g/㎡</w:t>
            </w:r>
          </w:p>
        </w:tc>
      </w:tr>
    </w:tbl>
    <w:p>
      <w:pPr>
        <w:jc w:val="center"/>
        <w:rPr>
          <w:rFonts w:ascii="仿宋" w:hAnsi="仿宋" w:eastAsia="仿宋" w:cs="方正楷体_GBK"/>
          <w:color w:val="000000"/>
          <w:sz w:val="24"/>
        </w:rPr>
      </w:pPr>
      <w:r>
        <w:rPr>
          <w:rFonts w:hint="eastAsia" w:ascii="仿宋" w:hAnsi="仿宋" w:eastAsia="仿宋" w:cs="方正楷体_GBK"/>
          <w:color w:val="000000"/>
          <w:sz w:val="24"/>
        </w:rPr>
        <w:t>表3  适用于防制蝇蛆的卫生杀虫剂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1079"/>
        <w:gridCol w:w="863"/>
        <w:gridCol w:w="1176"/>
        <w:gridCol w:w="1176"/>
        <w:gridCol w:w="76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noWrap/>
            <w:vAlign w:val="center"/>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序号</w:t>
            </w:r>
          </w:p>
        </w:tc>
        <w:tc>
          <w:tcPr>
            <w:tcW w:w="667" w:type="pct"/>
            <w:noWrap/>
            <w:vAlign w:val="center"/>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有效成份</w:t>
            </w:r>
          </w:p>
        </w:tc>
        <w:tc>
          <w:tcPr>
            <w:tcW w:w="603" w:type="pct"/>
            <w:noWrap/>
            <w:vAlign w:val="center"/>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类型</w:t>
            </w:r>
          </w:p>
        </w:tc>
        <w:tc>
          <w:tcPr>
            <w:tcW w:w="540" w:type="pct"/>
            <w:noWrap/>
            <w:vAlign w:val="center"/>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剂型</w:t>
            </w:r>
          </w:p>
        </w:tc>
        <w:tc>
          <w:tcPr>
            <w:tcW w:w="724" w:type="pct"/>
            <w:noWrap/>
            <w:vAlign w:val="center"/>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使用浓度</w:t>
            </w:r>
          </w:p>
        </w:tc>
        <w:tc>
          <w:tcPr>
            <w:tcW w:w="674" w:type="pct"/>
            <w:noWrap/>
            <w:vAlign w:val="center"/>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使用方法</w:t>
            </w:r>
          </w:p>
        </w:tc>
        <w:tc>
          <w:tcPr>
            <w:tcW w:w="504" w:type="pct"/>
            <w:noWrap/>
            <w:vAlign w:val="center"/>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特点</w:t>
            </w:r>
          </w:p>
        </w:tc>
        <w:tc>
          <w:tcPr>
            <w:tcW w:w="976" w:type="pct"/>
            <w:noWrap/>
            <w:vAlign w:val="center"/>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w:t>
            </w:r>
          </w:p>
        </w:tc>
        <w:tc>
          <w:tcPr>
            <w:tcW w:w="66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倍硫磷</w:t>
            </w:r>
          </w:p>
        </w:tc>
        <w:tc>
          <w:tcPr>
            <w:tcW w:w="60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有机磷</w:t>
            </w:r>
          </w:p>
        </w:tc>
        <w:tc>
          <w:tcPr>
            <w:tcW w:w="540"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颗粒剂</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乳油</w:t>
            </w:r>
          </w:p>
        </w:tc>
        <w:tc>
          <w:tcPr>
            <w:tcW w:w="72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5%</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50%</w:t>
            </w:r>
          </w:p>
        </w:tc>
        <w:tc>
          <w:tcPr>
            <w:tcW w:w="67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撒施</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喷洒</w:t>
            </w:r>
          </w:p>
        </w:tc>
        <w:tc>
          <w:tcPr>
            <w:tcW w:w="50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976"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15g/㎡</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w:t>
            </w:r>
          </w:p>
        </w:tc>
        <w:tc>
          <w:tcPr>
            <w:tcW w:w="66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吡丙醚</w:t>
            </w:r>
          </w:p>
        </w:tc>
        <w:tc>
          <w:tcPr>
            <w:tcW w:w="60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昆虫生长</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调节剂</w:t>
            </w:r>
          </w:p>
        </w:tc>
        <w:tc>
          <w:tcPr>
            <w:tcW w:w="540"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颗粒剂</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水乳剂</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乳油剂</w:t>
            </w:r>
          </w:p>
        </w:tc>
        <w:tc>
          <w:tcPr>
            <w:tcW w:w="72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0.5%</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5%</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10%</w:t>
            </w:r>
          </w:p>
        </w:tc>
        <w:tc>
          <w:tcPr>
            <w:tcW w:w="67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撒施</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喷洒</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喷洒</w:t>
            </w:r>
          </w:p>
        </w:tc>
        <w:tc>
          <w:tcPr>
            <w:tcW w:w="50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tc>
        <w:tc>
          <w:tcPr>
            <w:tcW w:w="976"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20mg/㎡</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2ml/㎡</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2ml/㎡</w:t>
            </w:r>
          </w:p>
        </w:tc>
      </w:tr>
    </w:tbl>
    <w:p>
      <w:pPr>
        <w:jc w:val="center"/>
        <w:rPr>
          <w:rFonts w:ascii="仿宋" w:hAnsi="仿宋" w:eastAsia="仿宋" w:cs="方正楷体_GBK"/>
          <w:color w:val="000000"/>
          <w:sz w:val="24"/>
        </w:rPr>
      </w:pPr>
      <w:r>
        <w:rPr>
          <w:rFonts w:hint="eastAsia" w:ascii="仿宋" w:hAnsi="仿宋" w:eastAsia="仿宋" w:cs="方正楷体_GBK"/>
          <w:color w:val="000000"/>
          <w:sz w:val="24"/>
        </w:rPr>
        <w:t>表4  适用于滞留喷洒控制（蚊、蝇、蟑）的杀虫剂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438"/>
        <w:gridCol w:w="1700"/>
        <w:gridCol w:w="1089"/>
        <w:gridCol w:w="1178"/>
        <w:gridCol w:w="993"/>
        <w:gridCol w:w="6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序号</w:t>
            </w:r>
          </w:p>
        </w:tc>
        <w:tc>
          <w:tcPr>
            <w:tcW w:w="843"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有效成份</w:t>
            </w:r>
          </w:p>
        </w:tc>
        <w:tc>
          <w:tcPr>
            <w:tcW w:w="527"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类型</w:t>
            </w:r>
          </w:p>
        </w:tc>
        <w:tc>
          <w:tcPr>
            <w:tcW w:w="699"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剂型</w:t>
            </w:r>
          </w:p>
        </w:tc>
        <w:tc>
          <w:tcPr>
            <w:tcW w:w="821"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使用浓度</w:t>
            </w:r>
          </w:p>
        </w:tc>
        <w:tc>
          <w:tcPr>
            <w:tcW w:w="635"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使用方法</w:t>
            </w:r>
          </w:p>
        </w:tc>
        <w:tc>
          <w:tcPr>
            <w:tcW w:w="471"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特点</w:t>
            </w:r>
          </w:p>
        </w:tc>
        <w:tc>
          <w:tcPr>
            <w:tcW w:w="621"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w:t>
            </w:r>
          </w:p>
        </w:tc>
        <w:tc>
          <w:tcPr>
            <w:tcW w:w="84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高效氟氯氰菊酯</w:t>
            </w:r>
          </w:p>
        </w:tc>
        <w:tc>
          <w:tcPr>
            <w:tcW w:w="52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w:t>
            </w:r>
          </w:p>
        </w:tc>
        <w:tc>
          <w:tcPr>
            <w:tcW w:w="69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悬浮剂</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微囊悬浮剂</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可湿性粉剂</w:t>
            </w:r>
          </w:p>
        </w:tc>
        <w:tc>
          <w:tcPr>
            <w:tcW w:w="8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2.5%--12.5%</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2.5%</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10%</w:t>
            </w:r>
          </w:p>
        </w:tc>
        <w:tc>
          <w:tcPr>
            <w:tcW w:w="63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47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w:t>
            </w:r>
          </w:p>
        </w:tc>
        <w:tc>
          <w:tcPr>
            <w:tcW w:w="84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氟氯·吡虫啉</w:t>
            </w:r>
          </w:p>
        </w:tc>
        <w:tc>
          <w:tcPr>
            <w:tcW w:w="52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菊酯类+烟碱类</w:t>
            </w:r>
          </w:p>
        </w:tc>
        <w:tc>
          <w:tcPr>
            <w:tcW w:w="69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悬浮剂</w:t>
            </w:r>
          </w:p>
        </w:tc>
        <w:tc>
          <w:tcPr>
            <w:tcW w:w="8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31%</w:t>
            </w:r>
          </w:p>
        </w:tc>
        <w:tc>
          <w:tcPr>
            <w:tcW w:w="63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47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3</w:t>
            </w:r>
          </w:p>
        </w:tc>
        <w:tc>
          <w:tcPr>
            <w:tcW w:w="84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呋虫胺</w:t>
            </w:r>
          </w:p>
        </w:tc>
        <w:tc>
          <w:tcPr>
            <w:tcW w:w="52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烟碱类</w:t>
            </w:r>
          </w:p>
        </w:tc>
        <w:tc>
          <w:tcPr>
            <w:tcW w:w="69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可溶粒剂</w:t>
            </w:r>
          </w:p>
        </w:tc>
        <w:tc>
          <w:tcPr>
            <w:tcW w:w="8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40%</w:t>
            </w:r>
          </w:p>
        </w:tc>
        <w:tc>
          <w:tcPr>
            <w:tcW w:w="63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47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4</w:t>
            </w:r>
          </w:p>
        </w:tc>
        <w:tc>
          <w:tcPr>
            <w:tcW w:w="84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溴氰菊酯</w:t>
            </w:r>
          </w:p>
        </w:tc>
        <w:tc>
          <w:tcPr>
            <w:tcW w:w="52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w:t>
            </w:r>
          </w:p>
        </w:tc>
        <w:tc>
          <w:tcPr>
            <w:tcW w:w="69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可湿性粉剂</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悬浮剂</w:t>
            </w:r>
          </w:p>
        </w:tc>
        <w:tc>
          <w:tcPr>
            <w:tcW w:w="8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2.5%</w:t>
            </w:r>
          </w:p>
        </w:tc>
        <w:tc>
          <w:tcPr>
            <w:tcW w:w="63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47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5</w:t>
            </w:r>
          </w:p>
        </w:tc>
        <w:tc>
          <w:tcPr>
            <w:tcW w:w="84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高效氯氰菊酯</w:t>
            </w:r>
          </w:p>
        </w:tc>
        <w:tc>
          <w:tcPr>
            <w:tcW w:w="52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w:t>
            </w:r>
          </w:p>
        </w:tc>
        <w:tc>
          <w:tcPr>
            <w:tcW w:w="69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可湿性粉剂</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悬浮剂</w:t>
            </w:r>
          </w:p>
        </w:tc>
        <w:tc>
          <w:tcPr>
            <w:tcW w:w="8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5%、10%</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5%、10%</w:t>
            </w:r>
          </w:p>
        </w:tc>
        <w:tc>
          <w:tcPr>
            <w:tcW w:w="63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47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6</w:t>
            </w:r>
          </w:p>
        </w:tc>
        <w:tc>
          <w:tcPr>
            <w:tcW w:w="84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氯菊·烯丙菊</w:t>
            </w:r>
          </w:p>
        </w:tc>
        <w:tc>
          <w:tcPr>
            <w:tcW w:w="52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w:t>
            </w:r>
          </w:p>
        </w:tc>
        <w:tc>
          <w:tcPr>
            <w:tcW w:w="69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水乳剂</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乳油剂</w:t>
            </w:r>
          </w:p>
        </w:tc>
        <w:tc>
          <w:tcPr>
            <w:tcW w:w="8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104克/升</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168.6克/升</w:t>
            </w:r>
          </w:p>
        </w:tc>
        <w:tc>
          <w:tcPr>
            <w:tcW w:w="63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47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7</w:t>
            </w:r>
          </w:p>
        </w:tc>
        <w:tc>
          <w:tcPr>
            <w:tcW w:w="84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高氯·残杀威</w:t>
            </w:r>
          </w:p>
        </w:tc>
        <w:tc>
          <w:tcPr>
            <w:tcW w:w="52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w:t>
            </w:r>
          </w:p>
        </w:tc>
        <w:tc>
          <w:tcPr>
            <w:tcW w:w="69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悬浮剂</w:t>
            </w:r>
          </w:p>
        </w:tc>
        <w:tc>
          <w:tcPr>
            <w:tcW w:w="8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10%</w:t>
            </w:r>
          </w:p>
        </w:tc>
        <w:tc>
          <w:tcPr>
            <w:tcW w:w="63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47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8</w:t>
            </w:r>
          </w:p>
        </w:tc>
        <w:tc>
          <w:tcPr>
            <w:tcW w:w="84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苯氰·残杀威</w:t>
            </w:r>
          </w:p>
        </w:tc>
        <w:tc>
          <w:tcPr>
            <w:tcW w:w="52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菊酯类+氨基甲酸酯</w:t>
            </w:r>
          </w:p>
        </w:tc>
        <w:tc>
          <w:tcPr>
            <w:tcW w:w="69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乳油剂</w:t>
            </w:r>
          </w:p>
        </w:tc>
        <w:tc>
          <w:tcPr>
            <w:tcW w:w="8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10%</w:t>
            </w:r>
          </w:p>
        </w:tc>
        <w:tc>
          <w:tcPr>
            <w:tcW w:w="63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47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9</w:t>
            </w:r>
          </w:p>
        </w:tc>
        <w:tc>
          <w:tcPr>
            <w:tcW w:w="84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甲基嘧啶磷</w:t>
            </w:r>
          </w:p>
        </w:tc>
        <w:tc>
          <w:tcPr>
            <w:tcW w:w="52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有机磷</w:t>
            </w:r>
          </w:p>
        </w:tc>
        <w:tc>
          <w:tcPr>
            <w:tcW w:w="69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微囊悬浮剂</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水乳剂</w:t>
            </w:r>
          </w:p>
        </w:tc>
        <w:tc>
          <w:tcPr>
            <w:tcW w:w="8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30%</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20%</w:t>
            </w:r>
          </w:p>
        </w:tc>
        <w:tc>
          <w:tcPr>
            <w:tcW w:w="63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47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2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bl>
    <w:p>
      <w:pPr>
        <w:jc w:val="center"/>
        <w:rPr>
          <w:rFonts w:ascii="仿宋" w:hAnsi="仿宋" w:eastAsia="仿宋" w:cs="方正楷体_GBK"/>
          <w:color w:val="000000"/>
          <w:sz w:val="24"/>
        </w:rPr>
      </w:pPr>
      <w:r>
        <w:rPr>
          <w:rFonts w:hint="eastAsia" w:ascii="仿宋" w:hAnsi="仿宋" w:eastAsia="仿宋" w:cs="方正楷体_GBK"/>
          <w:color w:val="000000"/>
          <w:sz w:val="24"/>
        </w:rPr>
        <w:t>表5  适用于空间喷洒控制（蚊、蝇）的杀虫剂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039"/>
        <w:gridCol w:w="792"/>
        <w:gridCol w:w="984"/>
        <w:gridCol w:w="1070"/>
        <w:gridCol w:w="1367"/>
        <w:gridCol w:w="643"/>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序号</w:t>
            </w:r>
          </w:p>
        </w:tc>
        <w:tc>
          <w:tcPr>
            <w:tcW w:w="1248"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有效成份</w:t>
            </w:r>
          </w:p>
        </w:tc>
        <w:tc>
          <w:tcPr>
            <w:tcW w:w="487"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类型</w:t>
            </w:r>
          </w:p>
        </w:tc>
        <w:tc>
          <w:tcPr>
            <w:tcW w:w="583"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剂型</w:t>
            </w:r>
          </w:p>
        </w:tc>
        <w:tc>
          <w:tcPr>
            <w:tcW w:w="655"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使用浓度</w:t>
            </w:r>
          </w:p>
        </w:tc>
        <w:tc>
          <w:tcPr>
            <w:tcW w:w="668"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使用方法</w:t>
            </w:r>
          </w:p>
        </w:tc>
        <w:tc>
          <w:tcPr>
            <w:tcW w:w="378"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特点</w:t>
            </w:r>
          </w:p>
        </w:tc>
        <w:tc>
          <w:tcPr>
            <w:tcW w:w="604"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w:t>
            </w:r>
          </w:p>
        </w:tc>
        <w:tc>
          <w:tcPr>
            <w:tcW w:w="124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氯菊酯·四氟苯菊酯</w:t>
            </w:r>
          </w:p>
        </w:tc>
        <w:tc>
          <w:tcPr>
            <w:tcW w:w="48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w:t>
            </w:r>
          </w:p>
        </w:tc>
        <w:tc>
          <w:tcPr>
            <w:tcW w:w="5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微乳剂</w:t>
            </w:r>
          </w:p>
        </w:tc>
        <w:tc>
          <w:tcPr>
            <w:tcW w:w="65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1.2%</w:t>
            </w:r>
          </w:p>
        </w:tc>
        <w:tc>
          <w:tcPr>
            <w:tcW w:w="668" w:type="pct"/>
            <w:noWrap/>
            <w:vAlign w:val="center"/>
          </w:tcPr>
          <w:p>
            <w:pPr>
              <w:widowControl/>
              <w:jc w:val="center"/>
              <w:rPr>
                <w:rFonts w:ascii="仿宋" w:hAnsi="仿宋" w:eastAsia="仿宋" w:cs="仿宋_GB2312"/>
                <w:color w:val="000000"/>
                <w:w w:val="90"/>
                <w:kern w:val="0"/>
                <w:sz w:val="24"/>
              </w:rPr>
            </w:pPr>
            <w:r>
              <w:rPr>
                <w:rFonts w:ascii="仿宋" w:hAnsi="仿宋" w:eastAsia="仿宋" w:cs="仿宋_GB2312"/>
                <w:color w:val="000000"/>
                <w:w w:val="90"/>
                <w:sz w:val="24"/>
              </w:rPr>
              <w:t>空间喷雾</w:t>
            </w:r>
          </w:p>
        </w:tc>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tc>
        <w:tc>
          <w:tcPr>
            <w:tcW w:w="60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1.5ml/</w:t>
            </w:r>
            <w:r>
              <w:rPr>
                <w:rFonts w:hint="eastAsia" w:ascii="Segoe UI Symbol" w:hAnsi="Segoe UI Symbol" w:eastAsia="Segoe UI Symbol" w:cs="Segoe UI Symbol"/>
                <w:color w:val="000000"/>
                <w:w w:val="9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w:t>
            </w:r>
          </w:p>
        </w:tc>
        <w:tc>
          <w:tcPr>
            <w:tcW w:w="124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呋虫胺</w:t>
            </w:r>
          </w:p>
        </w:tc>
        <w:tc>
          <w:tcPr>
            <w:tcW w:w="48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烟碱类</w:t>
            </w:r>
          </w:p>
        </w:tc>
        <w:tc>
          <w:tcPr>
            <w:tcW w:w="5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可溶粒剂</w:t>
            </w:r>
          </w:p>
        </w:tc>
        <w:tc>
          <w:tcPr>
            <w:tcW w:w="65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40%</w:t>
            </w:r>
          </w:p>
        </w:tc>
        <w:tc>
          <w:tcPr>
            <w:tcW w:w="66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空间喷雾</w:t>
            </w:r>
          </w:p>
        </w:tc>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0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25mg/</w:t>
            </w:r>
            <w:r>
              <w:rPr>
                <w:rFonts w:hint="eastAsia" w:ascii="Segoe UI Symbol" w:hAnsi="Segoe UI Symbol" w:eastAsia="Segoe UI Symbol" w:cs="Segoe UI Symbol"/>
                <w:color w:val="000000"/>
                <w:w w:val="9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3</w:t>
            </w:r>
          </w:p>
        </w:tc>
        <w:tc>
          <w:tcPr>
            <w:tcW w:w="124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烯丙·氯菊</w:t>
            </w:r>
          </w:p>
        </w:tc>
        <w:tc>
          <w:tcPr>
            <w:tcW w:w="48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w:t>
            </w:r>
          </w:p>
        </w:tc>
        <w:tc>
          <w:tcPr>
            <w:tcW w:w="5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乳油剂</w:t>
            </w:r>
          </w:p>
        </w:tc>
        <w:tc>
          <w:tcPr>
            <w:tcW w:w="65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10%</w:t>
            </w:r>
          </w:p>
        </w:tc>
        <w:tc>
          <w:tcPr>
            <w:tcW w:w="66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热烟雾机喷雾</w:t>
            </w:r>
          </w:p>
        </w:tc>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0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4</w:t>
            </w:r>
          </w:p>
        </w:tc>
        <w:tc>
          <w:tcPr>
            <w:tcW w:w="124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胺·氯菊</w:t>
            </w:r>
          </w:p>
        </w:tc>
        <w:tc>
          <w:tcPr>
            <w:tcW w:w="48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w:t>
            </w:r>
          </w:p>
        </w:tc>
        <w:tc>
          <w:tcPr>
            <w:tcW w:w="5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水乳剂</w:t>
            </w:r>
          </w:p>
        </w:tc>
        <w:tc>
          <w:tcPr>
            <w:tcW w:w="65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0.45%</w:t>
            </w:r>
          </w:p>
        </w:tc>
        <w:tc>
          <w:tcPr>
            <w:tcW w:w="66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空间喷雾</w:t>
            </w:r>
          </w:p>
        </w:tc>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0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5</w:t>
            </w:r>
          </w:p>
        </w:tc>
        <w:tc>
          <w:tcPr>
            <w:tcW w:w="124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氯菊酯+生物烯丙菊酯</w:t>
            </w:r>
          </w:p>
        </w:tc>
        <w:tc>
          <w:tcPr>
            <w:tcW w:w="48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菊酯类</w:t>
            </w:r>
          </w:p>
        </w:tc>
        <w:tc>
          <w:tcPr>
            <w:tcW w:w="5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水乳剂</w:t>
            </w:r>
          </w:p>
        </w:tc>
        <w:tc>
          <w:tcPr>
            <w:tcW w:w="655"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10.4%</w:t>
            </w:r>
          </w:p>
        </w:tc>
        <w:tc>
          <w:tcPr>
            <w:tcW w:w="66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空间喷雾</w:t>
            </w:r>
          </w:p>
        </w:tc>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0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6</w:t>
            </w:r>
          </w:p>
        </w:tc>
        <w:tc>
          <w:tcPr>
            <w:tcW w:w="124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甲基嘧啶磷</w:t>
            </w:r>
          </w:p>
        </w:tc>
        <w:tc>
          <w:tcPr>
            <w:tcW w:w="487"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有机磷</w:t>
            </w:r>
          </w:p>
        </w:tc>
        <w:tc>
          <w:tcPr>
            <w:tcW w:w="58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乳油剂</w:t>
            </w:r>
          </w:p>
        </w:tc>
        <w:tc>
          <w:tcPr>
            <w:tcW w:w="655" w:type="pct"/>
            <w:noWrap/>
            <w:vAlign w:val="center"/>
          </w:tcPr>
          <w:p>
            <w:pPr>
              <w:widowControl/>
              <w:jc w:val="center"/>
              <w:rPr>
                <w:rFonts w:ascii="仿宋" w:hAnsi="仿宋" w:eastAsia="仿宋" w:cs="仿宋_GB2312"/>
                <w:color w:val="000000"/>
                <w:w w:val="90"/>
                <w:kern w:val="0"/>
                <w:sz w:val="24"/>
              </w:rPr>
            </w:pPr>
            <w:r>
              <w:rPr>
                <w:rFonts w:ascii="仿宋" w:hAnsi="仿宋" w:eastAsia="仿宋" w:cs="仿宋_GB2312"/>
                <w:color w:val="000000"/>
                <w:w w:val="90"/>
                <w:sz w:val="24"/>
              </w:rPr>
              <w:t>500克/升</w:t>
            </w:r>
          </w:p>
        </w:tc>
        <w:tc>
          <w:tcPr>
            <w:tcW w:w="66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空间喷雾</w:t>
            </w:r>
          </w:p>
        </w:tc>
        <w:tc>
          <w:tcPr>
            <w:tcW w:w="37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0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bl>
    <w:p>
      <w:pPr>
        <w:jc w:val="center"/>
        <w:rPr>
          <w:rFonts w:ascii="仿宋" w:hAnsi="仿宋" w:eastAsia="仿宋" w:cs="方正楷体_GBK"/>
          <w:color w:val="000000"/>
          <w:sz w:val="24"/>
        </w:rPr>
      </w:pPr>
      <w:r>
        <w:rPr>
          <w:rFonts w:hint="eastAsia" w:ascii="仿宋" w:hAnsi="仿宋" w:eastAsia="仿宋" w:cs="方正楷体_GBK"/>
          <w:color w:val="000000"/>
          <w:sz w:val="24"/>
        </w:rPr>
        <w:t>表6  适用于点施控制（蟑螂、蚂蚁）的杀虫剂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19"/>
        <w:gridCol w:w="1040"/>
        <w:gridCol w:w="951"/>
        <w:gridCol w:w="1299"/>
        <w:gridCol w:w="1287"/>
        <w:gridCol w:w="6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序号</w:t>
            </w:r>
          </w:p>
        </w:tc>
        <w:tc>
          <w:tcPr>
            <w:tcW w:w="834"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有效成份</w:t>
            </w:r>
          </w:p>
        </w:tc>
        <w:tc>
          <w:tcPr>
            <w:tcW w:w="612"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类型</w:t>
            </w:r>
          </w:p>
        </w:tc>
        <w:tc>
          <w:tcPr>
            <w:tcW w:w="559"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剂型</w:t>
            </w:r>
          </w:p>
        </w:tc>
        <w:tc>
          <w:tcPr>
            <w:tcW w:w="763"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使用浓度</w:t>
            </w:r>
          </w:p>
        </w:tc>
        <w:tc>
          <w:tcPr>
            <w:tcW w:w="756"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使用方法</w:t>
            </w:r>
          </w:p>
        </w:tc>
        <w:tc>
          <w:tcPr>
            <w:tcW w:w="398"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特点</w:t>
            </w:r>
          </w:p>
        </w:tc>
        <w:tc>
          <w:tcPr>
            <w:tcW w:w="644"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32"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w:t>
            </w:r>
          </w:p>
        </w:tc>
        <w:tc>
          <w:tcPr>
            <w:tcW w:w="83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氟虫胺</w:t>
            </w:r>
          </w:p>
        </w:tc>
        <w:tc>
          <w:tcPr>
            <w:tcW w:w="612"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烟碱类</w:t>
            </w:r>
          </w:p>
        </w:tc>
        <w:tc>
          <w:tcPr>
            <w:tcW w:w="55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76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0.05%</w:t>
            </w:r>
          </w:p>
        </w:tc>
        <w:tc>
          <w:tcPr>
            <w:tcW w:w="756"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投放</w:t>
            </w:r>
          </w:p>
        </w:tc>
        <w:tc>
          <w:tcPr>
            <w:tcW w:w="39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tc>
        <w:tc>
          <w:tcPr>
            <w:tcW w:w="64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w:t>
            </w:r>
          </w:p>
        </w:tc>
        <w:tc>
          <w:tcPr>
            <w:tcW w:w="83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氟蚁腙</w:t>
            </w:r>
          </w:p>
        </w:tc>
        <w:tc>
          <w:tcPr>
            <w:tcW w:w="612"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烟碱类</w:t>
            </w:r>
          </w:p>
        </w:tc>
        <w:tc>
          <w:tcPr>
            <w:tcW w:w="55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76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2.15%</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w:t>
            </w:r>
          </w:p>
        </w:tc>
        <w:tc>
          <w:tcPr>
            <w:tcW w:w="756"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投放</w:t>
            </w:r>
          </w:p>
        </w:tc>
        <w:tc>
          <w:tcPr>
            <w:tcW w:w="39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tc>
        <w:tc>
          <w:tcPr>
            <w:tcW w:w="64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3</w:t>
            </w:r>
          </w:p>
        </w:tc>
        <w:tc>
          <w:tcPr>
            <w:tcW w:w="83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吡虫啉</w:t>
            </w:r>
          </w:p>
        </w:tc>
        <w:tc>
          <w:tcPr>
            <w:tcW w:w="612"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烟碱类</w:t>
            </w:r>
          </w:p>
        </w:tc>
        <w:tc>
          <w:tcPr>
            <w:tcW w:w="55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76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2.5%</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2.15%</w:t>
            </w:r>
          </w:p>
        </w:tc>
        <w:tc>
          <w:tcPr>
            <w:tcW w:w="756"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投放</w:t>
            </w:r>
          </w:p>
        </w:tc>
        <w:tc>
          <w:tcPr>
            <w:tcW w:w="39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低毒</w:t>
            </w:r>
          </w:p>
        </w:tc>
        <w:tc>
          <w:tcPr>
            <w:tcW w:w="64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4</w:t>
            </w:r>
          </w:p>
        </w:tc>
        <w:tc>
          <w:tcPr>
            <w:tcW w:w="83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呋虫胺</w:t>
            </w:r>
          </w:p>
        </w:tc>
        <w:tc>
          <w:tcPr>
            <w:tcW w:w="612"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烟碱类</w:t>
            </w:r>
          </w:p>
        </w:tc>
        <w:tc>
          <w:tcPr>
            <w:tcW w:w="559"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饵剂</w:t>
            </w:r>
          </w:p>
        </w:tc>
        <w:tc>
          <w:tcPr>
            <w:tcW w:w="763"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0.05%</w:t>
            </w:r>
          </w:p>
        </w:tc>
        <w:tc>
          <w:tcPr>
            <w:tcW w:w="756"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投放</w:t>
            </w:r>
          </w:p>
        </w:tc>
        <w:tc>
          <w:tcPr>
            <w:tcW w:w="398"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微毒</w:t>
            </w:r>
          </w:p>
        </w:tc>
        <w:tc>
          <w:tcPr>
            <w:tcW w:w="644"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按说明书</w:t>
            </w:r>
          </w:p>
        </w:tc>
      </w:tr>
    </w:tbl>
    <w:p>
      <w:pPr>
        <w:jc w:val="center"/>
        <w:rPr>
          <w:rFonts w:ascii="仿宋" w:hAnsi="仿宋" w:eastAsia="仿宋" w:cs="方正楷体_GBK"/>
          <w:color w:val="000000"/>
          <w:sz w:val="24"/>
        </w:rPr>
      </w:pPr>
      <w:r>
        <w:rPr>
          <w:rFonts w:hint="eastAsia" w:ascii="仿宋" w:hAnsi="仿宋" w:eastAsia="仿宋" w:cs="方正楷体_GBK"/>
          <w:color w:val="000000"/>
          <w:sz w:val="24"/>
        </w:rPr>
        <w:t>表7  适用于于喷洒作业喷雾器列表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61"/>
        <w:gridCol w:w="718"/>
        <w:gridCol w:w="3223"/>
        <w:gridCol w:w="789"/>
        <w:gridCol w:w="1362"/>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序号</w:t>
            </w:r>
          </w:p>
        </w:tc>
        <w:tc>
          <w:tcPr>
            <w:tcW w:w="971"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类型</w:t>
            </w:r>
          </w:p>
        </w:tc>
        <w:tc>
          <w:tcPr>
            <w:tcW w:w="546"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主要</w:t>
            </w:r>
          </w:p>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规格</w:t>
            </w:r>
          </w:p>
        </w:tc>
        <w:tc>
          <w:tcPr>
            <w:tcW w:w="1082"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主要参数</w:t>
            </w:r>
          </w:p>
        </w:tc>
        <w:tc>
          <w:tcPr>
            <w:tcW w:w="602"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用途</w:t>
            </w:r>
          </w:p>
        </w:tc>
        <w:tc>
          <w:tcPr>
            <w:tcW w:w="677"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适用防制对象</w:t>
            </w:r>
          </w:p>
        </w:tc>
        <w:tc>
          <w:tcPr>
            <w:tcW w:w="792" w:type="pct"/>
            <w:noWrap/>
          </w:tcPr>
          <w:p>
            <w:pPr>
              <w:widowControl/>
              <w:jc w:val="center"/>
              <w:rPr>
                <w:rFonts w:ascii="仿宋" w:hAnsi="仿宋" w:eastAsia="仿宋" w:cs="黑体"/>
                <w:bCs/>
                <w:color w:val="000000"/>
                <w:kern w:val="0"/>
                <w:sz w:val="24"/>
              </w:rPr>
            </w:pPr>
            <w:r>
              <w:rPr>
                <w:rFonts w:hint="eastAsia" w:ascii="仿宋" w:hAnsi="仿宋" w:eastAsia="仿宋" w:cs="黑体"/>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33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1</w:t>
            </w:r>
          </w:p>
        </w:tc>
        <w:tc>
          <w:tcPr>
            <w:tcW w:w="971"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常量手动喷雾器</w:t>
            </w:r>
          </w:p>
        </w:tc>
        <w:tc>
          <w:tcPr>
            <w:tcW w:w="54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1-15L</w:t>
            </w:r>
          </w:p>
        </w:tc>
        <w:tc>
          <w:tcPr>
            <w:tcW w:w="1082" w:type="pct"/>
            <w:noWrap/>
            <w:vAlign w:val="center"/>
          </w:tcPr>
          <w:p>
            <w:pPr>
              <w:widowControl/>
              <w:rPr>
                <w:rFonts w:ascii="仿宋" w:hAnsi="仿宋" w:eastAsia="仿宋"/>
                <w:color w:val="000000"/>
                <w:sz w:val="24"/>
              </w:rPr>
            </w:pPr>
            <w:r>
              <w:rPr>
                <w:rFonts w:hint="eastAsia" w:ascii="仿宋" w:hAnsi="仿宋" w:eastAsia="仿宋" w:cs="仿宋_GB2312"/>
                <w:color w:val="000000"/>
                <w:w w:val="90"/>
                <w:sz w:val="24"/>
              </w:rPr>
              <w:t>雾粒直径100-200微米；雾粒直径能稳定为好</w:t>
            </w:r>
          </w:p>
        </w:tc>
        <w:tc>
          <w:tcPr>
            <w:tcW w:w="602"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67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蚊、蝇、蟑、蚤等</w:t>
            </w:r>
          </w:p>
        </w:tc>
        <w:tc>
          <w:tcPr>
            <w:tcW w:w="792"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2</w:t>
            </w:r>
          </w:p>
        </w:tc>
        <w:tc>
          <w:tcPr>
            <w:tcW w:w="971"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常量机动喷雾器</w:t>
            </w:r>
          </w:p>
        </w:tc>
        <w:tc>
          <w:tcPr>
            <w:tcW w:w="54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15-300L</w:t>
            </w:r>
          </w:p>
        </w:tc>
        <w:tc>
          <w:tcPr>
            <w:tcW w:w="1082"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雾粒直径100-200微米；雾粒直径能稳定为好</w:t>
            </w:r>
          </w:p>
        </w:tc>
        <w:tc>
          <w:tcPr>
            <w:tcW w:w="602"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滞留喷洒</w:t>
            </w:r>
          </w:p>
        </w:tc>
        <w:tc>
          <w:tcPr>
            <w:tcW w:w="67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蚊、蝇、蟑、蚤等</w:t>
            </w:r>
          </w:p>
        </w:tc>
        <w:tc>
          <w:tcPr>
            <w:tcW w:w="792"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3</w:t>
            </w:r>
          </w:p>
        </w:tc>
        <w:tc>
          <w:tcPr>
            <w:tcW w:w="971"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电动超低量喷雾器</w:t>
            </w:r>
          </w:p>
        </w:tc>
        <w:tc>
          <w:tcPr>
            <w:tcW w:w="54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1—5L</w:t>
            </w:r>
          </w:p>
        </w:tc>
        <w:tc>
          <w:tcPr>
            <w:tcW w:w="1082"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雾粒直径&lt;50微米；20微米以下占比高为好</w:t>
            </w:r>
          </w:p>
        </w:tc>
        <w:tc>
          <w:tcPr>
            <w:tcW w:w="602"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空间喷雾</w:t>
            </w:r>
          </w:p>
        </w:tc>
        <w:tc>
          <w:tcPr>
            <w:tcW w:w="67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蚊、蝇、蠓等飞虫</w:t>
            </w:r>
          </w:p>
        </w:tc>
        <w:tc>
          <w:tcPr>
            <w:tcW w:w="792"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4</w:t>
            </w:r>
          </w:p>
        </w:tc>
        <w:tc>
          <w:tcPr>
            <w:tcW w:w="971"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机动超低量喷雾器</w:t>
            </w:r>
          </w:p>
        </w:tc>
        <w:tc>
          <w:tcPr>
            <w:tcW w:w="546"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15-300L</w:t>
            </w:r>
          </w:p>
        </w:tc>
        <w:tc>
          <w:tcPr>
            <w:tcW w:w="1082"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雾粒直径&lt;50微米；20微米以下雾滴占比高为好</w:t>
            </w:r>
          </w:p>
        </w:tc>
        <w:tc>
          <w:tcPr>
            <w:tcW w:w="602"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空间喷雾</w:t>
            </w:r>
          </w:p>
        </w:tc>
        <w:tc>
          <w:tcPr>
            <w:tcW w:w="67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蚊、蝇、蠓等飞虫</w:t>
            </w:r>
          </w:p>
        </w:tc>
        <w:tc>
          <w:tcPr>
            <w:tcW w:w="792" w:type="pct"/>
            <w:noWrap/>
            <w:vAlign w:val="center"/>
          </w:tcPr>
          <w:p>
            <w:pPr>
              <w:widowControl/>
              <w:rPr>
                <w:rFonts w:ascii="仿宋" w:hAnsi="仿宋" w:eastAsia="仿宋" w:cs="仿宋_GB2312"/>
                <w:color w:val="000000"/>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ign w:val="center"/>
          </w:tcPr>
          <w:p>
            <w:pPr>
              <w:widowControl/>
              <w:jc w:val="center"/>
              <w:rPr>
                <w:rFonts w:ascii="仿宋" w:hAnsi="仿宋" w:eastAsia="仿宋" w:cs="仿宋_GB2312"/>
                <w:color w:val="000000"/>
                <w:w w:val="90"/>
                <w:kern w:val="0"/>
                <w:sz w:val="24"/>
              </w:rPr>
            </w:pPr>
            <w:r>
              <w:rPr>
                <w:rFonts w:hint="eastAsia" w:ascii="仿宋" w:hAnsi="仿宋" w:eastAsia="仿宋" w:cs="仿宋_GB2312"/>
                <w:color w:val="000000"/>
                <w:w w:val="90"/>
                <w:sz w:val="24"/>
              </w:rPr>
              <w:t>5</w:t>
            </w:r>
          </w:p>
        </w:tc>
        <w:tc>
          <w:tcPr>
            <w:tcW w:w="971"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热烟雾机</w:t>
            </w:r>
          </w:p>
        </w:tc>
        <w:tc>
          <w:tcPr>
            <w:tcW w:w="546" w:type="pct"/>
            <w:noWrap/>
            <w:vAlign w:val="center"/>
          </w:tcPr>
          <w:p>
            <w:pPr>
              <w:widowControl/>
              <w:rPr>
                <w:rFonts w:ascii="仿宋" w:hAnsi="仿宋" w:eastAsia="仿宋" w:cs="仿宋_GB2312"/>
                <w:color w:val="000000"/>
                <w:w w:val="90"/>
                <w:kern w:val="0"/>
                <w:sz w:val="24"/>
              </w:rPr>
            </w:pPr>
          </w:p>
        </w:tc>
        <w:tc>
          <w:tcPr>
            <w:tcW w:w="1082"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雾粒直径2—5微米，性能稳定、操作简便</w:t>
            </w:r>
          </w:p>
        </w:tc>
        <w:tc>
          <w:tcPr>
            <w:tcW w:w="602"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空间喷雾</w:t>
            </w:r>
          </w:p>
        </w:tc>
        <w:tc>
          <w:tcPr>
            <w:tcW w:w="677" w:type="pct"/>
            <w:noWrap/>
            <w:vAlign w:val="center"/>
          </w:tcPr>
          <w:p>
            <w:pPr>
              <w:widowControl/>
              <w:rPr>
                <w:rFonts w:ascii="仿宋" w:hAnsi="仿宋" w:eastAsia="仿宋" w:cs="仿宋_GB2312"/>
                <w:color w:val="000000"/>
                <w:w w:val="90"/>
                <w:kern w:val="0"/>
                <w:sz w:val="24"/>
              </w:rPr>
            </w:pPr>
            <w:r>
              <w:rPr>
                <w:rFonts w:hint="eastAsia" w:ascii="仿宋" w:hAnsi="仿宋" w:eastAsia="仿宋" w:cs="仿宋_GB2312"/>
                <w:color w:val="000000"/>
                <w:w w:val="90"/>
                <w:sz w:val="24"/>
              </w:rPr>
              <w:t>蚊、蝇、蠓等飞虫</w:t>
            </w:r>
          </w:p>
        </w:tc>
        <w:tc>
          <w:tcPr>
            <w:tcW w:w="792" w:type="pct"/>
            <w:noWrap/>
            <w:vAlign w:val="center"/>
          </w:tcPr>
          <w:p>
            <w:pPr>
              <w:widowControl/>
              <w:rPr>
                <w:rFonts w:ascii="仿宋" w:hAnsi="仿宋" w:eastAsia="仿宋" w:cs="仿宋_GB2312"/>
                <w:color w:val="000000"/>
                <w:w w:val="90"/>
                <w:kern w:val="0"/>
                <w:sz w:val="24"/>
              </w:rPr>
            </w:pPr>
          </w:p>
        </w:tc>
      </w:tr>
    </w:tbl>
    <w:p>
      <w:pPr>
        <w:widowControl w:val="0"/>
        <w:ind w:left="291" w:leftChars="44" w:hanging="199" w:hangingChars="83"/>
        <w:jc w:val="both"/>
        <w:rPr>
          <w:rFonts w:ascii="仿宋" w:hAnsi="仿宋" w:eastAsia="仿宋" w:cs="Arial Unicode MS"/>
          <w:color w:val="000000"/>
          <w:kern w:val="2"/>
          <w:sz w:val="24"/>
          <w:szCs w:val="24"/>
          <w:lang w:val="en-US" w:eastAsia="zh-CN" w:bidi="ar-SA"/>
        </w:rPr>
      </w:pPr>
    </w:p>
    <w:p>
      <w:pPr>
        <w:rPr>
          <w:rFonts w:ascii="仿宋" w:hAnsi="仿宋" w:eastAsia="仿宋"/>
          <w:color w:val="000000"/>
          <w:sz w:val="24"/>
        </w:rPr>
      </w:pPr>
      <w:r>
        <w:rPr>
          <w:rFonts w:hint="eastAsia" w:ascii="仿宋" w:hAnsi="仿宋" w:eastAsia="仿宋"/>
          <w:color w:val="000000"/>
          <w:sz w:val="24"/>
        </w:rPr>
        <w:t>附件二：（此附件不需要在响应文件中响应）</w:t>
      </w:r>
    </w:p>
    <w:p>
      <w:pPr>
        <w:jc w:val="center"/>
        <w:rPr>
          <w:rFonts w:ascii="仿宋" w:hAnsi="仿宋" w:eastAsia="仿宋" w:cs="方正小标宋_GBK"/>
          <w:b/>
          <w:bCs/>
          <w:color w:val="000000"/>
          <w:sz w:val="24"/>
        </w:rPr>
      </w:pPr>
      <w:r>
        <w:rPr>
          <w:rFonts w:hint="eastAsia" w:ascii="仿宋" w:hAnsi="仿宋" w:eastAsia="仿宋" w:cs="方正小标宋_GBK"/>
          <w:b/>
          <w:bCs/>
          <w:color w:val="000000"/>
          <w:sz w:val="24"/>
        </w:rPr>
        <w:t>第31届世界大学生夏季运动会双流赛区</w:t>
      </w:r>
    </w:p>
    <w:p>
      <w:pPr>
        <w:jc w:val="center"/>
        <w:rPr>
          <w:rFonts w:ascii="仿宋" w:hAnsi="仿宋" w:eastAsia="仿宋" w:cs="方正小标宋_GBK"/>
          <w:b/>
          <w:bCs/>
          <w:color w:val="000000"/>
          <w:sz w:val="24"/>
        </w:rPr>
      </w:pPr>
      <w:r>
        <w:rPr>
          <w:rFonts w:hint="eastAsia" w:ascii="仿宋" w:hAnsi="仿宋" w:eastAsia="仿宋" w:cs="方正小标宋_GBK"/>
          <w:b/>
          <w:bCs/>
          <w:color w:val="000000"/>
          <w:sz w:val="24"/>
        </w:rPr>
        <w:t>病媒生物控制药物器械安全使用准则</w:t>
      </w:r>
    </w:p>
    <w:p>
      <w:pPr>
        <w:jc w:val="center"/>
        <w:rPr>
          <w:rFonts w:ascii="仿宋" w:hAnsi="仿宋" w:eastAsia="仿宋"/>
          <w:color w:val="000000"/>
          <w:sz w:val="24"/>
        </w:rPr>
      </w:pPr>
    </w:p>
    <w:p>
      <w:pPr>
        <w:ind w:firstLine="645"/>
        <w:rPr>
          <w:rFonts w:ascii="仿宋" w:hAnsi="仿宋" w:eastAsia="仿宋" w:cs="仿宋_GB2312"/>
          <w:color w:val="000000"/>
          <w:sz w:val="24"/>
        </w:rPr>
      </w:pPr>
      <w:r>
        <w:rPr>
          <w:rFonts w:hint="eastAsia" w:ascii="仿宋" w:hAnsi="仿宋" w:eastAsia="仿宋" w:cs="仿宋_GB2312"/>
          <w:color w:val="000000"/>
          <w:sz w:val="24"/>
        </w:rPr>
        <w:t>为保障成都大运会双流赛区病媒生物控制达到“绿色、安全、环保、有效”的要求，在大运会各竞赛训练场馆/场所外围500米半径保障区范围使用卫生杀虫剂、杀鼠剂及器械必须遵循以下原则：</w:t>
      </w:r>
    </w:p>
    <w:p>
      <w:pPr>
        <w:ind w:firstLine="645"/>
        <w:rPr>
          <w:rFonts w:ascii="仿宋" w:hAnsi="仿宋" w:eastAsia="仿宋" w:cs="黑体"/>
          <w:bCs/>
          <w:color w:val="000000"/>
          <w:sz w:val="24"/>
        </w:rPr>
      </w:pPr>
      <w:r>
        <w:rPr>
          <w:rFonts w:hint="eastAsia" w:ascii="仿宋" w:hAnsi="仿宋" w:eastAsia="仿宋" w:cs="黑体"/>
          <w:bCs/>
          <w:color w:val="000000"/>
          <w:sz w:val="24"/>
        </w:rPr>
        <w:t>一、卫生杀虫剂、杀鼠剂安全使用原则</w:t>
      </w:r>
    </w:p>
    <w:p>
      <w:pPr>
        <w:ind w:firstLine="645"/>
        <w:rPr>
          <w:rFonts w:ascii="仿宋" w:hAnsi="仿宋" w:eastAsia="仿宋" w:cs="方正楷体_GBK"/>
          <w:bCs/>
          <w:color w:val="000000"/>
          <w:sz w:val="24"/>
        </w:rPr>
      </w:pPr>
      <w:r>
        <w:rPr>
          <w:rFonts w:hint="eastAsia" w:ascii="仿宋" w:hAnsi="仿宋" w:eastAsia="仿宋" w:cs="方正楷体_GBK"/>
          <w:bCs/>
          <w:color w:val="000000"/>
          <w:sz w:val="24"/>
        </w:rPr>
        <w:t>（一）合法原则</w:t>
      </w:r>
    </w:p>
    <w:p>
      <w:pPr>
        <w:ind w:firstLine="645"/>
        <w:rPr>
          <w:rFonts w:ascii="仿宋" w:hAnsi="仿宋" w:eastAsia="仿宋" w:cs="仿宋_GB2312"/>
          <w:color w:val="000000"/>
          <w:sz w:val="24"/>
        </w:rPr>
      </w:pPr>
      <w:r>
        <w:rPr>
          <w:rFonts w:hint="eastAsia" w:ascii="仿宋" w:hAnsi="仿宋" w:eastAsia="仿宋" w:cs="仿宋_GB2312"/>
          <w:color w:val="000000"/>
          <w:sz w:val="24"/>
        </w:rPr>
        <w:t>选用产品必须符合</w:t>
      </w:r>
      <w:r>
        <w:rPr>
          <w:rFonts w:hint="eastAsia" w:ascii="仿宋" w:hAnsi="仿宋" w:eastAsia="仿宋" w:cs="仿宋_GB2312"/>
          <w:color w:val="000000"/>
          <w:kern w:val="0"/>
          <w:sz w:val="24"/>
        </w:rPr>
        <w:t>《农药管理条例》（2017年2月8日国务院第164次常务会议修订通过），</w:t>
      </w:r>
      <w:r>
        <w:rPr>
          <w:rFonts w:hint="eastAsia" w:ascii="仿宋" w:hAnsi="仿宋" w:eastAsia="仿宋" w:cs="仿宋_GB2312"/>
          <w:color w:val="000000"/>
          <w:sz w:val="24"/>
        </w:rPr>
        <w:t>有农药登记证、生产许可证和产品质量标准，杀虫剂必须是用于卫生用途（农药登记证第一英文字母是W）。</w:t>
      </w:r>
    </w:p>
    <w:p>
      <w:pPr>
        <w:ind w:firstLine="645"/>
        <w:rPr>
          <w:rFonts w:ascii="仿宋" w:hAnsi="仿宋" w:eastAsia="仿宋" w:cs="仿宋_GB2312"/>
          <w:color w:val="000000"/>
          <w:sz w:val="24"/>
        </w:rPr>
      </w:pPr>
      <w:r>
        <w:rPr>
          <w:rFonts w:hint="eastAsia" w:ascii="仿宋" w:hAnsi="仿宋" w:eastAsia="仿宋" w:cs="仿宋_GB2312"/>
          <w:color w:val="000000"/>
          <w:sz w:val="24"/>
        </w:rPr>
        <w:t>杀鼠剂经销商还应具备《危险化学品经营许可证》，核准杀鼠剂经营资格。</w:t>
      </w:r>
    </w:p>
    <w:p>
      <w:pPr>
        <w:ind w:firstLine="645"/>
        <w:rPr>
          <w:rFonts w:ascii="仿宋" w:hAnsi="仿宋" w:eastAsia="仿宋" w:cs="方正楷体_GBK"/>
          <w:bCs/>
          <w:color w:val="000000"/>
          <w:sz w:val="24"/>
        </w:rPr>
      </w:pPr>
      <w:r>
        <w:rPr>
          <w:rFonts w:hint="eastAsia" w:ascii="仿宋" w:hAnsi="仿宋" w:eastAsia="仿宋" w:cs="方正楷体_GBK"/>
          <w:bCs/>
          <w:color w:val="000000"/>
          <w:sz w:val="24"/>
        </w:rPr>
        <w:t>（二）高效、低毒、安全原则</w:t>
      </w:r>
    </w:p>
    <w:p>
      <w:pPr>
        <w:ind w:firstLine="645"/>
        <w:rPr>
          <w:rFonts w:ascii="仿宋" w:hAnsi="仿宋" w:eastAsia="仿宋" w:cs="仿宋_GB2312"/>
          <w:color w:val="000000"/>
          <w:sz w:val="24"/>
        </w:rPr>
      </w:pPr>
      <w:r>
        <w:rPr>
          <w:rFonts w:hint="eastAsia" w:ascii="仿宋" w:hAnsi="仿宋" w:eastAsia="仿宋" w:cs="仿宋_GB2312"/>
          <w:color w:val="000000"/>
          <w:sz w:val="24"/>
        </w:rPr>
        <w:t>选用产品必须是高效、低毒、对防治对象敏感性高。对高等动物低毒的产品。</w:t>
      </w:r>
    </w:p>
    <w:p>
      <w:pPr>
        <w:ind w:firstLine="645"/>
        <w:rPr>
          <w:rFonts w:ascii="仿宋" w:hAnsi="仿宋" w:eastAsia="仿宋" w:cs="方正楷体_GBK"/>
          <w:bCs/>
          <w:color w:val="000000"/>
          <w:sz w:val="24"/>
        </w:rPr>
      </w:pPr>
      <w:r>
        <w:rPr>
          <w:rFonts w:hint="eastAsia" w:ascii="仿宋" w:hAnsi="仿宋" w:eastAsia="仿宋" w:cs="方正楷体_GBK"/>
          <w:bCs/>
          <w:color w:val="000000"/>
          <w:sz w:val="24"/>
        </w:rPr>
        <w:t>（三）质量保障原则</w:t>
      </w:r>
    </w:p>
    <w:p>
      <w:pPr>
        <w:widowControl/>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选用产品</w:t>
      </w:r>
      <w:r>
        <w:rPr>
          <w:rFonts w:hint="eastAsia" w:ascii="仿宋" w:hAnsi="仿宋" w:eastAsia="仿宋" w:cs="仿宋_GB2312"/>
          <w:color w:val="000000"/>
          <w:kern w:val="0"/>
          <w:sz w:val="24"/>
        </w:rPr>
        <w:t>质量稳定，是国际知名品牌，国内优秀产品，可在主流渠道上批量购买。</w:t>
      </w:r>
    </w:p>
    <w:p>
      <w:pPr>
        <w:ind w:firstLine="645"/>
        <w:rPr>
          <w:rFonts w:ascii="仿宋" w:hAnsi="仿宋" w:eastAsia="仿宋" w:cs="方正楷体_GBK"/>
          <w:bCs/>
          <w:color w:val="000000"/>
          <w:sz w:val="24"/>
        </w:rPr>
      </w:pPr>
      <w:r>
        <w:rPr>
          <w:rFonts w:hint="eastAsia" w:ascii="仿宋" w:hAnsi="仿宋" w:eastAsia="仿宋" w:cs="方正楷体_GBK"/>
          <w:bCs/>
          <w:color w:val="000000"/>
          <w:sz w:val="24"/>
        </w:rPr>
        <w:t>（四）绿色环保原则</w:t>
      </w:r>
    </w:p>
    <w:p>
      <w:pPr>
        <w:ind w:firstLine="645"/>
        <w:rPr>
          <w:rFonts w:ascii="仿宋" w:hAnsi="仿宋" w:eastAsia="仿宋" w:cs="仿宋_GB2312"/>
          <w:color w:val="000000"/>
          <w:sz w:val="24"/>
        </w:rPr>
      </w:pPr>
      <w:r>
        <w:rPr>
          <w:rFonts w:hint="eastAsia" w:ascii="仿宋" w:hAnsi="仿宋" w:eastAsia="仿宋" w:cs="仿宋_GB2312"/>
          <w:color w:val="000000"/>
          <w:sz w:val="24"/>
        </w:rPr>
        <w:t>选用产品必须是环境友好型、绿色环保型产品</w:t>
      </w:r>
    </w:p>
    <w:p>
      <w:pPr>
        <w:ind w:firstLine="645"/>
        <w:rPr>
          <w:rFonts w:ascii="仿宋" w:hAnsi="仿宋" w:eastAsia="仿宋" w:cs="方正楷体_GBK"/>
          <w:bCs/>
          <w:color w:val="000000"/>
          <w:sz w:val="24"/>
        </w:rPr>
      </w:pPr>
      <w:r>
        <w:rPr>
          <w:rFonts w:hint="eastAsia" w:ascii="仿宋" w:hAnsi="仿宋" w:eastAsia="仿宋" w:cs="方正楷体_GBK"/>
          <w:bCs/>
          <w:color w:val="000000"/>
          <w:sz w:val="24"/>
        </w:rPr>
        <w:t>（五）禁用、停用、限用原则</w:t>
      </w:r>
    </w:p>
    <w:p>
      <w:pPr>
        <w:ind w:firstLine="645"/>
        <w:rPr>
          <w:rFonts w:ascii="仿宋" w:hAnsi="仿宋" w:eastAsia="仿宋" w:cs="仿宋_GB2312"/>
          <w:color w:val="000000"/>
          <w:sz w:val="24"/>
        </w:rPr>
      </w:pPr>
      <w:r>
        <w:rPr>
          <w:rFonts w:hint="eastAsia" w:ascii="仿宋" w:hAnsi="仿宋" w:eastAsia="仿宋" w:cs="仿宋_GB2312"/>
          <w:color w:val="000000"/>
          <w:sz w:val="24"/>
        </w:rPr>
        <w:t>严禁使用国家禁用杀鼠剂以及高毒、剧毒的卫生杀虫剂（含复配产品），在限制条件下使用有机磷制剂，禁止自行配制和使用杀鼠剂、卫生杀虫剂。</w:t>
      </w:r>
    </w:p>
    <w:p>
      <w:pPr>
        <w:ind w:firstLine="645"/>
        <w:rPr>
          <w:rFonts w:ascii="仿宋" w:hAnsi="仿宋" w:eastAsia="仿宋" w:cs="黑体"/>
          <w:bCs/>
          <w:color w:val="000000"/>
          <w:sz w:val="24"/>
        </w:rPr>
      </w:pPr>
      <w:r>
        <w:rPr>
          <w:rFonts w:hint="eastAsia" w:ascii="仿宋" w:hAnsi="仿宋" w:eastAsia="仿宋" w:cs="黑体"/>
          <w:bCs/>
          <w:color w:val="000000"/>
          <w:sz w:val="24"/>
        </w:rPr>
        <w:t>二、卫生杀虫剂、杀鼠剂优先选用原则</w:t>
      </w:r>
    </w:p>
    <w:p>
      <w:pPr>
        <w:ind w:firstLine="645"/>
        <w:rPr>
          <w:rFonts w:ascii="仿宋" w:hAnsi="仿宋" w:eastAsia="仿宋" w:cs="仿宋_GB2312"/>
          <w:bCs/>
          <w:color w:val="000000"/>
          <w:sz w:val="24"/>
        </w:rPr>
      </w:pPr>
      <w:r>
        <w:rPr>
          <w:rFonts w:hint="eastAsia" w:ascii="仿宋" w:hAnsi="仿宋" w:eastAsia="仿宋" w:cs="方正楷体_GBK"/>
          <w:bCs/>
          <w:color w:val="000000"/>
          <w:sz w:val="24"/>
        </w:rPr>
        <w:t>（一）世界卫生组织推荐优先原则</w:t>
      </w:r>
    </w:p>
    <w:p>
      <w:pPr>
        <w:ind w:firstLine="645"/>
        <w:rPr>
          <w:rFonts w:ascii="仿宋" w:hAnsi="仿宋" w:eastAsia="仿宋" w:cs="仿宋_GB2312"/>
          <w:color w:val="000000"/>
          <w:sz w:val="24"/>
        </w:rPr>
      </w:pPr>
      <w:r>
        <w:rPr>
          <w:rFonts w:hint="eastAsia" w:ascii="仿宋" w:hAnsi="仿宋" w:eastAsia="仿宋" w:cs="仿宋_GB2312"/>
          <w:color w:val="000000"/>
          <w:sz w:val="24"/>
        </w:rPr>
        <w:t>优先选用有效成份为世界卫生组织（WHO）推荐、在我国登记卫生用的药剂品种。</w:t>
      </w:r>
    </w:p>
    <w:p>
      <w:pPr>
        <w:ind w:firstLine="645"/>
        <w:rPr>
          <w:rFonts w:ascii="仿宋" w:hAnsi="仿宋" w:eastAsia="仿宋" w:cs="仿宋_GB2312"/>
          <w:bCs/>
          <w:color w:val="000000"/>
          <w:sz w:val="24"/>
        </w:rPr>
      </w:pPr>
      <w:r>
        <w:rPr>
          <w:rFonts w:hint="eastAsia" w:ascii="仿宋" w:hAnsi="仿宋" w:eastAsia="仿宋" w:cs="方正楷体_GBK"/>
          <w:bCs/>
          <w:color w:val="000000"/>
          <w:sz w:val="24"/>
        </w:rPr>
        <w:t>（二）环境友好型制剂优先原则</w:t>
      </w:r>
    </w:p>
    <w:p>
      <w:pPr>
        <w:ind w:firstLine="645"/>
        <w:rPr>
          <w:rFonts w:ascii="仿宋" w:hAnsi="仿宋" w:eastAsia="仿宋" w:cs="仿宋_GB2312"/>
          <w:color w:val="000000"/>
          <w:sz w:val="24"/>
        </w:rPr>
      </w:pPr>
      <w:r>
        <w:rPr>
          <w:rFonts w:hint="eastAsia" w:ascii="仿宋" w:hAnsi="仿宋" w:eastAsia="仿宋" w:cs="仿宋_GB2312"/>
          <w:color w:val="000000"/>
          <w:sz w:val="24"/>
        </w:rPr>
        <w:t>优先选用对环境友好、刺激性小、环境污染小的药剂。优先剂型包括水基制剂、缓释剂。</w:t>
      </w:r>
    </w:p>
    <w:p>
      <w:pPr>
        <w:ind w:firstLine="645"/>
        <w:rPr>
          <w:rFonts w:ascii="仿宋" w:hAnsi="仿宋" w:eastAsia="仿宋" w:cs="仿宋_GB2312"/>
          <w:bCs/>
          <w:color w:val="000000"/>
          <w:sz w:val="24"/>
        </w:rPr>
      </w:pPr>
      <w:r>
        <w:rPr>
          <w:rFonts w:hint="eastAsia" w:ascii="仿宋" w:hAnsi="仿宋" w:eastAsia="仿宋" w:cs="方正楷体_GBK"/>
          <w:bCs/>
          <w:color w:val="000000"/>
          <w:sz w:val="24"/>
        </w:rPr>
        <w:t>（三）生物药剂优先原则</w:t>
      </w:r>
    </w:p>
    <w:p>
      <w:pPr>
        <w:ind w:firstLine="645"/>
        <w:rPr>
          <w:rFonts w:ascii="仿宋" w:hAnsi="仿宋" w:eastAsia="仿宋" w:cs="仿宋_GB2312"/>
          <w:color w:val="000000"/>
          <w:sz w:val="24"/>
        </w:rPr>
      </w:pPr>
      <w:r>
        <w:rPr>
          <w:rFonts w:hint="eastAsia" w:ascii="仿宋" w:hAnsi="仿宋" w:eastAsia="仿宋" w:cs="仿宋_GB2312"/>
          <w:color w:val="000000"/>
          <w:sz w:val="24"/>
        </w:rPr>
        <w:t>优先选用效果确切、对非靶标生物无毒性的生物</w:t>
      </w:r>
      <w:r>
        <w:rPr>
          <w:rFonts w:hint="eastAsia" w:ascii="仿宋" w:hAnsi="仿宋" w:eastAsia="仿宋" w:cs="仿宋_GB2312"/>
          <w:color w:val="000000"/>
          <w:kern w:val="0"/>
          <w:sz w:val="24"/>
        </w:rPr>
        <w:t>或生物</w:t>
      </w:r>
      <w:r>
        <w:rPr>
          <w:rFonts w:hint="eastAsia" w:ascii="仿宋" w:hAnsi="仿宋" w:eastAsia="仿宋" w:cs="仿宋_GB2312"/>
          <w:color w:val="000000"/>
          <w:sz w:val="24"/>
        </w:rPr>
        <w:t>源性卫生杀虫剂、杀鼠剂。</w:t>
      </w:r>
    </w:p>
    <w:p>
      <w:pPr>
        <w:ind w:firstLine="645"/>
        <w:rPr>
          <w:rFonts w:ascii="仿宋" w:hAnsi="仿宋" w:eastAsia="仿宋" w:cs="方正楷体_GBK"/>
          <w:bCs/>
          <w:color w:val="000000"/>
          <w:sz w:val="24"/>
        </w:rPr>
      </w:pPr>
      <w:r>
        <w:rPr>
          <w:rFonts w:hint="eastAsia" w:ascii="仿宋" w:hAnsi="仿宋" w:eastAsia="仿宋" w:cs="方正楷体_GBK"/>
          <w:bCs/>
          <w:color w:val="000000"/>
          <w:sz w:val="24"/>
        </w:rPr>
        <w:t>（四）奥运会、大运会、亚运会选用产品优先原则</w:t>
      </w:r>
    </w:p>
    <w:p>
      <w:pPr>
        <w:ind w:firstLine="645"/>
        <w:rPr>
          <w:rFonts w:ascii="仿宋" w:hAnsi="仿宋" w:eastAsia="仿宋" w:cs="仿宋_GB2312"/>
          <w:color w:val="000000"/>
          <w:sz w:val="24"/>
        </w:rPr>
      </w:pPr>
      <w:r>
        <w:rPr>
          <w:rFonts w:hint="eastAsia" w:ascii="仿宋" w:hAnsi="仿宋" w:eastAsia="仿宋" w:cs="仿宋_GB2312"/>
          <w:color w:val="000000"/>
          <w:sz w:val="24"/>
        </w:rPr>
        <w:t>优先选用经奥运会、亚运会使用，同时适用于成都地区环境的产品。</w:t>
      </w:r>
    </w:p>
    <w:p>
      <w:pPr>
        <w:ind w:firstLine="645"/>
        <w:rPr>
          <w:rFonts w:ascii="仿宋" w:hAnsi="仿宋" w:eastAsia="仿宋" w:cs="仿宋_GB2312"/>
          <w:bCs/>
          <w:color w:val="000000"/>
          <w:sz w:val="24"/>
        </w:rPr>
      </w:pPr>
      <w:r>
        <w:rPr>
          <w:rFonts w:hint="eastAsia" w:ascii="仿宋" w:hAnsi="仿宋" w:eastAsia="仿宋" w:cs="方正楷体_GBK"/>
          <w:bCs/>
          <w:color w:val="000000"/>
          <w:sz w:val="24"/>
        </w:rPr>
        <w:t>（五）本地适用优先原则</w:t>
      </w:r>
    </w:p>
    <w:p>
      <w:pPr>
        <w:widowControl/>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优先选用常用于成都地区、效果确切、</w:t>
      </w:r>
      <w:r>
        <w:rPr>
          <w:rFonts w:hint="eastAsia" w:ascii="仿宋" w:hAnsi="仿宋" w:eastAsia="仿宋" w:cs="仿宋_GB2312"/>
          <w:color w:val="000000"/>
          <w:kern w:val="0"/>
          <w:sz w:val="24"/>
        </w:rPr>
        <w:t>有本地区抗药性监测数据为依据的</w:t>
      </w:r>
      <w:r>
        <w:rPr>
          <w:rFonts w:hint="eastAsia" w:ascii="仿宋" w:hAnsi="仿宋" w:eastAsia="仿宋" w:cs="仿宋_GB2312"/>
          <w:color w:val="000000"/>
          <w:sz w:val="24"/>
        </w:rPr>
        <w:t>绿色环保产品。</w:t>
      </w:r>
    </w:p>
    <w:p>
      <w:pPr>
        <w:ind w:firstLine="645"/>
        <w:rPr>
          <w:rFonts w:ascii="仿宋" w:hAnsi="仿宋" w:eastAsia="仿宋" w:cs="方正楷体_GBK"/>
          <w:bCs/>
          <w:color w:val="000000"/>
          <w:sz w:val="24"/>
        </w:rPr>
      </w:pPr>
      <w:r>
        <w:rPr>
          <w:rFonts w:hint="eastAsia" w:ascii="仿宋" w:hAnsi="仿宋" w:eastAsia="仿宋" w:cs="方正楷体_GBK"/>
          <w:bCs/>
          <w:color w:val="000000"/>
          <w:sz w:val="24"/>
        </w:rPr>
        <w:t>（六）生物源性、低毒性、慢性杀鼠剂优先原则</w:t>
      </w:r>
    </w:p>
    <w:p>
      <w:pPr>
        <w:ind w:firstLine="645"/>
        <w:rPr>
          <w:rFonts w:ascii="仿宋" w:hAnsi="仿宋" w:eastAsia="仿宋" w:cs="仿宋_GB2312"/>
          <w:b/>
          <w:color w:val="000000"/>
          <w:sz w:val="24"/>
        </w:rPr>
      </w:pPr>
      <w:r>
        <w:rPr>
          <w:rFonts w:hint="eastAsia" w:ascii="仿宋" w:hAnsi="仿宋" w:eastAsia="仿宋" w:cs="仿宋_GB2312"/>
          <w:color w:val="000000"/>
          <w:sz w:val="24"/>
        </w:rPr>
        <w:t>优先选用胆钙化醇、地芬·硫酸钡、雷公藤甲素、抗凝血杀鼠剂。</w:t>
      </w:r>
    </w:p>
    <w:p>
      <w:pPr>
        <w:ind w:firstLine="645"/>
        <w:rPr>
          <w:rFonts w:ascii="仿宋" w:hAnsi="仿宋" w:eastAsia="仿宋" w:cs="黑体"/>
          <w:bCs/>
          <w:color w:val="000000"/>
          <w:sz w:val="24"/>
        </w:rPr>
      </w:pPr>
      <w:r>
        <w:rPr>
          <w:rFonts w:hint="eastAsia" w:ascii="仿宋" w:hAnsi="仿宋" w:eastAsia="仿宋" w:cs="黑体"/>
          <w:bCs/>
          <w:color w:val="000000"/>
          <w:sz w:val="24"/>
        </w:rPr>
        <w:t>三、大运会场馆区（包括重要非竞赛区）安全药械使用原则</w:t>
      </w:r>
    </w:p>
    <w:p>
      <w:pPr>
        <w:ind w:firstLine="645"/>
        <w:rPr>
          <w:rFonts w:ascii="仿宋" w:hAnsi="仿宋" w:eastAsia="仿宋" w:cs="方正楷体_GBK"/>
          <w:bCs/>
          <w:color w:val="000000"/>
          <w:sz w:val="24"/>
        </w:rPr>
      </w:pPr>
      <w:r>
        <w:rPr>
          <w:rFonts w:hint="eastAsia" w:ascii="仿宋" w:hAnsi="仿宋" w:eastAsia="仿宋" w:cs="方正楷体_GBK"/>
          <w:bCs/>
          <w:color w:val="000000"/>
          <w:sz w:val="24"/>
        </w:rPr>
        <w:t>（一）首选物理器械原则</w:t>
      </w:r>
    </w:p>
    <w:p>
      <w:pPr>
        <w:ind w:firstLine="645"/>
        <w:rPr>
          <w:rFonts w:ascii="仿宋" w:hAnsi="仿宋" w:eastAsia="仿宋" w:cs="仿宋_GB2312"/>
          <w:color w:val="000000"/>
          <w:sz w:val="24"/>
        </w:rPr>
      </w:pPr>
      <w:r>
        <w:rPr>
          <w:rFonts w:hint="eastAsia" w:ascii="仿宋" w:hAnsi="仿宋" w:eastAsia="仿宋" w:cs="仿宋_GB2312"/>
          <w:color w:val="000000"/>
          <w:sz w:val="24"/>
        </w:rPr>
        <w:t>大运场馆、重要非竞赛区室内控制病媒生物优先选用防蚊闸、纱门、纱窗、防蝇胶帘、灭蚊蝇灯、风帘机、粘蝇纸、粘鼠板、捕鼠笼、电子捕鼠器等不产生有毒有害的器械。</w:t>
      </w:r>
    </w:p>
    <w:p>
      <w:pPr>
        <w:ind w:firstLine="645"/>
        <w:rPr>
          <w:rFonts w:ascii="仿宋" w:hAnsi="仿宋" w:eastAsia="仿宋" w:cs="仿宋_GB2312"/>
          <w:bCs/>
          <w:color w:val="000000"/>
          <w:sz w:val="24"/>
        </w:rPr>
      </w:pPr>
      <w:r>
        <w:rPr>
          <w:rFonts w:hint="eastAsia" w:ascii="仿宋" w:hAnsi="仿宋" w:eastAsia="仿宋" w:cs="方正楷体_GBK"/>
          <w:bCs/>
          <w:color w:val="000000"/>
          <w:sz w:val="24"/>
        </w:rPr>
        <w:t>（二）只用水基剂型原则</w:t>
      </w:r>
    </w:p>
    <w:p>
      <w:pPr>
        <w:ind w:firstLine="645"/>
        <w:rPr>
          <w:rFonts w:ascii="仿宋" w:hAnsi="仿宋" w:eastAsia="仿宋" w:cs="仿宋_GB2312"/>
          <w:color w:val="000000"/>
          <w:sz w:val="24"/>
        </w:rPr>
      </w:pPr>
      <w:r>
        <w:rPr>
          <w:rFonts w:hint="eastAsia" w:ascii="仿宋" w:hAnsi="仿宋" w:eastAsia="仿宋" w:cs="仿宋_GB2312"/>
          <w:color w:val="000000"/>
          <w:sz w:val="24"/>
        </w:rPr>
        <w:t>用于室内空间喷洒或滞留喷洒的卫生杀虫剂剂型只能使用以水为溶剂的产品，包括水乳剂、悬浮剂（胶悬剂）、微胶囊剂。</w:t>
      </w:r>
    </w:p>
    <w:p>
      <w:pPr>
        <w:ind w:firstLine="645"/>
        <w:rPr>
          <w:rFonts w:ascii="仿宋" w:hAnsi="仿宋" w:eastAsia="仿宋" w:cs="方正楷体_GBK"/>
          <w:bCs/>
          <w:color w:val="000000"/>
          <w:sz w:val="24"/>
        </w:rPr>
      </w:pPr>
      <w:r>
        <w:rPr>
          <w:rFonts w:hint="eastAsia" w:ascii="仿宋" w:hAnsi="仿宋" w:eastAsia="仿宋" w:cs="方正楷体_GBK"/>
          <w:bCs/>
          <w:color w:val="000000"/>
          <w:sz w:val="24"/>
        </w:rPr>
        <w:t>（三）室内限用杀鼠剂原则</w:t>
      </w:r>
    </w:p>
    <w:p>
      <w:pPr>
        <w:ind w:firstLine="645"/>
        <w:rPr>
          <w:rFonts w:ascii="仿宋" w:hAnsi="仿宋" w:eastAsia="仿宋" w:cs="仿宋_GB2312"/>
          <w:color w:val="000000"/>
          <w:sz w:val="24"/>
        </w:rPr>
      </w:pPr>
      <w:r>
        <w:rPr>
          <w:rFonts w:hint="eastAsia" w:ascii="仿宋" w:hAnsi="仿宋" w:eastAsia="仿宋" w:cs="仿宋_GB2312"/>
          <w:color w:val="000000"/>
          <w:sz w:val="24"/>
        </w:rPr>
        <w:t>大运会场馆以防鼠为原则，室内灭鼠只使用粘鼠板、鼠夹、鼠笼等捕鼠器械，原则上不使用杀鼠剂灭鼠。</w:t>
      </w:r>
    </w:p>
    <w:p>
      <w:pPr>
        <w:ind w:firstLine="645"/>
        <w:rPr>
          <w:rFonts w:ascii="仿宋" w:hAnsi="仿宋" w:eastAsia="仿宋" w:cs="方正楷体_GBK"/>
          <w:bCs/>
          <w:color w:val="000000"/>
          <w:sz w:val="24"/>
        </w:rPr>
      </w:pPr>
      <w:r>
        <w:rPr>
          <w:rFonts w:hint="eastAsia" w:ascii="仿宋" w:hAnsi="仿宋" w:eastAsia="仿宋" w:cs="方正楷体_GBK"/>
          <w:bCs/>
          <w:color w:val="000000"/>
          <w:sz w:val="24"/>
        </w:rPr>
        <w:t>（四）禁止烟汽原则</w:t>
      </w:r>
    </w:p>
    <w:p>
      <w:pPr>
        <w:ind w:firstLine="645"/>
        <w:rPr>
          <w:rFonts w:ascii="仿宋" w:hAnsi="仿宋" w:eastAsia="仿宋" w:cs="仿宋_GB2312"/>
          <w:color w:val="000000"/>
          <w:sz w:val="24"/>
        </w:rPr>
      </w:pPr>
      <w:r>
        <w:rPr>
          <w:rFonts w:hint="eastAsia" w:ascii="仿宋" w:hAnsi="仿宋" w:eastAsia="仿宋" w:cs="仿宋_GB2312"/>
          <w:color w:val="000000"/>
          <w:sz w:val="24"/>
        </w:rPr>
        <w:t>室内环境喷洒选用不产生废气的电动式、充电式喷雾机，或手动喷雾器械，大运场馆内禁止使用烟雾机以及烟机、热烟雾剂等发烟性药剂。</w:t>
      </w:r>
    </w:p>
    <w:p>
      <w:pPr>
        <w:ind w:firstLine="645"/>
        <w:rPr>
          <w:rFonts w:ascii="仿宋" w:hAnsi="仿宋" w:eastAsia="仿宋" w:cs="仿宋_GB2312"/>
          <w:bCs/>
          <w:color w:val="000000"/>
          <w:sz w:val="24"/>
        </w:rPr>
      </w:pPr>
      <w:r>
        <w:rPr>
          <w:rFonts w:hint="eastAsia" w:ascii="仿宋" w:hAnsi="仿宋" w:eastAsia="仿宋" w:cs="方正楷体_GBK"/>
          <w:bCs/>
          <w:color w:val="000000"/>
          <w:sz w:val="24"/>
        </w:rPr>
        <w:t>（五）毒鼠站配套使用原则</w:t>
      </w:r>
    </w:p>
    <w:p>
      <w:pPr>
        <w:ind w:firstLine="645"/>
        <w:rPr>
          <w:rFonts w:ascii="仿宋" w:hAnsi="仿宋" w:eastAsia="仿宋" w:cs="仿宋_GB2312"/>
          <w:color w:val="000000"/>
          <w:sz w:val="24"/>
        </w:rPr>
      </w:pPr>
      <w:r>
        <w:rPr>
          <w:rFonts w:hint="eastAsia" w:ascii="仿宋" w:hAnsi="仿宋" w:eastAsia="仿宋" w:cs="仿宋_GB2312"/>
          <w:color w:val="000000"/>
          <w:sz w:val="24"/>
        </w:rPr>
        <w:t>在涉及大运会的场所进行投放毒饵灭鼠时，须配套毒鼠站投饵，不得裸露投放。同时设置警告标志。</w:t>
      </w:r>
    </w:p>
    <w:p>
      <w:pPr>
        <w:ind w:firstLine="645"/>
        <w:rPr>
          <w:rFonts w:ascii="仿宋" w:hAnsi="仿宋" w:eastAsia="仿宋" w:cs="仿宋_GB2312"/>
          <w:bCs/>
          <w:color w:val="000000"/>
          <w:sz w:val="24"/>
        </w:rPr>
      </w:pPr>
      <w:r>
        <w:rPr>
          <w:rFonts w:hint="eastAsia" w:ascii="仿宋" w:hAnsi="仿宋" w:eastAsia="仿宋" w:cs="方正楷体_GBK"/>
          <w:bCs/>
          <w:color w:val="000000"/>
          <w:sz w:val="24"/>
        </w:rPr>
        <w:t>（六）主场馆专用原则</w:t>
      </w:r>
    </w:p>
    <w:p>
      <w:pPr>
        <w:ind w:firstLine="645"/>
        <w:rPr>
          <w:rFonts w:ascii="仿宋" w:hAnsi="仿宋" w:eastAsia="仿宋" w:cs="仿宋_GB2312"/>
          <w:color w:val="000000"/>
          <w:sz w:val="24"/>
        </w:rPr>
      </w:pPr>
      <w:r>
        <w:rPr>
          <w:rFonts w:hint="eastAsia" w:ascii="仿宋" w:hAnsi="仿宋" w:eastAsia="仿宋" w:cs="仿宋_GB2312"/>
          <w:color w:val="000000"/>
          <w:sz w:val="24"/>
        </w:rPr>
        <w:t>重点保障区原则上使用微毒、低毒级卫生杀虫剂、杀鼠剂知名产品。</w:t>
      </w:r>
    </w:p>
    <w:p>
      <w:pPr>
        <w:ind w:firstLine="645"/>
        <w:rPr>
          <w:rFonts w:ascii="仿宋" w:hAnsi="仿宋" w:eastAsia="仿宋" w:cs="黑体"/>
          <w:bCs/>
          <w:color w:val="000000"/>
          <w:sz w:val="24"/>
        </w:rPr>
      </w:pPr>
      <w:r>
        <w:rPr>
          <w:rFonts w:hint="eastAsia" w:ascii="仿宋" w:hAnsi="仿宋" w:eastAsia="仿宋" w:cs="黑体"/>
          <w:bCs/>
          <w:color w:val="000000"/>
          <w:sz w:val="24"/>
        </w:rPr>
        <w:t>四、喷雾器械的安全使用原则</w:t>
      </w:r>
    </w:p>
    <w:p>
      <w:pPr>
        <w:ind w:firstLine="645"/>
        <w:rPr>
          <w:rFonts w:ascii="仿宋" w:hAnsi="仿宋" w:eastAsia="仿宋" w:cs="仿宋_GB2312"/>
          <w:bCs/>
          <w:color w:val="000000"/>
          <w:sz w:val="24"/>
        </w:rPr>
      </w:pPr>
      <w:r>
        <w:rPr>
          <w:rFonts w:hint="eastAsia" w:ascii="仿宋" w:hAnsi="仿宋" w:eastAsia="仿宋" w:cs="方正楷体_GBK"/>
          <w:bCs/>
          <w:color w:val="000000"/>
          <w:sz w:val="24"/>
        </w:rPr>
        <w:t>（一）匹配原则</w:t>
      </w:r>
    </w:p>
    <w:p>
      <w:pPr>
        <w:adjustRightInd w:val="0"/>
        <w:snapToGrid w:val="0"/>
        <w:ind w:firstLine="480" w:firstLineChars="200"/>
        <w:rPr>
          <w:rFonts w:ascii="仿宋" w:hAnsi="仿宋" w:eastAsia="仿宋" w:cs="仿宋_GB2312"/>
          <w:color w:val="000000"/>
          <w:sz w:val="24"/>
        </w:rPr>
      </w:pPr>
      <w:r>
        <w:rPr>
          <w:rFonts w:hint="eastAsia" w:ascii="仿宋" w:hAnsi="仿宋" w:eastAsia="仿宋" w:cs="仿宋_GB2312"/>
          <w:color w:val="000000"/>
          <w:sz w:val="24"/>
        </w:rPr>
        <w:t>根据防制的要求和药物的剂型选择合适的喷雾器械,精准计量使用药品。</w:t>
      </w:r>
    </w:p>
    <w:p>
      <w:pPr>
        <w:ind w:firstLine="645"/>
        <w:rPr>
          <w:rFonts w:ascii="仿宋" w:hAnsi="仿宋" w:eastAsia="仿宋" w:cs="仿宋_GB2312"/>
          <w:bCs/>
          <w:color w:val="000000"/>
          <w:sz w:val="24"/>
        </w:rPr>
      </w:pPr>
      <w:r>
        <w:rPr>
          <w:rFonts w:hint="eastAsia" w:ascii="仿宋" w:hAnsi="仿宋" w:eastAsia="仿宋" w:cs="方正楷体_GBK"/>
          <w:bCs/>
          <w:color w:val="000000"/>
          <w:sz w:val="24"/>
        </w:rPr>
        <w:t>（二）性能优良原则</w:t>
      </w:r>
    </w:p>
    <w:p>
      <w:pPr>
        <w:ind w:firstLine="645"/>
        <w:rPr>
          <w:rFonts w:ascii="仿宋" w:hAnsi="仿宋" w:eastAsia="仿宋" w:cs="仿宋_GB2312"/>
          <w:color w:val="000000"/>
          <w:sz w:val="24"/>
        </w:rPr>
      </w:pPr>
      <w:r>
        <w:rPr>
          <w:rFonts w:hint="eastAsia" w:ascii="仿宋" w:hAnsi="仿宋" w:eastAsia="仿宋" w:cs="仿宋_GB2312"/>
          <w:color w:val="000000"/>
          <w:sz w:val="24"/>
        </w:rPr>
        <w:t>1.雾化性能好：喷出的雾粒要均匀、稳定。</w:t>
      </w:r>
    </w:p>
    <w:p>
      <w:pPr>
        <w:ind w:firstLine="645"/>
        <w:rPr>
          <w:rFonts w:ascii="仿宋" w:hAnsi="仿宋" w:eastAsia="仿宋" w:cs="仿宋_GB2312"/>
          <w:color w:val="000000"/>
          <w:sz w:val="24"/>
        </w:rPr>
      </w:pPr>
      <w:r>
        <w:rPr>
          <w:rFonts w:hint="eastAsia" w:ascii="仿宋" w:hAnsi="仿宋" w:eastAsia="仿宋" w:cs="仿宋_GB2312"/>
          <w:color w:val="000000"/>
          <w:sz w:val="24"/>
        </w:rPr>
        <w:t>2.密封性好：无渗漏、滴液现象。</w:t>
      </w:r>
    </w:p>
    <w:p>
      <w:pPr>
        <w:ind w:firstLine="645"/>
        <w:rPr>
          <w:rFonts w:ascii="仿宋" w:hAnsi="仿宋" w:eastAsia="仿宋" w:cs="仿宋_GB2312"/>
          <w:color w:val="000000"/>
          <w:sz w:val="24"/>
        </w:rPr>
      </w:pPr>
      <w:r>
        <w:rPr>
          <w:rFonts w:hint="eastAsia" w:ascii="仿宋" w:hAnsi="仿宋" w:eastAsia="仿宋" w:cs="仿宋_GB2312"/>
          <w:color w:val="000000"/>
          <w:sz w:val="24"/>
        </w:rPr>
        <w:t>3.操作性能好：操作灵活、方便。车载超低容量喷雾器喷雾方向能够随时调整。</w:t>
      </w:r>
    </w:p>
    <w:p>
      <w:pPr>
        <w:ind w:firstLine="645"/>
        <w:rPr>
          <w:rFonts w:ascii="仿宋" w:hAnsi="仿宋" w:eastAsia="仿宋" w:cs="仿宋_GB2312"/>
          <w:color w:val="000000"/>
          <w:sz w:val="24"/>
        </w:rPr>
      </w:pPr>
      <w:r>
        <w:rPr>
          <w:rFonts w:hint="eastAsia" w:ascii="仿宋" w:hAnsi="仿宋" w:eastAsia="仿宋" w:cs="仿宋_GB2312"/>
          <w:color w:val="000000"/>
          <w:sz w:val="24"/>
        </w:rPr>
        <w:t>4.机动性能强：可以在较大范围内实施机动。</w:t>
      </w:r>
    </w:p>
    <w:p>
      <w:pPr>
        <w:ind w:firstLine="645"/>
        <w:rPr>
          <w:rFonts w:ascii="仿宋" w:hAnsi="仿宋" w:eastAsia="仿宋" w:cs="仿宋_GB2312"/>
          <w:color w:val="000000"/>
          <w:sz w:val="24"/>
        </w:rPr>
      </w:pPr>
      <w:r>
        <w:rPr>
          <w:rFonts w:hint="eastAsia" w:ascii="仿宋" w:hAnsi="仿宋" w:eastAsia="仿宋" w:cs="仿宋_GB2312"/>
          <w:color w:val="000000"/>
          <w:sz w:val="24"/>
        </w:rPr>
        <w:t>5.耐腐蚀性好。</w:t>
      </w:r>
    </w:p>
    <w:p>
      <w:pPr>
        <w:ind w:firstLine="645"/>
        <w:rPr>
          <w:rFonts w:ascii="仿宋" w:hAnsi="仿宋" w:eastAsia="仿宋" w:cs="仿宋_GB2312"/>
          <w:color w:val="000000"/>
          <w:sz w:val="24"/>
        </w:rPr>
      </w:pPr>
      <w:r>
        <w:rPr>
          <w:rFonts w:hint="eastAsia" w:ascii="仿宋" w:hAnsi="仿宋" w:eastAsia="仿宋" w:cs="仿宋_GB2312"/>
          <w:color w:val="000000"/>
          <w:sz w:val="24"/>
        </w:rPr>
        <w:t>6.外观造型好。</w:t>
      </w:r>
    </w:p>
    <w:p>
      <w:pPr>
        <w:ind w:firstLine="645"/>
        <w:rPr>
          <w:rFonts w:ascii="仿宋" w:hAnsi="仿宋" w:eastAsia="仿宋" w:cs="仿宋_GB2312"/>
          <w:color w:val="000000"/>
          <w:sz w:val="24"/>
        </w:rPr>
      </w:pPr>
      <w:r>
        <w:rPr>
          <w:rFonts w:hint="eastAsia" w:ascii="仿宋" w:hAnsi="仿宋" w:eastAsia="仿宋" w:cs="仿宋_GB2312"/>
          <w:color w:val="000000"/>
          <w:sz w:val="24"/>
        </w:rPr>
        <w:t>7.使用寿命长。</w:t>
      </w:r>
    </w:p>
    <w:p>
      <w:pPr>
        <w:rPr>
          <w:rFonts w:ascii="仿宋" w:hAnsi="仿宋" w:eastAsia="仿宋"/>
          <w:b/>
          <w:bCs/>
          <w:color w:val="000000"/>
          <w:sz w:val="24"/>
        </w:rPr>
      </w:pPr>
      <w:r>
        <w:rPr>
          <w:rFonts w:hint="eastAsia" w:ascii="仿宋" w:hAnsi="仿宋" w:eastAsia="仿宋"/>
          <w:b/>
          <w:bCs/>
          <w:color w:val="000000"/>
          <w:sz w:val="24"/>
        </w:rPr>
        <w:t>6、应急演练要求：</w:t>
      </w:r>
    </w:p>
    <w:p>
      <w:pPr>
        <w:rPr>
          <w:rFonts w:ascii="仿宋" w:hAnsi="仿宋" w:eastAsia="仿宋"/>
          <w:b/>
          <w:bCs/>
          <w:color w:val="000000"/>
          <w:sz w:val="24"/>
        </w:rPr>
      </w:pPr>
      <w:r>
        <w:rPr>
          <w:rFonts w:hint="eastAsia" w:ascii="仿宋" w:hAnsi="仿宋" w:eastAsia="仿宋"/>
          <w:b/>
          <w:bCs/>
          <w:color w:val="000000"/>
          <w:sz w:val="24"/>
        </w:rPr>
        <w:t>（1）针对本项目各包各个场馆需开展至少一次病媒生物防制应急演练，供应商需组织2名专家（专家由采购人指定）开展现场技术指导和点评.</w:t>
      </w:r>
    </w:p>
    <w:p>
      <w:pPr>
        <w:rPr>
          <w:rFonts w:ascii="仿宋" w:hAnsi="仿宋" w:eastAsia="仿宋"/>
          <w:b/>
          <w:bCs/>
          <w:color w:val="000000"/>
          <w:sz w:val="24"/>
        </w:rPr>
      </w:pPr>
      <w:r>
        <w:rPr>
          <w:rFonts w:hint="eastAsia" w:ascii="仿宋" w:hAnsi="仿宋" w:eastAsia="仿宋"/>
          <w:b/>
          <w:bCs/>
          <w:color w:val="000000"/>
          <w:sz w:val="24"/>
        </w:rPr>
        <w:t>（2）供应商负责配备不少于5人的参演人员</w:t>
      </w:r>
      <w:bookmarkStart w:id="13" w:name="_Hlk131165918"/>
      <w:r>
        <w:rPr>
          <w:rFonts w:hint="eastAsia" w:ascii="仿宋" w:hAnsi="仿宋" w:eastAsia="仿宋"/>
          <w:b/>
          <w:bCs/>
          <w:color w:val="000000"/>
          <w:sz w:val="24"/>
        </w:rPr>
        <w:t>（由项目团队人员兼任）</w:t>
      </w:r>
      <w:bookmarkEnd w:id="13"/>
    </w:p>
    <w:p>
      <w:pPr>
        <w:rPr>
          <w:rFonts w:ascii="仿宋" w:hAnsi="仿宋" w:eastAsia="仿宋"/>
          <w:b/>
          <w:bCs/>
          <w:color w:val="000000"/>
          <w:sz w:val="24"/>
        </w:rPr>
      </w:pPr>
      <w:r>
        <w:rPr>
          <w:rFonts w:hint="eastAsia" w:ascii="仿宋" w:hAnsi="仿宋" w:eastAsia="仿宋"/>
          <w:b/>
          <w:bCs/>
          <w:color w:val="000000"/>
          <w:sz w:val="24"/>
        </w:rPr>
        <w:t>备注：应急演练相关物资由供应商提供（含药品、器械、车辆、应急处置操作手册）</w:t>
      </w:r>
    </w:p>
    <w:p>
      <w:pPr>
        <w:rPr>
          <w:rFonts w:ascii="仿宋" w:hAnsi="仿宋" w:eastAsia="仿宋"/>
          <w:b/>
          <w:bCs/>
          <w:color w:val="000000"/>
          <w:sz w:val="24"/>
        </w:rPr>
      </w:pPr>
      <w:r>
        <w:rPr>
          <w:rFonts w:hint="eastAsia" w:ascii="仿宋" w:hAnsi="仿宋" w:eastAsia="仿宋"/>
          <w:b/>
          <w:bCs/>
          <w:color w:val="000000"/>
          <w:sz w:val="24"/>
        </w:rPr>
        <w:t>7、保险要求：供应商在本项目合同期内需购买不低于5</w:t>
      </w:r>
      <w:r>
        <w:rPr>
          <w:rFonts w:ascii="仿宋" w:hAnsi="仿宋" w:eastAsia="仿宋"/>
          <w:b/>
          <w:bCs/>
          <w:color w:val="000000"/>
          <w:sz w:val="24"/>
        </w:rPr>
        <w:t>00</w:t>
      </w:r>
      <w:r>
        <w:rPr>
          <w:rFonts w:hint="eastAsia" w:ascii="仿宋" w:hAnsi="仿宋" w:eastAsia="仿宋"/>
          <w:b/>
          <w:bCs/>
          <w:color w:val="000000"/>
          <w:sz w:val="24"/>
        </w:rPr>
        <w:t>万元保额的第三方责任险（需提供承诺函或在本项目服务期限内的保单）</w:t>
      </w:r>
    </w:p>
    <w:p>
      <w:pPr>
        <w:widowControl w:val="0"/>
        <w:ind w:left="198" w:leftChars="0" w:hanging="198" w:hangingChars="82"/>
        <w:jc w:val="both"/>
        <w:outlineLvl w:val="2"/>
        <w:rPr>
          <w:rFonts w:ascii="仿宋" w:hAnsi="仿宋" w:eastAsia="仿宋" w:cs="Arial Unicode MS"/>
          <w:b/>
          <w:color w:val="000000"/>
          <w:kern w:val="2"/>
          <w:sz w:val="24"/>
          <w:szCs w:val="24"/>
          <w:lang w:val="zh-CN" w:eastAsia="zh-CN" w:bidi="ar-SA"/>
        </w:rPr>
      </w:pPr>
      <w:r>
        <w:rPr>
          <w:rFonts w:hint="eastAsia" w:ascii="仿宋" w:hAnsi="仿宋" w:eastAsia="仿宋" w:cs="Arial Unicode MS"/>
          <w:b/>
          <w:color w:val="000000"/>
          <w:kern w:val="2"/>
          <w:sz w:val="24"/>
          <w:szCs w:val="24"/>
          <w:lang w:val="zh-CN" w:eastAsia="zh-CN" w:bidi="ar-SA"/>
        </w:rPr>
        <w:t>▲（三）项目团队人员要求（各包适用）</w:t>
      </w:r>
    </w:p>
    <w:p>
      <w:pPr>
        <w:widowControl w:val="0"/>
        <w:ind w:left="92" w:leftChars="44" w:firstLine="240" w:firstLineChars="100"/>
        <w:jc w:val="both"/>
        <w:rPr>
          <w:rFonts w:ascii="仿宋" w:hAnsi="仿宋" w:eastAsia="仿宋" w:cs="方正仿宋简体"/>
          <w:color w:val="000000"/>
          <w:kern w:val="0"/>
          <w:sz w:val="24"/>
          <w:szCs w:val="24"/>
          <w:lang w:val="en-US" w:eastAsia="zh-CN" w:bidi="ar-SA"/>
        </w:rPr>
      </w:pPr>
      <w:r>
        <w:rPr>
          <w:rFonts w:hint="eastAsia" w:ascii="仿宋" w:hAnsi="仿宋" w:eastAsia="仿宋" w:cs="方正仿宋简体"/>
          <w:color w:val="000000"/>
          <w:kern w:val="0"/>
          <w:sz w:val="24"/>
          <w:szCs w:val="24"/>
          <w:lang w:val="en-US" w:eastAsia="zh-CN" w:bidi="ar-SA"/>
        </w:rPr>
        <w:t>供应商针对本项目各包至少配备以下人员</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898"/>
        <w:gridCol w:w="672"/>
        <w:gridCol w:w="3518"/>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408" w:type="pct"/>
            <w:vAlign w:val="center"/>
          </w:tcPr>
          <w:p>
            <w:pPr>
              <w:widowControl/>
              <w:jc w:val="center"/>
              <w:rPr>
                <w:rFonts w:ascii="仿宋" w:hAnsi="仿宋" w:eastAsia="仿宋"/>
                <w:color w:val="000000"/>
                <w:sz w:val="24"/>
              </w:rPr>
            </w:pPr>
            <w:r>
              <w:rPr>
                <w:rFonts w:hint="eastAsia" w:ascii="仿宋" w:hAnsi="仿宋" w:eastAsia="仿宋"/>
                <w:color w:val="000000"/>
                <w:sz w:val="24"/>
              </w:rPr>
              <w:t>序号</w:t>
            </w:r>
          </w:p>
        </w:tc>
        <w:tc>
          <w:tcPr>
            <w:tcW w:w="527" w:type="pct"/>
            <w:vAlign w:val="center"/>
          </w:tcPr>
          <w:p>
            <w:pPr>
              <w:widowControl/>
              <w:jc w:val="center"/>
              <w:rPr>
                <w:rFonts w:ascii="仿宋" w:hAnsi="仿宋" w:eastAsia="仿宋"/>
                <w:color w:val="000000"/>
                <w:sz w:val="24"/>
              </w:rPr>
            </w:pPr>
            <w:r>
              <w:rPr>
                <w:rFonts w:hint="eastAsia" w:ascii="仿宋" w:hAnsi="仿宋" w:eastAsia="仿宋"/>
                <w:color w:val="000000"/>
                <w:sz w:val="24"/>
              </w:rPr>
              <w:t>人员</w:t>
            </w:r>
          </w:p>
        </w:tc>
        <w:tc>
          <w:tcPr>
            <w:tcW w:w="394" w:type="pct"/>
            <w:vAlign w:val="center"/>
          </w:tcPr>
          <w:p>
            <w:pPr>
              <w:widowControl/>
              <w:jc w:val="center"/>
              <w:rPr>
                <w:rFonts w:ascii="仿宋" w:hAnsi="仿宋" w:eastAsia="仿宋"/>
                <w:color w:val="000000"/>
                <w:sz w:val="24"/>
              </w:rPr>
            </w:pPr>
            <w:r>
              <w:rPr>
                <w:rFonts w:hint="eastAsia" w:ascii="仿宋" w:hAnsi="仿宋" w:eastAsia="仿宋"/>
                <w:color w:val="000000"/>
                <w:sz w:val="24"/>
              </w:rPr>
              <w:t>数量</w:t>
            </w:r>
          </w:p>
        </w:tc>
        <w:tc>
          <w:tcPr>
            <w:tcW w:w="2064" w:type="pct"/>
            <w:vAlign w:val="center"/>
          </w:tcPr>
          <w:p>
            <w:pPr>
              <w:widowControl/>
              <w:jc w:val="center"/>
              <w:rPr>
                <w:rFonts w:ascii="仿宋" w:hAnsi="仿宋" w:eastAsia="仿宋"/>
                <w:color w:val="000000"/>
                <w:sz w:val="24"/>
              </w:rPr>
            </w:pPr>
            <w:r>
              <w:rPr>
                <w:rFonts w:hint="eastAsia" w:ascii="仿宋" w:hAnsi="仿宋" w:eastAsia="仿宋"/>
                <w:color w:val="000000"/>
                <w:sz w:val="24"/>
              </w:rPr>
              <w:t>职责</w:t>
            </w:r>
          </w:p>
        </w:tc>
        <w:tc>
          <w:tcPr>
            <w:tcW w:w="1607" w:type="pct"/>
            <w:vAlign w:val="center"/>
          </w:tcPr>
          <w:p>
            <w:pPr>
              <w:widowControl/>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08" w:type="pct"/>
            <w:vAlign w:val="center"/>
          </w:tcPr>
          <w:p>
            <w:pPr>
              <w:widowControl/>
              <w:jc w:val="center"/>
              <w:rPr>
                <w:rFonts w:ascii="仿宋" w:hAnsi="仿宋" w:eastAsia="仿宋"/>
                <w:color w:val="000000"/>
                <w:sz w:val="24"/>
              </w:rPr>
            </w:pPr>
            <w:r>
              <w:rPr>
                <w:rFonts w:hint="eastAsia" w:ascii="仿宋" w:hAnsi="仿宋" w:eastAsia="仿宋"/>
                <w:color w:val="000000"/>
                <w:sz w:val="24"/>
              </w:rPr>
              <w:t>1</w:t>
            </w:r>
          </w:p>
        </w:tc>
        <w:tc>
          <w:tcPr>
            <w:tcW w:w="527" w:type="pct"/>
            <w:vAlign w:val="center"/>
          </w:tcPr>
          <w:p>
            <w:pPr>
              <w:widowControl/>
              <w:jc w:val="center"/>
              <w:rPr>
                <w:rFonts w:ascii="仿宋" w:hAnsi="仿宋" w:eastAsia="仿宋"/>
                <w:color w:val="000000"/>
                <w:sz w:val="24"/>
              </w:rPr>
            </w:pPr>
            <w:r>
              <w:rPr>
                <w:rFonts w:hint="eastAsia" w:ascii="仿宋" w:hAnsi="仿宋" w:eastAsia="仿宋"/>
                <w:color w:val="000000"/>
                <w:sz w:val="24"/>
              </w:rPr>
              <w:t>项目总负责人</w:t>
            </w:r>
          </w:p>
        </w:tc>
        <w:tc>
          <w:tcPr>
            <w:tcW w:w="394" w:type="pct"/>
            <w:vAlign w:val="center"/>
          </w:tcPr>
          <w:p>
            <w:pPr>
              <w:widowControl/>
              <w:jc w:val="center"/>
              <w:rPr>
                <w:rFonts w:ascii="仿宋" w:hAnsi="仿宋" w:eastAsia="仿宋"/>
                <w:color w:val="000000"/>
                <w:sz w:val="24"/>
              </w:rPr>
            </w:pPr>
            <w:r>
              <w:rPr>
                <w:rFonts w:hint="eastAsia" w:ascii="仿宋" w:hAnsi="仿宋" w:eastAsia="仿宋"/>
                <w:color w:val="000000"/>
                <w:sz w:val="24"/>
              </w:rPr>
              <w:t>1</w:t>
            </w:r>
          </w:p>
        </w:tc>
        <w:tc>
          <w:tcPr>
            <w:tcW w:w="2064" w:type="pct"/>
            <w:vAlign w:val="center"/>
          </w:tcPr>
          <w:p>
            <w:pPr>
              <w:widowControl/>
              <w:jc w:val="left"/>
              <w:rPr>
                <w:rFonts w:ascii="仿宋" w:hAnsi="仿宋" w:eastAsia="仿宋"/>
                <w:color w:val="000000"/>
                <w:sz w:val="24"/>
              </w:rPr>
            </w:pPr>
            <w:r>
              <w:rPr>
                <w:rFonts w:hint="eastAsia" w:ascii="仿宋" w:hAnsi="仿宋" w:eastAsia="仿宋" w:cs="宋体"/>
                <w:color w:val="000000"/>
                <w:sz w:val="24"/>
              </w:rPr>
              <w:t>总体负责把控项目需求调研、文档整理、质量进度、交付及验收等各个环节，以及与采购人等相关单位的沟通协调工作。</w:t>
            </w:r>
          </w:p>
        </w:tc>
        <w:tc>
          <w:tcPr>
            <w:tcW w:w="1607" w:type="pct"/>
            <w:vMerge w:val="restart"/>
            <w:vAlign w:val="center"/>
          </w:tcPr>
          <w:p>
            <w:pPr>
              <w:rPr>
                <w:rFonts w:ascii="仿宋" w:hAnsi="仿宋" w:eastAsia="仿宋" w:cs="宋体"/>
                <w:color w:val="000000"/>
                <w:sz w:val="24"/>
              </w:rPr>
            </w:pPr>
            <w:r>
              <w:rPr>
                <w:rFonts w:hint="eastAsia" w:ascii="仿宋" w:hAnsi="仿宋" w:eastAsia="仿宋" w:cs="宋体"/>
                <w:color w:val="000000"/>
                <w:sz w:val="24"/>
              </w:rPr>
              <w:t>1、以上人员不得重复。</w:t>
            </w:r>
          </w:p>
          <w:p>
            <w:pPr>
              <w:widowControl/>
              <w:jc w:val="left"/>
              <w:rPr>
                <w:rFonts w:ascii="仿宋" w:hAnsi="仿宋" w:eastAsia="仿宋" w:cs="宋体"/>
                <w:color w:val="000000"/>
                <w:sz w:val="24"/>
              </w:rPr>
            </w:pPr>
            <w:r>
              <w:rPr>
                <w:rFonts w:hint="eastAsia" w:ascii="仿宋" w:hAnsi="仿宋" w:eastAsia="仿宋" w:cs="宋体"/>
                <w:color w:val="000000"/>
                <w:sz w:val="24"/>
              </w:rPr>
              <w:t>2、需提供实施人员名单、身份证复印件、本单位工作证明材料复印件（供应商与实施人员签订的劳动合同以及202</w:t>
            </w:r>
            <w:r>
              <w:rPr>
                <w:rFonts w:ascii="仿宋" w:hAnsi="仿宋" w:eastAsia="仿宋" w:cs="宋体"/>
                <w:color w:val="000000"/>
                <w:sz w:val="24"/>
              </w:rPr>
              <w:t>2</w:t>
            </w:r>
            <w:r>
              <w:rPr>
                <w:rFonts w:hint="eastAsia" w:ascii="仿宋" w:hAnsi="仿宋" w:eastAsia="仿宋" w:cs="宋体"/>
                <w:color w:val="000000"/>
                <w:sz w:val="24"/>
              </w:rPr>
              <w:t>年</w:t>
            </w:r>
            <w:r>
              <w:rPr>
                <w:rFonts w:ascii="仿宋" w:hAnsi="仿宋" w:eastAsia="仿宋" w:cs="宋体"/>
                <w:color w:val="000000"/>
                <w:sz w:val="24"/>
              </w:rPr>
              <w:t>10</w:t>
            </w:r>
            <w:r>
              <w:rPr>
                <w:rFonts w:hint="eastAsia" w:ascii="仿宋" w:hAnsi="仿宋" w:eastAsia="仿宋" w:cs="宋体"/>
                <w:color w:val="000000"/>
                <w:sz w:val="24"/>
              </w:rPr>
              <w:t>月至递交响应文件截止日，任意两个月的供应商对人员工资发放银行凭证复印件）并加盖供应商公章。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08" w:type="pct"/>
            <w:vAlign w:val="center"/>
          </w:tcPr>
          <w:p>
            <w:pPr>
              <w:widowControl/>
              <w:jc w:val="center"/>
              <w:rPr>
                <w:rFonts w:ascii="仿宋" w:hAnsi="仿宋" w:eastAsia="仿宋"/>
                <w:color w:val="000000"/>
                <w:sz w:val="24"/>
              </w:rPr>
            </w:pPr>
            <w:r>
              <w:rPr>
                <w:rFonts w:hint="eastAsia" w:ascii="仿宋" w:hAnsi="仿宋" w:eastAsia="仿宋"/>
                <w:color w:val="000000"/>
                <w:sz w:val="24"/>
              </w:rPr>
              <w:t>2</w:t>
            </w:r>
          </w:p>
        </w:tc>
        <w:tc>
          <w:tcPr>
            <w:tcW w:w="527" w:type="pct"/>
            <w:vAlign w:val="center"/>
          </w:tcPr>
          <w:p>
            <w:pPr>
              <w:widowControl/>
              <w:jc w:val="center"/>
              <w:rPr>
                <w:rFonts w:ascii="仿宋" w:hAnsi="仿宋" w:eastAsia="仿宋"/>
                <w:color w:val="000000"/>
                <w:sz w:val="24"/>
              </w:rPr>
            </w:pPr>
            <w:r>
              <w:rPr>
                <w:rFonts w:hint="eastAsia" w:ascii="仿宋" w:hAnsi="仿宋" w:eastAsia="仿宋"/>
                <w:color w:val="000000"/>
                <w:sz w:val="24"/>
              </w:rPr>
              <w:t>作业人员</w:t>
            </w:r>
          </w:p>
        </w:tc>
        <w:tc>
          <w:tcPr>
            <w:tcW w:w="394" w:type="pct"/>
            <w:vAlign w:val="center"/>
          </w:tcPr>
          <w:p>
            <w:pPr>
              <w:widowControl/>
              <w:jc w:val="center"/>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6</w:t>
            </w:r>
          </w:p>
        </w:tc>
        <w:tc>
          <w:tcPr>
            <w:tcW w:w="2064" w:type="pct"/>
            <w:vAlign w:val="center"/>
          </w:tcPr>
          <w:p>
            <w:pPr>
              <w:widowControl/>
              <w:jc w:val="left"/>
              <w:rPr>
                <w:rFonts w:ascii="仿宋" w:hAnsi="仿宋" w:eastAsia="仿宋"/>
                <w:color w:val="000000"/>
                <w:sz w:val="24"/>
              </w:rPr>
            </w:pPr>
            <w:r>
              <w:rPr>
                <w:rFonts w:hint="eastAsia" w:ascii="仿宋" w:hAnsi="仿宋" w:eastAsia="仿宋" w:cs="宋体"/>
                <w:color w:val="000000"/>
                <w:sz w:val="24"/>
              </w:rPr>
              <w:t>负责比赛场馆/场所全面的蚊、蠓、蝇、鼠、蟑螂防制服务。</w:t>
            </w:r>
          </w:p>
        </w:tc>
        <w:tc>
          <w:tcPr>
            <w:tcW w:w="1607" w:type="pct"/>
            <w:vMerge w:val="continue"/>
            <w:vAlign w:val="center"/>
          </w:tcPr>
          <w:p>
            <w:pPr>
              <w:widowControl/>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08" w:type="pct"/>
            <w:vAlign w:val="center"/>
          </w:tcPr>
          <w:p>
            <w:pPr>
              <w:widowControl/>
              <w:jc w:val="center"/>
              <w:rPr>
                <w:rFonts w:ascii="仿宋" w:hAnsi="仿宋" w:eastAsia="仿宋"/>
                <w:color w:val="000000"/>
                <w:sz w:val="24"/>
              </w:rPr>
            </w:pPr>
            <w:r>
              <w:rPr>
                <w:rFonts w:hint="eastAsia" w:ascii="仿宋" w:hAnsi="仿宋" w:eastAsia="仿宋"/>
                <w:color w:val="000000"/>
                <w:sz w:val="24"/>
              </w:rPr>
              <w:t>3</w:t>
            </w:r>
          </w:p>
        </w:tc>
        <w:tc>
          <w:tcPr>
            <w:tcW w:w="527" w:type="pct"/>
            <w:vAlign w:val="center"/>
          </w:tcPr>
          <w:p>
            <w:pPr>
              <w:widowControl/>
              <w:jc w:val="center"/>
              <w:rPr>
                <w:rFonts w:ascii="仿宋" w:hAnsi="仿宋" w:eastAsia="仿宋"/>
                <w:color w:val="000000"/>
                <w:sz w:val="24"/>
              </w:rPr>
            </w:pPr>
            <w:r>
              <w:rPr>
                <w:rFonts w:hint="eastAsia" w:ascii="仿宋" w:hAnsi="仿宋" w:eastAsia="仿宋"/>
                <w:color w:val="000000"/>
                <w:sz w:val="24"/>
              </w:rPr>
              <w:t>应急作业人员</w:t>
            </w:r>
          </w:p>
        </w:tc>
        <w:tc>
          <w:tcPr>
            <w:tcW w:w="394" w:type="pct"/>
            <w:vAlign w:val="center"/>
          </w:tcPr>
          <w:p>
            <w:pPr>
              <w:widowControl/>
              <w:jc w:val="center"/>
              <w:rPr>
                <w:rFonts w:ascii="仿宋" w:hAnsi="仿宋" w:eastAsia="仿宋"/>
                <w:color w:val="000000"/>
                <w:sz w:val="24"/>
              </w:rPr>
            </w:pPr>
            <w:r>
              <w:rPr>
                <w:rFonts w:hint="eastAsia" w:ascii="仿宋" w:hAnsi="仿宋" w:eastAsia="仿宋"/>
                <w:color w:val="000000"/>
                <w:sz w:val="24"/>
              </w:rPr>
              <w:t>≥1</w:t>
            </w:r>
          </w:p>
        </w:tc>
        <w:tc>
          <w:tcPr>
            <w:tcW w:w="2064" w:type="pct"/>
            <w:vAlign w:val="center"/>
          </w:tcPr>
          <w:p>
            <w:pPr>
              <w:widowControl/>
              <w:jc w:val="left"/>
              <w:rPr>
                <w:rFonts w:ascii="仿宋" w:hAnsi="仿宋" w:eastAsia="仿宋" w:cs="宋体"/>
                <w:color w:val="000000"/>
                <w:sz w:val="24"/>
              </w:rPr>
            </w:pPr>
            <w:r>
              <w:rPr>
                <w:rFonts w:hint="eastAsia" w:ascii="仿宋" w:hAnsi="仿宋" w:eastAsia="仿宋" w:cs="宋体"/>
                <w:color w:val="000000"/>
                <w:sz w:val="24"/>
              </w:rPr>
              <w:t>负责大运会期间在场馆外2</w:t>
            </w:r>
            <w:r>
              <w:rPr>
                <w:rFonts w:ascii="仿宋" w:hAnsi="仿宋" w:eastAsia="仿宋" w:cs="宋体"/>
                <w:color w:val="000000"/>
                <w:sz w:val="24"/>
              </w:rPr>
              <w:t>4</w:t>
            </w:r>
            <w:r>
              <w:rPr>
                <w:rFonts w:hint="eastAsia" w:ascii="仿宋" w:hAnsi="仿宋" w:eastAsia="仿宋" w:cs="宋体"/>
                <w:color w:val="000000"/>
                <w:sz w:val="24"/>
              </w:rPr>
              <w:t>小时值守，提供应急保障</w:t>
            </w:r>
          </w:p>
        </w:tc>
        <w:tc>
          <w:tcPr>
            <w:tcW w:w="1607" w:type="pct"/>
            <w:vMerge w:val="continue"/>
            <w:vAlign w:val="center"/>
          </w:tcPr>
          <w:p>
            <w:pPr>
              <w:widowControl/>
              <w:jc w:val="center"/>
              <w:rPr>
                <w:rFonts w:ascii="仿宋" w:hAnsi="仿宋" w:eastAsia="仿宋"/>
                <w:color w:val="000000"/>
                <w:sz w:val="24"/>
              </w:rPr>
            </w:pPr>
          </w:p>
        </w:tc>
      </w:tr>
    </w:tbl>
    <w:p>
      <w:pPr>
        <w:jc w:val="left"/>
        <w:rPr>
          <w:rFonts w:ascii="仿宋" w:hAnsi="仿宋" w:eastAsia="仿宋" w:cs="宋体"/>
          <w:color w:val="000000"/>
          <w:sz w:val="24"/>
        </w:rPr>
      </w:pPr>
      <w:r>
        <w:rPr>
          <w:rFonts w:hint="eastAsia" w:ascii="仿宋" w:hAnsi="仿宋" w:eastAsia="仿宋" w:cs="宋体"/>
          <w:color w:val="000000"/>
          <w:sz w:val="24"/>
        </w:rPr>
        <w:t>备注：</w:t>
      </w:r>
    </w:p>
    <w:p>
      <w:pPr>
        <w:widowControl/>
        <w:ind w:firstLine="480" w:firstLineChars="200"/>
        <w:rPr>
          <w:rFonts w:ascii="仿宋" w:hAnsi="仿宋" w:eastAsia="仿宋" w:cs="方正仿宋简体"/>
          <w:color w:val="000000"/>
          <w:kern w:val="0"/>
          <w:sz w:val="24"/>
        </w:rPr>
      </w:pPr>
      <w:r>
        <w:rPr>
          <w:rFonts w:hint="eastAsia" w:ascii="仿宋" w:hAnsi="仿宋" w:eastAsia="仿宋" w:cs="方正仿宋简体"/>
          <w:color w:val="000000"/>
          <w:kern w:val="0"/>
          <w:sz w:val="24"/>
        </w:rPr>
        <w:t>1、供应商</w:t>
      </w:r>
      <w:r>
        <w:rPr>
          <w:rFonts w:ascii="仿宋" w:hAnsi="仿宋" w:eastAsia="仿宋" w:cs="方正仿宋简体"/>
          <w:color w:val="000000"/>
          <w:kern w:val="0"/>
          <w:sz w:val="24"/>
        </w:rPr>
        <w:t>需单独提供承诺函并加盖</w:t>
      </w:r>
      <w:r>
        <w:rPr>
          <w:rFonts w:hint="eastAsia" w:ascii="仿宋" w:hAnsi="仿宋" w:eastAsia="仿宋" w:cs="方正仿宋简体"/>
          <w:color w:val="000000"/>
          <w:kern w:val="0"/>
          <w:sz w:val="24"/>
        </w:rPr>
        <w:t>供应商</w:t>
      </w:r>
      <w:r>
        <w:rPr>
          <w:rFonts w:ascii="仿宋" w:hAnsi="仿宋" w:eastAsia="仿宋" w:cs="方正仿宋简体"/>
          <w:color w:val="000000"/>
          <w:kern w:val="0"/>
          <w:sz w:val="24"/>
        </w:rPr>
        <w:t>公章，并作为</w:t>
      </w:r>
      <w:r>
        <w:rPr>
          <w:rFonts w:hint="eastAsia" w:ascii="仿宋" w:hAnsi="仿宋" w:eastAsia="仿宋" w:cs="方正仿宋简体"/>
          <w:color w:val="000000"/>
          <w:kern w:val="0"/>
          <w:sz w:val="24"/>
        </w:rPr>
        <w:t>采购</w:t>
      </w:r>
      <w:r>
        <w:rPr>
          <w:rFonts w:ascii="仿宋" w:hAnsi="仿宋" w:eastAsia="仿宋" w:cs="方正仿宋简体"/>
          <w:color w:val="000000"/>
          <w:kern w:val="0"/>
          <w:sz w:val="24"/>
        </w:rPr>
        <w:t>合同的一部分。承诺函应包括以下内容：</w:t>
      </w:r>
    </w:p>
    <w:p>
      <w:pPr>
        <w:widowControl/>
        <w:ind w:firstLine="480" w:firstLineChars="200"/>
        <w:rPr>
          <w:rFonts w:ascii="仿宋" w:hAnsi="仿宋" w:eastAsia="仿宋" w:cs="方正仿宋简体"/>
          <w:color w:val="000000"/>
          <w:kern w:val="0"/>
          <w:sz w:val="24"/>
        </w:rPr>
      </w:pPr>
      <w:r>
        <w:rPr>
          <w:rFonts w:hint="eastAsia" w:ascii="仿宋" w:hAnsi="仿宋" w:eastAsia="仿宋" w:cs="方正仿宋简体"/>
          <w:color w:val="000000"/>
          <w:kern w:val="0"/>
          <w:sz w:val="24"/>
        </w:rPr>
        <w:t>（1）本项目服务人员实行定岗定人，不得随意更换，如出现不可抗力原因需更换的，必须向采购人提交书面申请，并详细说明更换的原因、替代人员的简历等，经采购人同意后，方可更换。</w:t>
      </w:r>
    </w:p>
    <w:p>
      <w:pPr>
        <w:widowControl/>
        <w:ind w:firstLine="480" w:firstLineChars="200"/>
        <w:rPr>
          <w:rFonts w:ascii="仿宋" w:hAnsi="仿宋" w:eastAsia="仿宋" w:cs="方正仿宋简体"/>
          <w:color w:val="000000"/>
          <w:kern w:val="0"/>
          <w:sz w:val="24"/>
        </w:rPr>
      </w:pPr>
      <w:r>
        <w:rPr>
          <w:rFonts w:hint="eastAsia" w:ascii="仿宋" w:hAnsi="仿宋" w:eastAsia="仿宋" w:cs="方正仿宋简体"/>
          <w:color w:val="000000"/>
          <w:kern w:val="0"/>
          <w:sz w:val="24"/>
        </w:rPr>
        <w:t>（2）在项目实施过程中接受采购人的监督。</w:t>
      </w:r>
    </w:p>
    <w:p>
      <w:pPr>
        <w:widowControl/>
        <w:ind w:firstLine="480" w:firstLineChars="200"/>
        <w:rPr>
          <w:rFonts w:ascii="仿宋" w:hAnsi="仿宋" w:eastAsia="仿宋" w:cs="方正仿宋简体"/>
          <w:color w:val="000000"/>
          <w:kern w:val="0"/>
          <w:sz w:val="24"/>
        </w:rPr>
      </w:pPr>
      <w:r>
        <w:rPr>
          <w:rFonts w:hint="eastAsia" w:ascii="仿宋" w:hAnsi="仿宋" w:eastAsia="仿宋" w:cs="方正仿宋简体"/>
          <w:color w:val="000000"/>
          <w:kern w:val="0"/>
          <w:sz w:val="24"/>
        </w:rPr>
        <w:t>2、供应商如涉及参与多包的，针对本项目每个包所配备的项目人员（项目总负责人除外）不得重复，若文件中出现人员重复，视为不满足项目人员要求。</w:t>
      </w:r>
    </w:p>
    <w:p>
      <w:pPr>
        <w:widowControl w:val="0"/>
        <w:ind w:left="198" w:leftChars="0" w:hanging="198" w:hangingChars="82"/>
        <w:jc w:val="both"/>
        <w:outlineLvl w:val="2"/>
        <w:rPr>
          <w:rFonts w:ascii="仿宋" w:hAnsi="仿宋" w:eastAsia="仿宋" w:cs="Arial Unicode MS"/>
          <w:b/>
          <w:color w:val="000000"/>
          <w:kern w:val="2"/>
          <w:sz w:val="24"/>
          <w:szCs w:val="24"/>
          <w:lang w:val="zh-CN" w:eastAsia="zh-CN" w:bidi="ar-SA"/>
        </w:rPr>
      </w:pPr>
      <w:r>
        <w:rPr>
          <w:rFonts w:hint="eastAsia" w:ascii="仿宋" w:hAnsi="仿宋" w:eastAsia="仿宋" w:cs="Arial Unicode MS"/>
          <w:b/>
          <w:color w:val="000000"/>
          <w:kern w:val="2"/>
          <w:sz w:val="24"/>
          <w:szCs w:val="24"/>
          <w:lang w:val="zh-CN" w:eastAsia="zh-CN" w:bidi="ar-SA"/>
        </w:rPr>
        <w:t>▲（四）设施</w:t>
      </w:r>
      <w:r>
        <w:rPr>
          <w:rFonts w:hint="eastAsia" w:ascii="仿宋" w:hAnsi="仿宋" w:eastAsia="仿宋" w:cs="Times New Roman"/>
          <w:b/>
          <w:color w:val="000000"/>
          <w:kern w:val="2"/>
          <w:sz w:val="24"/>
          <w:szCs w:val="24"/>
          <w:lang w:val="en-US" w:eastAsia="zh-CN" w:bidi="ar-SA"/>
        </w:rPr>
        <w:t>设备</w:t>
      </w:r>
      <w:r>
        <w:rPr>
          <w:rFonts w:hint="eastAsia" w:ascii="仿宋" w:hAnsi="仿宋" w:eastAsia="仿宋" w:cs="Arial Unicode MS"/>
          <w:b/>
          <w:color w:val="000000"/>
          <w:kern w:val="2"/>
          <w:sz w:val="24"/>
          <w:szCs w:val="24"/>
          <w:lang w:val="zh-CN" w:eastAsia="zh-CN" w:bidi="ar-SA"/>
        </w:rPr>
        <w:t>要求（各包适用）</w:t>
      </w:r>
    </w:p>
    <w:p>
      <w:pPr>
        <w:widowControl w:val="0"/>
        <w:ind w:left="900" w:leftChars="200" w:hanging="480" w:hangingChars="200"/>
        <w:jc w:val="both"/>
        <w:rPr>
          <w:rFonts w:ascii="仿宋" w:hAnsi="仿宋" w:eastAsia="仿宋" w:cs="方正仿宋简体"/>
          <w:color w:val="000000"/>
          <w:kern w:val="0"/>
          <w:sz w:val="24"/>
          <w:szCs w:val="24"/>
          <w:lang w:val="en-US" w:eastAsia="zh-CN" w:bidi="ar-SA"/>
        </w:rPr>
      </w:pPr>
      <w:r>
        <w:rPr>
          <w:rFonts w:hint="eastAsia" w:ascii="仿宋" w:hAnsi="仿宋" w:eastAsia="仿宋" w:cs="方正仿宋简体"/>
          <w:color w:val="000000"/>
          <w:kern w:val="0"/>
          <w:sz w:val="24"/>
          <w:szCs w:val="24"/>
          <w:lang w:val="en-US" w:eastAsia="zh-CN" w:bidi="ar-SA"/>
        </w:rPr>
        <w:t>供应商针对本项目各包至少配备以下设备</w:t>
      </w:r>
    </w:p>
    <w:p>
      <w:pPr>
        <w:rPr>
          <w:color w:val="000000"/>
        </w:rPr>
      </w:pPr>
    </w:p>
    <w:p>
      <w:pPr>
        <w:rPr>
          <w:color w:val="000000"/>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358"/>
        <w:gridCol w:w="2269"/>
        <w:gridCol w:w="1133"/>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97" w:type="pct"/>
            <w:vAlign w:val="center"/>
          </w:tcPr>
          <w:p>
            <w:pPr>
              <w:widowControl/>
              <w:jc w:val="center"/>
              <w:rPr>
                <w:rFonts w:ascii="仿宋" w:hAnsi="仿宋" w:eastAsia="仿宋"/>
                <w:color w:val="000000"/>
                <w:sz w:val="24"/>
              </w:rPr>
            </w:pPr>
            <w:r>
              <w:rPr>
                <w:rFonts w:hint="eastAsia" w:ascii="仿宋" w:hAnsi="仿宋" w:eastAsia="仿宋"/>
                <w:color w:val="000000"/>
                <w:sz w:val="24"/>
              </w:rPr>
              <w:t>序号</w:t>
            </w:r>
          </w:p>
        </w:tc>
        <w:tc>
          <w:tcPr>
            <w:tcW w:w="2128" w:type="pct"/>
            <w:gridSpan w:val="2"/>
            <w:vAlign w:val="center"/>
          </w:tcPr>
          <w:p>
            <w:pPr>
              <w:widowControl/>
              <w:jc w:val="center"/>
              <w:rPr>
                <w:rFonts w:ascii="仿宋" w:hAnsi="仿宋" w:eastAsia="仿宋"/>
                <w:color w:val="000000"/>
                <w:sz w:val="24"/>
              </w:rPr>
            </w:pPr>
            <w:r>
              <w:rPr>
                <w:rFonts w:hint="eastAsia" w:ascii="仿宋" w:hAnsi="仿宋" w:eastAsia="仿宋"/>
                <w:color w:val="000000"/>
                <w:sz w:val="24"/>
              </w:rPr>
              <w:t>设备名称</w:t>
            </w:r>
          </w:p>
        </w:tc>
        <w:tc>
          <w:tcPr>
            <w:tcW w:w="665" w:type="pct"/>
            <w:vAlign w:val="center"/>
          </w:tcPr>
          <w:p>
            <w:pPr>
              <w:widowControl/>
              <w:jc w:val="center"/>
              <w:rPr>
                <w:rFonts w:ascii="仿宋" w:hAnsi="仿宋" w:eastAsia="仿宋"/>
                <w:color w:val="000000"/>
                <w:sz w:val="24"/>
              </w:rPr>
            </w:pPr>
            <w:r>
              <w:rPr>
                <w:rFonts w:hint="eastAsia" w:ascii="仿宋" w:hAnsi="仿宋" w:eastAsia="仿宋"/>
                <w:color w:val="000000"/>
                <w:sz w:val="24"/>
              </w:rPr>
              <w:t>数量</w:t>
            </w:r>
          </w:p>
        </w:tc>
        <w:tc>
          <w:tcPr>
            <w:tcW w:w="1610" w:type="pct"/>
            <w:vAlign w:val="center"/>
          </w:tcPr>
          <w:p>
            <w:pPr>
              <w:widowControl/>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97" w:type="pct"/>
            <w:vAlign w:val="center"/>
          </w:tcPr>
          <w:p>
            <w:pPr>
              <w:widowControl/>
              <w:jc w:val="center"/>
              <w:rPr>
                <w:rFonts w:ascii="仿宋" w:hAnsi="仿宋" w:eastAsia="仿宋"/>
                <w:color w:val="000000"/>
                <w:sz w:val="24"/>
              </w:rPr>
            </w:pPr>
            <w:r>
              <w:rPr>
                <w:rFonts w:hint="eastAsia" w:ascii="仿宋" w:hAnsi="仿宋" w:eastAsia="仿宋"/>
                <w:color w:val="000000"/>
                <w:sz w:val="24"/>
              </w:rPr>
              <w:t>1</w:t>
            </w:r>
          </w:p>
        </w:tc>
        <w:tc>
          <w:tcPr>
            <w:tcW w:w="2128" w:type="pct"/>
            <w:gridSpan w:val="2"/>
            <w:vAlign w:val="center"/>
          </w:tcPr>
          <w:p>
            <w:pPr>
              <w:widowControl/>
              <w:jc w:val="center"/>
              <w:rPr>
                <w:rFonts w:ascii="仿宋" w:hAnsi="仿宋" w:eastAsia="仿宋"/>
                <w:color w:val="000000"/>
                <w:sz w:val="24"/>
              </w:rPr>
            </w:pPr>
            <w:r>
              <w:rPr>
                <w:rFonts w:hint="eastAsia" w:ascii="仿宋" w:hAnsi="仿宋" w:eastAsia="仿宋"/>
                <w:color w:val="000000"/>
                <w:sz w:val="24"/>
              </w:rPr>
              <w:t>工程车辆</w:t>
            </w:r>
          </w:p>
        </w:tc>
        <w:tc>
          <w:tcPr>
            <w:tcW w:w="665" w:type="pct"/>
            <w:vAlign w:val="center"/>
          </w:tcPr>
          <w:p>
            <w:pPr>
              <w:widowControl/>
              <w:jc w:val="center"/>
              <w:rPr>
                <w:rFonts w:ascii="仿宋" w:hAnsi="仿宋" w:eastAsia="仿宋"/>
                <w:color w:val="000000"/>
                <w:sz w:val="24"/>
              </w:rPr>
            </w:pPr>
            <w:r>
              <w:rPr>
                <w:rFonts w:hint="eastAsia" w:ascii="仿宋" w:hAnsi="仿宋" w:eastAsia="仿宋"/>
                <w:color w:val="000000"/>
                <w:sz w:val="24"/>
              </w:rPr>
              <w:t>3辆</w:t>
            </w:r>
          </w:p>
        </w:tc>
        <w:tc>
          <w:tcPr>
            <w:tcW w:w="1610" w:type="pct"/>
            <w:vAlign w:val="center"/>
          </w:tcPr>
          <w:p>
            <w:pPr>
              <w:rPr>
                <w:rFonts w:ascii="仿宋" w:hAnsi="仿宋" w:eastAsia="仿宋"/>
                <w:color w:val="000000"/>
                <w:sz w:val="24"/>
              </w:rPr>
            </w:pPr>
            <w:r>
              <w:rPr>
                <w:rFonts w:hint="eastAsia" w:ascii="仿宋" w:hAnsi="仿宋" w:eastAsia="仿宋"/>
                <w:color w:val="000000"/>
                <w:sz w:val="24"/>
              </w:rPr>
              <w:t>需提供车辆行驶证复印件（如租赁的还需提供租赁合同且租赁期需满足本项目服务期限要求）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97" w:type="pct"/>
            <w:vAlign w:val="center"/>
          </w:tcPr>
          <w:p>
            <w:pPr>
              <w:widowControl/>
              <w:jc w:val="center"/>
              <w:rPr>
                <w:rFonts w:ascii="仿宋" w:hAnsi="仿宋" w:eastAsia="仿宋"/>
                <w:color w:val="000000"/>
                <w:sz w:val="24"/>
              </w:rPr>
            </w:pPr>
            <w:r>
              <w:rPr>
                <w:rFonts w:hint="eastAsia" w:ascii="仿宋" w:hAnsi="仿宋" w:eastAsia="仿宋"/>
                <w:color w:val="000000"/>
                <w:sz w:val="24"/>
              </w:rPr>
              <w:t>2</w:t>
            </w:r>
          </w:p>
        </w:tc>
        <w:tc>
          <w:tcPr>
            <w:tcW w:w="2128" w:type="pct"/>
            <w:gridSpan w:val="2"/>
            <w:vAlign w:val="center"/>
          </w:tcPr>
          <w:p>
            <w:pPr>
              <w:widowControl/>
              <w:jc w:val="center"/>
              <w:rPr>
                <w:rFonts w:ascii="仿宋" w:hAnsi="仿宋" w:eastAsia="仿宋"/>
                <w:color w:val="000000"/>
                <w:sz w:val="24"/>
              </w:rPr>
            </w:pPr>
            <w:r>
              <w:rPr>
                <w:rFonts w:hint="eastAsia" w:ascii="仿宋" w:hAnsi="仿宋" w:eastAsia="仿宋"/>
                <w:color w:val="000000"/>
                <w:sz w:val="24"/>
              </w:rPr>
              <w:t>热烟雾机</w:t>
            </w:r>
          </w:p>
        </w:tc>
        <w:tc>
          <w:tcPr>
            <w:tcW w:w="665" w:type="pct"/>
            <w:vAlign w:val="center"/>
          </w:tcPr>
          <w:p>
            <w:pPr>
              <w:widowControl/>
              <w:jc w:val="center"/>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台</w:t>
            </w:r>
          </w:p>
        </w:tc>
        <w:tc>
          <w:tcPr>
            <w:tcW w:w="1610" w:type="pct"/>
            <w:vMerge w:val="restart"/>
            <w:vAlign w:val="center"/>
          </w:tcPr>
          <w:p>
            <w:pPr>
              <w:widowControl/>
              <w:jc w:val="left"/>
              <w:rPr>
                <w:rFonts w:ascii="仿宋" w:hAnsi="仿宋" w:eastAsia="仿宋" w:cs="仿宋_GB2312"/>
                <w:color w:val="000000"/>
                <w:sz w:val="24"/>
              </w:rPr>
            </w:pPr>
          </w:p>
          <w:p>
            <w:pPr>
              <w:widowControl/>
              <w:jc w:val="left"/>
              <w:rPr>
                <w:rFonts w:ascii="仿宋" w:hAnsi="仿宋" w:eastAsia="仿宋" w:cs="仿宋_GB2312"/>
                <w:color w:val="000000"/>
                <w:sz w:val="24"/>
              </w:rPr>
            </w:pPr>
            <w:r>
              <w:rPr>
                <w:rFonts w:hint="eastAsia" w:ascii="仿宋" w:hAnsi="仿宋" w:eastAsia="仿宋" w:cs="仿宋_GB2312"/>
                <w:color w:val="000000"/>
                <w:sz w:val="24"/>
              </w:rPr>
              <w:t>1、需提供设施设备清单，包含品牌、型号、数量</w:t>
            </w:r>
          </w:p>
          <w:p>
            <w:pPr>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、需提供设施设备的购置发票复印件及设备图片（如租赁的还需提供租赁合同且租赁期需满足本项目服务期限要求）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97" w:type="pct"/>
            <w:vMerge w:val="restart"/>
            <w:vAlign w:val="center"/>
          </w:tcPr>
          <w:p>
            <w:pPr>
              <w:widowControl/>
              <w:jc w:val="center"/>
              <w:rPr>
                <w:rFonts w:ascii="仿宋" w:hAnsi="仿宋" w:eastAsia="仿宋"/>
                <w:color w:val="000000"/>
                <w:sz w:val="24"/>
              </w:rPr>
            </w:pPr>
            <w:r>
              <w:rPr>
                <w:rFonts w:hint="eastAsia" w:ascii="仿宋" w:hAnsi="仿宋" w:eastAsia="仿宋"/>
                <w:color w:val="000000"/>
                <w:sz w:val="24"/>
              </w:rPr>
              <w:t>3</w:t>
            </w:r>
          </w:p>
        </w:tc>
        <w:tc>
          <w:tcPr>
            <w:tcW w:w="797" w:type="pct"/>
            <w:vMerge w:val="restart"/>
            <w:vAlign w:val="center"/>
          </w:tcPr>
          <w:p>
            <w:pPr>
              <w:widowControl/>
              <w:jc w:val="center"/>
              <w:rPr>
                <w:rFonts w:ascii="仿宋" w:hAnsi="仿宋" w:eastAsia="仿宋"/>
                <w:color w:val="000000"/>
                <w:sz w:val="24"/>
              </w:rPr>
            </w:pPr>
            <w:r>
              <w:rPr>
                <w:rFonts w:hint="eastAsia" w:ascii="仿宋" w:hAnsi="仿宋" w:eastAsia="仿宋"/>
                <w:color w:val="000000"/>
                <w:sz w:val="24"/>
              </w:rPr>
              <w:t>超低量喷雾器</w:t>
            </w:r>
          </w:p>
        </w:tc>
        <w:tc>
          <w:tcPr>
            <w:tcW w:w="1331" w:type="pct"/>
            <w:vAlign w:val="center"/>
          </w:tcPr>
          <w:p>
            <w:pPr>
              <w:widowControl/>
              <w:jc w:val="center"/>
              <w:rPr>
                <w:rFonts w:ascii="仿宋" w:hAnsi="仿宋" w:eastAsia="仿宋"/>
                <w:color w:val="000000"/>
                <w:sz w:val="24"/>
              </w:rPr>
            </w:pPr>
            <w:r>
              <w:rPr>
                <w:rFonts w:hint="eastAsia" w:ascii="仿宋" w:hAnsi="仿宋" w:eastAsia="仿宋"/>
                <w:color w:val="000000"/>
                <w:sz w:val="24"/>
              </w:rPr>
              <w:t>电动超低量喷雾器</w:t>
            </w:r>
          </w:p>
        </w:tc>
        <w:tc>
          <w:tcPr>
            <w:tcW w:w="665" w:type="pct"/>
            <w:vAlign w:val="center"/>
          </w:tcPr>
          <w:p>
            <w:pPr>
              <w:widowControl/>
              <w:jc w:val="center"/>
              <w:rPr>
                <w:rFonts w:ascii="仿宋" w:hAnsi="仿宋" w:eastAsia="仿宋"/>
                <w:color w:val="000000"/>
                <w:sz w:val="24"/>
              </w:rPr>
            </w:pPr>
            <w:r>
              <w:rPr>
                <w:rFonts w:hint="eastAsia" w:ascii="仿宋" w:hAnsi="仿宋" w:eastAsia="仿宋"/>
                <w:color w:val="000000"/>
                <w:sz w:val="24"/>
              </w:rPr>
              <w:t>6台</w:t>
            </w:r>
          </w:p>
        </w:tc>
        <w:tc>
          <w:tcPr>
            <w:tcW w:w="1610" w:type="pct"/>
            <w:vMerge w:val="continue"/>
            <w:vAlign w:val="center"/>
          </w:tcPr>
          <w:p>
            <w:pPr>
              <w:widowControl/>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97" w:type="pct"/>
            <w:vMerge w:val="continue"/>
            <w:vAlign w:val="center"/>
          </w:tcPr>
          <w:p>
            <w:pPr>
              <w:widowControl/>
              <w:jc w:val="center"/>
              <w:rPr>
                <w:rFonts w:ascii="仿宋" w:hAnsi="仿宋" w:eastAsia="仿宋"/>
                <w:color w:val="000000"/>
                <w:sz w:val="24"/>
              </w:rPr>
            </w:pPr>
          </w:p>
        </w:tc>
        <w:tc>
          <w:tcPr>
            <w:tcW w:w="797" w:type="pct"/>
            <w:vMerge w:val="continue"/>
            <w:vAlign w:val="center"/>
          </w:tcPr>
          <w:p>
            <w:pPr>
              <w:widowControl/>
              <w:jc w:val="center"/>
              <w:rPr>
                <w:rFonts w:ascii="仿宋" w:hAnsi="仿宋" w:eastAsia="仿宋"/>
                <w:color w:val="000000"/>
                <w:sz w:val="24"/>
              </w:rPr>
            </w:pPr>
          </w:p>
        </w:tc>
        <w:tc>
          <w:tcPr>
            <w:tcW w:w="1331" w:type="pct"/>
            <w:vAlign w:val="center"/>
          </w:tcPr>
          <w:p>
            <w:pPr>
              <w:widowControl/>
              <w:jc w:val="center"/>
              <w:rPr>
                <w:rFonts w:ascii="仿宋" w:hAnsi="仿宋" w:eastAsia="仿宋"/>
                <w:color w:val="000000"/>
                <w:sz w:val="24"/>
              </w:rPr>
            </w:pPr>
            <w:r>
              <w:rPr>
                <w:rFonts w:hint="eastAsia" w:ascii="仿宋" w:hAnsi="仿宋" w:eastAsia="仿宋"/>
                <w:color w:val="000000"/>
                <w:sz w:val="24"/>
              </w:rPr>
              <w:t>机动超低量喷雾器</w:t>
            </w:r>
          </w:p>
        </w:tc>
        <w:tc>
          <w:tcPr>
            <w:tcW w:w="665" w:type="pct"/>
            <w:vAlign w:val="center"/>
          </w:tcPr>
          <w:p>
            <w:pPr>
              <w:widowControl/>
              <w:jc w:val="center"/>
              <w:rPr>
                <w:rFonts w:ascii="仿宋" w:hAnsi="仿宋" w:eastAsia="仿宋"/>
                <w:color w:val="000000"/>
                <w:sz w:val="24"/>
              </w:rPr>
            </w:pPr>
            <w:r>
              <w:rPr>
                <w:rFonts w:hint="eastAsia" w:ascii="仿宋" w:hAnsi="仿宋" w:eastAsia="仿宋"/>
                <w:color w:val="000000"/>
                <w:sz w:val="24"/>
              </w:rPr>
              <w:t>2台</w:t>
            </w:r>
          </w:p>
        </w:tc>
        <w:tc>
          <w:tcPr>
            <w:tcW w:w="1610" w:type="pct"/>
            <w:vMerge w:val="continue"/>
            <w:vAlign w:val="center"/>
          </w:tcPr>
          <w:p>
            <w:pPr>
              <w:widowControl/>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97" w:type="pct"/>
            <w:vAlign w:val="center"/>
          </w:tcPr>
          <w:p>
            <w:pPr>
              <w:widowControl/>
              <w:jc w:val="center"/>
              <w:rPr>
                <w:rFonts w:ascii="仿宋" w:hAnsi="仿宋" w:eastAsia="仿宋"/>
                <w:color w:val="000000"/>
                <w:sz w:val="24"/>
              </w:rPr>
            </w:pPr>
            <w:r>
              <w:rPr>
                <w:rFonts w:hint="eastAsia" w:ascii="仿宋" w:hAnsi="仿宋" w:eastAsia="仿宋"/>
                <w:color w:val="000000"/>
                <w:sz w:val="24"/>
              </w:rPr>
              <w:t>4</w:t>
            </w:r>
          </w:p>
        </w:tc>
        <w:tc>
          <w:tcPr>
            <w:tcW w:w="2128" w:type="pct"/>
            <w:gridSpan w:val="2"/>
            <w:vAlign w:val="center"/>
          </w:tcPr>
          <w:p>
            <w:pPr>
              <w:widowControl/>
              <w:jc w:val="center"/>
              <w:rPr>
                <w:rFonts w:ascii="仿宋" w:hAnsi="仿宋" w:eastAsia="仿宋"/>
                <w:color w:val="000000"/>
                <w:sz w:val="24"/>
              </w:rPr>
            </w:pPr>
            <w:r>
              <w:rPr>
                <w:rFonts w:hint="eastAsia" w:ascii="仿宋" w:hAnsi="仿宋" w:eastAsia="仿宋"/>
                <w:color w:val="000000"/>
                <w:sz w:val="24"/>
              </w:rPr>
              <w:t>常量机动喷雾器</w:t>
            </w:r>
          </w:p>
        </w:tc>
        <w:tc>
          <w:tcPr>
            <w:tcW w:w="665" w:type="pct"/>
            <w:vAlign w:val="center"/>
          </w:tcPr>
          <w:p>
            <w:pPr>
              <w:widowControl/>
              <w:jc w:val="center"/>
              <w:rPr>
                <w:rFonts w:ascii="仿宋" w:hAnsi="仿宋" w:eastAsia="仿宋"/>
                <w:color w:val="000000"/>
                <w:sz w:val="24"/>
              </w:rPr>
            </w:pPr>
            <w:r>
              <w:rPr>
                <w:rFonts w:hint="eastAsia" w:ascii="仿宋" w:hAnsi="仿宋" w:eastAsia="仿宋"/>
                <w:color w:val="000000"/>
                <w:sz w:val="24"/>
              </w:rPr>
              <w:t>6台</w:t>
            </w:r>
          </w:p>
        </w:tc>
        <w:tc>
          <w:tcPr>
            <w:tcW w:w="1610" w:type="pct"/>
            <w:vMerge w:val="continue"/>
            <w:vAlign w:val="center"/>
          </w:tcPr>
          <w:p>
            <w:pPr>
              <w:widowControl/>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97" w:type="pct"/>
            <w:vAlign w:val="center"/>
          </w:tcPr>
          <w:p>
            <w:pPr>
              <w:widowControl/>
              <w:jc w:val="center"/>
              <w:rPr>
                <w:rFonts w:ascii="仿宋" w:hAnsi="仿宋" w:eastAsia="仿宋"/>
                <w:color w:val="000000"/>
                <w:sz w:val="24"/>
              </w:rPr>
            </w:pPr>
            <w:r>
              <w:rPr>
                <w:rFonts w:hint="eastAsia" w:ascii="仿宋" w:hAnsi="仿宋" w:eastAsia="仿宋"/>
                <w:color w:val="000000"/>
                <w:sz w:val="24"/>
              </w:rPr>
              <w:t>5</w:t>
            </w:r>
          </w:p>
        </w:tc>
        <w:tc>
          <w:tcPr>
            <w:tcW w:w="2128" w:type="pct"/>
            <w:gridSpan w:val="2"/>
            <w:vAlign w:val="center"/>
          </w:tcPr>
          <w:p>
            <w:pPr>
              <w:widowControl/>
              <w:jc w:val="center"/>
              <w:rPr>
                <w:rFonts w:ascii="仿宋" w:hAnsi="仿宋" w:eastAsia="仿宋"/>
                <w:color w:val="000000"/>
                <w:sz w:val="24"/>
              </w:rPr>
            </w:pPr>
            <w:r>
              <w:rPr>
                <w:rFonts w:hint="eastAsia" w:ascii="仿宋" w:hAnsi="仿宋" w:eastAsia="仿宋"/>
                <w:color w:val="000000"/>
                <w:sz w:val="24"/>
              </w:rPr>
              <w:t>常量手动喷雾器</w:t>
            </w:r>
          </w:p>
        </w:tc>
        <w:tc>
          <w:tcPr>
            <w:tcW w:w="665" w:type="pct"/>
            <w:vAlign w:val="center"/>
          </w:tcPr>
          <w:p>
            <w:pPr>
              <w:widowControl/>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w:t>
            </w:r>
            <w:r>
              <w:rPr>
                <w:rFonts w:hint="eastAsia" w:ascii="仿宋" w:hAnsi="仿宋" w:eastAsia="仿宋"/>
                <w:color w:val="000000"/>
                <w:sz w:val="24"/>
              </w:rPr>
              <w:t>台</w:t>
            </w:r>
          </w:p>
        </w:tc>
        <w:tc>
          <w:tcPr>
            <w:tcW w:w="1610" w:type="pct"/>
            <w:vMerge w:val="continue"/>
            <w:vAlign w:val="center"/>
          </w:tcPr>
          <w:p>
            <w:pPr>
              <w:widowControl/>
              <w:jc w:val="center"/>
              <w:rPr>
                <w:rFonts w:ascii="仿宋" w:hAnsi="仿宋" w:eastAsia="仿宋"/>
                <w:color w:val="000000"/>
                <w:sz w:val="24"/>
              </w:rPr>
            </w:pPr>
          </w:p>
        </w:tc>
      </w:tr>
    </w:tbl>
    <w:p>
      <w:pPr>
        <w:widowControl w:val="0"/>
        <w:ind w:left="97" w:leftChars="46" w:firstLine="0" w:firstLineChars="0"/>
        <w:jc w:val="both"/>
        <w:rPr>
          <w:rFonts w:ascii="仿宋" w:hAnsi="仿宋" w:eastAsia="仿宋" w:cs="方正仿宋简体"/>
          <w:color w:val="000000"/>
          <w:kern w:val="0"/>
          <w:sz w:val="24"/>
          <w:szCs w:val="24"/>
          <w:lang w:val="en-US" w:eastAsia="zh-CN" w:bidi="ar-SA"/>
        </w:rPr>
      </w:pPr>
      <w:r>
        <w:rPr>
          <w:rFonts w:hint="eastAsia" w:ascii="仿宋" w:hAnsi="仿宋" w:eastAsia="仿宋" w:cs="方正仿宋简体"/>
          <w:color w:val="000000"/>
          <w:kern w:val="0"/>
          <w:sz w:val="24"/>
          <w:szCs w:val="24"/>
          <w:lang w:val="en-US" w:eastAsia="zh-CN" w:bidi="ar-SA"/>
        </w:rPr>
        <w:t>备注：</w:t>
      </w:r>
      <w:r>
        <w:rPr>
          <w:rFonts w:ascii="仿宋" w:hAnsi="仿宋" w:eastAsia="仿宋" w:cs="方正仿宋简体"/>
          <w:color w:val="000000"/>
          <w:kern w:val="0"/>
          <w:sz w:val="24"/>
          <w:szCs w:val="24"/>
          <w:lang w:val="en-US" w:eastAsia="zh-CN" w:bidi="ar-SA"/>
        </w:rPr>
        <w:t>1</w:t>
      </w:r>
      <w:r>
        <w:rPr>
          <w:rFonts w:hint="eastAsia" w:ascii="仿宋" w:hAnsi="仿宋" w:eastAsia="仿宋" w:cs="方正仿宋简体"/>
          <w:color w:val="000000"/>
          <w:kern w:val="0"/>
          <w:sz w:val="24"/>
          <w:szCs w:val="24"/>
          <w:lang w:val="en-US" w:eastAsia="zh-CN" w:bidi="ar-SA"/>
        </w:rPr>
        <w:t>、供应商</w:t>
      </w:r>
      <w:r>
        <w:rPr>
          <w:rFonts w:ascii="仿宋" w:hAnsi="仿宋" w:eastAsia="仿宋" w:cs="方正仿宋简体"/>
          <w:color w:val="000000"/>
          <w:kern w:val="0"/>
          <w:sz w:val="24"/>
          <w:szCs w:val="24"/>
          <w:lang w:val="en-US" w:eastAsia="zh-CN" w:bidi="ar-SA"/>
        </w:rPr>
        <w:t>需单独提供承诺函并加盖</w:t>
      </w:r>
      <w:r>
        <w:rPr>
          <w:rFonts w:hint="eastAsia" w:ascii="仿宋" w:hAnsi="仿宋" w:eastAsia="仿宋" w:cs="方正仿宋简体"/>
          <w:color w:val="000000"/>
          <w:kern w:val="0"/>
          <w:sz w:val="24"/>
          <w:szCs w:val="24"/>
          <w:lang w:val="en-US" w:eastAsia="zh-CN" w:bidi="ar-SA"/>
        </w:rPr>
        <w:t>供应商</w:t>
      </w:r>
      <w:r>
        <w:rPr>
          <w:rFonts w:ascii="仿宋" w:hAnsi="仿宋" w:eastAsia="仿宋" w:cs="方正仿宋简体"/>
          <w:color w:val="000000"/>
          <w:kern w:val="0"/>
          <w:sz w:val="24"/>
          <w:szCs w:val="24"/>
          <w:lang w:val="en-US" w:eastAsia="zh-CN" w:bidi="ar-SA"/>
        </w:rPr>
        <w:t>公章，并作为</w:t>
      </w:r>
      <w:r>
        <w:rPr>
          <w:rFonts w:hint="eastAsia" w:ascii="仿宋" w:hAnsi="仿宋" w:eastAsia="仿宋" w:cs="方正仿宋简体"/>
          <w:color w:val="000000"/>
          <w:kern w:val="0"/>
          <w:sz w:val="24"/>
          <w:szCs w:val="24"/>
          <w:lang w:val="en-US" w:eastAsia="zh-CN" w:bidi="ar-SA"/>
        </w:rPr>
        <w:t>采购</w:t>
      </w:r>
      <w:r>
        <w:rPr>
          <w:rFonts w:ascii="仿宋" w:hAnsi="仿宋" w:eastAsia="仿宋" w:cs="方正仿宋简体"/>
          <w:color w:val="000000"/>
          <w:kern w:val="0"/>
          <w:sz w:val="24"/>
          <w:szCs w:val="24"/>
          <w:lang w:val="en-US" w:eastAsia="zh-CN" w:bidi="ar-SA"/>
        </w:rPr>
        <w:t>合同的一部分。承诺函应包括以下内容</w:t>
      </w:r>
      <w:r>
        <w:rPr>
          <w:rFonts w:hint="eastAsia" w:ascii="仿宋" w:hAnsi="仿宋" w:eastAsia="仿宋" w:cs="方正仿宋简体"/>
          <w:color w:val="000000"/>
          <w:kern w:val="0"/>
          <w:sz w:val="24"/>
          <w:szCs w:val="24"/>
          <w:lang w:val="en-US" w:eastAsia="zh-CN" w:bidi="ar-SA"/>
        </w:rPr>
        <w:t>：本项目所配备的设施设备由供应商自行管理、所产生的费用由供应商自行承担，供应商应保证以上设备能在履约过程中正常使用，若发生故障可及时更换，不得影响项目实施。</w:t>
      </w:r>
    </w:p>
    <w:p>
      <w:pPr>
        <w:widowControl w:val="0"/>
        <w:ind w:left="97" w:leftChars="46" w:firstLine="480" w:firstLineChars="200"/>
        <w:jc w:val="both"/>
        <w:rPr>
          <w:rFonts w:ascii="仿宋" w:hAnsi="仿宋" w:eastAsia="仿宋" w:cs="方正仿宋简体"/>
          <w:color w:val="000000"/>
          <w:kern w:val="0"/>
          <w:sz w:val="24"/>
          <w:szCs w:val="24"/>
          <w:lang w:val="en-US" w:eastAsia="zh-CN" w:bidi="ar-SA"/>
        </w:rPr>
      </w:pPr>
      <w:r>
        <w:rPr>
          <w:rFonts w:ascii="仿宋" w:hAnsi="仿宋" w:eastAsia="仿宋" w:cs="方正仿宋简体"/>
          <w:color w:val="000000"/>
          <w:kern w:val="0"/>
          <w:sz w:val="24"/>
          <w:szCs w:val="24"/>
          <w:lang w:val="en-US" w:eastAsia="zh-CN" w:bidi="ar-SA"/>
        </w:rPr>
        <w:t>2</w:t>
      </w:r>
      <w:r>
        <w:rPr>
          <w:rFonts w:hint="eastAsia" w:ascii="仿宋" w:hAnsi="仿宋" w:eastAsia="仿宋" w:cs="方正仿宋简体"/>
          <w:color w:val="000000"/>
          <w:kern w:val="0"/>
          <w:sz w:val="24"/>
          <w:szCs w:val="24"/>
          <w:lang w:val="en-US" w:eastAsia="zh-CN" w:bidi="ar-SA"/>
        </w:rPr>
        <w:t>、供应商如涉及参与多包的，针对本项目每个包所配备的设施设备不得交叉使用，如有重复，否则</w:t>
      </w:r>
      <w:r>
        <w:rPr>
          <w:rFonts w:hint="eastAsia" w:ascii="仿宋" w:hAnsi="仿宋" w:eastAsia="仿宋" w:cs="方正仿宋简体"/>
          <w:color w:val="000000"/>
          <w:kern w:val="0"/>
          <w:sz w:val="24"/>
          <w:szCs w:val="24"/>
          <w:lang w:val="zh-CN" w:eastAsia="zh-CN" w:bidi="ar-SA"/>
        </w:rPr>
        <w:t>视为不满足设施设备要求</w:t>
      </w:r>
      <w:r>
        <w:rPr>
          <w:rFonts w:hint="eastAsia" w:ascii="仿宋" w:hAnsi="仿宋" w:eastAsia="仿宋" w:cs="方正仿宋简体"/>
          <w:color w:val="000000"/>
          <w:kern w:val="0"/>
          <w:sz w:val="24"/>
          <w:szCs w:val="24"/>
          <w:lang w:val="en-US" w:eastAsia="zh-CN" w:bidi="ar-SA"/>
        </w:rPr>
        <w:t>。（提供承诺函）</w:t>
      </w:r>
    </w:p>
    <w:p>
      <w:pPr>
        <w:widowControl w:val="0"/>
        <w:spacing w:line="400" w:lineRule="exact"/>
        <w:ind w:firstLine="313" w:firstLineChars="130"/>
        <w:jc w:val="both"/>
        <w:outlineLvl w:val="1"/>
        <w:rPr>
          <w:rFonts w:ascii="仿宋" w:hAnsi="仿宋" w:eastAsia="仿宋" w:cs="Times New Roman"/>
          <w:b/>
          <w:bCs/>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五、整体方案要求（各包适用）：</w:t>
      </w:r>
    </w:p>
    <w:p>
      <w:pPr>
        <w:widowControl w:val="0"/>
        <w:ind w:firstLine="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（一）组织架构</w:t>
      </w:r>
    </w:p>
    <w:p>
      <w:pPr>
        <w:ind w:firstLine="48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、针对本项目的组织架构图（需</w:t>
      </w:r>
      <w:r>
        <w:rPr>
          <w:rFonts w:ascii="仿宋" w:hAnsi="仿宋" w:eastAsia="仿宋"/>
          <w:color w:val="000000"/>
          <w:sz w:val="24"/>
        </w:rPr>
        <w:t>明确</w:t>
      </w:r>
      <w:r>
        <w:rPr>
          <w:rFonts w:hint="eastAsia" w:ascii="仿宋" w:hAnsi="仿宋" w:eastAsia="仿宋"/>
          <w:color w:val="000000"/>
          <w:sz w:val="24"/>
        </w:rPr>
        <w:t>各部门的</w:t>
      </w:r>
      <w:r>
        <w:rPr>
          <w:rFonts w:ascii="仿宋" w:hAnsi="仿宋" w:eastAsia="仿宋"/>
          <w:color w:val="000000"/>
          <w:sz w:val="24"/>
        </w:rPr>
        <w:t>职责</w:t>
      </w:r>
      <w:r>
        <w:rPr>
          <w:rFonts w:hint="eastAsia" w:ascii="仿宋" w:hAnsi="仿宋" w:eastAsia="仿宋"/>
          <w:color w:val="000000"/>
          <w:sz w:val="24"/>
        </w:rPr>
        <w:t>）；</w:t>
      </w:r>
    </w:p>
    <w:p>
      <w:pPr>
        <w:ind w:firstLine="48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、针对本项目的人员岗位设置、职责分工（需涉及本项目所有成员的岗位设置以及职责分工）。</w:t>
      </w:r>
    </w:p>
    <w:p>
      <w:pPr>
        <w:widowControl w:val="0"/>
        <w:ind w:firstLine="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（二）项目需求的理解</w:t>
      </w:r>
    </w:p>
    <w:p>
      <w:pPr>
        <w:ind w:firstLine="48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、根据本项目的项目概述及项目要求梳理本项目的工作目标：至少包含本项目服务所能达到的目标的阐述；</w:t>
      </w:r>
    </w:p>
    <w:p>
      <w:pPr>
        <w:ind w:firstLine="48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、针对本项目的工作内容：根据本项目背景及服务要求对本项目的工作内容进行阐述并能识别本项目各包所涉及场馆服务的难点并提供解决方案以及本项目总体关键性技术问题；</w:t>
      </w:r>
    </w:p>
    <w:p>
      <w:pPr>
        <w:ind w:firstLine="48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、供应商自行前往各个场馆进行现场考察（采购人不组织）对本项目各包服务现场进行了解：至少包含对供应商所参与包号的场馆现场情况的描述（至少要包含本项目重点保障区域及一般保障区域）；</w:t>
      </w:r>
    </w:p>
    <w:p>
      <w:pPr>
        <w:widowControl w:val="0"/>
        <w:ind w:firstLine="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（三）项目实施方案</w:t>
      </w:r>
    </w:p>
    <w:p>
      <w:pPr>
        <w:ind w:firstLine="48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、提供符合本项目各包所涉及场馆现状及服务需求的防制方式及工作流程（至少包含本项目病媒生物防制及应急演练两项内容）；</w:t>
      </w:r>
    </w:p>
    <w:p>
      <w:pPr>
        <w:ind w:firstLine="480"/>
        <w:rPr>
          <w:rFonts w:ascii="仿宋" w:hAnsi="仿宋" w:eastAsia="仿宋"/>
          <w:color w:val="000000"/>
          <w:sz w:val="24"/>
        </w:rPr>
      </w:pPr>
      <w:r>
        <w:rPr>
          <w:rFonts w:hint="eastAsia" w:ascii="仿宋" w:hAnsi="仿宋" w:eastAsia="仿宋"/>
          <w:color w:val="000000"/>
          <w:sz w:val="24"/>
        </w:rPr>
        <w:t>2、根据本项目服务期限及响应时间要求制定的进度及响应保障措施；</w:t>
      </w:r>
    </w:p>
    <w:p>
      <w:pPr>
        <w:ind w:firstLine="480"/>
        <w:rPr>
          <w:rFonts w:ascii="仿宋" w:hAnsi="仿宋" w:eastAsia="仿宋"/>
          <w:color w:val="000000"/>
          <w:sz w:val="24"/>
        </w:rPr>
      </w:pPr>
      <w:r>
        <w:rPr>
          <w:rFonts w:hint="eastAsia" w:ascii="仿宋" w:hAnsi="仿宋" w:eastAsia="仿宋"/>
          <w:color w:val="000000"/>
          <w:sz w:val="24"/>
        </w:rPr>
        <w:t>3、提供本项目服务及药械的质量保障措施及承诺函。</w:t>
      </w:r>
    </w:p>
    <w:p>
      <w:pPr>
        <w:rPr>
          <w:rFonts w:ascii="仿宋" w:hAnsi="仿宋" w:eastAsia="仿宋"/>
          <w:b/>
          <w:color w:val="000000"/>
          <w:sz w:val="24"/>
        </w:rPr>
      </w:pPr>
      <w:r>
        <w:rPr>
          <w:rFonts w:hint="eastAsia" w:ascii="仿宋" w:hAnsi="仿宋" w:eastAsia="仿宋"/>
          <w:b/>
          <w:color w:val="000000"/>
          <w:sz w:val="24"/>
        </w:rPr>
        <w:t>（四）项目资料管理方案</w:t>
      </w:r>
    </w:p>
    <w:p>
      <w:r>
        <w:rPr>
          <w:rFonts w:hint="eastAsia" w:ascii="仿宋" w:hAnsi="仿宋" w:eastAsia="仿宋"/>
          <w:color w:val="000000"/>
          <w:sz w:val="24"/>
        </w:rPr>
        <w:t>至少包含项目资料内部存档</w:t>
      </w:r>
      <w:r>
        <w:rPr>
          <w:rFonts w:ascii="仿宋" w:hAnsi="仿宋" w:eastAsia="仿宋"/>
          <w:color w:val="000000"/>
          <w:sz w:val="24"/>
        </w:rPr>
        <w:t>内容、</w:t>
      </w:r>
      <w:r>
        <w:rPr>
          <w:rFonts w:hint="eastAsia" w:ascii="仿宋" w:hAnsi="仿宋" w:eastAsia="仿宋"/>
          <w:color w:val="000000"/>
          <w:sz w:val="24"/>
        </w:rPr>
        <w:t>项目资料</w:t>
      </w:r>
      <w:r>
        <w:rPr>
          <w:rFonts w:ascii="仿宋" w:hAnsi="仿宋" w:eastAsia="仿宋"/>
          <w:color w:val="000000"/>
          <w:sz w:val="24"/>
        </w:rPr>
        <w:t>内部管理</w:t>
      </w:r>
      <w:r>
        <w:rPr>
          <w:rFonts w:hint="eastAsia" w:ascii="仿宋" w:hAnsi="仿宋" w:eastAsia="仿宋"/>
          <w:color w:val="000000"/>
          <w:sz w:val="24"/>
        </w:rPr>
        <w:t>流程、项目</w:t>
      </w:r>
      <w:r>
        <w:rPr>
          <w:rFonts w:ascii="仿宋" w:hAnsi="仿宋" w:eastAsia="仿宋"/>
          <w:color w:val="000000"/>
          <w:sz w:val="24"/>
        </w:rPr>
        <w:t>资料移交内容、</w:t>
      </w:r>
      <w:r>
        <w:rPr>
          <w:rFonts w:hint="eastAsia" w:ascii="仿宋" w:hAnsi="仿宋" w:eastAsia="仿宋"/>
          <w:color w:val="000000"/>
          <w:sz w:val="24"/>
        </w:rPr>
        <w:t>项目资料移交流程。</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0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ZDE2ZTgyZWNhY2UyNmY0ODlkNDQwMWZjZWIwY2UifQ=="/>
  </w:docVars>
  <w:rsids>
    <w:rsidRoot w:val="7D627BC5"/>
    <w:rsid w:val="7D62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qFormat/>
    <w:uiPriority w:val="0"/>
    <w:pPr>
      <w:autoSpaceDE w:val="0"/>
      <w:autoSpaceDN w:val="0"/>
      <w:adjustRightInd w:val="0"/>
    </w:pPr>
    <w:rPr>
      <w:rFonts w:ascii="宋体" w:hAnsi="Tms Rmn" w:cstheme="minorBidi"/>
      <w:szCs w:val="22"/>
    </w:rPr>
  </w:style>
  <w:style w:type="paragraph" w:styleId="4">
    <w:name w:val="Normal Indent"/>
    <w:basedOn w:val="1"/>
    <w:qFormat/>
    <w:uiPriority w:val="0"/>
    <w:pPr>
      <w:ind w:firstLine="420" w:firstLineChars="200"/>
    </w:pPr>
  </w:style>
  <w:style w:type="paragraph" w:styleId="5">
    <w:name w:val="annotation text"/>
    <w:basedOn w:val="1"/>
    <w:unhideWhenUsed/>
    <w:qFormat/>
    <w:uiPriority w:val="0"/>
    <w:pPr>
      <w:jc w:val="left"/>
    </w:pPr>
  </w:style>
  <w:style w:type="paragraph" w:styleId="6">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图表目录1"/>
    <w:basedOn w:val="1"/>
    <w:next w:val="1"/>
    <w:qFormat/>
    <w:uiPriority w:val="0"/>
    <w:pPr>
      <w:ind w:left="200" w:leftChars="200" w:hanging="200" w:hangingChars="200"/>
    </w:pPr>
    <w:rPr>
      <w:rFonts w:ascii="Arial Unicode MS" w:hAnsi="Arial Unicode MS" w:eastAsia="Arial Unicode MS" w:cs="Arial Unicode MS"/>
      <w:color w:val="000000"/>
      <w:sz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2023-05-30T06:17:00Z</dcterms:created>
  <dc:creator>Administrator</dc:creator>
  <cp:lastModifiedBy>Administrator</cp:lastModifiedBy>
  <dcterms:modified xsi:type="dcterms:W3CDTF">2023-05-30T06:22:44Z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A6F5DE4D260C42528007DEFA7E24A572_11</vt:lpwstr>
  </property>
</Properties>
</file>