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jc w:val="center"/>
        <w:outlineLvl w:val="0"/>
        <w:rPr>
          <w:rFonts w:ascii="黑体" w:hAnsi="黑体" w:eastAsia="黑体"/>
          <w:b/>
          <w:bCs/>
          <w:color w:val="auto"/>
          <w:sz w:val="32"/>
          <w:szCs w:val="32"/>
        </w:rPr>
      </w:pPr>
      <w:bookmarkStart w:id="0" w:name="_Toc25719"/>
      <w:bookmarkStart w:id="1" w:name="_Toc26489"/>
      <w:r>
        <w:rPr>
          <w:rFonts w:hint="eastAsia" w:ascii="黑体" w:hAnsi="黑体" w:eastAsia="黑体"/>
          <w:b/>
          <w:bCs/>
          <w:color w:val="auto"/>
          <w:sz w:val="32"/>
          <w:szCs w:val="32"/>
        </w:rPr>
        <w:t>采购需求</w:t>
      </w:r>
      <w:bookmarkEnd w:id="0"/>
      <w:bookmarkEnd w:id="1"/>
    </w:p>
    <w:p>
      <w:pPr>
        <w:keepNext/>
        <w:keepLines/>
        <w:adjustRightInd w:val="0"/>
        <w:snapToGrid w:val="0"/>
        <w:spacing w:before="156" w:beforeLines="50" w:line="360" w:lineRule="auto"/>
        <w:outlineLvl w:val="1"/>
        <w:rPr>
          <w:rFonts w:ascii="黑体" w:hAnsi="黑体" w:eastAsia="黑体"/>
          <w:b/>
          <w:bCs/>
          <w:color w:val="auto"/>
          <w:sz w:val="24"/>
          <w:szCs w:val="32"/>
        </w:rPr>
      </w:pPr>
      <w:bookmarkStart w:id="2" w:name="_Toc6194"/>
      <w:bookmarkStart w:id="3" w:name="_Toc13470"/>
      <w:r>
        <w:rPr>
          <w:rFonts w:hint="eastAsia" w:ascii="黑体" w:hAnsi="黑体" w:eastAsia="黑体"/>
          <w:b/>
          <w:bCs/>
          <w:color w:val="auto"/>
          <w:sz w:val="28"/>
          <w:szCs w:val="28"/>
        </w:rPr>
        <w:t>第一节 采购清单一览表</w:t>
      </w:r>
      <w:bookmarkEnd w:id="2"/>
      <w:bookmarkEnd w:id="3"/>
    </w:p>
    <w:tbl>
      <w:tblPr>
        <w:tblStyle w:val="10"/>
        <w:tblW w:w="9277"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
        <w:gridCol w:w="1661"/>
        <w:gridCol w:w="1725"/>
        <w:gridCol w:w="974"/>
        <w:gridCol w:w="767"/>
        <w:gridCol w:w="1150"/>
        <w:gridCol w:w="1200"/>
        <w:gridCol w:w="750"/>
        <w:gridCol w:w="72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22" w:hRule="atLeast"/>
        </w:trPr>
        <w:tc>
          <w:tcPr>
            <w:tcW w:w="321" w:type="dxa"/>
            <w:noWrap w:val="0"/>
            <w:vAlign w:val="center"/>
          </w:tcPr>
          <w:p>
            <w:pPr>
              <w:adjustRightInd w:val="0"/>
              <w:snapToGrid w:val="0"/>
              <w:jc w:val="center"/>
              <w:rPr>
                <w:color w:val="auto"/>
                <w:szCs w:val="21"/>
              </w:rPr>
            </w:pPr>
            <w:r>
              <w:rPr>
                <w:rFonts w:hint="eastAsia"/>
                <w:color w:val="auto"/>
                <w:szCs w:val="21"/>
              </w:rPr>
              <w:t xml:space="preserve">包号 </w:t>
            </w:r>
          </w:p>
        </w:tc>
        <w:tc>
          <w:tcPr>
            <w:tcW w:w="1661" w:type="dxa"/>
            <w:noWrap w:val="0"/>
            <w:vAlign w:val="center"/>
          </w:tcPr>
          <w:p>
            <w:pPr>
              <w:adjustRightInd w:val="0"/>
              <w:snapToGrid w:val="0"/>
              <w:jc w:val="center"/>
              <w:rPr>
                <w:color w:val="auto"/>
                <w:szCs w:val="21"/>
              </w:rPr>
            </w:pPr>
            <w:r>
              <w:rPr>
                <w:rFonts w:hint="eastAsia"/>
                <w:color w:val="auto"/>
                <w:szCs w:val="21"/>
              </w:rPr>
              <w:t>包名称</w:t>
            </w:r>
          </w:p>
        </w:tc>
        <w:tc>
          <w:tcPr>
            <w:tcW w:w="1725" w:type="dxa"/>
            <w:noWrap w:val="0"/>
            <w:vAlign w:val="center"/>
          </w:tcPr>
          <w:p>
            <w:pPr>
              <w:adjustRightInd w:val="0"/>
              <w:snapToGrid w:val="0"/>
              <w:jc w:val="center"/>
              <w:rPr>
                <w:color w:val="auto"/>
                <w:szCs w:val="21"/>
              </w:rPr>
            </w:pPr>
            <w:r>
              <w:rPr>
                <w:rFonts w:hint="eastAsia"/>
                <w:color w:val="auto"/>
                <w:szCs w:val="21"/>
              </w:rPr>
              <w:t>标的名称</w:t>
            </w:r>
          </w:p>
        </w:tc>
        <w:tc>
          <w:tcPr>
            <w:tcW w:w="974" w:type="dxa"/>
            <w:tcBorders>
              <w:left w:val="single" w:color="auto" w:sz="4" w:space="0"/>
            </w:tcBorders>
            <w:noWrap w:val="0"/>
            <w:vAlign w:val="center"/>
          </w:tcPr>
          <w:p>
            <w:pPr>
              <w:adjustRightInd w:val="0"/>
              <w:snapToGrid w:val="0"/>
              <w:jc w:val="center"/>
              <w:rPr>
                <w:color w:val="auto"/>
                <w:szCs w:val="21"/>
              </w:rPr>
            </w:pPr>
            <w:r>
              <w:rPr>
                <w:rFonts w:hint="eastAsia"/>
                <w:color w:val="auto"/>
                <w:szCs w:val="21"/>
              </w:rPr>
              <w:t>简要技术要求</w:t>
            </w:r>
          </w:p>
        </w:tc>
        <w:tc>
          <w:tcPr>
            <w:tcW w:w="767" w:type="dxa"/>
            <w:tcBorders>
              <w:left w:val="single" w:color="auto" w:sz="4" w:space="0"/>
            </w:tcBorders>
            <w:noWrap w:val="0"/>
            <w:vAlign w:val="center"/>
          </w:tcPr>
          <w:p>
            <w:pPr>
              <w:adjustRightInd w:val="0"/>
              <w:snapToGrid w:val="0"/>
              <w:jc w:val="center"/>
              <w:rPr>
                <w:rFonts w:ascii="宋体" w:hAnsi="宋体" w:cs="宋体"/>
                <w:color w:val="auto"/>
                <w:kern w:val="0"/>
                <w:szCs w:val="21"/>
              </w:rPr>
            </w:pPr>
            <w:r>
              <w:rPr>
                <w:rFonts w:hint="eastAsia"/>
                <w:color w:val="auto"/>
                <w:szCs w:val="21"/>
              </w:rPr>
              <w:t>数量</w:t>
            </w:r>
          </w:p>
        </w:tc>
        <w:tc>
          <w:tcPr>
            <w:tcW w:w="1150" w:type="dxa"/>
            <w:noWrap w:val="0"/>
            <w:vAlign w:val="center"/>
          </w:tcPr>
          <w:p>
            <w:pPr>
              <w:adjustRightInd w:val="0"/>
              <w:snapToGrid w:val="0"/>
              <w:jc w:val="center"/>
              <w:rPr>
                <w:color w:val="auto"/>
                <w:szCs w:val="21"/>
              </w:rPr>
            </w:pPr>
            <w:r>
              <w:rPr>
                <w:rFonts w:hint="eastAsia"/>
                <w:color w:val="auto"/>
                <w:szCs w:val="21"/>
              </w:rPr>
              <w:t>标的预算</w:t>
            </w:r>
          </w:p>
        </w:tc>
        <w:tc>
          <w:tcPr>
            <w:tcW w:w="1200" w:type="dxa"/>
            <w:noWrap w:val="0"/>
            <w:vAlign w:val="center"/>
          </w:tcPr>
          <w:p>
            <w:pPr>
              <w:adjustRightInd w:val="0"/>
              <w:snapToGrid w:val="0"/>
              <w:jc w:val="center"/>
              <w:rPr>
                <w:color w:val="auto"/>
                <w:szCs w:val="21"/>
              </w:rPr>
            </w:pPr>
            <w:r>
              <w:rPr>
                <w:rFonts w:hint="eastAsia"/>
                <w:color w:val="auto"/>
                <w:szCs w:val="21"/>
              </w:rPr>
              <w:t>最高限价</w:t>
            </w:r>
          </w:p>
        </w:tc>
        <w:tc>
          <w:tcPr>
            <w:tcW w:w="750" w:type="dxa"/>
            <w:noWrap w:val="0"/>
            <w:vAlign w:val="center"/>
          </w:tcPr>
          <w:p>
            <w:pPr>
              <w:adjustRightInd w:val="0"/>
              <w:snapToGrid w:val="0"/>
              <w:jc w:val="center"/>
              <w:rPr>
                <w:color w:val="auto"/>
                <w:szCs w:val="21"/>
              </w:rPr>
            </w:pPr>
            <w:r>
              <w:rPr>
                <w:rFonts w:hint="eastAsia"/>
                <w:color w:val="auto"/>
                <w:szCs w:val="21"/>
              </w:rPr>
              <w:t>节能产品</w:t>
            </w:r>
          </w:p>
        </w:tc>
        <w:tc>
          <w:tcPr>
            <w:tcW w:w="729" w:type="dxa"/>
            <w:noWrap w:val="0"/>
            <w:vAlign w:val="center"/>
          </w:tcPr>
          <w:p>
            <w:pPr>
              <w:adjustRightInd w:val="0"/>
              <w:snapToGrid w:val="0"/>
              <w:jc w:val="center"/>
              <w:rPr>
                <w:color w:val="auto"/>
                <w:szCs w:val="21"/>
              </w:rPr>
            </w:pPr>
            <w:r>
              <w:rPr>
                <w:rFonts w:hint="eastAsia"/>
                <w:color w:val="auto"/>
                <w:szCs w:val="21"/>
              </w:rPr>
              <w:t>进口产品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82" w:hRule="atLeast"/>
        </w:trPr>
        <w:tc>
          <w:tcPr>
            <w:tcW w:w="321" w:type="dxa"/>
            <w:vMerge w:val="restart"/>
            <w:noWrap w:val="0"/>
            <w:vAlign w:val="top"/>
          </w:tcPr>
          <w:p>
            <w:pPr>
              <w:adjustRightInd w:val="0"/>
              <w:snapToGrid w:val="0"/>
              <w:spacing w:before="156" w:beforeLines="50" w:line="360" w:lineRule="auto"/>
              <w:rPr>
                <w:color w:val="auto"/>
                <w:szCs w:val="21"/>
              </w:rPr>
            </w:pPr>
            <w:r>
              <w:rPr>
                <w:rFonts w:hint="eastAsia"/>
                <w:color w:val="auto"/>
                <w:szCs w:val="21"/>
              </w:rPr>
              <w:t>1</w:t>
            </w:r>
          </w:p>
        </w:tc>
        <w:tc>
          <w:tcPr>
            <w:tcW w:w="1661" w:type="dxa"/>
            <w:vMerge w:val="restart"/>
            <w:noWrap w:val="0"/>
            <w:vAlign w:val="top"/>
          </w:tcPr>
          <w:p>
            <w:pPr>
              <w:adjustRightInd w:val="0"/>
              <w:snapToGrid w:val="0"/>
              <w:spacing w:before="156" w:beforeLines="50" w:line="360" w:lineRule="auto"/>
              <w:rPr>
                <w:rFonts w:hint="eastAsia" w:eastAsia="宋体"/>
                <w:color w:val="auto"/>
                <w:szCs w:val="21"/>
                <w:lang w:eastAsia="zh-CN"/>
              </w:rPr>
            </w:pPr>
            <w:r>
              <w:rPr>
                <w:rFonts w:hint="eastAsia" w:ascii="宋体" w:hAnsi="宋体"/>
                <w:color w:val="auto"/>
                <w:szCs w:val="21"/>
                <w:lang w:eastAsia="zh-CN"/>
              </w:rPr>
              <w:t>攸县城区除“四害”服务采购项目</w:t>
            </w:r>
          </w:p>
        </w:tc>
        <w:tc>
          <w:tcPr>
            <w:tcW w:w="1725" w:type="dxa"/>
            <w:vMerge w:val="restart"/>
            <w:noWrap w:val="0"/>
            <w:vAlign w:val="top"/>
          </w:tcPr>
          <w:p>
            <w:pPr>
              <w:adjustRightInd w:val="0"/>
              <w:snapToGrid w:val="0"/>
              <w:spacing w:before="156" w:beforeLines="50" w:line="360" w:lineRule="auto"/>
              <w:rPr>
                <w:rFonts w:hint="eastAsia" w:eastAsia="宋体"/>
                <w:color w:val="auto"/>
                <w:szCs w:val="21"/>
                <w:lang w:eastAsia="zh-CN"/>
              </w:rPr>
            </w:pPr>
            <w:r>
              <w:rPr>
                <w:rFonts w:hint="eastAsia" w:ascii="宋体" w:hAnsi="宋体"/>
                <w:color w:val="auto"/>
                <w:szCs w:val="21"/>
                <w:lang w:eastAsia="zh-CN"/>
              </w:rPr>
              <w:t>攸县城区除“四害”服务采购项目</w:t>
            </w:r>
          </w:p>
        </w:tc>
        <w:tc>
          <w:tcPr>
            <w:tcW w:w="974" w:type="dxa"/>
            <w:vMerge w:val="restart"/>
            <w:tcBorders>
              <w:left w:val="single" w:color="auto" w:sz="4" w:space="0"/>
            </w:tcBorders>
            <w:noWrap w:val="0"/>
            <w:vAlign w:val="top"/>
          </w:tcPr>
          <w:p>
            <w:pPr>
              <w:adjustRightInd w:val="0"/>
              <w:snapToGrid w:val="0"/>
              <w:spacing w:before="156" w:beforeLines="50" w:line="360" w:lineRule="auto"/>
              <w:rPr>
                <w:color w:val="auto"/>
                <w:szCs w:val="21"/>
              </w:rPr>
            </w:pPr>
            <w:r>
              <w:rPr>
                <w:rFonts w:ascii="宋体" w:hAnsi="宋体" w:cs="宋体"/>
                <w:color w:val="auto"/>
                <w:szCs w:val="21"/>
              </w:rPr>
              <w:t>详见采购</w:t>
            </w:r>
            <w:r>
              <w:rPr>
                <w:rFonts w:hint="eastAsia" w:ascii="宋体" w:hAnsi="宋体" w:cs="宋体"/>
                <w:color w:val="auto"/>
                <w:szCs w:val="21"/>
              </w:rPr>
              <w:t>需求</w:t>
            </w:r>
          </w:p>
        </w:tc>
        <w:tc>
          <w:tcPr>
            <w:tcW w:w="767" w:type="dxa"/>
            <w:vMerge w:val="restart"/>
            <w:tcBorders>
              <w:left w:val="single" w:color="auto" w:sz="4" w:space="0"/>
            </w:tcBorders>
            <w:noWrap w:val="0"/>
            <w:vAlign w:val="top"/>
          </w:tcPr>
          <w:p>
            <w:pPr>
              <w:adjustRightInd w:val="0"/>
              <w:snapToGrid w:val="0"/>
              <w:spacing w:before="156" w:beforeLines="50" w:line="360" w:lineRule="auto"/>
              <w:rPr>
                <w:rFonts w:hint="eastAsia" w:eastAsia="宋体"/>
                <w:color w:val="auto"/>
                <w:szCs w:val="21"/>
                <w:lang w:eastAsia="zh-CN"/>
              </w:rPr>
            </w:pPr>
            <w:r>
              <w:rPr>
                <w:rFonts w:hint="eastAsia"/>
                <w:color w:val="auto"/>
                <w:szCs w:val="21"/>
              </w:rPr>
              <w:t>1</w:t>
            </w:r>
            <w:r>
              <w:rPr>
                <w:rFonts w:hint="eastAsia"/>
                <w:color w:val="auto"/>
                <w:szCs w:val="21"/>
                <w:lang w:eastAsia="zh-CN"/>
              </w:rPr>
              <w:t>年</w:t>
            </w:r>
          </w:p>
        </w:tc>
        <w:tc>
          <w:tcPr>
            <w:tcW w:w="1150" w:type="dxa"/>
            <w:vMerge w:val="restart"/>
            <w:noWrap w:val="0"/>
            <w:vAlign w:val="top"/>
          </w:tcPr>
          <w:p>
            <w:pPr>
              <w:adjustRightInd w:val="0"/>
              <w:snapToGrid w:val="0"/>
              <w:spacing w:before="156" w:beforeLines="50" w:line="360" w:lineRule="auto"/>
              <w:rPr>
                <w:rFonts w:hint="eastAsia" w:eastAsia="宋体"/>
                <w:color w:val="auto"/>
                <w:szCs w:val="21"/>
                <w:lang w:eastAsia="zh-CN"/>
              </w:rPr>
            </w:pPr>
            <w:r>
              <w:rPr>
                <w:rFonts w:hint="eastAsia" w:ascii="宋体" w:hAnsi="宋体"/>
                <w:bCs/>
                <w:color w:val="auto"/>
                <w:szCs w:val="21"/>
                <w:lang w:val="en-US" w:eastAsia="zh-CN"/>
              </w:rPr>
              <w:t>450000</w:t>
            </w:r>
            <w:r>
              <w:rPr>
                <w:rFonts w:hint="eastAsia" w:ascii="宋体" w:hAnsi="宋体"/>
                <w:bCs/>
                <w:color w:val="auto"/>
                <w:szCs w:val="21"/>
                <w:lang w:eastAsia="zh-CN"/>
              </w:rPr>
              <w:t>.00</w:t>
            </w:r>
          </w:p>
        </w:tc>
        <w:tc>
          <w:tcPr>
            <w:tcW w:w="1200" w:type="dxa"/>
            <w:vMerge w:val="restart"/>
            <w:noWrap w:val="0"/>
            <w:vAlign w:val="top"/>
          </w:tcPr>
          <w:p>
            <w:pPr>
              <w:adjustRightInd w:val="0"/>
              <w:snapToGrid w:val="0"/>
              <w:spacing w:before="156" w:beforeLines="50" w:line="360" w:lineRule="auto"/>
              <w:rPr>
                <w:rFonts w:hint="eastAsia" w:eastAsia="宋体"/>
                <w:color w:val="auto"/>
                <w:szCs w:val="21"/>
                <w:lang w:eastAsia="zh-CN"/>
              </w:rPr>
            </w:pPr>
            <w:r>
              <w:rPr>
                <w:rFonts w:hint="eastAsia" w:ascii="宋体" w:hAnsi="宋体"/>
                <w:bCs/>
                <w:color w:val="auto"/>
                <w:szCs w:val="21"/>
                <w:lang w:val="en-US" w:eastAsia="zh-CN"/>
              </w:rPr>
              <w:t>450000</w:t>
            </w:r>
            <w:r>
              <w:rPr>
                <w:rFonts w:hint="eastAsia" w:ascii="宋体" w:hAnsi="宋体"/>
                <w:bCs/>
                <w:color w:val="auto"/>
                <w:szCs w:val="21"/>
                <w:lang w:eastAsia="zh-CN"/>
              </w:rPr>
              <w:t>.00</w:t>
            </w:r>
          </w:p>
        </w:tc>
        <w:tc>
          <w:tcPr>
            <w:tcW w:w="750" w:type="dxa"/>
            <w:noWrap w:val="0"/>
            <w:vAlign w:val="top"/>
          </w:tcPr>
          <w:p>
            <w:pPr>
              <w:adjustRightInd w:val="0"/>
              <w:snapToGrid w:val="0"/>
              <w:spacing w:before="156" w:beforeLines="50" w:line="360" w:lineRule="auto"/>
              <w:rPr>
                <w:color w:val="auto"/>
                <w:szCs w:val="21"/>
              </w:rPr>
            </w:pPr>
            <w:r>
              <w:rPr>
                <w:rFonts w:hint="eastAsia" w:ascii="宋体" w:hAnsi="宋体"/>
                <w:iCs/>
                <w:color w:val="auto"/>
                <w:szCs w:val="21"/>
              </w:rPr>
              <w:sym w:font="Wingdings" w:char="00A8"/>
            </w:r>
          </w:p>
        </w:tc>
        <w:tc>
          <w:tcPr>
            <w:tcW w:w="729" w:type="dxa"/>
            <w:noWrap w:val="0"/>
            <w:vAlign w:val="top"/>
          </w:tcPr>
          <w:p>
            <w:pPr>
              <w:adjustRightInd w:val="0"/>
              <w:snapToGrid w:val="0"/>
              <w:spacing w:before="156" w:beforeLines="50" w:line="360" w:lineRule="auto"/>
              <w:rPr>
                <w:color w:val="auto"/>
                <w:szCs w:val="21"/>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95" w:hRule="atLeast"/>
        </w:trPr>
        <w:tc>
          <w:tcPr>
            <w:tcW w:w="321" w:type="dxa"/>
            <w:vMerge w:val="continue"/>
            <w:noWrap w:val="0"/>
            <w:vAlign w:val="top"/>
          </w:tcPr>
          <w:p>
            <w:pPr>
              <w:adjustRightInd w:val="0"/>
              <w:snapToGrid w:val="0"/>
              <w:spacing w:before="156" w:beforeLines="50" w:line="360" w:lineRule="auto"/>
              <w:rPr>
                <w:color w:val="auto"/>
                <w:szCs w:val="21"/>
              </w:rPr>
            </w:pPr>
          </w:p>
        </w:tc>
        <w:tc>
          <w:tcPr>
            <w:tcW w:w="1661" w:type="dxa"/>
            <w:vMerge w:val="continue"/>
            <w:noWrap w:val="0"/>
            <w:vAlign w:val="top"/>
          </w:tcPr>
          <w:p>
            <w:pPr>
              <w:adjustRightInd w:val="0"/>
              <w:snapToGrid w:val="0"/>
              <w:spacing w:before="156" w:beforeLines="50" w:line="360" w:lineRule="auto"/>
              <w:rPr>
                <w:color w:val="auto"/>
                <w:szCs w:val="21"/>
              </w:rPr>
            </w:pPr>
          </w:p>
        </w:tc>
        <w:tc>
          <w:tcPr>
            <w:tcW w:w="1725" w:type="dxa"/>
            <w:vMerge w:val="continue"/>
            <w:noWrap w:val="0"/>
            <w:vAlign w:val="top"/>
          </w:tcPr>
          <w:p>
            <w:pPr>
              <w:adjustRightInd w:val="0"/>
              <w:snapToGrid w:val="0"/>
              <w:spacing w:before="156" w:beforeLines="50" w:line="360" w:lineRule="auto"/>
              <w:rPr>
                <w:color w:val="auto"/>
                <w:szCs w:val="21"/>
              </w:rPr>
            </w:pPr>
          </w:p>
        </w:tc>
        <w:tc>
          <w:tcPr>
            <w:tcW w:w="974" w:type="dxa"/>
            <w:vMerge w:val="continue"/>
            <w:tcBorders>
              <w:left w:val="single" w:color="auto" w:sz="4" w:space="0"/>
            </w:tcBorders>
            <w:noWrap w:val="0"/>
            <w:vAlign w:val="top"/>
          </w:tcPr>
          <w:p>
            <w:pPr>
              <w:adjustRightInd w:val="0"/>
              <w:snapToGrid w:val="0"/>
              <w:spacing w:before="156" w:beforeLines="50" w:line="360" w:lineRule="auto"/>
              <w:rPr>
                <w:color w:val="auto"/>
                <w:szCs w:val="21"/>
              </w:rPr>
            </w:pPr>
          </w:p>
        </w:tc>
        <w:tc>
          <w:tcPr>
            <w:tcW w:w="767" w:type="dxa"/>
            <w:vMerge w:val="continue"/>
            <w:tcBorders>
              <w:left w:val="single" w:color="auto" w:sz="4" w:space="0"/>
            </w:tcBorders>
            <w:noWrap w:val="0"/>
            <w:vAlign w:val="top"/>
          </w:tcPr>
          <w:p>
            <w:pPr>
              <w:adjustRightInd w:val="0"/>
              <w:snapToGrid w:val="0"/>
              <w:spacing w:before="156" w:beforeLines="50" w:line="360" w:lineRule="auto"/>
              <w:rPr>
                <w:color w:val="auto"/>
                <w:szCs w:val="21"/>
              </w:rPr>
            </w:pPr>
          </w:p>
        </w:tc>
        <w:tc>
          <w:tcPr>
            <w:tcW w:w="1150" w:type="dxa"/>
            <w:vMerge w:val="continue"/>
            <w:noWrap w:val="0"/>
            <w:vAlign w:val="top"/>
          </w:tcPr>
          <w:p>
            <w:pPr>
              <w:adjustRightInd w:val="0"/>
              <w:snapToGrid w:val="0"/>
              <w:spacing w:before="156" w:beforeLines="50" w:line="360" w:lineRule="auto"/>
              <w:rPr>
                <w:color w:val="auto"/>
                <w:szCs w:val="21"/>
              </w:rPr>
            </w:pPr>
          </w:p>
        </w:tc>
        <w:tc>
          <w:tcPr>
            <w:tcW w:w="1200" w:type="dxa"/>
            <w:vMerge w:val="continue"/>
            <w:noWrap w:val="0"/>
            <w:vAlign w:val="top"/>
          </w:tcPr>
          <w:p>
            <w:pPr>
              <w:adjustRightInd w:val="0"/>
              <w:snapToGrid w:val="0"/>
              <w:spacing w:before="156" w:beforeLines="50" w:line="360" w:lineRule="auto"/>
              <w:rPr>
                <w:color w:val="auto"/>
                <w:szCs w:val="21"/>
              </w:rPr>
            </w:pPr>
          </w:p>
        </w:tc>
        <w:tc>
          <w:tcPr>
            <w:tcW w:w="750" w:type="dxa"/>
            <w:noWrap w:val="0"/>
            <w:vAlign w:val="top"/>
          </w:tcPr>
          <w:p>
            <w:pPr>
              <w:adjustRightInd w:val="0"/>
              <w:snapToGrid w:val="0"/>
              <w:spacing w:before="156" w:beforeLines="50" w:line="360" w:lineRule="auto"/>
              <w:rPr>
                <w:color w:val="auto"/>
                <w:szCs w:val="21"/>
              </w:rPr>
            </w:pPr>
          </w:p>
        </w:tc>
        <w:tc>
          <w:tcPr>
            <w:tcW w:w="729" w:type="dxa"/>
            <w:noWrap w:val="0"/>
            <w:vAlign w:val="top"/>
          </w:tcPr>
          <w:p>
            <w:pPr>
              <w:adjustRightInd w:val="0"/>
              <w:snapToGrid w:val="0"/>
              <w:spacing w:before="156" w:beforeLines="50" w:line="360" w:lineRule="auto"/>
              <w:rPr>
                <w:color w:val="auto"/>
                <w:szCs w:val="21"/>
              </w:rPr>
            </w:pPr>
            <w:r>
              <w:rPr>
                <w:rFonts w:hint="eastAsia" w:ascii="宋体" w:hAnsi="宋体"/>
                <w:iCs/>
                <w:color w:val="auto"/>
                <w:szCs w:val="21"/>
              </w:rPr>
              <w:sym w:font="Wingdings" w:char="00A8"/>
            </w:r>
          </w:p>
        </w:tc>
      </w:tr>
    </w:tbl>
    <w:p>
      <w:pPr>
        <w:keepNext/>
        <w:keepLines/>
        <w:adjustRightInd w:val="0"/>
        <w:snapToGrid w:val="0"/>
        <w:spacing w:before="156" w:beforeLines="50" w:line="360" w:lineRule="auto"/>
        <w:outlineLvl w:val="1"/>
        <w:rPr>
          <w:rFonts w:ascii="宋体" w:hAnsi="宋体"/>
          <w:color w:val="auto"/>
          <w:szCs w:val="21"/>
        </w:rPr>
      </w:pPr>
      <w:bookmarkStart w:id="4" w:name="_Toc27860"/>
      <w:bookmarkStart w:id="5" w:name="_Toc8526"/>
      <w:r>
        <w:rPr>
          <w:rFonts w:hint="eastAsia" w:ascii="宋体" w:hAnsi="宋体"/>
          <w:color w:val="auto"/>
          <w:szCs w:val="21"/>
        </w:rPr>
        <w:t>注：1.“包”为最小合同单位。每“包”内容应细化到具体的标的。</w:t>
      </w:r>
      <w:bookmarkEnd w:id="4"/>
      <w:bookmarkEnd w:id="5"/>
    </w:p>
    <w:p>
      <w:pPr>
        <w:adjustRightInd w:val="0"/>
        <w:snapToGrid w:val="0"/>
        <w:spacing w:before="156" w:beforeLines="50" w:line="360" w:lineRule="auto"/>
        <w:ind w:firstLine="420" w:firstLineChars="200"/>
        <w:rPr>
          <w:rFonts w:ascii="宋体" w:hAnsi="宋体" w:cs="宋体"/>
          <w:color w:val="auto"/>
          <w:kern w:val="0"/>
          <w:szCs w:val="21"/>
        </w:rPr>
      </w:pPr>
      <w:r>
        <w:rPr>
          <w:rFonts w:hint="eastAsia" w:ascii="宋体" w:hAnsi="宋体"/>
          <w:color w:val="auto"/>
          <w:szCs w:val="21"/>
        </w:rPr>
        <w:t>2.货物的主要技术参数或规格：</w:t>
      </w:r>
      <w:r>
        <w:rPr>
          <w:rFonts w:ascii="宋体" w:hAnsi="宋体" w:cs="宋体"/>
          <w:color w:val="auto"/>
          <w:kern w:val="0"/>
          <w:szCs w:val="21"/>
        </w:rPr>
        <w:t>详见“技术要求”中的具体技术参数</w:t>
      </w:r>
      <w:r>
        <w:rPr>
          <w:rFonts w:hint="eastAsia" w:ascii="宋体" w:hAnsi="宋体" w:cs="宋体"/>
          <w:color w:val="auto"/>
          <w:kern w:val="0"/>
          <w:szCs w:val="21"/>
        </w:rPr>
        <w:t>。</w:t>
      </w:r>
    </w:p>
    <w:p>
      <w:pPr>
        <w:adjustRightInd w:val="0"/>
        <w:snapToGrid w:val="0"/>
        <w:spacing w:before="156" w:beforeLines="50" w:line="360" w:lineRule="auto"/>
        <w:ind w:firstLine="420" w:firstLineChars="200"/>
        <w:rPr>
          <w:rFonts w:ascii="宋体" w:hAnsi="宋体" w:cs="宋体"/>
          <w:color w:val="auto"/>
          <w:kern w:val="0"/>
          <w:szCs w:val="21"/>
        </w:rPr>
      </w:pPr>
      <w:r>
        <w:rPr>
          <w:rFonts w:hint="eastAsia" w:ascii="宋体" w:hAnsi="宋体" w:cs="宋体"/>
          <w:bCs/>
          <w:color w:val="auto"/>
          <w:kern w:val="0"/>
          <w:szCs w:val="21"/>
        </w:rPr>
        <w:t>3.供应商应</w:t>
      </w:r>
      <w:r>
        <w:rPr>
          <w:rFonts w:hint="eastAsia" w:ascii="宋体" w:hAnsi="宋体" w:cs="宋体"/>
          <w:color w:val="auto"/>
          <w:kern w:val="0"/>
          <w:szCs w:val="21"/>
        </w:rPr>
        <w:t>在响应文件</w:t>
      </w:r>
      <w:r>
        <w:rPr>
          <w:rFonts w:hint="eastAsia" w:ascii="华文中宋" w:hAnsi="华文中宋" w:eastAsia="华文中宋" w:cs="宋体"/>
          <w:color w:val="auto"/>
          <w:kern w:val="0"/>
          <w:szCs w:val="21"/>
        </w:rPr>
        <w:t>“</w:t>
      </w:r>
      <w:r>
        <w:rPr>
          <w:rFonts w:hint="eastAsia" w:ascii="宋体" w:hAnsi="宋体" w:cs="宋体"/>
          <w:color w:val="auto"/>
          <w:kern w:val="0"/>
          <w:szCs w:val="21"/>
        </w:rPr>
        <w:t>分项报价明细表</w:t>
      </w:r>
      <w:r>
        <w:rPr>
          <w:rFonts w:hint="eastAsia" w:ascii="华文中宋" w:hAnsi="华文中宋" w:eastAsia="华文中宋" w:cs="宋体"/>
          <w:color w:val="auto"/>
          <w:kern w:val="0"/>
          <w:szCs w:val="21"/>
        </w:rPr>
        <w:t>”</w:t>
      </w:r>
      <w:r>
        <w:rPr>
          <w:rFonts w:hint="eastAsia" w:ascii="宋体" w:hAnsi="宋体" w:cs="宋体"/>
          <w:color w:val="auto"/>
          <w:kern w:val="0"/>
          <w:szCs w:val="21"/>
        </w:rPr>
        <w:t>中按</w:t>
      </w:r>
      <w:r>
        <w:rPr>
          <w:rFonts w:hint="eastAsia" w:ascii="宋体" w:hAnsi="宋体"/>
          <w:color w:val="auto"/>
          <w:szCs w:val="21"/>
        </w:rPr>
        <w:t>标的名称</w:t>
      </w:r>
      <w:r>
        <w:rPr>
          <w:rFonts w:hint="eastAsia" w:ascii="宋体" w:hAnsi="宋体" w:cs="宋体"/>
          <w:color w:val="auto"/>
          <w:kern w:val="0"/>
          <w:szCs w:val="21"/>
        </w:rPr>
        <w:t>顺序逐项填写，且每个标的均需按谈判文件规定报价。如有缺项、漏项，其</w:t>
      </w:r>
      <w:r>
        <w:rPr>
          <w:rFonts w:hint="eastAsia" w:ascii="宋体" w:hAnsi="宋体" w:cs="宋体"/>
          <w:b/>
          <w:color w:val="auto"/>
          <w:kern w:val="0"/>
          <w:szCs w:val="21"/>
        </w:rPr>
        <w:t>响应无效</w:t>
      </w:r>
      <w:r>
        <w:rPr>
          <w:rFonts w:hint="eastAsia" w:ascii="宋体" w:hAnsi="宋体" w:cs="宋体"/>
          <w:color w:val="auto"/>
          <w:kern w:val="0"/>
          <w:szCs w:val="21"/>
        </w:rPr>
        <w:t>。</w:t>
      </w:r>
    </w:p>
    <w:p>
      <w:pPr>
        <w:adjustRightInd w:val="0"/>
        <w:snapToGrid w:val="0"/>
        <w:spacing w:before="156" w:beforeLines="50" w:line="360" w:lineRule="auto"/>
        <w:ind w:firstLine="420" w:firstLineChars="200"/>
        <w:rPr>
          <w:rFonts w:ascii="宋体" w:hAnsi="宋体" w:cs="宋体"/>
          <w:color w:val="auto"/>
          <w:kern w:val="0"/>
          <w:szCs w:val="21"/>
        </w:rPr>
        <w:sectPr>
          <w:pgSz w:w="11906" w:h="16838"/>
          <w:pgMar w:top="1474" w:right="1474" w:bottom="1474" w:left="1588" w:header="851" w:footer="992" w:gutter="0"/>
          <w:pgNumType w:fmt="decimal"/>
          <w:cols w:space="720" w:num="1"/>
          <w:docGrid w:type="lines" w:linePitch="312" w:charSpace="0"/>
        </w:sectPr>
      </w:pPr>
    </w:p>
    <w:p>
      <w:pPr>
        <w:keepNext/>
        <w:keepLines/>
        <w:adjustRightInd w:val="0"/>
        <w:snapToGrid w:val="0"/>
        <w:spacing w:before="156" w:beforeLines="50" w:line="360" w:lineRule="auto"/>
        <w:jc w:val="center"/>
        <w:outlineLvl w:val="1"/>
        <w:rPr>
          <w:rFonts w:ascii="黑体" w:hAnsi="黑体" w:eastAsia="黑体"/>
          <w:b/>
          <w:bCs/>
          <w:color w:val="auto"/>
          <w:sz w:val="28"/>
          <w:szCs w:val="28"/>
        </w:rPr>
      </w:pPr>
      <w:bookmarkStart w:id="6" w:name="_Toc5320"/>
      <w:bookmarkStart w:id="7" w:name="_Toc7285"/>
      <w:r>
        <w:rPr>
          <w:rFonts w:hint="eastAsia" w:ascii="黑体" w:hAnsi="黑体" w:eastAsia="黑体"/>
          <w:b/>
          <w:bCs/>
          <w:color w:val="auto"/>
          <w:sz w:val="28"/>
          <w:szCs w:val="28"/>
        </w:rPr>
        <w:t xml:space="preserve">第二节 </w:t>
      </w:r>
      <w:r>
        <w:rPr>
          <w:rFonts w:ascii="黑体" w:hAnsi="黑体" w:eastAsia="黑体"/>
          <w:b/>
          <w:bCs/>
          <w:color w:val="auto"/>
          <w:sz w:val="28"/>
          <w:szCs w:val="28"/>
        </w:rPr>
        <w:t>技术要求</w:t>
      </w:r>
      <w:bookmarkEnd w:id="6"/>
      <w:bookmarkEnd w:id="7"/>
    </w:p>
    <w:p>
      <w:pPr>
        <w:pStyle w:val="15"/>
        <w:numPr>
          <w:ilvl w:val="0"/>
          <w:numId w:val="0"/>
        </w:numPr>
        <w:spacing w:line="500" w:lineRule="exact"/>
        <w:rPr>
          <w:rFonts w:ascii="宋体" w:hAnsi="宋体" w:cs="宋体"/>
          <w:b/>
          <w:color w:val="auto"/>
          <w:szCs w:val="21"/>
        </w:rPr>
      </w:pPr>
      <w:r>
        <w:rPr>
          <w:rFonts w:hint="eastAsia" w:ascii="宋体" w:hAnsi="宋体" w:cs="宋体"/>
          <w:b/>
          <w:color w:val="auto"/>
          <w:szCs w:val="21"/>
          <w:lang w:eastAsia="zh-CN"/>
        </w:rPr>
        <w:t>一、项目名称：</w:t>
      </w:r>
    </w:p>
    <w:p>
      <w:pPr>
        <w:spacing w:line="460" w:lineRule="exact"/>
        <w:ind w:firstLine="420" w:firstLineChars="200"/>
        <w:rPr>
          <w:rFonts w:hint="eastAsia" w:ascii="宋体" w:hAnsi="宋体" w:cs="宋体"/>
          <w:color w:val="auto"/>
          <w:szCs w:val="21"/>
          <w:lang w:eastAsia="zh-CN"/>
        </w:rPr>
      </w:pPr>
      <w:r>
        <w:rPr>
          <w:rFonts w:hint="eastAsia" w:ascii="宋体" w:hAnsi="宋体" w:cs="宋体"/>
          <w:color w:val="auto"/>
          <w:szCs w:val="21"/>
        </w:rPr>
        <w:t>1、采购项目名称：</w:t>
      </w:r>
      <w:r>
        <w:rPr>
          <w:rFonts w:hint="eastAsia" w:ascii="宋体" w:hAnsi="宋体" w:cs="宋体"/>
          <w:color w:val="auto"/>
          <w:szCs w:val="21"/>
          <w:lang w:eastAsia="zh-CN"/>
        </w:rPr>
        <w:t>攸县城区除“四害”服务采购项目</w:t>
      </w:r>
    </w:p>
    <w:p>
      <w:pPr>
        <w:spacing w:line="460" w:lineRule="exact"/>
        <w:rPr>
          <w:rFonts w:hint="eastAsia"/>
          <w:b w:val="0"/>
          <w:bCs/>
          <w:color w:val="auto"/>
          <w:szCs w:val="20"/>
        </w:rPr>
      </w:pPr>
      <w:r>
        <w:rPr>
          <w:rFonts w:hint="eastAsia"/>
          <w:b/>
          <w:bCs w:val="0"/>
          <w:color w:val="auto"/>
          <w:szCs w:val="20"/>
        </w:rPr>
        <w:t>二、采购预算金额：</w:t>
      </w:r>
      <w:r>
        <w:rPr>
          <w:rFonts w:hint="eastAsia"/>
          <w:b w:val="0"/>
          <w:bCs/>
          <w:color w:val="auto"/>
          <w:szCs w:val="20"/>
          <w:lang w:val="en-US" w:eastAsia="zh-CN"/>
        </w:rPr>
        <w:t>45</w:t>
      </w:r>
      <w:r>
        <w:rPr>
          <w:rFonts w:hint="eastAsia"/>
          <w:b w:val="0"/>
          <w:bCs/>
          <w:color w:val="auto"/>
          <w:szCs w:val="20"/>
        </w:rPr>
        <w:t>万元。</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rPr>
        <w:t>三、服务范围</w:t>
      </w:r>
      <w:r>
        <w:rPr>
          <w:rFonts w:hint="eastAsia" w:ascii="宋体" w:hAnsi="宋体" w:eastAsia="宋体" w:cs="宋体"/>
          <w:b/>
          <w:bCs/>
          <w:color w:val="auto"/>
          <w:sz w:val="21"/>
          <w:szCs w:val="21"/>
          <w:lang w:eastAsia="zh-CN"/>
        </w:rPr>
        <w:t>：</w:t>
      </w:r>
    </w:p>
    <w:p>
      <w:pPr>
        <w:pStyle w:val="2"/>
        <w:keepNext w:val="0"/>
        <w:keepLines w:val="0"/>
        <w:pageBreakBefore w:val="0"/>
        <w:widowControl w:val="0"/>
        <w:kinsoku/>
        <w:wordWrap/>
        <w:overflowPunct/>
        <w:topLinePunct w:val="0"/>
        <w:autoSpaceDE/>
        <w:autoSpaceDN/>
        <w:bidi w:val="0"/>
        <w:adjustRightInd/>
        <w:snapToGrid/>
        <w:spacing w:after="0" w:afterLines="0" w:line="50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1、建成区(联星街道、江桥街道、谭桥街道、春联街道所辖区域)范围内的部门单位、企业、街道、社区、医院、学校、小区、“五小”行业门店、公共场所等整个区域灭鼠、灭蟑、灭蚊、灭蝇。</w:t>
      </w:r>
    </w:p>
    <w:p>
      <w:pPr>
        <w:pStyle w:val="2"/>
        <w:keepNext w:val="0"/>
        <w:keepLines w:val="0"/>
        <w:pageBreakBefore w:val="0"/>
        <w:widowControl w:val="0"/>
        <w:kinsoku/>
        <w:wordWrap/>
        <w:overflowPunct/>
        <w:topLinePunct w:val="0"/>
        <w:autoSpaceDE/>
        <w:autoSpaceDN/>
        <w:bidi w:val="0"/>
        <w:adjustRightInd/>
        <w:snapToGrid/>
        <w:spacing w:after="0" w:afterLines="0" w:line="500" w:lineRule="exact"/>
        <w:ind w:left="0" w:leftChars="0" w:firstLine="0" w:firstLineChars="0"/>
        <w:textAlignment w:val="auto"/>
        <w:rPr>
          <w:rFonts w:hint="default"/>
          <w:color w:val="auto"/>
          <w:lang w:val="en-US"/>
        </w:rPr>
      </w:pPr>
      <w:r>
        <w:rPr>
          <w:rFonts w:hint="eastAsia" w:ascii="宋体" w:hAnsi="宋体" w:eastAsia="宋体" w:cs="宋体"/>
          <w:color w:val="auto"/>
          <w:sz w:val="21"/>
          <w:szCs w:val="21"/>
        </w:rPr>
        <w:t>2、建成区公共场所(包括绿化带、大街小巷城市道路、下水道、留泥井、公共厕所、垃圾中转站、农贸市场、公园、大中型水体、城郊结合部、城中村、闲置空地和建筑工地等公共地带以及机关企事业单位院落)及“五小”行业(包括宾馆、超市、餐饮副食行业、美容美发店、小食品加工厂、小旅店、茶餐吧、粮油店、网吧、歌舞厅等门店)范围内灭鼠、灭蟑、灭蚊、灭蝇。</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rPr>
        <w:t>四、服务期</w:t>
      </w:r>
      <w:r>
        <w:rPr>
          <w:rFonts w:hint="eastAsia" w:ascii="宋体" w:hAnsi="宋体" w:eastAsia="宋体" w:cs="宋体"/>
          <w:b/>
          <w:bCs/>
          <w:color w:val="auto"/>
          <w:sz w:val="21"/>
          <w:szCs w:val="21"/>
          <w:lang w:eastAsia="zh-CN"/>
        </w:rPr>
        <w:t>：</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自签订合同之日起服务期限</w:t>
      </w:r>
      <w:r>
        <w:rPr>
          <w:rFonts w:hint="eastAsia" w:ascii="宋体" w:hAnsi="宋体" w:eastAsia="宋体" w:cs="宋体"/>
          <w:color w:val="auto"/>
          <w:sz w:val="21"/>
          <w:szCs w:val="21"/>
          <w:lang w:eastAsia="zh-CN"/>
        </w:rPr>
        <w:t>壹</w:t>
      </w:r>
      <w:r>
        <w:rPr>
          <w:rFonts w:hint="eastAsia" w:ascii="宋体" w:hAnsi="宋体" w:eastAsia="宋体" w:cs="宋体"/>
          <w:color w:val="auto"/>
          <w:sz w:val="21"/>
          <w:szCs w:val="21"/>
        </w:rPr>
        <w:t>年</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rPr>
        <w:t>五、</w:t>
      </w:r>
      <w:bookmarkStart w:id="8" w:name="_Toc383606466"/>
      <w:r>
        <w:rPr>
          <w:rFonts w:hint="eastAsia" w:ascii="宋体" w:hAnsi="宋体" w:eastAsia="宋体" w:cs="宋体"/>
          <w:b/>
          <w:bCs/>
          <w:color w:val="auto"/>
          <w:sz w:val="21"/>
          <w:szCs w:val="21"/>
        </w:rPr>
        <w:t>服务要求</w:t>
      </w:r>
      <w:bookmarkEnd w:id="8"/>
      <w:bookmarkStart w:id="9" w:name="_Toc383606467"/>
      <w:r>
        <w:rPr>
          <w:rFonts w:hint="eastAsia" w:ascii="宋体" w:hAnsi="宋体" w:eastAsia="宋体" w:cs="宋体"/>
          <w:b/>
          <w:bCs/>
          <w:color w:val="auto"/>
          <w:sz w:val="21"/>
          <w:szCs w:val="21"/>
          <w:lang w:eastAsia="zh-CN"/>
        </w:rPr>
        <w:t>：</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1</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鼠类、蟑螂、蚊类、蝇类密度达到国家卫生县城标准，并确保国家卫生县城复审除“四害”顺利达标。</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2</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确保</w:t>
      </w:r>
      <w:bookmarkStart w:id="13" w:name="_GoBack"/>
      <w:bookmarkEnd w:id="13"/>
      <w:r>
        <w:rPr>
          <w:rFonts w:hint="default" w:ascii="宋体" w:hAnsi="宋体" w:eastAsia="宋体" w:cs="宋体"/>
          <w:color w:val="auto"/>
          <w:sz w:val="21"/>
          <w:szCs w:val="21"/>
          <w:lang w:val="en-US" w:eastAsia="zh-CN"/>
        </w:rPr>
        <w:t>在省、市及其他检查中除“四害”顺利达标。</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3</w:t>
      </w:r>
      <w:r>
        <w:rPr>
          <w:rFonts w:hint="eastAsia" w:ascii="宋体" w:hAnsi="宋体" w:eastAsia="宋体" w:cs="宋体"/>
          <w:color w:val="auto"/>
          <w:sz w:val="21"/>
          <w:szCs w:val="21"/>
          <w:lang w:val="en-US" w:eastAsia="zh-CN"/>
        </w:rPr>
        <w:t>、</w:t>
      </w:r>
      <w:r>
        <w:rPr>
          <w:rFonts w:hint="default" w:ascii="宋体" w:hAnsi="宋体" w:eastAsia="宋体" w:cs="宋体"/>
          <w:color w:val="auto"/>
          <w:sz w:val="21"/>
          <w:szCs w:val="21"/>
          <w:lang w:val="en-US" w:eastAsia="zh-CN"/>
        </w:rPr>
        <w:t xml:space="preserve"> 除“四害”相关资料齐全。</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、每年免费举办除“四害”技术培训班和开展义务咨询活动至少两次以上。</w:t>
      </w:r>
    </w:p>
    <w:p>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、针对合同规定的区域制定具体的消杀计划，每年一般区域除“四害”不得少于8次，重点区域、重点行业不得少于12次。</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、驻县从事消杀服务的工作人员常年保持4人及以上，春、秋季保持6人及以上。工作人员必须具备</w:t>
      </w:r>
      <w:r>
        <w:rPr>
          <w:rFonts w:hint="eastAsia" w:ascii="宋体" w:hAnsi="宋体" w:eastAsia="宋体" w:cs="宋体"/>
          <w:color w:val="auto"/>
          <w:sz w:val="21"/>
          <w:szCs w:val="21"/>
          <w:lang w:eastAsia="zh-CN"/>
        </w:rPr>
        <w:t>从业人员资格证，</w:t>
      </w:r>
      <w:r>
        <w:rPr>
          <w:rFonts w:hint="eastAsia" w:ascii="宋体" w:hAnsi="宋体" w:eastAsia="宋体" w:cs="宋体"/>
          <w:color w:val="auto"/>
          <w:sz w:val="21"/>
          <w:szCs w:val="21"/>
        </w:rPr>
        <w:t>佩带《上岗证》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着统一服装</w:t>
      </w:r>
      <w:r>
        <w:rPr>
          <w:rFonts w:hint="eastAsia" w:ascii="宋体" w:hAnsi="宋体" w:eastAsia="宋体" w:cs="宋体"/>
          <w:color w:val="auto"/>
          <w:sz w:val="21"/>
          <w:szCs w:val="21"/>
          <w:lang w:eastAsia="zh-CN"/>
        </w:rPr>
        <w:t>作业</w:t>
      </w:r>
      <w:r>
        <w:rPr>
          <w:rFonts w:hint="eastAsia" w:ascii="宋体" w:hAnsi="宋体" w:eastAsia="宋体" w:cs="宋体"/>
          <w:color w:val="auto"/>
          <w:sz w:val="21"/>
          <w:szCs w:val="21"/>
        </w:rPr>
        <w:t>，自我安全防护措施符合防护要求，作业时禁止吸烟、饮酒、吃东西。并且做到举止文明，礼貌服务。</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sz w:val="21"/>
          <w:szCs w:val="21"/>
          <w:lang w:eastAsia="zh-CN"/>
        </w:rPr>
      </w:pPr>
      <w:r>
        <w:rPr>
          <w:rFonts w:hint="eastAsia" w:ascii="宋体" w:hAnsi="宋体" w:eastAsia="宋体" w:cs="宋体"/>
          <w:b/>
          <w:bCs/>
          <w:color w:val="auto"/>
          <w:sz w:val="21"/>
          <w:szCs w:val="21"/>
        </w:rPr>
        <w:t>六、</w:t>
      </w:r>
      <w:bookmarkEnd w:id="9"/>
      <w:bookmarkStart w:id="10" w:name="_Toc383606470"/>
      <w:r>
        <w:rPr>
          <w:rFonts w:hint="eastAsia" w:ascii="宋体" w:hAnsi="宋体" w:eastAsia="宋体" w:cs="宋体"/>
          <w:b/>
          <w:bCs/>
          <w:color w:val="auto"/>
          <w:sz w:val="21"/>
          <w:szCs w:val="21"/>
        </w:rPr>
        <w:t>售后服务要求</w:t>
      </w:r>
      <w:bookmarkEnd w:id="10"/>
      <w:r>
        <w:rPr>
          <w:rFonts w:hint="eastAsia" w:ascii="宋体" w:hAnsi="宋体" w:eastAsia="宋体" w:cs="宋体"/>
          <w:b/>
          <w:bCs/>
          <w:color w:val="auto"/>
          <w:sz w:val="21"/>
          <w:szCs w:val="21"/>
          <w:lang w:eastAsia="zh-CN"/>
        </w:rPr>
        <w:t>：</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须提供常设全年每天24小时热线服务和免费技术支持。接到报障电话后，工作日响应时间为1小时，2小时内到达现场；非工作日响应时间为2小时，4小时内到达现场。</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七、责任要求</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1、尽职尽责，科学操作；讲求实效，保证项目效果达到国家制定的标准要求。</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科学用药，不使用国家禁用或伪劣的灭鼠、杀虫剂，所使用的药械须符合国家标准，并提供其相关三证或检测报告书。安全操作，药物投放不裸露在外面，不污染环境，确保安全。如有因药物或操作不当引起的任何安全事故均由中标人负责。</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3、做好孳生地分布及密度检测，按要求做好各种规范的检测记录，制定科学合理的年度、季度工作计划，包括技术方案、工作方法、用药计划等。</w:t>
      </w:r>
    </w:p>
    <w:p>
      <w:pPr>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4、做好工作记录，建立施药服务卡，做好资料收集、整理归档。   </w:t>
      </w:r>
    </w:p>
    <w:p>
      <w:pPr>
        <w:keepNext w:val="0"/>
        <w:keepLines w:val="0"/>
        <w:pageBreakBefore w:val="0"/>
        <w:widowControl w:val="0"/>
        <w:kinsoku/>
        <w:wordWrap/>
        <w:overflowPunct/>
        <w:topLinePunct w:val="0"/>
        <w:autoSpaceDE/>
        <w:autoSpaceDN/>
        <w:bidi w:val="0"/>
        <w:adjustRightInd/>
        <w:snapToGrid w:val="0"/>
        <w:spacing w:line="50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5、接受爱卫部门和采购人的监督指导，无条件接受整改意见并及时整改，不断改进工作。</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发生相关疫情或上级检查需要在本项目服务范围开展应急消杀时，应无条件提供人力、药物、器械参与消杀，服从指挥。非本辖区需要支援开展应急消杀时，要服从发包方部门安排，抽调一定数量人员、药物、器械参加。</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8、及时处理群众投诉，接受采购人的指导性意见。</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八、服务人员要求</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1、在合同签订时中标人须将项目负责人、日常管理人员和其他工人名单、身份证号码、职务等资料交采购人备案。</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中标人应严格遵守采购人制订的各项纪律和管理要求（具体内容在签订合同时约定），若在本项目实施过程中，采购人发现中标人的项目负责人或其他工作人员不符合采购人要求的，采购人有权要求中标人更换不合格的员工，中标人必须无条件接受，并承担相关费用。</w:t>
      </w:r>
    </w:p>
    <w:p>
      <w:pPr>
        <w:keepNext w:val="0"/>
        <w:keepLines w:val="0"/>
        <w:pageBreakBefore w:val="0"/>
        <w:widowControl w:val="0"/>
        <w:kinsoku/>
        <w:wordWrap/>
        <w:overflowPunct/>
        <w:topLinePunct w:val="0"/>
        <w:autoSpaceDE/>
        <w:autoSpaceDN/>
        <w:bidi w:val="0"/>
        <w:adjustRightInd/>
        <w:spacing w:line="5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3、中标人必须遵守劳动法规及地方有关用工规定，与员工签订劳动合同，为员工购买养老、工伤、医疗、失业、人身意外保险。中标单位工作人员在工作过程中造成任何人身安全和财产损失均由中标人负责。</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九、</w:t>
      </w:r>
      <w:r>
        <w:rPr>
          <w:rFonts w:hint="eastAsia" w:ascii="宋体" w:hAnsi="宋体" w:eastAsia="宋体" w:cs="宋体"/>
          <w:b/>
          <w:bCs/>
          <w:color w:val="auto"/>
          <w:sz w:val="21"/>
          <w:szCs w:val="21"/>
        </w:rPr>
        <w:t>付款方式：</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1、付款方式：按合同约定。</w:t>
      </w:r>
    </w:p>
    <w:p>
      <w:pPr>
        <w:keepNext w:val="0"/>
        <w:keepLines w:val="0"/>
        <w:pageBreakBefore w:val="0"/>
        <w:widowControl w:val="0"/>
        <w:kinsoku/>
        <w:wordWrap/>
        <w:overflowPunct/>
        <w:topLinePunct w:val="0"/>
        <w:autoSpaceDE/>
        <w:autoSpaceDN/>
        <w:bidi w:val="0"/>
        <w:adjustRightInd/>
        <w:snapToGrid/>
        <w:spacing w:line="500" w:lineRule="exact"/>
        <w:ind w:firstLine="210" w:firstLineChars="100"/>
        <w:textAlignment w:val="auto"/>
        <w:rPr>
          <w:rFonts w:hint="eastAsia"/>
          <w:b w:val="0"/>
          <w:bCs/>
          <w:color w:val="auto"/>
          <w:szCs w:val="20"/>
        </w:rPr>
      </w:pPr>
      <w:r>
        <w:rPr>
          <w:rFonts w:hint="eastAsia"/>
          <w:b w:val="0"/>
          <w:bCs/>
          <w:color w:val="auto"/>
          <w:szCs w:val="20"/>
        </w:rPr>
        <w:t>2、付款凭正式税务发票，发票须由中标单位开具。</w:t>
      </w:r>
    </w:p>
    <w:p>
      <w:pPr>
        <w:pStyle w:val="2"/>
        <w:rPr>
          <w:rFonts w:hint="eastAsia"/>
          <w:color w:val="auto"/>
          <w:lang w:eastAsia="zh-CN"/>
        </w:rPr>
      </w:pPr>
    </w:p>
    <w:p>
      <w:pPr>
        <w:pStyle w:val="4"/>
        <w:rPr>
          <w:rFonts w:hint="eastAsia"/>
          <w:lang w:eastAsia="zh-CN"/>
        </w:rPr>
      </w:pPr>
    </w:p>
    <w:p>
      <w:pPr>
        <w:keepNext/>
        <w:keepLines/>
        <w:adjustRightInd w:val="0"/>
        <w:snapToGrid w:val="0"/>
        <w:spacing w:before="156" w:beforeLines="50" w:line="360" w:lineRule="auto"/>
        <w:jc w:val="center"/>
        <w:outlineLvl w:val="1"/>
        <w:rPr>
          <w:rFonts w:ascii="黑体" w:hAnsi="黑体" w:eastAsia="黑体"/>
          <w:b/>
          <w:bCs/>
          <w:color w:val="auto"/>
          <w:sz w:val="28"/>
          <w:szCs w:val="28"/>
        </w:rPr>
      </w:pPr>
      <w:bookmarkStart w:id="11" w:name="_Toc7989"/>
      <w:bookmarkStart w:id="12" w:name="_Toc23261"/>
      <w:r>
        <w:rPr>
          <w:rFonts w:hint="eastAsia" w:ascii="黑体" w:hAnsi="黑体" w:eastAsia="黑体"/>
          <w:b/>
          <w:bCs/>
          <w:color w:val="auto"/>
          <w:sz w:val="28"/>
          <w:szCs w:val="28"/>
        </w:rPr>
        <w:t>第</w:t>
      </w:r>
      <w:r>
        <w:rPr>
          <w:rFonts w:hint="eastAsia" w:ascii="黑体" w:hAnsi="黑体" w:eastAsia="黑体"/>
          <w:b/>
          <w:bCs/>
          <w:color w:val="auto"/>
          <w:sz w:val="28"/>
          <w:szCs w:val="28"/>
          <w:lang w:eastAsia="zh-CN"/>
        </w:rPr>
        <w:t>三</w:t>
      </w:r>
      <w:r>
        <w:rPr>
          <w:rFonts w:hint="eastAsia" w:ascii="黑体" w:hAnsi="黑体" w:eastAsia="黑体"/>
          <w:b/>
          <w:bCs/>
          <w:color w:val="auto"/>
          <w:sz w:val="28"/>
          <w:szCs w:val="28"/>
        </w:rPr>
        <w:t xml:space="preserve">节 </w:t>
      </w:r>
      <w:r>
        <w:rPr>
          <w:rFonts w:hint="eastAsia" w:ascii="黑体" w:hAnsi="黑体" w:eastAsia="黑体"/>
          <w:b/>
          <w:bCs/>
          <w:color w:val="auto"/>
          <w:sz w:val="28"/>
          <w:szCs w:val="28"/>
          <w:lang w:eastAsia="zh-CN"/>
        </w:rPr>
        <w:t>商务</w:t>
      </w:r>
      <w:r>
        <w:rPr>
          <w:rFonts w:ascii="黑体" w:hAnsi="黑体" w:eastAsia="黑体"/>
          <w:b/>
          <w:bCs/>
          <w:color w:val="auto"/>
          <w:sz w:val="28"/>
          <w:szCs w:val="28"/>
        </w:rPr>
        <w:t>要求</w:t>
      </w:r>
      <w:bookmarkEnd w:id="11"/>
      <w:bookmarkEnd w:id="12"/>
    </w:p>
    <w:p>
      <w:pPr>
        <w:rPr>
          <w:rFonts w:hint="eastAsia" w:ascii="宋体" w:hAnsi="宋体" w:eastAsia="宋体" w:cs="Times New Roman"/>
          <w:color w:val="auto"/>
          <w:szCs w:val="21"/>
        </w:rPr>
      </w:pPr>
    </w:p>
    <w:p>
      <w:pPr>
        <w:spacing w:line="460" w:lineRule="exact"/>
        <w:ind w:firstLine="422" w:firstLineChars="200"/>
        <w:rPr>
          <w:rFonts w:ascii="宋体" w:hAnsi="宋体"/>
          <w:b/>
          <w:color w:val="auto"/>
          <w:szCs w:val="21"/>
        </w:rPr>
      </w:pPr>
      <w:r>
        <w:rPr>
          <w:rStyle w:val="16"/>
          <w:rFonts w:hint="eastAsia" w:ascii="宋体" w:hAnsi="宋体"/>
          <w:b/>
          <w:color w:val="auto"/>
          <w:szCs w:val="21"/>
        </w:rPr>
        <w:t>一</w:t>
      </w:r>
      <w:r>
        <w:rPr>
          <w:rStyle w:val="16"/>
          <w:rFonts w:ascii="宋体" w:hAnsi="宋体"/>
          <w:b/>
          <w:color w:val="auto"/>
          <w:szCs w:val="21"/>
        </w:rPr>
        <w:t>、</w:t>
      </w:r>
      <w:r>
        <w:rPr>
          <w:rFonts w:hint="eastAsia" w:ascii="宋体" w:hAnsi="宋体"/>
          <w:b/>
          <w:color w:val="auto"/>
          <w:szCs w:val="21"/>
        </w:rPr>
        <w:t>其他要求</w:t>
      </w:r>
    </w:p>
    <w:p>
      <w:pPr>
        <w:widowControl/>
        <w:autoSpaceDN w:val="0"/>
        <w:spacing w:line="440" w:lineRule="atLeast"/>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1.1 本工程为交钥匙工程，不再接受投标报价以外的报价。</w:t>
      </w:r>
    </w:p>
    <w:p>
      <w:pPr>
        <w:keepNext w:val="0"/>
        <w:keepLines w:val="0"/>
        <w:pageBreakBefore w:val="0"/>
        <w:kinsoku/>
        <w:wordWrap/>
        <w:overflowPunct/>
        <w:topLinePunct w:val="0"/>
        <w:autoSpaceDE/>
        <w:autoSpaceDN/>
        <w:bidi w:val="0"/>
        <w:spacing w:line="500" w:lineRule="exact"/>
        <w:ind w:firstLine="420" w:firstLineChars="200"/>
        <w:textAlignment w:val="auto"/>
        <w:rPr>
          <w:rFonts w:ascii="宋体" w:hAnsi="宋体"/>
          <w:bCs/>
          <w:color w:val="auto"/>
          <w:szCs w:val="21"/>
        </w:rPr>
      </w:pPr>
      <w:r>
        <w:rPr>
          <w:rFonts w:hint="eastAsia" w:ascii="宋体" w:hAnsi="宋体" w:eastAsia="宋体" w:cs="宋体"/>
          <w:color w:val="auto"/>
          <w:kern w:val="2"/>
          <w:sz w:val="21"/>
          <w:szCs w:val="21"/>
          <w:highlight w:val="none"/>
          <w:lang w:val="en-US" w:eastAsia="zh-CN" w:bidi="ar-SA"/>
        </w:rPr>
        <w:t>1.2</w:t>
      </w:r>
      <w:r>
        <w:rPr>
          <w:rFonts w:hint="eastAsia" w:ascii="宋体" w:hAnsi="宋体"/>
          <w:bCs/>
          <w:color w:val="auto"/>
          <w:szCs w:val="21"/>
        </w:rPr>
        <w:t>本项目采用费用包干方式实施，成交供应商应根据项目要求及需要，详细列明项目所需的所有费用，应包括完成合同范围的全部工作内容所发生的全部费用，如一旦中标，在项目实施中出现任何遗漏，均由成交供应商免费提供，采购人不再支付任何费用。</w:t>
      </w:r>
    </w:p>
    <w:p>
      <w:pPr>
        <w:widowControl/>
        <w:autoSpaceDN w:val="0"/>
        <w:spacing w:line="440" w:lineRule="atLeast"/>
        <w:ind w:firstLine="420" w:firstLineChars="20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1.3、成交单位就货物的检验、调试和维护提供操作说明，并存档备案。</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1.4、未尽事宜按国家相关法律及行业标准执行。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yMjU5Mzc0OGE4YWE2ZGJmZDVlZjY5NDY4ZWJmY2MifQ=="/>
  </w:docVars>
  <w:rsids>
    <w:rsidRoot w:val="00E66B6C"/>
    <w:rsid w:val="00B51922"/>
    <w:rsid w:val="00E66B6C"/>
    <w:rsid w:val="08C66010"/>
    <w:rsid w:val="0FF03611"/>
    <w:rsid w:val="1DF411BC"/>
    <w:rsid w:val="26DF2052"/>
    <w:rsid w:val="26EB0604"/>
    <w:rsid w:val="2C11325B"/>
    <w:rsid w:val="2F9332D5"/>
    <w:rsid w:val="44E126BB"/>
    <w:rsid w:val="465C4B44"/>
    <w:rsid w:val="49DE0F78"/>
    <w:rsid w:val="4F0B0812"/>
    <w:rsid w:val="5BCE2F74"/>
    <w:rsid w:val="614B06F4"/>
    <w:rsid w:val="64F5431C"/>
    <w:rsid w:val="66D607EF"/>
    <w:rsid w:val="6B064398"/>
    <w:rsid w:val="738A612C"/>
    <w:rsid w:val="772F44A2"/>
    <w:rsid w:val="79B0111C"/>
    <w:rsid w:val="7ABA6FE4"/>
    <w:rsid w:val="7C2B0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link w:val="14"/>
    <w:qFormat/>
    <w:uiPriority w:val="0"/>
    <w:pPr>
      <w:ind w:firstLine="420" w:firstLineChars="200"/>
    </w:pPr>
  </w:style>
  <w:style w:type="paragraph" w:styleId="3">
    <w:name w:val="Body Text Indent"/>
    <w:basedOn w:val="1"/>
    <w:next w:val="2"/>
    <w:link w:val="13"/>
    <w:semiHidden/>
    <w:unhideWhenUsed/>
    <w:qFormat/>
    <w:uiPriority w:val="99"/>
    <w:pPr>
      <w:spacing w:after="120"/>
      <w:ind w:left="420" w:leftChars="200"/>
    </w:p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next w:val="6"/>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6">
    <w:name w:val="Intense Quote"/>
    <w:next w:val="1"/>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paragraph" w:styleId="7">
    <w:name w:val="Body Text Indent 2"/>
    <w:basedOn w:val="1"/>
    <w:qFormat/>
    <w:uiPriority w:val="99"/>
    <w:pPr>
      <w:spacing w:after="120" w:line="480" w:lineRule="auto"/>
      <w:ind w:left="420" w:leftChars="200"/>
    </w:pPr>
    <w:rPr>
      <w:rFonts w:ascii="Times New Roman" w:hAnsi="Times New Roman"/>
      <w:kern w:val="0"/>
      <w:sz w:val="24"/>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正文文本缩进 Char"/>
    <w:basedOn w:val="12"/>
    <w:link w:val="3"/>
    <w:semiHidden/>
    <w:qFormat/>
    <w:uiPriority w:val="99"/>
    <w:rPr>
      <w:rFonts w:ascii="Calibri" w:hAnsi="Calibri" w:eastAsia="宋体" w:cs="Times New Roman"/>
      <w:szCs w:val="24"/>
    </w:rPr>
  </w:style>
  <w:style w:type="character" w:customStyle="1" w:styleId="14">
    <w:name w:val="正文首行缩进 2 Char"/>
    <w:basedOn w:val="13"/>
    <w:link w:val="2"/>
    <w:qFormat/>
    <w:uiPriority w:val="0"/>
    <w:rPr>
      <w:rFonts w:ascii="Calibri" w:hAnsi="Calibri" w:eastAsia="宋体" w:cs="Times New Roman"/>
      <w:szCs w:val="24"/>
    </w:rPr>
  </w:style>
  <w:style w:type="paragraph" w:styleId="15">
    <w:name w:val="List Paragraph"/>
    <w:basedOn w:val="1"/>
    <w:qFormat/>
    <w:uiPriority w:val="34"/>
    <w:pPr>
      <w:ind w:firstLine="420" w:firstLineChars="200"/>
    </w:pPr>
  </w:style>
  <w:style w:type="character" w:customStyle="1" w:styleId="16">
    <w:name w:val="NormalCharacter"/>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1860</Words>
  <Characters>1890</Characters>
  <Lines>10</Lines>
  <Paragraphs>3</Paragraphs>
  <TotalTime>0</TotalTime>
  <ScaleCrop>false</ScaleCrop>
  <LinksUpToDate>false</LinksUpToDate>
  <CharactersWithSpaces>1899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2022-11-18T12:08:00Z</dcterms:created>
  <dc:creator>H</dc:creator>
  <cp:lastModifiedBy>Administrator</cp:lastModifiedBy>
  <dcterms:modified xsi:type="dcterms:W3CDTF">2023-05-30T03:42:32Z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F73F53DF1DD54F78B82D4EC8DB873BEB</vt:lpwstr>
  </property>
</Properties>
</file>