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20"/>
        </w:tabs>
        <w:spacing w:line="276" w:lineRule="auto"/>
        <w:rPr>
          <w:rFonts w:hint="eastAsia" w:ascii="宋体" w:hAnsi="宋体" w:cs="宋体"/>
          <w:b/>
          <w:bCs/>
          <w:color w:val="auto"/>
          <w:sz w:val="44"/>
          <w:szCs w:val="44"/>
          <w:highlight w:val="none"/>
        </w:rPr>
      </w:pPr>
    </w:p>
    <w:p>
      <w:pPr>
        <w:spacing w:line="560" w:lineRule="exact"/>
        <w:jc w:val="center"/>
        <w:rPr>
          <w:rFonts w:ascii="宋体" w:hAnsi="宋体" w:cs="宋体"/>
          <w:color w:val="auto"/>
          <w:sz w:val="72"/>
          <w:szCs w:val="72"/>
          <w:highlight w:val="none"/>
        </w:rPr>
      </w:pPr>
      <w:r>
        <w:rPr>
          <w:rFonts w:hint="eastAsia" w:ascii="宋体" w:hAnsi="宋体" w:cs="宋体"/>
          <w:b/>
          <w:bCs/>
          <w:color w:val="auto"/>
          <w:sz w:val="44"/>
          <w:szCs w:val="44"/>
          <w:highlight w:val="none"/>
        </w:rPr>
        <w:t xml:space="preserve"> 东阳耀辉工程咨询有限公司关于</w:t>
      </w:r>
      <w:r>
        <w:rPr>
          <w:rFonts w:hint="eastAsia" w:ascii="宋体" w:hAnsi="宋体"/>
          <w:b/>
          <w:color w:val="auto"/>
          <w:sz w:val="44"/>
          <w:szCs w:val="44"/>
          <w:highlight w:val="none"/>
          <w:lang w:eastAsia="zh-CN"/>
        </w:rPr>
        <w:t>东阳市2023年度新建房屋白蚁防治服务采购项目</w:t>
      </w:r>
    </w:p>
    <w:p>
      <w:pPr>
        <w:pStyle w:val="8"/>
        <w:ind w:firstLine="0" w:firstLineChars="0"/>
        <w:rPr>
          <w:rFonts w:hAnsi="宋体" w:cs="宋体"/>
          <w:color w:val="auto"/>
          <w:highlight w:val="none"/>
        </w:rPr>
      </w:pPr>
    </w:p>
    <w:p>
      <w:pPr>
        <w:pStyle w:val="8"/>
        <w:ind w:firstLine="867"/>
        <w:rPr>
          <w:rFonts w:hAnsi="宋体" w:cs="宋体"/>
          <w:b/>
          <w:bCs/>
          <w:color w:val="auto"/>
          <w:sz w:val="44"/>
          <w:szCs w:val="44"/>
          <w:highlight w:val="none"/>
        </w:rPr>
      </w:pPr>
    </w:p>
    <w:p>
      <w:pPr>
        <w:pStyle w:val="8"/>
        <w:ind w:firstLine="867"/>
        <w:rPr>
          <w:rFonts w:hAnsi="宋体" w:cs="宋体"/>
          <w:b/>
          <w:bCs/>
          <w:color w:val="auto"/>
          <w:sz w:val="44"/>
          <w:szCs w:val="44"/>
          <w:highlight w:val="none"/>
        </w:rPr>
      </w:pPr>
    </w:p>
    <w:p>
      <w:pPr>
        <w:pStyle w:val="8"/>
        <w:ind w:firstLine="344"/>
        <w:rPr>
          <w:rFonts w:hAnsi="宋体" w:cs="宋体"/>
          <w:color w:val="auto"/>
          <w:highlight w:val="none"/>
        </w:rPr>
      </w:pPr>
    </w:p>
    <w:p>
      <w:pPr>
        <w:spacing w:before="120" w:beforeLines="50"/>
        <w:jc w:val="center"/>
        <w:rPr>
          <w:rFonts w:ascii="宋体" w:hAnsi="宋体" w:cs="宋体"/>
          <w:color w:val="auto"/>
          <w:sz w:val="72"/>
          <w:szCs w:val="72"/>
          <w:highlight w:val="none"/>
        </w:rPr>
      </w:pPr>
      <w:r>
        <w:rPr>
          <w:rFonts w:hint="eastAsia" w:ascii="宋体" w:hAnsi="宋体" w:cs="宋体"/>
          <w:color w:val="auto"/>
          <w:sz w:val="52"/>
          <w:szCs w:val="52"/>
          <w:highlight w:val="none"/>
        </w:rPr>
        <w:t>公开招标采购文件</w:t>
      </w:r>
    </w:p>
    <w:p>
      <w:pPr>
        <w:pStyle w:val="15"/>
        <w:tabs>
          <w:tab w:val="left" w:pos="5415"/>
        </w:tabs>
        <w:snapToGrid w:val="0"/>
        <w:spacing w:before="120" w:after="120" w:line="360" w:lineRule="auto"/>
        <w:rPr>
          <w:rFonts w:hAnsi="宋体" w:cs="宋体"/>
          <w:b/>
          <w:bCs/>
          <w:color w:val="auto"/>
          <w:sz w:val="30"/>
          <w:szCs w:val="30"/>
          <w:highlight w:val="none"/>
        </w:rPr>
      </w:pPr>
    </w:p>
    <w:p>
      <w:pPr>
        <w:pStyle w:val="15"/>
        <w:tabs>
          <w:tab w:val="left" w:pos="5415"/>
        </w:tabs>
        <w:snapToGrid w:val="0"/>
        <w:spacing w:before="120" w:after="120" w:line="360" w:lineRule="auto"/>
        <w:rPr>
          <w:rFonts w:hAnsi="宋体" w:cs="宋体"/>
          <w:b/>
          <w:bCs/>
          <w:color w:val="auto"/>
          <w:sz w:val="30"/>
          <w:szCs w:val="30"/>
          <w:highlight w:val="none"/>
        </w:rPr>
      </w:pPr>
      <w:r>
        <w:rPr>
          <w:rFonts w:hint="eastAsia" w:hAnsi="宋体" w:cs="宋体"/>
          <w:b/>
          <w:bCs/>
          <w:color w:val="auto"/>
          <w:sz w:val="30"/>
          <w:szCs w:val="30"/>
          <w:highlight w:val="none"/>
        </w:rPr>
        <w:tab/>
      </w:r>
    </w:p>
    <w:p>
      <w:pPr>
        <w:pStyle w:val="15"/>
        <w:spacing w:before="120" w:after="120" w:line="600" w:lineRule="exact"/>
        <w:contextualSpacing/>
        <w:rPr>
          <w:rFonts w:hint="eastAsia" w:hAnsi="宋体" w:eastAsia="宋体" w:cs="宋体"/>
          <w:b/>
          <w:bCs/>
          <w:color w:val="auto"/>
          <w:sz w:val="30"/>
          <w:szCs w:val="30"/>
          <w:highlight w:val="none"/>
          <w:lang w:val="en-US"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DYYHCG2023-GK-010</w:t>
      </w:r>
    </w:p>
    <w:p>
      <w:pPr>
        <w:rPr>
          <w:color w:val="auto"/>
          <w:highlight w:val="none"/>
        </w:rPr>
      </w:pPr>
    </w:p>
    <w:p>
      <w:pPr>
        <w:rPr>
          <w:rFonts w:ascii="宋体" w:hAnsi="宋体" w:cs="宋体"/>
          <w:color w:val="auto"/>
          <w:highlight w:val="none"/>
        </w:rPr>
      </w:pPr>
    </w:p>
    <w:p>
      <w:pPr>
        <w:pStyle w:val="15"/>
        <w:spacing w:before="120" w:after="120" w:line="600" w:lineRule="exact"/>
        <w:contextualSpacing/>
        <w:rPr>
          <w:rFonts w:hAnsi="宋体" w:cs="宋体"/>
          <w:b/>
          <w:bCs/>
          <w:color w:val="auto"/>
          <w:sz w:val="30"/>
          <w:szCs w:val="30"/>
          <w:highlight w:val="none"/>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东阳市2023年度新建房屋白蚁防治服务采购项目</w:t>
      </w:r>
    </w:p>
    <w:p>
      <w:pPr>
        <w:rPr>
          <w:color w:val="auto"/>
          <w:highlight w:val="none"/>
        </w:rPr>
      </w:pPr>
    </w:p>
    <w:p>
      <w:pPr>
        <w:rPr>
          <w:rFonts w:ascii="宋体" w:hAnsi="宋体" w:cs="宋体"/>
          <w:color w:val="auto"/>
          <w:highlight w:val="none"/>
        </w:rPr>
      </w:pPr>
    </w:p>
    <w:p>
      <w:pPr>
        <w:pStyle w:val="15"/>
        <w:spacing w:before="120" w:after="120" w:line="600" w:lineRule="exact"/>
        <w:contextualSpacing/>
        <w:rPr>
          <w:rFonts w:hint="eastAsia" w:hAnsi="宋体" w:eastAsia="宋体" w:cs="宋体"/>
          <w:b/>
          <w:color w:val="auto"/>
          <w:sz w:val="28"/>
          <w:highlight w:val="none"/>
          <w:lang w:val="en-US" w:eastAsia="zh-CN"/>
        </w:rPr>
      </w:pPr>
      <w:r>
        <w:rPr>
          <w:rFonts w:hint="eastAsia" w:hAnsi="宋体" w:cs="宋体"/>
          <w:b/>
          <w:bCs/>
          <w:color w:val="auto"/>
          <w:w w:val="95"/>
          <w:sz w:val="30"/>
          <w:szCs w:val="30"/>
          <w:highlight w:val="none"/>
        </w:rPr>
        <w:t>采</w:t>
      </w:r>
      <w:r>
        <w:rPr>
          <w:rFonts w:hint="eastAsia" w:hAnsi="宋体" w:cs="宋体"/>
          <w:b/>
          <w:color w:val="auto"/>
          <w:sz w:val="28"/>
          <w:highlight w:val="none"/>
        </w:rPr>
        <w:t>购单位：</w:t>
      </w:r>
      <w:r>
        <w:rPr>
          <w:rFonts w:hint="eastAsia" w:hAnsi="宋体" w:cs="宋体"/>
          <w:b/>
          <w:color w:val="auto"/>
          <w:sz w:val="28"/>
          <w:highlight w:val="none"/>
          <w:lang w:eastAsia="zh-CN"/>
        </w:rPr>
        <w:t>东阳市房屋征收服务中心</w:t>
      </w:r>
      <w:r>
        <w:rPr>
          <w:rFonts w:hint="eastAsia" w:hAnsi="宋体" w:cs="宋体"/>
          <w:b/>
          <w:color w:val="auto"/>
          <w:sz w:val="28"/>
          <w:highlight w:val="none"/>
          <w:lang w:val="en-US" w:eastAsia="zh-CN"/>
        </w:rPr>
        <w:t>（东阳市房地产处）</w:t>
      </w:r>
    </w:p>
    <w:p>
      <w:pPr>
        <w:rPr>
          <w:color w:val="auto"/>
          <w:highlight w:val="none"/>
        </w:rPr>
      </w:pPr>
    </w:p>
    <w:p>
      <w:pPr>
        <w:rPr>
          <w:rFonts w:ascii="宋体" w:hAnsi="宋体" w:cs="宋体"/>
          <w:color w:val="auto"/>
          <w:highlight w:val="none"/>
        </w:rPr>
      </w:pPr>
    </w:p>
    <w:p>
      <w:pPr>
        <w:pStyle w:val="15"/>
        <w:spacing w:before="120" w:after="120" w:line="600" w:lineRule="exact"/>
        <w:contextualSpacing/>
        <w:rPr>
          <w:rFonts w:hAnsi="宋体" w:cs="宋体"/>
          <w:b/>
          <w:color w:val="auto"/>
          <w:sz w:val="30"/>
          <w:szCs w:val="48"/>
          <w:highlight w:val="none"/>
        </w:rPr>
      </w:pPr>
      <w:r>
        <w:rPr>
          <w:rFonts w:hint="eastAsia" w:hAnsi="宋体" w:cs="宋体"/>
          <w:b/>
          <w:bCs/>
          <w:color w:val="auto"/>
          <w:w w:val="95"/>
          <w:sz w:val="30"/>
          <w:szCs w:val="30"/>
          <w:highlight w:val="none"/>
        </w:rPr>
        <w:t>招标机构：</w:t>
      </w:r>
      <w:r>
        <w:rPr>
          <w:rFonts w:hint="eastAsia" w:hAnsi="宋体" w:cs="宋体"/>
          <w:b/>
          <w:color w:val="auto"/>
          <w:sz w:val="30"/>
          <w:szCs w:val="48"/>
          <w:highlight w:val="none"/>
        </w:rPr>
        <w:t>东阳耀辉工程咨询有限公司</w:t>
      </w:r>
    </w:p>
    <w:p>
      <w:pPr>
        <w:rPr>
          <w:color w:val="auto"/>
          <w:highlight w:val="none"/>
        </w:rPr>
      </w:pPr>
    </w:p>
    <w:p>
      <w:pPr>
        <w:spacing w:line="600" w:lineRule="exact"/>
        <w:ind w:firstLine="2996" w:firstLineChars="1047"/>
        <w:contextualSpacing/>
        <w:rPr>
          <w:rFonts w:ascii="宋体" w:hAnsi="宋体" w:cs="宋体"/>
          <w:b/>
          <w:bCs/>
          <w:color w:val="auto"/>
          <w:w w:val="95"/>
          <w:sz w:val="30"/>
          <w:szCs w:val="30"/>
          <w:highlight w:val="none"/>
        </w:rPr>
      </w:pPr>
    </w:p>
    <w:p>
      <w:pPr>
        <w:spacing w:line="600" w:lineRule="exact"/>
        <w:contextualSpacing/>
        <w:rPr>
          <w:rFonts w:ascii="宋体" w:hAnsi="宋体" w:cs="宋体"/>
          <w:b/>
          <w:color w:val="auto"/>
          <w:szCs w:val="21"/>
          <w:highlight w:val="none"/>
        </w:rPr>
      </w:pPr>
      <w:r>
        <w:rPr>
          <w:rFonts w:hint="eastAsia" w:ascii="宋体" w:hAnsi="宋体" w:cs="宋体"/>
          <w:b/>
          <w:bCs/>
          <w:color w:val="auto"/>
          <w:w w:val="95"/>
          <w:sz w:val="30"/>
          <w:szCs w:val="30"/>
          <w:highlight w:val="none"/>
        </w:rPr>
        <w:t>编制时间：202</w:t>
      </w:r>
      <w:r>
        <w:rPr>
          <w:rFonts w:hint="eastAsia" w:ascii="宋体" w:hAnsi="宋体" w:cs="宋体"/>
          <w:b/>
          <w:bCs/>
          <w:color w:val="auto"/>
          <w:w w:val="95"/>
          <w:sz w:val="30"/>
          <w:szCs w:val="30"/>
          <w:highlight w:val="none"/>
          <w:lang w:val="en-US" w:eastAsia="zh-CN"/>
        </w:rPr>
        <w:t>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pPr>
        <w:spacing w:before="120" w:after="120" w:line="360" w:lineRule="auto"/>
        <w:rPr>
          <w:rFonts w:ascii="宋体" w:hAnsi="宋体" w:cs="宋体"/>
          <w:color w:val="auto"/>
          <w:highlight w:val="none"/>
        </w:rPr>
      </w:pPr>
    </w:p>
    <w:p>
      <w:pPr>
        <w:pStyle w:val="8"/>
        <w:ind w:firstLine="0" w:firstLineChars="0"/>
        <w:rPr>
          <w:rFonts w:hAnsi="宋体" w:cs="宋体"/>
          <w:color w:val="auto"/>
          <w:highlight w:val="none"/>
        </w:rPr>
        <w:sectPr>
          <w:footerReference r:id="rId4" w:type="default"/>
          <w:headerReference r:id="rId3" w:type="even"/>
          <w:footerReference r:id="rId5" w:type="even"/>
          <w:pgSz w:w="11906" w:h="16838"/>
          <w:pgMar w:top="1474" w:right="1247" w:bottom="1247" w:left="1588" w:header="851" w:footer="851" w:gutter="0"/>
          <w:pgNumType w:start="1"/>
          <w:cols w:space="720" w:num="1"/>
          <w:titlePg/>
          <w:docGrid w:linePitch="312" w:charSpace="0"/>
        </w:sectPr>
      </w:pPr>
    </w:p>
    <w:p>
      <w:pPr>
        <w:pStyle w:val="8"/>
        <w:ind w:firstLine="344"/>
        <w:rPr>
          <w:rFonts w:hAnsi="宋体" w:cs="宋体"/>
          <w:color w:val="auto"/>
          <w:highlight w:val="none"/>
        </w:rPr>
      </w:pPr>
    </w:p>
    <w:p>
      <w:pPr>
        <w:spacing w:before="120" w:after="120" w:line="360" w:lineRule="auto"/>
        <w:ind w:firstLine="3960" w:firstLineChars="900"/>
        <w:rPr>
          <w:rFonts w:ascii="宋体" w:hAnsi="宋体" w:cs="宋体"/>
          <w:color w:val="auto"/>
          <w:sz w:val="44"/>
          <w:szCs w:val="44"/>
          <w:highlight w:val="none"/>
        </w:rPr>
      </w:pPr>
      <w:r>
        <w:rPr>
          <w:rFonts w:hint="eastAsia" w:ascii="宋体" w:hAnsi="宋体" w:cs="宋体"/>
          <w:color w:val="auto"/>
          <w:sz w:val="44"/>
          <w:szCs w:val="44"/>
          <w:highlight w:val="none"/>
        </w:rPr>
        <w:t>目  录</w:t>
      </w:r>
    </w:p>
    <w:p>
      <w:pPr>
        <w:tabs>
          <w:tab w:val="right" w:leader="middleDot" w:pos="5880"/>
          <w:tab w:val="right" w:leader="middleDot" w:pos="7980"/>
        </w:tabs>
        <w:spacing w:before="120" w:beforeLines="50" w:line="480" w:lineRule="exact"/>
        <w:ind w:left="901"/>
        <w:rPr>
          <w:rFonts w:ascii="宋体" w:hAnsi="宋体" w:cs="宋体"/>
          <w:color w:val="auto"/>
          <w:sz w:val="30"/>
          <w:szCs w:val="20"/>
          <w:highlight w:val="none"/>
        </w:rPr>
      </w:pPr>
      <w:r>
        <w:rPr>
          <w:rFonts w:hint="eastAsia" w:ascii="宋体" w:hAnsi="宋体" w:cs="宋体"/>
          <w:color w:val="auto"/>
          <w:sz w:val="30"/>
          <w:highlight w:val="none"/>
        </w:rPr>
        <w:t>第一章  公开招标采购公告</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2</w:t>
      </w:r>
    </w:p>
    <w:p>
      <w:pPr>
        <w:tabs>
          <w:tab w:val="right" w:leader="middleDot" w:pos="5880"/>
          <w:tab w:val="right" w:leader="middleDot" w:pos="7980"/>
        </w:tabs>
        <w:spacing w:before="120" w:beforeLines="50" w:line="480" w:lineRule="exact"/>
        <w:ind w:left="901"/>
        <w:rPr>
          <w:rFonts w:ascii="宋体" w:hAnsi="宋体" w:cs="宋体"/>
          <w:color w:val="auto"/>
          <w:sz w:val="30"/>
          <w:szCs w:val="20"/>
          <w:highlight w:val="none"/>
        </w:rPr>
      </w:pPr>
      <w:r>
        <w:rPr>
          <w:rFonts w:hint="eastAsia" w:ascii="宋体" w:hAnsi="宋体" w:cs="宋体"/>
          <w:color w:val="auto"/>
          <w:sz w:val="30"/>
          <w:highlight w:val="none"/>
        </w:rPr>
        <w:t>第二章  招标需求</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7</w:t>
      </w:r>
    </w:p>
    <w:p>
      <w:pPr>
        <w:tabs>
          <w:tab w:val="right" w:leader="middleDot" w:pos="5880"/>
          <w:tab w:val="right" w:leader="middleDot" w:pos="7980"/>
        </w:tabs>
        <w:spacing w:before="120" w:beforeLines="50" w:line="480" w:lineRule="exact"/>
        <w:ind w:left="901"/>
        <w:rPr>
          <w:rFonts w:hint="eastAsia" w:ascii="宋体" w:hAnsi="宋体" w:eastAsia="宋体" w:cs="宋体"/>
          <w:color w:val="auto"/>
          <w:sz w:val="30"/>
          <w:szCs w:val="20"/>
          <w:highlight w:val="none"/>
          <w:lang w:eastAsia="zh-CN"/>
        </w:rPr>
      </w:pPr>
      <w:r>
        <w:rPr>
          <w:rFonts w:hint="eastAsia" w:ascii="宋体" w:hAnsi="宋体" w:cs="宋体"/>
          <w:color w:val="auto"/>
          <w:sz w:val="30"/>
          <w:highlight w:val="none"/>
        </w:rPr>
        <w:t>第三章  投标人须知</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rPr>
        <w:t>1</w:t>
      </w:r>
      <w:r>
        <w:rPr>
          <w:rFonts w:hint="eastAsia" w:ascii="宋体" w:hAnsi="宋体" w:cs="宋体"/>
          <w:color w:val="auto"/>
          <w:sz w:val="30"/>
          <w:highlight w:val="none"/>
          <w:lang w:val="en-US" w:eastAsia="zh-CN"/>
        </w:rPr>
        <w:t>6</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第四章  评标办法及评分标准</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32</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第五章  政府采购合同主要条款</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35</w:t>
      </w:r>
    </w:p>
    <w:p>
      <w:pPr>
        <w:tabs>
          <w:tab w:val="right" w:leader="middleDot" w:pos="5880"/>
          <w:tab w:val="right" w:leader="middleDot" w:pos="7980"/>
        </w:tabs>
        <w:spacing w:before="120" w:beforeLines="50" w:line="480" w:lineRule="exact"/>
        <w:ind w:left="901"/>
        <w:rPr>
          <w:rFonts w:hint="default" w:ascii="宋体" w:hAnsi="宋体" w:eastAsia="宋体" w:cs="宋体"/>
          <w:color w:val="auto"/>
          <w:sz w:val="30"/>
          <w:szCs w:val="20"/>
          <w:highlight w:val="none"/>
          <w:lang w:val="en-US" w:eastAsia="zh-CN"/>
        </w:rPr>
      </w:pPr>
      <w:r>
        <w:rPr>
          <w:rFonts w:hint="eastAsia" w:ascii="宋体" w:hAnsi="宋体" w:cs="宋体"/>
          <w:color w:val="auto"/>
          <w:sz w:val="30"/>
          <w:highlight w:val="none"/>
        </w:rPr>
        <w:t>第六章  投标文件格式</w:t>
      </w:r>
      <w:r>
        <w:rPr>
          <w:rFonts w:hint="eastAsia" w:ascii="宋体" w:hAnsi="宋体" w:cs="宋体"/>
          <w:color w:val="auto"/>
          <w:sz w:val="30"/>
          <w:highlight w:val="none"/>
        </w:rPr>
        <w:tab/>
      </w:r>
      <w:r>
        <w:rPr>
          <w:rFonts w:hint="eastAsia" w:ascii="宋体" w:hAnsi="宋体" w:cs="宋体"/>
          <w:color w:val="auto"/>
          <w:sz w:val="30"/>
          <w:highlight w:val="none"/>
        </w:rPr>
        <w:tab/>
      </w:r>
      <w:r>
        <w:rPr>
          <w:rFonts w:hint="eastAsia" w:ascii="宋体" w:hAnsi="宋体" w:cs="宋体"/>
          <w:color w:val="auto"/>
          <w:sz w:val="30"/>
          <w:highlight w:val="none"/>
          <w:lang w:val="en-US" w:eastAsia="zh-CN"/>
        </w:rPr>
        <w:t>39</w:t>
      </w:r>
      <w:bookmarkStart w:id="8" w:name="_GoBack"/>
      <w:bookmarkEnd w:id="8"/>
    </w:p>
    <w:p>
      <w:pPr>
        <w:snapToGrid w:val="0"/>
        <w:spacing w:before="120" w:after="120"/>
        <w:outlineLvl w:val="0"/>
        <w:rPr>
          <w:rFonts w:ascii="宋体" w:hAnsi="宋体" w:cs="宋体"/>
          <w:color w:val="auto"/>
          <w:sz w:val="30"/>
          <w:szCs w:val="30"/>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b/>
          <w:bCs/>
          <w:color w:val="auto"/>
          <w:sz w:val="32"/>
          <w:szCs w:val="32"/>
          <w:highlight w:val="none"/>
        </w:rPr>
      </w:pPr>
    </w:p>
    <w:p>
      <w:pPr>
        <w:pStyle w:val="15"/>
        <w:snapToGrid w:val="0"/>
        <w:spacing w:before="120" w:after="120" w:line="360" w:lineRule="auto"/>
        <w:jc w:val="center"/>
        <w:outlineLvl w:val="0"/>
        <w:rPr>
          <w:rFonts w:hAnsi="宋体" w:cs="宋体"/>
          <w:color w:val="auto"/>
          <w:sz w:val="28"/>
          <w:szCs w:val="28"/>
          <w:highlight w:val="none"/>
        </w:rPr>
      </w:pPr>
      <w:r>
        <w:rPr>
          <w:rFonts w:hint="eastAsia" w:hAnsi="宋体" w:cs="宋体"/>
          <w:b/>
          <w:bCs/>
          <w:color w:val="auto"/>
          <w:sz w:val="32"/>
          <w:szCs w:val="32"/>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东阳市2023年度新建房屋白蚁防治服务采购项目</w:t>
      </w:r>
      <w:r>
        <w:rPr>
          <w:rFonts w:hint="eastAsia" w:ascii="宋体" w:hAnsi="宋体" w:cs="宋体"/>
          <w:color w:val="auto"/>
          <w:sz w:val="24"/>
          <w:highlight w:val="none"/>
          <w:u w:val="single"/>
        </w:rPr>
        <w:t>（经东阳市财政局</w:t>
      </w:r>
      <w:r>
        <w:rPr>
          <w:rFonts w:hint="eastAsia" w:ascii="宋体" w:hAnsi="宋体" w:cs="宋体"/>
          <w:color w:val="auto"/>
          <w:sz w:val="24"/>
          <w:highlight w:val="none"/>
          <w:u w:val="single"/>
          <w:lang w:eastAsia="zh-CN"/>
        </w:rPr>
        <w:t>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877</w:t>
      </w:r>
      <w:r>
        <w:rPr>
          <w:rFonts w:hint="eastAsia" w:ascii="宋体" w:hAnsi="宋体" w:cs="宋体"/>
          <w:color w:val="auto"/>
          <w:sz w:val="24"/>
          <w:highlight w:val="none"/>
          <w:u w:val="single"/>
        </w:rPr>
        <w:t>号采购计划确认书批准）</w:t>
      </w:r>
      <w:r>
        <w:rPr>
          <w:rFonts w:hint="eastAsia" w:ascii="宋体" w:hAnsi="宋体" w:cs="宋体"/>
          <w:color w:val="auto"/>
          <w:sz w:val="24"/>
          <w:highlight w:val="none"/>
        </w:rPr>
        <w:t>的潜在投标人应在（网址：浙江政府采购网:http://zfcg.czt.zj.gov.cn/、东阳市公共资源交易网:http://ggzyjy.dongyang.gov.cn/）获取招标文件，并于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（北京时间）前递交(上传)投标文件</w:t>
      </w:r>
      <w:r>
        <w:rPr>
          <w:rFonts w:hint="eastAsia" w:ascii="宋体" w:hAnsi="宋体" w:cs="宋体"/>
          <w:color w:val="auto"/>
          <w:sz w:val="24"/>
          <w:highlight w:val="none"/>
        </w:rPr>
        <w:t>。</w:t>
      </w:r>
    </w:p>
    <w:p>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spacing w:line="440" w:lineRule="exact"/>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color w:val="auto"/>
          <w:sz w:val="24"/>
          <w:highlight w:val="none"/>
          <w:lang w:eastAsia="zh-CN"/>
        </w:rPr>
        <w:t>DYYHCG2023-GK-010</w:t>
      </w:r>
    </w:p>
    <w:p>
      <w:pPr>
        <w:spacing w:line="440" w:lineRule="exact"/>
        <w:ind w:firstLine="482" w:firstLineChars="200"/>
        <w:rPr>
          <w:rFonts w:hint="eastAsia" w:ascii="宋体" w:hAnsi="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eastAsia="zh-CN"/>
        </w:rPr>
        <w:t>东阳市2023年度新建房屋白蚁防治服务采购项目</w:t>
      </w:r>
    </w:p>
    <w:p>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预算金额（元）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1490000</w:t>
      </w:r>
      <w:r>
        <w:rPr>
          <w:rFonts w:hint="eastAsia" w:ascii="宋体" w:hAnsi="宋体" w:cs="宋体"/>
          <w:color w:val="auto"/>
          <w:sz w:val="24"/>
          <w:highlight w:val="none"/>
        </w:rPr>
        <w:t>元</w:t>
      </w:r>
    </w:p>
    <w:p>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最高限价（元）</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1490000</w:t>
      </w:r>
      <w:r>
        <w:rPr>
          <w:rFonts w:hint="eastAsia" w:ascii="宋体" w:hAnsi="宋体" w:cs="宋体"/>
          <w:color w:val="auto"/>
          <w:sz w:val="24"/>
          <w:highlight w:val="none"/>
        </w:rPr>
        <w:t>元</w:t>
      </w:r>
    </w:p>
    <w:p>
      <w:pPr>
        <w:pStyle w:val="11"/>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采购需求：</w:t>
      </w:r>
      <w:r>
        <w:rPr>
          <w:rFonts w:hint="eastAsia" w:ascii="宋体" w:hAnsi="宋体" w:cs="宋体"/>
          <w:color w:val="auto"/>
          <w:sz w:val="27"/>
          <w:szCs w:val="27"/>
          <w:highlight w:val="none"/>
        </w:rPr>
        <w:br w:type="textWrapping"/>
      </w:r>
      <w:r>
        <w:rPr>
          <w:rFonts w:hint="eastAsia" w:ascii="宋体" w:hAnsi="宋体" w:cs="宋体"/>
          <w:color w:val="auto"/>
          <w:sz w:val="27"/>
          <w:szCs w:val="27"/>
          <w:highlight w:val="none"/>
        </w:rPr>
        <w:t> </w:t>
      </w:r>
      <w:r>
        <w:rPr>
          <w:rFonts w:hint="eastAsia" w:ascii="宋体" w:hAnsi="宋体" w:cs="宋体"/>
          <w:b/>
          <w:bCs/>
          <w:color w:val="auto"/>
          <w:sz w:val="24"/>
          <w:highlight w:val="none"/>
        </w:rPr>
        <w:t>标项一:</w:t>
      </w:r>
    </w:p>
    <w:p>
      <w:pPr>
        <w:pStyle w:val="11"/>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东阳市2023年度新建房屋白蚁防治服务采购项目</w:t>
      </w:r>
    </w:p>
    <w:p>
      <w:pPr>
        <w:pStyle w:val="11"/>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数量：不限</w:t>
      </w:r>
    </w:p>
    <w:p>
      <w:pPr>
        <w:pStyle w:val="11"/>
        <w:spacing w:line="440" w:lineRule="exact"/>
        <w:ind w:left="718" w:leftChars="342"/>
        <w:rPr>
          <w:rFonts w:hint="default" w:ascii="宋体" w:hAnsi="宋体" w:cs="宋体"/>
          <w:color w:val="auto"/>
          <w:sz w:val="24"/>
          <w:highlight w:val="none"/>
          <w:lang w:val="en-US"/>
        </w:rPr>
      </w:pPr>
      <w:r>
        <w:rPr>
          <w:rFonts w:hint="eastAsia" w:ascii="宋体" w:hAnsi="宋体" w:cs="宋体"/>
          <w:color w:val="auto"/>
          <w:sz w:val="24"/>
          <w:highlight w:val="none"/>
        </w:rPr>
        <w:t>预算金额（元）：</w:t>
      </w:r>
      <w:r>
        <w:rPr>
          <w:rFonts w:hint="eastAsia" w:ascii="宋体" w:hAnsi="宋体" w:cs="宋体"/>
          <w:color w:val="auto"/>
          <w:sz w:val="24"/>
          <w:highlight w:val="none"/>
          <w:lang w:val="en-US" w:eastAsia="zh-CN"/>
        </w:rPr>
        <w:t>1490000</w:t>
      </w:r>
      <w:r>
        <w:rPr>
          <w:rFonts w:hint="eastAsia" w:ascii="宋体" w:hAnsi="宋体" w:cs="宋体"/>
          <w:color w:val="auto"/>
          <w:sz w:val="24"/>
          <w:highlight w:val="none"/>
        </w:rPr>
        <w:t>元</w:t>
      </w:r>
      <w:r>
        <w:rPr>
          <w:rFonts w:hint="eastAsia" w:ascii="宋体" w:hAnsi="宋体" w:cs="宋体"/>
          <w:color w:val="auto"/>
          <w:sz w:val="24"/>
          <w:highlight w:val="none"/>
        </w:rPr>
        <w:br w:type="textWrapping"/>
      </w:r>
      <w:r>
        <w:rPr>
          <w:rFonts w:hint="eastAsia" w:ascii="宋体" w:hAnsi="宋体" w:cs="宋体"/>
          <w:color w:val="auto"/>
          <w:sz w:val="24"/>
          <w:highlight w:val="none"/>
        </w:rPr>
        <w:t>简要规格描述或项目基本概况介绍、用途：具体要求详见第二章招标需求</w:t>
      </w:r>
      <w:r>
        <w:rPr>
          <w:rFonts w:hint="eastAsia" w:ascii="宋体" w:hAnsi="宋体" w:cs="宋体"/>
          <w:color w:val="auto"/>
          <w:sz w:val="24"/>
          <w:highlight w:val="none"/>
        </w:rPr>
        <w:br w:type="textWrapping"/>
      </w:r>
      <w:r>
        <w:rPr>
          <w:rFonts w:hint="eastAsia" w:ascii="宋体" w:hAnsi="宋体" w:cs="宋体"/>
          <w:color w:val="auto"/>
          <w:sz w:val="24"/>
          <w:highlight w:val="none"/>
        </w:rPr>
        <w:t>备注：</w:t>
      </w:r>
      <w:r>
        <w:rPr>
          <w:rFonts w:hint="eastAsia" w:ascii="宋体" w:hAnsi="宋体" w:cs="宋体"/>
          <w:color w:val="auto"/>
          <w:sz w:val="24"/>
          <w:highlight w:val="none"/>
          <w:lang w:val="en-US" w:eastAsia="zh-CN"/>
        </w:rPr>
        <w:t>本次招标分三个标段，标段一：吴宁、白云、江北街道区域内；标段二：南市街道、横店镇、南马镇、画水镇、马宅镇、湖溪镇、千祥镇区域内；标段三：六石街道、城东街道、巍山镇、虎鹿镇、歌山镇、佐村镇、三单乡、东阳江镇区域。项目金额总计不超过149万元。</w:t>
      </w:r>
    </w:p>
    <w:p>
      <w:pPr>
        <w:pStyle w:val="11"/>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合同履约期限：详见招标文件</w:t>
      </w:r>
    </w:p>
    <w:p>
      <w:pPr>
        <w:pStyle w:val="11"/>
        <w:shd w:val="clear"/>
        <w:spacing w:line="440" w:lineRule="exact"/>
        <w:ind w:left="718" w:leftChars="342"/>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pPr>
        <w:snapToGrid w:val="0"/>
        <w:spacing w:line="440" w:lineRule="exact"/>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pPr>
        <w:pStyle w:val="11"/>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2.落实政策：</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专门面向中小企业</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480" w:firstLineChars="200"/>
        <w:rPr>
          <w:rFonts w:hint="eastAsia"/>
          <w:color w:val="auto"/>
        </w:rPr>
      </w:pPr>
      <w:sdt>
        <w:sdtPr>
          <w:rPr>
            <w:rFonts w:hint="eastAsia" w:ascii="宋体" w:hAnsi="宋体" w:eastAsia="宋体" w:cs="宋体"/>
            <w:color w:val="auto"/>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rPr>
        <w:t>；</w:t>
      </w:r>
    </w:p>
    <w:p>
      <w:pPr>
        <w:snapToGrid w:val="0"/>
        <w:spacing w:line="360" w:lineRule="auto"/>
        <w:ind w:firstLine="480" w:firstLineChars="200"/>
        <w:rPr>
          <w:rFonts w:ascii="宋体" w:hAnsi="宋体" w:cs="宋体"/>
          <w:b/>
          <w:bCs/>
          <w:color w:val="auto"/>
          <w:sz w:val="24"/>
          <w:highlight w:val="none"/>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pStyle w:val="11"/>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3.本项目的特定资格要求：</w:t>
      </w:r>
    </w:p>
    <w:p>
      <w:pPr>
        <w:pStyle w:val="11"/>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投标人须为浙江政府采购网注册的正式供应商或承诺中标后30天内注册为浙江政府采购网正式供应商。</w:t>
      </w:r>
    </w:p>
    <w:p>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pPr>
        <w:spacing w:line="44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highlight w:val="none"/>
        </w:rPr>
        <w:t>，每天上午00:00至12:00，下午12:00至23:59（北京时间，线上获取法定节假日均可，线下获取文件法定节假日除外）</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地点（网址）：浙江政府采购网（http://zfcg.czt.zj.gov.cn/）；东阳市公共资源交易网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pPr>
        <w:snapToGrid w:val="0"/>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2、招标文件获取流程：浙江政府采购网-政采云用户登录-用户中心-项目采购-获取采购文件管理。</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p>
    <w:p>
      <w:pPr>
        <w:snapToGrid w:val="0"/>
        <w:spacing w:line="440" w:lineRule="exact"/>
        <w:ind w:firstLine="481"/>
        <w:rPr>
          <w:rFonts w:ascii="宋体" w:hAnsi="宋体" w:cs="宋体"/>
          <w:color w:val="auto"/>
          <w:sz w:val="24"/>
          <w:highlight w:val="none"/>
        </w:rPr>
      </w:pPr>
      <w:r>
        <w:rPr>
          <w:rFonts w:hint="eastAsia" w:ascii="宋体" w:hAnsi="宋体" w:cs="宋体"/>
          <w:color w:val="auto"/>
          <w:sz w:val="24"/>
          <w:highlight w:val="none"/>
        </w:rPr>
        <w:t>开标地点（网址）：政采云平台</w:t>
      </w:r>
    </w:p>
    <w:p>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numPr>
          <w:ilvl w:val="0"/>
          <w:numId w:val="1"/>
        </w:num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其他补充事宜</w:t>
      </w:r>
    </w:p>
    <w:p>
      <w:pPr>
        <w:spacing w:line="440" w:lineRule="exact"/>
        <w:ind w:left="315"/>
        <w:rPr>
          <w:rFonts w:ascii="宋体" w:hAnsi="宋体" w:cs="宋体"/>
          <w:color w:val="auto"/>
          <w:sz w:val="24"/>
          <w:highlight w:val="none"/>
        </w:rPr>
      </w:pPr>
      <w:r>
        <w:rPr>
          <w:rFonts w:hint="eastAsia" w:ascii="宋体" w:hAnsi="宋体" w:cs="宋体"/>
          <w:color w:val="auto"/>
          <w:sz w:val="24"/>
          <w:highlight w:val="none"/>
        </w:rPr>
        <w:t>1、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color w:val="auto"/>
          <w:highlight w:val="none"/>
        </w:rPr>
      </w:pPr>
      <w:r>
        <w:rPr>
          <w:rFonts w:hint="eastAsia" w:ascii="宋体" w:hAnsi="宋体" w:cs="宋体"/>
          <w:color w:val="auto"/>
          <w:sz w:val="24"/>
          <w:szCs w:val="22"/>
          <w:highlight w:val="none"/>
        </w:rPr>
        <w:t>4、需要落实的政府采购政策：包括节约资源、保护环境、支持创新、促进中小企业发展等。</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28"/>
          <w:rFonts w:hint="eastAsia" w:ascii="宋体" w:hAnsi="宋体" w:cs="宋体"/>
          <w:color w:val="auto"/>
          <w:sz w:val="24"/>
          <w:highlight w:val="none"/>
        </w:rPr>
        <w:t>https://edu.zcygov.cn/luban/e-biding?utm=a0004.2ef5001f.0001.0109.2d44db10df9111e9b92b0f36d4889416。）</w:t>
      </w:r>
      <w:r>
        <w:rPr>
          <w:rStyle w:val="28"/>
          <w:rFonts w:hint="eastAsia" w:ascii="宋体" w:hAnsi="宋体" w:cs="宋体"/>
          <w:color w:val="auto"/>
          <w:sz w:val="24"/>
          <w:highlight w:val="none"/>
        </w:rPr>
        <w:fldChar w:fldCharType="end"/>
      </w:r>
    </w:p>
    <w:p>
      <w:pPr>
        <w:spacing w:line="440" w:lineRule="exact"/>
        <w:ind w:left="315" w:firstLine="240" w:firstLineChars="100"/>
        <w:rPr>
          <w:rFonts w:ascii="宋体" w:hAnsi="宋体" w:cs="宋体"/>
          <w:color w:val="auto"/>
          <w:sz w:val="24"/>
          <w:highlight w:val="none"/>
        </w:rPr>
      </w:pPr>
      <w:r>
        <w:rPr>
          <w:rFonts w:hint="eastAsia" w:ascii="宋体" w:hAnsi="宋体" w:cs="宋体"/>
          <w:color w:val="auto"/>
          <w:sz w:val="24"/>
          <w:highlight w:val="none"/>
        </w:rPr>
        <w:t>8、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本采购项目，中标单位与采购单位签订的政府采购合同适用于政府采购贷款政策，简称“政采贷”，具体内容详见附件《政府采购支持中小企业信用融资相关事项通知》。本项目中的预付款保函也可通过政采云系统办理。</w:t>
      </w:r>
    </w:p>
    <w:p>
      <w:pPr>
        <w:pStyle w:val="8"/>
        <w:spacing w:after="156" w:line="360" w:lineRule="auto"/>
        <w:ind w:firstLine="466"/>
        <w:jc w:val="left"/>
        <w:rPr>
          <w:rFonts w:hAnsi="宋体" w:cs="宋体"/>
          <w:b/>
          <w:bCs/>
          <w:color w:val="auto"/>
          <w:sz w:val="24"/>
          <w:szCs w:val="24"/>
          <w:highlight w:val="none"/>
        </w:rPr>
      </w:pPr>
      <w:r>
        <w:rPr>
          <w:rFonts w:hint="eastAsia" w:hAnsi="宋体" w:cs="宋体"/>
          <w:b/>
          <w:bCs/>
          <w:color w:val="auto"/>
          <w:sz w:val="24"/>
          <w:szCs w:val="24"/>
          <w:highlight w:val="none"/>
        </w:rPr>
        <w:t xml:space="preserve">为扩大政府采购金融服务面，除政采云网上金融服务合作银行外，东阳市范围内增加线下合作银行，具体信息如下：   </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浙商银行金华东阳支行联系人：许燕  联系电话：13967983441  0579-86222992</w:t>
      </w:r>
    </w:p>
    <w:p>
      <w:pPr>
        <w:pStyle w:val="11"/>
        <w:numPr>
          <w:ilvl w:val="0"/>
          <w:numId w:val="2"/>
        </w:num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供应商在线投诉渠道（</w:t>
      </w:r>
      <w:r>
        <w:rPr>
          <w:color w:val="auto"/>
          <w:highlight w:val="none"/>
        </w:rPr>
        <w:fldChar w:fldCharType="begin"/>
      </w:r>
      <w:r>
        <w:rPr>
          <w:color w:val="auto"/>
          <w:highlight w:val="none"/>
        </w:rPr>
        <w:instrText xml:space="preserve">HYPERLINK "http://www.zjzwfw.gov.cn/zjservice/item/detail/index.do?localInnerCode=2ca19a7a-aa2d-4cca-a191-a5edf3bf69f8"</w:instrText>
      </w:r>
      <w:r>
        <w:rPr>
          <w:color w:val="auto"/>
          <w:highlight w:val="none"/>
        </w:rPr>
        <w:fldChar w:fldCharType="separate"/>
      </w:r>
      <w:r>
        <w:rPr>
          <w:rStyle w:val="28"/>
          <w:rFonts w:hint="eastAsia" w:ascii="宋体" w:hAnsi="宋体" w:cs="宋体"/>
          <w:color w:val="auto"/>
          <w:sz w:val="24"/>
          <w:highlight w:val="none"/>
        </w:rPr>
        <w:t>http://www.zjzwfw.gov.cn/zjservice/item/detail/index.do?localInnerCode=2ca19a7a-aa2d-4cca-a191-a5edf3bf69f8</w:t>
      </w:r>
      <w:r>
        <w:rPr>
          <w:rStyle w:val="28"/>
          <w:rFonts w:ascii="宋体" w:hAnsi="宋体" w:cs="宋体"/>
          <w:color w:val="auto"/>
          <w:sz w:val="24"/>
          <w:highlight w:val="none"/>
        </w:rPr>
        <w:fldChar w:fldCharType="end"/>
      </w:r>
      <w:r>
        <w:rPr>
          <w:rFonts w:hint="eastAsia" w:ascii="宋体" w:hAnsi="宋体" w:cs="宋体"/>
          <w:color w:val="auto"/>
          <w:sz w:val="24"/>
          <w:highlight w:val="none"/>
        </w:rPr>
        <w:t>）</w:t>
      </w:r>
    </w:p>
    <w:p>
      <w:pPr>
        <w:snapToGrid w:val="0"/>
        <w:spacing w:line="440"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440" w:lineRule="exact"/>
        <w:rPr>
          <w:rFonts w:ascii="宋体" w:hAnsi="宋体" w:cs="宋体"/>
          <w:b/>
          <w:color w:val="auto"/>
          <w:sz w:val="28"/>
          <w:szCs w:val="28"/>
          <w:highlight w:val="none"/>
        </w:rPr>
      </w:pPr>
      <w:bookmarkStart w:id="0" w:name="_Toc28359085"/>
      <w:bookmarkStart w:id="1" w:name="_Toc35393796"/>
      <w:bookmarkStart w:id="2" w:name="_Toc28359008"/>
      <w:bookmarkStart w:id="3" w:name="_Toc35393627"/>
      <w:r>
        <w:rPr>
          <w:rFonts w:hint="eastAsia" w:ascii="宋体" w:hAnsi="宋体" w:cs="宋体"/>
          <w:b/>
          <w:color w:val="auto"/>
          <w:sz w:val="24"/>
          <w:highlight w:val="none"/>
        </w:rPr>
        <w:t>七、</w:t>
      </w:r>
      <w:bookmarkEnd w:id="0"/>
      <w:bookmarkEnd w:id="1"/>
      <w:bookmarkEnd w:id="2"/>
      <w:bookmarkEnd w:id="3"/>
      <w:r>
        <w:rPr>
          <w:rFonts w:hint="eastAsia" w:ascii="宋体" w:hAnsi="宋体" w:cs="宋体"/>
          <w:b/>
          <w:color w:val="auto"/>
          <w:sz w:val="24"/>
          <w:highlight w:val="none"/>
        </w:rPr>
        <w:t>对本次采购提出询问、质疑、投诉，请按以下方式联系。</w:t>
      </w:r>
    </w:p>
    <w:p>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代理机构：东阳耀辉工程咨询有限公司 </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联系人：王骏娅</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朱良红</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潘庆华</w:t>
      </w:r>
    </w:p>
    <w:p>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电话：0579-86633677     13588626696</w:t>
      </w:r>
    </w:p>
    <w:p>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HYPERLINK "mailto:1722002832@qq.com"</w:instrText>
      </w:r>
      <w:r>
        <w:rPr>
          <w:color w:val="auto"/>
          <w:highlight w:val="none"/>
        </w:rPr>
        <w:fldChar w:fldCharType="separate"/>
      </w:r>
      <w:r>
        <w:rPr>
          <w:rFonts w:hint="eastAsia" w:ascii="宋体" w:hAnsi="宋体" w:cs="宋体"/>
          <w:color w:val="auto"/>
          <w:sz w:val="24"/>
          <w:highlight w:val="none"/>
        </w:rPr>
        <w:t>1722002832@qq.com</w:t>
      </w:r>
      <w:r>
        <w:rPr>
          <w:rFonts w:ascii="宋体" w:hAnsi="宋体" w:cs="宋体"/>
          <w:color w:val="auto"/>
          <w:sz w:val="24"/>
          <w:highlight w:val="none"/>
        </w:rPr>
        <w:fldChar w:fldCharType="end"/>
      </w:r>
    </w:p>
    <w:p>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质疑联系人：许文辉                </w:t>
      </w:r>
    </w:p>
    <w:p>
      <w:pPr>
        <w:tabs>
          <w:tab w:val="left" w:pos="345"/>
        </w:tabs>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质疑联系方式：13906793055</w:t>
      </w:r>
    </w:p>
    <w:p>
      <w:pPr>
        <w:tabs>
          <w:tab w:val="left" w:pos="345"/>
        </w:tabs>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采购单位：</w:t>
      </w:r>
      <w:r>
        <w:rPr>
          <w:rFonts w:hint="eastAsia" w:ascii="宋体" w:hAnsi="宋体" w:cs="宋体"/>
          <w:color w:val="auto"/>
          <w:sz w:val="24"/>
          <w:highlight w:val="none"/>
          <w:lang w:eastAsia="zh-CN"/>
        </w:rPr>
        <w:t>东阳市房屋征收服务中心</w:t>
      </w:r>
      <w:r>
        <w:rPr>
          <w:rFonts w:hint="eastAsia" w:ascii="宋体" w:hAnsi="宋体" w:cs="宋体"/>
          <w:color w:val="auto"/>
          <w:sz w:val="24"/>
          <w:highlight w:val="none"/>
          <w:lang w:val="en-US" w:eastAsia="zh-CN"/>
        </w:rPr>
        <w:t>（东阳市房地产处）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w:t>
      </w:r>
      <w:r>
        <w:rPr>
          <w:rFonts w:hint="eastAsia" w:ascii="宋体" w:hAnsi="宋体" w:cs="宋体"/>
          <w:color w:val="auto"/>
          <w:sz w:val="24"/>
        </w:rPr>
        <w:t>陆俏蓉</w:t>
      </w:r>
      <w:r>
        <w:rPr>
          <w:rFonts w:hint="eastAsia" w:ascii="宋体" w:hAnsi="宋体" w:cs="宋体"/>
          <w:color w:val="auto"/>
          <w:sz w:val="24"/>
          <w:highlight w:val="none"/>
        </w:rPr>
        <w:t xml:space="preserve">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rPr>
        <w:t>13566988658</w:t>
      </w:r>
      <w:r>
        <w:rPr>
          <w:rFonts w:hint="eastAsia" w:ascii="宋体" w:hAnsi="宋体" w:cs="宋体"/>
          <w:color w:val="auto"/>
          <w:sz w:val="24"/>
          <w:highlight w:val="none"/>
        </w:rPr>
        <w:t xml:space="preserve">    </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rPr>
        <w:t>张红华</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rPr>
        <w:t>0579-86647071</w:t>
      </w:r>
      <w:r>
        <w:rPr>
          <w:rFonts w:hint="eastAsia" w:ascii="宋体" w:hAnsi="宋体" w:cs="宋体"/>
          <w:color w:val="auto"/>
          <w:sz w:val="24"/>
          <w:highlight w:val="none"/>
        </w:rPr>
        <w:t xml:space="preserve">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政府采购行政监管及投诉受理部门：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东阳市财政局采购办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联系电话：0579-86662677</w:t>
      </w:r>
    </w:p>
    <w:p>
      <w:pPr>
        <w:spacing w:line="440" w:lineRule="exact"/>
        <w:ind w:firstLine="3840" w:firstLineChars="1600"/>
        <w:rPr>
          <w:rFonts w:hint="eastAsia" w:ascii="宋体" w:hAnsi="宋体" w:cs="宋体"/>
          <w:color w:val="auto"/>
          <w:sz w:val="24"/>
          <w:highlight w:val="none"/>
          <w:lang w:eastAsia="zh-CN"/>
        </w:rPr>
      </w:pPr>
      <w:r>
        <w:rPr>
          <w:rFonts w:hint="eastAsia" w:ascii="宋体" w:hAnsi="宋体" w:cs="宋体"/>
          <w:color w:val="auto"/>
          <w:sz w:val="24"/>
          <w:highlight w:val="none"/>
        </w:rPr>
        <w:t>东阳市房屋征收服务中心（东阳市房地产处）</w:t>
      </w:r>
    </w:p>
    <w:p>
      <w:pPr>
        <w:spacing w:line="440" w:lineRule="exact"/>
        <w:ind w:firstLine="360" w:firstLineChars="150"/>
        <w:contextualSpacing/>
        <w:rPr>
          <w:rFonts w:ascii="宋体" w:hAnsi="宋体" w:cs="宋体"/>
          <w:color w:val="auto"/>
          <w:sz w:val="24"/>
          <w:highlight w:val="none"/>
        </w:rPr>
      </w:pPr>
      <w:r>
        <w:rPr>
          <w:rFonts w:hint="eastAsia" w:ascii="宋体" w:hAnsi="宋体" w:cs="宋体"/>
          <w:color w:val="auto"/>
          <w:sz w:val="24"/>
          <w:highlight w:val="none"/>
        </w:rPr>
        <w:t xml:space="preserve">                                           东阳耀辉工程咨询有限公司</w:t>
      </w:r>
    </w:p>
    <w:p>
      <w:pPr>
        <w:spacing w:line="440" w:lineRule="exact"/>
        <w:ind w:firstLine="360" w:firstLineChars="150"/>
        <w:contextualSpacing/>
        <w:rPr>
          <w:rFonts w:ascii="宋体" w:hAnsi="宋体" w:cs="宋体"/>
          <w:color w:val="auto"/>
          <w:sz w:val="30"/>
          <w:szCs w:val="30"/>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 xml:space="preserve">日                                            </w:t>
      </w:r>
    </w:p>
    <w:p>
      <w:pPr>
        <w:snapToGrid w:val="0"/>
        <w:spacing w:line="440" w:lineRule="exact"/>
        <w:rPr>
          <w:rFonts w:ascii="宋体" w:hAnsi="宋体" w:cs="宋体"/>
          <w:color w:val="auto"/>
          <w:sz w:val="30"/>
          <w:szCs w:val="30"/>
          <w:highlight w:val="none"/>
        </w:rPr>
      </w:pPr>
    </w:p>
    <w:p>
      <w:pPr>
        <w:widowControl/>
        <w:spacing w:line="440" w:lineRule="exact"/>
        <w:jc w:val="left"/>
        <w:rPr>
          <w:rFonts w:ascii="宋体" w:hAnsi="宋体" w:cs="宋体"/>
          <w:color w:val="auto"/>
          <w:sz w:val="27"/>
          <w:szCs w:val="27"/>
          <w:highlight w:val="none"/>
        </w:rPr>
      </w:pPr>
      <w:r>
        <w:rPr>
          <w:rFonts w:hint="eastAsia" w:ascii="宋体" w:hAnsi="宋体" w:cs="宋体"/>
          <w:color w:val="auto"/>
          <w:kern w:val="0"/>
          <w:sz w:val="27"/>
          <w:szCs w:val="27"/>
          <w:highlight w:val="none"/>
        </w:rPr>
        <w:t>若对项目采购电子交易系统操作有疑问，可登录政采云（https://www.zcygov.cn/），点击右侧咨询小采，获取采小蜜智能服务管家帮助，或拨打政采云服务热线400-881-7190获取热线服务帮助。       </w:t>
      </w:r>
    </w:p>
    <w:p>
      <w:pPr>
        <w:widowControl/>
        <w:spacing w:line="440" w:lineRule="exact"/>
        <w:jc w:val="left"/>
        <w:rPr>
          <w:rFonts w:ascii="宋体" w:hAnsi="宋体" w:cs="宋体"/>
          <w:color w:val="auto"/>
          <w:highlight w:val="none"/>
        </w:rPr>
      </w:pPr>
      <w:r>
        <w:rPr>
          <w:rFonts w:hint="eastAsia" w:ascii="宋体" w:hAnsi="宋体" w:cs="宋体"/>
          <w:color w:val="auto"/>
          <w:kern w:val="0"/>
          <w:sz w:val="27"/>
          <w:szCs w:val="27"/>
          <w:highlight w:val="none"/>
        </w:rPr>
        <w:t>CA问题联系电话（人工）：汇信CA 400-888-4636；天谷CA 400-087-8198。</w:t>
      </w:r>
    </w:p>
    <w:p>
      <w:pPr>
        <w:snapToGrid w:val="0"/>
        <w:spacing w:line="360" w:lineRule="auto"/>
        <w:rPr>
          <w:rFonts w:ascii="宋体" w:hAnsi="宋体" w:cs="宋体"/>
          <w:color w:val="auto"/>
          <w:sz w:val="30"/>
          <w:szCs w:val="30"/>
          <w:highlight w:val="none"/>
        </w:rPr>
      </w:pPr>
    </w:p>
    <w:p>
      <w:pPr>
        <w:snapToGrid w:val="0"/>
        <w:spacing w:line="360" w:lineRule="auto"/>
        <w:rPr>
          <w:rFonts w:ascii="宋体" w:hAnsi="宋体" w:cs="宋体"/>
          <w:color w:val="auto"/>
          <w:sz w:val="30"/>
          <w:szCs w:val="30"/>
          <w:highlight w:val="none"/>
        </w:rPr>
      </w:pPr>
    </w:p>
    <w:p>
      <w:pPr>
        <w:snapToGrid w:val="0"/>
        <w:spacing w:line="360" w:lineRule="auto"/>
        <w:rPr>
          <w:rFonts w:ascii="宋体" w:hAnsi="宋体" w:cs="宋体"/>
          <w:color w:val="auto"/>
          <w:sz w:val="30"/>
          <w:szCs w:val="30"/>
          <w:highlight w:val="none"/>
        </w:rPr>
      </w:pPr>
    </w:p>
    <w:p>
      <w:pPr>
        <w:tabs>
          <w:tab w:val="left" w:pos="2920"/>
        </w:tabs>
        <w:snapToGrid w:val="0"/>
        <w:spacing w:line="480" w:lineRule="auto"/>
        <w:ind w:left="3360"/>
        <w:rPr>
          <w:rFonts w:ascii="宋体" w:hAnsi="宋体" w:cs="宋体"/>
          <w:b/>
          <w:bCs/>
          <w:color w:val="auto"/>
          <w:sz w:val="32"/>
          <w:szCs w:val="32"/>
          <w:highlight w:val="none"/>
        </w:rPr>
      </w:pPr>
    </w:p>
    <w:p>
      <w:pPr>
        <w:tabs>
          <w:tab w:val="left" w:pos="2920"/>
        </w:tabs>
        <w:snapToGrid w:val="0"/>
        <w:spacing w:line="480" w:lineRule="auto"/>
        <w:ind w:left="3360"/>
        <w:rPr>
          <w:rFonts w:ascii="宋体" w:hAnsi="宋体" w:cs="宋体"/>
          <w:b/>
          <w:bCs/>
          <w:color w:val="auto"/>
          <w:sz w:val="32"/>
          <w:szCs w:val="32"/>
          <w:highlight w:val="none"/>
        </w:rPr>
      </w:pPr>
    </w:p>
    <w:p>
      <w:pPr>
        <w:tabs>
          <w:tab w:val="left" w:pos="2920"/>
        </w:tabs>
        <w:snapToGrid w:val="0"/>
        <w:spacing w:line="480" w:lineRule="auto"/>
        <w:rPr>
          <w:rFonts w:ascii="宋体" w:hAnsi="宋体" w:cs="宋体"/>
          <w:b/>
          <w:bCs/>
          <w:color w:val="auto"/>
          <w:sz w:val="32"/>
          <w:szCs w:val="32"/>
          <w:highlight w:val="none"/>
        </w:rPr>
      </w:pPr>
    </w:p>
    <w:p>
      <w:pPr>
        <w:pStyle w:val="2"/>
      </w:pPr>
    </w:p>
    <w:p>
      <w:pPr>
        <w:tabs>
          <w:tab w:val="left" w:pos="2920"/>
        </w:tabs>
        <w:snapToGrid w:val="0"/>
        <w:spacing w:line="480" w:lineRule="auto"/>
        <w:jc w:val="center"/>
        <w:rPr>
          <w:rFonts w:ascii="宋体" w:hAnsi="宋体" w:cs="宋体"/>
          <w:b/>
          <w:bCs/>
          <w:color w:val="auto"/>
          <w:sz w:val="32"/>
          <w:szCs w:val="32"/>
        </w:rPr>
      </w:pPr>
      <w:r>
        <w:rPr>
          <w:rFonts w:hint="eastAsia" w:ascii="宋体" w:hAnsi="宋体" w:cs="宋体"/>
          <w:b/>
          <w:bCs/>
          <w:color w:val="auto"/>
          <w:sz w:val="32"/>
          <w:szCs w:val="32"/>
        </w:rPr>
        <w:t>第二章   招 标 需 求</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Arial"/>
          <w:b/>
          <w:color w:val="auto"/>
          <w:sz w:val="24"/>
          <w:highlight w:val="none"/>
        </w:rPr>
      </w:pPr>
      <w:r>
        <w:rPr>
          <w:rFonts w:hint="eastAsia" w:ascii="宋体" w:hAnsi="宋体" w:cs="宋体"/>
          <w:b/>
          <w:bCs/>
          <w:color w:val="auto"/>
          <w:sz w:val="24"/>
        </w:rPr>
        <w:t>一、</w:t>
      </w:r>
      <w:r>
        <w:rPr>
          <w:rFonts w:hint="eastAsia"/>
          <w:b/>
          <w:color w:val="auto"/>
          <w:sz w:val="24"/>
          <w:highlight w:val="none"/>
        </w:rPr>
        <w:t>采购</w:t>
      </w:r>
      <w:r>
        <w:rPr>
          <w:rFonts w:hint="eastAsia"/>
          <w:b/>
          <w:bCs/>
          <w:color w:val="auto"/>
          <w:sz w:val="24"/>
          <w:highlight w:val="none"/>
        </w:rPr>
        <w:t>项目概况</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本次招标项目为东阳市房屋征收服务中心（东阳市房地产处）202</w:t>
      </w:r>
      <w:r>
        <w:rPr>
          <w:rFonts w:hint="eastAsia"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年度新建房屋白蚁防治服务项目，服务内容包括新建房屋白蚁预防、白蚁综合治理等。此外，服务内容还包含：</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（1）应急性或上级交办的白蚁防治事件处理和其他工作。</w:t>
      </w:r>
    </w:p>
    <w:p>
      <w:pPr>
        <w:keepNext w:val="0"/>
        <w:keepLines w:val="0"/>
        <w:pageBreakBefore w:val="0"/>
        <w:widowControl w:val="0"/>
        <w:kinsoku/>
        <w:wordWrap/>
        <w:overflowPunct/>
        <w:topLinePunct w:val="0"/>
        <w:autoSpaceDE/>
        <w:autoSpaceDN/>
        <w:bidi w:val="0"/>
        <w:adjustRightInd w:val="0"/>
        <w:snapToGrid w:val="0"/>
        <w:spacing w:line="440" w:lineRule="exact"/>
        <w:ind w:firstLine="240" w:firstLineChars="100"/>
        <w:jc w:val="left"/>
        <w:textAlignment w:val="auto"/>
        <w:rPr>
          <w:rFonts w:hint="eastAsia"/>
          <w:b/>
          <w:bCs/>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（2）来电来人业务接待、登记，业务数据统计工作等。</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次招标分三个标段，标段一：吴宁、白云、江北街道区域内；标段二：南市街道、横店镇、南马镇、画水镇、马宅镇、湖溪镇、千祥镇区域内；标段三：六石街道、城东街道、巍山镇、虎鹿镇、歌山镇、佐村镇、三单乡、东阳江镇区域。</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3、本项目标的分三个标段，每个标段分别由一家中标候选人负责服务，按总分排名和标段顺序分配承接服务（即第一名承接标段一的服务，第二名承接标段二的服务，第三名承接标段三的服务）。</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cs="Times New Roman"/>
          <w:b/>
          <w:color w:val="auto"/>
          <w:kern w:val="2"/>
          <w:sz w:val="24"/>
          <w:szCs w:val="24"/>
          <w:highlight w:val="none"/>
          <w:lang w:val="en-US" w:eastAsia="zh-CN" w:bidi="ar-SA"/>
        </w:rPr>
        <w:t>二</w:t>
      </w:r>
      <w:r>
        <w:rPr>
          <w:rFonts w:hint="eastAsia" w:ascii="Times New Roman" w:hAnsi="Times New Roman" w:eastAsia="宋体" w:cs="Times New Roman"/>
          <w:b/>
          <w:color w:val="auto"/>
          <w:kern w:val="2"/>
          <w:sz w:val="24"/>
          <w:szCs w:val="24"/>
          <w:highlight w:val="none"/>
          <w:lang w:val="en-US" w:eastAsia="zh-CN" w:bidi="ar-SA"/>
        </w:rPr>
        <w:t>、</w:t>
      </w:r>
      <w:r>
        <w:rPr>
          <w:rFonts w:hint="eastAsia" w:ascii="Times New Roman" w:hAnsi="Times New Roman" w:cs="Times New Roman"/>
          <w:b/>
          <w:color w:val="auto"/>
          <w:kern w:val="2"/>
          <w:sz w:val="24"/>
          <w:szCs w:val="24"/>
          <w:highlight w:val="none"/>
          <w:lang w:val="en-US" w:eastAsia="zh-CN" w:bidi="ar-SA"/>
        </w:rPr>
        <w:t>服务内容及最高限价</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default"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1、</w:t>
      </w:r>
      <w:r>
        <w:rPr>
          <w:rFonts w:hint="eastAsia" w:ascii="宋体" w:hAnsi="宋体" w:cs="宋体"/>
          <w:color w:val="auto"/>
          <w:sz w:val="24"/>
          <w:highlight w:val="none"/>
          <w:lang w:eastAsia="zh-CN"/>
        </w:rPr>
        <w:t>东阳市2023年度新建房屋白蚁防治服务采购项目</w:t>
      </w:r>
      <w:r>
        <w:rPr>
          <w:rFonts w:hint="eastAsia" w:hAnsi="宋体" w:cs="宋体"/>
          <w:color w:val="auto"/>
          <w:sz w:val="24"/>
          <w:highlight w:val="none"/>
          <w:lang w:eastAsia="zh-CN"/>
        </w:rPr>
        <w:t>预</w:t>
      </w:r>
      <w:r>
        <w:rPr>
          <w:rFonts w:hint="eastAsia" w:ascii="宋体" w:hAnsi="宋体" w:cs="宋体"/>
          <w:color w:val="auto"/>
          <w:sz w:val="24"/>
          <w:highlight w:val="none"/>
          <w:lang w:eastAsia="zh-CN"/>
        </w:rPr>
        <w:t>算价</w:t>
      </w:r>
      <w:r>
        <w:rPr>
          <w:rFonts w:hint="eastAsia" w:ascii="宋体" w:hAnsi="宋体" w:cs="宋体"/>
          <w:color w:val="auto"/>
          <w:sz w:val="24"/>
          <w:highlight w:val="none"/>
          <w:lang w:val="en-US" w:eastAsia="zh-CN"/>
        </w:rPr>
        <w:t>149万元，零星项目金额总计不超过</w:t>
      </w:r>
      <w:r>
        <w:rPr>
          <w:rFonts w:hint="eastAsia" w:hAnsi="宋体" w:cs="宋体"/>
          <w:color w:val="auto"/>
          <w:sz w:val="24"/>
          <w:highlight w:val="none"/>
          <w:lang w:val="en-US" w:eastAsia="zh-CN"/>
        </w:rPr>
        <w:t>149</w:t>
      </w:r>
      <w:r>
        <w:rPr>
          <w:rFonts w:hint="eastAsia" w:ascii="宋体" w:hAnsi="宋体" w:cs="宋体"/>
          <w:color w:val="auto"/>
          <w:sz w:val="24"/>
          <w:highlight w:val="none"/>
          <w:lang w:val="en-US" w:eastAsia="zh-CN"/>
        </w:rPr>
        <w:t>万元</w:t>
      </w:r>
      <w:r>
        <w:rPr>
          <w:rFonts w:hint="eastAsia" w:hAnsi="宋体" w:cs="宋体"/>
          <w:color w:val="auto"/>
          <w:sz w:val="24"/>
          <w:highlight w:val="none"/>
          <w:lang w:val="en-US" w:eastAsia="zh-CN"/>
        </w:rPr>
        <w:t>。</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2023年度新建房屋白蚁防治服务内容及收费基准价：</w:t>
      </w:r>
    </w:p>
    <w:tbl>
      <w:tblPr>
        <w:tblStyle w:val="2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06"/>
        <w:gridCol w:w="2962"/>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7" w:type="dxa"/>
            <w:noWrap w:val="0"/>
            <w:vAlign w:val="center"/>
          </w:tcPr>
          <w:p>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序号</w:t>
            </w:r>
          </w:p>
        </w:tc>
        <w:tc>
          <w:tcPr>
            <w:tcW w:w="1706" w:type="dxa"/>
            <w:noWrap w:val="0"/>
            <w:vAlign w:val="center"/>
          </w:tcPr>
          <w:p>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类别</w:t>
            </w:r>
          </w:p>
        </w:tc>
        <w:tc>
          <w:tcPr>
            <w:tcW w:w="2962" w:type="dxa"/>
            <w:noWrap w:val="0"/>
            <w:vAlign w:val="center"/>
          </w:tcPr>
          <w:p>
            <w:pPr>
              <w:snapToGrid w:val="0"/>
              <w:spacing w:line="440" w:lineRule="exact"/>
              <w:ind w:firstLine="464" w:firstLineChars="200"/>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项目内容</w:t>
            </w:r>
          </w:p>
        </w:tc>
        <w:tc>
          <w:tcPr>
            <w:tcW w:w="4113" w:type="dxa"/>
            <w:noWrap w:val="0"/>
            <w:vAlign w:val="center"/>
          </w:tcPr>
          <w:p>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收费基准价（最高单价限价）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87" w:type="dxa"/>
            <w:vMerge w:val="restart"/>
            <w:noWrap w:val="0"/>
            <w:vAlign w:val="center"/>
          </w:tcPr>
          <w:p>
            <w:pPr>
              <w:snapToGrid w:val="0"/>
              <w:spacing w:line="440" w:lineRule="exact"/>
              <w:jc w:val="center"/>
              <w:rPr>
                <w:rFonts w:hAnsi="宋体" w:cs="宋体"/>
                <w:color w:val="auto"/>
                <w:spacing w:val="-4"/>
                <w:sz w:val="24"/>
                <w:szCs w:val="24"/>
                <w:highlight w:val="none"/>
              </w:rPr>
            </w:pPr>
            <w:r>
              <w:rPr>
                <w:rFonts w:hint="eastAsia" w:hAnsi="宋体" w:cs="宋体"/>
                <w:color w:val="auto"/>
                <w:spacing w:val="-4"/>
                <w:sz w:val="24"/>
                <w:szCs w:val="24"/>
                <w:highlight w:val="none"/>
              </w:rPr>
              <w:t>1</w:t>
            </w:r>
          </w:p>
        </w:tc>
        <w:tc>
          <w:tcPr>
            <w:tcW w:w="1706" w:type="dxa"/>
            <w:vMerge w:val="restart"/>
            <w:noWrap w:val="0"/>
            <w:vAlign w:val="center"/>
          </w:tcPr>
          <w:p>
            <w:pPr>
              <w:snapToGrid w:val="0"/>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新建房屋白蚁预防</w:t>
            </w:r>
          </w:p>
        </w:tc>
        <w:tc>
          <w:tcPr>
            <w:tcW w:w="2962" w:type="dxa"/>
            <w:noWrap w:val="0"/>
            <w:vAlign w:val="center"/>
          </w:tcPr>
          <w:p>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蚁情现场调查</w:t>
            </w:r>
          </w:p>
        </w:tc>
        <w:tc>
          <w:tcPr>
            <w:tcW w:w="4113" w:type="dxa"/>
            <w:noWrap w:val="0"/>
            <w:vAlign w:val="center"/>
          </w:tcPr>
          <w:p>
            <w:pPr>
              <w:snapToGrid w:val="0"/>
              <w:spacing w:line="440" w:lineRule="exact"/>
              <w:jc w:val="center"/>
              <w:rPr>
                <w:rFonts w:hAnsi="宋体" w:cs="宋体"/>
                <w:color w:val="auto"/>
                <w:spacing w:val="-4"/>
                <w:sz w:val="24"/>
                <w:szCs w:val="24"/>
                <w:highlight w:val="none"/>
              </w:rPr>
            </w:pPr>
            <w:r>
              <w:rPr>
                <w:rFonts w:hint="eastAsia" w:hAnsi="宋体" w:cs="宋体"/>
                <w:color w:val="000000"/>
                <w:spacing w:val="-4"/>
                <w:sz w:val="24"/>
                <w:szCs w:val="24"/>
              </w:rPr>
              <w:t>7.13元/100㎡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地下型监测装置安装</w:t>
            </w:r>
          </w:p>
        </w:tc>
        <w:tc>
          <w:tcPr>
            <w:tcW w:w="4113" w:type="dxa"/>
            <w:noWrap w:val="0"/>
            <w:vAlign w:val="center"/>
          </w:tcPr>
          <w:p>
            <w:pPr>
              <w:snapToGrid w:val="0"/>
              <w:spacing w:line="440" w:lineRule="exact"/>
              <w:jc w:val="center"/>
              <w:rPr>
                <w:rFonts w:hAnsi="宋体" w:cs="宋体"/>
                <w:color w:val="auto"/>
                <w:spacing w:val="-4"/>
                <w:sz w:val="24"/>
                <w:szCs w:val="24"/>
                <w:highlight w:val="none"/>
              </w:rPr>
            </w:pPr>
            <w:r>
              <w:rPr>
                <w:rFonts w:hint="eastAsia" w:hAnsi="宋体" w:cs="宋体"/>
                <w:color w:val="000000"/>
                <w:spacing w:val="-4"/>
                <w:sz w:val="24"/>
                <w:szCs w:val="24"/>
              </w:rPr>
              <w:t>47.16元/套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rPr>
              <w:t>监测装置检查维护</w:t>
            </w:r>
          </w:p>
        </w:tc>
        <w:tc>
          <w:tcPr>
            <w:tcW w:w="4113" w:type="dxa"/>
            <w:noWrap w:val="0"/>
            <w:vAlign w:val="center"/>
          </w:tcPr>
          <w:p>
            <w:pPr>
              <w:snapToGrid w:val="0"/>
              <w:spacing w:line="440" w:lineRule="exact"/>
              <w:jc w:val="center"/>
              <w:rPr>
                <w:rFonts w:hAnsi="宋体" w:cs="宋体"/>
                <w:color w:val="auto"/>
                <w:spacing w:val="-4"/>
                <w:sz w:val="24"/>
                <w:szCs w:val="24"/>
                <w:highlight w:val="none"/>
              </w:rPr>
            </w:pPr>
            <w:r>
              <w:rPr>
                <w:rFonts w:hint="eastAsia" w:hAnsi="宋体" w:cs="宋体"/>
                <w:spacing w:val="-4"/>
                <w:sz w:val="24"/>
                <w:szCs w:val="24"/>
              </w:rPr>
              <w:t>13.42元/套*次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1706" w:type="dxa"/>
            <w:vMerge w:val="continue"/>
            <w:noWrap w:val="0"/>
            <w:vAlign w:val="center"/>
          </w:tcPr>
          <w:p>
            <w:pPr>
              <w:snapToGrid w:val="0"/>
              <w:spacing w:line="440" w:lineRule="exact"/>
              <w:jc w:val="center"/>
              <w:rPr>
                <w:rFonts w:hint="eastAsia" w:hAnsi="宋体" w:cs="宋体"/>
                <w:color w:val="auto"/>
                <w:spacing w:val="-4"/>
                <w:sz w:val="24"/>
                <w:szCs w:val="24"/>
                <w:highlight w:val="none"/>
              </w:rPr>
            </w:pPr>
          </w:p>
        </w:tc>
        <w:tc>
          <w:tcPr>
            <w:tcW w:w="2962" w:type="dxa"/>
            <w:noWrap w:val="0"/>
            <w:vAlign w:val="center"/>
          </w:tcPr>
          <w:p>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药物屏障复查回访</w:t>
            </w:r>
          </w:p>
        </w:tc>
        <w:tc>
          <w:tcPr>
            <w:tcW w:w="4113" w:type="dxa"/>
            <w:noWrap w:val="0"/>
            <w:vAlign w:val="center"/>
          </w:tcPr>
          <w:p>
            <w:pPr>
              <w:spacing w:line="440" w:lineRule="exact"/>
              <w:jc w:val="center"/>
              <w:rPr>
                <w:rFonts w:hint="eastAsia" w:hAnsi="宋体" w:cs="宋体"/>
                <w:color w:val="auto"/>
                <w:spacing w:val="-4"/>
                <w:sz w:val="24"/>
                <w:szCs w:val="24"/>
                <w:highlight w:val="none"/>
              </w:rPr>
            </w:pPr>
            <w:r>
              <w:rPr>
                <w:rFonts w:hint="eastAsia" w:hAnsi="宋体" w:cs="宋体"/>
                <w:color w:val="auto"/>
                <w:spacing w:val="-4"/>
                <w:sz w:val="24"/>
                <w:szCs w:val="24"/>
                <w:highlight w:val="none"/>
                <w:lang w:val="en-US" w:eastAsia="zh-CN"/>
              </w:rPr>
              <w:t>7.13元/100㎡</w:t>
            </w:r>
            <w:r>
              <w:rPr>
                <w:rFonts w:hint="eastAsia" w:hAnsi="宋体" w:cs="宋体"/>
                <w:color w:val="auto"/>
                <w:spacing w:val="-4"/>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568" w:type="dxa"/>
            <w:gridSpan w:val="4"/>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1.本次招标项目的报价内容为折扣率，即投标人在招标文件工作内容及收费标准（基准价）中规定的基准价基础上，结合自身企业经营情况填报的折扣幅度。折扣率以百分比（%）进行表述，折扣率百分比数值越小，则报价越低。</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hAnsi="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2.结算时根据中标人完成各项目的完工数量及中标单价结算。中标单价=收费基准价×折扣率</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hAnsi="宋体" w:cs="宋体"/>
          <w:color w:val="auto"/>
          <w:sz w:val="24"/>
          <w:szCs w:val="24"/>
          <w:highlight w:val="none"/>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预防维护期间应根据白蚁生长特性，及时进行检查有无白蚁孳生情况，安装监测装置、补充防治药物、埋设诱杀包、喷施灭蚁粉剂等防治措施、设施等。</w:t>
      </w:r>
      <w:r>
        <w:rPr>
          <w:rFonts w:hint="eastAsia" w:ascii="宋体" w:hAnsi="宋体" w:cs="宋体"/>
          <w:color w:val="auto"/>
          <w:sz w:val="24"/>
          <w:lang w:val="en-US" w:eastAsia="zh-CN"/>
        </w:rPr>
        <w:t>每</w:t>
      </w:r>
      <w:r>
        <w:rPr>
          <w:rFonts w:hint="eastAsia" w:ascii="宋体" w:hAnsi="宋体" w:eastAsia="宋体" w:cs="宋体"/>
          <w:color w:val="auto"/>
          <w:sz w:val="24"/>
          <w:lang w:val="en-US" w:eastAsia="zh-CN"/>
        </w:rPr>
        <w:t>年检查维护次数不得少于2次，白蚁活动高发其时间段</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-6月、9-1</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月两个时间段，每个时间段不得少于1次。确保无白蚁孳生繁殖。</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本次招标</w:t>
      </w:r>
      <w:r>
        <w:rPr>
          <w:rFonts w:hint="eastAsia" w:ascii="宋体" w:hAnsi="宋体" w:cs="宋体"/>
          <w:color w:val="auto"/>
          <w:sz w:val="24"/>
          <w:highlight w:val="none"/>
        </w:rPr>
        <w:t>项目为东阳市20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年度新建房屋白蚁防治蚁情现场调查、监测装置安装施工、已建成房屋白蚁预防工程监测装置检查维护、</w:t>
      </w:r>
      <w:r>
        <w:rPr>
          <w:rFonts w:hint="eastAsia" w:ascii="宋体" w:hAnsi="宋体" w:cs="宋体"/>
          <w:color w:val="auto"/>
          <w:sz w:val="24"/>
          <w:highlight w:val="none"/>
          <w:lang w:val="en-US" w:eastAsia="zh-CN"/>
        </w:rPr>
        <w:t>药物屏障复查回访、</w:t>
      </w:r>
      <w:r>
        <w:rPr>
          <w:rFonts w:hint="eastAsia" w:ascii="宋体" w:hAnsi="宋体" w:cs="宋体"/>
          <w:color w:val="auto"/>
          <w:sz w:val="24"/>
          <w:highlight w:val="none"/>
        </w:rPr>
        <w:t>白蚁综合治理。项目施工应严格按照DB33/T 1108-2018《房屋白蚁监测控制系统应用技术规程》、GB/T 51253-2017《建设工程白蚁危害评定标准》等规定。</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新建房屋白蚁预防</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蚁情现场调查：对新建预防项目进行白蚁问询、调查、记录整理、并编写蚁害调查表和施工方案。</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地下型监测装置安装：根据施工方案完成新建预防项目监测装置的放样、编号、挖孔、埋置、覆土、记录整理工作。</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监测装置检查维护：对存量项目监测装置进行一年两次的复查、更换监测装置及饵料、喷粉或饵剂投放、记录整理。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(4)药物屏障复查回访</w:t>
      </w:r>
      <w:r>
        <w:rPr>
          <w:rFonts w:hint="eastAsia" w:ascii="宋体" w:hAnsi="宋体" w:cs="宋体"/>
          <w:color w:val="auto"/>
          <w:sz w:val="24"/>
          <w:highlight w:val="none"/>
        </w:rPr>
        <w:t>：对存量项目</w:t>
      </w:r>
      <w:r>
        <w:rPr>
          <w:rFonts w:hint="eastAsia" w:ascii="宋体" w:hAnsi="宋体" w:cs="宋体"/>
          <w:color w:val="auto"/>
          <w:sz w:val="24"/>
          <w:highlight w:val="none"/>
          <w:lang w:eastAsia="zh-CN"/>
        </w:rPr>
        <w:t>药物屏障处理的</w:t>
      </w:r>
      <w:r>
        <w:rPr>
          <w:rFonts w:hint="eastAsia" w:ascii="宋体" w:hAnsi="宋体" w:cs="宋体"/>
          <w:color w:val="auto"/>
          <w:sz w:val="24"/>
          <w:highlight w:val="none"/>
        </w:rPr>
        <w:t>复查</w:t>
      </w:r>
      <w:r>
        <w:rPr>
          <w:rFonts w:hint="eastAsia" w:ascii="宋体" w:hAnsi="宋体" w:cs="宋体"/>
          <w:color w:val="auto"/>
          <w:sz w:val="24"/>
          <w:highlight w:val="none"/>
          <w:lang w:eastAsia="zh-CN"/>
        </w:rPr>
        <w:t>回访。</w:t>
      </w:r>
    </w:p>
    <w:p>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b/>
          <w:bCs/>
          <w:color w:val="auto"/>
          <w:sz w:val="24"/>
          <w:highlight w:val="none"/>
          <w:lang w:eastAsia="zh-CN"/>
        </w:rPr>
      </w:pPr>
      <w:r>
        <w:rPr>
          <w:rFonts w:hint="eastAsia" w:hAnsi="宋体" w:cs="宋体"/>
          <w:color w:val="auto"/>
          <w:spacing w:val="-4"/>
          <w:sz w:val="24"/>
          <w:highlight w:val="none"/>
          <w:lang w:val="en-US" w:eastAsia="zh-CN"/>
        </w:rPr>
        <w:t>6、</w:t>
      </w:r>
      <w:r>
        <w:rPr>
          <w:rFonts w:hint="eastAsia" w:hAnsi="宋体" w:cs="宋体"/>
          <w:color w:val="auto"/>
          <w:spacing w:val="-4"/>
          <w:sz w:val="24"/>
          <w:highlight w:val="none"/>
        </w:rPr>
        <w:t>新建房屋白蚁防治施工以202</w:t>
      </w:r>
      <w:r>
        <w:rPr>
          <w:rFonts w:hint="eastAsia" w:hAnsi="宋体" w:cs="宋体"/>
          <w:color w:val="auto"/>
          <w:spacing w:val="-4"/>
          <w:sz w:val="24"/>
          <w:highlight w:val="none"/>
          <w:lang w:val="en-US" w:eastAsia="zh-CN"/>
        </w:rPr>
        <w:t>3</w:t>
      </w:r>
      <w:r>
        <w:rPr>
          <w:rFonts w:hint="eastAsia" w:hAnsi="宋体" w:cs="宋体"/>
          <w:color w:val="auto"/>
          <w:spacing w:val="-4"/>
          <w:sz w:val="24"/>
          <w:highlight w:val="none"/>
        </w:rPr>
        <w:t>年07月01日-202</w:t>
      </w:r>
      <w:r>
        <w:rPr>
          <w:rFonts w:hint="eastAsia" w:hAnsi="宋体" w:cs="宋体"/>
          <w:color w:val="auto"/>
          <w:spacing w:val="-4"/>
          <w:sz w:val="24"/>
          <w:highlight w:val="none"/>
          <w:lang w:val="en-US" w:eastAsia="zh-CN"/>
        </w:rPr>
        <w:t>4</w:t>
      </w:r>
      <w:r>
        <w:rPr>
          <w:rFonts w:hint="eastAsia" w:hAnsi="宋体" w:cs="宋体"/>
          <w:color w:val="auto"/>
          <w:spacing w:val="-4"/>
          <w:sz w:val="24"/>
          <w:highlight w:val="none"/>
        </w:rPr>
        <w:t>年6月30日期间受理的项目（以新建房屋白蚁预防公共服务受理登记单为准）。</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、技术要求</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color w:val="auto"/>
          <w:sz w:val="24"/>
          <w:highlight w:val="none"/>
        </w:rPr>
      </w:pPr>
      <w:r>
        <w:rPr>
          <w:rFonts w:hint="eastAsia" w:ascii="宋体" w:hAnsi="宋体"/>
          <w:b/>
          <w:bCs/>
          <w:color w:val="auto"/>
          <w:sz w:val="24"/>
          <w:highlight w:val="none"/>
        </w:rPr>
        <w:t>1、对投标公司的要求</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配备有相应专业技能的工作人员不少于7人。其中：具有中级以上（含中级）相关专业技术职称（含白蚁防治技师）的工作人员不少于3人（其中，专职相应专业技术人员不少于2人，外聘专业技术人员不得超过1人，证书标注为非白蚁防治专业的需同时提供白蚁防治职业资格证书或白蚁防治职业培训合格证书）；</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（2）经过白蚁防治职业技能培训与考核鉴定，持有白蚁防治职业资格证书或白蚁防治职业培训合格证书的专职人员不少于4 人；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（3）专职人员需与由社保部门出具的养老保险证明对应，养老保险证明应反映招标文件发布前1个月的缴纳情况；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（4）相关专业技能证书发证单位为全国白蚁防治中心、设区市以上人力资源或建设行政主管部门。</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color w:val="auto"/>
          <w:sz w:val="24"/>
          <w:highlight w:val="none"/>
        </w:rPr>
      </w:pPr>
      <w:r>
        <w:rPr>
          <w:rFonts w:hint="eastAsia" w:ascii="宋体" w:hAnsi="宋体"/>
          <w:b/>
          <w:bCs/>
          <w:color w:val="auto"/>
          <w:sz w:val="24"/>
          <w:highlight w:val="none"/>
        </w:rPr>
        <w:t>2、对拟投入本项目的项目组的要求</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（1）项目经理（技术负责人）1 人，应具有白蚁防治专业高级技工或助理工程师及以上资格证书，专职负责本项目工作，月均出勤22天以上；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（2）施工员3人(包括驾驶员)及以上，应经过白蚁防治职业技能培训与考核鉴定，持有职业资格证书或白蚁防治职业培训合格证书（业务量大时或白蚁活动高峰期应增配施工员）；</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（3）配置有白蚁防治施工机械设备与保障质量安全的技术装备，有环境安全的药物专储仓库。</w:t>
      </w:r>
    </w:p>
    <w:p>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color w:val="auto"/>
          <w:sz w:val="24"/>
          <w:highlight w:val="none"/>
        </w:rPr>
      </w:pPr>
      <w:r>
        <w:rPr>
          <w:rFonts w:hint="eastAsia" w:ascii="宋体" w:hAnsi="宋体"/>
          <w:b/>
          <w:color w:val="auto"/>
          <w:sz w:val="24"/>
          <w:highlight w:val="none"/>
          <w:lang w:eastAsia="zh-CN"/>
        </w:rPr>
        <w:t>四</w:t>
      </w:r>
      <w:r>
        <w:rPr>
          <w:rFonts w:hint="eastAsia" w:ascii="宋体" w:hAnsi="宋体"/>
          <w:b/>
          <w:color w:val="auto"/>
          <w:sz w:val="24"/>
          <w:highlight w:val="none"/>
        </w:rPr>
        <w:t>、防治服务的技术依据</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1、《房屋白蚁监测控制系统应用技术规程》编号DB33／T1108—2018。主要技术指标为：</w:t>
      </w:r>
    </w:p>
    <w:p>
      <w:pPr>
        <w:keepNext w:val="0"/>
        <w:keepLines w:val="0"/>
        <w:pageBreakBefore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监测装置安装位置为房屋外墙0.5-1米，房屋四周安装间距为5米，特殊情况协商确定，服务施工方案由东阳市房屋征收服务中心（东阳市房地产处）审定后方可实施；</w:t>
      </w:r>
    </w:p>
    <w:p>
      <w:pPr>
        <w:keepNext w:val="0"/>
        <w:keepLines w:val="0"/>
        <w:pageBreakBefore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监测装置维护周期：每年上半年、下半年各1次，（包括维护、更换、处理）特殊情况协商确定；</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2、东阳市房屋征收服务中心</w:t>
      </w:r>
      <w:r>
        <w:rPr>
          <w:rFonts w:hint="eastAsia" w:ascii="宋体" w:hAnsi="宋体"/>
          <w:color w:val="auto"/>
          <w:sz w:val="24"/>
          <w:highlight w:val="none"/>
          <w:lang w:val="en-US" w:eastAsia="zh-CN"/>
        </w:rPr>
        <w:t>（东阳市房地产处）</w:t>
      </w:r>
      <w:r>
        <w:rPr>
          <w:rFonts w:hint="eastAsia" w:ascii="宋体" w:hAnsi="宋体"/>
          <w:color w:val="auto"/>
          <w:sz w:val="24"/>
          <w:highlight w:val="none"/>
        </w:rPr>
        <w:t>有关白蚁防治施工的规章制度。</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五</w:t>
      </w:r>
      <w:r>
        <w:rPr>
          <w:rFonts w:hint="eastAsia" w:ascii="宋体" w:hAnsi="宋体"/>
          <w:b/>
          <w:bCs/>
          <w:color w:val="auto"/>
          <w:sz w:val="24"/>
          <w:highlight w:val="none"/>
        </w:rPr>
        <w:t>、工作质量检查考核</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（一）新建房屋白蚁预防施工业务</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1、中标单位工作职责：收到新建预防档案后3个工作日内现场勘察工地，取得施工图纸，编制初步施工方案，会同建设单位审定施工方案，施工方案中应包含监测装置安</w:t>
      </w:r>
      <w:r>
        <w:rPr>
          <w:rFonts w:hint="eastAsia"/>
          <w:color w:val="auto"/>
          <w:sz w:val="24"/>
          <w:highlight w:val="none"/>
        </w:rPr>
        <w:t>装图纸，准确记录安装位置。</w:t>
      </w:r>
      <w:r>
        <w:rPr>
          <w:rFonts w:hint="eastAsia" w:ascii="宋体" w:hAnsi="宋体"/>
          <w:color w:val="auto"/>
          <w:sz w:val="24"/>
          <w:highlight w:val="none"/>
        </w:rPr>
        <w:t>并按照施工方案进行白蚁预防施工，接受建设单位现场监管，规范填写相关表格，工程完工后，按规定移交完整的项目档案。</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2、采取每季度一次对中标单位工作内容及工作范围是否按规定要求操作进行酌情考核。</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3、考核验收按照《房屋白蚁监测控制系统应用技术规程》编号DB33／T1108—2018、相关规章制度、白蚁预防施工方案等要求，对中标单位进行不定时的工作质量检查。</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color w:val="auto"/>
          <w:sz w:val="24"/>
          <w:highlight w:val="none"/>
        </w:rPr>
      </w:pPr>
      <w:r>
        <w:rPr>
          <w:rFonts w:hint="eastAsia"/>
          <w:color w:val="auto"/>
          <w:sz w:val="24"/>
          <w:highlight w:val="none"/>
        </w:rPr>
        <w:t>4、白蚁预防施工项目完工后，按白蚁预防施工方案逐个项目验收。若验收不通过，退回重新施工，服务期内若超过3次验收不通过重新施工的，按不通过项目费用合计的20%处罚，同时</w:t>
      </w:r>
      <w:r>
        <w:rPr>
          <w:rFonts w:hint="eastAsia"/>
          <w:color w:val="auto"/>
          <w:sz w:val="24"/>
          <w:highlight w:val="none"/>
          <w:lang w:eastAsia="zh-CN"/>
        </w:rPr>
        <w:t>采购人</w:t>
      </w:r>
      <w:r>
        <w:rPr>
          <w:rFonts w:hint="eastAsia"/>
          <w:color w:val="auto"/>
          <w:sz w:val="24"/>
          <w:highlight w:val="none"/>
        </w:rPr>
        <w:t>有权提前解除合同。装置安装确认通过率达到98%以上。</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color w:val="auto"/>
          <w:sz w:val="24"/>
          <w:highlight w:val="none"/>
        </w:rPr>
        <w:t>5、造成预防工程漏防的，中标单位应及时上报东阳市房屋征收服务中心</w:t>
      </w:r>
      <w:r>
        <w:rPr>
          <w:rFonts w:hint="eastAsia"/>
          <w:color w:val="auto"/>
          <w:sz w:val="24"/>
          <w:highlight w:val="none"/>
          <w:lang w:eastAsia="zh-CN"/>
        </w:rPr>
        <w:t>（东阳市房地产处）</w:t>
      </w:r>
      <w:r>
        <w:rPr>
          <w:rFonts w:hint="eastAsia"/>
          <w:color w:val="auto"/>
          <w:sz w:val="24"/>
          <w:highlight w:val="none"/>
        </w:rPr>
        <w:t>，并根据实际情况及时采取补防措施。若因</w:t>
      </w:r>
      <w:r>
        <w:rPr>
          <w:rFonts w:hint="eastAsia"/>
          <w:color w:val="auto"/>
          <w:sz w:val="24"/>
          <w:highlight w:val="none"/>
          <w:lang w:eastAsia="zh-CN"/>
        </w:rPr>
        <w:t>中标单位</w:t>
      </w:r>
      <w:r>
        <w:rPr>
          <w:rFonts w:hint="eastAsia"/>
          <w:color w:val="auto"/>
          <w:sz w:val="24"/>
          <w:highlight w:val="none"/>
        </w:rPr>
        <w:t>原因</w:t>
      </w:r>
      <w:r>
        <w:rPr>
          <w:rFonts w:hint="eastAsia" w:ascii="宋体" w:hAnsi="宋体"/>
          <w:color w:val="auto"/>
          <w:sz w:val="24"/>
          <w:highlight w:val="none"/>
        </w:rPr>
        <w:t>造成漏防：（1）可补防的，</w:t>
      </w:r>
      <w:r>
        <w:rPr>
          <w:rFonts w:hint="eastAsia" w:ascii="宋体" w:hAnsi="宋体"/>
          <w:color w:val="auto"/>
          <w:sz w:val="24"/>
          <w:highlight w:val="none"/>
          <w:lang w:eastAsia="zh-CN"/>
        </w:rPr>
        <w:t>中标单位</w:t>
      </w:r>
      <w:r>
        <w:rPr>
          <w:rFonts w:hint="eastAsia" w:ascii="宋体" w:hAnsi="宋体"/>
          <w:color w:val="auto"/>
          <w:sz w:val="24"/>
          <w:highlight w:val="none"/>
        </w:rPr>
        <w:t>负责补防，补防费用</w:t>
      </w:r>
      <w:r>
        <w:rPr>
          <w:rFonts w:hint="eastAsia" w:ascii="宋体" w:hAnsi="宋体"/>
          <w:color w:val="auto"/>
          <w:sz w:val="24"/>
          <w:highlight w:val="none"/>
          <w:lang w:eastAsia="zh-CN"/>
        </w:rPr>
        <w:t>采购人</w:t>
      </w:r>
      <w:r>
        <w:rPr>
          <w:rFonts w:hint="eastAsia" w:ascii="宋体" w:hAnsi="宋体"/>
          <w:color w:val="auto"/>
          <w:sz w:val="24"/>
          <w:highlight w:val="none"/>
        </w:rPr>
        <w:t>不予以支付，按漏防部分费用的20%予以处罚，同时</w:t>
      </w:r>
      <w:r>
        <w:rPr>
          <w:rFonts w:hint="eastAsia" w:ascii="宋体" w:hAnsi="宋体"/>
          <w:color w:val="auto"/>
          <w:sz w:val="24"/>
          <w:highlight w:val="none"/>
          <w:lang w:eastAsia="zh-CN"/>
        </w:rPr>
        <w:t>采购人</w:t>
      </w:r>
      <w:r>
        <w:rPr>
          <w:rFonts w:hint="eastAsia" w:ascii="宋体" w:hAnsi="宋体"/>
          <w:color w:val="auto"/>
          <w:sz w:val="24"/>
          <w:highlight w:val="none"/>
        </w:rPr>
        <w:t>有权提前解除合同。（2）无法补防的，在费用结算时扣回漏防部分的费用，按漏防部分费用的30%予以处罚，同时</w:t>
      </w:r>
      <w:r>
        <w:rPr>
          <w:rFonts w:hint="eastAsia" w:ascii="宋体" w:hAnsi="宋体"/>
          <w:color w:val="auto"/>
          <w:sz w:val="24"/>
          <w:highlight w:val="none"/>
          <w:lang w:eastAsia="zh-CN"/>
        </w:rPr>
        <w:t>采购人</w:t>
      </w:r>
      <w:r>
        <w:rPr>
          <w:rFonts w:hint="eastAsia" w:ascii="宋体" w:hAnsi="宋体"/>
          <w:color w:val="auto"/>
          <w:sz w:val="24"/>
          <w:highlight w:val="none"/>
        </w:rPr>
        <w:t>有权提前解除合同。因</w:t>
      </w:r>
      <w:r>
        <w:rPr>
          <w:rFonts w:hint="eastAsia" w:ascii="宋体" w:hAnsi="宋体"/>
          <w:color w:val="auto"/>
          <w:sz w:val="24"/>
          <w:highlight w:val="none"/>
          <w:lang w:eastAsia="zh-CN"/>
        </w:rPr>
        <w:t>采购人</w:t>
      </w:r>
      <w:r>
        <w:rPr>
          <w:rFonts w:hint="eastAsia" w:ascii="宋体" w:hAnsi="宋体"/>
          <w:color w:val="auto"/>
          <w:sz w:val="24"/>
          <w:highlight w:val="none"/>
        </w:rPr>
        <w:t>原因造成漏防：（1）可补防的，</w:t>
      </w:r>
      <w:r>
        <w:rPr>
          <w:rFonts w:hint="eastAsia" w:ascii="宋体" w:hAnsi="宋体"/>
          <w:color w:val="auto"/>
          <w:sz w:val="24"/>
          <w:highlight w:val="none"/>
          <w:lang w:eastAsia="zh-CN"/>
        </w:rPr>
        <w:t>中标单位</w:t>
      </w:r>
      <w:r>
        <w:rPr>
          <w:rFonts w:hint="eastAsia" w:ascii="宋体" w:hAnsi="宋体"/>
          <w:color w:val="auto"/>
          <w:sz w:val="24"/>
          <w:highlight w:val="none"/>
        </w:rPr>
        <w:t>负责补防，补防费用</w:t>
      </w:r>
      <w:r>
        <w:rPr>
          <w:rFonts w:hint="eastAsia" w:ascii="宋体" w:hAnsi="宋体"/>
          <w:color w:val="auto"/>
          <w:sz w:val="24"/>
          <w:highlight w:val="none"/>
          <w:lang w:eastAsia="zh-CN"/>
        </w:rPr>
        <w:t>采购人</w:t>
      </w:r>
      <w:r>
        <w:rPr>
          <w:rFonts w:hint="eastAsia" w:ascii="宋体" w:hAnsi="宋体"/>
          <w:color w:val="auto"/>
          <w:sz w:val="24"/>
          <w:highlight w:val="none"/>
        </w:rPr>
        <w:t>另行支付。（2）无法补防的，在费用结算时扣回漏防部分的费用。</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6、监测装置检查维护业务工作质量及考核要求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trike/>
          <w:color w:val="auto"/>
          <w:kern w:val="0"/>
          <w:sz w:val="24"/>
          <w:szCs w:val="24"/>
          <w:highlight w:val="none"/>
        </w:rPr>
      </w:pPr>
      <w:r>
        <w:rPr>
          <w:rFonts w:hint="eastAsia" w:ascii="宋体" w:hAnsi="宋体"/>
          <w:color w:val="auto"/>
          <w:sz w:val="24"/>
          <w:highlight w:val="none"/>
        </w:rPr>
        <w:t>根据《房屋白蚁监测控制系统应用技术规程》编号DB33／T1108—2018、东阳市房屋征收服务中心</w:t>
      </w:r>
      <w:r>
        <w:rPr>
          <w:rFonts w:hint="eastAsia" w:ascii="宋体" w:hAnsi="宋体"/>
          <w:color w:val="auto"/>
          <w:sz w:val="24"/>
          <w:highlight w:val="none"/>
          <w:lang w:eastAsia="zh-CN"/>
        </w:rPr>
        <w:t>（东阳市房地产处）</w:t>
      </w:r>
      <w:r>
        <w:rPr>
          <w:rFonts w:hint="eastAsia" w:ascii="宋体" w:hAnsi="宋体"/>
          <w:color w:val="auto"/>
          <w:sz w:val="24"/>
          <w:highlight w:val="none"/>
        </w:rPr>
        <w:t>相关规章制度执行。同时应满足未发现白蚁活动的项目检查维护一年不少于两次，且两次</w:t>
      </w:r>
      <w:r>
        <w:rPr>
          <w:rFonts w:hint="eastAsia" w:ascii="宋体" w:hAnsi="宋体" w:eastAsia="宋体" w:cs="宋体"/>
          <w:color w:val="auto"/>
          <w:kern w:val="0"/>
          <w:sz w:val="24"/>
          <w:szCs w:val="24"/>
          <w:highlight w:val="none"/>
        </w:rPr>
        <w:t>检查间隔时间应大于150天；</w:t>
      </w:r>
      <w:r>
        <w:rPr>
          <w:rFonts w:hint="eastAsia" w:ascii="宋体" w:hAnsi="宋体" w:eastAsia="宋体" w:cs="宋体"/>
          <w:color w:val="auto"/>
          <w:sz w:val="24"/>
          <w:szCs w:val="24"/>
          <w:highlight w:val="none"/>
        </w:rPr>
        <w:t>每次检查维护过程需对监测控制装置实施的检查覆盖率不低于98%。检查发现白蚁后施药率需达到100%。</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eastAsia="宋体" w:cs="宋体"/>
          <w:color w:val="auto"/>
          <w:sz w:val="24"/>
          <w:szCs w:val="24"/>
          <w:highlight w:val="none"/>
        </w:rPr>
        <w:t>监测控制装置检查维护应填写施工记录单，并由检查人和小区内物管企业盖章确认，无物管企业的由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进行签字确认。</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（二）安全生产</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不发生药物渗漏、环境污染、人身安全等安全生产事故。</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安全生产事故责任由中标单位全部自负。</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rPr>
        <w:t>（三）作风效能</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保证服务质量和工作效能，做到文明、及时、主动服务。</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color w:val="auto"/>
          <w:sz w:val="24"/>
          <w:highlight w:val="none"/>
        </w:rPr>
      </w:pPr>
      <w:r>
        <w:rPr>
          <w:rFonts w:hint="eastAsia" w:ascii="宋体" w:hAnsi="宋体"/>
          <w:b/>
          <w:bCs/>
          <w:color w:val="auto"/>
          <w:sz w:val="24"/>
          <w:highlight w:val="none"/>
          <w:lang w:eastAsia="zh-CN"/>
        </w:rPr>
        <w:t>六</w:t>
      </w:r>
      <w:r>
        <w:rPr>
          <w:rFonts w:hint="eastAsia" w:ascii="宋体" w:hAnsi="宋体"/>
          <w:b/>
          <w:bCs/>
          <w:color w:val="auto"/>
          <w:sz w:val="24"/>
          <w:highlight w:val="none"/>
        </w:rPr>
        <w:t>、处罚规定</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1、如未按规定要求完成业务的，每个项目罚款500.00元。</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2、由于中标单位工作失误，造成客户不满意或投诉的，每次罚款2000.00元。</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3、由于中标单位工作失误，造成客户投诉或发生较大责任事故，导致采购人受上级部门问责或处分的，扣罚50000.00元，并中止合同，取消下一轮投标中标资格。</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七</w:t>
      </w:r>
      <w:r>
        <w:rPr>
          <w:rFonts w:hint="eastAsia" w:ascii="宋体" w:hAnsi="宋体"/>
          <w:b/>
          <w:bCs/>
          <w:color w:val="auto"/>
          <w:sz w:val="24"/>
          <w:highlight w:val="none"/>
        </w:rPr>
        <w:t>、中标单位若违反以下规定之一的，采购人有权利终止合同</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1、发现投标时提供虚假投标文件资料的。</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2、中标单位未按规定要求配备人员、设备的。</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3、对工作质量检查考核中存在问题，采购人书面通知责令限期整改，而中标单位一月内达不到整改要求的。</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4、由于中标单位工作失误，造成客户投诉或发生较大责任事故，导致采购人受上级部门问责或处分的。</w:t>
      </w:r>
    </w:p>
    <w:p>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color w:val="auto"/>
          <w:sz w:val="24"/>
          <w:highlight w:val="none"/>
        </w:rPr>
      </w:pPr>
      <w:r>
        <w:rPr>
          <w:rFonts w:hint="eastAsia" w:ascii="宋体" w:hAnsi="宋体"/>
          <w:b/>
          <w:color w:val="auto"/>
          <w:sz w:val="24"/>
          <w:highlight w:val="none"/>
          <w:lang w:eastAsia="zh-CN"/>
        </w:rPr>
        <w:t>八</w:t>
      </w:r>
      <w:r>
        <w:rPr>
          <w:rFonts w:hint="eastAsia" w:ascii="宋体" w:hAnsi="宋体"/>
          <w:b/>
          <w:color w:val="auto"/>
          <w:sz w:val="24"/>
          <w:highlight w:val="none"/>
        </w:rPr>
        <w:t>、商务要求</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（一）中标单位配备要求</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1、场地要求：中标单位在签订合同后一个月内须安置好在东阳的办公地点及场所，并提供详细信息（地址、人员名单、联系电话）。</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2、机械设备要求：中标单位拟投入本项目的白蚁防治、回访复查专用汽车（每辆车载重量在0.45吨及以上）不少于2辆，驾驶员2名，以及配备必要的白蚁防治设备、工具、药物、安全、统一工作服、劳保用品。</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3、监测装置及使用的饵料、粉剂要求：</w:t>
      </w:r>
      <w:r>
        <w:rPr>
          <w:rFonts w:hint="eastAsia" w:hAnsi="宋体" w:cs="宋体"/>
          <w:color w:val="auto"/>
          <w:spacing w:val="-4"/>
          <w:sz w:val="24"/>
          <w:highlight w:val="none"/>
        </w:rPr>
        <w:t>监测装置应</w:t>
      </w:r>
      <w:r>
        <w:rPr>
          <w:rFonts w:hint="eastAsia" w:ascii="宋体" w:hAnsi="宋体" w:cs="宋体"/>
          <w:color w:val="auto"/>
          <w:spacing w:val="-4"/>
          <w:sz w:val="24"/>
          <w:highlight w:val="none"/>
        </w:rPr>
        <w:t>选用通过</w:t>
      </w:r>
      <w:r>
        <w:rPr>
          <w:rFonts w:hint="eastAsia" w:hAnsi="宋体" w:cs="宋体"/>
          <w:color w:val="auto"/>
          <w:spacing w:val="-4"/>
          <w:sz w:val="24"/>
          <w:highlight w:val="none"/>
        </w:rPr>
        <w:t>全国白蚁防治中心</w:t>
      </w:r>
      <w:r>
        <w:rPr>
          <w:rFonts w:hint="eastAsia" w:ascii="宋体" w:hAnsi="宋体" w:cs="宋体"/>
          <w:color w:val="auto"/>
          <w:spacing w:val="-4"/>
          <w:sz w:val="24"/>
          <w:highlight w:val="none"/>
        </w:rPr>
        <w:t>评议认定的产品，</w:t>
      </w:r>
      <w:r>
        <w:rPr>
          <w:rFonts w:hint="eastAsia" w:hAnsi="宋体" w:cs="宋体"/>
          <w:color w:val="auto"/>
          <w:spacing w:val="-4"/>
          <w:sz w:val="24"/>
          <w:highlight w:val="none"/>
        </w:rPr>
        <w:t>主要可参照《关于发布2021年度白蚁防治用品信息调研结果的通知》（全蚁发〔2021〕36号）和</w:t>
      </w:r>
      <w:r>
        <w:rPr>
          <w:rFonts w:hint="eastAsia" w:ascii="宋体" w:hAnsi="宋体"/>
          <w:color w:val="auto"/>
          <w:sz w:val="24"/>
          <w:highlight w:val="none"/>
        </w:rPr>
        <w:t>符合浙江省住房和城乡建设厅批准并发布的《房屋白蚁监测控制系统应用技术规程》（编号DB33／T1108—2018）要求，</w:t>
      </w:r>
      <w:r>
        <w:rPr>
          <w:rFonts w:hint="eastAsia" w:hAnsi="宋体" w:cs="宋体"/>
          <w:color w:val="auto"/>
          <w:spacing w:val="-4"/>
          <w:sz w:val="24"/>
          <w:highlight w:val="none"/>
        </w:rPr>
        <w:t>白蚁防治</w:t>
      </w:r>
      <w:r>
        <w:rPr>
          <w:rFonts w:hint="eastAsia" w:ascii="宋体" w:hAnsi="宋体" w:cs="宋体"/>
          <w:color w:val="auto"/>
          <w:spacing w:val="-4"/>
          <w:sz w:val="24"/>
          <w:highlight w:val="none"/>
        </w:rPr>
        <w:t>产品应在技术商务文件中响应，中标后未经招标方许可不得变更产品，</w:t>
      </w:r>
      <w:r>
        <w:rPr>
          <w:rFonts w:hint="eastAsia" w:ascii="宋体" w:hAnsi="宋体"/>
          <w:color w:val="auto"/>
          <w:sz w:val="24"/>
          <w:highlight w:val="none"/>
        </w:rPr>
        <w:t>并向采购单位报备。</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color w:val="auto"/>
          <w:sz w:val="24"/>
          <w:highlight w:val="none"/>
        </w:rPr>
      </w:pPr>
      <w:r>
        <w:rPr>
          <w:rFonts w:hint="eastAsia" w:ascii="宋体" w:hAnsi="宋体"/>
          <w:color w:val="auto"/>
          <w:sz w:val="24"/>
          <w:highlight w:val="none"/>
        </w:rPr>
        <w:t>4、药物要求：白蚁防治药物应选用取得“农药三证”并对环境友好的白蚁防治药物，严格控制药物使用浓度和剂量，避免药物对环境的污染。</w:t>
      </w:r>
    </w:p>
    <w:p>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（二）项目承包方式及报价要求</w:t>
      </w:r>
    </w:p>
    <w:p>
      <w:pPr>
        <w:keepNext w:val="0"/>
        <w:keepLines w:val="0"/>
        <w:pageBreakBefore w:val="0"/>
        <w:kinsoku/>
        <w:wordWrap/>
        <w:overflowPunct/>
        <w:topLinePunct w:val="0"/>
        <w:autoSpaceDE/>
        <w:autoSpaceDN/>
        <w:bidi w:val="0"/>
        <w:adjustRightInd w:val="0"/>
        <w:snapToGrid w:val="0"/>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1、投标单位应根据国家的有关规定和新建房屋白蚁防治、白蚁治理、维护复查</w:t>
      </w:r>
      <w:r>
        <w:rPr>
          <w:rFonts w:hint="eastAsia" w:ascii="宋体" w:hAnsi="宋体"/>
          <w:color w:val="auto"/>
          <w:sz w:val="24"/>
          <w:highlight w:val="none"/>
          <w:lang w:eastAsia="zh-CN"/>
        </w:rPr>
        <w:t>回访</w:t>
      </w:r>
      <w:r>
        <w:rPr>
          <w:rFonts w:hint="eastAsia" w:ascii="宋体" w:hAnsi="宋体"/>
          <w:color w:val="auto"/>
          <w:sz w:val="24"/>
          <w:highlight w:val="none"/>
        </w:rPr>
        <w:t>等工作要求，并结合企业的实际情况进行投标报价。投标单位的投标报价为完成本招标文件规定的各项工作内容和要求的单价，</w:t>
      </w:r>
      <w:r>
        <w:rPr>
          <w:rFonts w:hint="eastAsia" w:hAnsi="宋体" w:cs="Arial"/>
          <w:color w:val="auto"/>
          <w:sz w:val="24"/>
          <w:highlight w:val="none"/>
        </w:rPr>
        <w:t>投标报价含一切税金和其他费用，如</w:t>
      </w:r>
      <w:r>
        <w:rPr>
          <w:rFonts w:hint="eastAsia" w:ascii="宋体" w:hAnsi="宋体"/>
          <w:color w:val="auto"/>
          <w:sz w:val="24"/>
          <w:highlight w:val="none"/>
        </w:rPr>
        <w:t>包括人员费用、器械费用、药物费用、监测装置费用、合理利润、税金、政策性文件规定及合同包含的所有风险、责任等各项应有费用，如有漏项，视同已包含在其总项目中。</w:t>
      </w:r>
      <w:r>
        <w:rPr>
          <w:rFonts w:hint="eastAsia" w:hAnsi="宋体" w:cs="Arial"/>
          <w:color w:val="auto"/>
          <w:sz w:val="24"/>
          <w:highlight w:val="none"/>
        </w:rPr>
        <w:t>投标报价是履行合同的最终价格，含一切税金和其他费用</w:t>
      </w:r>
      <w:r>
        <w:rPr>
          <w:rFonts w:hint="eastAsia" w:hAnsi="宋体" w:cs="Arial"/>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b/>
          <w:bCs/>
          <w:color w:val="auto"/>
          <w:sz w:val="24"/>
          <w:highlight w:val="none"/>
        </w:rPr>
        <w:t>2、实际结算金额为完成工作量乘以单价</w:t>
      </w:r>
      <w:r>
        <w:rPr>
          <w:rFonts w:hint="eastAsia" w:ascii="宋体" w:hAnsi="宋体"/>
          <w:b/>
          <w:bCs/>
          <w:color w:val="auto"/>
          <w:sz w:val="24"/>
          <w:highlight w:val="none"/>
          <w:lang w:eastAsia="zh-CN"/>
        </w:rPr>
        <w:t>及下浮</w:t>
      </w:r>
      <w:r>
        <w:rPr>
          <w:rFonts w:hint="eastAsia" w:ascii="宋体" w:hAnsi="宋体"/>
          <w:b/>
          <w:bCs/>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b/>
          <w:bCs/>
          <w:color w:val="auto"/>
          <w:sz w:val="24"/>
          <w:highlight w:val="none"/>
        </w:rPr>
      </w:pPr>
      <w:r>
        <w:rPr>
          <w:rFonts w:hint="eastAsia" w:ascii="宋体" w:hAnsi="宋体"/>
          <w:b/>
          <w:bCs/>
          <w:color w:val="auto"/>
          <w:sz w:val="24"/>
          <w:highlight w:val="none"/>
        </w:rPr>
        <w:t>3、本次报价设有最高限价（单价），投标单位的投标报价不得超过最高限价，否则其投标无效。</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（1）新建房屋白蚁防治地下型监测装置安装最高限价：47.16</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元/套</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（2）监测装置检查维护费最高限价：13.42元/套</w:t>
      </w:r>
      <w:r>
        <w:rPr>
          <w:rFonts w:hint="eastAsia" w:ascii="宋体" w:hAnsi="宋体"/>
          <w:b/>
          <w:bCs/>
          <w:color w:val="auto"/>
          <w:sz w:val="24"/>
          <w:highlight w:val="none"/>
          <w:lang w:val="en-US" w:eastAsia="zh-CN"/>
        </w:rPr>
        <w:t>*</w:t>
      </w:r>
      <w:r>
        <w:rPr>
          <w:rFonts w:hint="eastAsia" w:ascii="宋体" w:hAnsi="宋体"/>
          <w:b/>
          <w:bCs/>
          <w:color w:val="auto"/>
          <w:sz w:val="24"/>
          <w:highlight w:val="none"/>
        </w:rPr>
        <w:t>次</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（3）药物屏障复查回访最高限价：7.13元/100㎡*</w:t>
      </w:r>
      <w:r>
        <w:rPr>
          <w:rFonts w:hint="eastAsia" w:ascii="宋体" w:hAnsi="宋体"/>
          <w:b/>
          <w:bCs/>
          <w:color w:val="auto"/>
          <w:sz w:val="24"/>
          <w:highlight w:val="none"/>
        </w:rPr>
        <w:t>次</w:t>
      </w:r>
    </w:p>
    <w:p>
      <w:pPr>
        <w:pStyle w:val="8"/>
        <w:keepNext w:val="0"/>
        <w:keepLines w:val="0"/>
        <w:pageBreakBefore w:val="0"/>
        <w:kinsoku/>
        <w:wordWrap/>
        <w:overflowPunct/>
        <w:topLinePunct w:val="0"/>
        <w:autoSpaceDE/>
        <w:autoSpaceDN/>
        <w:bidi w:val="0"/>
        <w:adjustRightInd w:val="0"/>
        <w:snapToGrid w:val="0"/>
        <w:spacing w:line="440" w:lineRule="exact"/>
        <w:ind w:left="0" w:leftChars="0" w:firstLine="482"/>
        <w:textAlignment w:val="auto"/>
        <w:rPr>
          <w:rFonts w:hint="eastAsia"/>
        </w:rPr>
      </w:pPr>
      <w:r>
        <w:rPr>
          <w:rFonts w:hint="eastAsia" w:ascii="宋体" w:hAnsi="宋体"/>
          <w:b/>
          <w:bCs/>
          <w:color w:val="auto"/>
          <w:sz w:val="24"/>
          <w:highlight w:val="none"/>
        </w:rPr>
        <w:t>（</w:t>
      </w:r>
      <w:r>
        <w:rPr>
          <w:rFonts w:hint="eastAsia" w:hAnsi="宋体"/>
          <w:b/>
          <w:bCs/>
          <w:color w:val="auto"/>
          <w:sz w:val="24"/>
          <w:highlight w:val="none"/>
          <w:lang w:val="en-US" w:eastAsia="zh-CN"/>
        </w:rPr>
        <w:t>4</w:t>
      </w:r>
      <w:r>
        <w:rPr>
          <w:rFonts w:hint="eastAsia" w:ascii="宋体" w:hAnsi="宋体"/>
          <w:b/>
          <w:bCs/>
          <w:color w:val="auto"/>
          <w:sz w:val="24"/>
          <w:highlight w:val="none"/>
        </w:rPr>
        <w:t>）蚁情现场调查费最高限价：</w:t>
      </w:r>
      <w:r>
        <w:rPr>
          <w:rFonts w:hint="eastAsia" w:ascii="宋体" w:hAnsi="宋体" w:eastAsia="宋体" w:cs="Times New Roman"/>
          <w:b/>
          <w:bCs/>
          <w:color w:val="auto"/>
          <w:kern w:val="2"/>
          <w:sz w:val="24"/>
          <w:szCs w:val="24"/>
          <w:highlight w:val="none"/>
          <w:u w:val="single"/>
          <w:lang w:val="en-US" w:eastAsia="zh-CN" w:bidi="ar-SA"/>
        </w:rPr>
        <w:t>7.13元/100㎡</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b/>
          <w:bCs/>
          <w:color w:val="auto"/>
          <w:sz w:val="24"/>
          <w:highlight w:val="none"/>
        </w:rPr>
      </w:pPr>
      <w:r>
        <w:rPr>
          <w:rFonts w:hint="eastAsia" w:ascii="宋体" w:hAnsi="宋体" w:cs="宋体"/>
          <w:b/>
          <w:bCs/>
          <w:color w:val="auto"/>
          <w:sz w:val="24"/>
          <w:highlight w:val="none"/>
        </w:rPr>
        <w:t>▲</w:t>
      </w:r>
      <w:r>
        <w:rPr>
          <w:rFonts w:hint="eastAsia" w:ascii="宋体" w:hAnsi="宋体"/>
          <w:b/>
          <w:bCs/>
          <w:color w:val="auto"/>
          <w:sz w:val="24"/>
          <w:highlight w:val="none"/>
        </w:rPr>
        <w:t>（三）付款方式</w:t>
      </w:r>
    </w:p>
    <w:p>
      <w:pPr>
        <w:keepNext w:val="0"/>
        <w:keepLines w:val="0"/>
        <w:pageBreakBefore w:val="0"/>
        <w:shd w:val="clear" w:color="auto" w:fill="auto"/>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1</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新建房屋白蚁防治项目服务费用以中标单价为结算基准价，分配给中标单位施工的项目待施工方案确定后7个工作日内支付</w:t>
      </w:r>
      <w:r>
        <w:rPr>
          <w:rFonts w:hint="eastAsia" w:ascii="宋体" w:hAnsi="宋体" w:cs="宋体"/>
          <w:color w:val="auto"/>
          <w:spacing w:val="-4"/>
          <w:sz w:val="24"/>
          <w:highlight w:val="none"/>
          <w:lang w:eastAsia="zh-CN"/>
        </w:rPr>
        <w:t>该批次</w:t>
      </w:r>
      <w:r>
        <w:rPr>
          <w:rFonts w:hint="eastAsia" w:ascii="宋体" w:hAnsi="宋体" w:cs="宋体"/>
          <w:color w:val="auto"/>
          <w:spacing w:val="-4"/>
          <w:sz w:val="24"/>
          <w:highlight w:val="none"/>
        </w:rPr>
        <w:t>合同金额的30%作为服务费预付款（中标单价×数量×30%），服务费由采购单位根据当期业务量和资金落实情况按季度支付剩余的70%，即：</w:t>
      </w:r>
      <w:r>
        <w:rPr>
          <w:rFonts w:hint="eastAsia" w:ascii="宋体" w:hAnsi="宋体" w:cs="宋体"/>
          <w:color w:val="auto"/>
          <w:spacing w:val="-4"/>
          <w:sz w:val="24"/>
          <w:highlight w:val="none"/>
          <w:lang w:eastAsia="zh-CN"/>
        </w:rPr>
        <w:t>该批次</w:t>
      </w:r>
      <w:r>
        <w:rPr>
          <w:rFonts w:hint="eastAsia" w:ascii="宋体" w:hAnsi="宋体" w:cs="宋体"/>
          <w:color w:val="auto"/>
          <w:spacing w:val="-4"/>
          <w:sz w:val="24"/>
          <w:highlight w:val="none"/>
        </w:rPr>
        <w:t>完工验收后，7个工作日内付至合同金额的100%。</w:t>
      </w:r>
    </w:p>
    <w:p>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2</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由考核验收结果或违约责任引起的经济扣罚直接在当季核拨的经费中扣除；应急性任务或上级交办工作的费用，凭政府采购中标通知书、合同、工作量结算清单向采购单位申请支付；</w:t>
      </w:r>
    </w:p>
    <w:p>
      <w:pPr>
        <w:keepNext w:val="0"/>
        <w:keepLines w:val="0"/>
        <w:pageBreakBefore w:val="0"/>
        <w:kinsoku/>
        <w:wordWrap/>
        <w:overflowPunct/>
        <w:topLinePunct w:val="0"/>
        <w:autoSpaceDE/>
        <w:autoSpaceDN/>
        <w:bidi w:val="0"/>
        <w:adjustRightInd w:val="0"/>
        <w:snapToGrid w:val="0"/>
        <w:spacing w:line="440" w:lineRule="exact"/>
        <w:ind w:firstLine="464" w:firstLineChars="200"/>
        <w:textAlignment w:val="auto"/>
        <w:rPr>
          <w:color w:val="auto"/>
          <w:highlight w:val="none"/>
        </w:rPr>
      </w:pPr>
      <w:r>
        <w:rPr>
          <w:rFonts w:hint="eastAsia" w:ascii="宋体" w:hAnsi="宋体" w:cs="宋体"/>
          <w:color w:val="auto"/>
          <w:spacing w:val="-4"/>
          <w:sz w:val="24"/>
          <w:highlight w:val="none"/>
        </w:rPr>
        <w:t>3</w:t>
      </w:r>
      <w:r>
        <w:rPr>
          <w:rFonts w:hint="eastAsia" w:ascii="宋体" w:hAnsi="宋体" w:cs="宋体"/>
          <w:color w:val="auto"/>
          <w:spacing w:val="-4"/>
          <w:sz w:val="24"/>
          <w:highlight w:val="none"/>
          <w:lang w:eastAsia="zh-CN"/>
        </w:rPr>
        <w:t>、</w:t>
      </w:r>
      <w:r>
        <w:rPr>
          <w:rFonts w:hint="eastAsia" w:ascii="宋体" w:hAnsi="宋体" w:cs="宋体"/>
          <w:color w:val="auto"/>
          <w:spacing w:val="-4"/>
          <w:sz w:val="24"/>
          <w:highlight w:val="none"/>
        </w:rPr>
        <w:t>中标人办理费用结算时须提供正式税务发票。</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jc w:val="left"/>
        <w:textAlignment w:val="auto"/>
        <w:rPr>
          <w:rFonts w:hint="eastAsia" w:ascii="宋体" w:hAnsi="宋体"/>
          <w:color w:val="auto"/>
          <w:sz w:val="24"/>
          <w:highlight w:val="none"/>
        </w:rPr>
      </w:pPr>
      <w:r>
        <w:rPr>
          <w:rFonts w:hint="eastAsia" w:ascii="宋体" w:hAnsi="宋体"/>
          <w:b/>
          <w:bCs/>
          <w:color w:val="auto"/>
          <w:sz w:val="24"/>
          <w:highlight w:val="none"/>
        </w:rPr>
        <w:t>（四）服务期限</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511" w:firstLineChars="213"/>
        <w:jc w:val="left"/>
        <w:textAlignment w:val="auto"/>
        <w:rPr>
          <w:rFonts w:hint="eastAsia" w:ascii="宋体" w:hAnsi="宋体"/>
          <w:color w:val="auto"/>
          <w:sz w:val="24"/>
          <w:highlight w:val="none"/>
        </w:rPr>
      </w:pPr>
      <w:r>
        <w:rPr>
          <w:rFonts w:hint="eastAsia" w:ascii="宋体" w:hAnsi="宋体"/>
          <w:color w:val="auto"/>
          <w:sz w:val="24"/>
          <w:highlight w:val="none"/>
        </w:rPr>
        <w:t>1、白蚁预防施工服务期限为</w:t>
      </w:r>
      <w:r>
        <w:rPr>
          <w:rFonts w:hint="eastAsia" w:ascii="宋体" w:hAnsi="宋体" w:cs="宋体"/>
          <w:color w:val="auto"/>
          <w:sz w:val="24"/>
          <w:highlight w:val="none"/>
        </w:rPr>
        <w:t>1年，</w:t>
      </w:r>
      <w:r>
        <w:rPr>
          <w:rFonts w:hint="eastAsia" w:ascii="宋体" w:hAnsi="宋体" w:cs="Arial"/>
          <w:color w:val="auto"/>
          <w:sz w:val="24"/>
          <w:highlight w:val="none"/>
        </w:rPr>
        <w:t>绩效评价好、季度考核高，服务对象满意度高的，可在原合同基础上延续，若考核不通过合同不延续。</w:t>
      </w:r>
      <w:r>
        <w:rPr>
          <w:rFonts w:hint="eastAsia" w:ascii="宋体" w:hAnsi="宋体" w:cs="宋体"/>
          <w:color w:val="auto"/>
          <w:sz w:val="24"/>
          <w:highlight w:val="none"/>
        </w:rPr>
        <w:t>中标单位第一年白蚁预防施工服务范围为</w:t>
      </w: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年07月01日至202</w:t>
      </w:r>
      <w:r>
        <w:rPr>
          <w:rFonts w:hint="eastAsia" w:ascii="宋体" w:hAnsi="宋体"/>
          <w:color w:val="auto"/>
          <w:sz w:val="24"/>
          <w:highlight w:val="none"/>
          <w:lang w:val="en-US" w:eastAsia="zh-CN"/>
        </w:rPr>
        <w:t>4</w:t>
      </w:r>
      <w:r>
        <w:rPr>
          <w:rFonts w:hint="eastAsia" w:ascii="宋体" w:hAnsi="宋体"/>
          <w:color w:val="auto"/>
          <w:sz w:val="24"/>
          <w:highlight w:val="none"/>
        </w:rPr>
        <w:t>年6月30日受理的新建房屋白蚁防治服务项目。</w:t>
      </w:r>
    </w:p>
    <w:p>
      <w:pPr>
        <w:keepNext w:val="0"/>
        <w:keepLines w:val="0"/>
        <w:pageBreakBefore w:val="0"/>
        <w:widowControl/>
        <w:kinsoku/>
        <w:wordWrap/>
        <w:overflowPunct/>
        <w:topLinePunct w:val="0"/>
        <w:autoSpaceDE/>
        <w:autoSpaceDN/>
        <w:bidi w:val="0"/>
        <w:adjustRightInd w:val="0"/>
        <w:snapToGrid w:val="0"/>
        <w:spacing w:line="440" w:lineRule="exact"/>
        <w:ind w:firstLine="511" w:firstLineChars="213"/>
        <w:jc w:val="left"/>
        <w:textAlignment w:val="auto"/>
        <w:rPr>
          <w:rFonts w:hint="eastAsia" w:ascii="宋体" w:hAnsi="宋体"/>
          <w:b/>
          <w:bCs/>
          <w:color w:val="auto"/>
          <w:sz w:val="24"/>
          <w:highlight w:val="none"/>
        </w:rPr>
      </w:pPr>
      <w:r>
        <w:rPr>
          <w:rFonts w:hint="eastAsia" w:ascii="宋体" w:hAnsi="宋体"/>
          <w:color w:val="auto"/>
          <w:sz w:val="24"/>
          <w:highlight w:val="none"/>
        </w:rPr>
        <w:t>2、</w:t>
      </w:r>
      <w:r>
        <w:rPr>
          <w:rFonts w:hint="eastAsia" w:ascii="宋体" w:hAnsi="宋体" w:cs="宋体"/>
          <w:color w:val="auto"/>
          <w:spacing w:val="-4"/>
          <w:sz w:val="24"/>
          <w:highlight w:val="none"/>
        </w:rPr>
        <w:t>对存量项目监测装置进行一年不少于两次的检查、维护与处理等复查工作,按</w:t>
      </w:r>
      <w:r>
        <w:rPr>
          <w:rFonts w:hint="eastAsia" w:ascii="宋体" w:hAnsi="宋体" w:cs="宋体"/>
          <w:color w:val="auto"/>
          <w:sz w:val="24"/>
          <w:highlight w:val="none"/>
        </w:rPr>
        <w:t>《房屋白蚁监测控制系统应用技术规程》编号DB33／T1108—2018、东阳市房屋征收服务中</w:t>
      </w:r>
      <w:r>
        <w:rPr>
          <w:rFonts w:hint="eastAsia" w:ascii="宋体" w:hAnsi="宋体" w:cs="宋体"/>
          <w:color w:val="auto"/>
          <w:spacing w:val="-4"/>
          <w:sz w:val="24"/>
          <w:highlight w:val="none"/>
        </w:rPr>
        <w:t>心</w:t>
      </w:r>
      <w:r>
        <w:rPr>
          <w:rFonts w:hint="eastAsia" w:ascii="宋体" w:hAnsi="宋体" w:cs="宋体"/>
          <w:color w:val="auto"/>
          <w:spacing w:val="-4"/>
          <w:sz w:val="24"/>
          <w:highlight w:val="none"/>
          <w:lang w:eastAsia="zh-CN"/>
        </w:rPr>
        <w:t>（东阳市房地产处）</w:t>
      </w:r>
      <w:r>
        <w:rPr>
          <w:rFonts w:hint="eastAsia" w:ascii="宋体" w:hAnsi="宋体" w:cs="宋体"/>
          <w:color w:val="auto"/>
          <w:spacing w:val="-4"/>
          <w:sz w:val="24"/>
          <w:highlight w:val="none"/>
        </w:rPr>
        <w:t>相关规</w:t>
      </w:r>
      <w:r>
        <w:rPr>
          <w:rFonts w:hint="eastAsia" w:ascii="宋体" w:hAnsi="宋体" w:cs="宋体"/>
          <w:color w:val="auto"/>
          <w:sz w:val="24"/>
          <w:highlight w:val="none"/>
        </w:rPr>
        <w:t>章制度完成。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3、在本项目履约过程中，中标人如未按合同履约的，采购人有权取消其中标资格并终止合同，已履约的项目，按实际完成的工作量结算。</w:t>
      </w:r>
    </w:p>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b/>
          <w:bCs/>
          <w:color w:val="auto"/>
          <w:sz w:val="24"/>
          <w:highlight w:val="none"/>
        </w:rPr>
      </w:pPr>
      <w:r>
        <w:rPr>
          <w:rFonts w:hint="eastAsia" w:ascii="宋体" w:hAnsi="宋体"/>
          <w:b/>
          <w:bCs/>
          <w:color w:val="auto"/>
          <w:sz w:val="24"/>
          <w:highlight w:val="none"/>
        </w:rPr>
        <w:t>（五）其他要求</w:t>
      </w:r>
    </w:p>
    <w:p>
      <w:pPr>
        <w:keepNext w:val="0"/>
        <w:keepLines w:val="0"/>
        <w:pageBreakBefore w:val="0"/>
        <w:tabs>
          <w:tab w:val="left" w:pos="3870"/>
          <w:tab w:val="left" w:pos="4085"/>
        </w:tabs>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olor w:val="auto"/>
          <w:sz w:val="24"/>
          <w:highlight w:val="none"/>
        </w:rPr>
      </w:pPr>
      <w:r>
        <w:rPr>
          <w:rFonts w:hint="eastAsia" w:ascii="宋体" w:hAnsi="宋体"/>
          <w:color w:val="auto"/>
          <w:sz w:val="24"/>
          <w:highlight w:val="none"/>
        </w:rPr>
        <w:t>▲中标单位必须在施工时采取安全保障措施，保证安全施工。施工过程中产生的安全事故及责任均由中标单位自行承担。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保密</w:t>
      </w:r>
    </w:p>
    <w:p>
      <w:pPr>
        <w:spacing w:line="440" w:lineRule="exact"/>
        <w:ind w:firstLine="48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招投标双方应分别为对方在投标文件和招标文件中涉及的商业和技术等秘密保密，违者应对由此造成的后果承担责任。</w:t>
      </w:r>
    </w:p>
    <w:p>
      <w:pPr>
        <w:spacing w:line="440" w:lineRule="exact"/>
        <w:outlineLvl w:val="1"/>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、合同的签订</w:t>
      </w:r>
    </w:p>
    <w:p>
      <w:pPr>
        <w:spacing w:line="360" w:lineRule="auto"/>
        <w:ind w:firstLine="480" w:firstLineChars="200"/>
        <w:rPr>
          <w:rFonts w:hint="eastAsia" w:ascii="宋体" w:hAnsi="宋体"/>
          <w:b/>
          <w:bCs/>
          <w:color w:val="auto"/>
          <w:sz w:val="24"/>
          <w:highlight w:val="none"/>
        </w:rPr>
      </w:pPr>
      <w:r>
        <w:rPr>
          <w:rFonts w:hint="eastAsia" w:ascii="宋体" w:hAnsi="宋体" w:cs="宋体"/>
          <w:bCs/>
          <w:color w:val="auto"/>
          <w:sz w:val="24"/>
          <w:szCs w:val="24"/>
          <w:highlight w:val="none"/>
        </w:rPr>
        <w:t>中标单位在收到《中标通知书》后20日内与</w:t>
      </w:r>
      <w:r>
        <w:rPr>
          <w:rFonts w:hint="eastAsia" w:ascii="宋体" w:hAnsi="宋体" w:cs="宋体"/>
          <w:color w:val="auto"/>
          <w:sz w:val="24"/>
          <w:szCs w:val="24"/>
          <w:highlight w:val="none"/>
          <w:lang w:eastAsia="zh-CN"/>
        </w:rPr>
        <w:t>东阳市房屋征收服务中心（东阳市房地产处）</w:t>
      </w:r>
      <w:r>
        <w:rPr>
          <w:rFonts w:hint="eastAsia" w:ascii="宋体" w:hAnsi="宋体" w:cs="宋体"/>
          <w:bCs/>
          <w:color w:val="auto"/>
          <w:sz w:val="24"/>
          <w:szCs w:val="24"/>
          <w:highlight w:val="none"/>
        </w:rPr>
        <w:t>签订合同。</w:t>
      </w:r>
    </w:p>
    <w:p>
      <w:pPr>
        <w:spacing w:line="360" w:lineRule="auto"/>
        <w:rPr>
          <w:rFonts w:hint="eastAsia" w:ascii="宋体" w:hAnsi="宋体"/>
          <w:b/>
          <w:bCs/>
          <w:color w:val="auto"/>
          <w:sz w:val="24"/>
          <w:highlight w:val="none"/>
        </w:rPr>
      </w:pPr>
    </w:p>
    <w:p>
      <w:pPr>
        <w:spacing w:line="360" w:lineRule="auto"/>
        <w:rPr>
          <w:rFonts w:hint="eastAsia" w:ascii="宋体" w:hAnsi="宋体"/>
          <w:b/>
          <w:bCs/>
          <w:color w:val="auto"/>
          <w:sz w:val="24"/>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Fonts w:hint="eastAsia" w:ascii="新宋体" w:hAnsi="新宋体" w:eastAsia="新宋体"/>
          <w:color w:val="auto"/>
          <w:kern w:val="0"/>
          <w:sz w:val="28"/>
          <w:szCs w:val="28"/>
          <w:highlight w:val="none"/>
        </w:rPr>
      </w:pPr>
    </w:p>
    <w:p>
      <w:pPr>
        <w:widowControl/>
        <w:spacing w:line="360" w:lineRule="exact"/>
        <w:ind w:firstLine="420"/>
        <w:jc w:val="center"/>
        <w:rPr>
          <w:rStyle w:val="50"/>
          <w:rFonts w:hint="eastAsia"/>
          <w:color w:val="auto"/>
          <w:sz w:val="32"/>
          <w:szCs w:val="32"/>
          <w:highlight w:val="none"/>
        </w:rPr>
      </w:pPr>
      <w:r>
        <w:rPr>
          <w:rFonts w:hint="eastAsia" w:ascii="新宋体" w:hAnsi="新宋体" w:eastAsia="新宋体"/>
          <w:color w:val="auto"/>
          <w:kern w:val="0"/>
          <w:sz w:val="28"/>
          <w:szCs w:val="28"/>
          <w:highlight w:val="none"/>
        </w:rPr>
        <w:t>中标单位考核细则</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58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9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szCs w:val="24"/>
                <w:highlight w:val="none"/>
              </w:rPr>
            </w:pPr>
            <w:r>
              <w:rPr>
                <w:rFonts w:hint="eastAsia" w:ascii="宋体" w:hAnsi="宋体"/>
                <w:color w:val="auto"/>
                <w:sz w:val="24"/>
                <w:szCs w:val="24"/>
                <w:highlight w:val="none"/>
              </w:rPr>
              <w:t>项</w:t>
            </w:r>
            <w:r>
              <w:rPr>
                <w:rFonts w:ascii="宋体" w:hAnsi="宋体"/>
                <w:color w:val="auto"/>
                <w:sz w:val="24"/>
                <w:szCs w:val="24"/>
                <w:highlight w:val="none"/>
              </w:rPr>
              <w:t xml:space="preserve"> </w:t>
            </w:r>
            <w:r>
              <w:rPr>
                <w:rFonts w:hint="eastAsia" w:ascii="宋体" w:hAnsi="宋体"/>
                <w:color w:val="auto"/>
                <w:sz w:val="24"/>
                <w:szCs w:val="24"/>
                <w:highlight w:val="none"/>
              </w:rPr>
              <w:t>目</w:t>
            </w:r>
          </w:p>
        </w:tc>
        <w:tc>
          <w:tcPr>
            <w:tcW w:w="5585" w:type="dxa"/>
            <w:tcBorders>
              <w:top w:val="single" w:color="auto" w:sz="4" w:space="0"/>
              <w:left w:val="single" w:color="auto" w:sz="4" w:space="0"/>
              <w:bottom w:val="single" w:color="auto" w:sz="4" w:space="0"/>
              <w:right w:val="single" w:color="auto" w:sz="4" w:space="0"/>
            </w:tcBorders>
            <w:noWrap w:val="0"/>
            <w:vAlign w:val="top"/>
          </w:tcPr>
          <w:p>
            <w:pPr>
              <w:ind w:left="840" w:hanging="420"/>
              <w:jc w:val="center"/>
              <w:rPr>
                <w:rFonts w:ascii="宋体" w:hAnsi="宋体"/>
                <w:color w:val="auto"/>
                <w:sz w:val="24"/>
                <w:szCs w:val="24"/>
                <w:highlight w:val="none"/>
              </w:rPr>
            </w:pPr>
            <w:r>
              <w:rPr>
                <w:rFonts w:hint="eastAsia" w:ascii="宋体" w:hAnsi="宋体"/>
                <w:color w:val="auto"/>
                <w:sz w:val="24"/>
                <w:szCs w:val="24"/>
                <w:highlight w:val="none"/>
              </w:rPr>
              <w:t>考</w:t>
            </w:r>
            <w:r>
              <w:rPr>
                <w:rFonts w:ascii="宋体" w:hAnsi="宋体"/>
                <w:color w:val="auto"/>
                <w:sz w:val="24"/>
                <w:szCs w:val="24"/>
                <w:highlight w:val="none"/>
              </w:rPr>
              <w:t xml:space="preserve">   </w:t>
            </w:r>
            <w:r>
              <w:rPr>
                <w:rFonts w:hint="eastAsia" w:ascii="宋体" w:hAnsi="宋体"/>
                <w:color w:val="auto"/>
                <w:sz w:val="24"/>
                <w:szCs w:val="24"/>
                <w:highlight w:val="none"/>
              </w:rPr>
              <w:t>核</w:t>
            </w:r>
            <w:r>
              <w:rPr>
                <w:rFonts w:ascii="宋体" w:hAnsi="宋体"/>
                <w:color w:val="auto"/>
                <w:sz w:val="24"/>
                <w:szCs w:val="24"/>
                <w:highlight w:val="none"/>
              </w:rPr>
              <w:t xml:space="preserve">   </w:t>
            </w:r>
            <w:r>
              <w:rPr>
                <w:rFonts w:hint="eastAsia" w:ascii="宋体" w:hAnsi="宋体"/>
                <w:color w:val="auto"/>
                <w:sz w:val="24"/>
                <w:szCs w:val="24"/>
                <w:highlight w:val="none"/>
              </w:rPr>
              <w:t>内</w:t>
            </w:r>
            <w:r>
              <w:rPr>
                <w:rFonts w:ascii="宋体" w:hAnsi="宋体"/>
                <w:color w:val="auto"/>
                <w:sz w:val="24"/>
                <w:szCs w:val="24"/>
                <w:highlight w:val="none"/>
              </w:rPr>
              <w:t xml:space="preserve">   </w:t>
            </w:r>
            <w:r>
              <w:rPr>
                <w:rFonts w:hint="eastAsia" w:ascii="宋体" w:hAnsi="宋体"/>
                <w:color w:val="auto"/>
                <w:sz w:val="24"/>
                <w:szCs w:val="24"/>
                <w:highlight w:val="none"/>
              </w:rPr>
              <w:t>容</w:t>
            </w:r>
          </w:p>
        </w:tc>
        <w:tc>
          <w:tcPr>
            <w:tcW w:w="3144" w:type="dxa"/>
            <w:tcBorders>
              <w:top w:val="single" w:color="auto" w:sz="4" w:space="0"/>
              <w:left w:val="single" w:color="auto" w:sz="4" w:space="0"/>
              <w:bottom w:val="single" w:color="auto" w:sz="4" w:space="0"/>
              <w:right w:val="single" w:color="auto" w:sz="4" w:space="0"/>
            </w:tcBorders>
            <w:noWrap w:val="0"/>
            <w:vAlign w:val="top"/>
          </w:tcPr>
          <w:p>
            <w:pPr>
              <w:ind w:left="840" w:hanging="420"/>
              <w:jc w:val="center"/>
              <w:rPr>
                <w:rFonts w:ascii="宋体" w:hAnsi="宋体"/>
                <w:color w:val="auto"/>
                <w:sz w:val="24"/>
                <w:szCs w:val="24"/>
                <w:highlight w:val="none"/>
              </w:rPr>
            </w:pPr>
            <w:r>
              <w:rPr>
                <w:rFonts w:hint="eastAsia" w:ascii="宋体" w:hAnsi="宋体"/>
                <w:color w:val="auto"/>
                <w:sz w:val="24"/>
                <w:szCs w:val="24"/>
                <w:highlight w:val="none"/>
              </w:rPr>
              <w:t>评</w:t>
            </w:r>
            <w:r>
              <w:rPr>
                <w:rFonts w:ascii="宋体" w:hAnsi="宋体"/>
                <w:color w:val="auto"/>
                <w:sz w:val="24"/>
                <w:szCs w:val="24"/>
                <w:highlight w:val="none"/>
              </w:rPr>
              <w:t xml:space="preserve"> </w:t>
            </w:r>
            <w:r>
              <w:rPr>
                <w:rFonts w:hint="eastAsia" w:ascii="宋体" w:hAnsi="宋体"/>
                <w:color w:val="auto"/>
                <w:sz w:val="24"/>
                <w:szCs w:val="24"/>
                <w:highlight w:val="none"/>
              </w:rPr>
              <w:t>分</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一、白蚁预防工程项目质量管理40 分</w:t>
            </w: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收到白蚁预防合同工程项目后3个工作日内及时进行工地勘查，制定白蚁预防施工方案依据和建议</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未在3个工作日内勘查的扣1分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白蚁预防工程项目施工方案应及时送达采购方1份，项目负责人应熟悉白蚁预防工程项目施工方案</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未将施工方案及时送达甲方扣1分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每只工程项目每季度巡查不少于1次，掌握工程进度，及时准确反馈工程信息</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巡查工地少一次扣1分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组织白蚁预防施工应提前一天上报白蚁防治主管单位。白蚁防治单位应及时安排质监人员到场监督工程质量</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不上报一项工程扣1分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组织施工有序，按照《房屋白蚁监测控制系统应用技术规程》编号DB33／T1108—2018。主要技术指标为：</w:t>
            </w:r>
          </w:p>
          <w:p>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监测装置安装间距，房屋四周为5米，特殊情况协商确定，服务施工方案由东阳市房屋征收服务中心（东阳市房地产处）审定后方可实施；</w:t>
            </w:r>
          </w:p>
          <w:p>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监测装置维护周期：每年上半年、下半年各1次，（包括维护和更换）特殊情况协商确定；</w:t>
            </w:r>
          </w:p>
          <w:p>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（3）监测装置应选用通过全国白蚁防治中心评议认定的产品，主要可参照（全蚁发〔2021〕36号）和《房屋白蚁监测控制系统应用技术规程》（编号DB33／T1108—2018）要求。</w:t>
            </w:r>
          </w:p>
        </w:tc>
        <w:tc>
          <w:tcPr>
            <w:tcW w:w="3144" w:type="dxa"/>
            <w:tcBorders>
              <w:top w:val="single" w:color="auto" w:sz="4" w:space="0"/>
              <w:left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未按 《房屋白蚁监测控制技术规程》 组织施工和未按规定采购监测装置的，每一项内容扣2分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安装监控装置，必须提供安装图纸，准确记录安装位置。</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抽查中位置误差超过0.5米，按抽查与实际的比例，核算实际有误数量，1个扣1分。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做到施工安全无事故，白蚁预防项目负责人应及时向建筑施工单位说明安全事项，施工人员应严格执行安全操作规定</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不穿戴工作服安全帽进入工地的每人次扣1分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施工反馈意见应完全反映出建设单位的评价意见</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建设单位评价差的扣1分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整理收集工程质量验收资料齐全，白蚁防治单位应收集提供如下资料：1、勘查记录，2、施工方案，3、施工记录（施工过程照片及施工图纸），4、安全记录，5、监测装置质量保证书、6、施工信息反馈意见，7、竣工验收证明书，8、质监记录（由白蚁监管单位提供），9、新建房屋白蚁防治公共服务受理登记单，10、验收证明书，11、发证登记表，12、工程竣工通知书</w:t>
            </w:r>
            <w:r>
              <w:rPr>
                <w:rFonts w:hint="eastAsia" w:ascii="宋体" w:hAnsi="宋体"/>
                <w:color w:val="auto"/>
                <w:sz w:val="24"/>
                <w:szCs w:val="24"/>
                <w:highlight w:val="none"/>
                <w:lang w:eastAsia="zh-CN"/>
              </w:rPr>
              <w:t>。</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缺一份资料扣1分，各项记录填写不详实扣1分，随意涂改一处扣0.5分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jc w:val="left"/>
              <w:rPr>
                <w:rFonts w:hint="eastAsia" w:ascii="宋体" w:hAnsi="宋体"/>
                <w:color w:val="auto"/>
                <w:sz w:val="24"/>
                <w:szCs w:val="24"/>
                <w:highlight w:val="none"/>
              </w:rPr>
            </w:pPr>
            <w:r>
              <w:rPr>
                <w:rFonts w:hint="eastAsia" w:ascii="宋体" w:hAnsi="宋体"/>
                <w:color w:val="auto"/>
                <w:sz w:val="24"/>
                <w:szCs w:val="24"/>
                <w:highlight w:val="none"/>
              </w:rPr>
              <w:t>竣工工程10个工作日内提交竣工验收</w:t>
            </w:r>
          </w:p>
        </w:tc>
        <w:tc>
          <w:tcPr>
            <w:tcW w:w="3144" w:type="dxa"/>
            <w:tcBorders>
              <w:top w:val="single" w:color="auto" w:sz="4" w:space="0"/>
              <w:left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不按时提交竣工验收的扣2分，退件资料一个工作日内不提交的扣1分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99" w:type="dxa"/>
            <w:vMerge w:val="continue"/>
            <w:tcBorders>
              <w:top w:val="single" w:color="auto" w:sz="4" w:space="0"/>
              <w:left w:val="single" w:color="auto" w:sz="4" w:space="0"/>
              <w:bottom w:val="nil"/>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白蚁防治单位收到工程竣工发证通知书后，应当日通知建设单位到白蚁防治主管单位领取新建房屋白蚁预防确认书</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不及时通知的扣1分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99"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纸质档案资料与数据应及时填写记录清楚。</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不及时填写和输入资料的扣1分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二、白蚁预防维护、复查管理10分</w:t>
            </w: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每个项目监测装置的维护复查工程应对逐幢逐套监测装置进行勘查和维护，并做好详实记录，应告知甲方防范白蚁易滋生的主要原因和措施。对项目名称变更、联系电话变更的应及时更正</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不按幢按监测装置套数进行维护的扣2分，填写内容缺一项扣1分，无照片的扣1分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蚁害情况填写详实、清楚，有蚁害的应填写白蚁种类，危害范围、危害程度等。检查白蚁预防监测系统应填写检查的个数、编号、型号等</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填写内容缺一项扣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有白蚁危害应填写白蚁种类，灭治施工人员，灭治时间，灭治方法，灭治效果等处理情况</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填写内容缺一项扣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按技术规程规定完成维护工程项目数、装置套数和面积，按规定产品更换监测装置，并于每季度月底上报，同时需建立维护复查工程项目资料档案</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只完成项目不完成装置套数的扣</w:t>
            </w:r>
            <w:r>
              <w:rPr>
                <w:rFonts w:ascii="宋体" w:hAnsi="宋体"/>
                <w:color w:val="auto"/>
                <w:sz w:val="24"/>
                <w:szCs w:val="24"/>
                <w:highlight w:val="none"/>
              </w:rPr>
              <w:t>2</w:t>
            </w:r>
            <w:r>
              <w:rPr>
                <w:rFonts w:hint="eastAsia" w:ascii="宋体" w:hAnsi="宋体"/>
                <w:color w:val="auto"/>
                <w:sz w:val="24"/>
                <w:szCs w:val="24"/>
                <w:highlight w:val="none"/>
              </w:rPr>
              <w:t>分；不按时上报扣1分；不建立维护项目档案的扣1分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9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三、药物管理</w:t>
            </w:r>
            <w:r>
              <w:rPr>
                <w:rFonts w:ascii="宋体" w:hAnsi="宋体"/>
                <w:color w:val="auto"/>
                <w:sz w:val="24"/>
                <w:szCs w:val="24"/>
                <w:highlight w:val="none"/>
              </w:rPr>
              <w:t>10</w:t>
            </w:r>
            <w:r>
              <w:rPr>
                <w:rFonts w:hint="eastAsia" w:ascii="宋体" w:hAnsi="宋体"/>
                <w:color w:val="auto"/>
                <w:sz w:val="24"/>
                <w:szCs w:val="24"/>
                <w:highlight w:val="none"/>
              </w:rPr>
              <w:t>分</w:t>
            </w:r>
          </w:p>
        </w:tc>
        <w:tc>
          <w:tcPr>
            <w:tcW w:w="5585" w:type="dxa"/>
            <w:tcBorders>
              <w:top w:val="single" w:color="auto" w:sz="4" w:space="0"/>
              <w:left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白蚁防治药物的使用，必须履行《</w:t>
            </w:r>
            <w:r>
              <w:rPr>
                <w:rFonts w:ascii="宋体" w:hAnsi="宋体"/>
                <w:color w:val="auto"/>
                <w:sz w:val="24"/>
                <w:szCs w:val="24"/>
                <w:highlight w:val="none"/>
              </w:rPr>
              <w:t>POPS</w:t>
            </w:r>
            <w:r>
              <w:rPr>
                <w:rFonts w:hint="eastAsia" w:ascii="宋体" w:hAnsi="宋体"/>
                <w:color w:val="auto"/>
                <w:sz w:val="24"/>
                <w:szCs w:val="24"/>
                <w:highlight w:val="none"/>
              </w:rPr>
              <w:t>公约》（又称《斯德哥乐摩公约》），应符合《中华人民共和国农药管理条例》和国家现行有关产品标准的规定并应具有农药登记证，农药生产许可证或农药生产批准文件。药物应有专人管理和专用仓储，不得随意销售药物</w:t>
            </w:r>
          </w:p>
        </w:tc>
        <w:tc>
          <w:tcPr>
            <w:tcW w:w="3144" w:type="dxa"/>
            <w:tcBorders>
              <w:top w:val="single" w:color="auto" w:sz="4" w:space="0"/>
              <w:left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不按国家标准使用药物扣</w:t>
            </w:r>
            <w:r>
              <w:rPr>
                <w:rFonts w:ascii="宋体" w:hAnsi="宋体"/>
                <w:color w:val="auto"/>
                <w:sz w:val="24"/>
                <w:szCs w:val="24"/>
                <w:highlight w:val="none"/>
              </w:rPr>
              <w:t>1</w:t>
            </w:r>
            <w:r>
              <w:rPr>
                <w:rFonts w:hint="eastAsia" w:ascii="宋体" w:hAnsi="宋体"/>
                <w:color w:val="auto"/>
                <w:sz w:val="24"/>
                <w:szCs w:val="24"/>
                <w:highlight w:val="none"/>
              </w:rPr>
              <w:t>分，药物无专人管理和专用仓储扣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9" w:type="dxa"/>
            <w:vMerge w:val="continue"/>
            <w:tcBorders>
              <w:left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白蚁防治药物由中标单位自行采购，必须选用经国家有关部门批准生产的药剂，严格按照国家和地方有关城市房屋白蚁防治的施工技术规范和操作程序进行防治。</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不按规定采购扣</w:t>
            </w:r>
            <w:r>
              <w:rPr>
                <w:rFonts w:ascii="宋体" w:hAnsi="宋体"/>
                <w:color w:val="auto"/>
                <w:sz w:val="24"/>
                <w:szCs w:val="24"/>
                <w:highlight w:val="none"/>
              </w:rPr>
              <w:t>1</w:t>
            </w:r>
            <w:r>
              <w:rPr>
                <w:rFonts w:hint="eastAsia" w:ascii="宋体" w:hAnsi="宋体"/>
                <w:color w:val="auto"/>
                <w:sz w:val="24"/>
                <w:szCs w:val="24"/>
                <w:highlight w:val="none"/>
              </w:rPr>
              <w:t>分，规范、程序</w:t>
            </w:r>
            <w:r>
              <w:rPr>
                <w:rFonts w:hint="eastAsia" w:ascii="宋体" w:hAnsi="宋体" w:cs="宋体"/>
                <w:color w:val="auto"/>
                <w:kern w:val="0"/>
                <w:sz w:val="24"/>
                <w:szCs w:val="24"/>
                <w:highlight w:val="none"/>
              </w:rPr>
              <w:t>不符</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99" w:type="dxa"/>
            <w:vMerge w:val="continue"/>
            <w:tcBorders>
              <w:left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白蚁防治药物应安全存放，不能滞留车上和其它场所过夜，不能随意处置给他人</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不按规定处置一次扣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9" w:type="dxa"/>
            <w:vMerge w:val="continue"/>
            <w:tcBorders>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s="宋体"/>
                <w:color w:val="auto"/>
                <w:kern w:val="0"/>
                <w:sz w:val="24"/>
                <w:szCs w:val="24"/>
                <w:highlight w:val="none"/>
              </w:rPr>
              <w:t>药物容器集中处理，不得任意丢弃或作他用。</w:t>
            </w:r>
            <w:r>
              <w:rPr>
                <w:rFonts w:hint="eastAsia" w:ascii="宋体" w:hAnsi="宋体"/>
                <w:color w:val="auto"/>
                <w:sz w:val="24"/>
                <w:szCs w:val="24"/>
                <w:highlight w:val="none"/>
              </w:rPr>
              <w:t>剩余药物不得倒入池塘、河流、喷向花草等</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不按规定处置一次扣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szCs w:val="24"/>
                <w:highlight w:val="none"/>
              </w:rPr>
            </w:pPr>
            <w:r>
              <w:rPr>
                <w:rFonts w:hint="eastAsia" w:ascii="宋体" w:hAnsi="宋体"/>
                <w:color w:val="auto"/>
                <w:sz w:val="24"/>
                <w:szCs w:val="24"/>
                <w:highlight w:val="none"/>
              </w:rPr>
              <w:t>四、企业质量保证体系4</w:t>
            </w:r>
            <w:r>
              <w:rPr>
                <w:rFonts w:ascii="宋体" w:hAnsi="宋体"/>
                <w:color w:val="auto"/>
                <w:sz w:val="24"/>
                <w:szCs w:val="24"/>
                <w:highlight w:val="none"/>
              </w:rPr>
              <w:t>0</w:t>
            </w:r>
            <w:r>
              <w:rPr>
                <w:rFonts w:hint="eastAsia" w:ascii="宋体" w:hAnsi="宋体"/>
                <w:color w:val="auto"/>
                <w:sz w:val="24"/>
                <w:szCs w:val="24"/>
                <w:highlight w:val="none"/>
              </w:rPr>
              <w:t>分</w:t>
            </w: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基础建设：有固定的办公地点及场所，有醒目的门牌号和公司名称，有明显的岗位标识</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门牌号标示不清，导致群众上门咨询困难的扣</w:t>
            </w:r>
            <w:r>
              <w:rPr>
                <w:rFonts w:ascii="宋体" w:hAnsi="宋体"/>
                <w:color w:val="auto"/>
                <w:sz w:val="24"/>
                <w:szCs w:val="24"/>
                <w:highlight w:val="none"/>
              </w:rPr>
              <w:t>3</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成立一年以上的企业（公司）应有公司网络平台，有白蚁防治咨询平台和电话咨询热线，应设立工作前台（有公司简介、宣传图片、白蚁标本窗柜、白蚁防治动漫图解宣传墙等）</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缺一项扣</w:t>
            </w:r>
            <w:r>
              <w:rPr>
                <w:rFonts w:ascii="宋体" w:hAnsi="宋体"/>
                <w:color w:val="auto"/>
                <w:sz w:val="24"/>
                <w:szCs w:val="24"/>
                <w:highlight w:val="none"/>
              </w:rPr>
              <w:t>1</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人力资源：合理科学配置人力资源，确保各项任务完成，总经理一名，办公室一名，项目负责人一名（含一名以上），施工员二名（含二名以上），回访复查员一名，白蚁灭治一名</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人力资源达不到标准配置的扣</w:t>
            </w:r>
            <w:r>
              <w:rPr>
                <w:rFonts w:ascii="宋体" w:hAnsi="宋体"/>
                <w:color w:val="auto"/>
                <w:sz w:val="24"/>
                <w:szCs w:val="24"/>
                <w:highlight w:val="none"/>
              </w:rPr>
              <w:t>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auto"/>
                <w:sz w:val="24"/>
                <w:szCs w:val="24"/>
                <w:highlight w:val="none"/>
              </w:rPr>
            </w:pPr>
            <w:r>
              <w:rPr>
                <w:rFonts w:hint="eastAsia" w:ascii="宋体" w:hAnsi="宋体"/>
                <w:color w:val="auto"/>
                <w:sz w:val="24"/>
                <w:szCs w:val="24"/>
                <w:highlight w:val="none"/>
              </w:rPr>
              <w:t>施工设施：</w:t>
            </w:r>
            <w:r>
              <w:rPr>
                <w:rFonts w:hint="eastAsia" w:ascii="宋体" w:hAnsi="宋体" w:cs="宋体"/>
                <w:color w:val="auto"/>
                <w:kern w:val="0"/>
                <w:sz w:val="24"/>
                <w:szCs w:val="24"/>
                <w:highlight w:val="none"/>
              </w:rPr>
              <w:t>专门的施工车辆一</w:t>
            </w:r>
            <w:r>
              <w:rPr>
                <w:rFonts w:hint="eastAsia" w:ascii="宋体" w:hAnsi="宋体"/>
                <w:color w:val="auto"/>
                <w:sz w:val="24"/>
                <w:szCs w:val="24"/>
                <w:highlight w:val="none"/>
              </w:rPr>
              <w:t>辆</w:t>
            </w:r>
            <w:r>
              <w:rPr>
                <w:rFonts w:hint="eastAsia" w:ascii="宋体" w:hAnsi="宋体" w:cs="宋体"/>
                <w:color w:val="auto"/>
                <w:kern w:val="0"/>
                <w:sz w:val="24"/>
                <w:szCs w:val="24"/>
                <w:highlight w:val="none"/>
              </w:rPr>
              <w:t>，应根据任务需要及时加配施工车辆，</w:t>
            </w:r>
            <w:r>
              <w:rPr>
                <w:rFonts w:hint="eastAsia" w:ascii="宋体" w:hAnsi="宋体"/>
                <w:color w:val="auto"/>
                <w:sz w:val="24"/>
                <w:szCs w:val="24"/>
                <w:highlight w:val="none"/>
              </w:rPr>
              <w:t>确保任务完成</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照相机1部</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施工设施达不到标准配置的扣</w:t>
            </w:r>
            <w:r>
              <w:rPr>
                <w:rFonts w:ascii="宋体" w:hAnsi="宋体"/>
                <w:color w:val="auto"/>
                <w:sz w:val="24"/>
                <w:szCs w:val="24"/>
                <w:highlight w:val="none"/>
              </w:rPr>
              <w:t>3</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b/>
                <w:color w:val="auto"/>
                <w:sz w:val="24"/>
                <w:szCs w:val="24"/>
                <w:highlight w:val="none"/>
              </w:rPr>
            </w:pPr>
            <w:r>
              <w:rPr>
                <w:rFonts w:hint="eastAsia" w:ascii="宋体" w:hAnsi="宋体"/>
                <w:color w:val="auto"/>
                <w:sz w:val="24"/>
                <w:szCs w:val="24"/>
                <w:highlight w:val="none"/>
              </w:rPr>
              <w:t>技能培训，公司每季度开展一次理论和实际操作能力培训，同时公司员工应积极参加白蚁防治主管部门组织的理论和实际操作能力培训，不合格的应劝退或辞职，做到持证上岗，无证作业应责令其整改，并停止从事白蚁防治活动等事项</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highlight w:val="none"/>
              </w:rPr>
            </w:pPr>
            <w:r>
              <w:rPr>
                <w:rFonts w:hint="eastAsia" w:ascii="宋体" w:hAnsi="宋体"/>
                <w:color w:val="auto"/>
                <w:sz w:val="24"/>
                <w:szCs w:val="24"/>
                <w:highlight w:val="none"/>
              </w:rPr>
              <w:t>缺一次扣</w:t>
            </w:r>
            <w:r>
              <w:rPr>
                <w:rFonts w:ascii="宋体" w:hAnsi="宋体"/>
                <w:color w:val="auto"/>
                <w:sz w:val="24"/>
                <w:szCs w:val="24"/>
                <w:highlight w:val="none"/>
              </w:rPr>
              <w:t>1</w:t>
            </w:r>
            <w:r>
              <w:rPr>
                <w:rFonts w:hint="eastAsia" w:ascii="宋体" w:hAnsi="宋体"/>
                <w:color w:val="auto"/>
                <w:sz w:val="24"/>
                <w:szCs w:val="24"/>
                <w:highlight w:val="none"/>
              </w:rPr>
              <w:t>分，不参加上级主管部门技能培训的一人次扣</w:t>
            </w:r>
            <w:r>
              <w:rPr>
                <w:rFonts w:ascii="宋体" w:hAnsi="宋体"/>
                <w:color w:val="auto"/>
                <w:sz w:val="24"/>
                <w:szCs w:val="24"/>
                <w:highlight w:val="none"/>
              </w:rPr>
              <w:t>1</w:t>
            </w:r>
            <w:r>
              <w:rPr>
                <w:rFonts w:hint="eastAsia" w:ascii="宋体" w:hAnsi="宋体"/>
                <w:color w:val="auto"/>
                <w:sz w:val="24"/>
                <w:szCs w:val="24"/>
                <w:highlight w:val="none"/>
              </w:rPr>
              <w:t>分，不合格的、不劝退的扣</w:t>
            </w:r>
            <w:r>
              <w:rPr>
                <w:rFonts w:ascii="宋体" w:hAnsi="宋体"/>
                <w:color w:val="auto"/>
                <w:sz w:val="24"/>
                <w:szCs w:val="24"/>
                <w:highlight w:val="none"/>
              </w:rPr>
              <w:t>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规程规章：应有公司章程、公司理念，人员岗位职责，考勤管理制度，安全生产制度和措施，白蚁预防工程回访复查规定，白蚁防治施工规定，白蚁防治安全操作规定，白蚁预防项目台帐，监测装置维护、回访复查项目台帐，白蚁灭治项目台账，药物使用台帐、工程项目进度阅览表，服务质量承诺书等</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缺一项扣1分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企业（公司）每季度工作情况和工作计划，应在月底上报白蚁防治主管单位，应及时上报年度工作总结，努力完成白蚁防治主管单位交办的各项任务</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不及时上报的扣2分，不能按时完成交办的任务每项扣2分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left="840" w:hanging="420"/>
              <w:jc w:val="center"/>
              <w:rPr>
                <w:rFonts w:ascii="宋体" w:hAnsi="宋体"/>
                <w:color w:val="auto"/>
                <w:sz w:val="24"/>
                <w:szCs w:val="24"/>
                <w:highlight w:val="none"/>
              </w:rPr>
            </w:pPr>
          </w:p>
        </w:tc>
        <w:tc>
          <w:tcPr>
            <w:tcW w:w="558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企业（公司）应注重社会效益和企业效益并举。做到遵纪守法，诚实守信，公平竞争，合法经营</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产生严重负面影响的扣10分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99" w:type="dxa"/>
            <w:tcBorders>
              <w:top w:val="single" w:color="auto" w:sz="4" w:space="0"/>
              <w:left w:val="single" w:color="auto" w:sz="4" w:space="0"/>
              <w:bottom w:val="single" w:color="auto" w:sz="4" w:space="0"/>
              <w:right w:val="single" w:color="auto" w:sz="4" w:space="0"/>
            </w:tcBorders>
            <w:noWrap w:val="0"/>
            <w:vAlign w:val="top"/>
          </w:tcPr>
          <w:p>
            <w:pPr>
              <w:ind w:left="840" w:hanging="420"/>
              <w:jc w:val="center"/>
              <w:rPr>
                <w:rFonts w:ascii="宋体" w:hAnsi="宋体"/>
                <w:color w:val="auto"/>
                <w:sz w:val="24"/>
                <w:szCs w:val="24"/>
                <w:highlight w:val="none"/>
              </w:rPr>
            </w:pPr>
          </w:p>
          <w:p>
            <w:pPr>
              <w:ind w:left="840" w:hanging="420"/>
              <w:jc w:val="center"/>
              <w:rPr>
                <w:rFonts w:hint="eastAsia"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备注</w:t>
            </w:r>
          </w:p>
        </w:tc>
        <w:tc>
          <w:tcPr>
            <w:tcW w:w="872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olor w:val="auto"/>
                <w:sz w:val="24"/>
                <w:szCs w:val="24"/>
                <w:highlight w:val="none"/>
              </w:rPr>
            </w:pPr>
            <w:r>
              <w:rPr>
                <w:rFonts w:hint="eastAsia" w:ascii="宋体" w:hAnsi="宋体"/>
                <w:color w:val="auto"/>
                <w:sz w:val="24"/>
                <w:szCs w:val="24"/>
                <w:highlight w:val="none"/>
              </w:rPr>
              <w:t>1.白蚁预防工程项目质量管理40分，35分为合格工程项目，低于35分为不合格工程，不予结算工资，限期整改，并按本工程项目的3倍处罚。</w:t>
            </w:r>
          </w:p>
          <w:p>
            <w:pPr>
              <w:jc w:val="left"/>
              <w:rPr>
                <w:rFonts w:hint="eastAsia" w:ascii="宋体" w:hAnsi="宋体"/>
                <w:color w:val="auto"/>
                <w:sz w:val="24"/>
                <w:szCs w:val="24"/>
                <w:highlight w:val="none"/>
              </w:rPr>
            </w:pPr>
            <w:r>
              <w:rPr>
                <w:rFonts w:hint="eastAsia" w:ascii="宋体" w:hAnsi="宋体"/>
                <w:color w:val="auto"/>
                <w:sz w:val="24"/>
                <w:szCs w:val="24"/>
                <w:highlight w:val="none"/>
              </w:rPr>
              <w:t>2.白蚁预防维护 、回访复查工程项目质量管理10分，8分为合格，低于8分为不合格，不予结算工资，限期整改，并按本工程项目的3倍处罚。填写内容不详实的，弄虚作假的不得分。</w:t>
            </w:r>
          </w:p>
          <w:p>
            <w:pPr>
              <w:jc w:val="left"/>
              <w:rPr>
                <w:rFonts w:hint="eastAsia" w:ascii="宋体" w:hAnsi="宋体"/>
                <w:color w:val="auto"/>
                <w:sz w:val="24"/>
                <w:szCs w:val="24"/>
                <w:highlight w:val="none"/>
              </w:rPr>
            </w:pPr>
            <w:r>
              <w:rPr>
                <w:rFonts w:hint="eastAsia" w:ascii="宋体" w:hAnsi="宋体"/>
                <w:color w:val="auto"/>
                <w:sz w:val="24"/>
                <w:szCs w:val="24"/>
                <w:highlight w:val="none"/>
              </w:rPr>
              <w:t>3.对企业（公司）考核，分四个方面内容组成，按季度考核， 90分为合格。</w:t>
            </w:r>
          </w:p>
          <w:p>
            <w:pPr>
              <w:jc w:val="left"/>
              <w:rPr>
                <w:rFonts w:hint="eastAsia" w:ascii="宋体" w:hAnsi="宋体"/>
                <w:color w:val="auto"/>
                <w:sz w:val="24"/>
                <w:szCs w:val="24"/>
                <w:highlight w:val="none"/>
              </w:rPr>
            </w:pPr>
            <w:r>
              <w:rPr>
                <w:rFonts w:hint="eastAsia" w:ascii="宋体" w:hAnsi="宋体"/>
                <w:color w:val="auto"/>
                <w:sz w:val="24"/>
                <w:szCs w:val="24"/>
                <w:highlight w:val="none"/>
              </w:rPr>
              <w:t>4.白蚁防治主管单位按工作岗位职责分工开展评估考核，每季度月底汇总。</w:t>
            </w:r>
          </w:p>
        </w:tc>
      </w:tr>
    </w:tbl>
    <w:p>
      <w:pPr>
        <w:spacing w:line="440" w:lineRule="exact"/>
        <w:ind w:firstLine="480"/>
        <w:outlineLvl w:val="1"/>
        <w:rPr>
          <w:rFonts w:ascii="宋体" w:hAnsi="宋体" w:cs="宋体"/>
          <w:bCs/>
          <w:color w:val="auto"/>
          <w:sz w:val="24"/>
          <w:szCs w:val="24"/>
          <w:highlight w:val="none"/>
        </w:rPr>
      </w:pPr>
    </w:p>
    <w:p>
      <w:pPr>
        <w:spacing w:before="120" w:beforeLines="50" w:after="120" w:afterLines="50" w:line="440" w:lineRule="exact"/>
        <w:contextualSpacing/>
        <w:jc w:val="both"/>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hint="eastAsia" w:ascii="宋体" w:hAnsi="宋体" w:cs="宋体"/>
          <w:b/>
          <w:bCs/>
          <w:color w:val="auto"/>
          <w:sz w:val="32"/>
          <w:szCs w:val="32"/>
          <w:highlight w:val="none"/>
        </w:rPr>
      </w:pPr>
    </w:p>
    <w:p>
      <w:pPr>
        <w:spacing w:before="120" w:beforeLines="50" w:after="120" w:afterLines="50" w:line="440" w:lineRule="exact"/>
        <w:contextualSpacing/>
        <w:jc w:val="both"/>
        <w:rPr>
          <w:rFonts w:hint="eastAsia" w:ascii="宋体" w:hAnsi="宋体" w:cs="宋体"/>
          <w:b/>
          <w:bCs/>
          <w:color w:val="auto"/>
          <w:sz w:val="32"/>
          <w:szCs w:val="32"/>
          <w:highlight w:val="none"/>
        </w:rPr>
      </w:pPr>
    </w:p>
    <w:p>
      <w:pPr>
        <w:spacing w:before="120" w:beforeLines="50" w:after="120" w:afterLines="50" w:line="440" w:lineRule="exact"/>
        <w:contextualSpacing/>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第三章  投标人须知</w:t>
      </w:r>
    </w:p>
    <w:p>
      <w:pPr>
        <w:snapToGrid w:val="0"/>
        <w:spacing w:before="120" w:beforeLines="50" w:after="120" w:afterLines="50"/>
        <w:ind w:left="238"/>
        <w:outlineLvl w:val="1"/>
        <w:rPr>
          <w:rFonts w:ascii="宋体" w:hAnsi="宋体" w:cs="宋体"/>
          <w:b/>
          <w:color w:val="auto"/>
          <w:sz w:val="24"/>
          <w:highlight w:val="none"/>
        </w:rPr>
      </w:pPr>
      <w:r>
        <w:rPr>
          <w:rFonts w:hint="eastAsia" w:ascii="宋体" w:hAnsi="宋体" w:cs="宋体"/>
          <w:b/>
          <w:color w:val="auto"/>
          <w:sz w:val="24"/>
          <w:highlight w:val="none"/>
        </w:rPr>
        <w:t xml:space="preserve">                                前  附  表</w:t>
      </w:r>
    </w:p>
    <w:tbl>
      <w:tblPr>
        <w:tblStyle w:val="25"/>
        <w:tblW w:w="10050" w:type="dxa"/>
        <w:tblInd w:w="-1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9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东阳市2023年度新建房屋白蚁防治服务采购项目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投标报价及费用：1、本项目投标应以人民币报价；2、不论投标结果如何，投标人均应自行承担所有与投标有关的全部费用；3、投标费用：本项目代理服务费按照本章第五条收费标准向中标单位收取。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本项目已对中小微进行预留，不再重复享受价格扣除的优惠政策。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w:t>
            </w:r>
            <w:r>
              <w:rPr>
                <w:rFonts w:hint="eastAsia" w:ascii="宋体" w:hAnsi="宋体" w:cs="宋体"/>
                <w:color w:val="auto"/>
                <w:sz w:val="24"/>
                <w:highlight w:val="none"/>
                <w:shd w:val="clear" w:color="auto" w:fill="FFFFFF"/>
              </w:rPr>
              <w:t>于</w:t>
            </w:r>
            <w:r>
              <w:rPr>
                <w:rFonts w:hint="eastAsia" w:ascii="宋体" w:hAnsi="宋体" w:cs="宋体"/>
                <w:b/>
                <w:bCs/>
                <w:color w:val="auto"/>
                <w:sz w:val="24"/>
                <w:highlight w:val="none"/>
                <w:u w:val="single"/>
                <w:shd w:val="clear" w:color="auto" w:fill="FFFFFF"/>
              </w:rPr>
              <w:t>质疑期限届满之日</w:t>
            </w:r>
            <w:r>
              <w:rPr>
                <w:rFonts w:hint="eastAsia" w:ascii="宋体" w:hAnsi="宋体" w:cs="宋体"/>
                <w:color w:val="auto"/>
                <w:sz w:val="24"/>
                <w:highlight w:val="none"/>
                <w:shd w:val="clear" w:color="auto" w:fill="FFFFFF"/>
              </w:rPr>
              <w:t>前，</w:t>
            </w:r>
            <w:r>
              <w:rPr>
                <w:rFonts w:hint="eastAsia" w:ascii="宋体" w:hAnsi="宋体" w:cs="宋体"/>
                <w:color w:val="auto"/>
                <w:sz w:val="24"/>
                <w:highlight w:val="none"/>
              </w:rPr>
              <w:t>以书面形式要求招标采购单位作出书面解释、澄清或者向招标采购单位提出书面质疑（</w:t>
            </w:r>
            <w:r>
              <w:rPr>
                <w:rFonts w:hint="eastAsia" w:ascii="宋体" w:hAnsi="宋体" w:cs="宋体"/>
                <w:b/>
                <w:color w:val="auto"/>
                <w:sz w:val="24"/>
                <w:highlight w:val="none"/>
              </w:rPr>
              <w:t>超过此规定时间的质疑函将不予受理）</w:t>
            </w:r>
            <w:r>
              <w:rPr>
                <w:rFonts w:hint="eastAsia" w:ascii="宋体" w:hAnsi="宋体" w:cs="宋体"/>
                <w:color w:val="auto"/>
                <w:sz w:val="24"/>
                <w:highlight w:val="none"/>
              </w:rPr>
              <w:t>；招标采购单位将于</w:t>
            </w:r>
            <w:r>
              <w:rPr>
                <w:rFonts w:hint="eastAsia" w:ascii="宋体" w:hAnsi="宋体" w:cs="宋体"/>
                <w:b/>
                <w:bCs/>
                <w:color w:val="auto"/>
                <w:sz w:val="24"/>
                <w:highlight w:val="none"/>
                <w:u w:val="single"/>
                <w:shd w:val="clear" w:color="auto" w:fill="FFFFFF"/>
              </w:rPr>
              <w:t>答疑期限届满之日</w:t>
            </w:r>
            <w:r>
              <w:rPr>
                <w:rFonts w:hint="eastAsia" w:ascii="宋体" w:hAnsi="宋体" w:cs="宋体"/>
                <w:b/>
                <w:bCs/>
                <w:color w:val="auto"/>
                <w:sz w:val="24"/>
                <w:highlight w:val="none"/>
                <w:shd w:val="clear" w:color="auto" w:fill="FFFFFF"/>
              </w:rPr>
              <w:t>前</w:t>
            </w:r>
            <w:r>
              <w:rPr>
                <w:rFonts w:hint="eastAsia" w:ascii="宋体" w:hAnsi="宋体" w:cs="宋体"/>
                <w:color w:val="auto"/>
                <w:sz w:val="24"/>
                <w:highlight w:val="none"/>
                <w:shd w:val="clear" w:color="auto" w:fill="FFFFFF"/>
              </w:rPr>
              <w:t>将答疑内容以传真或网上发布公告的形式通知所有已报名的投标人；答疑内容是招标</w:t>
            </w:r>
            <w:r>
              <w:rPr>
                <w:rFonts w:hint="eastAsia" w:ascii="宋体" w:hAnsi="宋体" w:cs="宋体"/>
                <w:color w:val="auto"/>
                <w:sz w:val="24"/>
                <w:highlight w:val="none"/>
              </w:rPr>
              <w:t>文件的组成部分；因其他紧急情况影响本项目正常招标活动的，招标采购单位将于投标截止日期5天前书面通知所有已报名的投标人。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耀辉工程咨询有限公司邮箱：1722002832@qq.com，逾期发送或发错后缀名的备份投标文件将被视为无效；</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Cs/>
                <w:color w:val="auto"/>
                <w:sz w:val="24"/>
                <w:highlight w:val="none"/>
                <w:u w:val="single"/>
              </w:rPr>
            </w:pPr>
            <w:r>
              <w:rPr>
                <w:rFonts w:hint="eastAsia" w:ascii="宋体" w:hAnsi="宋体" w:cs="宋体"/>
                <w:color w:val="auto"/>
                <w:sz w:val="24"/>
                <w:highlight w:val="none"/>
              </w:rPr>
              <w:t>投标截止时间：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highlight w:val="none"/>
              </w:rPr>
              <w:t>前在“政采云”</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上自行上传加密的电子投标文件。投标截止时间后递交的电子投标文件，将被政采云平台拒收。</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2、电子备份投标文件的递交时间：投标人应当在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highlight w:val="none"/>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6</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4"/>
                <w:highlight w:val="none"/>
              </w:rPr>
              <w:t>www.zjzfcg.gov.cn</w:t>
            </w:r>
            <w:r>
              <w:rPr>
                <w:rFonts w:hint="eastAsia" w:ascii="宋体" w:hAnsi="宋体" w:cs="宋体"/>
                <w:color w:val="auto"/>
                <w:sz w:val="24"/>
                <w:highlight w:val="none"/>
              </w:rPr>
              <w:fldChar w:fldCharType="end"/>
            </w:r>
            <w:r>
              <w:rPr>
                <w:rFonts w:hint="eastAsia" w:ascii="宋体" w:hAnsi="宋体" w:cs="宋体"/>
                <w:color w:val="auto"/>
                <w:sz w:val="24"/>
                <w:highlight w:val="none"/>
              </w:rPr>
              <w:t>)、东阳市公共资源交易网</w:t>
            </w:r>
            <w:r>
              <w:rPr>
                <w:rFonts w:hint="eastAsia" w:ascii="宋体" w:hAnsi="宋体" w:cs="Arial"/>
                <w:color w:val="auto"/>
                <w:sz w:val="24"/>
                <w:highlight w:val="none"/>
              </w:rPr>
              <w:t>(</w:t>
            </w:r>
            <w:r>
              <w:rPr>
                <w:rFonts w:hint="eastAsia" w:ascii="宋体" w:hAnsi="宋体" w:cs="宋体"/>
                <w:color w:val="auto"/>
                <w:sz w:val="24"/>
                <w:highlight w:val="none"/>
                <w:u w:val="single"/>
              </w:rPr>
              <w:t>http://www.dongyang.gov.cn/ggzyjy/index.html</w:t>
            </w:r>
            <w:r>
              <w:rPr>
                <w:rFonts w:hint="eastAsia" w:ascii="宋体" w:hAnsi="宋体" w:cs="Arial"/>
                <w:color w:val="auto"/>
                <w:sz w:val="24"/>
                <w:highlight w:val="none"/>
              </w:rPr>
              <w:t>)</w:t>
            </w:r>
            <w:r>
              <w:rPr>
                <w:rFonts w:hint="eastAsia" w:ascii="宋体" w:hAnsi="宋体" w:cs="宋体"/>
                <w:color w:val="auto"/>
                <w:sz w:val="24"/>
                <w:highlight w:val="none"/>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
                <w:color w:val="auto"/>
                <w:kern w:val="0"/>
                <w:sz w:val="24"/>
                <w:highlight w:val="none"/>
              </w:rPr>
            </w:pPr>
            <w:r>
              <w:rPr>
                <w:rFonts w:hint="eastAsia" w:ascii="宋体" w:hAnsi="宋体" w:cs="宋体"/>
                <w:b/>
                <w:color w:val="auto"/>
                <w:sz w:val="24"/>
                <w:highlight w:val="none"/>
              </w:rPr>
              <w:t>投标保证金：本项目</w:t>
            </w:r>
            <w:r>
              <w:rPr>
                <w:rFonts w:hint="eastAsia" w:ascii="宋体" w:hAnsi="宋体" w:cs="宋体"/>
                <w:b/>
                <w:color w:val="auto"/>
                <w:kern w:val="0"/>
                <w:sz w:val="24"/>
                <w:highlight w:val="none"/>
              </w:rPr>
              <w:t>不收取投标保证金</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highlight w:val="none"/>
                <w:lang w:eastAsia="zh-CN"/>
              </w:rPr>
            </w:pPr>
            <w:r>
              <w:rPr>
                <w:rFonts w:hint="eastAsia" w:ascii="宋体" w:hAnsi="宋体" w:cs="宋体"/>
                <w:b/>
                <w:color w:val="auto"/>
                <w:kern w:val="0"/>
                <w:sz w:val="24"/>
                <w:highlight w:val="none"/>
              </w:rPr>
              <w:t xml:space="preserve">履约保证金: </w:t>
            </w:r>
            <w:r>
              <w:rPr>
                <w:rFonts w:hint="eastAsia" w:ascii="宋体" w:hAnsi="宋体" w:eastAsia="宋体" w:cs="宋体"/>
                <w:b/>
                <w:color w:val="auto"/>
                <w:kern w:val="0"/>
                <w:sz w:val="24"/>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付款方式：</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新建房屋白蚁防治项目服务费用以中标单价为结算基准价，分配给中标单位施工的项目待施工方案确定后7个工作日内支付</w:t>
            </w:r>
            <w:r>
              <w:rPr>
                <w:rFonts w:hint="eastAsia" w:ascii="宋体" w:hAnsi="宋体" w:cs="宋体"/>
                <w:color w:val="auto"/>
                <w:sz w:val="24"/>
                <w:highlight w:val="none"/>
                <w:lang w:eastAsia="zh-CN"/>
              </w:rPr>
              <w:t>该批次</w:t>
            </w:r>
            <w:r>
              <w:rPr>
                <w:rFonts w:hint="eastAsia" w:ascii="宋体" w:hAnsi="宋体" w:cs="宋体"/>
                <w:color w:val="auto"/>
                <w:sz w:val="24"/>
                <w:highlight w:val="none"/>
              </w:rPr>
              <w:t>合同金额的30%作为服务费预付款（中标单价×数量×30%），服务费由采购单位根据当期业务量和资金落实情况按季度支付剩余的70%，即：</w:t>
            </w:r>
            <w:r>
              <w:rPr>
                <w:rFonts w:hint="eastAsia" w:ascii="宋体" w:hAnsi="宋体" w:cs="宋体"/>
                <w:color w:val="auto"/>
                <w:sz w:val="24"/>
                <w:highlight w:val="none"/>
                <w:lang w:eastAsia="zh-CN"/>
              </w:rPr>
              <w:t>该批次</w:t>
            </w:r>
            <w:r>
              <w:rPr>
                <w:rFonts w:hint="eastAsia" w:ascii="宋体" w:hAnsi="宋体" w:cs="宋体"/>
                <w:color w:val="auto"/>
                <w:sz w:val="24"/>
                <w:highlight w:val="none"/>
              </w:rPr>
              <w:t>完工验收后，7个工作日内付至合同金额的100%。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14</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服务地点：东阳市内，采购人指定的地点。</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w:t>
            </w:r>
            <w:r>
              <w:rPr>
                <w:rFonts w:hint="eastAsia" w:ascii="宋体" w:hAnsi="宋体" w:cs="宋体"/>
                <w:color w:val="auto"/>
                <w:sz w:val="24"/>
                <w:highlight w:val="none"/>
                <w:lang w:eastAsia="zh-CN"/>
              </w:rPr>
              <w:t>本项目以</w:t>
            </w:r>
            <w:r>
              <w:rPr>
                <w:rFonts w:hint="eastAsia" w:ascii="宋体" w:hAnsi="宋体" w:cs="宋体"/>
                <w:color w:val="auto"/>
                <w:sz w:val="24"/>
                <w:highlight w:val="none"/>
                <w:lang w:val="en-US" w:eastAsia="zh-CN"/>
              </w:rPr>
              <w:t>取得上级相关部门审批意见为验收合格。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16</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为扩大政府采购金融服务面，除政采云网上金融服务合作银行外，东阳市范围内增加浙商银行金华分行东阳支行作为线下合作银行。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17</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6"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18</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根据《关于印发中小企业划型标准规定的通知》（工信部联企业〔2011〕300号）,采购标的对应的中小企业划分标准所属行业，本项目属于其他未列明行业；</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20</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节能产品：□ 强制采购节能产品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优先采购节能产品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环境标志产品： </w:t>
            </w: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 优先采购环境标志产品   </w:t>
            </w:r>
            <w:r>
              <w:rPr>
                <w:rFonts w:hint="eastAsia" w:ascii="宋体" w:hAnsi="宋体" w:cs="宋体"/>
                <w:color w:val="auto"/>
                <w:sz w:val="24"/>
                <w:highlight w:val="none"/>
              </w:rPr>
              <w:sym w:font="Wingdings" w:char="00FE"/>
            </w:r>
            <w:r>
              <w:rPr>
                <w:rFonts w:hint="eastAsia" w:ascii="宋体" w:hAnsi="宋体" w:cs="宋体"/>
                <w:color w:val="auto"/>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2"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21</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22</w:t>
            </w:r>
          </w:p>
        </w:tc>
        <w:tc>
          <w:tcPr>
            <w:tcW w:w="9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pPr>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t>注：如本招标文件后面的条款与本表有矛盾的以本表的内容为准。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snapToGrid w:val="0"/>
        <w:spacing w:before="120" w:beforeLines="50" w:line="360" w:lineRule="exact"/>
        <w:ind w:firstLine="354" w:firstLineChars="147"/>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东阳市2023年度新建房屋白蚁防治服务采购项目</w:t>
      </w:r>
      <w:r>
        <w:rPr>
          <w:rFonts w:hint="eastAsia" w:ascii="宋体" w:hAnsi="宋体" w:cs="宋体"/>
          <w:color w:val="auto"/>
          <w:sz w:val="24"/>
          <w:highlight w:val="none"/>
        </w:rPr>
        <w:t>的招标、投标、评标、定标、验收、合同履约、付款等行为（法律、法规另有规定的，从其规定）。</w:t>
      </w:r>
    </w:p>
    <w:p>
      <w:pPr>
        <w:snapToGrid w:val="0"/>
        <w:spacing w:before="120" w:beforeLines="50" w:line="360" w:lineRule="exact"/>
        <w:ind w:firstLine="354" w:firstLineChars="147"/>
        <w:jc w:val="left"/>
        <w:outlineLvl w:val="1"/>
        <w:rPr>
          <w:rFonts w:ascii="宋体" w:hAnsi="宋体" w:cs="宋体"/>
          <w:b/>
          <w:color w:val="auto"/>
          <w:sz w:val="24"/>
          <w:szCs w:val="20"/>
          <w:highlight w:val="none"/>
        </w:rPr>
      </w:pPr>
      <w:r>
        <w:rPr>
          <w:rFonts w:hint="eastAsia" w:ascii="宋体" w:hAnsi="宋体" w:cs="宋体"/>
          <w:b/>
          <w:color w:val="auto"/>
          <w:sz w:val="24"/>
          <w:highlight w:val="none"/>
        </w:rPr>
        <w:t>（二）定义</w:t>
      </w:r>
    </w:p>
    <w:p>
      <w:pPr>
        <w:tabs>
          <w:tab w:val="left" w:pos="345"/>
        </w:tabs>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东阳市房屋征收服务中心（东阳市房地产处）</w:t>
      </w:r>
      <w:r>
        <w:rPr>
          <w:rFonts w:hint="eastAsia" w:ascii="宋体" w:hAnsi="宋体" w:cs="宋体"/>
          <w:color w:val="auto"/>
          <w:sz w:val="24"/>
          <w:highlight w:val="none"/>
        </w:rPr>
        <w:t>（“采购人”）和东阳耀辉工程咨询有限公司（“采购代理机构”）。</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2.“投标人”系指向招标方提交投标文件的单位。</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4.“服务”系指招标文件规定投标人须承担的安装、调试、技术协助、校准、培训、技术指导以及其他类似的义务。</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6.“书面形式”包括信函、传真、邮箱等。</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7.“▲”系指实质性要求条款。</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8.采购项目需要落实的政府采购政策：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支持绿色发展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（3）支持中小企业发展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3.2在政府采购活动中，供应商提供的货物、工程或者服务符合下列情形的，享受中小企业扶持政策：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3.2.1在货物采购项目中，货物由中小企业制造，即货物由中小企业生产且使用该中小企业商号或者注册商标；</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3.2.2在工程采购项目中，工程由中小企业承建，即工程施工单位为中小企业；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3.2.3在服务采购项目中，服务由中小企业承接，即提供服务的人员为中小企业依照《中华人民共和国劳动合同法》订立劳动合同的从业人员。</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3.4符合《关于促进残疾人就业政府采购政策的通知》（财库〔2017〕141号）规定的条件并提供《残疾人福利性单位声明函》（附件1）的残疾人福利性单位视同小型、微型企业。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（4）支持创新发展</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tabs>
          <w:tab w:val="left" w:pos="345"/>
        </w:tabs>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（三）招标方式</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本次招标采用公开招标方式进行。</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（四）投标委托</w:t>
      </w:r>
    </w:p>
    <w:p>
      <w:pPr>
        <w:snapToGrid w:val="0"/>
        <w:spacing w:line="360" w:lineRule="auto"/>
        <w:ind w:firstLine="480" w:firstLineChars="200"/>
        <w:rPr>
          <w:bCs/>
          <w:color w:val="auto"/>
          <w:highlight w:val="none"/>
        </w:rPr>
      </w:pPr>
      <w:r>
        <w:rPr>
          <w:rFonts w:hint="eastAsia" w:ascii="宋体" w:hAnsi="宋体" w:cs="宋体"/>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Cs/>
          <w:color w:val="auto"/>
          <w:sz w:val="24"/>
          <w:highlight w:val="none"/>
        </w:rPr>
        <w:t>、答复</w:t>
      </w:r>
      <w:r>
        <w:rPr>
          <w:rFonts w:hint="eastAsia" w:ascii="宋体" w:hAnsi="宋体" w:cs="宋体"/>
          <w:bCs/>
          <w:color w:val="auto"/>
          <w:sz w:val="24"/>
          <w:highlight w:val="none"/>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pacing w:line="360" w:lineRule="exact"/>
        <w:ind w:firstLine="480" w:firstLineChars="200"/>
        <w:rPr>
          <w:rFonts w:ascii="宋体" w:hAnsi="宋体" w:cs="宋体"/>
          <w:color w:val="auto"/>
          <w:sz w:val="24"/>
          <w:highlight w:val="none"/>
        </w:rPr>
      </w:pPr>
      <w:r>
        <w:rPr>
          <w:rFonts w:hint="eastAsia" w:ascii="宋体" w:hAnsi="宋体" w:cs="Arial"/>
          <w:bCs/>
          <w:color w:val="auto"/>
          <w:sz w:val="24"/>
          <w:highlight w:val="none"/>
        </w:rPr>
        <w:t>投标人未按招标文件要求派代表参加电子开标会议的，视同认可开标结果，不得对开标过程及开标结果提出质疑</w:t>
      </w:r>
      <w:r>
        <w:rPr>
          <w:rFonts w:hint="eastAsia" w:ascii="宋体" w:hAnsi="宋体" w:cs="宋体"/>
          <w:color w:val="auto"/>
          <w:sz w:val="24"/>
          <w:highlight w:val="none"/>
        </w:rPr>
        <w:t>。</w:t>
      </w:r>
    </w:p>
    <w:p>
      <w:pPr>
        <w:snapToGrid w:val="0"/>
        <w:spacing w:before="120" w:beforeLines="50" w:line="360" w:lineRule="exact"/>
        <w:ind w:firstLine="472" w:firstLineChars="196"/>
        <w:jc w:val="left"/>
        <w:outlineLvl w:val="1"/>
        <w:rPr>
          <w:rFonts w:ascii="宋体" w:hAnsi="宋体" w:cs="宋体"/>
          <w:b/>
          <w:color w:val="auto"/>
          <w:sz w:val="24"/>
          <w:szCs w:val="20"/>
          <w:highlight w:val="none"/>
        </w:rPr>
      </w:pPr>
      <w:r>
        <w:rPr>
          <w:rFonts w:hint="eastAsia" w:ascii="宋体" w:hAnsi="宋体" w:cs="宋体"/>
          <w:b/>
          <w:color w:val="auto"/>
          <w:sz w:val="24"/>
          <w:highlight w:val="none"/>
        </w:rPr>
        <w:t>（五）投标费用</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1、不论投标结果如何，投标人均应自行承担所有与投标有关的全部费用（招标文件有相关规定除外）。</w:t>
      </w:r>
    </w:p>
    <w:p>
      <w:pPr>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2、东阳耀辉工程咨询有限公司按差额定率累进法计算（详见本条下列表格收费标准），向中标单位收取中标服务费，在领取中标通知书前交纳。</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360" w:type="dxa"/>
            <w:tcBorders>
              <w:top w:val="single" w:color="auto" w:sz="4" w:space="0"/>
              <w:left w:val="single" w:color="auto" w:sz="4" w:space="0"/>
              <w:bottom w:val="single" w:color="auto" w:sz="4" w:space="0"/>
              <w:right w:val="single" w:color="auto" w:sz="4" w:space="0"/>
            </w:tcBorders>
            <w:vAlign w:val="center"/>
          </w:tcPr>
          <w:p>
            <w:pPr>
              <w:tabs>
                <w:tab w:val="left" w:pos="762"/>
                <w:tab w:val="center" w:pos="2007"/>
              </w:tabs>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收费标准</w:t>
            </w:r>
          </w:p>
        </w:tc>
        <w:tc>
          <w:tcPr>
            <w:tcW w:w="5298" w:type="dxa"/>
            <w:tcBorders>
              <w:top w:val="single" w:color="auto" w:sz="4" w:space="0"/>
              <w:left w:val="single" w:color="auto" w:sz="4" w:space="0"/>
              <w:bottom w:val="single" w:color="auto" w:sz="4" w:space="0"/>
              <w:right w:val="single" w:color="auto" w:sz="4" w:space="0"/>
            </w:tcBorders>
            <w:vAlign w:val="center"/>
          </w:tcPr>
          <w:p>
            <w:pPr>
              <w:tabs>
                <w:tab w:val="left" w:pos="762"/>
                <w:tab w:val="center" w:pos="2007"/>
              </w:tabs>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ab/>
            </w:r>
            <w:r>
              <w:rPr>
                <w:rFonts w:hint="eastAsia" w:ascii="宋体" w:hAnsi="宋体" w:cs="宋体"/>
                <w:bCs/>
                <w:color w:val="auto"/>
                <w:sz w:val="24"/>
                <w:highlight w:val="none"/>
              </w:rPr>
              <w:tab/>
            </w:r>
            <w:r>
              <w:rPr>
                <w:rFonts w:hint="eastAsia" w:ascii="宋体" w:hAnsi="宋体" w:cs="宋体"/>
                <w:bCs/>
                <w:color w:val="auto"/>
                <w:sz w:val="24"/>
                <w:highlight w:val="none"/>
              </w:rPr>
              <w:t xml:space="preserve">    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100万以下</w:t>
            </w:r>
          </w:p>
        </w:tc>
        <w:tc>
          <w:tcPr>
            <w:tcW w:w="5298"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60"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100万元-500万元</w:t>
            </w:r>
          </w:p>
        </w:tc>
        <w:tc>
          <w:tcPr>
            <w:tcW w:w="5298" w:type="dxa"/>
            <w:tcBorders>
              <w:top w:val="single" w:color="auto" w:sz="4" w:space="0"/>
              <w:left w:val="single" w:color="auto" w:sz="4" w:space="0"/>
              <w:bottom w:val="single" w:color="auto" w:sz="4" w:space="0"/>
              <w:right w:val="single" w:color="auto" w:sz="4" w:space="0"/>
            </w:tcBorders>
          </w:tcPr>
          <w:p>
            <w:pPr>
              <w:spacing w:line="360" w:lineRule="exact"/>
              <w:ind w:firstLine="1920" w:firstLineChars="8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0.8%</w:t>
            </w:r>
          </w:p>
        </w:tc>
      </w:tr>
    </w:tbl>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中标服务费由中标人汇至以下账户：</w:t>
      </w:r>
    </w:p>
    <w:p>
      <w:pPr>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账户名称：东阳耀辉工程咨询有限公司</w:t>
      </w:r>
    </w:p>
    <w:p>
      <w:pPr>
        <w:spacing w:line="360" w:lineRule="exact"/>
        <w:ind w:firstLine="480"/>
        <w:rPr>
          <w:rFonts w:ascii="宋体" w:hAnsi="宋体" w:cs="宋体"/>
          <w:color w:val="auto"/>
          <w:sz w:val="24"/>
          <w:highlight w:val="none"/>
        </w:rPr>
      </w:pPr>
      <w:r>
        <w:rPr>
          <w:rFonts w:hint="eastAsia" w:ascii="宋体" w:hAnsi="宋体" w:cs="宋体"/>
          <w:color w:val="auto"/>
          <w:sz w:val="24"/>
          <w:highlight w:val="none"/>
        </w:rPr>
        <w:t>开户银行：中国农业银行东阳吴宁支行</w:t>
      </w:r>
    </w:p>
    <w:p>
      <w:pPr>
        <w:spacing w:line="360" w:lineRule="exact"/>
        <w:ind w:firstLine="480"/>
        <w:rPr>
          <w:rFonts w:ascii="宋体" w:hAnsi="宋体" w:cs="宋体"/>
          <w:b/>
          <w:bCs/>
          <w:color w:val="auto"/>
          <w:sz w:val="24"/>
          <w:highlight w:val="none"/>
        </w:rPr>
      </w:pPr>
      <w:r>
        <w:rPr>
          <w:rFonts w:hint="eastAsia" w:ascii="宋体" w:hAnsi="宋体" w:cs="宋体"/>
          <w:color w:val="auto"/>
          <w:sz w:val="24"/>
          <w:highlight w:val="none"/>
        </w:rPr>
        <w:t>银行账号：</w:t>
      </w:r>
      <w:r>
        <w:rPr>
          <w:rFonts w:hint="eastAsia" w:ascii="宋体" w:hAnsi="宋体" w:cs="宋体"/>
          <w:color w:val="auto"/>
          <w:sz w:val="24"/>
          <w:highlight w:val="none"/>
          <w:u w:val="single"/>
        </w:rPr>
        <w:t>19635601040010736</w:t>
      </w:r>
    </w:p>
    <w:p>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（六）联合体投标</w:t>
      </w:r>
    </w:p>
    <w:p>
      <w:pPr>
        <w:snapToGrid w:val="0"/>
        <w:spacing w:before="120" w:beforeLines="50" w:line="360" w:lineRule="exact"/>
        <w:ind w:firstLine="470" w:firstLineChars="19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w:t>
      </w:r>
      <w:r>
        <w:rPr>
          <w:rFonts w:hint="eastAsia" w:ascii="宋体" w:hAnsi="宋体" w:cs="宋体"/>
          <w:color w:val="auto"/>
          <w:sz w:val="24"/>
          <w:highlight w:val="none"/>
          <w:lang w:eastAsia="zh-CN"/>
        </w:rPr>
        <w:t>（否）</w:t>
      </w:r>
      <w:r>
        <w:rPr>
          <w:rFonts w:hint="eastAsia" w:ascii="宋体" w:hAnsi="宋体" w:cs="宋体"/>
          <w:color w:val="auto"/>
          <w:sz w:val="24"/>
          <w:highlight w:val="none"/>
        </w:rPr>
        <w:t>接受联合体投标。</w:t>
      </w:r>
    </w:p>
    <w:p>
      <w:pPr>
        <w:snapToGrid w:val="0"/>
        <w:spacing w:line="360" w:lineRule="exact"/>
        <w:ind w:firstLine="482" w:firstLineChars="200"/>
        <w:rPr>
          <w:rFonts w:ascii="宋体" w:hAnsi="宋体" w:cs="宋体"/>
          <w:b/>
          <w:color w:val="auto"/>
          <w:kern w:val="0"/>
          <w:sz w:val="24"/>
          <w:szCs w:val="20"/>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pPr>
        <w:snapToGrid w:val="0"/>
        <w:spacing w:line="360" w:lineRule="exact"/>
        <w:ind w:firstLine="480" w:firstLineChars="200"/>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pPr>
        <w:snapToGrid w:val="0"/>
        <w:spacing w:line="360" w:lineRule="exact"/>
        <w:ind w:firstLine="480" w:firstLineChars="200"/>
        <w:rPr>
          <w:rFonts w:hint="eastAsia" w:ascii="宋体" w:hAnsi="宋体" w:eastAsia="宋体" w:cs="宋体"/>
          <w:b/>
          <w:color w:val="auto"/>
          <w:sz w:val="24"/>
          <w:highlight w:val="none"/>
          <w:lang w:eastAsia="zh-CN"/>
        </w:rPr>
      </w:pPr>
      <w:r>
        <w:rPr>
          <w:rFonts w:hint="eastAsia" w:ascii="宋体" w:hAnsi="宋体" w:cs="宋体"/>
          <w:color w:val="auto"/>
          <w:kern w:val="0"/>
          <w:sz w:val="24"/>
          <w:highlight w:val="none"/>
        </w:rPr>
        <w:t>2.本项目分包按照浙财采监[2022]3号文件执行。</w:t>
      </w:r>
    </w:p>
    <w:p>
      <w:pPr>
        <w:snapToGrid w:val="0"/>
        <w:spacing w:before="120" w:beforeLines="50" w:line="360" w:lineRule="exact"/>
        <w:ind w:firstLine="472" w:firstLineChars="196"/>
        <w:jc w:val="left"/>
        <w:outlineLvl w:val="1"/>
        <w:rPr>
          <w:rFonts w:ascii="宋体" w:hAnsi="宋体" w:cs="宋体"/>
          <w:b/>
          <w:color w:val="auto"/>
          <w:sz w:val="24"/>
          <w:highlight w:val="none"/>
        </w:rPr>
      </w:pPr>
      <w:r>
        <w:rPr>
          <w:rFonts w:hint="eastAsia" w:ascii="宋体" w:hAnsi="宋体" w:cs="宋体"/>
          <w:b/>
          <w:color w:val="auto"/>
          <w:sz w:val="24"/>
          <w:highlight w:val="none"/>
        </w:rPr>
        <w:t>（八）特别说明</w:t>
      </w:r>
    </w:p>
    <w:p>
      <w:pPr>
        <w:snapToGrid w:val="0"/>
        <w:spacing w:line="360" w:lineRule="exact"/>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rPr>
        <w:t>.多家投标人参加投标，如其中两家或两家以上投标人的法定代表人为同一人或相互之间存在投资关系且达到控股的，应当按一个投标人认定。</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▲2.投标人投标所使用的资格、信誉、荣誉、业绩与企业认证必须为本投标单位所拥有。</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投标人投标所使用的采购项目实施人员必须为本投标单位员工（或必须为本投标单位或控股公司正式员工）。</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pPr>
        <w:snapToGrid w:val="0"/>
        <w:spacing w:line="360" w:lineRule="exact"/>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.招标方不保证最低报价者为中标方。</w:t>
      </w:r>
    </w:p>
    <w:p>
      <w:pPr>
        <w:snapToGrid w:val="0"/>
        <w:spacing w:line="360" w:lineRule="exact"/>
        <w:ind w:left="2" w:leftChars="1"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.为维护国家利益及招标方自身利益，允许招标方在合同签订之前仍有选择或拒绝任何或全部投标的权力。</w:t>
      </w:r>
    </w:p>
    <w:p>
      <w:pPr>
        <w:snapToGrid w:val="0"/>
        <w:spacing w:line="360" w:lineRule="exact"/>
        <w:ind w:left="2" w:leftChars="1"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pPr>
        <w:snapToGrid w:val="0"/>
        <w:spacing w:line="360" w:lineRule="exact"/>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（九）质疑和投诉</w:t>
      </w:r>
    </w:p>
    <w:p>
      <w:pPr>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ascii="宋体" w:hAnsi="宋体" w:cs="宋体"/>
          <w:color w:val="auto"/>
          <w:sz w:val="24"/>
          <w:highlight w:val="none"/>
        </w:rPr>
        <w:t>投标人对招标采购单位的质疑答复不满意或者招标采购单位未在规定时间内作出答复的，可以在答复期满后十五个工作日内向同级采购监管部门投诉。</w:t>
      </w:r>
    </w:p>
    <w:p>
      <w:pPr>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360" w:lineRule="exact"/>
        <w:ind w:firstLine="480" w:firstLineChars="200"/>
        <w:rPr>
          <w:rFonts w:ascii="宋体" w:hAnsi="宋体" w:cs="宋体"/>
          <w:color w:val="auto"/>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pPr>
        <w:snapToGrid w:val="0"/>
        <w:spacing w:line="360" w:lineRule="exact"/>
        <w:ind w:firstLine="551" w:firstLineChars="196"/>
        <w:outlineLvl w:val="0"/>
        <w:rPr>
          <w:rFonts w:ascii="宋体" w:hAnsi="宋体" w:cs="宋体"/>
          <w:b/>
          <w:color w:val="auto"/>
          <w:sz w:val="28"/>
          <w:szCs w:val="28"/>
          <w:highlight w:val="none"/>
        </w:rPr>
      </w:pPr>
      <w:r>
        <w:rPr>
          <w:rFonts w:hint="eastAsia" w:ascii="宋体" w:hAnsi="宋体" w:cs="宋体"/>
          <w:b/>
          <w:color w:val="auto"/>
          <w:sz w:val="28"/>
          <w:szCs w:val="28"/>
          <w:highlight w:val="none"/>
        </w:rPr>
        <w:t>二、招标文件</w:t>
      </w:r>
    </w:p>
    <w:p>
      <w:pPr>
        <w:snapToGrid w:val="0"/>
        <w:spacing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（一）招标文件的构成。本招标文件由以下部分组成：</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1.招标公告</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2.招标需求</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3.投标人须知</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4.评标办法及标准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6.投标文件格式</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snapToGrid w:val="0"/>
        <w:spacing w:before="120" w:beforeLines="50"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（二）投标人的风险</w:t>
      </w:r>
    </w:p>
    <w:p>
      <w:pPr>
        <w:pStyle w:val="35"/>
        <w:spacing w:line="360" w:lineRule="exact"/>
        <w:jc w:val="left"/>
        <w:rPr>
          <w:rFonts w:ascii="宋体" w:hAnsi="宋体" w:cs="宋体"/>
          <w:color w:val="auto"/>
          <w:spacing w:val="0"/>
          <w:kern w:val="2"/>
          <w:szCs w:val="24"/>
          <w:highlight w:val="none"/>
        </w:rPr>
      </w:pPr>
      <w:r>
        <w:rPr>
          <w:rFonts w:hint="eastAsia" w:ascii="宋体" w:hAnsi="宋体" w:cs="宋体"/>
          <w:color w:val="auto"/>
          <w:spacing w:val="0"/>
          <w:kern w:val="2"/>
          <w:szCs w:val="24"/>
          <w:highlight w:val="none"/>
        </w:rPr>
        <w:t>投标人没有按照招标文件要求提供全部资料，或者投标人没有对招标文件在各方面作出实质性响应是投标人的风险，并可能导致其投标被拒绝。</w:t>
      </w:r>
    </w:p>
    <w:p>
      <w:pPr>
        <w:pStyle w:val="16"/>
        <w:snapToGrid w:val="0"/>
        <w:spacing w:before="120" w:beforeLines="50" w:line="360" w:lineRule="exact"/>
        <w:ind w:left="0" w:leftChars="0"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（三）招标文件的澄清与修改 </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认真阅读本招标文件，发现其中有误或有不合理要求的，投标人应当按照公开招标公告第八条规定以书面形式要求招标方澄清。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4.招标文件的澄清、答复、修改或补充都应该通过本招标机构以法定形式发布，采购人非通过本机构，不得擅自澄清、答复、修改或补充招标文件。</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三、投标文件的编制</w:t>
      </w:r>
    </w:p>
    <w:p>
      <w:pPr>
        <w:snapToGrid w:val="0"/>
        <w:spacing w:line="360" w:lineRule="exact"/>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（一）投标文件的组成</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投标文件由资格审查文件、商务资信技术文件、报价文件三部分组成。</w:t>
      </w:r>
    </w:p>
    <w:p>
      <w:pPr>
        <w:snapToGrid w:val="0"/>
        <w:spacing w:before="120" w:beforeLines="50"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1.资格审查文件：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）中小企业声明函（格式见附件）。</w:t>
      </w:r>
    </w:p>
    <w:p>
      <w:pPr>
        <w:snapToGrid w:val="0"/>
        <w:spacing w:before="120" w:beforeLines="50" w:line="360" w:lineRule="exact"/>
        <w:ind w:left="412" w:leftChars="196"/>
        <w:jc w:val="left"/>
        <w:rPr>
          <w:rFonts w:ascii="宋体" w:hAnsi="宋体" w:cs="宋体"/>
          <w:b/>
          <w:color w:val="auto"/>
          <w:sz w:val="24"/>
          <w:highlight w:val="none"/>
        </w:rPr>
      </w:pPr>
      <w:r>
        <w:rPr>
          <w:rFonts w:hint="eastAsia" w:ascii="宋体" w:hAnsi="宋体" w:cs="宋体"/>
          <w:b/>
          <w:color w:val="auto"/>
          <w:sz w:val="24"/>
          <w:highlight w:val="none"/>
        </w:rPr>
        <w:t>2.商务资信技术文件：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（1）评分响应表（格式见附件）；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（2）投标声明书 (格式见附件)；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（4）投标单位情况表(格式见附件)；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6</w:t>
      </w:r>
      <w:r>
        <w:rPr>
          <w:rFonts w:hint="eastAsia" w:ascii="宋体" w:hAnsi="宋体" w:cs="宋体"/>
          <w:bCs/>
          <w:color w:val="auto"/>
          <w:sz w:val="24"/>
          <w:highlight w:val="none"/>
          <w:lang w:val="zh-CN"/>
        </w:rPr>
        <w:t>）政府采购供应商诚信承诺书（格式见附件）；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（7）承诺书（格式见附件）；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pPr>
        <w:snapToGrid w:val="0"/>
        <w:spacing w:before="120" w:beforeLines="50" w:line="360" w:lineRule="exact"/>
        <w:ind w:left="412" w:leftChars="196"/>
        <w:jc w:val="left"/>
        <w:rPr>
          <w:rFonts w:hint="eastAsia" w:ascii="宋体" w:hAnsi="宋体" w:cs="宋体"/>
          <w:bCs/>
          <w:color w:val="auto"/>
          <w:sz w:val="24"/>
          <w:highlight w:val="none"/>
        </w:rPr>
      </w:pPr>
      <w:r>
        <w:rPr>
          <w:rFonts w:hint="eastAsia" w:ascii="宋体" w:hAnsi="宋体" w:cs="宋体"/>
          <w:bCs/>
          <w:color w:val="auto"/>
          <w:sz w:val="24"/>
          <w:highlight w:val="none"/>
        </w:rPr>
        <w:t>（9）</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)项目实施人员一览表（格式见附件）；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）其它按照评标办法可加分的内容说明、证明文件；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）投标人需要说明的其他文件和说明。</w:t>
      </w:r>
    </w:p>
    <w:p>
      <w:pPr>
        <w:snapToGrid w:val="0"/>
        <w:spacing w:line="360" w:lineRule="exact"/>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t>3.报价文件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 xml:space="preserve">（1）投标函（格式见附件）；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（2）开标一览表（格式见附件）；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（3）投标人针对报价需要说明的其他文件和说明（不允许含报价）。</w:t>
      </w:r>
    </w:p>
    <w:p>
      <w:pPr>
        <w:snapToGrid w:val="0"/>
        <w:spacing w:before="120" w:beforeLines="50" w:line="360" w:lineRule="exact"/>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（二）投标文件的语言及计量</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▲2.投标计量单位，应采用中华人民共和国法定计量单位（货币单位：人民币元），否则视同未响应。</w:t>
      </w:r>
    </w:p>
    <w:p>
      <w:pPr>
        <w:snapToGrid w:val="0"/>
        <w:spacing w:before="120" w:beforeLines="50" w:line="360" w:lineRule="exact"/>
        <w:ind w:firstLine="472" w:firstLineChars="196"/>
        <w:jc w:val="left"/>
        <w:outlineLvl w:val="0"/>
        <w:rPr>
          <w:rFonts w:ascii="宋体" w:hAnsi="宋体" w:cs="宋体"/>
          <w:b/>
          <w:color w:val="auto"/>
          <w:sz w:val="24"/>
          <w:szCs w:val="20"/>
          <w:highlight w:val="none"/>
        </w:rPr>
      </w:pPr>
      <w:r>
        <w:rPr>
          <w:rFonts w:hint="eastAsia" w:ascii="宋体" w:hAnsi="宋体" w:cs="宋体"/>
          <w:b/>
          <w:color w:val="auto"/>
          <w:sz w:val="24"/>
          <w:highlight w:val="none"/>
        </w:rPr>
        <w:t>（三）投标报价</w:t>
      </w:r>
    </w:p>
    <w:p>
      <w:pPr>
        <w:spacing w:line="3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1.投标报价应按招标文件中相关附表格式填写。</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w:t>
      </w:r>
      <w:r>
        <w:rPr>
          <w:rFonts w:hint="eastAsia" w:eastAsia="宋体"/>
          <w:color w:val="auto"/>
          <w:sz w:val="24"/>
          <w:szCs w:val="22"/>
          <w:highlight w:val="none"/>
        </w:rPr>
        <w:t>投标报价为完成本招标文件规定的各项工作内容和要求的单价，包括人员费用、器械费用、药物费用、监测装置费用、合理利润、税金、政策性文件规定及合同包含的所有风险、责任等各项应有费用</w:t>
      </w:r>
      <w:r>
        <w:rPr>
          <w:rFonts w:hint="eastAsia"/>
          <w:color w:val="auto"/>
          <w:sz w:val="24"/>
          <w:szCs w:val="22"/>
          <w:highlight w:val="none"/>
        </w:rPr>
        <w:t>。投标人所投报的投标报价为投标人所能承受的整个项目的最终最低报价，如有漏项，视同已包含在其它项目中，合同价不作调整。</w:t>
      </w:r>
    </w:p>
    <w:p>
      <w:pPr>
        <w:spacing w:line="360" w:lineRule="exact"/>
        <w:ind w:firstLine="240" w:firstLineChars="100"/>
        <w:rPr>
          <w:rFonts w:ascii="宋体" w:hAnsi="宋体" w:cs="宋体"/>
          <w:b/>
          <w:bCs/>
          <w:color w:val="auto"/>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3.高于或等于预算价的按无效标处理。</w:t>
      </w:r>
    </w:p>
    <w:p>
      <w:pPr>
        <w:pStyle w:val="16"/>
        <w:snapToGrid w:val="0"/>
        <w:spacing w:before="120" w:beforeLines="50" w:line="360" w:lineRule="exact"/>
        <w:ind w:left="78" w:leftChars="37" w:firstLine="141" w:firstLineChars="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（四）投标文件的有效期</w:t>
      </w:r>
    </w:p>
    <w:p>
      <w:pPr>
        <w:pStyle w:val="16"/>
        <w:snapToGrid w:val="0"/>
        <w:spacing w:line="360" w:lineRule="exact"/>
        <w:ind w:left="0" w:leftChars="0"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▲1.自投标截止日起</w:t>
      </w:r>
      <w:r>
        <w:rPr>
          <w:rFonts w:hint="eastAsia" w:ascii="宋体" w:hAnsi="宋体" w:eastAsia="宋体" w:cs="宋体"/>
          <w:color w:val="auto"/>
          <w:sz w:val="24"/>
          <w:szCs w:val="24"/>
          <w:highlight w:val="none"/>
          <w:u w:val="single"/>
        </w:rPr>
        <w:t xml:space="preserve"> 60</w:t>
      </w:r>
      <w:r>
        <w:rPr>
          <w:rFonts w:hint="eastAsia" w:ascii="宋体" w:hAnsi="宋体" w:eastAsia="宋体" w:cs="宋体"/>
          <w:color w:val="auto"/>
          <w:sz w:val="24"/>
          <w:szCs w:val="24"/>
          <w:highlight w:val="none"/>
        </w:rPr>
        <w:t>天投标文件应保持有效。有效期不足的投标文件将被拒绝。</w:t>
      </w:r>
    </w:p>
    <w:p>
      <w:pPr>
        <w:pStyle w:val="16"/>
        <w:snapToGrid w:val="0"/>
        <w:spacing w:line="360" w:lineRule="exact"/>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2.在特殊情况下，招标人可与投标人协商延长投标书的有效期，这种要求和答复均以书面形式进行。</w:t>
      </w:r>
    </w:p>
    <w:p>
      <w:pPr>
        <w:snapToGrid w:val="0"/>
        <w:spacing w:line="360" w:lineRule="exact"/>
        <w:ind w:firstLine="480" w:firstLineChars="200"/>
        <w:jc w:val="left"/>
        <w:outlineLvl w:val="0"/>
        <w:rPr>
          <w:rFonts w:ascii="宋体" w:hAnsi="宋体" w:cs="宋体"/>
          <w:b/>
          <w:color w:val="auto"/>
          <w:sz w:val="24"/>
          <w:szCs w:val="20"/>
          <w:highlight w:val="none"/>
        </w:rPr>
      </w:pPr>
      <w:r>
        <w:rPr>
          <w:rFonts w:hint="eastAsia" w:ascii="宋体" w:hAnsi="宋体" w:cs="宋体"/>
          <w:color w:val="auto"/>
          <w:sz w:val="24"/>
          <w:highlight w:val="none"/>
        </w:rPr>
        <w:t>3.投标人可拒绝接受延期要求。同意延长有效期的投标人不能修改投标文件。</w:t>
      </w:r>
    </w:p>
    <w:p>
      <w:pPr>
        <w:snapToGrid w:val="0"/>
        <w:spacing w:line="360" w:lineRule="exact"/>
        <w:ind w:firstLine="480" w:firstLineChars="200"/>
        <w:jc w:val="left"/>
        <w:outlineLvl w:val="0"/>
        <w:rPr>
          <w:rFonts w:ascii="宋体" w:hAnsi="宋体" w:cs="宋体"/>
          <w:b/>
          <w:color w:val="auto"/>
          <w:sz w:val="24"/>
          <w:highlight w:val="none"/>
        </w:rPr>
      </w:pPr>
      <w:r>
        <w:rPr>
          <w:rFonts w:hint="eastAsia" w:ascii="宋体" w:hAnsi="宋体" w:cs="宋体"/>
          <w:color w:val="auto"/>
          <w:sz w:val="24"/>
          <w:highlight w:val="none"/>
        </w:rPr>
        <w:t>4.中标人的投标文件自开标之日起至合同履行完毕止均应保持有效。</w:t>
      </w:r>
    </w:p>
    <w:p>
      <w:pPr>
        <w:snapToGrid w:val="0"/>
        <w:spacing w:before="120" w:beforeLines="50" w:line="360" w:lineRule="exact"/>
        <w:ind w:firstLine="241" w:firstLineChars="100"/>
        <w:jc w:val="left"/>
        <w:outlineLvl w:val="0"/>
        <w:rPr>
          <w:rFonts w:ascii="宋体" w:hAnsi="宋体" w:cs="宋体"/>
          <w:b/>
          <w:color w:val="auto"/>
          <w:sz w:val="24"/>
          <w:szCs w:val="20"/>
          <w:highlight w:val="none"/>
        </w:rPr>
      </w:pPr>
      <w:r>
        <w:rPr>
          <w:rFonts w:hint="eastAsia" w:ascii="宋体" w:hAnsi="宋体" w:cs="宋体"/>
          <w:b/>
          <w:color w:val="auto"/>
          <w:sz w:val="24"/>
          <w:highlight w:val="none"/>
        </w:rPr>
        <w:t>（五）投标文件的签署</w:t>
      </w:r>
    </w:p>
    <w:p>
      <w:pPr>
        <w:snapToGrid w:val="0"/>
        <w:spacing w:line="36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投标人应认真阅读招标文件所有内容，按本招标文件规定的要求、编制顺序和统一格式编制投标文件并标注页码，</w:t>
      </w:r>
      <w:r>
        <w:rPr>
          <w:rFonts w:hint="eastAsia" w:ascii="宋体" w:hAnsi="宋体" w:cs="宋体"/>
          <w:b/>
          <w:bCs/>
          <w:color w:val="auto"/>
          <w:sz w:val="24"/>
          <w:highlight w:val="none"/>
        </w:rPr>
        <w:t>电子投标文件须根据评分标准进行关联定位。</w:t>
      </w:r>
      <w:r>
        <w:rPr>
          <w:rFonts w:hint="eastAsia" w:ascii="宋体" w:hAnsi="宋体" w:cs="宋体"/>
          <w:color w:val="auto"/>
          <w:sz w:val="24"/>
          <w:highlight w:val="none"/>
        </w:rPr>
        <w:t>投标文件因内容不完整、编排混乱，</w:t>
      </w:r>
      <w:r>
        <w:rPr>
          <w:rFonts w:hint="eastAsia" w:ascii="宋体" w:hAnsi="宋体" w:cs="宋体"/>
          <w:b/>
          <w:bCs/>
          <w:color w:val="auto"/>
          <w:sz w:val="24"/>
          <w:highlight w:val="none"/>
        </w:rPr>
        <w:t>或者电子投标文件未按评分标准进行关联定位或者关联定位不准确，</w:t>
      </w:r>
      <w:r>
        <w:rPr>
          <w:rFonts w:hint="eastAsia" w:ascii="宋体" w:hAnsi="宋体" w:cs="宋体"/>
          <w:color w:val="auto"/>
          <w:sz w:val="24"/>
          <w:highlight w:val="none"/>
        </w:rPr>
        <w:t>导致投标文件被误读、漏读或者查找不到相关内容的，是投标人的责任。</w:t>
      </w:r>
      <w:r>
        <w:rPr>
          <w:rFonts w:hint="eastAsia" w:ascii="宋体" w:hAnsi="宋体" w:cs="宋体"/>
          <w:b/>
          <w:color w:val="auto"/>
          <w:sz w:val="24"/>
          <w:highlight w:val="none"/>
        </w:rPr>
        <w:t>电子投标文件须</w:t>
      </w:r>
      <w:r>
        <w:rPr>
          <w:rFonts w:hint="eastAsia" w:ascii="宋体" w:hAnsi="宋体" w:cs="宋体"/>
          <w:b/>
          <w:bCs/>
          <w:color w:val="auto"/>
          <w:sz w:val="24"/>
          <w:highlight w:val="none"/>
        </w:rPr>
        <w:t>按政采云平台供应商项目采购-电子招投标操作指南</w:t>
      </w:r>
      <w:r>
        <w:rPr>
          <w:rFonts w:hint="eastAsia" w:ascii="宋体" w:hAnsi="宋体" w:cs="宋体"/>
          <w:b/>
          <w:color w:val="auto"/>
          <w:sz w:val="24"/>
          <w:highlight w:val="none"/>
        </w:rPr>
        <w:t>及本招标文件要求制作和加密。</w:t>
      </w:r>
      <w:r>
        <w:rPr>
          <w:rFonts w:hint="eastAsia" w:ascii="宋体" w:hAnsi="宋体" w:cs="宋体"/>
          <w:b/>
          <w:bCs/>
          <w:color w:val="auto"/>
          <w:sz w:val="24"/>
          <w:highlight w:val="none"/>
        </w:rPr>
        <w:t>（操作指南下载网址：</w:t>
      </w:r>
    </w:p>
    <w:p>
      <w:pPr>
        <w:snapToGrid w:val="0"/>
        <w:spacing w:line="360" w:lineRule="exact"/>
        <w:jc w:val="left"/>
        <w:rPr>
          <w:rFonts w:ascii="宋体" w:hAnsi="宋体" w:cs="宋体"/>
          <w:color w:val="auto"/>
          <w:sz w:val="24"/>
          <w:highlight w:val="none"/>
        </w:rPr>
      </w:pPr>
      <w:r>
        <w:rPr>
          <w:rFonts w:hint="eastAsia" w:ascii="宋体" w:hAnsi="宋体" w:cs="宋体"/>
          <w:b/>
          <w:bCs/>
          <w:color w:val="auto"/>
          <w:sz w:val="24"/>
          <w:highlight w:val="none"/>
        </w:rPr>
        <w:t>https://help.zcygov.cn/web/site_2/2018/12-28/2573.html）</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2.投标文件需盖章签字的地方必须由投标人法定代表人或法定代表人的授权委托人签署并加盖单位公章，投标人应写全称。</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pPr>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color w:val="auto"/>
          <w:sz w:val="24"/>
          <w:highlight w:val="none"/>
        </w:rPr>
        <w:t>电子投标文件中有签字要求的部分，投标人可以将签字后的扫描件上传至政采云系统，有</w:t>
      </w:r>
      <w:r>
        <w:rPr>
          <w:rFonts w:hint="eastAsia" w:ascii="宋体" w:hAnsi="宋体" w:cs="宋体"/>
          <w:b/>
          <w:color w:val="auto"/>
          <w:sz w:val="24"/>
          <w:highlight w:val="none"/>
        </w:rPr>
        <w:t>盖章要求的部分，</w:t>
      </w:r>
      <w:r>
        <w:rPr>
          <w:rFonts w:hint="eastAsia" w:ascii="宋体" w:hAnsi="宋体" w:cs="宋体"/>
          <w:b/>
          <w:bCs/>
          <w:color w:val="auto"/>
          <w:sz w:val="24"/>
          <w:highlight w:val="none"/>
        </w:rPr>
        <w:t>要求采用CA签章。</w:t>
      </w:r>
      <w:r>
        <w:rPr>
          <w:rFonts w:hint="eastAsia" w:ascii="宋体" w:hAnsi="宋体" w:cs="宋体"/>
          <w:b/>
          <w:color w:val="auto"/>
          <w:sz w:val="24"/>
          <w:highlight w:val="none"/>
        </w:rPr>
        <w:t>投标人应写全称。</w:t>
      </w:r>
    </w:p>
    <w:p>
      <w:pPr>
        <w:snapToGrid w:val="0"/>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highlight w:val="none"/>
        </w:rPr>
        <w:t>（六）投标文件的包装、递交、修改和撤回</w:t>
      </w:r>
    </w:p>
    <w:p>
      <w:pPr>
        <w:spacing w:line="360" w:lineRule="exact"/>
        <w:ind w:firstLine="495"/>
        <w:rPr>
          <w:rFonts w:ascii="宋体" w:hAnsi="宋体" w:cs="宋体"/>
          <w:color w:val="auto"/>
          <w:sz w:val="24"/>
          <w:highlight w:val="none"/>
        </w:rPr>
      </w:pPr>
      <w:r>
        <w:rPr>
          <w:rFonts w:hint="eastAsia" w:ascii="宋体" w:hAnsi="宋体" w:cs="宋体"/>
          <w:color w:val="auto"/>
          <w:sz w:val="24"/>
          <w:highlight w:val="none"/>
        </w:rPr>
        <w:t>1.投标人应当在投标截止时间前在“政采云”（电子交易平台）上自行上传加密的电子投标文件。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3.投标人未在“政采云”（电子交易平台）上自行上传加密的电子投标文件，仅提交电子备份投标文件的，投标无效。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（七）投标无效的情形</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pPr>
        <w:spacing w:line="400" w:lineRule="exact"/>
        <w:ind w:firstLine="482" w:firstLineChars="200"/>
        <w:rPr>
          <w:rFonts w:ascii="宋体" w:hAnsi="宋体" w:cs="宋体"/>
          <w:color w:val="auto"/>
          <w:sz w:val="22"/>
          <w:highlight w:val="none"/>
          <w:u w:val="single"/>
        </w:rPr>
      </w:pPr>
      <w:r>
        <w:rPr>
          <w:rFonts w:hint="eastAsia" w:ascii="宋体" w:hAnsi="宋体" w:cs="宋体"/>
          <w:b/>
          <w:bCs/>
          <w:color w:val="auto"/>
          <w:sz w:val="24"/>
          <w:highlight w:val="none"/>
        </w:rPr>
        <w:t>1.在资格审查时，如发现下列情形之一的，投标无效：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（1）资格审查材料不全的，或者不符合招标文件要求的；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（2）资格审查材料未按招标文件要求签署、盖章的；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（3）不具备招标文件中规定的资格条件的；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（4）经查询存在不良信用记录的；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（5）联合体投标的未提供</w:t>
      </w:r>
      <w:r>
        <w:rPr>
          <w:rFonts w:hint="eastAsia" w:ascii="宋体" w:hAnsi="宋体" w:cs="宋体"/>
          <w:color w:val="auto"/>
          <w:sz w:val="24"/>
          <w:highlight w:val="none"/>
          <w:lang w:val="zh-CN"/>
        </w:rPr>
        <w:t>联合体协议书的</w:t>
      </w:r>
      <w:r>
        <w:rPr>
          <w:rFonts w:hint="eastAsia" w:ascii="宋体" w:hAnsi="宋体" w:cs="宋体"/>
          <w:color w:val="auto"/>
          <w:sz w:val="24"/>
          <w:highlight w:val="none"/>
        </w:rPr>
        <w:t>；</w:t>
      </w:r>
    </w:p>
    <w:p>
      <w:pPr>
        <w:spacing w:line="3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（6）联合体各方在同一招标项目中以自己名义单独投标或者参加其他联合体投标的，相关投标均无效。</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2.在符合性审查和商务评审时，如发现下列情形之一的，投标文件将被视为无效：</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（4）资信及商务标内有商务报价出现的；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（5）超出经营范围投标的；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（6）资格证明文件不全的，或者不符合招标文件标明的资格要求的；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（7）本招标文件明确规定投标文件需要投标人签字、盖章的地方，投标人没有按招标文件的规定进行签字、盖章的,或未提供法定代表人授权委托书、投标声明书或者填写项目不齐全的，或则授权委托书无效的；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（8）投标文件无法定代表人签字,或未提供法定代表人授权委托书、投标声明书或者填写项目不齐全的；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（9）投标文件的实质性内容未使用中文表述、意思表述不明确、前后矛盾或者使用计量单位不符合招标文件要求的（经评标委员会认定并允许其当场更正的笔误除外）；</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（10）投标有效期、服务期（交货期）、质保期、付款方式等商务条款不能满足招标文件要求的；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（11）未实质性响应招标文件中标有“▲”条款要求的；</w:t>
      </w:r>
    </w:p>
    <w:p>
      <w:pPr>
        <w:pStyle w:val="7"/>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（12）投标文件有招标方不能接受的附加条件的；</w:t>
      </w:r>
    </w:p>
    <w:p>
      <w:pPr>
        <w:pStyle w:val="7"/>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（13）电子投标文件未按规定要求提供电子签章的。</w:t>
      </w:r>
    </w:p>
    <w:p>
      <w:pPr>
        <w:pStyle w:val="7"/>
        <w:snapToGrid w:val="0"/>
        <w:spacing w:line="360" w:lineRule="exact"/>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3.在技术评审时，如发现下列情形之一的，投标文件将被视为无效：</w:t>
      </w:r>
    </w:p>
    <w:p>
      <w:pPr>
        <w:snapToGrid w:val="0"/>
        <w:spacing w:line="360" w:lineRule="exact"/>
        <w:ind w:firstLine="480" w:firstLineChars="200"/>
        <w:rPr>
          <w:rFonts w:ascii="宋体" w:hAnsi="宋体" w:cs="宋体"/>
          <w:color w:val="auto"/>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pPr>
        <w:snapToGrid w:val="0"/>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（2）技术标内有商务报价出现的；</w:t>
      </w:r>
    </w:p>
    <w:p>
      <w:pPr>
        <w:pStyle w:val="7"/>
        <w:snapToGrid w:val="0"/>
        <w:spacing w:line="360" w:lineRule="exact"/>
        <w:ind w:firstLine="454" w:firstLineChars="196"/>
        <w:rPr>
          <w:rFonts w:hint="eastAsia" w:hAnsi="宋体" w:cs="宋体"/>
          <w:color w:val="auto"/>
          <w:sz w:val="24"/>
          <w:highlight w:val="none"/>
        </w:rPr>
      </w:pPr>
      <w:r>
        <w:rPr>
          <w:rFonts w:hint="eastAsia" w:hAnsi="宋体" w:cs="宋体"/>
          <w:color w:val="auto"/>
          <w:sz w:val="24"/>
          <w:szCs w:val="24"/>
          <w:highlight w:val="none"/>
        </w:rPr>
        <w:t>（3）</w:t>
      </w:r>
      <w:r>
        <w:rPr>
          <w:rFonts w:hint="eastAsia" w:hAnsi="宋体" w:cs="宋体"/>
          <w:color w:val="auto"/>
          <w:sz w:val="24"/>
          <w:highlight w:val="none"/>
        </w:rPr>
        <w:t>投标技术方案不明确，存在一个或一个以上备选（替代）投标方案的；</w:t>
      </w:r>
    </w:p>
    <w:p>
      <w:pPr>
        <w:pStyle w:val="6"/>
        <w:spacing w:line="360" w:lineRule="exact"/>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（4）与其他参加本次投标供应商的投标文件（技术文件）的文字表述内容相同连续20行以上或者差错相同2处以上的；</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4.在报价评审时，如发现下列情形之一的，投标文件将被视为无效：</w:t>
      </w:r>
    </w:p>
    <w:p>
      <w:pPr>
        <w:pStyle w:val="7"/>
        <w:snapToGrid w:val="0"/>
        <w:spacing w:line="360" w:lineRule="exact"/>
        <w:ind w:firstLine="464" w:firstLineChars="200"/>
        <w:rPr>
          <w:rFonts w:hAnsi="宋体" w:cs="宋体"/>
          <w:color w:val="auto"/>
          <w:sz w:val="24"/>
          <w:highlight w:val="none"/>
        </w:rPr>
      </w:pPr>
      <w:r>
        <w:rPr>
          <w:rFonts w:hint="eastAsia" w:hAnsi="宋体" w:cs="宋体"/>
          <w:color w:val="auto"/>
          <w:sz w:val="24"/>
          <w:highlight w:val="none"/>
        </w:rPr>
        <w:t>（1）投标人未在规定的时间内对电子询标函进行澄清回复、拒绝澄清回复或者澄清回复的内容改变了投标文件的实质性内容的；</w:t>
      </w:r>
    </w:p>
    <w:p>
      <w:pPr>
        <w:pStyle w:val="7"/>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（2）未按照招标文件标明的格式报价的；</w:t>
      </w:r>
    </w:p>
    <w:p>
      <w:pPr>
        <w:pStyle w:val="7"/>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（3）报价</w:t>
      </w:r>
      <w:r>
        <w:rPr>
          <w:rFonts w:hint="eastAsia" w:hAnsi="宋体" w:cs="宋体"/>
          <w:color w:val="auto"/>
          <w:sz w:val="24"/>
          <w:highlight w:val="none"/>
        </w:rPr>
        <w:t>超出限价的</w:t>
      </w:r>
      <w:r>
        <w:rPr>
          <w:rFonts w:hint="eastAsia" w:hAnsi="宋体" w:cs="宋体"/>
          <w:color w:val="auto"/>
          <w:sz w:val="24"/>
          <w:szCs w:val="24"/>
          <w:highlight w:val="none"/>
        </w:rPr>
        <w:t>；</w:t>
      </w:r>
    </w:p>
    <w:p>
      <w:pPr>
        <w:pStyle w:val="7"/>
        <w:snapToGrid w:val="0"/>
        <w:spacing w:line="360" w:lineRule="exact"/>
        <w:ind w:firstLine="454" w:firstLineChars="196"/>
        <w:rPr>
          <w:rFonts w:hAnsi="宋体" w:cs="宋体"/>
          <w:color w:val="auto"/>
          <w:sz w:val="24"/>
          <w:szCs w:val="24"/>
          <w:highlight w:val="none"/>
        </w:rPr>
      </w:pPr>
      <w:r>
        <w:rPr>
          <w:rFonts w:hint="eastAsia" w:hAnsi="宋体" w:cs="宋体"/>
          <w:color w:val="auto"/>
          <w:sz w:val="24"/>
          <w:szCs w:val="24"/>
          <w:highlight w:val="none"/>
        </w:rPr>
        <w:t>（4）投标报价具有选择性的；</w:t>
      </w:r>
    </w:p>
    <w:p>
      <w:pPr>
        <w:pStyle w:val="7"/>
        <w:snapToGrid w:val="0"/>
        <w:spacing w:line="360" w:lineRule="exact"/>
        <w:ind w:firstLine="457" w:firstLineChars="196"/>
        <w:rPr>
          <w:rFonts w:hAnsi="宋体" w:cs="宋体"/>
          <w:b/>
          <w:bCs/>
          <w:color w:val="auto"/>
          <w:sz w:val="24"/>
          <w:szCs w:val="24"/>
          <w:highlight w:val="none"/>
        </w:rPr>
      </w:pPr>
      <w:r>
        <w:rPr>
          <w:rFonts w:hint="eastAsia" w:hAnsi="宋体" w:cs="宋体"/>
          <w:b/>
          <w:bCs/>
          <w:color w:val="auto"/>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电子投标文件解密失败的，且未在规定时间内提交电子备份投标文件的；</w:t>
      </w:r>
    </w:p>
    <w:p>
      <w:pPr>
        <w:widowControl/>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b/>
          <w:bCs/>
          <w:color w:val="auto"/>
          <w:sz w:val="24"/>
          <w:highlight w:val="none"/>
        </w:rPr>
        <w:t>电子投标文件未按规定要求进行签字、电子签章的。</w:t>
      </w:r>
    </w:p>
    <w:p>
      <w:pPr>
        <w:snapToGrid w:val="0"/>
        <w:spacing w:after="120"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5.被拒绝的投标文件为无效。</w:t>
      </w:r>
    </w:p>
    <w:p>
      <w:pPr>
        <w:snapToGrid w:val="0"/>
        <w:spacing w:before="120" w:beforeLines="50" w:line="360" w:lineRule="exact"/>
        <w:ind w:firstLine="472" w:firstLineChars="196"/>
        <w:jc w:val="left"/>
        <w:outlineLvl w:val="0"/>
        <w:rPr>
          <w:rFonts w:ascii="宋体" w:hAnsi="宋体" w:cs="宋体"/>
          <w:b/>
          <w:color w:val="auto"/>
          <w:sz w:val="24"/>
          <w:highlight w:val="none"/>
        </w:rPr>
      </w:pPr>
      <w:r>
        <w:rPr>
          <w:rFonts w:hint="eastAsia" w:ascii="宋体" w:hAnsi="宋体" w:cs="宋体"/>
          <w:b/>
          <w:color w:val="auto"/>
          <w:sz w:val="24"/>
          <w:highlight w:val="none"/>
        </w:rPr>
        <w:t>6.根据有关法律、法规规定为无效、废标的，按法律、法规规定执行。</w:t>
      </w:r>
    </w:p>
    <w:p>
      <w:pPr>
        <w:snapToGrid w:val="0"/>
        <w:spacing w:before="120" w:beforeLines="50" w:line="360" w:lineRule="exact"/>
        <w:ind w:firstLine="551" w:firstLineChars="196"/>
        <w:jc w:val="left"/>
        <w:outlineLvl w:val="0"/>
        <w:rPr>
          <w:rFonts w:ascii="宋体" w:hAnsi="宋体" w:cs="宋体"/>
          <w:b/>
          <w:color w:val="auto"/>
          <w:sz w:val="28"/>
          <w:szCs w:val="28"/>
          <w:highlight w:val="none"/>
        </w:rPr>
      </w:pPr>
      <w:r>
        <w:rPr>
          <w:rFonts w:hint="eastAsia" w:ascii="宋体" w:hAnsi="宋体" w:cs="宋体"/>
          <w:b/>
          <w:color w:val="auto"/>
          <w:sz w:val="28"/>
          <w:szCs w:val="28"/>
          <w:highlight w:val="none"/>
        </w:rPr>
        <w:t>四、开标</w:t>
      </w:r>
    </w:p>
    <w:p>
      <w:pPr>
        <w:spacing w:line="36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（一）开标准备   </w:t>
      </w:r>
    </w:p>
    <w:p>
      <w:pPr>
        <w:spacing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pPr>
        <w:spacing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投标人未按招标文件要求派代表参加电子开标会议的，视同认可开标结果，不得对开标过程及开标结果提出质疑。</w:t>
      </w:r>
    </w:p>
    <w:p>
      <w:pPr>
        <w:spacing w:line="36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（二）电子招投标开标程序</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2.主持人介绍参加开标会的人员名单； </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3.主持人宣布评标室会议纪律及评标期间的有关事项；告知应当回避的情形,提请有关人员回避；</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4.开标及评审程序</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（1）在开标时间截止后30分钟内由各投标人自行对投标文件进行解密；</w:t>
      </w:r>
    </w:p>
    <w:p>
      <w:pPr>
        <w:spacing w:line="360" w:lineRule="exact"/>
        <w:ind w:left="479" w:leftChars="114" w:hanging="240" w:hangingChars="100"/>
        <w:rPr>
          <w:rFonts w:ascii="宋体" w:hAnsi="宋体" w:cs="宋体"/>
          <w:color w:val="auto"/>
          <w:sz w:val="24"/>
          <w:highlight w:val="none"/>
        </w:rPr>
      </w:pPr>
      <w:r>
        <w:rPr>
          <w:rFonts w:hint="eastAsia" w:ascii="宋体" w:hAnsi="宋体" w:cs="宋体"/>
          <w:color w:val="auto"/>
          <w:sz w:val="24"/>
          <w:highlight w:val="none"/>
        </w:rPr>
        <w:t>（2）由采购人或代理机构进行资格审查，通过资格审查的投标人进入商务技术响应</w:t>
      </w:r>
    </w:p>
    <w:p>
      <w:pPr>
        <w:spacing w:line="360" w:lineRule="exact"/>
        <w:ind w:left="479" w:leftChars="114" w:hanging="240" w:hangingChars="100"/>
        <w:rPr>
          <w:rFonts w:ascii="宋体" w:hAnsi="宋体" w:cs="宋体"/>
          <w:color w:val="auto"/>
          <w:sz w:val="24"/>
          <w:highlight w:val="none"/>
        </w:rPr>
      </w:pPr>
      <w:r>
        <w:rPr>
          <w:rFonts w:hint="eastAsia" w:ascii="宋体" w:hAnsi="宋体" w:cs="宋体"/>
          <w:color w:val="auto"/>
          <w:sz w:val="24"/>
          <w:highlight w:val="none"/>
        </w:rPr>
        <w:t>文件进行评审；</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（3）系统对各投标人的商务资信技术进行汇总；</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（4）在系统上公开报价开标情况；</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（5）评标委员会对报价情况进行评审；</w:t>
      </w:r>
    </w:p>
    <w:p>
      <w:pPr>
        <w:spacing w:line="36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（6）在系统上公布评审结果。</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5.本项目采用政采云电子招投标开标及评审程序，开评标时出现电子投标文件无法解密或解密失败等情况时，采购代理机构可上传投标人的电子备份投标文件继续评审。</w:t>
      </w:r>
    </w:p>
    <w:p>
      <w:pPr>
        <w:snapToGrid w:val="0"/>
        <w:spacing w:line="360" w:lineRule="exact"/>
        <w:ind w:left="842" w:leftChars="267" w:hanging="281" w:hangingChars="10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五、评标</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（一）组建评标委员会</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人，共</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人组成。</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（二）评标的方式</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评标程序</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1.形式审查</w:t>
      </w:r>
    </w:p>
    <w:p>
      <w:pPr>
        <w:snapToGrid w:val="0"/>
        <w:spacing w:line="360" w:lineRule="exact"/>
        <w:ind w:firstLine="480" w:firstLineChars="200"/>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pPr>
        <w:snapToGrid w:val="0"/>
        <w:spacing w:line="360" w:lineRule="exact"/>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（1）评标委员会审查投标文件的实质性内容是否符合招标文件的实质性要求；</w:t>
      </w:r>
    </w:p>
    <w:p>
      <w:pPr>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exact"/>
        <w:ind w:firstLine="482" w:firstLineChars="200"/>
        <w:rPr>
          <w:rFonts w:ascii="宋体" w:hAnsi="宋体" w:cs="宋体"/>
          <w:color w:val="auto"/>
          <w:highlight w:val="none"/>
        </w:rPr>
      </w:pPr>
      <w:r>
        <w:rPr>
          <w:rFonts w:hint="eastAsia" w:ascii="宋体" w:hAnsi="宋体" w:cs="宋体"/>
          <w:b/>
          <w:bCs/>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（4）招标方工作人员协助评标委员会审核投标报价有无计算错误，政采云系统根据本项目的评分标准计算各投标人的报价得分；</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（5）评标委员会完成评标后,招标方工作人员通过政采云系统对各部分得分进行汇</w:t>
      </w:r>
    </w:p>
    <w:p>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总,计算出本项目最终得分。评标委员会按评标原则推荐中标候选人并起草评标报告。</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（四）澄清问题的形式</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exact"/>
        <w:ind w:left="720" w:leftChars="228" w:hanging="241" w:hangingChars="100"/>
        <w:rPr>
          <w:rFonts w:ascii="宋体" w:hAnsi="宋体" w:cs="宋体"/>
          <w:b/>
          <w:color w:val="auto"/>
          <w:sz w:val="24"/>
          <w:highlight w:val="none"/>
        </w:rPr>
      </w:pPr>
      <w:r>
        <w:rPr>
          <w:rFonts w:hint="eastAsia" w:ascii="宋体" w:hAnsi="宋体" w:cs="宋体"/>
          <w:b/>
          <w:color w:val="auto"/>
          <w:sz w:val="24"/>
          <w:highlight w:val="none"/>
        </w:rPr>
        <w:t>（五）错误修正</w:t>
      </w:r>
    </w:p>
    <w:p>
      <w:pPr>
        <w:snapToGrid w:val="0"/>
        <w:spacing w:line="360" w:lineRule="exact"/>
        <w:ind w:left="719" w:leftChars="228" w:hanging="240" w:hangingChars="10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5.对不同文字文本投标文件的解释发生异议的，以中文文本为准。</w:t>
      </w:r>
    </w:p>
    <w:p>
      <w:pPr>
        <w:tabs>
          <w:tab w:val="left" w:pos="630"/>
        </w:tabs>
        <w:snapToGrid w:val="0"/>
        <w:spacing w:line="360" w:lineRule="exact"/>
        <w:ind w:firstLine="470" w:firstLineChars="196"/>
        <w:rPr>
          <w:rFonts w:ascii="宋体" w:hAnsi="宋体" w:cs="宋体"/>
          <w:b/>
          <w:color w:val="auto"/>
          <w:sz w:val="24"/>
          <w:highlight w:val="none"/>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pPr>
        <w:tabs>
          <w:tab w:val="left" w:pos="630"/>
        </w:tabs>
        <w:snapToGrid w:val="0"/>
        <w:spacing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（六）评标原则和评标办法</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1.评审专家必须公平、公正评审，遵纪守法，客观、廉洁地履行职责。</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2.评审专家在评审开始前，应关闭并上交随身携带的各种通信工具。</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3.评审专家在评审过程中，未经许可不得中途离开评审现场，不得迟到早退。</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4.评审专家和工作人员不得透露评审过程中的讨论情况和评审结果。</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6.采购人、采购代理机构不得向评审委员会的评审专家作倾向性、误导性的解释或者说明。</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8.评审专家在评审过程中不得将自己的观点强加给其他评审专家，评审专家应自主发表见解，对评审意见承担个人责任。</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11.评审专家应当遵守评审工作纪律，不得泄露评审文件、评审情况和评审中获悉的商业秘密。</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评审委员会在评审过程中发现投标人有行贿、提供虚假材料或者串通等违法行为的，应当及时向财政部门报告。</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12.招标文件内容违反国家有关强制性规定的，评审委员会应当停止评审并向采购代理机构说明情况。</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13.评审专家应当配合采购代理机构答复投标人提出的质疑。</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14.评审专家应当配合财政部门的投诉处理工作。</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15.评审专家有如下行为之一的，责令改正，给予警告，可以并处一千元以下的罚款：</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①明知应当回避而未主动回避的；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②在得知自己为评审专家身份后至评审结束前时段内私下接触投标人的；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③在评审过程中擅离职守，影响评审程序正常进行的；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④在评审过程有明显不合理或者不正当倾向性的；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⑤未按招标文件规定的评审方法和标准进行评审的；</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⑥上述①至⑤行为影响中标结果的，中标结果无效。</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政府采购评审专家与投标人存在利害关系未回避的，处2万元以上5万元以下的罚款，禁止其参加政府采购评审活动。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政府采购评审专家有上述违法行为的，其评审意见无效，不得获取评审费；有违法所得的，没收违法所得；给他人造成损失的，依法承担民事责任。</w:t>
      </w:r>
    </w:p>
    <w:p>
      <w:pPr>
        <w:tabs>
          <w:tab w:val="left" w:pos="630"/>
        </w:tabs>
        <w:snapToGrid w:val="0"/>
        <w:spacing w:line="36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17.评标办法。本项目评标办法是：综合评分法 ，具体评标内容及评分标准等详见《第四章：评标办法及评分标准》。</w:t>
      </w:r>
    </w:p>
    <w:p>
      <w:pPr>
        <w:snapToGrid w:val="0"/>
        <w:spacing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（七）评标过程的监控</w:t>
      </w:r>
    </w:p>
    <w:p>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（八）其他</w:t>
      </w:r>
    </w:p>
    <w:p>
      <w:pPr>
        <w:spacing w:line="3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pPr>
        <w:spacing w:line="36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pPr>
        <w:spacing w:line="360" w:lineRule="exact"/>
        <w:ind w:firstLine="470" w:firstLineChars="196"/>
        <w:rPr>
          <w:rFonts w:ascii="宋体" w:hAnsi="宋体" w:cs="宋体"/>
          <w:color w:val="auto"/>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六、定标</w:t>
      </w:r>
    </w:p>
    <w:p>
      <w:pPr>
        <w:snapToGrid w:val="0"/>
        <w:spacing w:line="360" w:lineRule="exact"/>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（一）确定中标人。本项目由采购人授权评标委员会确定中标人。</w:t>
      </w:r>
    </w:p>
    <w:p>
      <w:pPr>
        <w:spacing w:line="360" w:lineRule="exact"/>
        <w:ind w:left="-178" w:leftChars="-85" w:firstLine="588" w:firstLineChars="245"/>
        <w:rPr>
          <w:rFonts w:ascii="宋体" w:hAnsi="宋体" w:cs="宋体"/>
          <w:bCs/>
          <w:color w:val="auto"/>
          <w:sz w:val="24"/>
          <w:highlight w:val="none"/>
        </w:rPr>
      </w:pPr>
      <w:r>
        <w:rPr>
          <w:rFonts w:hint="eastAsia" w:ascii="宋体" w:hAnsi="宋体" w:cs="宋体"/>
          <w:bCs/>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pPr>
        <w:keepLines w:val="0"/>
        <w:pageBreakBefore w:val="0"/>
        <w:kinsoku/>
        <w:wordWrap/>
        <w:overflowPunct/>
        <w:topLinePunct w:val="0"/>
        <w:autoSpaceDE/>
        <w:autoSpaceDN/>
        <w:bidi w:val="0"/>
        <w:spacing w:line="360" w:lineRule="exact"/>
        <w:ind w:firstLine="240" w:firstLineChars="100"/>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pacing w:val="-6"/>
          <w:sz w:val="24"/>
          <w:highlight w:val="none"/>
        </w:rPr>
        <w:t>排名</w:t>
      </w:r>
      <w:r>
        <w:rPr>
          <w:rFonts w:hint="eastAsia" w:ascii="宋体" w:hAnsi="宋体" w:cs="宋体"/>
          <w:bCs/>
          <w:color w:val="auto"/>
          <w:spacing w:val="-6"/>
          <w:sz w:val="24"/>
          <w:highlight w:val="none"/>
          <w:lang w:eastAsia="zh-CN"/>
        </w:rPr>
        <w:t>前三</w:t>
      </w:r>
      <w:r>
        <w:rPr>
          <w:rFonts w:hint="eastAsia" w:ascii="宋体" w:hAnsi="宋体" w:cs="宋体"/>
          <w:bCs/>
          <w:color w:val="auto"/>
          <w:spacing w:val="-6"/>
          <w:sz w:val="24"/>
          <w:highlight w:val="none"/>
        </w:rPr>
        <w:t>的候选供应商，因自身原因放弃中标成交或因不可抗力不能履行合同的</w:t>
      </w:r>
      <w:r>
        <w:rPr>
          <w:rFonts w:hint="eastAsia" w:ascii="宋体" w:hAnsi="宋体" w:cs="宋体"/>
          <w:bCs/>
          <w:color w:val="auto"/>
          <w:sz w:val="24"/>
          <w:highlight w:val="none"/>
        </w:rPr>
        <w:t>；</w:t>
      </w:r>
    </w:p>
    <w:p>
      <w:pPr>
        <w:keepLines w:val="0"/>
        <w:pageBreakBefore w:val="0"/>
        <w:kinsoku/>
        <w:wordWrap/>
        <w:overflowPunct/>
        <w:topLinePunct w:val="0"/>
        <w:autoSpaceDE/>
        <w:autoSpaceDN/>
        <w:bidi w:val="0"/>
        <w:spacing w:line="360" w:lineRule="exact"/>
        <w:ind w:firstLine="240" w:firstLineChars="100"/>
        <w:textAlignment w:val="auto"/>
        <w:rPr>
          <w:rFonts w:hint="eastAsia" w:ascii="宋体" w:hAnsi="宋体" w:cs="宋体"/>
          <w:bCs/>
          <w:color w:val="auto"/>
          <w:sz w:val="24"/>
          <w:highlight w:val="none"/>
        </w:rPr>
      </w:pPr>
      <w:r>
        <w:rPr>
          <w:rFonts w:hint="eastAsia" w:ascii="宋体" w:hAnsi="宋体" w:cs="宋体"/>
          <w:bCs/>
          <w:color w:val="auto"/>
          <w:sz w:val="24"/>
          <w:highlight w:val="none"/>
        </w:rPr>
        <w:t>（2）经质疑，采购组织机构审查确认因排名</w:t>
      </w:r>
      <w:r>
        <w:rPr>
          <w:rFonts w:hint="eastAsia" w:ascii="宋体" w:hAnsi="宋体" w:cs="宋体"/>
          <w:bCs/>
          <w:color w:val="auto"/>
          <w:spacing w:val="-6"/>
          <w:sz w:val="24"/>
          <w:highlight w:val="none"/>
          <w:lang w:eastAsia="zh-CN"/>
        </w:rPr>
        <w:t>前三</w:t>
      </w:r>
      <w:r>
        <w:rPr>
          <w:rFonts w:hint="eastAsia" w:ascii="宋体" w:hAnsi="宋体" w:cs="宋体"/>
          <w:bCs/>
          <w:color w:val="auto"/>
          <w:sz w:val="24"/>
          <w:highlight w:val="none"/>
        </w:rPr>
        <w:t>的候选供应商在本次采购活动中存在违法违规行为或其他原因使质疑成立的。</w:t>
      </w:r>
    </w:p>
    <w:p>
      <w:pPr>
        <w:keepLines w:val="0"/>
        <w:pageBreakBefore w:val="0"/>
        <w:kinsoku/>
        <w:wordWrap/>
        <w:overflowPunct/>
        <w:topLinePunct w:val="0"/>
        <w:autoSpaceDE/>
        <w:autoSpaceDN/>
        <w:bidi w:val="0"/>
        <w:spacing w:line="360" w:lineRule="exact"/>
        <w:ind w:firstLine="240" w:firstLineChars="1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rPr>
        <w:t>2.采购人应当自收到评审报告之日起5个工作日内在评审报告推荐的中标或者成交</w:t>
      </w:r>
      <w:r>
        <w:rPr>
          <w:rFonts w:hint="eastAsia" w:ascii="宋体" w:hAnsi="宋体" w:eastAsia="宋体" w:cs="宋体"/>
          <w:bCs/>
          <w:color w:val="auto"/>
          <w:sz w:val="24"/>
          <w:highlight w:val="none"/>
        </w:rPr>
        <w:t>候选人中按顺序确定中标或者成交供应商。如有投标人对评标结果提出质疑的，采购人可在质疑处理完毕后确定中标人。</w:t>
      </w:r>
    </w:p>
    <w:p>
      <w:pPr>
        <w:keepLines w:val="0"/>
        <w:pageBreakBefore w:val="0"/>
        <w:kinsoku/>
        <w:wordWrap/>
        <w:overflowPunct/>
        <w:topLinePunct w:val="0"/>
        <w:autoSpaceDE/>
        <w:autoSpaceDN/>
        <w:bidi w:val="0"/>
        <w:spacing w:line="360" w:lineRule="exact"/>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3.采购人或者采购代理机构应当自中标、成交供应商确定之日起2个工作日内，发出中标、成交通知书，并在省级以上人民政府财政部门指定的媒体上公告中标、成交结果。</w:t>
      </w:r>
    </w:p>
    <w:p>
      <w:pPr>
        <w:keepLines w:val="0"/>
        <w:pageBreakBefore w:val="0"/>
        <w:kinsoku/>
        <w:wordWrap/>
        <w:overflowPunct/>
        <w:topLinePunct w:val="0"/>
        <w:autoSpaceDE/>
        <w:autoSpaceDN/>
        <w:bidi w:val="0"/>
        <w:spacing w:line="360" w:lineRule="exact"/>
        <w:ind w:firstLine="240" w:firstLineChars="100"/>
        <w:textAlignment w:val="auto"/>
        <w:rPr>
          <w:rFonts w:hint="default" w:ascii="宋体" w:hAnsi="宋体" w:eastAsia="宋体" w:cs="宋体"/>
          <w:bCs/>
          <w:color w:val="FF0000"/>
          <w:sz w:val="24"/>
          <w:highlight w:val="none"/>
          <w:lang w:val="en-US" w:eastAsia="zh-CN"/>
        </w:rPr>
      </w:pPr>
      <w:r>
        <w:rPr>
          <w:rFonts w:hint="eastAsia" w:ascii="宋体" w:hAnsi="宋体" w:eastAsia="宋体" w:cs="宋体"/>
          <w:bCs/>
          <w:color w:val="auto"/>
          <w:sz w:val="24"/>
          <w:highlight w:val="none"/>
          <w:lang w:val="en-US" w:eastAsia="zh-CN"/>
        </w:rPr>
        <w:t>4.本项目标的分三个</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，每个</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分别由一家中标候选人负责服务，按总分排名和</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顺序分配承接服务（即第一名承接</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一</w:t>
      </w:r>
      <w:r>
        <w:rPr>
          <w:rFonts w:hint="eastAsia" w:ascii="宋体" w:hAnsi="宋体" w:cs="宋体"/>
          <w:bCs/>
          <w:color w:val="auto"/>
          <w:sz w:val="24"/>
          <w:highlight w:val="none"/>
          <w:lang w:val="en-US" w:eastAsia="zh-CN"/>
        </w:rPr>
        <w:t>的服务</w:t>
      </w:r>
      <w:r>
        <w:rPr>
          <w:rFonts w:hint="eastAsia" w:ascii="宋体" w:hAnsi="宋体" w:eastAsia="宋体" w:cs="宋体"/>
          <w:bCs/>
          <w:color w:val="auto"/>
          <w:sz w:val="24"/>
          <w:highlight w:val="none"/>
          <w:lang w:val="en-US" w:eastAsia="zh-CN"/>
        </w:rPr>
        <w:t>，第二名承接</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二</w:t>
      </w:r>
      <w:r>
        <w:rPr>
          <w:rFonts w:hint="eastAsia" w:ascii="宋体" w:hAnsi="宋体" w:cs="宋体"/>
          <w:bCs/>
          <w:color w:val="auto"/>
          <w:sz w:val="24"/>
          <w:highlight w:val="none"/>
          <w:lang w:val="en-US" w:eastAsia="zh-CN"/>
        </w:rPr>
        <w:t>的服务</w:t>
      </w:r>
      <w:r>
        <w:rPr>
          <w:rFonts w:hint="eastAsia" w:ascii="宋体" w:hAnsi="宋体" w:eastAsia="宋体" w:cs="宋体"/>
          <w:bCs/>
          <w:color w:val="auto"/>
          <w:sz w:val="24"/>
          <w:highlight w:val="none"/>
          <w:lang w:val="en-US" w:eastAsia="zh-CN"/>
        </w:rPr>
        <w:t>，第三名承接</w:t>
      </w:r>
      <w:r>
        <w:rPr>
          <w:rFonts w:hint="eastAsia" w:ascii="宋体" w:hAnsi="宋体" w:cs="宋体"/>
          <w:bCs/>
          <w:color w:val="auto"/>
          <w:sz w:val="24"/>
          <w:highlight w:val="none"/>
          <w:lang w:val="en-US" w:eastAsia="zh-CN"/>
        </w:rPr>
        <w:t>标段</w:t>
      </w:r>
      <w:r>
        <w:rPr>
          <w:rFonts w:hint="eastAsia" w:ascii="宋体" w:hAnsi="宋体" w:eastAsia="宋体" w:cs="宋体"/>
          <w:bCs/>
          <w:color w:val="auto"/>
          <w:sz w:val="24"/>
          <w:highlight w:val="none"/>
          <w:lang w:val="en-US" w:eastAsia="zh-CN"/>
        </w:rPr>
        <w:t>三</w:t>
      </w:r>
      <w:r>
        <w:rPr>
          <w:rFonts w:hint="eastAsia" w:ascii="宋体" w:hAnsi="宋体" w:cs="宋体"/>
          <w:bCs/>
          <w:color w:val="auto"/>
          <w:sz w:val="24"/>
          <w:highlight w:val="none"/>
          <w:lang w:val="en-US" w:eastAsia="zh-CN"/>
        </w:rPr>
        <w:t>的服务</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总分排名</w:t>
      </w:r>
      <w:r>
        <w:rPr>
          <w:rFonts w:hint="eastAsia" w:ascii="宋体" w:hAnsi="宋体" w:cs="宋体"/>
          <w:bCs/>
          <w:color w:val="auto"/>
          <w:sz w:val="24"/>
          <w:highlight w:val="none"/>
          <w:lang w:val="en-US" w:eastAsia="zh-CN"/>
        </w:rPr>
        <w:t>相同按报价低优先。</w:t>
      </w:r>
    </w:p>
    <w:p>
      <w:pPr>
        <w:snapToGrid w:val="0"/>
        <w:spacing w:line="360" w:lineRule="exact"/>
        <w:ind w:firstLine="551" w:firstLineChars="196"/>
        <w:outlineLvl w:val="1"/>
        <w:rPr>
          <w:rFonts w:ascii="宋体" w:hAnsi="宋体" w:cs="宋体"/>
          <w:b/>
          <w:color w:val="auto"/>
          <w:sz w:val="28"/>
          <w:szCs w:val="28"/>
          <w:highlight w:val="none"/>
        </w:rPr>
      </w:pPr>
      <w:r>
        <w:rPr>
          <w:rFonts w:hint="eastAsia" w:ascii="宋体" w:hAnsi="宋体" w:cs="宋体"/>
          <w:b/>
          <w:color w:val="auto"/>
          <w:sz w:val="28"/>
          <w:szCs w:val="28"/>
          <w:highlight w:val="none"/>
        </w:rPr>
        <w:t>七、合同授予</w:t>
      </w:r>
    </w:p>
    <w:p>
      <w:pPr>
        <w:snapToGrid w:val="0"/>
        <w:spacing w:line="360" w:lineRule="exact"/>
        <w:ind w:firstLine="472" w:firstLineChars="196"/>
        <w:rPr>
          <w:rFonts w:ascii="宋体" w:hAnsi="宋体" w:cs="宋体"/>
          <w:b/>
          <w:bCs/>
          <w:color w:val="auto"/>
          <w:sz w:val="24"/>
          <w:szCs w:val="20"/>
          <w:highlight w:val="none"/>
        </w:rPr>
      </w:pPr>
      <w:r>
        <w:rPr>
          <w:rFonts w:hint="eastAsia" w:ascii="宋体" w:hAnsi="宋体" w:cs="宋体"/>
          <w:b/>
          <w:bCs/>
          <w:color w:val="auto"/>
          <w:sz w:val="24"/>
          <w:highlight w:val="none"/>
        </w:rPr>
        <w:t>（一）签订合同</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1.采购人与中标人应当在《中标通知书》发出之日起</w:t>
      </w:r>
      <w:r>
        <w:rPr>
          <w:rFonts w:hint="eastAsia" w:ascii="宋体" w:hAnsi="宋体" w:cs="宋体"/>
          <w:color w:val="auto"/>
          <w:sz w:val="24"/>
          <w:highlight w:val="none"/>
          <w:u w:val="single"/>
        </w:rPr>
        <w:t>20</w:t>
      </w:r>
      <w:r>
        <w:rPr>
          <w:rFonts w:hint="eastAsia" w:ascii="宋体" w:hAnsi="宋体" w:cs="宋体"/>
          <w:color w:val="auto"/>
          <w:sz w:val="24"/>
          <w:highlight w:val="none"/>
        </w:rPr>
        <w:t>日内签订政府采购合同。同时，采购代理机构对合同内容进行审查，如发现与采购结果和投标承诺内容不一致的，应予以纠正。</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2.中标人拖延、拒签合同的,将被取消中标资格,并按有关规定报有关部门处罚。</w:t>
      </w:r>
    </w:p>
    <w:p>
      <w:pPr>
        <w:snapToGrid w:val="0"/>
        <w:spacing w:before="120" w:after="120" w:line="36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（二）履约保证金</w:t>
      </w:r>
    </w:p>
    <w:p>
      <w:pPr>
        <w:spacing w:line="360" w:lineRule="exact"/>
        <w:ind w:left="-178" w:leftChars="-85" w:firstLine="588" w:firstLineChars="245"/>
        <w:rPr>
          <w:rFonts w:ascii="宋体" w:hAnsi="宋体" w:cs="宋体"/>
          <w:bCs/>
          <w:color w:val="auto"/>
          <w:sz w:val="24"/>
          <w:highlight w:val="none"/>
        </w:rPr>
      </w:pPr>
      <w:r>
        <w:rPr>
          <w:rFonts w:hint="eastAsia" w:ascii="宋体" w:hAnsi="宋体" w:eastAsia="宋体" w:cs="宋体"/>
          <w:color w:val="auto"/>
          <w:sz w:val="24"/>
        </w:rPr>
        <w:t>本项目不收取履约保证</w:t>
      </w:r>
      <w:r>
        <w:rPr>
          <w:rFonts w:hint="eastAsia" w:ascii="宋体" w:hAnsi="宋体" w:cs="宋体"/>
          <w:color w:val="auto"/>
          <w:sz w:val="24"/>
        </w:rPr>
        <w:t>金</w:t>
      </w:r>
      <w:r>
        <w:rPr>
          <w:rFonts w:hint="eastAsia" w:ascii="宋体" w:hAnsi="宋体" w:cs="宋体"/>
          <w:bCs/>
          <w:color w:val="auto"/>
          <w:sz w:val="24"/>
          <w:highlight w:val="none"/>
        </w:rPr>
        <w:t>。</w:t>
      </w:r>
    </w:p>
    <w:p>
      <w:pPr>
        <w:pStyle w:val="15"/>
        <w:adjustRightInd w:val="0"/>
        <w:spacing w:before="120" w:after="120" w:line="360" w:lineRule="exact"/>
        <w:ind w:firstLine="562" w:firstLineChars="200"/>
        <w:contextualSpacing/>
        <w:rPr>
          <w:rFonts w:hAnsi="宋体" w:cs="宋体"/>
          <w:b/>
          <w:color w:val="auto"/>
          <w:highlight w:val="none"/>
        </w:rPr>
      </w:pPr>
      <w:r>
        <w:rPr>
          <w:rFonts w:hint="eastAsia" w:ascii="宋体" w:hAnsi="宋体" w:eastAsia="宋体" w:cs="宋体"/>
          <w:b/>
          <w:color w:val="auto"/>
          <w:kern w:val="2"/>
          <w:sz w:val="28"/>
          <w:szCs w:val="28"/>
          <w:highlight w:val="none"/>
          <w:lang w:val="en-US" w:eastAsia="zh-CN" w:bidi="ar-SA"/>
        </w:rPr>
        <w:t>八、公共资源交易领域涉黑涉恶举报</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pPr>
        <w:adjustRightIn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市检察院 : 0579-86642000              市 法 院 ：0579-86620148</w:t>
      </w:r>
    </w:p>
    <w:p>
      <w:pPr>
        <w:adjustRightInd w:val="0"/>
        <w:spacing w:line="360" w:lineRule="exact"/>
        <w:ind w:firstLine="480" w:firstLineChars="200"/>
        <w:rPr>
          <w:rFonts w:hint="eastAsia" w:hAnsi="宋体" w:cs="宋体"/>
          <w:b/>
          <w:bCs/>
          <w:color w:val="auto"/>
          <w:sz w:val="32"/>
          <w:szCs w:val="32"/>
          <w:highlight w:val="none"/>
        </w:rPr>
      </w:pPr>
      <w:r>
        <w:rPr>
          <w:rFonts w:hint="eastAsia" w:ascii="宋体" w:hAnsi="宋体" w:cs="宋体"/>
          <w:color w:val="auto"/>
          <w:sz w:val="24"/>
          <w:highlight w:val="none"/>
        </w:rPr>
        <w:t xml:space="preserve">市公共资源办:0579-86691835            市公共资源交易中心:0579-86691729 </w:t>
      </w:r>
    </w:p>
    <w:p>
      <w:pPr>
        <w:pStyle w:val="15"/>
        <w:snapToGrid w:val="0"/>
        <w:spacing w:beforeLines="0" w:after="120" w:line="240" w:lineRule="auto"/>
        <w:jc w:val="center"/>
        <w:rPr>
          <w:rFonts w:hint="eastAsia" w:hAnsi="宋体" w:cs="宋体"/>
          <w:b/>
          <w:bCs/>
          <w:color w:val="auto"/>
          <w:sz w:val="32"/>
          <w:szCs w:val="32"/>
          <w:highlight w:val="none"/>
        </w:rPr>
      </w:pPr>
    </w:p>
    <w:p>
      <w:pPr>
        <w:pStyle w:val="15"/>
        <w:snapToGrid w:val="0"/>
        <w:spacing w:beforeLines="0" w:after="120" w:line="240" w:lineRule="auto"/>
        <w:jc w:val="center"/>
        <w:rPr>
          <w:rFonts w:hint="eastAsia" w:hAnsi="宋体" w:cs="宋体"/>
          <w:b/>
          <w:bCs/>
          <w:color w:val="auto"/>
          <w:sz w:val="32"/>
          <w:szCs w:val="32"/>
          <w:highlight w:val="none"/>
        </w:rPr>
      </w:pPr>
    </w:p>
    <w:p>
      <w:pPr>
        <w:pStyle w:val="15"/>
        <w:snapToGrid w:val="0"/>
        <w:spacing w:beforeLines="0" w:after="120" w:line="240" w:lineRule="auto"/>
        <w:jc w:val="center"/>
        <w:rPr>
          <w:rFonts w:hAnsi="宋体" w:cs="宋体"/>
          <w:b/>
          <w:bCs/>
          <w:color w:val="auto"/>
          <w:sz w:val="32"/>
          <w:szCs w:val="32"/>
          <w:highlight w:val="none"/>
        </w:rPr>
      </w:pPr>
      <w:r>
        <w:rPr>
          <w:rFonts w:hint="eastAsia" w:hAnsi="宋体" w:cs="宋体"/>
          <w:b/>
          <w:bCs/>
          <w:color w:val="auto"/>
          <w:sz w:val="32"/>
          <w:szCs w:val="32"/>
          <w:highlight w:val="none"/>
        </w:rPr>
        <w:t>第四章  评标办法及评分标准</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2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东阳市2023年度新建房屋白蚁防治服务采购项目</w:t>
      </w:r>
      <w:r>
        <w:rPr>
          <w:rFonts w:hint="eastAsia" w:ascii="宋体" w:hAnsi="宋体" w:cs="宋体"/>
          <w:color w:val="auto"/>
          <w:sz w:val="24"/>
          <w:highlight w:val="none"/>
        </w:rPr>
        <w:t>的评标。</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551" w:firstLineChars="196"/>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0" w:firstLineChars="200"/>
        <w:textAlignment w:val="auto"/>
        <w:rPr>
          <w:rFonts w:hAnsi="宋体" w:cs="宋体"/>
          <w:color w:val="auto"/>
          <w:spacing w:val="0"/>
          <w:sz w:val="24"/>
          <w:szCs w:val="24"/>
          <w:highlight w:val="none"/>
        </w:rPr>
      </w:pPr>
      <w:r>
        <w:rPr>
          <w:rFonts w:hint="eastAsia" w:hAnsi="宋体" w:cs="宋体"/>
          <w:color w:val="auto"/>
          <w:spacing w:val="0"/>
          <w:sz w:val="24"/>
          <w:szCs w:val="24"/>
          <w:highlight w:val="none"/>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资信、技术，技术方案得分由高到低顺序排列。排名第一的投标人为</w:t>
      </w:r>
      <w:r>
        <w:rPr>
          <w:rFonts w:hint="eastAsia" w:hAnsi="宋体" w:cs="宋体"/>
          <w:color w:val="auto"/>
          <w:spacing w:val="0"/>
          <w:sz w:val="24"/>
          <w:szCs w:val="24"/>
          <w:highlight w:val="none"/>
          <w:lang w:eastAsia="zh-CN"/>
        </w:rPr>
        <w:t>标段一</w:t>
      </w:r>
      <w:r>
        <w:rPr>
          <w:rFonts w:hint="eastAsia" w:hAnsi="宋体" w:cs="宋体"/>
          <w:color w:val="auto"/>
          <w:spacing w:val="0"/>
          <w:sz w:val="24"/>
          <w:szCs w:val="24"/>
          <w:highlight w:val="none"/>
        </w:rPr>
        <w:t>中标候选人,排名第</w:t>
      </w:r>
      <w:r>
        <w:rPr>
          <w:rFonts w:hint="eastAsia" w:hAnsi="宋体" w:cs="宋体"/>
          <w:color w:val="auto"/>
          <w:spacing w:val="0"/>
          <w:sz w:val="24"/>
          <w:szCs w:val="24"/>
          <w:highlight w:val="none"/>
          <w:lang w:eastAsia="zh-CN"/>
        </w:rPr>
        <w:t>二</w:t>
      </w:r>
      <w:r>
        <w:rPr>
          <w:rFonts w:hint="eastAsia" w:hAnsi="宋体" w:cs="宋体"/>
          <w:color w:val="auto"/>
          <w:spacing w:val="0"/>
          <w:sz w:val="24"/>
          <w:szCs w:val="24"/>
          <w:highlight w:val="none"/>
        </w:rPr>
        <w:t>的投标人为</w:t>
      </w:r>
      <w:r>
        <w:rPr>
          <w:rFonts w:hint="eastAsia" w:hAnsi="宋体" w:cs="宋体"/>
          <w:color w:val="auto"/>
          <w:spacing w:val="0"/>
          <w:sz w:val="24"/>
          <w:szCs w:val="24"/>
          <w:highlight w:val="none"/>
          <w:lang w:eastAsia="zh-CN"/>
        </w:rPr>
        <w:t>标段二</w:t>
      </w:r>
      <w:r>
        <w:rPr>
          <w:rFonts w:hint="eastAsia" w:hAnsi="宋体" w:cs="宋体"/>
          <w:color w:val="auto"/>
          <w:spacing w:val="0"/>
          <w:sz w:val="24"/>
          <w:szCs w:val="24"/>
          <w:highlight w:val="none"/>
        </w:rPr>
        <w:t>中标候选人</w:t>
      </w:r>
      <w:r>
        <w:rPr>
          <w:rFonts w:hint="eastAsia" w:hAnsi="宋体" w:cs="宋体"/>
          <w:color w:val="auto"/>
          <w:spacing w:val="0"/>
          <w:sz w:val="24"/>
          <w:szCs w:val="24"/>
          <w:highlight w:val="none"/>
          <w:lang w:eastAsia="zh-CN"/>
        </w:rPr>
        <w:t>，</w:t>
      </w:r>
      <w:r>
        <w:rPr>
          <w:rFonts w:hint="eastAsia" w:hAnsi="宋体" w:cs="宋体"/>
          <w:color w:val="auto"/>
          <w:spacing w:val="0"/>
          <w:sz w:val="24"/>
          <w:szCs w:val="24"/>
          <w:highlight w:val="none"/>
        </w:rPr>
        <w:t>排名第</w:t>
      </w:r>
      <w:r>
        <w:rPr>
          <w:rFonts w:hint="eastAsia" w:hAnsi="宋体" w:cs="宋体"/>
          <w:color w:val="auto"/>
          <w:spacing w:val="0"/>
          <w:sz w:val="24"/>
          <w:szCs w:val="24"/>
          <w:highlight w:val="none"/>
          <w:lang w:eastAsia="zh-CN"/>
        </w:rPr>
        <w:t>三</w:t>
      </w:r>
      <w:r>
        <w:rPr>
          <w:rFonts w:hint="eastAsia" w:hAnsi="宋体" w:cs="宋体"/>
          <w:color w:val="auto"/>
          <w:spacing w:val="0"/>
          <w:sz w:val="24"/>
          <w:szCs w:val="24"/>
          <w:highlight w:val="none"/>
        </w:rPr>
        <w:t>的投标人为</w:t>
      </w:r>
      <w:r>
        <w:rPr>
          <w:rFonts w:hint="eastAsia" w:hAnsi="宋体" w:cs="宋体"/>
          <w:color w:val="auto"/>
          <w:spacing w:val="0"/>
          <w:sz w:val="24"/>
          <w:szCs w:val="24"/>
          <w:highlight w:val="none"/>
          <w:lang w:eastAsia="zh-CN"/>
        </w:rPr>
        <w:t>标段三</w:t>
      </w:r>
      <w:r>
        <w:rPr>
          <w:rFonts w:hint="eastAsia" w:hAnsi="宋体" w:cs="宋体"/>
          <w:color w:val="auto"/>
          <w:spacing w:val="0"/>
          <w:sz w:val="24"/>
          <w:szCs w:val="24"/>
          <w:highlight w:val="none"/>
        </w:rPr>
        <w:t>中标候选人</w:t>
      </w:r>
      <w:r>
        <w:rPr>
          <w:rFonts w:hint="eastAsia" w:hAnsi="宋体" w:cs="宋体"/>
          <w:color w:val="auto"/>
          <w:spacing w:val="0"/>
          <w:sz w:val="24"/>
          <w:szCs w:val="24"/>
          <w:highlight w:val="none"/>
          <w:lang w:eastAsia="zh-CN"/>
        </w:rPr>
        <w:t>，</w:t>
      </w:r>
      <w:r>
        <w:rPr>
          <w:rFonts w:hint="eastAsia" w:hAnsi="宋体" w:cs="宋体"/>
          <w:color w:val="auto"/>
          <w:spacing w:val="0"/>
          <w:sz w:val="24"/>
          <w:szCs w:val="24"/>
          <w:highlight w:val="none"/>
        </w:rPr>
        <w:t>排名第</w:t>
      </w:r>
      <w:r>
        <w:rPr>
          <w:rFonts w:hint="eastAsia" w:hAnsi="宋体" w:cs="宋体"/>
          <w:color w:val="auto"/>
          <w:spacing w:val="0"/>
          <w:sz w:val="24"/>
          <w:szCs w:val="24"/>
          <w:highlight w:val="none"/>
          <w:lang w:eastAsia="zh-CN"/>
        </w:rPr>
        <w:t>四</w:t>
      </w:r>
      <w:r>
        <w:rPr>
          <w:rFonts w:hint="eastAsia" w:hAnsi="宋体" w:cs="宋体"/>
          <w:color w:val="auto"/>
          <w:spacing w:val="0"/>
          <w:sz w:val="24"/>
          <w:szCs w:val="24"/>
          <w:highlight w:val="none"/>
        </w:rPr>
        <w:t>的投标人为候补中标候选人……其他投标人中标候选资格依此类推。评分过程中采用四舍五入法，并保留小数2位。</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0" w:firstLineChars="200"/>
        <w:textAlignment w:val="auto"/>
        <w:rPr>
          <w:rFonts w:hAnsi="宋体" w:cs="宋体"/>
          <w:color w:val="auto"/>
          <w:spacing w:val="0"/>
          <w:sz w:val="24"/>
          <w:szCs w:val="24"/>
          <w:highlight w:val="none"/>
        </w:rPr>
      </w:pPr>
      <w:r>
        <w:rPr>
          <w:rFonts w:hint="eastAsia" w:hAnsi="宋体" w:cs="宋体"/>
          <w:color w:val="auto"/>
          <w:spacing w:val="0"/>
          <w:sz w:val="24"/>
          <w:szCs w:val="24"/>
          <w:highlight w:val="none"/>
        </w:rPr>
        <w:t>投标人评标综合得分=价格分+(技术分+商务分+资信及其他分)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551" w:firstLineChars="196"/>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66" w:firstLineChars="200"/>
        <w:textAlignment w:val="auto"/>
        <w:rPr>
          <w:rFonts w:hAnsi="宋体" w:cs="宋体"/>
          <w:b/>
          <w:bCs/>
          <w:color w:val="auto"/>
          <w:sz w:val="24"/>
          <w:highlight w:val="none"/>
        </w:rPr>
      </w:pPr>
      <w:r>
        <w:rPr>
          <w:rFonts w:hint="eastAsia" w:hAnsi="宋体" w:cs="宋体"/>
          <w:b/>
          <w:color w:val="auto"/>
          <w:sz w:val="24"/>
          <w:highlight w:val="none"/>
        </w:rPr>
        <w:t>（一）</w:t>
      </w:r>
      <w:r>
        <w:rPr>
          <w:rFonts w:hint="eastAsia" w:hAnsi="宋体" w:cs="宋体"/>
          <w:b/>
          <w:bCs/>
          <w:color w:val="auto"/>
          <w:sz w:val="24"/>
          <w:highlight w:val="none"/>
        </w:rPr>
        <w:t>价格分（20分）</w:t>
      </w:r>
    </w:p>
    <w:p>
      <w:pPr>
        <w:pStyle w:val="7"/>
        <w:keepNext w:val="0"/>
        <w:keepLines w:val="0"/>
        <w:pageBreakBefore w:val="0"/>
        <w:widowControl w:val="0"/>
        <w:kinsoku/>
        <w:wordWrap/>
        <w:overflowPunct/>
        <w:topLinePunct w:val="0"/>
        <w:autoSpaceDE/>
        <w:autoSpaceDN/>
        <w:bidi w:val="0"/>
        <w:adjustRightInd/>
        <w:snapToGrid/>
        <w:spacing w:line="520" w:lineRule="exact"/>
        <w:ind w:firstLine="454" w:firstLineChars="196"/>
        <w:textAlignment w:val="auto"/>
        <w:rPr>
          <w:rFonts w:hAnsi="宋体" w:cs="宋体"/>
          <w:bCs/>
          <w:color w:val="auto"/>
          <w:sz w:val="24"/>
          <w:highlight w:val="none"/>
        </w:rPr>
      </w:pPr>
      <w:r>
        <w:rPr>
          <w:rFonts w:hint="eastAsia" w:hAnsi="宋体" w:cs="宋体"/>
          <w:color w:val="auto"/>
          <w:sz w:val="24"/>
          <w:highlight w:val="none"/>
        </w:rPr>
        <w:t>价格分采用低价优先法计算，取所有技术、资信商务得分入围投标人中，投标价格最低的投标报价为评标基准价</w:t>
      </w:r>
      <w:r>
        <w:rPr>
          <w:rFonts w:hint="eastAsia" w:hAnsi="宋体" w:cs="宋体"/>
          <w:bCs/>
          <w:color w:val="auto"/>
          <w:sz w:val="24"/>
          <w:highlight w:val="none"/>
        </w:rPr>
        <w:t>，其他投标人的价格分按照下列公式计算：</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cs="宋体"/>
          <w:bCs/>
          <w:color w:val="auto"/>
          <w:sz w:val="24"/>
          <w:highlight w:val="none"/>
        </w:rPr>
      </w:pPr>
      <w:r>
        <w:rPr>
          <w:rFonts w:hint="eastAsia" w:hAnsi="宋体" w:cs="宋体"/>
          <w:bCs/>
          <w:color w:val="auto"/>
          <w:sz w:val="24"/>
          <w:highlight w:val="none"/>
        </w:rPr>
        <w:t>价格分=评标基准价/投标报价×20</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（二）技术分、商务分、资信及其他分，共80分。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pPr>
        <w:keepNext w:val="0"/>
        <w:keepLines w:val="0"/>
        <w:pageBreakBefore w:val="0"/>
        <w:widowControl w:val="0"/>
        <w:kinsoku/>
        <w:wordWrap/>
        <w:overflowPunct/>
        <w:topLinePunct w:val="0"/>
        <w:autoSpaceDE/>
        <w:autoSpaceDN/>
        <w:bidi w:val="0"/>
        <w:adjustRightInd/>
        <w:snapToGrid/>
        <w:spacing w:before="120" w:beforeLines="50" w:after="120" w:afterLines="50" w:line="520" w:lineRule="exact"/>
        <w:ind w:firstLine="495"/>
        <w:textAlignment w:val="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pPr>
        <w:keepNext w:val="0"/>
        <w:keepLines w:val="0"/>
        <w:pageBreakBefore w:val="0"/>
        <w:widowControl w:val="0"/>
        <w:tabs>
          <w:tab w:val="left" w:pos="1154"/>
        </w:tabs>
        <w:kinsoku/>
        <w:wordWrap/>
        <w:overflowPunct/>
        <w:topLinePunct w:val="0"/>
        <w:autoSpaceDE/>
        <w:autoSpaceDN/>
        <w:bidi w:val="0"/>
        <w:adjustRightInd/>
        <w:snapToGrid/>
        <w:spacing w:line="420" w:lineRule="exact"/>
        <w:textAlignment w:val="auto"/>
        <w:rPr>
          <w:rFonts w:ascii="宋体" w:hAnsi="宋体" w:cs="宋体"/>
          <w:b/>
          <w:color w:val="auto"/>
          <w:sz w:val="24"/>
          <w:highlight w:val="none"/>
        </w:rPr>
      </w:pPr>
      <w:r>
        <w:rPr>
          <w:rFonts w:hint="eastAsia" w:ascii="宋体" w:hAnsi="宋体" w:cs="宋体"/>
          <w:b/>
          <w:color w:val="auto"/>
          <w:sz w:val="24"/>
          <w:highlight w:val="none"/>
        </w:rPr>
        <w:t>附件：评分表格式（技术、商务、资信及其他分，共80分）</w:t>
      </w:r>
    </w:p>
    <w:tbl>
      <w:tblPr>
        <w:tblStyle w:val="25"/>
        <w:tblW w:w="10177" w:type="dxa"/>
        <w:tblInd w:w="-56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73"/>
        <w:gridCol w:w="720"/>
        <w:gridCol w:w="236"/>
        <w:gridCol w:w="7294"/>
        <w:gridCol w:w="7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80" w:type="dxa"/>
            <w:tcBorders>
              <w:top w:val="doub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29" w:type="dxa"/>
            <w:gridSpan w:val="3"/>
            <w:tcBorders>
              <w:top w:val="double" w:color="auto" w:sz="4" w:space="0"/>
            </w:tcBorders>
            <w:vAlign w:val="center"/>
          </w:tcPr>
          <w:p>
            <w:pPr>
              <w:spacing w:line="340" w:lineRule="exact"/>
              <w:rPr>
                <w:rFonts w:ascii="宋体" w:hAnsi="宋体" w:cs="宋体"/>
                <w:color w:val="auto"/>
                <w:sz w:val="24"/>
                <w:highlight w:val="none"/>
              </w:rPr>
            </w:pPr>
            <w:r>
              <w:rPr>
                <w:rFonts w:hint="eastAsia" w:ascii="宋体" w:hAnsi="宋体" w:cs="宋体"/>
                <w:color w:val="auto"/>
                <w:sz w:val="24"/>
                <w:highlight w:val="none"/>
              </w:rPr>
              <w:t>评分项目</w:t>
            </w:r>
          </w:p>
        </w:tc>
        <w:tc>
          <w:tcPr>
            <w:tcW w:w="7294" w:type="dxa"/>
            <w:tcBorders>
              <w:top w:val="doub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774" w:type="dxa"/>
            <w:tcBorders>
              <w:top w:val="double" w:color="auto" w:sz="4" w:space="0"/>
            </w:tcBorders>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tcBorders>
              <w:top w:val="doub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8623" w:type="dxa"/>
            <w:gridSpan w:val="4"/>
            <w:tcBorders>
              <w:top w:val="doub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 xml:space="preserve">        技术分</w:t>
            </w:r>
          </w:p>
        </w:tc>
        <w:tc>
          <w:tcPr>
            <w:tcW w:w="774" w:type="dxa"/>
            <w:tcBorders>
              <w:top w:val="double" w:color="auto" w:sz="4" w:space="0"/>
            </w:tcBorders>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65</w:t>
            </w:r>
            <w:r>
              <w:rPr>
                <w:rFonts w:hint="eastAsia" w:ascii="宋体" w:hAnsi="宋体" w:cs="宋体"/>
                <w:color w:val="auto"/>
                <w:sz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8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329" w:type="dxa"/>
            <w:gridSpan w:val="3"/>
            <w:vAlign w:val="center"/>
          </w:tcPr>
          <w:p>
            <w:pPr>
              <w:widowControl/>
              <w:spacing w:line="340" w:lineRule="exact"/>
              <w:jc w:val="center"/>
              <w:rPr>
                <w:rFonts w:ascii="宋体" w:hAnsi="宋体" w:cs="宋体"/>
                <w:color w:val="auto"/>
                <w:sz w:val="24"/>
                <w:highlight w:val="none"/>
              </w:rPr>
            </w:pPr>
            <w:r>
              <w:rPr>
                <w:rFonts w:hint="eastAsia" w:ascii="宋体" w:hAnsi="宋体" w:eastAsia="宋体" w:cs="宋体"/>
                <w:i w:val="0"/>
                <w:iCs w:val="0"/>
                <w:color w:val="auto"/>
                <w:sz w:val="24"/>
                <w:szCs w:val="24"/>
                <w:highlight w:val="none"/>
              </w:rPr>
              <w:t>项目理解与分析</w:t>
            </w:r>
          </w:p>
        </w:tc>
        <w:tc>
          <w:tcPr>
            <w:tcW w:w="7294" w:type="dxa"/>
            <w:vAlign w:val="center"/>
          </w:tcPr>
          <w:p>
            <w:pPr>
              <w:widowControl/>
              <w:spacing w:line="340" w:lineRule="exact"/>
              <w:rPr>
                <w:color w:val="auto"/>
              </w:rPr>
            </w:pPr>
            <w:r>
              <w:rPr>
                <w:rFonts w:hint="eastAsia" w:ascii="宋体" w:hAnsi="宋体" w:eastAsia="宋体" w:cs="宋体"/>
                <w:i w:val="0"/>
                <w:iCs w:val="0"/>
                <w:color w:val="auto"/>
                <w:sz w:val="24"/>
                <w:szCs w:val="24"/>
                <w:highlight w:val="none"/>
              </w:rPr>
              <w:t>根据供应商对本项目的</w:t>
            </w:r>
            <w:r>
              <w:rPr>
                <w:rFonts w:hint="eastAsia" w:ascii="宋体" w:hAnsi="宋体" w:eastAsia="宋体" w:cs="宋体"/>
                <w:i w:val="0"/>
                <w:iCs w:val="0"/>
                <w:color w:val="auto"/>
                <w:sz w:val="24"/>
                <w:szCs w:val="24"/>
                <w:highlight w:val="none"/>
                <w:lang w:val="zh-CN"/>
              </w:rPr>
              <w:t>背景</w:t>
            </w:r>
            <w:r>
              <w:rPr>
                <w:rFonts w:hint="eastAsia" w:ascii="宋体" w:hAnsi="宋体" w:eastAsia="宋体" w:cs="宋体"/>
                <w:i w:val="0"/>
                <w:iCs w:val="0"/>
                <w:color w:val="auto"/>
                <w:sz w:val="24"/>
                <w:szCs w:val="24"/>
                <w:highlight w:val="none"/>
              </w:rPr>
              <w:t>（0-2）</w:t>
            </w:r>
            <w:r>
              <w:rPr>
                <w:rFonts w:hint="eastAsia" w:ascii="宋体" w:hAnsi="宋体" w:eastAsia="宋体" w:cs="宋体"/>
                <w:i w:val="0"/>
                <w:iCs w:val="0"/>
                <w:color w:val="auto"/>
                <w:sz w:val="24"/>
                <w:szCs w:val="24"/>
                <w:highlight w:val="none"/>
                <w:lang w:val="zh-CN"/>
              </w:rPr>
              <w:t>、现状的</w:t>
            </w:r>
            <w:r>
              <w:rPr>
                <w:rFonts w:hint="eastAsia" w:ascii="宋体" w:hAnsi="宋体" w:eastAsia="宋体" w:cs="宋体"/>
                <w:i w:val="0"/>
                <w:iCs w:val="0"/>
                <w:color w:val="auto"/>
                <w:sz w:val="24"/>
                <w:szCs w:val="24"/>
                <w:highlight w:val="none"/>
              </w:rPr>
              <w:t>认知理解情况（0-2）是否准备、全面等进行评审内容进行评审。</w:t>
            </w:r>
            <w:r>
              <w:rPr>
                <w:rFonts w:hint="eastAsia" w:ascii="宋体" w:hAnsi="宋体" w:eastAsia="宋体" w:cs="宋体"/>
                <w:i w:val="0"/>
                <w:iCs w:val="0"/>
                <w:color w:val="auto"/>
                <w:sz w:val="24"/>
                <w:szCs w:val="24"/>
                <w:highlight w:val="none"/>
                <w:lang w:eastAsia="zh-CN"/>
              </w:rPr>
              <w:t>理解分析</w:t>
            </w:r>
            <w:r>
              <w:rPr>
                <w:rFonts w:hint="eastAsia" w:ascii="宋体" w:hAnsi="宋体" w:eastAsia="宋体" w:cs="宋体"/>
                <w:i w:val="0"/>
                <w:iCs w:val="0"/>
                <w:color w:val="auto"/>
                <w:sz w:val="24"/>
                <w:szCs w:val="24"/>
                <w:highlight w:val="none"/>
                <w:lang w:val="en-US" w:eastAsia="zh-CN"/>
              </w:rPr>
              <w:t>科学合理，可操作性强得4分。上述方案有缺项，每项扣2分，方案不够合理、操作性不强的每项扣0-2分，扣完为止。</w:t>
            </w:r>
          </w:p>
        </w:tc>
        <w:tc>
          <w:tcPr>
            <w:tcW w:w="774"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329" w:type="dxa"/>
            <w:gridSpan w:val="3"/>
            <w:vMerge w:val="restart"/>
            <w:vAlign w:val="center"/>
          </w:tcPr>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hint="eastAsia" w:ascii="宋体" w:hAnsi="宋体" w:cs="宋体"/>
                <w:color w:val="auto"/>
                <w:highlight w:val="none"/>
              </w:rPr>
            </w:pPr>
          </w:p>
          <w:p>
            <w:pPr>
              <w:pStyle w:val="45"/>
              <w:spacing w:line="340" w:lineRule="exact"/>
              <w:jc w:val="both"/>
              <w:rPr>
                <w:rFonts w:ascii="宋体" w:hAnsi="宋体" w:cs="宋体"/>
                <w:color w:val="auto"/>
                <w:highlight w:val="none"/>
              </w:rPr>
            </w:pPr>
            <w:r>
              <w:rPr>
                <w:rFonts w:hint="eastAsia" w:ascii="宋体" w:hAnsi="宋体" w:cs="宋体"/>
                <w:color w:val="auto"/>
                <w:highlight w:val="none"/>
              </w:rPr>
              <w:t xml:space="preserve">实施方案 </w:t>
            </w:r>
          </w:p>
        </w:tc>
        <w:tc>
          <w:tcPr>
            <w:tcW w:w="7294" w:type="dxa"/>
            <w:vAlign w:val="center"/>
          </w:tcPr>
          <w:p>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i w:val="0"/>
                <w:iCs w:val="0"/>
                <w:color w:val="auto"/>
                <w:sz w:val="24"/>
                <w:szCs w:val="24"/>
                <w:highlight w:val="none"/>
              </w:rPr>
              <w:t>根据供应商</w:t>
            </w:r>
            <w:r>
              <w:rPr>
                <w:rFonts w:hint="eastAsia" w:ascii="宋体" w:hAnsi="宋体" w:eastAsia="宋体" w:cs="宋体"/>
                <w:i w:val="0"/>
                <w:iCs w:val="0"/>
                <w:color w:val="auto"/>
                <w:sz w:val="24"/>
                <w:szCs w:val="24"/>
                <w:highlight w:val="none"/>
                <w:lang w:val="zh-CN" w:eastAsia="zh-CN"/>
              </w:rPr>
              <w:t>选用的白蚁治理技术的思路</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、关键技术</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的理解是否全面、可行</w:t>
            </w:r>
            <w:r>
              <w:rPr>
                <w:rFonts w:hint="eastAsia" w:ascii="宋体" w:hAnsi="宋体" w:eastAsia="宋体" w:cs="宋体"/>
                <w:color w:val="auto"/>
                <w:kern w:val="2"/>
                <w:sz w:val="24"/>
                <w:szCs w:val="24"/>
                <w:highlight w:val="none"/>
                <w:lang w:val="en-US" w:eastAsia="zh-CN" w:bidi="ar-SA"/>
              </w:rPr>
              <w:t>等内容进行评审。方案科学合理，可操作性强得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1分，扣完为止</w:t>
            </w:r>
            <w:r>
              <w:rPr>
                <w:rFonts w:hint="eastAsia" w:ascii="宋体" w:hAnsi="宋体" w:cs="宋体"/>
                <w:color w:val="auto"/>
                <w:sz w:val="24"/>
                <w:szCs w:val="24"/>
                <w:lang w:val="zh-CN" w:eastAsia="zh-CN"/>
              </w:rPr>
              <w:t>。</w:t>
            </w:r>
          </w:p>
        </w:tc>
        <w:tc>
          <w:tcPr>
            <w:tcW w:w="774"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vAlign w:val="center"/>
          </w:tcPr>
          <w:p>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329" w:type="dxa"/>
            <w:gridSpan w:val="3"/>
            <w:vMerge w:val="continue"/>
            <w:vAlign w:val="center"/>
          </w:tcPr>
          <w:p>
            <w:pPr>
              <w:widowControl/>
              <w:spacing w:line="340" w:lineRule="exact"/>
              <w:jc w:val="center"/>
              <w:rPr>
                <w:rFonts w:ascii="宋体" w:hAnsi="宋体" w:cs="宋体"/>
                <w:color w:val="auto"/>
                <w:sz w:val="24"/>
                <w:highlight w:val="none"/>
              </w:rPr>
            </w:pPr>
          </w:p>
        </w:tc>
        <w:tc>
          <w:tcPr>
            <w:tcW w:w="7294" w:type="dxa"/>
            <w:vAlign w:val="center"/>
          </w:tcPr>
          <w:p>
            <w:pPr>
              <w:widowControl/>
              <w:spacing w:line="340" w:lineRule="exact"/>
              <w:rPr>
                <w:rFonts w:ascii="宋体" w:hAnsi="宋体" w:cs="宋体"/>
                <w:color w:val="auto"/>
                <w:sz w:val="24"/>
                <w:highlight w:val="none"/>
              </w:rPr>
            </w:pPr>
            <w:r>
              <w:rPr>
                <w:rFonts w:hint="eastAsia" w:ascii="宋体" w:hAnsi="宋体" w:eastAsia="宋体" w:cs="宋体"/>
                <w:i w:val="0"/>
                <w:iCs w:val="0"/>
                <w:color w:val="auto"/>
                <w:sz w:val="24"/>
                <w:szCs w:val="24"/>
                <w:highlight w:val="none"/>
              </w:rPr>
              <w:t>根据供应商提供的完成本项目工作的有利条件</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和工作基础描述</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，对本项目的了解程度是否系统全面</w:t>
            </w:r>
            <w:r>
              <w:rPr>
                <w:rFonts w:hint="eastAsia" w:ascii="宋体" w:hAnsi="宋体" w:cs="宋体"/>
                <w:color w:val="auto"/>
                <w:sz w:val="24"/>
                <w:highlight w:val="none"/>
              </w:rPr>
              <w:t>（0-2）等内容进行评审</w:t>
            </w:r>
            <w:r>
              <w:rPr>
                <w:rFonts w:hint="eastAsia"/>
                <w:color w:val="auto"/>
                <w:sz w:val="24"/>
                <w:highlight w:val="none"/>
              </w:rPr>
              <w:t>。</w:t>
            </w:r>
            <w:r>
              <w:rPr>
                <w:rFonts w:hint="eastAsia"/>
                <w:color w:val="auto"/>
                <w:sz w:val="24"/>
                <w:highlight w:val="none"/>
                <w:lang w:eastAsia="zh-CN"/>
              </w:rPr>
              <w:t>内容</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分。上述</w:t>
            </w:r>
            <w:r>
              <w:rPr>
                <w:rFonts w:hint="eastAsia" w:ascii="宋体" w:hAnsi="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有缺项，每项扣2分，</w:t>
            </w:r>
            <w:r>
              <w:rPr>
                <w:rFonts w:hint="eastAsia" w:ascii="宋体" w:hAnsi="宋体" w:cs="宋体"/>
                <w:color w:val="auto"/>
                <w:kern w:val="2"/>
                <w:sz w:val="24"/>
                <w:szCs w:val="24"/>
                <w:highlight w:val="none"/>
                <w:lang w:val="en-US" w:eastAsia="zh-CN" w:bidi="ar-SA"/>
              </w:rPr>
              <w:t>内容</w:t>
            </w:r>
            <w:r>
              <w:rPr>
                <w:rFonts w:hint="eastAsia" w:ascii="宋体" w:hAnsi="宋体" w:eastAsia="宋体" w:cs="宋体"/>
                <w:color w:val="auto"/>
                <w:kern w:val="2"/>
                <w:sz w:val="24"/>
                <w:szCs w:val="24"/>
                <w:highlight w:val="none"/>
                <w:lang w:val="en-US" w:eastAsia="zh-CN" w:bidi="ar-SA"/>
              </w:rPr>
              <w:t>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vAlign w:val="center"/>
          </w:tcPr>
          <w:p>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329" w:type="dxa"/>
            <w:gridSpan w:val="3"/>
            <w:vMerge w:val="continue"/>
            <w:vAlign w:val="center"/>
          </w:tcPr>
          <w:p>
            <w:pPr>
              <w:widowControl/>
              <w:spacing w:line="340" w:lineRule="exact"/>
              <w:jc w:val="center"/>
              <w:rPr>
                <w:rFonts w:ascii="宋体" w:hAnsi="宋体" w:cs="宋体"/>
                <w:color w:val="auto"/>
                <w:sz w:val="24"/>
                <w:highlight w:val="none"/>
              </w:rPr>
            </w:pPr>
          </w:p>
        </w:tc>
        <w:tc>
          <w:tcPr>
            <w:tcW w:w="7294" w:type="dxa"/>
            <w:vAlign w:val="center"/>
          </w:tcPr>
          <w:p>
            <w:pPr>
              <w:widowControl/>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根据供应商提供的项目技术方案的编制完整性</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、格式规范</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、内容齐全表述准确、条理清晰</w:t>
            </w:r>
            <w:r>
              <w:rPr>
                <w:rFonts w:hint="eastAsia" w:ascii="宋体" w:hAnsi="宋体" w:cs="宋体"/>
                <w:color w:val="auto"/>
                <w:sz w:val="24"/>
                <w:highlight w:val="none"/>
              </w:rPr>
              <w:t>（0-2）等内容进行评审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vAlign w:val="center"/>
          </w:tcPr>
          <w:p>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29" w:type="dxa"/>
            <w:gridSpan w:val="3"/>
            <w:vMerge w:val="continue"/>
            <w:vAlign w:val="center"/>
          </w:tcPr>
          <w:p>
            <w:pPr>
              <w:widowControl/>
              <w:spacing w:line="340" w:lineRule="exact"/>
              <w:jc w:val="center"/>
              <w:rPr>
                <w:rFonts w:ascii="宋体" w:hAnsi="宋体" w:cs="宋体"/>
                <w:color w:val="auto"/>
                <w:sz w:val="24"/>
                <w:highlight w:val="none"/>
              </w:rPr>
            </w:pPr>
          </w:p>
        </w:tc>
        <w:tc>
          <w:tcPr>
            <w:tcW w:w="7294" w:type="dxa"/>
            <w:vAlign w:val="center"/>
          </w:tcPr>
          <w:p>
            <w:pPr>
              <w:widowControl/>
              <w:spacing w:line="340" w:lineRule="exact"/>
              <w:rPr>
                <w:rFonts w:hint="eastAsia" w:ascii="宋体" w:hAnsi="宋体" w:eastAsia="宋体" w:cs="宋体"/>
                <w:i w:val="0"/>
                <w:iCs w:val="0"/>
                <w:color w:val="auto"/>
                <w:sz w:val="24"/>
                <w:szCs w:val="24"/>
                <w:highlight w:val="none"/>
              </w:rPr>
            </w:pPr>
            <w:r>
              <w:rPr>
                <w:rFonts w:hint="eastAsia" w:ascii="宋体" w:hAnsi="宋体" w:cs="宋体"/>
                <w:color w:val="auto"/>
                <w:sz w:val="24"/>
                <w:highlight w:val="none"/>
              </w:rPr>
              <w:t>项目组织机构是否健全、职责明确（0-2）；人力资源安排（0-2）是否合理等内容进行评审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80" w:type="dxa"/>
            <w:vAlign w:val="center"/>
          </w:tcPr>
          <w:p>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329" w:type="dxa"/>
            <w:gridSpan w:val="3"/>
            <w:vMerge w:val="continue"/>
            <w:vAlign w:val="center"/>
          </w:tcPr>
          <w:p>
            <w:pPr>
              <w:widowControl/>
              <w:spacing w:line="340" w:lineRule="exact"/>
              <w:jc w:val="center"/>
              <w:rPr>
                <w:rFonts w:ascii="宋体" w:hAnsi="宋体" w:cs="宋体"/>
                <w:color w:val="auto"/>
                <w:sz w:val="24"/>
                <w:highlight w:val="none"/>
              </w:rPr>
            </w:pPr>
          </w:p>
        </w:tc>
        <w:tc>
          <w:tcPr>
            <w:tcW w:w="7294" w:type="dxa"/>
            <w:vAlign w:val="center"/>
          </w:tcPr>
          <w:p>
            <w:pPr>
              <w:widowControl/>
              <w:spacing w:line="340" w:lineRule="exact"/>
              <w:rPr>
                <w:rFonts w:ascii="宋体" w:hAnsi="宋体" w:cs="宋体"/>
                <w:color w:val="auto"/>
                <w:sz w:val="24"/>
                <w:highlight w:val="none"/>
              </w:rPr>
            </w:pPr>
            <w:r>
              <w:rPr>
                <w:rFonts w:hint="eastAsia" w:ascii="宋体" w:hAnsi="宋体" w:eastAsia="宋体" w:cs="宋体"/>
                <w:color w:val="auto"/>
                <w:sz w:val="24"/>
                <w:highlight w:val="none"/>
                <w:lang w:val="en-US"/>
              </w:rPr>
              <w:t>按照</w:t>
            </w:r>
            <w:r>
              <w:rPr>
                <w:rFonts w:hint="eastAsia" w:ascii="宋体" w:hAnsi="宋体" w:cs="宋体"/>
                <w:color w:val="auto"/>
                <w:sz w:val="24"/>
                <w:highlight w:val="none"/>
                <w:lang w:val="en-US" w:eastAsia="zh-CN"/>
              </w:rPr>
              <w:t>供应商制定</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val="en-US"/>
              </w:rPr>
              <w:t>突发事件对自然灾害及配合重大活动有应急预案</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val="en-US"/>
              </w:rPr>
              <w:t>及实施措施</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val="en-US"/>
              </w:rPr>
              <w:t>等内容进行评审。</w:t>
            </w:r>
            <w:r>
              <w:rPr>
                <w:rFonts w:hint="eastAsia" w:ascii="宋体" w:hAnsi="宋体" w:eastAsia="宋体" w:cs="宋体"/>
                <w:color w:val="auto"/>
                <w:sz w:val="24"/>
                <w:highlight w:val="none"/>
                <w:lang w:val="en-US" w:eastAsia="zh-CN"/>
              </w:rPr>
              <w:t>方案科学合理，可操作性强得4分。上述方案有缺</w:t>
            </w:r>
            <w:r>
              <w:rPr>
                <w:rFonts w:hint="eastAsia" w:ascii="宋体" w:hAnsi="宋体" w:eastAsia="宋体" w:cs="宋体"/>
                <w:color w:val="auto"/>
                <w:kern w:val="2"/>
                <w:sz w:val="24"/>
                <w:szCs w:val="24"/>
                <w:highlight w:val="none"/>
                <w:lang w:val="en-US" w:eastAsia="zh-CN" w:bidi="ar-SA"/>
              </w:rPr>
              <w:t>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vAlign w:val="center"/>
          </w:tcPr>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80" w:type="dxa"/>
            <w:vAlign w:val="center"/>
          </w:tcPr>
          <w:p>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329" w:type="dxa"/>
            <w:gridSpan w:val="3"/>
            <w:vMerge w:val="restart"/>
            <w:vAlign w:val="center"/>
          </w:tcPr>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产品要求</w:t>
            </w:r>
          </w:p>
        </w:tc>
        <w:tc>
          <w:tcPr>
            <w:tcW w:w="7294" w:type="dxa"/>
            <w:vAlign w:val="center"/>
          </w:tcPr>
          <w:p>
            <w:pPr>
              <w:widowControl/>
              <w:spacing w:line="340" w:lineRule="exac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en-US"/>
              </w:rPr>
              <w:t>提供的地下型白蚁监测控制装置产品整体性能先进性</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rPr>
              <w:t>、可靠性</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rPr>
              <w:t>和操作便捷性</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rPr>
              <w:t>等内容进行评审</w:t>
            </w:r>
            <w:r>
              <w:rPr>
                <w:rFonts w:hint="eastAsia"/>
                <w:color w:val="auto"/>
                <w:sz w:val="24"/>
                <w:highlight w:val="none"/>
              </w:rPr>
              <w:t>。</w:t>
            </w:r>
          </w:p>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需提供监测控制装置的图片及说明</w:t>
            </w:r>
            <w:r>
              <w:rPr>
                <w:rFonts w:hint="eastAsia" w:ascii="宋体" w:hAnsi="宋体" w:eastAsia="宋体" w:cs="宋体"/>
                <w:color w:val="auto"/>
                <w:sz w:val="24"/>
                <w:highlight w:val="none"/>
                <w:lang w:val="en-US" w:eastAsia="zh-CN"/>
              </w:rPr>
              <w:t>。</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0" w:type="dxa"/>
            <w:vAlign w:val="center"/>
          </w:tcPr>
          <w:p>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329" w:type="dxa"/>
            <w:gridSpan w:val="3"/>
            <w:vMerge w:val="continue"/>
            <w:vAlign w:val="center"/>
          </w:tcPr>
          <w:p>
            <w:pPr>
              <w:widowControl/>
              <w:spacing w:line="340" w:lineRule="exact"/>
              <w:rPr>
                <w:rFonts w:hint="eastAsia" w:ascii="宋体" w:hAnsi="宋体" w:eastAsia="宋体" w:cs="宋体"/>
                <w:color w:val="auto"/>
                <w:sz w:val="24"/>
                <w:highlight w:val="none"/>
              </w:rPr>
            </w:pPr>
          </w:p>
        </w:tc>
        <w:tc>
          <w:tcPr>
            <w:tcW w:w="7294" w:type="dxa"/>
            <w:vAlign w:val="center"/>
          </w:tcPr>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提供的白蚁防治药物的有效性（0-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分）、环保性（0-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分）和技术吻合性（0-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rPr>
              <w:t>等内容进行评审</w:t>
            </w:r>
            <w:r>
              <w:rPr>
                <w:rFonts w:hint="eastAsia"/>
                <w:color w:val="auto"/>
                <w:sz w:val="24"/>
                <w:highlight w:val="none"/>
              </w:rPr>
              <w:t>。</w:t>
            </w:r>
            <w:r>
              <w:rPr>
                <w:rFonts w:hint="eastAsia" w:ascii="宋体" w:hAnsi="宋体" w:eastAsia="宋体" w:cs="宋体"/>
                <w:color w:val="auto"/>
                <w:sz w:val="24"/>
                <w:highlight w:val="none"/>
                <w:lang w:val="en-US" w:eastAsia="zh-CN"/>
              </w:rPr>
              <w:t xml:space="preserve">   </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80" w:type="dxa"/>
            <w:vAlign w:val="center"/>
          </w:tcPr>
          <w:p>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329" w:type="dxa"/>
            <w:gridSpan w:val="3"/>
            <w:vMerge w:val="continue"/>
            <w:vAlign w:val="center"/>
          </w:tcPr>
          <w:p>
            <w:pPr>
              <w:widowControl/>
              <w:spacing w:line="340" w:lineRule="exact"/>
              <w:rPr>
                <w:rFonts w:hint="eastAsia" w:ascii="宋体" w:hAnsi="宋体" w:eastAsia="宋体" w:cs="宋体"/>
                <w:color w:val="auto"/>
                <w:sz w:val="24"/>
                <w:highlight w:val="none"/>
              </w:rPr>
            </w:pPr>
          </w:p>
        </w:tc>
        <w:tc>
          <w:tcPr>
            <w:tcW w:w="7294" w:type="dxa"/>
            <w:vAlign w:val="center"/>
          </w:tcPr>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使用监控装置的性能指标响应情况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投标产品在全国白蚁防治中心推荐产品目录《关于公布2021年度白蚁防治用品信息调研结果的通知》（全蚁﹝2021﹞36号）里的，得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提供全国白蚁防治中心推荐产品目录截图，否则不予认可。</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80" w:type="dxa"/>
            <w:vAlign w:val="center"/>
          </w:tcPr>
          <w:p>
            <w:pPr>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329" w:type="dxa"/>
            <w:gridSpan w:val="3"/>
            <w:vMerge w:val="continue"/>
            <w:vAlign w:val="center"/>
          </w:tcPr>
          <w:p>
            <w:pPr>
              <w:widowControl/>
              <w:spacing w:line="340" w:lineRule="exact"/>
              <w:rPr>
                <w:rFonts w:hint="eastAsia" w:ascii="宋体" w:hAnsi="宋体" w:eastAsia="宋体" w:cs="宋体"/>
                <w:color w:val="auto"/>
                <w:sz w:val="24"/>
                <w:highlight w:val="none"/>
              </w:rPr>
            </w:pPr>
          </w:p>
        </w:tc>
        <w:tc>
          <w:tcPr>
            <w:tcW w:w="7294" w:type="dxa"/>
            <w:vAlign w:val="center"/>
          </w:tcPr>
          <w:p>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白蚁预防药物的存储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与使用有严密的质量监控措施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和完善的存储场所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等内容进行评审。</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lang w:val="en-US" w:eastAsia="zh-CN"/>
              </w:rPr>
              <w:t>科学合理，可操作性强得6分。上述内容有缺项，每项扣2分，内容不够合理、操作性不强的每项扣0-2分，扣完为止。</w:t>
            </w:r>
          </w:p>
        </w:tc>
        <w:tc>
          <w:tcPr>
            <w:tcW w:w="774" w:type="dxa"/>
            <w:vAlign w:val="center"/>
          </w:tcPr>
          <w:p>
            <w:pPr>
              <w:widowControl/>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329" w:type="dxa"/>
            <w:gridSpan w:val="3"/>
            <w:vAlign w:val="center"/>
          </w:tcPr>
          <w:p>
            <w:pPr>
              <w:pStyle w:val="49"/>
              <w:jc w:val="center"/>
              <w:rPr>
                <w:rFonts w:ascii="宋体" w:hAnsi="宋体" w:cs="宋体"/>
                <w:color w:val="auto"/>
                <w:highlight w:val="none"/>
              </w:rPr>
            </w:pPr>
            <w:r>
              <w:rPr>
                <w:rFonts w:hint="eastAsia" w:ascii="宋体" w:hAnsi="宋体" w:eastAsia="宋体" w:cs="宋体"/>
                <w:i w:val="0"/>
                <w:iCs w:val="0"/>
                <w:color w:val="auto"/>
                <w:sz w:val="24"/>
                <w:szCs w:val="24"/>
                <w:highlight w:val="none"/>
              </w:rPr>
              <w:t>进度计划</w:t>
            </w:r>
          </w:p>
        </w:tc>
        <w:tc>
          <w:tcPr>
            <w:tcW w:w="7294" w:type="dxa"/>
            <w:vAlign w:val="center"/>
          </w:tcPr>
          <w:p>
            <w:pPr>
              <w:pStyle w:val="49"/>
              <w:jc w:val="left"/>
              <w:rPr>
                <w:rFonts w:hint="eastAsia" w:ascii="宋体" w:hAnsi="宋体" w:cs="宋体"/>
                <w:color w:val="auto"/>
                <w:sz w:val="24"/>
                <w:highlight w:val="none"/>
              </w:rPr>
            </w:pPr>
            <w:r>
              <w:rPr>
                <w:rFonts w:hint="eastAsia" w:ascii="宋体" w:hAnsi="宋体" w:eastAsia="宋体" w:cs="宋体"/>
                <w:i w:val="0"/>
                <w:iCs w:val="0"/>
                <w:color w:val="auto"/>
                <w:sz w:val="24"/>
                <w:szCs w:val="24"/>
                <w:highlight w:val="none"/>
              </w:rPr>
              <w:t>根据供应商的工作进度安排</w:t>
            </w:r>
            <w:r>
              <w:rPr>
                <w:rFonts w:hint="eastAsia" w:ascii="宋体" w:hAnsi="宋体" w:cs="宋体"/>
                <w:color w:val="auto"/>
                <w:sz w:val="24"/>
                <w:highlight w:val="none"/>
              </w:rPr>
              <w:t>（0-2）</w:t>
            </w:r>
            <w:r>
              <w:rPr>
                <w:rFonts w:hint="eastAsia" w:cs="宋体"/>
                <w:i w:val="0"/>
                <w:iCs w:val="0"/>
                <w:color w:val="auto"/>
                <w:sz w:val="24"/>
                <w:szCs w:val="24"/>
                <w:highlight w:val="none"/>
                <w:lang w:eastAsia="zh-CN"/>
              </w:rPr>
              <w:t>、时间节点</w:t>
            </w:r>
            <w:r>
              <w:rPr>
                <w:rFonts w:hint="eastAsia" w:ascii="宋体" w:hAnsi="宋体" w:cs="宋体"/>
                <w:color w:val="auto"/>
                <w:sz w:val="24"/>
                <w:highlight w:val="none"/>
              </w:rPr>
              <w:t>（0-2）</w:t>
            </w:r>
            <w:r>
              <w:rPr>
                <w:rFonts w:hint="eastAsia" w:ascii="宋体" w:hAnsi="宋体" w:eastAsia="宋体" w:cs="宋体"/>
                <w:i w:val="0"/>
                <w:iCs w:val="0"/>
                <w:color w:val="auto"/>
                <w:sz w:val="24"/>
                <w:szCs w:val="24"/>
                <w:highlight w:val="none"/>
              </w:rPr>
              <w:t>是否具有科学、合理</w:t>
            </w:r>
            <w:r>
              <w:rPr>
                <w:rFonts w:hint="eastAsia" w:ascii="宋体" w:hAnsi="宋体" w:cs="宋体"/>
                <w:color w:val="auto"/>
                <w:sz w:val="24"/>
                <w:highlight w:val="none"/>
              </w:rPr>
              <w:t>等内容进行评审</w:t>
            </w:r>
            <w:r>
              <w:rPr>
                <w:rFonts w:hint="eastAsia"/>
                <w:color w:val="auto"/>
                <w:sz w:val="24"/>
                <w:highlight w:val="none"/>
              </w:rPr>
              <w:t>。</w:t>
            </w:r>
            <w:r>
              <w:rPr>
                <w:rFonts w:hint="eastAsia"/>
                <w:color w:val="auto"/>
                <w:sz w:val="24"/>
                <w:highlight w:val="none"/>
                <w:lang w:eastAsia="zh-CN"/>
              </w:rPr>
              <w:t>方案</w:t>
            </w:r>
            <w:r>
              <w:rPr>
                <w:rFonts w:hint="eastAsia" w:ascii="宋体" w:hAnsi="宋体" w:eastAsia="宋体" w:cs="宋体"/>
                <w:color w:val="auto"/>
                <w:kern w:val="2"/>
                <w:sz w:val="24"/>
                <w:szCs w:val="24"/>
                <w:highlight w:val="none"/>
                <w:lang w:val="en-US" w:eastAsia="zh-CN" w:bidi="ar-SA"/>
              </w:rPr>
              <w:t>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分。上述方案有缺项，每项扣2分，方案不够合理、操作性不强的每项扣</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2分，扣完为止。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80" w:type="dxa"/>
            <w:vAlign w:val="center"/>
          </w:tcPr>
          <w:p>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329" w:type="dxa"/>
            <w:gridSpan w:val="3"/>
            <w:vAlign w:val="center"/>
          </w:tcPr>
          <w:p>
            <w:pPr>
              <w:pStyle w:val="45"/>
              <w:widowControl/>
              <w:spacing w:line="340" w:lineRule="exact"/>
              <w:rPr>
                <w:rFonts w:ascii="宋体" w:hAnsi="宋体" w:cs="宋体"/>
                <w:color w:val="auto"/>
                <w:highlight w:val="none"/>
              </w:rPr>
            </w:pPr>
            <w:r>
              <w:rPr>
                <w:rFonts w:hint="eastAsia" w:ascii="宋体" w:hAnsi="宋体" w:cs="宋体"/>
                <w:color w:val="auto"/>
                <w:highlight w:val="none"/>
              </w:rPr>
              <w:t>质量保障</w:t>
            </w:r>
          </w:p>
        </w:tc>
        <w:tc>
          <w:tcPr>
            <w:tcW w:w="7294" w:type="dxa"/>
            <w:vAlign w:val="center"/>
          </w:tcPr>
          <w:p>
            <w:pPr>
              <w:widowControl/>
              <w:spacing w:line="340" w:lineRule="exact"/>
              <w:rPr>
                <w:rFonts w:ascii="宋体" w:hAnsi="宋体" w:cs="宋体"/>
                <w:color w:val="auto"/>
                <w:sz w:val="24"/>
                <w:highlight w:val="none"/>
              </w:rPr>
            </w:pPr>
            <w:r>
              <w:rPr>
                <w:rFonts w:hint="eastAsia" w:ascii="宋体" w:hAnsi="宋体" w:cs="宋体"/>
                <w:color w:val="auto"/>
                <w:sz w:val="24"/>
                <w:highlight w:val="none"/>
              </w:rPr>
              <w:t>保障制度是否齐全（0-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），保证措施是否严密可行（0-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）等内容进行评审</w:t>
            </w:r>
            <w:r>
              <w:rPr>
                <w:rFonts w:hint="eastAsia"/>
                <w:color w:val="auto"/>
                <w:sz w:val="24"/>
                <w:highlight w:val="none"/>
              </w:rPr>
              <w:t>。</w:t>
            </w:r>
            <w:r>
              <w:rPr>
                <w:rFonts w:hint="eastAsia" w:ascii="宋体" w:hAnsi="宋体" w:eastAsia="宋体" w:cs="宋体"/>
                <w:color w:val="auto"/>
                <w:kern w:val="2"/>
                <w:sz w:val="24"/>
                <w:szCs w:val="24"/>
                <w:highlight w:val="none"/>
                <w:lang w:val="en-US" w:eastAsia="zh-CN" w:bidi="ar-SA"/>
              </w:rPr>
              <w:t>制度措施科学合理，可操作性强得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分，制度措施不够合理、操作性不强的每项扣</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329" w:type="dxa"/>
            <w:gridSpan w:val="3"/>
            <w:vAlign w:val="center"/>
          </w:tcPr>
          <w:p>
            <w:pPr>
              <w:pStyle w:val="49"/>
              <w:jc w:val="center"/>
              <w:rPr>
                <w:rFonts w:hint="eastAsia" w:ascii="宋体" w:hAnsi="宋体" w:cs="宋体"/>
                <w:color w:val="auto"/>
                <w:highlight w:val="none"/>
              </w:rPr>
            </w:pPr>
            <w:r>
              <w:rPr>
                <w:rFonts w:hint="eastAsia" w:ascii="宋体" w:hAnsi="宋体" w:eastAsia="宋体" w:cs="宋体"/>
                <w:i w:val="0"/>
                <w:iCs w:val="0"/>
                <w:color w:val="auto"/>
                <w:sz w:val="24"/>
                <w:szCs w:val="24"/>
                <w:highlight w:val="none"/>
              </w:rPr>
              <w:t>风险控制</w:t>
            </w:r>
          </w:p>
        </w:tc>
        <w:tc>
          <w:tcPr>
            <w:tcW w:w="7294" w:type="dxa"/>
            <w:vAlign w:val="center"/>
          </w:tcPr>
          <w:p>
            <w:pPr>
              <w:pStyle w:val="49"/>
              <w:jc w:val="left"/>
              <w:rPr>
                <w:rFonts w:hint="eastAsia" w:ascii="宋体" w:hAnsi="宋体" w:cs="宋体"/>
                <w:color w:val="auto"/>
                <w:sz w:val="24"/>
                <w:highlight w:val="none"/>
              </w:rPr>
            </w:pPr>
            <w:r>
              <w:rPr>
                <w:rFonts w:hint="eastAsia" w:ascii="宋体" w:hAnsi="宋体" w:eastAsia="宋体" w:cs="宋体"/>
                <w:i w:val="0"/>
                <w:iCs w:val="0"/>
                <w:color w:val="auto"/>
                <w:sz w:val="24"/>
                <w:szCs w:val="24"/>
                <w:highlight w:val="none"/>
              </w:rPr>
              <w:t>根据供应商提供的风险控制措施适用性、可行性</w:t>
            </w:r>
            <w:r>
              <w:rPr>
                <w:rFonts w:hint="eastAsia" w:ascii="宋体" w:hAnsi="宋体" w:cs="宋体"/>
                <w:color w:val="auto"/>
                <w:sz w:val="24"/>
                <w:highlight w:val="none"/>
              </w:rPr>
              <w:t>等内容进行评审</w:t>
            </w:r>
            <w:r>
              <w:rPr>
                <w:rFonts w:hint="eastAsia"/>
                <w:color w:val="auto"/>
                <w:sz w:val="24"/>
                <w:highlight w:val="none"/>
              </w:rPr>
              <w:t>。</w:t>
            </w:r>
          </w:p>
        </w:tc>
        <w:tc>
          <w:tcPr>
            <w:tcW w:w="774"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329" w:type="dxa"/>
            <w:gridSpan w:val="3"/>
            <w:vAlign w:val="center"/>
          </w:tcPr>
          <w:p>
            <w:pPr>
              <w:pStyle w:val="45"/>
              <w:widowControl/>
              <w:spacing w:line="340" w:lineRule="exact"/>
              <w:rPr>
                <w:rFonts w:ascii="宋体" w:hAnsi="宋体" w:cs="宋体"/>
                <w:color w:val="auto"/>
                <w:highlight w:val="none"/>
              </w:rPr>
            </w:pPr>
            <w:r>
              <w:rPr>
                <w:rFonts w:hint="eastAsia" w:ascii="宋体" w:hAnsi="宋体" w:cs="宋体"/>
                <w:color w:val="auto"/>
                <w:highlight w:val="none"/>
              </w:rPr>
              <w:t>提交成果</w:t>
            </w:r>
          </w:p>
        </w:tc>
        <w:tc>
          <w:tcPr>
            <w:tcW w:w="7294" w:type="dxa"/>
            <w:vAlign w:val="center"/>
          </w:tcPr>
          <w:p>
            <w:pPr>
              <w:widowControl/>
              <w:spacing w:line="340" w:lineRule="exact"/>
              <w:rPr>
                <w:rFonts w:ascii="宋体" w:hAnsi="宋体" w:cs="宋体"/>
                <w:color w:val="auto"/>
                <w:sz w:val="24"/>
                <w:highlight w:val="none"/>
              </w:rPr>
            </w:pPr>
            <w:r>
              <w:rPr>
                <w:rFonts w:hint="eastAsia" w:ascii="宋体" w:hAnsi="宋体" w:cs="宋体"/>
                <w:color w:val="auto"/>
                <w:sz w:val="24"/>
                <w:highlight w:val="none"/>
              </w:rPr>
              <w:t>成果文件编制（0-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）、资料归档（0-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）等工序流程是否科学、规范、严密等内容进行评审</w:t>
            </w:r>
            <w:r>
              <w:rPr>
                <w:rFonts w:hint="eastAsia"/>
                <w:color w:val="auto"/>
                <w:sz w:val="24"/>
                <w:highlight w:val="none"/>
              </w:rPr>
              <w:t>。</w:t>
            </w:r>
            <w:r>
              <w:rPr>
                <w:rFonts w:hint="eastAsia" w:ascii="宋体" w:hAnsi="宋体" w:eastAsia="宋体" w:cs="宋体"/>
                <w:color w:val="auto"/>
                <w:kern w:val="2"/>
                <w:sz w:val="24"/>
                <w:szCs w:val="24"/>
                <w:highlight w:val="none"/>
                <w:lang w:val="en-US" w:eastAsia="zh-CN" w:bidi="ar-SA"/>
              </w:rPr>
              <w:t>流程科学合理，可操作性强得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分。上述方案有缺项，每项扣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分，流程不够合理、操作性不强的每项扣</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分，扣完为止。</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0" w:type="dxa"/>
            <w:vAlign w:val="center"/>
          </w:tcPr>
          <w:p>
            <w:pPr>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329" w:type="dxa"/>
            <w:gridSpan w:val="3"/>
            <w:vAlign w:val="center"/>
          </w:tcPr>
          <w:p>
            <w:pPr>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合理化</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建议</w:t>
            </w:r>
          </w:p>
        </w:tc>
        <w:tc>
          <w:tcPr>
            <w:tcW w:w="7294" w:type="dxa"/>
            <w:vAlign w:val="center"/>
          </w:tcPr>
          <w:p>
            <w:pPr>
              <w:spacing w:line="3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根据投标人合理化建议的可行性及科学性等内容进行评审</w:t>
            </w:r>
            <w:r>
              <w:rPr>
                <w:rFonts w:hint="eastAsia" w:ascii="宋体" w:hAnsi="宋体" w:cs="宋体"/>
                <w:color w:val="auto"/>
                <w:sz w:val="24"/>
                <w:highlight w:val="none"/>
                <w:lang w:eastAsia="zh-CN"/>
              </w:rPr>
              <w:t>。</w:t>
            </w:r>
          </w:p>
        </w:tc>
        <w:tc>
          <w:tcPr>
            <w:tcW w:w="774" w:type="dxa"/>
            <w:vAlign w:val="center"/>
          </w:tcPr>
          <w:p>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0" w:type="dxa"/>
            <w:vAlign w:val="center"/>
          </w:tcPr>
          <w:p>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329" w:type="dxa"/>
            <w:gridSpan w:val="3"/>
            <w:vAlign w:val="center"/>
          </w:tcPr>
          <w:p>
            <w:pPr>
              <w:pStyle w:val="49"/>
              <w:jc w:val="center"/>
              <w:rPr>
                <w:rFonts w:ascii="宋体" w:hAnsi="宋体" w:cs="宋体"/>
                <w:color w:val="auto"/>
                <w:sz w:val="24"/>
                <w:highlight w:val="none"/>
              </w:rPr>
            </w:pPr>
            <w:r>
              <w:rPr>
                <w:rFonts w:hint="eastAsia" w:ascii="宋体" w:hAnsi="宋体" w:eastAsia="宋体" w:cs="宋体"/>
                <w:b w:val="0"/>
                <w:bCs/>
                <w:color w:val="auto"/>
                <w:kern w:val="2"/>
                <w:sz w:val="24"/>
                <w:szCs w:val="24"/>
                <w:highlight w:val="none"/>
                <w:lang w:val="en-US" w:eastAsia="zh-CN" w:bidi="ar"/>
              </w:rPr>
              <w:t>售后服务</w:t>
            </w:r>
            <w:r>
              <w:rPr>
                <w:rFonts w:hint="eastAsia" w:ascii="宋体" w:hAnsi="宋体" w:cs="宋体"/>
                <w:b w:val="0"/>
                <w:bCs/>
                <w:color w:val="auto"/>
                <w:kern w:val="2"/>
                <w:sz w:val="24"/>
                <w:szCs w:val="24"/>
                <w:highlight w:val="none"/>
                <w:lang w:val="en-US" w:eastAsia="zh-CN" w:bidi="ar"/>
              </w:rPr>
              <w:t>方案</w:t>
            </w:r>
          </w:p>
        </w:tc>
        <w:tc>
          <w:tcPr>
            <w:tcW w:w="7294" w:type="dxa"/>
            <w:vAlign w:val="center"/>
          </w:tcPr>
          <w:p>
            <w:pPr>
              <w:pStyle w:val="49"/>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根据供应商</w:t>
            </w:r>
            <w:r>
              <w:rPr>
                <w:rFonts w:hint="eastAsia" w:ascii="宋体" w:hAnsi="宋体" w:eastAsia="宋体" w:cs="宋体"/>
                <w:color w:val="auto"/>
                <w:sz w:val="24"/>
                <w:szCs w:val="24"/>
                <w:lang w:val="zh-CN" w:eastAsia="zh-CN"/>
              </w:rPr>
              <w:t>提供的售后服务方案</w:t>
            </w:r>
            <w:r>
              <w:rPr>
                <w:rFonts w:hint="eastAsia"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0-1</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和</w:t>
            </w:r>
            <w:r>
              <w:rPr>
                <w:rFonts w:hint="eastAsia" w:ascii="宋体" w:hAnsi="宋体" w:eastAsia="宋体" w:cs="宋体"/>
                <w:color w:val="auto"/>
                <w:sz w:val="24"/>
                <w:szCs w:val="24"/>
                <w:lang w:val="zh-CN" w:eastAsia="zh-CN"/>
              </w:rPr>
              <w:t>服务承诺落实的保障措施</w:t>
            </w:r>
            <w:r>
              <w:rPr>
                <w:rFonts w:hint="eastAsia" w:cs="宋体"/>
                <w:i w:val="0"/>
                <w:iCs w:val="0"/>
                <w:color w:val="auto"/>
                <w:sz w:val="24"/>
                <w:szCs w:val="24"/>
                <w:highlight w:val="none"/>
                <w:lang w:eastAsia="zh-CN"/>
              </w:rPr>
              <w:t>（</w:t>
            </w:r>
            <w:r>
              <w:rPr>
                <w:rFonts w:hint="eastAsia" w:cs="宋体"/>
                <w:i w:val="0"/>
                <w:iCs w:val="0"/>
                <w:color w:val="auto"/>
                <w:sz w:val="24"/>
                <w:szCs w:val="24"/>
                <w:highlight w:val="none"/>
                <w:lang w:val="en-US" w:eastAsia="zh-CN"/>
              </w:rPr>
              <w:t>0-1</w:t>
            </w:r>
            <w:r>
              <w:rPr>
                <w:rFonts w:hint="eastAsia"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的</w:t>
            </w:r>
            <w:r>
              <w:rPr>
                <w:rFonts w:hint="eastAsia" w:ascii="宋体" w:hAnsi="宋体" w:eastAsia="宋体" w:cs="宋体"/>
                <w:color w:val="auto"/>
                <w:sz w:val="24"/>
                <w:szCs w:val="24"/>
                <w:lang w:val="zh-CN" w:eastAsia="zh-CN"/>
              </w:rPr>
              <w:t>可行性、完整性</w:t>
            </w:r>
            <w:r>
              <w:rPr>
                <w:rFonts w:hint="eastAsia" w:ascii="宋体" w:hAnsi="宋体" w:eastAsia="宋体" w:cs="宋体"/>
                <w:color w:val="auto"/>
                <w:kern w:val="2"/>
                <w:sz w:val="24"/>
                <w:szCs w:val="24"/>
                <w:highlight w:val="none"/>
                <w:lang w:val="en-US" w:eastAsia="zh-CN" w:bidi="ar-SA"/>
              </w:rPr>
              <w:t>，可操作性强得</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分。上述方案有缺项，每项扣</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分，方案不够合理、操作性不强的每项扣</w:t>
            </w:r>
            <w:r>
              <w:rPr>
                <w:rFonts w:hint="eastAsia" w:ascii="宋体" w:hAnsi="宋体" w:cs="宋体"/>
                <w:color w:val="auto"/>
                <w:kern w:val="2"/>
                <w:sz w:val="24"/>
                <w:szCs w:val="24"/>
                <w:highlight w:val="none"/>
                <w:lang w:val="en-US" w:eastAsia="zh-CN" w:bidi="ar-SA"/>
              </w:rPr>
              <w:t>0-</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分，扣完为止。</w:t>
            </w:r>
          </w:p>
        </w:tc>
        <w:tc>
          <w:tcPr>
            <w:tcW w:w="774" w:type="dxa"/>
            <w:vAlign w:val="center"/>
          </w:tcPr>
          <w:p>
            <w:pPr>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8623" w:type="dxa"/>
            <w:gridSpan w:val="4"/>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商务资信及其他分</w:t>
            </w:r>
          </w:p>
        </w:tc>
        <w:tc>
          <w:tcPr>
            <w:tcW w:w="774"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0" w:type="dxa"/>
            <w:vAlign w:val="center"/>
          </w:tcPr>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73" w:type="dxa"/>
            <w:vMerge w:val="restart"/>
            <w:vAlign w:val="center"/>
          </w:tcPr>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商务资信部分</w:t>
            </w:r>
          </w:p>
        </w:tc>
        <w:tc>
          <w:tcPr>
            <w:tcW w:w="720" w:type="dxa"/>
            <w:vAlign w:val="center"/>
          </w:tcPr>
          <w:p>
            <w:pPr>
              <w:widowControl/>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实力</w:t>
            </w:r>
          </w:p>
        </w:tc>
        <w:tc>
          <w:tcPr>
            <w:tcW w:w="7530" w:type="dxa"/>
            <w:gridSpan w:val="2"/>
            <w:vAlign w:val="center"/>
          </w:tcPr>
          <w:p>
            <w:pPr>
              <w:pStyle w:val="46"/>
              <w:rPr>
                <w:rFonts w:ascii="宋体" w:hAnsi="宋体" w:cs="宋体"/>
                <w:color w:val="auto"/>
                <w:sz w:val="24"/>
                <w:szCs w:val="24"/>
                <w:highlight w:val="none"/>
              </w:rPr>
            </w:pPr>
            <w:r>
              <w:rPr>
                <w:rFonts w:hint="eastAsia" w:ascii="宋体" w:hAnsi="宋体" w:eastAsia="宋体" w:cs="宋体"/>
                <w:color w:val="auto"/>
                <w:sz w:val="24"/>
                <w:szCs w:val="24"/>
                <w:lang w:val="en-US" w:eastAsia="zh-CN"/>
              </w:rPr>
              <w:t>投标人具有</w:t>
            </w:r>
            <w:r>
              <w:rPr>
                <w:rFonts w:hint="eastAsia" w:ascii="宋体" w:hAnsi="宋体" w:eastAsia="宋体" w:cs="宋体"/>
                <w:color w:val="auto"/>
                <w:sz w:val="24"/>
                <w:szCs w:val="24"/>
                <w:lang w:val="zh-CN" w:eastAsia="zh-CN"/>
              </w:rPr>
              <w:t>白蚁防治企业一级得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分；拥有白蚁防治企业二级得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分；拥有白蚁防治企业三级得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分</w:t>
            </w:r>
            <w:r>
              <w:rPr>
                <w:rFonts w:hint="eastAsia" w:ascii="宋体" w:hAnsi="宋体" w:cs="宋体"/>
                <w:color w:val="auto"/>
                <w:sz w:val="24"/>
                <w:szCs w:val="24"/>
                <w:highlight w:val="none"/>
              </w:rPr>
              <w:t>。</w:t>
            </w:r>
          </w:p>
          <w:p>
            <w:pPr>
              <w:widowControl/>
              <w:spacing w:line="340" w:lineRule="exact"/>
              <w:rPr>
                <w:rFonts w:ascii="宋体" w:hAnsi="宋体" w:cs="宋体"/>
                <w:color w:val="auto"/>
                <w:sz w:val="24"/>
                <w:highlight w:val="none"/>
              </w:rPr>
            </w:pPr>
            <w:r>
              <w:rPr>
                <w:rFonts w:hint="eastAsia" w:ascii="宋体" w:hAnsi="宋体" w:cs="宋体"/>
                <w:color w:val="auto"/>
                <w:sz w:val="24"/>
                <w:highlight w:val="none"/>
              </w:rPr>
              <w:t>注：需提供证书复印件，不提供不得分。</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80" w:type="dxa"/>
            <w:vAlign w:val="center"/>
          </w:tcPr>
          <w:p>
            <w:pPr>
              <w:widowControl/>
              <w:spacing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73" w:type="dxa"/>
            <w:vMerge w:val="continue"/>
            <w:vAlign w:val="center"/>
          </w:tcPr>
          <w:p>
            <w:pPr>
              <w:widowControl/>
              <w:spacing w:line="340" w:lineRule="exact"/>
              <w:jc w:val="center"/>
              <w:rPr>
                <w:rFonts w:ascii="宋体" w:hAnsi="宋体" w:cs="宋体"/>
                <w:color w:val="auto"/>
                <w:sz w:val="24"/>
                <w:highlight w:val="none"/>
              </w:rPr>
            </w:pPr>
          </w:p>
        </w:tc>
        <w:tc>
          <w:tcPr>
            <w:tcW w:w="720" w:type="dxa"/>
            <w:vAlign w:val="center"/>
          </w:tcPr>
          <w:p>
            <w:pPr>
              <w:widowControl/>
              <w:spacing w:line="3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服务团队</w:t>
            </w:r>
          </w:p>
        </w:tc>
        <w:tc>
          <w:tcPr>
            <w:tcW w:w="7530" w:type="dxa"/>
            <w:gridSpan w:val="2"/>
            <w:vAlign w:val="center"/>
          </w:tcPr>
          <w:p>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项目经理具有白蚁防治专业高级技工或助理工程师及以上等级证书得1分；且同时具有白蚁防治职业培训合格证书的得（0-1分）；没有不得分，满分2分。</w:t>
            </w:r>
          </w:p>
          <w:p>
            <w:pPr>
              <w:widowControl/>
              <w:spacing w:line="340" w:lineRule="exact"/>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CN" w:eastAsia="zh-CN"/>
              </w:rPr>
              <w:t>项目班子其他成员持有白蚁防治职业资格证书或白蚁防治职业培训合格证书的专职人员4人的得2分,4人（不含）以上的每增加1人得0.5分，满分4分。</w:t>
            </w:r>
          </w:p>
          <w:p>
            <w:pPr>
              <w:widowControl/>
              <w:spacing w:line="3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eastAsia="zh-CN"/>
              </w:rPr>
              <w:t>(中标之后提供人员社保证明，如不能提供则作虚假应标处理并报财政部门列入黑名单</w:t>
            </w:r>
            <w:r>
              <w:rPr>
                <w:rFonts w:hint="eastAsia" w:ascii="宋体" w:hAnsi="宋体" w:eastAsia="宋体" w:cs="宋体"/>
                <w:color w:val="auto"/>
                <w:sz w:val="24"/>
                <w:highlight w:val="none"/>
                <w:lang w:val="zh-TW" w:eastAsia="zh-CN"/>
              </w:rPr>
              <w:t>）</w:t>
            </w:r>
          </w:p>
        </w:tc>
        <w:tc>
          <w:tcPr>
            <w:tcW w:w="774" w:type="dxa"/>
            <w:vAlign w:val="center"/>
          </w:tcPr>
          <w:p>
            <w:pPr>
              <w:widowControl/>
              <w:spacing w:line="3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0" w:type="dxa"/>
            <w:vAlign w:val="center"/>
          </w:tcPr>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373" w:type="dxa"/>
            <w:vMerge w:val="continue"/>
            <w:vAlign w:val="center"/>
          </w:tcPr>
          <w:p>
            <w:pPr>
              <w:widowControl/>
              <w:spacing w:line="340" w:lineRule="exact"/>
              <w:jc w:val="center"/>
              <w:rPr>
                <w:rFonts w:ascii="宋体" w:hAnsi="宋体" w:cs="宋体"/>
                <w:color w:val="auto"/>
                <w:sz w:val="24"/>
                <w:highlight w:val="none"/>
              </w:rPr>
            </w:pPr>
          </w:p>
        </w:tc>
        <w:tc>
          <w:tcPr>
            <w:tcW w:w="720" w:type="dxa"/>
            <w:vAlign w:val="center"/>
          </w:tcPr>
          <w:p>
            <w:pPr>
              <w:widowControl/>
              <w:spacing w:line="3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业绩</w:t>
            </w:r>
          </w:p>
        </w:tc>
        <w:tc>
          <w:tcPr>
            <w:tcW w:w="7530" w:type="dxa"/>
            <w:gridSpan w:val="2"/>
            <w:vAlign w:val="center"/>
          </w:tcPr>
          <w:p>
            <w:pPr>
              <w:widowControl/>
              <w:spacing w:line="340" w:lineRule="exact"/>
              <w:rPr>
                <w:rFonts w:hint="eastAsia" w:ascii="宋体" w:hAnsi="宋体" w:cs="宋体"/>
                <w:color w:val="auto"/>
                <w:sz w:val="24"/>
                <w:highlight w:val="none"/>
              </w:rPr>
            </w:pPr>
            <w:r>
              <w:rPr>
                <w:rFonts w:hint="eastAsia" w:ascii="宋体" w:hAnsi="宋体" w:eastAsia="宋体" w:cs="宋体"/>
                <w:color w:val="auto"/>
                <w:sz w:val="24"/>
                <w:highlight w:val="none"/>
                <w:lang w:val="zh-CN" w:eastAsia="zh-CN"/>
              </w:rPr>
              <w:t>投标人自</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lang w:val="zh-CN" w:eastAsia="zh-CN"/>
              </w:rPr>
              <w:t>年1月1日以来，具有白蚁防治同类项目业绩的，每提供一个业绩得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eastAsia="zh-CN"/>
              </w:rPr>
              <w:t>分，最高得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cs="宋体"/>
                <w:color w:val="auto"/>
                <w:sz w:val="24"/>
                <w:highlight w:val="none"/>
              </w:rPr>
              <w:t>。</w:t>
            </w:r>
          </w:p>
          <w:p>
            <w:pPr>
              <w:widowControl/>
              <w:spacing w:line="340" w:lineRule="exact"/>
              <w:rPr>
                <w:rFonts w:ascii="宋体" w:hAnsi="宋体" w:cs="宋体"/>
                <w:color w:val="auto"/>
                <w:sz w:val="24"/>
                <w:highlight w:val="none"/>
              </w:rPr>
            </w:pPr>
            <w:r>
              <w:rPr>
                <w:rFonts w:hint="eastAsia" w:ascii="宋体" w:hAnsi="宋体" w:cs="宋体"/>
                <w:color w:val="auto"/>
                <w:sz w:val="24"/>
                <w:highlight w:val="none"/>
              </w:rPr>
              <w:t>注：提供中标通知书或合同复印件，以签订时间为准。</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80" w:type="dxa"/>
            <w:vAlign w:val="center"/>
          </w:tcPr>
          <w:p>
            <w:pPr>
              <w:widowControl/>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373" w:type="dxa"/>
            <w:vMerge w:val="continue"/>
            <w:vAlign w:val="center"/>
          </w:tcPr>
          <w:p>
            <w:pPr>
              <w:widowControl/>
              <w:spacing w:line="340" w:lineRule="exact"/>
              <w:jc w:val="center"/>
              <w:rPr>
                <w:rFonts w:ascii="宋体" w:hAnsi="宋体" w:cs="宋体"/>
                <w:color w:val="auto"/>
                <w:sz w:val="24"/>
                <w:highlight w:val="none"/>
              </w:rPr>
            </w:pPr>
          </w:p>
        </w:tc>
        <w:tc>
          <w:tcPr>
            <w:tcW w:w="720" w:type="dxa"/>
            <w:vAlign w:val="center"/>
          </w:tcPr>
          <w:p>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体系认证</w:t>
            </w:r>
          </w:p>
        </w:tc>
        <w:tc>
          <w:tcPr>
            <w:tcW w:w="7530" w:type="dxa"/>
            <w:gridSpan w:val="2"/>
            <w:vAlign w:val="center"/>
          </w:tcPr>
          <w:p>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投标人通过ISO9001质量体系认证、ISO14001环境管理体系认证、ISO</w:t>
            </w:r>
            <w:r>
              <w:rPr>
                <w:rFonts w:hint="eastAsia" w:ascii="宋体" w:hAnsi="宋体" w:eastAsia="宋体" w:cs="宋体"/>
                <w:color w:val="auto"/>
                <w:sz w:val="24"/>
                <w:highlight w:val="none"/>
                <w:lang w:val="en-US" w:eastAsia="zh-CN"/>
              </w:rPr>
              <w:t>45001职业健康安全管理体系认证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GB/T27922服务认证证书的，每个得1分，最高得4分</w:t>
            </w:r>
            <w:r>
              <w:rPr>
                <w:rFonts w:hint="eastAsia" w:ascii="宋体" w:hAnsi="宋体" w:eastAsia="宋体" w:cs="宋体"/>
                <w:color w:val="auto"/>
                <w:sz w:val="24"/>
                <w:highlight w:val="none"/>
                <w:lang w:val="zh-CN" w:eastAsia="zh-CN"/>
              </w:rPr>
              <w:t>。</w:t>
            </w:r>
          </w:p>
          <w:p>
            <w:pPr>
              <w:widowControl/>
              <w:spacing w:line="340" w:lineRule="exac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（提供证书复印件</w:t>
            </w:r>
            <w:r>
              <w:rPr>
                <w:rFonts w:hint="eastAsia" w:ascii="宋体" w:hAnsi="宋体" w:eastAsia="宋体" w:cs="宋体"/>
                <w:color w:val="auto"/>
                <w:sz w:val="24"/>
                <w:highlight w:val="none"/>
                <w:lang w:val="en-US" w:eastAsia="zh-CN"/>
              </w:rPr>
              <w:t>且在有效期内，</w:t>
            </w:r>
            <w:r>
              <w:rPr>
                <w:rFonts w:hint="eastAsia" w:ascii="宋体" w:hAnsi="宋体" w:eastAsia="宋体" w:cs="宋体"/>
                <w:color w:val="auto"/>
                <w:sz w:val="24"/>
                <w:highlight w:val="none"/>
                <w:lang w:val="zh-CN" w:eastAsia="zh-CN"/>
              </w:rPr>
              <w:t>否则不得分）。</w:t>
            </w:r>
          </w:p>
        </w:tc>
        <w:tc>
          <w:tcPr>
            <w:tcW w:w="774" w:type="dxa"/>
            <w:vAlign w:val="center"/>
          </w:tcPr>
          <w:p>
            <w:pPr>
              <w:widowControl/>
              <w:spacing w:line="3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bl>
    <w:p>
      <w:pPr>
        <w:rPr>
          <w:color w:val="auto"/>
          <w:highlight w:val="none"/>
        </w:rPr>
      </w:pPr>
    </w:p>
    <w:p>
      <w:pPr>
        <w:adjustRightInd w:val="0"/>
        <w:snapToGrid w:val="0"/>
        <w:spacing w:line="440" w:lineRule="atLeast"/>
        <w:jc w:val="both"/>
        <w:rPr>
          <w:rFonts w:hint="eastAsia" w:ascii="宋体" w:hAnsi="宋体" w:cs="宋体"/>
          <w:b/>
          <w:color w:val="auto"/>
          <w:sz w:val="32"/>
          <w:szCs w:val="32"/>
          <w:highlight w:val="none"/>
        </w:rPr>
      </w:pPr>
    </w:p>
    <w:p>
      <w:pPr>
        <w:adjustRightInd w:val="0"/>
        <w:snapToGrid w:val="0"/>
        <w:spacing w:line="440" w:lineRule="atLeast"/>
        <w:jc w:val="center"/>
        <w:rPr>
          <w:rFonts w:hint="eastAsia" w:ascii="宋体" w:hAnsi="宋体" w:cs="宋体"/>
          <w:b/>
          <w:color w:val="auto"/>
          <w:sz w:val="32"/>
          <w:szCs w:val="32"/>
          <w:highlight w:val="none"/>
        </w:rPr>
      </w:pPr>
    </w:p>
    <w:p>
      <w:pPr>
        <w:adjustRightInd w:val="0"/>
        <w:snapToGrid w:val="0"/>
        <w:spacing w:line="440" w:lineRule="atLeast"/>
        <w:jc w:val="both"/>
        <w:rPr>
          <w:rFonts w:hint="eastAsia" w:ascii="宋体" w:hAnsi="宋体" w:cs="宋体"/>
          <w:b/>
          <w:color w:val="auto"/>
          <w:sz w:val="32"/>
          <w:szCs w:val="32"/>
          <w:highlight w:val="none"/>
        </w:rPr>
      </w:pPr>
    </w:p>
    <w:p>
      <w:pPr>
        <w:adjustRightInd w:val="0"/>
        <w:snapToGrid w:val="0"/>
        <w:spacing w:line="440" w:lineRule="atLeast"/>
        <w:jc w:val="center"/>
        <w:rPr>
          <w:rFonts w:ascii="宋体" w:hAnsi="宋体" w:cs="宋体"/>
          <w:color w:val="auto"/>
          <w:sz w:val="32"/>
          <w:szCs w:val="32"/>
          <w:highlight w:val="none"/>
        </w:rPr>
      </w:pPr>
      <w:r>
        <w:rPr>
          <w:rFonts w:hint="eastAsia" w:ascii="宋体" w:hAnsi="宋体" w:cs="宋体"/>
          <w:b/>
          <w:color w:val="auto"/>
          <w:sz w:val="32"/>
          <w:szCs w:val="32"/>
          <w:highlight w:val="none"/>
        </w:rPr>
        <w:t>第五章  政府采购合同</w:t>
      </w:r>
    </w:p>
    <w:p>
      <w:pPr>
        <w:pStyle w:val="15"/>
        <w:snapToGrid w:val="0"/>
        <w:spacing w:before="120" w:after="120" w:line="320" w:lineRule="exact"/>
        <w:rPr>
          <w:rFonts w:hAnsi="宋体" w:cs="宋体"/>
          <w:color w:val="auto"/>
          <w:highlight w:val="none"/>
        </w:rPr>
      </w:pP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项目名称：                   项目编号：               合同号：</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甲方（买方）：</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乙方（卖方）：</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color w:val="auto"/>
          <w:highlight w:val="none"/>
        </w:rPr>
      </w:pPr>
      <w:r>
        <w:rPr>
          <w:rFonts w:hint="eastAsia" w:hAnsi="宋体" w:cs="宋体"/>
          <w:color w:val="auto"/>
          <w:highlight w:val="none"/>
        </w:rPr>
        <w:t>鉴证方（招标方）：</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b/>
          <w:color w:val="auto"/>
          <w:highlight w:val="none"/>
        </w:rPr>
      </w:pPr>
      <w:r>
        <w:rPr>
          <w:rFonts w:hint="eastAsia" w:hAnsi="宋体" w:cs="宋体"/>
          <w:color w:val="auto"/>
          <w:highlight w:val="none"/>
        </w:rPr>
        <w:t>甲、乙双方根据</w:t>
      </w:r>
      <w:r>
        <w:rPr>
          <w:rFonts w:hint="eastAsia" w:hAnsi="宋体" w:cs="宋体"/>
          <w:color w:val="auto"/>
          <w:highlight w:val="none"/>
          <w:u w:val="single"/>
          <w:lang w:val="en-US" w:eastAsia="zh-CN"/>
        </w:rPr>
        <w:t xml:space="preserve">     </w:t>
      </w:r>
      <w:r>
        <w:rPr>
          <w:rFonts w:hint="eastAsia" w:hAnsi="宋体" w:cs="宋体"/>
          <w:color w:val="auto"/>
          <w:highlight w:val="none"/>
        </w:rPr>
        <w:t>年</w:t>
      </w:r>
      <w:r>
        <w:rPr>
          <w:rFonts w:hint="eastAsia" w:hAnsi="宋体" w:cs="宋体"/>
          <w:color w:val="auto"/>
          <w:highlight w:val="none"/>
          <w:u w:val="single"/>
          <w:lang w:val="en-US" w:eastAsia="zh-CN"/>
        </w:rPr>
        <w:t xml:space="preserve">    </w:t>
      </w:r>
      <w:r>
        <w:rPr>
          <w:rFonts w:hint="eastAsia" w:hAnsi="宋体" w:cs="宋体"/>
          <w:color w:val="auto"/>
          <w:highlight w:val="none"/>
        </w:rPr>
        <w:t>月</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 xml:space="preserve"> </w:t>
      </w:r>
      <w:r>
        <w:rPr>
          <w:rFonts w:hint="eastAsia" w:hAnsi="宋体" w:cs="宋体"/>
          <w:color w:val="auto"/>
          <w:highlight w:val="none"/>
        </w:rPr>
        <w:t>日东阳耀辉工程咨询有限公司关于项目公开招标的结果，签署本合同。</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一、服务内容</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 服务名称：</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 服务期限：</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 服务地址：</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二、合同金额</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1"/>
        <w:textAlignment w:val="auto"/>
        <w:rPr>
          <w:rFonts w:hAnsi="宋体" w:cs="宋体"/>
          <w:color w:val="auto"/>
          <w:highlight w:val="none"/>
        </w:rPr>
      </w:pPr>
      <w:r>
        <w:rPr>
          <w:rFonts w:hint="eastAsia" w:hAnsi="宋体" w:cs="宋体"/>
          <w:color w:val="auto"/>
          <w:highlight w:val="none"/>
        </w:rPr>
        <w:t xml:space="preserve"> 本合同金额为（大写）：_______________________元（￥_________元）人民币。</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三、知识产权及技术资料</w:t>
      </w:r>
    </w:p>
    <w:p>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b/>
          <w:color w:val="auto"/>
          <w:highlight w:val="none"/>
        </w:rPr>
      </w:pPr>
      <w:r>
        <w:rPr>
          <w:rFonts w:hint="eastAsia" w:hAnsi="宋体" w:cs="宋体"/>
          <w:color w:val="auto"/>
          <w:highlight w:val="none"/>
        </w:rPr>
        <w:t>1.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hAnsi="宋体" w:cs="宋体"/>
          <w:color w:val="auto"/>
          <w:highlight w:val="none"/>
        </w:rPr>
      </w:pPr>
      <w:r>
        <w:rPr>
          <w:rFonts w:hint="eastAsia" w:hAnsi="宋体" w:cs="宋体"/>
          <w:color w:val="auto"/>
          <w:highlight w:val="none"/>
        </w:rPr>
        <w:t>2.乙方应保证所提供的技术服务或其任何一部分均不会侵犯任何第三方的知识产权。</w:t>
      </w:r>
    </w:p>
    <w:p>
      <w:pPr>
        <w:pStyle w:val="15"/>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hAnsi="宋体" w:eastAsia="宋体" w:cs="宋体"/>
          <w:color w:val="auto"/>
          <w:highlight w:val="none"/>
          <w:lang w:val="en-US" w:eastAsia="zh-CN"/>
        </w:rPr>
      </w:pPr>
      <w:r>
        <w:rPr>
          <w:rFonts w:hint="eastAsia" w:hAnsi="宋体" w:cs="宋体"/>
          <w:color w:val="auto"/>
          <w:highlight w:val="none"/>
          <w:lang w:val="en-US" w:eastAsia="zh-CN"/>
        </w:rPr>
        <w:t>3.</w:t>
      </w:r>
      <w:r>
        <w:rPr>
          <w:rFonts w:hAnsi="宋体"/>
          <w:color w:val="auto"/>
        </w:rPr>
        <w:t>乙方应按招标文件规定的时间向甲方提供有关技术资料</w:t>
      </w:r>
      <w:r>
        <w:rPr>
          <w:rFonts w:hint="eastAsia" w:hAnsi="宋体"/>
          <w:color w:val="auto"/>
          <w:lang w:eastAsia="zh-CN"/>
        </w:rPr>
        <w:t>。</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0"/>
        <w:textAlignment w:val="auto"/>
        <w:rPr>
          <w:rFonts w:hint="eastAsia" w:hAnsi="宋体" w:cs="宋体"/>
          <w:b/>
          <w:color w:val="auto"/>
          <w:highlight w:val="none"/>
        </w:rPr>
      </w:pPr>
      <w:r>
        <w:rPr>
          <w:rFonts w:hint="eastAsia" w:hAnsi="宋体" w:cs="宋体"/>
          <w:b/>
          <w:color w:val="auto"/>
          <w:highlight w:val="none"/>
        </w:rPr>
        <w:t>四、履约保证金</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79" w:leftChars="228" w:firstLine="72" w:firstLineChars="30"/>
        <w:textAlignment w:val="auto"/>
        <w:rPr>
          <w:rFonts w:hint="eastAsia" w:ascii="宋体" w:hAnsi="宋体" w:eastAsia="宋体" w:cs="宋体"/>
          <w:bCs/>
          <w:color w:val="auto"/>
          <w:sz w:val="24"/>
          <w:highlight w:val="none"/>
          <w:lang w:eastAsia="zh-CN"/>
        </w:rPr>
      </w:pPr>
      <w:r>
        <w:rPr>
          <w:rFonts w:hint="eastAsia" w:hAnsi="宋体" w:cs="宋体"/>
          <w:color w:val="auto"/>
          <w:kern w:val="0"/>
          <w:highlight w:val="none"/>
          <w:lang w:eastAsia="zh-CN"/>
        </w:rPr>
        <w:t>本项目</w:t>
      </w:r>
      <w:r>
        <w:rPr>
          <w:rFonts w:hint="eastAsia" w:ascii="宋体" w:hAnsi="宋体" w:eastAsia="宋体" w:cs="宋体"/>
          <w:color w:val="auto"/>
          <w:kern w:val="0"/>
          <w:highlight w:val="none"/>
        </w:rPr>
        <w:t>不收取履约保证金</w:t>
      </w:r>
      <w:r>
        <w:rPr>
          <w:rFonts w:hint="eastAsia" w:hAnsi="宋体" w:cs="宋体"/>
          <w:color w:val="auto"/>
          <w:kern w:val="0"/>
          <w:highlight w:val="none"/>
          <w:lang w:eastAsia="zh-CN"/>
        </w:rPr>
        <w:t>。</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10" w:hanging="410" w:hangingChars="170"/>
        <w:textAlignment w:val="auto"/>
        <w:rPr>
          <w:rFonts w:hAnsi="宋体" w:cs="宋体"/>
          <w:b/>
          <w:color w:val="auto"/>
          <w:highlight w:val="none"/>
        </w:rPr>
      </w:pPr>
      <w:r>
        <w:rPr>
          <w:rFonts w:hint="eastAsia" w:hAnsi="宋体" w:cs="宋体"/>
          <w:b/>
          <w:color w:val="auto"/>
          <w:highlight w:val="none"/>
        </w:rPr>
        <w:t>五、转包或分包</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kern w:val="0"/>
          <w:highlight w:val="none"/>
        </w:rPr>
      </w:pPr>
      <w:r>
        <w:rPr>
          <w:rFonts w:hint="eastAsia" w:hAnsi="宋体" w:cs="宋体"/>
          <w:color w:val="auto"/>
          <w:kern w:val="0"/>
          <w:highlight w:val="none"/>
        </w:rPr>
        <w:t>2.本项目分包按照浙财采监[2022]3号文件执行。</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六、服务款支付</w:t>
      </w:r>
    </w:p>
    <w:p>
      <w:pPr>
        <w:keepNext w:val="0"/>
        <w:keepLines w:val="0"/>
        <w:pageBreakBefore w:val="0"/>
        <w:shd w:val="clear" w:color="auto" w:fill="auto"/>
        <w:kinsoku/>
        <w:wordWrap/>
        <w:overflowPunct/>
        <w:topLinePunct w:val="0"/>
        <w:autoSpaceDE/>
        <w:autoSpaceDN/>
        <w:bidi w:val="0"/>
        <w:adjustRightInd w:val="0"/>
        <w:snapToGrid w:val="0"/>
        <w:spacing w:line="440" w:lineRule="exact"/>
        <w:ind w:firstLine="464"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pacing w:val="-4"/>
          <w:sz w:val="24"/>
          <w:highlight w:val="none"/>
        </w:rPr>
        <w:t>1.</w:t>
      </w:r>
      <w:r>
        <w:rPr>
          <w:rFonts w:hint="eastAsia" w:ascii="宋体" w:hAnsi="宋体" w:eastAsia="宋体" w:cs="宋体"/>
          <w:color w:val="auto"/>
          <w:kern w:val="2"/>
          <w:sz w:val="24"/>
          <w:szCs w:val="24"/>
          <w:highlight w:val="none"/>
          <w:lang w:val="en-US" w:eastAsia="zh-CN" w:bidi="ar-SA"/>
        </w:rPr>
        <w:t>新建房屋白蚁防治项目服务费用以中标单价为结算基准价，分配给中标单位施工的项目待施工方案确定后7个工作日内支付该批次合同金额的30%作为服务费预付款（中标单价×数量×30%），服务费由采购单位根据当期业务量和资金落实情况按季度支付剩余的70%，即：该批次完工验收后，7个工作日内付至合同金额的100%。</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2.由考核验收结果或违约责任引起的经济扣罚直接在当季核拨的经费中扣除；应急性任务或上级交办工作的费用，凭政府采购中标通知书、合同、工作量结算清单向采购单位申请支付；</w:t>
      </w:r>
    </w:p>
    <w:p>
      <w:pPr>
        <w:pStyle w:val="23"/>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3.中标人办理费用结算时须提供正式税务发票。</w:t>
      </w:r>
    </w:p>
    <w:p>
      <w:pPr>
        <w:pStyle w:val="23"/>
        <w:keepNext w:val="0"/>
        <w:keepLines w:val="0"/>
        <w:pageBreakBefore w:val="0"/>
        <w:widowControl w:val="0"/>
        <w:kinsoku/>
        <w:wordWrap/>
        <w:overflowPunct/>
        <w:topLinePunct w:val="0"/>
        <w:autoSpaceDE/>
        <w:autoSpaceDN/>
        <w:bidi w:val="0"/>
        <w:adjustRightInd/>
        <w:snapToGrid w:val="0"/>
        <w:spacing w:before="120" w:beforeLines="50" w:beforeAutospacing="0" w:after="120" w:afterLines="50" w:afterAutospacing="0" w:line="400" w:lineRule="exact"/>
        <w:ind w:firstLine="482" w:firstLineChars="200"/>
        <w:jc w:val="both"/>
        <w:textAlignment w:val="auto"/>
        <w:rPr>
          <w:rFonts w:cs="宋体"/>
          <w:b/>
          <w:color w:val="auto"/>
          <w:szCs w:val="20"/>
          <w:highlight w:val="none"/>
        </w:rPr>
      </w:pPr>
      <w:r>
        <w:rPr>
          <w:rFonts w:hint="eastAsia" w:cs="宋体"/>
          <w:b/>
          <w:color w:val="auto"/>
          <w:highlight w:val="none"/>
        </w:rPr>
        <w:t>七、税费</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八、调试和验收</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79" w:leftChars="228" w:firstLine="69" w:firstLineChars="29"/>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采购单位组织</w:t>
      </w:r>
      <w:r>
        <w:rPr>
          <w:rFonts w:hint="eastAsia" w:ascii="宋体" w:hAnsi="宋体" w:eastAsia="宋体" w:cs="宋体"/>
          <w:color w:val="auto"/>
          <w:highlight w:val="none"/>
          <w:lang w:val="en-US" w:eastAsia="zh-CN"/>
        </w:rPr>
        <w:t>验收</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left="412" w:hanging="412" w:hangingChars="171"/>
        <w:textAlignment w:val="auto"/>
        <w:rPr>
          <w:rFonts w:hAnsi="宋体" w:cs="宋体"/>
          <w:color w:val="auto"/>
          <w:highlight w:val="none"/>
        </w:rPr>
      </w:pPr>
      <w:r>
        <w:rPr>
          <w:rFonts w:hint="eastAsia" w:hAnsi="宋体" w:cs="宋体"/>
          <w:b/>
          <w:color w:val="auto"/>
          <w:highlight w:val="none"/>
        </w:rPr>
        <w:t>九、服务质量保证及售后服务</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hAnsi="宋体" w:cs="宋体"/>
          <w:color w:val="auto"/>
          <w:highlight w:val="none"/>
          <w:lang w:val="en-US" w:eastAsia="zh-CN"/>
        </w:rPr>
        <w:t>.</w:t>
      </w:r>
      <w:r>
        <w:rPr>
          <w:rFonts w:hAnsi="宋体"/>
          <w:color w:val="auto"/>
        </w:rPr>
        <w:t>乙方应按招标文件规定向甲方提供服务</w:t>
      </w:r>
      <w:r>
        <w:rPr>
          <w:rFonts w:hint="eastAsia" w:ascii="宋体" w:hAnsi="宋体" w:eastAsia="宋体" w:cs="宋体"/>
          <w:color w:val="auto"/>
          <w:highlight w:val="none"/>
        </w:rPr>
        <w:t>。</w:t>
      </w:r>
    </w:p>
    <w:p>
      <w:pPr>
        <w:pStyle w:val="15"/>
        <w:snapToGrid w:val="0"/>
        <w:spacing w:before="120" w:after="120" w:line="240" w:lineRule="auto"/>
        <w:ind w:left="479" w:leftChars="228" w:firstLine="0" w:firstLineChars="0"/>
        <w:rPr>
          <w:rFonts w:hAnsi="宋体"/>
          <w:color w:val="auto"/>
        </w:rPr>
      </w:pPr>
      <w:r>
        <w:rPr>
          <w:rFonts w:hint="eastAsia" w:ascii="宋体" w:hAnsi="宋体" w:eastAsia="宋体" w:cs="宋体"/>
          <w:color w:val="auto"/>
          <w:highlight w:val="none"/>
          <w:lang w:val="en-US" w:eastAsia="zh-CN"/>
        </w:rPr>
        <w:t>2</w:t>
      </w:r>
      <w:r>
        <w:rPr>
          <w:rFonts w:hint="eastAsia" w:hAnsi="宋体" w:cs="宋体"/>
          <w:color w:val="auto"/>
          <w:highlight w:val="none"/>
          <w:lang w:val="en-US" w:eastAsia="zh-CN"/>
        </w:rPr>
        <w:t>.</w:t>
      </w:r>
      <w:r>
        <w:rPr>
          <w:rFonts w:hAnsi="宋体"/>
          <w:color w:val="auto"/>
        </w:rPr>
        <w:t>乙方提供的服务成果在服务质量保证期内发生故障，乙方应负责免费提供后续服务。对达不到要求者，根据实际情况，经双方协商，可按以下办法处理：</w:t>
      </w:r>
    </w:p>
    <w:p>
      <w:pPr>
        <w:pStyle w:val="15"/>
        <w:snapToGrid w:val="0"/>
        <w:spacing w:before="120" w:after="120" w:line="240" w:lineRule="auto"/>
        <w:ind w:firstLine="720" w:firstLineChars="300"/>
        <w:rPr>
          <w:rFonts w:hAnsi="宋体"/>
          <w:color w:val="auto"/>
        </w:rPr>
      </w:pPr>
      <w:r>
        <w:rPr>
          <w:rFonts w:hAnsi="宋体"/>
          <w:color w:val="auto"/>
        </w:rPr>
        <w:t>⑴重做：由乙方承担所发生的全部费用。</w:t>
      </w:r>
    </w:p>
    <w:p>
      <w:pPr>
        <w:pStyle w:val="15"/>
        <w:snapToGrid w:val="0"/>
        <w:spacing w:before="120" w:after="120" w:line="240" w:lineRule="auto"/>
        <w:ind w:firstLine="720" w:firstLineChars="300"/>
        <w:rPr>
          <w:rFonts w:hAnsi="宋体"/>
          <w:color w:val="auto"/>
        </w:rPr>
      </w:pPr>
      <w:r>
        <w:rPr>
          <w:rFonts w:hAnsi="宋体"/>
          <w:color w:val="auto"/>
        </w:rPr>
        <w:t>⑵贬值处理：由甲乙双方合议定价。</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720" w:firstLineChars="300"/>
        <w:textAlignment w:val="auto"/>
        <w:rPr>
          <w:rFonts w:hint="eastAsia" w:ascii="宋体" w:hAnsi="宋体" w:eastAsia="宋体" w:cs="宋体"/>
          <w:color w:val="auto"/>
          <w:highlight w:val="none"/>
        </w:rPr>
      </w:pPr>
      <w:r>
        <w:rPr>
          <w:rFonts w:hAnsi="宋体"/>
          <w:color w:val="auto"/>
        </w:rPr>
        <w:t>⑶解除合同</w:t>
      </w:r>
      <w:r>
        <w:rPr>
          <w:rFonts w:hint="eastAsia" w:ascii="宋体" w:hAnsi="宋体" w:eastAsia="宋体" w:cs="宋体"/>
          <w:color w:val="auto"/>
          <w:highlight w:val="none"/>
        </w:rPr>
        <w:t>。</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w:t>
      </w:r>
      <w:r>
        <w:rPr>
          <w:rFonts w:hAnsi="宋体"/>
          <w:color w:val="auto"/>
        </w:rPr>
        <w:t>如在使用过程中发生问题，乙方在接到甲方通知后</w:t>
      </w:r>
      <w:r>
        <w:rPr>
          <w:rFonts w:hint="eastAsia" w:hAnsi="宋体"/>
          <w:color w:val="auto"/>
          <w:u w:val="single"/>
        </w:rPr>
        <w:t xml:space="preserve">    </w:t>
      </w:r>
      <w:r>
        <w:rPr>
          <w:rFonts w:hAnsi="宋体"/>
          <w:color w:val="auto"/>
        </w:rPr>
        <w:t>小时内到达甲方现场</w:t>
      </w:r>
      <w:r>
        <w:rPr>
          <w:rFonts w:hint="eastAsia" w:ascii="宋体" w:hAnsi="宋体" w:eastAsia="宋体" w:cs="宋体"/>
          <w:color w:val="auto"/>
          <w:highlight w:val="none"/>
        </w:rPr>
        <w:t>。</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b/>
          <w:color w:val="auto"/>
          <w:highlight w:val="none"/>
        </w:rPr>
      </w:pPr>
      <w:r>
        <w:rPr>
          <w:rFonts w:hint="eastAsia" w:hAnsi="宋体" w:cs="宋体"/>
          <w:color w:val="auto"/>
          <w:highlight w:val="none"/>
          <w:lang w:val="en-US" w:eastAsia="zh-CN"/>
        </w:rPr>
        <w:t>4.</w:t>
      </w:r>
      <w:r>
        <w:rPr>
          <w:rFonts w:hint="eastAsia" w:hAnsi="宋体" w:cs="宋体"/>
          <w:color w:val="auto"/>
          <w:highlight w:val="none"/>
        </w:rPr>
        <w:t>在服务期内，乙方应对服务成果出现的质量问题负责处理解决并承担一切费用。</w:t>
      </w:r>
      <w:r>
        <w:rPr>
          <w:rFonts w:hint="eastAsia" w:hAnsi="宋体" w:cs="宋体"/>
          <w:b/>
          <w:color w:val="auto"/>
          <w:highlight w:val="none"/>
        </w:rPr>
        <w:t>十、不可抗力事件处理</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十一、诉讼</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双方在执行合同中所发生的一切争议，应通过协商解决。如协商不成，可向甲方所在地法院起诉。</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十二、合同生效及其它</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1.合同经双方法定代表人或委托代理人签字并加盖单位公章后生效。</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2.合同执行中涉及采购资金和采购内容修改或补充的，须经财政部门审批，并签书面补充协议报政府采购监督管理部门备案，方可作为主合同不可分割的一部分。</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4.本合同一式六份，甲乙双方各执二份、采购办、代理机构各执一份，具有同等法律效力。</w:t>
      </w:r>
    </w:p>
    <w:p>
      <w:pPr>
        <w:pStyle w:val="15"/>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5.声明：本合同样本仅供参考，甲乙双方可就招标文件的非实质性条款进行修改，但不能修改实质性条款，甲乙双方对合同的真实性负责，鉴证方只负责见证项目招标的真实性。</w:t>
      </w:r>
    </w:p>
    <w:p>
      <w:pPr>
        <w:pStyle w:val="15"/>
        <w:spacing w:before="120" w:after="120" w:line="320" w:lineRule="exact"/>
        <w:rPr>
          <w:rFonts w:hint="eastAsia" w:hAnsi="宋体" w:cs="宋体"/>
          <w:b/>
          <w:bCs/>
          <w:color w:val="auto"/>
          <w:highlight w:val="none"/>
        </w:rPr>
      </w:pPr>
    </w:p>
    <w:p>
      <w:pPr>
        <w:pStyle w:val="15"/>
        <w:spacing w:before="120" w:after="120" w:line="320" w:lineRule="exact"/>
        <w:rPr>
          <w:rFonts w:hAnsi="宋体" w:cs="宋体"/>
          <w:color w:val="auto"/>
          <w:highlight w:val="none"/>
        </w:rPr>
      </w:pPr>
      <w:r>
        <w:rPr>
          <w:rFonts w:hint="eastAsia" w:hAnsi="宋体" w:cs="宋体"/>
          <w:b/>
          <w:bCs/>
          <w:color w:val="auto"/>
          <w:highlight w:val="none"/>
        </w:rPr>
        <w:t>甲方（盖章）：                      乙方（盖章）：</w:t>
      </w:r>
    </w:p>
    <w:p>
      <w:pPr>
        <w:pStyle w:val="15"/>
        <w:snapToGrid w:val="0"/>
        <w:spacing w:before="120" w:after="120" w:line="320" w:lineRule="exact"/>
        <w:ind w:leftChars="-1" w:hanging="2"/>
        <w:rPr>
          <w:rFonts w:hAnsi="宋体" w:cs="宋体"/>
          <w:color w:val="auto"/>
          <w:highlight w:val="none"/>
        </w:rPr>
      </w:pPr>
      <w:r>
        <w:rPr>
          <w:rFonts w:hint="eastAsia" w:hAnsi="宋体" w:cs="宋体"/>
          <w:color w:val="auto"/>
          <w:highlight w:val="none"/>
        </w:rPr>
        <w:t>法定代表人或受委托人                 法定代表人或受委托人</w:t>
      </w:r>
    </w:p>
    <w:p>
      <w:pPr>
        <w:pStyle w:val="15"/>
        <w:snapToGrid w:val="0"/>
        <w:spacing w:before="120" w:after="120" w:line="320" w:lineRule="exact"/>
        <w:ind w:left="2" w:leftChars="-85" w:hanging="180" w:hangingChars="75"/>
        <w:rPr>
          <w:rFonts w:hAnsi="宋体" w:cs="宋体"/>
          <w:color w:val="auto"/>
          <w:highlight w:val="none"/>
        </w:rPr>
      </w:pPr>
      <w:r>
        <w:rPr>
          <w:rFonts w:hint="eastAsia" w:hAnsi="宋体" w:cs="宋体"/>
          <w:color w:val="auto"/>
          <w:highlight w:val="none"/>
        </w:rPr>
        <w:t>（签字）                             （签字）</w:t>
      </w:r>
    </w:p>
    <w:p>
      <w:pPr>
        <w:pStyle w:val="15"/>
        <w:snapToGrid w:val="0"/>
        <w:spacing w:before="120" w:after="120" w:line="320" w:lineRule="exact"/>
        <w:ind w:leftChars="-1" w:hanging="2"/>
        <w:rPr>
          <w:rFonts w:hAnsi="宋体" w:cs="宋体"/>
          <w:color w:val="auto"/>
          <w:highlight w:val="none"/>
        </w:rPr>
      </w:pPr>
      <w:r>
        <w:rPr>
          <w:rFonts w:hint="eastAsia" w:hAnsi="宋体" w:cs="宋体"/>
          <w:color w:val="auto"/>
          <w:highlight w:val="none"/>
        </w:rPr>
        <w:t xml:space="preserve">地址：                               地址： </w:t>
      </w:r>
    </w:p>
    <w:p>
      <w:pPr>
        <w:pStyle w:val="15"/>
        <w:snapToGrid w:val="0"/>
        <w:spacing w:before="120" w:after="120" w:line="320" w:lineRule="exact"/>
        <w:ind w:leftChars="-1" w:hanging="2"/>
        <w:rPr>
          <w:rFonts w:hAnsi="宋体" w:cs="宋体"/>
          <w:color w:val="auto"/>
          <w:highlight w:val="none"/>
        </w:rPr>
      </w:pPr>
      <w:r>
        <w:rPr>
          <w:rFonts w:hint="eastAsia" w:hAnsi="宋体" w:cs="宋体"/>
          <w:color w:val="auto"/>
          <w:highlight w:val="none"/>
        </w:rPr>
        <w:t>电话：                               电话：</w:t>
      </w:r>
    </w:p>
    <w:p>
      <w:pPr>
        <w:pStyle w:val="15"/>
        <w:snapToGrid w:val="0"/>
        <w:spacing w:before="120" w:after="120" w:line="320" w:lineRule="exact"/>
        <w:ind w:leftChars="-1" w:hanging="2"/>
        <w:rPr>
          <w:rFonts w:hAnsi="宋体" w:cs="宋体"/>
          <w:color w:val="auto"/>
          <w:highlight w:val="none"/>
        </w:rPr>
      </w:pPr>
      <w:r>
        <w:rPr>
          <w:rFonts w:hint="eastAsia" w:hAnsi="宋体" w:cs="宋体"/>
          <w:color w:val="auto"/>
          <w:highlight w:val="none"/>
        </w:rPr>
        <w:t>传真：                               传真：</w:t>
      </w:r>
    </w:p>
    <w:p>
      <w:pPr>
        <w:pStyle w:val="15"/>
        <w:snapToGrid w:val="0"/>
        <w:spacing w:before="120" w:after="120" w:line="320" w:lineRule="exact"/>
        <w:ind w:leftChars="-1" w:hanging="2"/>
        <w:rPr>
          <w:rFonts w:hAnsi="宋体" w:cs="宋体"/>
          <w:color w:val="auto"/>
          <w:highlight w:val="none"/>
        </w:rPr>
      </w:pPr>
      <w:r>
        <w:rPr>
          <w:rFonts w:hint="eastAsia" w:hAnsi="宋体" w:cs="宋体"/>
          <w:color w:val="auto"/>
          <w:highlight w:val="none"/>
        </w:rPr>
        <w:t>开户银行：                           开户银行：</w:t>
      </w:r>
    </w:p>
    <w:p>
      <w:pPr>
        <w:pStyle w:val="15"/>
        <w:snapToGrid w:val="0"/>
        <w:spacing w:before="120" w:after="120" w:line="320" w:lineRule="exact"/>
        <w:ind w:leftChars="-1" w:hanging="2"/>
        <w:rPr>
          <w:rFonts w:hAnsi="宋体" w:cs="宋体"/>
          <w:b/>
          <w:bCs/>
          <w:color w:val="auto"/>
          <w:highlight w:val="none"/>
        </w:rPr>
      </w:pPr>
      <w:r>
        <w:rPr>
          <w:rFonts w:hint="eastAsia" w:hAnsi="宋体" w:cs="宋体"/>
          <w:color w:val="auto"/>
          <w:highlight w:val="none"/>
        </w:rPr>
        <w:t>账号：                               账号：</w:t>
      </w:r>
    </w:p>
    <w:p>
      <w:pPr>
        <w:pStyle w:val="15"/>
        <w:snapToGrid w:val="0"/>
        <w:spacing w:before="120" w:after="120" w:line="320" w:lineRule="exact"/>
        <w:rPr>
          <w:rFonts w:hAnsi="宋体" w:cs="宋体"/>
          <w:b/>
          <w:bCs/>
          <w:color w:val="auto"/>
          <w:highlight w:val="none"/>
        </w:rPr>
      </w:pPr>
      <w:r>
        <w:rPr>
          <w:rFonts w:hint="eastAsia" w:hAnsi="宋体" w:cs="宋体"/>
          <w:b/>
          <w:bCs/>
          <w:color w:val="auto"/>
          <w:highlight w:val="none"/>
        </w:rPr>
        <w:t>鉴证方（盖章）：</w:t>
      </w:r>
    </w:p>
    <w:p>
      <w:pPr>
        <w:pStyle w:val="15"/>
        <w:snapToGrid w:val="0"/>
        <w:spacing w:before="120" w:after="120" w:line="320" w:lineRule="exact"/>
        <w:rPr>
          <w:rFonts w:hAnsi="宋体" w:cs="宋体"/>
          <w:color w:val="auto"/>
          <w:highlight w:val="none"/>
        </w:rPr>
      </w:pPr>
      <w:r>
        <w:rPr>
          <w:rFonts w:hint="eastAsia" w:hAnsi="宋体" w:cs="宋体"/>
          <w:color w:val="auto"/>
          <w:highlight w:val="none"/>
        </w:rPr>
        <w:t>法定代表人或主要负责人:</w:t>
      </w:r>
    </w:p>
    <w:p>
      <w:pPr>
        <w:pStyle w:val="15"/>
        <w:tabs>
          <w:tab w:val="left" w:pos="2472"/>
        </w:tabs>
        <w:snapToGrid w:val="0"/>
        <w:spacing w:beforeLines="0" w:afterLines="0" w:line="320" w:lineRule="exact"/>
        <w:rPr>
          <w:rFonts w:hAnsi="宋体" w:cs="宋体"/>
          <w:color w:val="auto"/>
          <w:highlight w:val="none"/>
        </w:rPr>
      </w:pPr>
      <w:r>
        <w:rPr>
          <w:rFonts w:hint="eastAsia" w:hAnsi="宋体" w:cs="宋体"/>
          <w:color w:val="auto"/>
          <w:highlight w:val="none"/>
        </w:rPr>
        <w:t>联系电话：                                          签约时间：</w:t>
      </w:r>
    </w:p>
    <w:p>
      <w:pPr>
        <w:pageBreakBefore/>
        <w:spacing w:line="360" w:lineRule="auto"/>
        <w:ind w:firstLine="2891" w:firstLineChars="900"/>
        <w:outlineLvl w:val="1"/>
        <w:rPr>
          <w:rFonts w:ascii="宋体" w:hAnsi="宋体" w:cs="宋体"/>
          <w:b/>
          <w:color w:val="auto"/>
          <w:sz w:val="32"/>
          <w:szCs w:val="32"/>
          <w:highlight w:val="none"/>
        </w:rPr>
      </w:pPr>
      <w:bookmarkStart w:id="4" w:name="_Toc17278025"/>
      <w:r>
        <w:rPr>
          <w:rFonts w:hint="eastAsia" w:ascii="宋体" w:hAnsi="宋体" w:cs="宋体"/>
          <w:b/>
          <w:color w:val="auto"/>
          <w:sz w:val="32"/>
          <w:szCs w:val="32"/>
          <w:highlight w:val="none"/>
        </w:rPr>
        <w:t>政府采购廉洁承诺书</w:t>
      </w:r>
      <w:bookmarkEnd w:id="4"/>
    </w:p>
    <w:p>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参与政府采购活动时，除具备采购文件规定的资格、资质要求外，我方还将严格遵守有关法律、法规、政策以及国家、地方关于廉政建设的各项规定。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遵循公开、公平、公正、诚实信用原则，不发生损害上述原则及各方当事人合法权益得不正当竞争行为。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严格执行采购合同，自觉按合同办事；在合同执行过程中，不发生本承诺书第三条中所列不良行为。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pPr>
        <w:spacing w:line="360" w:lineRule="auto"/>
        <w:ind w:left="840" w:hanging="840" w:hangingChars="350"/>
        <w:jc w:val="center"/>
        <w:rPr>
          <w:rFonts w:ascii="宋体" w:hAnsi="宋体" w:cs="宋体"/>
          <w:color w:val="auto"/>
          <w:sz w:val="24"/>
          <w:highlight w:val="none"/>
        </w:rPr>
      </w:pPr>
    </w:p>
    <w:p>
      <w:pPr>
        <w:pStyle w:val="8"/>
        <w:ind w:firstLine="0" w:firstLineChars="0"/>
        <w:rPr>
          <w:rFonts w:hAnsi="宋体" w:cs="宋体"/>
          <w:color w:val="auto"/>
          <w:highlight w:val="none"/>
        </w:rPr>
      </w:pPr>
    </w:p>
    <w:p>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投标人（盖章）：</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15"/>
        <w:tabs>
          <w:tab w:val="left" w:pos="2472"/>
        </w:tabs>
        <w:snapToGrid w:val="0"/>
        <w:spacing w:beforeLines="0" w:afterLines="0" w:line="240" w:lineRule="auto"/>
        <w:rPr>
          <w:rFonts w:hAnsi="宋体" w:cs="宋体"/>
          <w:color w:val="auto"/>
          <w:sz w:val="30"/>
          <w:szCs w:val="30"/>
          <w:highlight w:val="none"/>
        </w:rPr>
      </w:pPr>
    </w:p>
    <w:p>
      <w:pPr>
        <w:pStyle w:val="15"/>
        <w:tabs>
          <w:tab w:val="left" w:pos="2472"/>
        </w:tabs>
        <w:snapToGrid w:val="0"/>
        <w:spacing w:beforeLines="0" w:afterLines="0" w:line="240" w:lineRule="auto"/>
        <w:jc w:val="center"/>
        <w:rPr>
          <w:rFonts w:ascii="宋体" w:hAnsi="宋体" w:cs="宋体"/>
          <w:b/>
          <w:color w:val="auto"/>
          <w:sz w:val="44"/>
          <w:szCs w:val="44"/>
          <w:highlight w:val="none"/>
        </w:rPr>
      </w:pPr>
      <w:r>
        <w:rPr>
          <w:rFonts w:hint="eastAsia" w:hAnsi="宋体" w:cs="宋体"/>
          <w:b/>
          <w:bCs/>
          <w:color w:val="auto"/>
          <w:sz w:val="44"/>
          <w:szCs w:val="44"/>
          <w:highlight w:val="none"/>
        </w:rPr>
        <w:t>第六章　投标文件格式</w:t>
      </w:r>
    </w:p>
    <w:p>
      <w:pPr>
        <w:snapToGrid w:val="0"/>
        <w:spacing w:before="120" w:beforeLines="50" w:line="380" w:lineRule="exact"/>
        <w:ind w:left="412" w:leftChars="196"/>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1.资格审查文件：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（1）有效的企业法人营业执照副本</w:t>
      </w:r>
      <w:r>
        <w:rPr>
          <w:rFonts w:ascii="宋体" w:hAnsi="宋体" w:cs="宋体"/>
          <w:color w:val="auto"/>
          <w:sz w:val="24"/>
          <w:szCs w:val="21"/>
          <w:highlight w:val="none"/>
        </w:rPr>
        <w:t>(或事业法人登记证书或其它工商等登记证明材料；自然人参与提供身份证)</w:t>
      </w:r>
      <w:r>
        <w:rPr>
          <w:rFonts w:hint="eastAsia" w:ascii="宋体" w:hAnsi="宋体" w:cs="宋体"/>
          <w:bCs/>
          <w:color w:val="auto"/>
          <w:sz w:val="24"/>
          <w:highlight w:val="none"/>
        </w:rPr>
        <w:t>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）浙江政府采购网注册正式供应商的网络截图或承诺书；</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）政府采购活动现场确认声明书 (格式见附件) ；</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）政府采购代理机构考评表(格式见附件)；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）联合体协议（联合体投标时提供，格式见附件）；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）分包协议（分包时提供，格式见附件）；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）中小企业声明函（格式见附件）。</w:t>
      </w:r>
    </w:p>
    <w:p>
      <w:pPr>
        <w:snapToGrid w:val="0"/>
        <w:spacing w:before="120" w:beforeLines="50" w:line="380" w:lineRule="exact"/>
        <w:ind w:left="412" w:leftChars="196"/>
        <w:jc w:val="left"/>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.商务资信技术文件：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（1）评分响应表（格式见附件）；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（2）投标声明书 (格式见附件)；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（3）法定代表人授权委托书(格式见附件)；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（4）投标单位情况表(格式见附件)；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olor w:val="auto"/>
          <w:sz w:val="24"/>
          <w:highlight w:val="none"/>
        </w:rPr>
        <w:t>投标人依法缴纳税收和社保费、无失信行为的声明函</w:t>
      </w:r>
      <w:r>
        <w:rPr>
          <w:rFonts w:ascii="宋体" w:hAnsi="宋体"/>
          <w:color w:val="auto"/>
          <w:sz w:val="24"/>
          <w:highlight w:val="none"/>
        </w:rPr>
        <w:t>(格式见附件</w:t>
      </w:r>
      <w:r>
        <w:rPr>
          <w:rFonts w:hint="eastAsia" w:ascii="宋体" w:hAnsi="宋体"/>
          <w:color w:val="auto"/>
          <w:sz w:val="24"/>
          <w:highlight w:val="none"/>
        </w:rPr>
        <w:t>)</w:t>
      </w:r>
      <w:r>
        <w:rPr>
          <w:rFonts w:hint="eastAsia" w:ascii="宋体" w:hAnsi="宋体" w:cs="宋体"/>
          <w:bCs/>
          <w:color w:val="auto"/>
          <w:sz w:val="24"/>
          <w:highlight w:val="none"/>
        </w:rPr>
        <w:t>；</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6</w:t>
      </w:r>
      <w:r>
        <w:rPr>
          <w:rFonts w:hint="eastAsia" w:ascii="宋体" w:hAnsi="宋体" w:cs="宋体"/>
          <w:bCs/>
          <w:color w:val="auto"/>
          <w:sz w:val="24"/>
          <w:highlight w:val="none"/>
          <w:lang w:val="zh-CN"/>
        </w:rPr>
        <w:t>）政府采购供应商诚信承诺书（格式见附件）；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（7）承诺书（格式见附件）；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（8）距采购人最近或者能为本项目提供最优服务的网点情况表（格式见附件）；</w:t>
      </w:r>
    </w:p>
    <w:p>
      <w:pPr>
        <w:snapToGrid w:val="0"/>
        <w:spacing w:before="120" w:beforeLines="50" w:line="360" w:lineRule="exact"/>
        <w:ind w:left="412" w:leftChars="196"/>
        <w:jc w:val="left"/>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w:t>
      </w:r>
      <w:r>
        <w:rPr>
          <w:rFonts w:hint="eastAsia" w:ascii="宋体" w:hAnsi="宋体" w:cs="宋体"/>
          <w:bCs/>
          <w:color w:val="auto"/>
          <w:sz w:val="24"/>
          <w:highlight w:val="none"/>
          <w:lang w:val="zh-CN"/>
        </w:rPr>
        <w:t>同类业绩一览表</w:t>
      </w:r>
      <w:r>
        <w:rPr>
          <w:rFonts w:hint="eastAsia" w:ascii="宋体" w:hAnsi="宋体" w:cs="宋体"/>
          <w:bCs/>
          <w:color w:val="auto"/>
          <w:sz w:val="24"/>
          <w:highlight w:val="none"/>
        </w:rPr>
        <w:t>（格式见附件）；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)项目实施人员一览表（格式见附件）；</w:t>
      </w:r>
    </w:p>
    <w:p>
      <w:pPr>
        <w:snapToGrid w:val="0"/>
        <w:spacing w:before="120" w:beforeLines="50" w:line="3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Cs/>
          <w:color w:val="auto"/>
          <w:sz w:val="24"/>
          <w:highlight w:val="none"/>
          <w:lang w:val="zh-CN"/>
        </w:rPr>
        <w:t>技术部分（至少包括技术方案、</w:t>
      </w:r>
      <w:r>
        <w:rPr>
          <w:rFonts w:hint="eastAsia" w:ascii="宋体" w:hAnsi="宋体" w:cs="宋体"/>
          <w:bCs/>
          <w:color w:val="auto"/>
          <w:sz w:val="24"/>
          <w:highlight w:val="none"/>
        </w:rPr>
        <w:t>合理化建议等内容）；</w:t>
      </w:r>
    </w:p>
    <w:p>
      <w:pPr>
        <w:snapToGrid w:val="0"/>
        <w:spacing w:before="120" w:beforeLines="50" w:line="3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）其它按照评标办法可加分的内容说明、证明文件；</w:t>
      </w:r>
    </w:p>
    <w:p>
      <w:pPr>
        <w:snapToGrid w:val="0"/>
        <w:spacing w:before="120" w:beforeLines="50" w:line="360" w:lineRule="exact"/>
        <w:ind w:firstLine="480" w:firstLineChars="200"/>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）投标人需要说明的其他文件和说明</w:t>
      </w:r>
      <w:r>
        <w:rPr>
          <w:rFonts w:hint="eastAsia" w:ascii="宋体" w:hAnsi="宋体" w:cs="宋体"/>
          <w:color w:val="auto"/>
          <w:sz w:val="24"/>
          <w:highlight w:val="none"/>
        </w:rPr>
        <w:t>。</w:t>
      </w:r>
    </w:p>
    <w:p>
      <w:pPr>
        <w:snapToGrid w:val="0"/>
        <w:spacing w:before="50" w:after="120" w:afterLines="50"/>
        <w:jc w:val="left"/>
        <w:rPr>
          <w:rFonts w:hint="eastAsia"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 xml:space="preserve">评分响应表格式： </w:t>
      </w:r>
    </w:p>
    <w:p>
      <w:pPr>
        <w:snapToGrid w:val="0"/>
        <w:spacing w:before="120" w:beforeLines="50" w:after="50"/>
        <w:rPr>
          <w:rFonts w:ascii="宋体" w:hAnsi="宋体" w:cs="宋体"/>
          <w:b/>
          <w:color w:val="auto"/>
          <w:sz w:val="24"/>
          <w:highlight w:val="none"/>
        </w:rPr>
      </w:pPr>
    </w:p>
    <w:p>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投标人资信商务、技术自评得分表</w:t>
      </w:r>
    </w:p>
    <w:p>
      <w:pPr>
        <w:snapToGrid w:val="0"/>
        <w:spacing w:before="50" w:after="50"/>
        <w:rPr>
          <w:rFonts w:ascii="宋体" w:hAnsi="宋体" w:cs="宋体"/>
          <w:b/>
          <w:color w:val="auto"/>
          <w:sz w:val="24"/>
          <w:highlight w:val="none"/>
        </w:rPr>
      </w:pPr>
    </w:p>
    <w:p>
      <w:pPr>
        <w:snapToGrid w:val="0"/>
        <w:spacing w:before="50" w:after="50" w:line="360" w:lineRule="auto"/>
        <w:rPr>
          <w:rFonts w:ascii="宋体" w:hAnsi="宋体" w:cs="宋体"/>
          <w:b/>
          <w:color w:val="auto"/>
          <w:sz w:val="24"/>
          <w:highlight w:val="none"/>
          <w:u w:val="single"/>
        </w:rPr>
      </w:pPr>
      <w:r>
        <w:rPr>
          <w:rFonts w:hint="eastAsia" w:ascii="宋体" w:hAnsi="宋体" w:cs="宋体"/>
          <w:b/>
          <w:color w:val="auto"/>
          <w:sz w:val="24"/>
          <w:highlight w:val="none"/>
        </w:rPr>
        <w:t>投标单位名称：</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44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998" w:type="dxa"/>
            <w:tcBorders>
              <w:top w:val="single" w:color="auto" w:sz="4" w:space="0"/>
              <w:left w:val="single" w:color="auto" w:sz="4" w:space="0"/>
              <w:bottom w:val="single" w:color="auto" w:sz="4" w:space="0"/>
              <w:right w:val="single" w:color="auto" w:sz="4" w:space="0"/>
            </w:tcBorders>
            <w:vAlign w:val="center"/>
          </w:tcPr>
          <w:p>
            <w:pPr>
              <w:pStyle w:val="21"/>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自评得分</w:t>
            </w:r>
          </w:p>
        </w:tc>
        <w:tc>
          <w:tcPr>
            <w:tcW w:w="240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44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998" w:type="dxa"/>
            <w:tcBorders>
              <w:top w:val="single" w:color="auto" w:sz="4" w:space="0"/>
              <w:left w:val="single" w:color="auto" w:sz="4" w:space="0"/>
              <w:bottom w:val="single" w:color="auto" w:sz="4" w:space="0"/>
              <w:right w:val="single" w:color="auto" w:sz="4" w:space="0"/>
            </w:tcBorders>
            <w:vAlign w:val="center"/>
          </w:tcPr>
          <w:p>
            <w:pPr>
              <w:pStyle w:val="21"/>
              <w:ind w:firstLine="482"/>
              <w:jc w:val="center"/>
              <w:rPr>
                <w:rFonts w:ascii="宋体" w:eastAsia="宋体" w:cs="宋体"/>
                <w:b/>
                <w:bCs/>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52" w:type="dxa"/>
            <w:tcBorders>
              <w:top w:val="single" w:color="auto" w:sz="4" w:space="0"/>
              <w:left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ind w:left="55" w:leftChars="26"/>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r>
              <w:rPr>
                <w:rFonts w:hint="eastAsia" w:ascii="宋体" w:hAnsi="宋体" w:cs="宋体"/>
                <w:b/>
                <w:color w:val="auto"/>
                <w:sz w:val="24"/>
                <w:highlight w:val="none"/>
              </w:rPr>
              <w:t>资信商务分</w:t>
            </w:r>
          </w:p>
        </w:tc>
        <w:tc>
          <w:tcPr>
            <w:tcW w:w="299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both"/>
              <w:rPr>
                <w:rFonts w:ascii="宋体" w:eastAsia="宋体" w:cs="宋体"/>
                <w:b/>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pPr>
              <w:widowControl/>
              <w:rPr>
                <w:rFonts w:ascii="宋体" w:hAnsi="宋体" w:cs="宋体"/>
                <w:color w:val="auto"/>
                <w:sz w:val="24"/>
                <w:highlight w:val="none"/>
              </w:rPr>
            </w:pPr>
          </w:p>
        </w:tc>
        <w:tc>
          <w:tcPr>
            <w:tcW w:w="1444" w:type="dxa"/>
            <w:tcBorders>
              <w:left w:val="single" w:color="auto" w:sz="4" w:space="0"/>
              <w:bottom w:val="single" w:color="auto" w:sz="4" w:space="0"/>
              <w:right w:val="single" w:color="auto" w:sz="4" w:space="0"/>
            </w:tcBorders>
            <w:vAlign w:val="center"/>
          </w:tcPr>
          <w:p>
            <w:pPr>
              <w:widowControl/>
              <w:rPr>
                <w:rFonts w:ascii="宋体" w:hAnsi="宋体" w:cs="宋体"/>
                <w:b/>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both"/>
              <w:rPr>
                <w:rFonts w:ascii="宋体" w:eastAsia="宋体" w:cs="宋体"/>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sz w:val="24"/>
                <w:highlight w:val="none"/>
              </w:rPr>
            </w:pPr>
          </w:p>
        </w:tc>
      </w:tr>
    </w:tbl>
    <w:p>
      <w:pPr>
        <w:snapToGrid w:val="0"/>
        <w:spacing w:before="50" w:after="50"/>
        <w:rPr>
          <w:rFonts w:ascii="宋体" w:hAnsi="宋体" w:cs="宋体"/>
          <w:color w:val="auto"/>
          <w:sz w:val="24"/>
          <w:highlight w:val="none"/>
        </w:rPr>
      </w:pPr>
      <w:r>
        <w:rPr>
          <w:rFonts w:hint="eastAsia" w:ascii="宋体" w:hAnsi="宋体" w:cs="宋体"/>
          <w:color w:val="auto"/>
          <w:sz w:val="24"/>
          <w:highlight w:val="none"/>
        </w:rPr>
        <w:t>注：投标单位根据所投标项的评分表内容，按此格式提供评分响应表置于技术文件第1页。</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pStyle w:val="8"/>
        <w:ind w:firstLine="464"/>
        <w:rPr>
          <w:rFonts w:hAnsi="宋体" w:cs="宋体"/>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8"/>
        <w:ind w:firstLine="344"/>
        <w:rPr>
          <w:rFonts w:hAnsi="宋体" w:cs="宋体"/>
          <w:color w:val="auto"/>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szCs w:val="20"/>
          <w:highlight w:val="none"/>
        </w:rPr>
      </w:pPr>
      <w:r>
        <w:rPr>
          <w:rFonts w:hint="eastAsia" w:ascii="宋体" w:hAnsi="宋体" w:cs="宋体"/>
          <w:b/>
          <w:color w:val="auto"/>
          <w:sz w:val="24"/>
          <w:highlight w:val="none"/>
        </w:rPr>
        <w:t>投标声明书格式：</w:t>
      </w:r>
    </w:p>
    <w:p>
      <w:pPr>
        <w:snapToGrid w:val="0"/>
        <w:spacing w:before="120" w:beforeLines="50" w:after="50"/>
        <w:jc w:val="center"/>
        <w:rPr>
          <w:rFonts w:ascii="宋体" w:hAnsi="宋体" w:cs="宋体"/>
          <w:b/>
          <w:bCs/>
          <w:color w:val="auto"/>
          <w:sz w:val="24"/>
          <w:szCs w:val="20"/>
          <w:highlight w:val="none"/>
        </w:rPr>
      </w:pPr>
      <w:r>
        <w:rPr>
          <w:rFonts w:hint="eastAsia" w:ascii="宋体" w:hAnsi="宋体" w:cs="宋体"/>
          <w:b/>
          <w:bCs/>
          <w:color w:val="auto"/>
          <w:sz w:val="30"/>
          <w:highlight w:val="none"/>
        </w:rPr>
        <w:t>投标声明书</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before="120" w:beforeLines="50" w:after="50"/>
        <w:ind w:firstLine="720" w:firstLineChars="300"/>
        <w:rPr>
          <w:rFonts w:ascii="宋体" w:hAnsi="宋体" w:cs="宋体"/>
          <w:color w:val="auto"/>
          <w:sz w:val="24"/>
          <w:szCs w:val="20"/>
          <w:highlight w:val="none"/>
        </w:rPr>
      </w:pPr>
      <w:r>
        <w:rPr>
          <w:rFonts w:hint="eastAsia" w:ascii="宋体" w:hAnsi="宋体" w:cs="宋体"/>
          <w:color w:val="auto"/>
          <w:sz w:val="24"/>
          <w:highlight w:val="none"/>
        </w:rPr>
        <w:t>______（投标人名称）系中华人民共和国合法企业，经营地址。</w:t>
      </w:r>
    </w:p>
    <w:p>
      <w:pPr>
        <w:snapToGrid w:val="0"/>
        <w:spacing w:before="120" w:beforeLines="50" w:after="50"/>
        <w:ind w:firstLine="645"/>
        <w:rPr>
          <w:rFonts w:ascii="宋体" w:hAnsi="宋体" w:cs="宋体"/>
          <w:color w:val="auto"/>
          <w:sz w:val="24"/>
          <w:szCs w:val="20"/>
          <w:highlight w:val="none"/>
        </w:rPr>
      </w:pPr>
      <w:r>
        <w:rPr>
          <w:rFonts w:hint="eastAsia" w:ascii="宋体" w:hAnsi="宋体" w:cs="宋体"/>
          <w:color w:val="auto"/>
          <w:sz w:val="24"/>
          <w:highlight w:val="none"/>
        </w:rPr>
        <w:t>我（姓名）系______（投标人名称）的法定代表人，我方愿意参加贵方组织的</w:t>
      </w:r>
      <w:r>
        <w:rPr>
          <w:rFonts w:hint="eastAsia" w:ascii="宋体" w:hAnsi="宋体" w:cs="宋体"/>
          <w:color w:val="auto"/>
          <w:sz w:val="24"/>
          <w:highlight w:val="none"/>
          <w:u w:val="single"/>
          <w:lang w:eastAsia="zh-CN"/>
        </w:rPr>
        <w:t>东阳市2023年度新建房屋白蚁防治服务采购项目</w:t>
      </w:r>
      <w:r>
        <w:rPr>
          <w:rFonts w:hint="eastAsia" w:ascii="宋体" w:hAnsi="宋体" w:cs="宋体"/>
          <w:color w:val="auto"/>
          <w:sz w:val="24"/>
          <w:highlight w:val="none"/>
        </w:rPr>
        <w:t>的投标，为便于贵方公正、择优确定中标人及其投标产品和服务，我方就本次投标有关事项郑重声明如下：</w:t>
      </w:r>
    </w:p>
    <w:p>
      <w:pPr>
        <w:snapToGrid w:val="0"/>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cs="宋体"/>
          <w:color w:val="auto"/>
          <w:sz w:val="24"/>
          <w:highlight w:val="none"/>
        </w:rPr>
      </w:pPr>
      <w:r>
        <w:rPr>
          <w:rFonts w:hint="eastAsia" w:ascii="宋体" w:hAnsi="宋体" w:cs="宋体"/>
          <w:color w:val="auto"/>
          <w:sz w:val="24"/>
          <w:highlight w:val="none"/>
        </w:rPr>
        <w:t>3.我方及由本人担任法定代表人的其他机构最近三年内被通报、被处罚的违法行为或者可认定为不良行为的有：</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ind w:firstLine="480" w:firstLineChars="200"/>
        <w:rPr>
          <w:rFonts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pPr>
        <w:pStyle w:val="14"/>
        <w:tabs>
          <w:tab w:val="left" w:pos="939"/>
        </w:tabs>
        <w:snapToGrid w:val="0"/>
        <w:ind w:left="773" w:leftChars="150" w:hanging="458" w:hangingChars="191"/>
        <w:rPr>
          <w:rFonts w:ascii="宋体" w:hAnsi="宋体" w:cs="宋体"/>
          <w:color w:val="auto"/>
          <w:sz w:val="24"/>
          <w:highlight w:val="none"/>
        </w:rPr>
      </w:pPr>
    </w:p>
    <w:p>
      <w:pPr>
        <w:pStyle w:val="37"/>
        <w:snapToGrid w:val="0"/>
        <w:spacing w:before="120" w:beforeLines="50"/>
        <w:ind w:firstLine="200"/>
        <w:rPr>
          <w:rFonts w:ascii="宋体" w:hAnsi="宋体" w:cs="宋体"/>
          <w:color w:val="auto"/>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ind w:firstLine="4800" w:firstLineChars="2000"/>
        <w:rPr>
          <w:rFonts w:ascii="宋体" w:hAnsi="宋体" w:cs="宋体"/>
          <w:color w:val="auto"/>
          <w:sz w:val="24"/>
          <w:szCs w:val="20"/>
          <w:highlight w:val="none"/>
        </w:rPr>
      </w:pPr>
    </w:p>
    <w:p>
      <w:pPr>
        <w:pStyle w:val="15"/>
        <w:snapToGrid w:val="0"/>
        <w:spacing w:beforeLines="0" w:afterLines="0" w:line="240" w:lineRule="auto"/>
        <w:rPr>
          <w:rFonts w:hAnsi="宋体" w:cs="宋体"/>
          <w:color w:val="auto"/>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法定代表人授权委托书格式：</w:t>
      </w:r>
    </w:p>
    <w:p>
      <w:pPr>
        <w:snapToGrid w:val="0"/>
        <w:spacing w:before="120" w:beforeLines="50" w:after="50"/>
        <w:jc w:val="center"/>
        <w:rPr>
          <w:rFonts w:ascii="宋体" w:hAnsi="宋体" w:cs="宋体"/>
          <w:color w:val="auto"/>
          <w:sz w:val="30"/>
          <w:szCs w:val="20"/>
          <w:highlight w:val="none"/>
        </w:rPr>
      </w:pPr>
    </w:p>
    <w:p>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法定代表人授权委托书</w:t>
      </w:r>
    </w:p>
    <w:p>
      <w:pPr>
        <w:snapToGrid w:val="0"/>
        <w:spacing w:before="120" w:beforeLines="50" w:after="50"/>
        <w:rPr>
          <w:rFonts w:ascii="宋体" w:hAnsi="宋体" w:cs="宋体"/>
          <w:bCs/>
          <w:color w:val="auto"/>
          <w:sz w:val="24"/>
          <w:highlight w:val="none"/>
        </w:rPr>
      </w:pPr>
    </w:p>
    <w:p>
      <w:pPr>
        <w:snapToGrid w:val="0"/>
        <w:spacing w:before="120" w:beforeLines="50" w:after="50"/>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before="120" w:beforeLines="50" w:after="50"/>
        <w:ind w:firstLine="720" w:firstLineChars="3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w:t>
      </w:r>
      <w:r>
        <w:rPr>
          <w:rFonts w:hint="eastAsia" w:ascii="宋体" w:hAnsi="宋体" w:cs="宋体"/>
          <w:color w:val="auto"/>
          <w:sz w:val="24"/>
          <w:highlight w:val="none"/>
          <w:u w:val="single"/>
          <w:lang w:eastAsia="zh-CN"/>
        </w:rPr>
        <w:t>东阳市2023年度新建房屋白蚁防治服务采购项目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pPr>
        <w:snapToGrid w:val="0"/>
        <w:spacing w:before="120" w:beforeLines="50" w:after="50"/>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u w:val="single"/>
        </w:rPr>
      </w:pPr>
      <w:r>
        <w:rPr>
          <w:rFonts w:hint="eastAsia" w:ascii="宋体" w:hAnsi="宋体" w:cs="宋体"/>
          <w:color w:val="auto"/>
          <w:sz w:val="24"/>
          <w:highlight w:val="none"/>
        </w:rPr>
        <w:t>被授权人签名：                 法定代表人（签字或</w:t>
      </w:r>
      <w:r>
        <w:rPr>
          <w:rFonts w:ascii="宋体" w:hAnsi="宋体" w:cs="宋体"/>
          <w:color w:val="auto"/>
          <w:sz w:val="24"/>
          <w:highlight w:val="none"/>
        </w:rPr>
        <w:t>盖章</w:t>
      </w:r>
      <w:r>
        <w:rPr>
          <w:rFonts w:hint="eastAsia" w:ascii="宋体" w:hAnsi="宋体" w:cs="宋体"/>
          <w:color w:val="auto"/>
          <w:sz w:val="24"/>
          <w:highlight w:val="none"/>
        </w:rPr>
        <w:t xml:space="preserve">）：         </w:t>
      </w:r>
    </w:p>
    <w:p>
      <w:pPr>
        <w:snapToGrid w:val="0"/>
        <w:spacing w:before="120" w:beforeLines="50" w:after="50"/>
        <w:ind w:firstLine="960" w:firstLineChars="400"/>
        <w:rPr>
          <w:rFonts w:ascii="宋体" w:hAnsi="宋体" w:cs="宋体"/>
          <w:color w:val="auto"/>
          <w:sz w:val="24"/>
          <w:szCs w:val="20"/>
          <w:highlight w:val="none"/>
        </w:rPr>
      </w:pPr>
      <w:r>
        <w:rPr>
          <w:rFonts w:hint="eastAsia" w:ascii="宋体" w:hAnsi="宋体" w:cs="宋体"/>
          <w:color w:val="auto"/>
          <w:sz w:val="24"/>
          <w:highlight w:val="none"/>
        </w:rPr>
        <w:t>职务：                          职务：</w:t>
      </w:r>
    </w:p>
    <w:p>
      <w:pPr>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被授权人身份证复印件：</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rPr>
          <w:rFonts w:ascii="宋体" w:hAnsi="宋体" w:cs="宋体"/>
          <w:color w:val="auto"/>
          <w:sz w:val="24"/>
          <w:highlight w:val="none"/>
        </w:rPr>
      </w:pPr>
    </w:p>
    <w:p>
      <w:pPr>
        <w:snapToGrid w:val="0"/>
        <w:spacing w:before="120" w:beforeLines="50" w:after="50"/>
        <w:rPr>
          <w:rFonts w:ascii="宋体" w:hAnsi="宋体" w:cs="宋体"/>
          <w:color w:val="auto"/>
          <w:sz w:val="24"/>
          <w:highlight w:val="none"/>
        </w:rPr>
      </w:pPr>
    </w:p>
    <w:p>
      <w:pPr>
        <w:snapToGrid w:val="0"/>
        <w:spacing w:before="120" w:beforeLines="50" w:after="50"/>
        <w:jc w:val="center"/>
        <w:rPr>
          <w:rFonts w:ascii="宋体" w:hAnsi="宋体" w:cs="宋体"/>
          <w:color w:val="auto"/>
          <w:highlight w:val="none"/>
        </w:rPr>
        <w:sectPr>
          <w:footerReference r:id="rId7" w:type="first"/>
          <w:footerReference r:id="rId6" w:type="default"/>
          <w:pgSz w:w="11906" w:h="16838"/>
          <w:pgMar w:top="1474" w:right="1247" w:bottom="1247" w:left="1588" w:header="851" w:footer="851" w:gutter="0"/>
          <w:pgNumType w:start="1"/>
          <w:cols w:space="720" w:num="1"/>
          <w:titlePg/>
          <w:docGrid w:linePitch="312" w:charSpace="0"/>
        </w:sect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投标单位情况表：</w:t>
      </w:r>
    </w:p>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投标单位情况表</w:t>
      </w:r>
    </w:p>
    <w:p>
      <w:pPr>
        <w:spacing w:before="120" w:after="120"/>
        <w:ind w:firstLine="630" w:firstLineChars="300"/>
        <w:rPr>
          <w:rFonts w:ascii="宋体" w:hAnsi="宋体" w:cs="宋体"/>
          <w:color w:val="auto"/>
          <w:highlight w:val="none"/>
        </w:rPr>
      </w:pPr>
      <w:r>
        <w:rPr>
          <w:rFonts w:hint="eastAsia" w:ascii="宋体" w:hAnsi="宋体" w:cs="宋体"/>
          <w:color w:val="auto"/>
          <w:highlight w:val="none"/>
        </w:rPr>
        <w:t>投标单位：                                        填表日期：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单位名称</w:t>
            </w:r>
          </w:p>
        </w:tc>
        <w:tc>
          <w:tcPr>
            <w:tcW w:w="3263" w:type="dxa"/>
            <w:vAlign w:val="center"/>
          </w:tcPr>
          <w:p>
            <w:pPr>
              <w:widowControl/>
              <w:jc w:val="center"/>
              <w:rPr>
                <w:rFonts w:ascii="宋体" w:hAnsi="宋体" w:cs="宋体"/>
                <w:color w:val="auto"/>
                <w:sz w:val="24"/>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电话</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地址</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传真</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主管部门</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企业性质</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企业法人</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资质等级</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授权代表</w:t>
            </w:r>
          </w:p>
        </w:tc>
        <w:tc>
          <w:tcPr>
            <w:tcW w:w="3263" w:type="dxa"/>
            <w:vAlign w:val="center"/>
          </w:tcPr>
          <w:p>
            <w:pPr>
              <w:spacing w:before="120" w:after="120"/>
              <w:jc w:val="center"/>
              <w:rPr>
                <w:rFonts w:ascii="宋体" w:hAnsi="宋体" w:cs="宋体"/>
                <w:color w:val="auto"/>
                <w:highlight w:val="none"/>
              </w:rPr>
            </w:pPr>
          </w:p>
        </w:tc>
        <w:tc>
          <w:tcPr>
            <w:tcW w:w="1388" w:type="dxa"/>
            <w:gridSpan w:val="2"/>
            <w:vAlign w:val="center"/>
          </w:tcPr>
          <w:p>
            <w:pPr>
              <w:spacing w:before="120" w:after="120"/>
              <w:rPr>
                <w:rFonts w:ascii="宋体" w:hAnsi="宋体" w:cs="宋体"/>
                <w:color w:val="auto"/>
                <w:highlight w:val="none"/>
              </w:rPr>
            </w:pPr>
            <w:r>
              <w:rPr>
                <w:rFonts w:hint="eastAsia" w:ascii="宋体" w:hAnsi="宋体" w:cs="宋体"/>
                <w:color w:val="auto"/>
                <w:highlight w:val="none"/>
              </w:rPr>
              <w:t>职务</w:t>
            </w:r>
          </w:p>
        </w:tc>
        <w:tc>
          <w:tcPr>
            <w:tcW w:w="2534" w:type="dxa"/>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vAlign w:val="center"/>
          </w:tcPr>
          <w:p>
            <w:pPr>
              <w:spacing w:before="120" w:after="120"/>
              <w:ind w:firstLine="630" w:firstLineChars="300"/>
              <w:jc w:val="center"/>
              <w:rPr>
                <w:rFonts w:ascii="宋体" w:hAnsi="宋体" w:cs="宋体"/>
                <w:color w:val="auto"/>
                <w:highlight w:val="none"/>
              </w:rPr>
            </w:pPr>
          </w:p>
          <w:p>
            <w:pPr>
              <w:spacing w:before="120" w:after="120"/>
              <w:jc w:val="center"/>
              <w:rPr>
                <w:rFonts w:ascii="宋体" w:hAnsi="宋体" w:cs="宋体"/>
                <w:color w:val="auto"/>
                <w:highlight w:val="none"/>
              </w:rPr>
            </w:pPr>
            <w:r>
              <w:rPr>
                <w:rFonts w:hint="eastAsia" w:ascii="宋体" w:hAnsi="宋体" w:cs="宋体"/>
                <w:color w:val="auto"/>
                <w:highlight w:val="none"/>
              </w:rPr>
              <w:t>单位概况</w:t>
            </w: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p>
            <w:pPr>
              <w:spacing w:before="120" w:after="120"/>
              <w:ind w:firstLine="630" w:firstLineChars="300"/>
              <w:jc w:val="center"/>
              <w:rPr>
                <w:rFonts w:ascii="宋体" w:hAnsi="宋体" w:cs="宋体"/>
                <w:color w:val="auto"/>
                <w:highlight w:val="none"/>
              </w:rPr>
            </w:pPr>
          </w:p>
        </w:tc>
        <w:tc>
          <w:tcPr>
            <w:tcW w:w="1260"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职工总数</w:t>
            </w:r>
          </w:p>
        </w:tc>
        <w:tc>
          <w:tcPr>
            <w:tcW w:w="3263" w:type="dxa"/>
            <w:vAlign w:val="center"/>
          </w:tcPr>
          <w:p>
            <w:pPr>
              <w:spacing w:before="120" w:after="120"/>
              <w:rPr>
                <w:rFonts w:ascii="宋体" w:hAnsi="宋体" w:cs="宋体"/>
                <w:color w:val="auto"/>
                <w:highlight w:val="none"/>
              </w:rPr>
            </w:pPr>
            <w:r>
              <w:rPr>
                <w:rFonts w:hint="eastAsia"/>
                <w:color w:val="auto"/>
                <w:highlight w:val="none"/>
              </w:rPr>
              <w:t>员工（包括技术工人、高级技师、工程师）：人</w:t>
            </w:r>
          </w:p>
        </w:tc>
        <w:tc>
          <w:tcPr>
            <w:tcW w:w="3922" w:type="dxa"/>
            <w:gridSpan w:val="3"/>
            <w:vAlign w:val="center"/>
          </w:tcPr>
          <w:p>
            <w:pPr>
              <w:spacing w:before="120" w:after="120"/>
              <w:rPr>
                <w:rFonts w:ascii="宋体" w:hAnsi="宋体" w:cs="宋体"/>
                <w:color w:val="auto"/>
                <w:highlight w:val="none"/>
              </w:rPr>
            </w:pPr>
            <w:r>
              <w:rPr>
                <w:rFonts w:hint="eastAsia" w:ascii="宋体" w:hAnsi="宋体" w:cs="宋体"/>
                <w:color w:val="auto"/>
                <w:highlight w:val="none"/>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Merge w:val="continue"/>
            <w:vAlign w:val="center"/>
          </w:tcPr>
          <w:p>
            <w:pPr>
              <w:widowControl/>
              <w:jc w:val="center"/>
              <w:rPr>
                <w:rFonts w:ascii="宋体" w:hAnsi="宋体" w:cs="宋体"/>
                <w:color w:val="auto"/>
                <w:sz w:val="24"/>
                <w:highlight w:val="none"/>
              </w:rPr>
            </w:pPr>
          </w:p>
        </w:tc>
        <w:tc>
          <w:tcPr>
            <w:tcW w:w="3263" w:type="dxa"/>
            <w:vAlign w:val="center"/>
          </w:tcPr>
          <w:p>
            <w:pPr>
              <w:spacing w:before="120" w:after="120"/>
              <w:rPr>
                <w:rFonts w:ascii="宋体" w:hAnsi="宋体" w:cs="宋体"/>
                <w:color w:val="auto"/>
                <w:highlight w:val="none"/>
              </w:rPr>
            </w:pPr>
            <w:r>
              <w:rPr>
                <w:rFonts w:hint="eastAsia" w:ascii="宋体" w:hAnsi="宋体" w:cs="宋体"/>
                <w:color w:val="auto"/>
                <w:highlight w:val="none"/>
              </w:rPr>
              <w:t>高级技师：       人</w:t>
            </w:r>
          </w:p>
        </w:tc>
        <w:tc>
          <w:tcPr>
            <w:tcW w:w="3922" w:type="dxa"/>
            <w:gridSpan w:val="3"/>
            <w:vAlign w:val="center"/>
          </w:tcPr>
          <w:p>
            <w:pPr>
              <w:spacing w:before="120" w:after="120"/>
              <w:rPr>
                <w:rFonts w:ascii="宋体" w:hAnsi="宋体" w:cs="宋体"/>
                <w:color w:val="auto"/>
                <w:highlight w:val="none"/>
              </w:rPr>
            </w:pPr>
            <w:r>
              <w:rPr>
                <w:rFonts w:hint="eastAsia" w:ascii="宋体" w:hAnsi="宋体" w:cs="宋体"/>
                <w:color w:val="auto"/>
                <w:highlight w:val="none"/>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流动资金</w:t>
            </w:r>
          </w:p>
        </w:tc>
        <w:tc>
          <w:tcPr>
            <w:tcW w:w="3263" w:type="dxa"/>
            <w:vAlign w:val="center"/>
          </w:tcPr>
          <w:p>
            <w:pPr>
              <w:spacing w:before="120" w:after="120"/>
              <w:jc w:val="center"/>
              <w:rPr>
                <w:rFonts w:ascii="宋体" w:hAnsi="宋体" w:cs="宋体"/>
                <w:color w:val="auto"/>
                <w:highlight w:val="none"/>
              </w:rPr>
            </w:pPr>
          </w:p>
        </w:tc>
        <w:tc>
          <w:tcPr>
            <w:tcW w:w="1222"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营业面积</w:t>
            </w:r>
          </w:p>
        </w:tc>
        <w:tc>
          <w:tcPr>
            <w:tcW w:w="2700" w:type="dxa"/>
            <w:gridSpan w:val="2"/>
            <w:vAlign w:val="center"/>
          </w:tcPr>
          <w:p>
            <w:pPr>
              <w:spacing w:before="120" w:after="12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vAlign w:val="center"/>
          </w:tcPr>
          <w:p>
            <w:pPr>
              <w:spacing w:before="120" w:after="120"/>
              <w:ind w:firstLine="630" w:firstLineChars="300"/>
              <w:jc w:val="center"/>
              <w:rPr>
                <w:rFonts w:ascii="宋体" w:hAnsi="宋体" w:cs="宋体"/>
                <w:color w:val="auto"/>
                <w:highlight w:val="none"/>
              </w:rPr>
            </w:pPr>
          </w:p>
        </w:tc>
        <w:tc>
          <w:tcPr>
            <w:tcW w:w="1260"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固定资金</w:t>
            </w:r>
          </w:p>
        </w:tc>
        <w:tc>
          <w:tcPr>
            <w:tcW w:w="3263" w:type="dxa"/>
            <w:vAlign w:val="center"/>
          </w:tcPr>
          <w:p>
            <w:pPr>
              <w:widowControl/>
              <w:jc w:val="center"/>
              <w:rPr>
                <w:rFonts w:ascii="宋体" w:hAnsi="宋体" w:cs="宋体"/>
                <w:color w:val="auto"/>
                <w:sz w:val="24"/>
                <w:highlight w:val="none"/>
              </w:rPr>
            </w:pPr>
          </w:p>
        </w:tc>
        <w:tc>
          <w:tcPr>
            <w:tcW w:w="1222"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售后网点</w:t>
            </w:r>
          </w:p>
        </w:tc>
        <w:tc>
          <w:tcPr>
            <w:tcW w:w="2700" w:type="dxa"/>
            <w:gridSpan w:val="2"/>
            <w:vAlign w:val="center"/>
          </w:tcPr>
          <w:p>
            <w:pPr>
              <w:widowControl/>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单位简历</w:t>
            </w:r>
          </w:p>
        </w:tc>
        <w:tc>
          <w:tcPr>
            <w:tcW w:w="8445" w:type="dxa"/>
            <w:gridSpan w:val="5"/>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468" w:type="dxa"/>
            <w:vAlign w:val="center"/>
          </w:tcPr>
          <w:p>
            <w:pPr>
              <w:spacing w:before="120" w:after="120"/>
              <w:jc w:val="center"/>
              <w:rPr>
                <w:rFonts w:ascii="宋体" w:hAnsi="宋体" w:cs="宋体"/>
                <w:color w:val="auto"/>
                <w:highlight w:val="none"/>
              </w:rPr>
            </w:pPr>
            <w:r>
              <w:rPr>
                <w:rFonts w:hint="eastAsia" w:ascii="宋体" w:hAnsi="宋体" w:cs="宋体"/>
                <w:color w:val="auto"/>
                <w:highlight w:val="none"/>
              </w:rPr>
              <w:t>优势及特长</w:t>
            </w:r>
          </w:p>
        </w:tc>
        <w:tc>
          <w:tcPr>
            <w:tcW w:w="8445" w:type="dxa"/>
            <w:gridSpan w:val="5"/>
          </w:tcPr>
          <w:p>
            <w:pPr>
              <w:jc w:val="left"/>
              <w:rPr>
                <w:rFonts w:ascii="宋体" w:hAnsi="宋体" w:cs="宋体"/>
                <w:color w:val="auto"/>
                <w:sz w:val="24"/>
                <w:highlight w:val="none"/>
              </w:rPr>
            </w:pPr>
          </w:p>
        </w:tc>
      </w:tr>
    </w:tbl>
    <w:p>
      <w:pPr>
        <w:ind w:firstLine="480" w:firstLineChars="200"/>
        <w:rPr>
          <w:rFonts w:ascii="宋体" w:hAnsi="宋体" w:cs="宋体"/>
          <w:color w:val="auto"/>
          <w:sz w:val="24"/>
          <w:highlight w:val="none"/>
        </w:rPr>
      </w:pPr>
      <w:r>
        <w:rPr>
          <w:rFonts w:hint="eastAsia" w:ascii="宋体" w:hAnsi="宋体" w:cs="宋体"/>
          <w:color w:val="auto"/>
          <w:sz w:val="24"/>
          <w:highlight w:val="none"/>
        </w:rPr>
        <w:t>注：附营业执照、资质证书复印件等相关资料。</w:t>
      </w:r>
    </w:p>
    <w:p>
      <w:pPr>
        <w:rPr>
          <w:rFonts w:ascii="宋体" w:hAnsi="宋体" w:cs="宋体"/>
          <w:color w:val="auto"/>
          <w:sz w:val="24"/>
          <w:highlight w:val="none"/>
        </w:rPr>
      </w:pPr>
    </w:p>
    <w:p>
      <w:pPr>
        <w:snapToGrid w:val="0"/>
        <w:spacing w:line="360" w:lineRule="auto"/>
        <w:ind w:firstLine="560" w:firstLineChars="2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ind w:firstLine="560" w:firstLineChars="200"/>
        <w:jc w:val="left"/>
        <w:rPr>
          <w:rFonts w:ascii="宋体" w:hAnsi="宋体"/>
          <w:b/>
          <w:bCs/>
          <w:color w:val="auto"/>
          <w:sz w:val="24"/>
          <w:highlight w:val="none"/>
        </w:rPr>
      </w:pPr>
      <w:r>
        <w:rPr>
          <w:rFonts w:hint="eastAsia" w:ascii="宋体" w:hAnsi="宋体"/>
          <w:color w:val="auto"/>
          <w:spacing w:val="20"/>
          <w:sz w:val="24"/>
          <w:highlight w:val="none"/>
        </w:rPr>
        <w:t>日期：</w:t>
      </w:r>
    </w:p>
    <w:p>
      <w:pPr>
        <w:pStyle w:val="4"/>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投标人依法缴纳税收和社保费、无失信行为的声明函</w:t>
      </w:r>
    </w:p>
    <w:p>
      <w:pPr>
        <w:pStyle w:val="4"/>
        <w:jc w:val="center"/>
        <w:rPr>
          <w:rFonts w:ascii="宋体" w:hAnsi="宋体" w:cs="宋体"/>
          <w:bCs w:val="0"/>
          <w:color w:val="auto"/>
          <w:sz w:val="30"/>
          <w:szCs w:val="30"/>
          <w:highlight w:val="none"/>
        </w:rPr>
      </w:pPr>
      <w:r>
        <w:rPr>
          <w:rFonts w:hint="eastAsia" w:ascii="宋体" w:hAnsi="宋体" w:eastAsia="宋体" w:cs="宋体"/>
          <w:bCs w:val="0"/>
          <w:color w:val="auto"/>
          <w:sz w:val="30"/>
          <w:szCs w:val="30"/>
          <w:highlight w:val="none"/>
        </w:rPr>
        <w:t>投标人依法缴纳税收和社保费、无失信行为的声明函</w:t>
      </w:r>
    </w:p>
    <w:p>
      <w:pPr>
        <w:pStyle w:val="4"/>
        <w:jc w:val="center"/>
        <w:rPr>
          <w:rFonts w:ascii="宋体" w:hAnsi="宋体" w:cs="宋体"/>
          <w:bCs w:val="0"/>
          <w:color w:val="auto"/>
          <w:sz w:val="30"/>
          <w:szCs w:val="30"/>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致：采购人</w:t>
      </w:r>
    </w:p>
    <w:p>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本公司（单位）在参加采购编号为            ，项目名称为         的政府采购活动前，在生产经营活动中始终依法缴纳税收和社保费。截至公告发布日止，相关主体在“信用中国”网站(www.creditchina.gov.cn)及中国政府采购网(www.ccgp.gov.cn)无有失信行为。</w:t>
      </w:r>
    </w:p>
    <w:p>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特此声明。</w:t>
      </w:r>
    </w:p>
    <w:p>
      <w:pPr>
        <w:snapToGrid w:val="0"/>
        <w:spacing w:line="360" w:lineRule="auto"/>
        <w:rPr>
          <w:rFonts w:ascii="宋体" w:hAnsi="宋体" w:cs="宋体"/>
          <w:color w:val="auto"/>
          <w:sz w:val="24"/>
          <w:highlight w:val="none"/>
          <w:u w:val="singl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pStyle w:val="4"/>
        <w:rPr>
          <w:rFonts w:ascii="宋体" w:hAnsi="宋体" w:eastAsia="宋体"/>
          <w:b w:val="0"/>
          <w:bCs w:val="0"/>
          <w:color w:val="auto"/>
          <w:spacing w:val="20"/>
          <w:sz w:val="24"/>
          <w:szCs w:val="24"/>
          <w:highlight w:val="none"/>
        </w:rPr>
      </w:pPr>
      <w:r>
        <w:rPr>
          <w:rFonts w:hint="eastAsia" w:ascii="宋体" w:hAnsi="宋体" w:eastAsia="宋体"/>
          <w:b w:val="0"/>
          <w:bCs w:val="0"/>
          <w:color w:val="auto"/>
          <w:spacing w:val="20"/>
          <w:sz w:val="24"/>
          <w:szCs w:val="24"/>
          <w:highlight w:val="none"/>
        </w:rPr>
        <w:t>日  期：</w:t>
      </w:r>
    </w:p>
    <w:p>
      <w:pPr>
        <w:snapToGrid w:val="0"/>
        <w:spacing w:before="50" w:after="120" w:afterLines="50"/>
        <w:jc w:val="left"/>
        <w:rPr>
          <w:rFonts w:ascii="宋体" w:hAnsi="宋体" w:cs="宋体"/>
          <w:b/>
          <w:color w:val="auto"/>
          <w:sz w:val="24"/>
          <w:highlight w:val="none"/>
        </w:rPr>
      </w:pPr>
    </w:p>
    <w:p>
      <w:pPr>
        <w:pStyle w:val="11"/>
        <w:rPr>
          <w:rFonts w:ascii="宋体" w:hAnsi="宋体" w:cs="宋体"/>
          <w:b/>
          <w:color w:val="auto"/>
          <w:sz w:val="24"/>
          <w:highlight w:val="none"/>
        </w:rPr>
      </w:pPr>
    </w:p>
    <w:p>
      <w:pPr>
        <w:pStyle w:val="22"/>
        <w:rPr>
          <w:rFonts w:ascii="宋体" w:hAnsi="宋体" w:cs="宋体"/>
          <w:b/>
          <w:color w:val="auto"/>
          <w:sz w:val="24"/>
          <w:highlight w:val="none"/>
        </w:rPr>
      </w:pPr>
    </w:p>
    <w:p>
      <w:pPr>
        <w:rPr>
          <w:rFonts w:ascii="宋体" w:hAnsi="宋体" w:cs="宋体"/>
          <w:b/>
          <w:color w:val="auto"/>
          <w:sz w:val="24"/>
          <w:highlight w:val="none"/>
        </w:rPr>
      </w:pPr>
    </w:p>
    <w:p>
      <w:pPr>
        <w:pStyle w:val="11"/>
        <w:rPr>
          <w:rFonts w:ascii="宋体" w:hAnsi="宋体" w:cs="宋体"/>
          <w:b/>
          <w:color w:val="auto"/>
          <w:sz w:val="24"/>
          <w:highlight w:val="none"/>
        </w:rPr>
      </w:pPr>
    </w:p>
    <w:p>
      <w:pPr>
        <w:pStyle w:val="22"/>
        <w:rPr>
          <w:rFonts w:ascii="宋体" w:hAnsi="宋体" w:cs="宋体"/>
          <w:b/>
          <w:color w:val="auto"/>
          <w:sz w:val="24"/>
          <w:highlight w:val="none"/>
        </w:rPr>
      </w:pPr>
    </w:p>
    <w:p>
      <w:pPr>
        <w:rPr>
          <w:rFonts w:ascii="宋体" w:hAnsi="宋体" w:cs="宋体"/>
          <w:b/>
          <w:color w:val="auto"/>
          <w:sz w:val="24"/>
          <w:highlight w:val="none"/>
        </w:rPr>
      </w:pPr>
    </w:p>
    <w:p>
      <w:pPr>
        <w:pStyle w:val="11"/>
        <w:rPr>
          <w:rFonts w:ascii="宋体" w:hAnsi="宋体" w:cs="宋体"/>
          <w:b/>
          <w:color w:val="auto"/>
          <w:sz w:val="24"/>
          <w:highlight w:val="none"/>
        </w:rPr>
      </w:pPr>
    </w:p>
    <w:p>
      <w:pPr>
        <w:pStyle w:val="22"/>
        <w:rPr>
          <w:rFonts w:ascii="宋体" w:hAnsi="宋体" w:cs="宋体"/>
          <w:b/>
          <w:color w:val="auto"/>
          <w:sz w:val="24"/>
          <w:highlight w:val="none"/>
        </w:rPr>
      </w:pPr>
    </w:p>
    <w:p>
      <w:pPr>
        <w:rPr>
          <w:rFonts w:ascii="宋体" w:hAnsi="宋体" w:cs="宋体"/>
          <w:b/>
          <w:color w:val="auto"/>
          <w:sz w:val="24"/>
          <w:highlight w:val="none"/>
        </w:rPr>
      </w:pPr>
    </w:p>
    <w:p>
      <w:pPr>
        <w:pStyle w:val="11"/>
        <w:rPr>
          <w:rFonts w:ascii="宋体" w:hAnsi="宋体" w:cs="宋体"/>
          <w:b/>
          <w:color w:val="auto"/>
          <w:sz w:val="24"/>
          <w:highlight w:val="none"/>
        </w:rPr>
      </w:pPr>
    </w:p>
    <w:p>
      <w:pPr>
        <w:pStyle w:val="22"/>
        <w:rPr>
          <w:rFonts w:ascii="宋体" w:hAnsi="宋体" w:cs="宋体"/>
          <w:b/>
          <w:color w:val="auto"/>
          <w:sz w:val="24"/>
          <w:highlight w:val="none"/>
        </w:rPr>
      </w:pPr>
    </w:p>
    <w:p>
      <w:pPr>
        <w:rPr>
          <w:rFonts w:ascii="宋体" w:hAnsi="宋体" w:cs="宋体"/>
          <w:b/>
          <w:color w:val="auto"/>
          <w:sz w:val="24"/>
          <w:highlight w:val="none"/>
        </w:rPr>
      </w:pPr>
    </w:p>
    <w:p>
      <w:pPr>
        <w:pStyle w:val="11"/>
        <w:rPr>
          <w:rFonts w:ascii="宋体" w:hAnsi="宋体" w:cs="宋体"/>
          <w:b/>
          <w:color w:val="auto"/>
          <w:sz w:val="24"/>
          <w:highlight w:val="none"/>
        </w:rPr>
      </w:pPr>
    </w:p>
    <w:p>
      <w:pPr>
        <w:pStyle w:val="22"/>
        <w:rPr>
          <w:rFonts w:ascii="宋体" w:hAnsi="宋体" w:cs="宋体"/>
          <w:b/>
          <w:color w:val="auto"/>
          <w:sz w:val="24"/>
          <w:highlight w:val="none"/>
        </w:rPr>
      </w:pPr>
    </w:p>
    <w:p>
      <w:pPr>
        <w:rPr>
          <w:color w:val="auto"/>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p>
    <w:p>
      <w:pPr>
        <w:snapToGrid w:val="0"/>
        <w:spacing w:before="120" w:beforeLines="50" w:after="50"/>
        <w:rPr>
          <w:rFonts w:ascii="宋体" w:hAnsi="宋体" w:cs="宋体"/>
          <w:b/>
          <w:color w:val="auto"/>
          <w:sz w:val="24"/>
          <w:highlight w:val="none"/>
        </w:rPr>
      </w:pPr>
      <w:r>
        <w:rPr>
          <w:rFonts w:hint="eastAsia" w:ascii="宋体" w:hAnsi="宋体" w:cs="宋体"/>
          <w:b/>
          <w:color w:val="auto"/>
          <w:sz w:val="24"/>
          <w:highlight w:val="none"/>
        </w:rPr>
        <w:t>政府采购供应商诚信承诺书：</w:t>
      </w:r>
    </w:p>
    <w:p>
      <w:pPr>
        <w:widowControl/>
        <w:spacing w:before="100" w:beforeAutospacing="1" w:after="190"/>
        <w:ind w:firstLine="2789" w:firstLineChars="926"/>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政府采购供应商诚信承诺书</w:t>
      </w:r>
    </w:p>
    <w:p>
      <w:pPr>
        <w:widowControl/>
        <w:spacing w:before="100" w:beforeAutospacing="1" w:after="190"/>
        <w:jc w:val="left"/>
        <w:rPr>
          <w:rFonts w:ascii="宋体" w:hAnsi="宋体" w:cs="宋体"/>
          <w:b/>
          <w:color w:val="auto"/>
          <w:kern w:val="0"/>
          <w:sz w:val="24"/>
          <w:highlight w:val="none"/>
          <w:u w:val="single"/>
        </w:rPr>
      </w:pPr>
      <w:r>
        <w:rPr>
          <w:rFonts w:hint="eastAsia" w:ascii="宋体" w:hAnsi="宋体" w:cs="宋体"/>
          <w:b/>
          <w:color w:val="auto"/>
          <w:kern w:val="0"/>
          <w:sz w:val="24"/>
          <w:highlight w:val="none"/>
          <w:u w:val="single"/>
        </w:rPr>
        <w:t>东阳耀辉工程咨询有限公司：</w:t>
      </w:r>
    </w:p>
    <w:p>
      <w:pPr>
        <w:spacing w:line="3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我公司自愿参与贵单位组织的</w:t>
      </w:r>
      <w:r>
        <w:rPr>
          <w:rFonts w:hint="eastAsia" w:ascii="宋体" w:hAnsi="宋体" w:cs="宋体"/>
          <w:b/>
          <w:color w:val="auto"/>
          <w:kern w:val="0"/>
          <w:sz w:val="24"/>
          <w:highlight w:val="none"/>
          <w:u w:val="single"/>
        </w:rPr>
        <w:t xml:space="preserve">                   项目（招标编号：     ）</w:t>
      </w:r>
      <w:r>
        <w:rPr>
          <w:rFonts w:hint="eastAsia" w:ascii="宋体" w:hAnsi="宋体" w:cs="宋体"/>
          <w:color w:val="auto"/>
          <w:kern w:val="0"/>
          <w:sz w:val="24"/>
          <w:highlight w:val="none"/>
        </w:rPr>
        <w:t>采购活动，严格遵守《中华人民共和国</w:t>
      </w:r>
      <w:r>
        <w:rPr>
          <w:rFonts w:hint="eastAsia" w:ascii="宋体" w:hAnsi="宋体" w:cs="宋体"/>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28"/>
          <w:rFonts w:hint="eastAsia" w:ascii="宋体" w:hAnsi="宋体" w:cs="宋体"/>
          <w:color w:val="auto"/>
          <w:sz w:val="24"/>
          <w:highlight w:val="none"/>
        </w:rPr>
        <w:t>其他</w:t>
      </w:r>
      <w:r>
        <w:rPr>
          <w:rStyle w:val="28"/>
          <w:rFonts w:hint="eastAsia" w:ascii="宋体" w:hAnsi="宋体" w:cs="宋体"/>
          <w:color w:val="auto"/>
          <w:sz w:val="24"/>
          <w:highlight w:val="none"/>
        </w:rPr>
        <w:fldChar w:fldCharType="end"/>
      </w:r>
      <w:r>
        <w:rPr>
          <w:rFonts w:hint="eastAsia" w:ascii="宋体" w:hAnsi="宋体" w:cs="宋体"/>
          <w:color w:val="auto"/>
          <w:sz w:val="24"/>
          <w:highlight w:val="none"/>
        </w:rPr>
        <w:t>供应商的；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（十七）财政、监察部门认定的其他不诚信行为。</w:t>
      </w:r>
    </w:p>
    <w:p>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pPr>
        <w:spacing w:line="340" w:lineRule="exact"/>
        <w:ind w:firstLine="5760" w:firstLineChars="2400"/>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pStyle w:val="8"/>
        <w:spacing w:line="240" w:lineRule="auto"/>
        <w:ind w:firstLine="0" w:firstLineChars="0"/>
        <w:rPr>
          <w:rFonts w:hAnsi="宋体" w:cs="宋体"/>
          <w:b/>
          <w:color w:val="auto"/>
          <w:sz w:val="24"/>
          <w:szCs w:val="24"/>
          <w:highlight w:val="none"/>
        </w:rPr>
      </w:pPr>
    </w:p>
    <w:p>
      <w:pPr>
        <w:pStyle w:val="8"/>
        <w:spacing w:line="240" w:lineRule="auto"/>
        <w:ind w:firstLine="0" w:firstLineChars="0"/>
        <w:rPr>
          <w:rFonts w:hAnsi="宋体" w:cs="宋体"/>
          <w:b/>
          <w:color w:val="auto"/>
          <w:sz w:val="24"/>
          <w:szCs w:val="24"/>
          <w:highlight w:val="none"/>
        </w:rPr>
      </w:pPr>
    </w:p>
    <w:p>
      <w:pPr>
        <w:pStyle w:val="8"/>
        <w:spacing w:line="240" w:lineRule="auto"/>
        <w:ind w:firstLine="0" w:firstLineChars="0"/>
        <w:rPr>
          <w:rFonts w:hAnsi="宋体" w:cs="宋体"/>
          <w:b/>
          <w:color w:val="auto"/>
          <w:sz w:val="24"/>
          <w:szCs w:val="24"/>
          <w:highlight w:val="none"/>
        </w:rPr>
      </w:pPr>
    </w:p>
    <w:p>
      <w:pPr>
        <w:pStyle w:val="8"/>
        <w:spacing w:line="240" w:lineRule="auto"/>
        <w:ind w:firstLine="0" w:firstLineChars="0"/>
        <w:rPr>
          <w:rFonts w:hAnsi="宋体" w:cs="宋体"/>
          <w:b/>
          <w:color w:val="auto"/>
          <w:sz w:val="24"/>
          <w:szCs w:val="24"/>
          <w:highlight w:val="none"/>
        </w:rPr>
      </w:pPr>
    </w:p>
    <w:p>
      <w:pPr>
        <w:snapToGrid w:val="0"/>
        <w:spacing w:line="300" w:lineRule="exact"/>
        <w:jc w:val="left"/>
        <w:rPr>
          <w:rFonts w:ascii="宋体" w:hAnsi="宋体" w:cs="宋体"/>
          <w:color w:val="auto"/>
          <w:sz w:val="24"/>
          <w:highlight w:val="none"/>
        </w:rPr>
      </w:pPr>
    </w:p>
    <w:p>
      <w:pPr>
        <w:rPr>
          <w:rFonts w:ascii="宋体" w:hAnsi="宋体" w:cs="宋体"/>
          <w:b/>
          <w:color w:val="auto"/>
          <w:sz w:val="24"/>
          <w:highlight w:val="none"/>
        </w:rPr>
      </w:pPr>
    </w:p>
    <w:p>
      <w:pPr>
        <w:rPr>
          <w:rFonts w:ascii="宋体" w:hAnsi="宋体" w:cs="宋体"/>
          <w:b/>
          <w:color w:val="auto"/>
          <w:sz w:val="24"/>
          <w:highlight w:val="none"/>
        </w:rPr>
      </w:pPr>
    </w:p>
    <w:p>
      <w:pPr>
        <w:rPr>
          <w:rFonts w:ascii="宋体" w:hAnsi="宋体" w:cs="宋体"/>
          <w:b/>
          <w:color w:val="auto"/>
          <w:sz w:val="30"/>
          <w:szCs w:val="30"/>
          <w:highlight w:val="none"/>
        </w:rPr>
      </w:pPr>
      <w:r>
        <w:rPr>
          <w:rFonts w:hint="eastAsia" w:ascii="宋体" w:hAnsi="宋体" w:cs="宋体"/>
          <w:b/>
          <w:color w:val="auto"/>
          <w:sz w:val="24"/>
          <w:highlight w:val="none"/>
        </w:rPr>
        <w:t>承诺书：</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承  诺  书</w:t>
      </w:r>
    </w:p>
    <w:p>
      <w:pPr>
        <w:widowControl/>
        <w:spacing w:line="360" w:lineRule="auto"/>
        <w:jc w:val="left"/>
        <w:rPr>
          <w:rFonts w:ascii="宋体" w:hAnsi="宋体" w:cs="宋体"/>
          <w:b/>
          <w:color w:val="auto"/>
          <w:sz w:val="28"/>
          <w:szCs w:val="28"/>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致：东阳耀辉工程咨询有限公司</w:t>
      </w:r>
    </w:p>
    <w:p>
      <w:pPr>
        <w:widowControl/>
        <w:spacing w:line="360" w:lineRule="auto"/>
        <w:ind w:firstLine="600" w:firstLineChars="250"/>
        <w:jc w:val="left"/>
        <w:rPr>
          <w:rFonts w:ascii="宋体" w:hAnsi="宋体" w:cs="宋体"/>
          <w:color w:val="auto"/>
          <w:kern w:val="0"/>
          <w:sz w:val="24"/>
          <w:highlight w:val="none"/>
        </w:rPr>
      </w:pPr>
    </w:p>
    <w:p>
      <w:pPr>
        <w:widowControl/>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若我公司中标时，愿按招标文件规定的收费标准向东阳耀辉工程咨询有限公司支付中标服务费。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我方如未在规定时间交纳时，愿意凭贵方开出的违约通知，由采购人在本次招标项目的服务款中200%直接扣缴。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olor w:val="auto"/>
          <w:spacing w:val="20"/>
          <w:sz w:val="24"/>
          <w:highlight w:val="none"/>
          <w:u w:val="single"/>
        </w:rPr>
      </w:pPr>
    </w:p>
    <w:p>
      <w:pPr>
        <w:snapToGrid w:val="0"/>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服务的网点：</w:t>
      </w:r>
    </w:p>
    <w:p>
      <w:pPr>
        <w:snapToGrid w:val="0"/>
        <w:spacing w:before="50" w:after="120" w:afterLines="50"/>
        <w:jc w:val="left"/>
        <w:rPr>
          <w:rFonts w:ascii="宋体" w:hAnsi="宋体" w:cs="宋体"/>
          <w:color w:val="auto"/>
          <w:highlight w:val="none"/>
        </w:rPr>
      </w:pPr>
    </w:p>
    <w:p>
      <w:pPr>
        <w:snapToGrid w:val="0"/>
        <w:spacing w:before="50" w:after="120" w:afterLines="50"/>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rPr>
        <w:t>距采购人最近或者能为本项目提供最优服务的网点情况表</w:t>
      </w:r>
    </w:p>
    <w:p>
      <w:pPr>
        <w:pStyle w:val="20"/>
        <w:snapToGrid w:val="0"/>
        <w:ind w:left="480" w:hanging="480"/>
        <w:rPr>
          <w:rFonts w:ascii="宋体" w:hAnsi="宋体" w:cs="宋体"/>
          <w:color w:val="auto"/>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8"/>
        <w:gridCol w:w="1622"/>
        <w:gridCol w:w="191"/>
        <w:gridCol w:w="1439"/>
        <w:gridCol w:w="888"/>
        <w:gridCol w:w="2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服务网点名称</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地址</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其中：投标人出资比例</w:t>
            </w:r>
          </w:p>
        </w:tc>
        <w:tc>
          <w:tcPr>
            <w:tcW w:w="21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宋体" w:hAnsi="宋体" w:cs="宋体"/>
                <w:color w:val="auto"/>
                <w:sz w:val="24"/>
                <w:szCs w:val="20"/>
                <w:highlight w:val="none"/>
              </w:rPr>
            </w:pPr>
            <w:r>
              <w:rPr>
                <w:rFonts w:hint="eastAsia" w:ascii="宋体" w:hAnsi="宋体" w:cs="宋体"/>
                <w:color w:val="auto"/>
                <w:sz w:val="24"/>
                <w:highlight w:val="none"/>
              </w:rPr>
              <w:t>其中：技术人员数</w:t>
            </w:r>
          </w:p>
        </w:tc>
        <w:tc>
          <w:tcPr>
            <w:tcW w:w="217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经营期限</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售后服务内容</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工作业绩</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服务承诺</w:t>
            </w:r>
          </w:p>
        </w:tc>
        <w:tc>
          <w:tcPr>
            <w:tcW w:w="6311"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40" w:firstLineChars="100"/>
              <w:jc w:val="left"/>
              <w:rPr>
                <w:rFonts w:ascii="宋体" w:hAnsi="宋体" w:cs="宋体"/>
                <w:color w:val="auto"/>
                <w:sz w:val="24"/>
                <w:szCs w:val="20"/>
                <w:highlight w:val="none"/>
              </w:rPr>
            </w:pPr>
            <w:r>
              <w:rPr>
                <w:rFonts w:hint="eastAsia" w:ascii="宋体" w:hAnsi="宋体" w:cs="宋体"/>
                <w:color w:val="auto"/>
                <w:sz w:val="24"/>
                <w:highlight w:val="none"/>
              </w:rPr>
              <w:t>传 真</w:t>
            </w:r>
          </w:p>
        </w:tc>
        <w:tc>
          <w:tcPr>
            <w:tcW w:w="3059"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color w:val="auto"/>
                <w:sz w:val="24"/>
                <w:szCs w:val="20"/>
                <w:highlight w:val="none"/>
              </w:rPr>
            </w:pPr>
            <w:r>
              <w:rPr>
                <w:rFonts w:hint="eastAsia" w:ascii="宋体" w:hAnsi="宋体" w:cs="宋体"/>
                <w:color w:val="auto"/>
                <w:sz w:val="24"/>
                <w:highlight w:val="none"/>
              </w:rPr>
              <w:t>联系电话</w:t>
            </w:r>
          </w:p>
        </w:tc>
        <w:tc>
          <w:tcPr>
            <w:tcW w:w="3059"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szCs w:val="20"/>
                <w:highlight w:val="none"/>
              </w:rPr>
            </w:pPr>
          </w:p>
        </w:tc>
      </w:tr>
    </w:tbl>
    <w:p>
      <w:pPr>
        <w:pStyle w:val="10"/>
        <w:snapToGrid w:val="0"/>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注：附相关资料。</w:t>
      </w:r>
    </w:p>
    <w:p>
      <w:pPr>
        <w:pStyle w:val="10"/>
        <w:snapToGrid w:val="0"/>
        <w:rPr>
          <w:rFonts w:ascii="宋体" w:hAnsi="宋体" w:eastAsia="宋体" w:cs="宋体"/>
          <w:color w:val="auto"/>
          <w:sz w:val="24"/>
          <w:highlight w:val="none"/>
        </w:rPr>
      </w:pPr>
    </w:p>
    <w:p>
      <w:pPr>
        <w:pStyle w:val="10"/>
        <w:snapToGrid w:val="0"/>
        <w:rPr>
          <w:rFonts w:ascii="宋体" w:hAnsi="宋体" w:eastAsia="宋体" w:cs="宋体"/>
          <w:color w:val="auto"/>
          <w:sz w:val="24"/>
          <w:highlight w:val="none"/>
        </w:rPr>
      </w:pPr>
    </w:p>
    <w:p>
      <w:pPr>
        <w:snapToGrid w:val="0"/>
        <w:spacing w:line="360" w:lineRule="auto"/>
        <w:ind w:firstLine="840" w:firstLineChars="300"/>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ind w:firstLine="840" w:firstLineChars="300"/>
        <w:jc w:val="left"/>
        <w:rPr>
          <w:rFonts w:ascii="宋体" w:hAnsi="宋体"/>
          <w:b/>
          <w:bCs/>
          <w:color w:val="auto"/>
          <w:sz w:val="24"/>
          <w:highlight w:val="none"/>
        </w:rPr>
      </w:pPr>
      <w:r>
        <w:rPr>
          <w:rFonts w:hint="eastAsia" w:ascii="宋体" w:hAnsi="宋体"/>
          <w:color w:val="auto"/>
          <w:spacing w:val="20"/>
          <w:sz w:val="24"/>
          <w:highlight w:val="none"/>
        </w:rPr>
        <w:t>日期：</w:t>
      </w:r>
    </w:p>
    <w:p>
      <w:pPr>
        <w:pStyle w:val="11"/>
        <w:snapToGrid w:val="0"/>
        <w:ind w:firstLine="720" w:firstLineChars="300"/>
        <w:rPr>
          <w:rFonts w:ascii="宋体" w:hAnsi="宋体" w:cs="宋体"/>
          <w:color w:val="auto"/>
          <w:sz w:val="24"/>
          <w:highlight w:val="none"/>
        </w:rPr>
      </w:pPr>
    </w:p>
    <w:p>
      <w:pPr>
        <w:snapToGrid w:val="0"/>
        <w:spacing w:before="50" w:after="120" w:afterLines="50"/>
        <w:jc w:val="left"/>
        <w:rPr>
          <w:rFonts w:ascii="宋体" w:hAnsi="宋体" w:cs="宋体"/>
          <w:color w:val="auto"/>
          <w:sz w:val="24"/>
          <w:szCs w:val="20"/>
          <w:highlight w:val="none"/>
        </w:rPr>
      </w:pPr>
    </w:p>
    <w:p>
      <w:pPr>
        <w:snapToGrid w:val="0"/>
        <w:spacing w:before="50"/>
        <w:ind w:firstLine="480" w:firstLineChars="200"/>
        <w:jc w:val="left"/>
        <w:rPr>
          <w:rFonts w:ascii="宋体" w:hAnsi="宋体" w:cs="宋体"/>
          <w:color w:val="auto"/>
          <w:sz w:val="24"/>
          <w:szCs w:val="20"/>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8"/>
        <w:ind w:left="0" w:leftChars="0" w:firstLine="0" w:firstLineChars="0"/>
        <w:rPr>
          <w:rFonts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同类业绩一览表：</w:t>
      </w:r>
    </w:p>
    <w:p>
      <w:pPr>
        <w:snapToGrid w:val="0"/>
        <w:spacing w:before="50" w:after="120" w:afterLines="50"/>
        <w:jc w:val="center"/>
        <w:rPr>
          <w:rFonts w:ascii="宋体" w:hAnsi="宋体" w:cs="宋体"/>
          <w:b/>
          <w:color w:val="auto"/>
          <w:sz w:val="30"/>
          <w:szCs w:val="30"/>
          <w:highlight w:val="none"/>
        </w:rPr>
      </w:pPr>
    </w:p>
    <w:p>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sz w:val="30"/>
          <w:szCs w:val="30"/>
          <w:highlight w:val="none"/>
        </w:rPr>
        <w:t>同类业绩一览表</w:t>
      </w:r>
    </w:p>
    <w:p>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项目名称:__________________</w:t>
      </w:r>
    </w:p>
    <w:tbl>
      <w:tblPr>
        <w:tblStyle w:val="25"/>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w:t>
            </w:r>
          </w:p>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合同金额</w:t>
            </w:r>
          </w:p>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14" w:type="dxa"/>
            <w:tcBorders>
              <w:top w:val="single" w:color="auto" w:sz="4" w:space="0"/>
              <w:left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合同日期</w:t>
            </w:r>
          </w:p>
        </w:tc>
        <w:tc>
          <w:tcPr>
            <w:tcW w:w="1438" w:type="dxa"/>
            <w:tcBorders>
              <w:top w:val="single" w:color="auto" w:sz="4" w:space="0"/>
              <w:left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采购单位联系人及联系电话</w:t>
            </w: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附件页码</w:t>
            </w: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50" w:after="120" w:afterLines="50"/>
              <w:jc w:val="center"/>
              <w:rPr>
                <w:rFonts w:ascii="宋体" w:hAnsi="宋体" w:cs="宋体"/>
                <w:color w:val="auto"/>
                <w:sz w:val="24"/>
                <w:highlight w:val="none"/>
              </w:rPr>
            </w:pPr>
          </w:p>
        </w:tc>
      </w:tr>
    </w:tbl>
    <w:p>
      <w:pPr>
        <w:snapToGrid w:val="0"/>
        <w:spacing w:before="50" w:after="120" w:afterLines="50"/>
        <w:jc w:val="left"/>
        <w:rPr>
          <w:rFonts w:ascii="宋体" w:hAnsi="宋体" w:cs="宋体"/>
          <w:b/>
          <w:bCs/>
          <w:color w:val="auto"/>
          <w:sz w:val="24"/>
          <w:highlight w:val="none"/>
        </w:rPr>
      </w:pPr>
      <w:r>
        <w:rPr>
          <w:rFonts w:hint="eastAsia" w:ascii="宋体" w:hAnsi="宋体" w:cs="宋体"/>
          <w:b/>
          <w:bCs/>
          <w:color w:val="auto"/>
          <w:sz w:val="24"/>
          <w:highlight w:val="none"/>
        </w:rPr>
        <w:t>注：需提供相关合同复印件，原件备查。</w:t>
      </w:r>
    </w:p>
    <w:p>
      <w:pPr>
        <w:snapToGrid w:val="0"/>
        <w:spacing w:before="50" w:after="120" w:afterLines="50"/>
        <w:jc w:val="left"/>
        <w:rPr>
          <w:rFonts w:ascii="宋体" w:hAnsi="宋体" w:cs="宋体"/>
          <w:color w:val="auto"/>
          <w:sz w:val="28"/>
          <w:szCs w:val="28"/>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120" w:beforeLines="50" w:after="50"/>
        <w:ind w:firstLine="720" w:firstLineChars="300"/>
        <w:rPr>
          <w:rFonts w:ascii="宋体" w:hAnsi="宋体" w:cs="宋体"/>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pStyle w:val="4"/>
        <w:keepNext w:val="0"/>
        <w:keepLines w:val="0"/>
        <w:pageBreakBefore/>
        <w:spacing w:line="415" w:lineRule="auto"/>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项目实施人员一览表:</w:t>
      </w:r>
    </w:p>
    <w:p>
      <w:pPr>
        <w:snapToGrid w:val="0"/>
        <w:spacing w:line="360" w:lineRule="auto"/>
        <w:jc w:val="center"/>
        <w:rPr>
          <w:color w:val="auto"/>
          <w:highlight w:val="none"/>
        </w:rPr>
      </w:pP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项目实施人员一览表</w:t>
      </w:r>
    </w:p>
    <w:p>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25"/>
        <w:tblW w:w="98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233"/>
        <w:gridCol w:w="1290"/>
        <w:gridCol w:w="2025"/>
        <w:gridCol w:w="1560"/>
        <w:gridCol w:w="2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职称</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文化程度</w:t>
            </w:r>
          </w:p>
        </w:tc>
        <w:tc>
          <w:tcPr>
            <w:tcW w:w="20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highlight w:val="none"/>
              </w:rPr>
            </w:pPr>
            <w:r>
              <w:rPr>
                <w:rFonts w:hint="eastAsia" w:ascii="宋体" w:hAnsi="宋体"/>
                <w:color w:val="auto"/>
                <w:sz w:val="24"/>
                <w:highlight w:val="none"/>
              </w:rPr>
              <w:t>证书编号</w:t>
            </w:r>
          </w:p>
        </w:tc>
        <w:tc>
          <w:tcPr>
            <w:tcW w:w="26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auto"/>
                <w:sz w:val="24"/>
                <w:highlight w:val="none"/>
              </w:rPr>
            </w:pPr>
            <w:r>
              <w:rPr>
                <w:rFonts w:hint="eastAsia" w:ascii="宋体" w:hAnsi="宋体"/>
                <w:bCs/>
                <w:color w:val="auto"/>
                <w:sz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ind w:left="5250" w:leftChars="2500"/>
              <w:rPr>
                <w:rFonts w:ascii="宋体" w:hAnsi="宋体" w:eastAsia="楷体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c>
          <w:tcPr>
            <w:tcW w:w="26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auto"/>
                <w:sz w:val="24"/>
                <w:highlight w:val="none"/>
              </w:rPr>
            </w:pPr>
          </w:p>
        </w:tc>
      </w:tr>
    </w:tbl>
    <w:p>
      <w:pPr>
        <w:snapToGrid w:val="0"/>
        <w:spacing w:line="360" w:lineRule="auto"/>
        <w:rPr>
          <w:rFonts w:ascii="宋体" w:hAnsi="宋体"/>
          <w:color w:val="auto"/>
          <w:sz w:val="24"/>
          <w:highlight w:val="none"/>
        </w:rPr>
      </w:pPr>
      <w:r>
        <w:rPr>
          <w:rFonts w:hint="eastAsia" w:ascii="宋体" w:hAnsi="宋体"/>
          <w:color w:val="auto"/>
          <w:sz w:val="24"/>
          <w:highlight w:val="none"/>
        </w:rPr>
        <w:t>注：此表后附项目实施人员资格证书等相关资料复印件。</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pStyle w:val="8"/>
        <w:tabs>
          <w:tab w:val="left" w:pos="0"/>
          <w:tab w:val="left" w:pos="993"/>
          <w:tab w:val="left" w:pos="1134"/>
        </w:tabs>
        <w:ind w:firstLine="464"/>
        <w:rPr>
          <w:rFonts w:hAnsi="宋体"/>
          <w:color w:val="auto"/>
          <w:sz w:val="24"/>
          <w:highlight w:val="none"/>
          <w:lang w:val="zh-CN"/>
        </w:rPr>
      </w:pPr>
    </w:p>
    <w:p>
      <w:pPr>
        <w:pStyle w:val="8"/>
        <w:tabs>
          <w:tab w:val="left" w:pos="0"/>
          <w:tab w:val="left" w:pos="993"/>
          <w:tab w:val="left" w:pos="1134"/>
        </w:tabs>
        <w:ind w:firstLine="464"/>
        <w:rPr>
          <w:rFonts w:hAnsi="宋体"/>
          <w:color w:val="auto"/>
          <w:sz w:val="24"/>
          <w:highlight w:val="none"/>
          <w:lang w:val="zh-CN"/>
        </w:rPr>
      </w:pPr>
    </w:p>
    <w:p>
      <w:pPr>
        <w:snapToGrid w:val="0"/>
        <w:spacing w:line="360" w:lineRule="auto"/>
        <w:ind w:firstLine="482" w:firstLineChars="200"/>
        <w:jc w:val="center"/>
        <w:rPr>
          <w:rFonts w:ascii="宋体" w:hAnsi="宋体" w:cs="宋体"/>
          <w:b/>
          <w:bCs/>
          <w:color w:val="auto"/>
          <w:sz w:val="24"/>
          <w:highlight w:val="none"/>
        </w:rPr>
      </w:pPr>
    </w:p>
    <w:p>
      <w:pPr>
        <w:pStyle w:val="4"/>
        <w:keepNext w:val="0"/>
        <w:keepLines w:val="0"/>
        <w:pageBreakBefore/>
        <w:spacing w:line="276" w:lineRule="auto"/>
        <w:rPr>
          <w:rFonts w:ascii="宋体" w:hAnsi="宋体" w:eastAsia="宋体" w:cs="宋体"/>
          <w:bCs w:val="0"/>
          <w:color w:val="auto"/>
          <w:sz w:val="28"/>
          <w:szCs w:val="28"/>
          <w:highlight w:val="none"/>
        </w:rPr>
      </w:pPr>
      <w:bookmarkStart w:id="5" w:name="_Toc7495"/>
      <w:r>
        <w:rPr>
          <w:rFonts w:hint="eastAsia" w:ascii="宋体" w:hAnsi="宋体" w:eastAsia="宋体" w:cs="宋体"/>
          <w:bCs w:val="0"/>
          <w:color w:val="auto"/>
          <w:sz w:val="24"/>
          <w:szCs w:val="24"/>
          <w:highlight w:val="none"/>
        </w:rPr>
        <w:t xml:space="preserve"> 联合体协议书（联合体投标时提供）</w:t>
      </w:r>
      <w:bookmarkEnd w:id="5"/>
      <w:r>
        <w:rPr>
          <w:rFonts w:hint="eastAsia" w:ascii="宋体" w:hAnsi="宋体" w:eastAsia="宋体" w:cs="宋体"/>
          <w:bCs w:val="0"/>
          <w:color w:val="auto"/>
          <w:sz w:val="24"/>
          <w:szCs w:val="24"/>
          <w:highlight w:val="none"/>
        </w:rPr>
        <w:t>：</w:t>
      </w:r>
    </w:p>
    <w:p>
      <w:pPr>
        <w:pStyle w:val="21"/>
        <w:ind w:firstLine="562"/>
        <w:jc w:val="center"/>
        <w:rPr>
          <w:rFonts w:ascii="宋体" w:eastAsia="宋体" w:cs="宋体"/>
          <w:b/>
          <w:bCs/>
          <w:color w:val="auto"/>
          <w:sz w:val="28"/>
          <w:szCs w:val="28"/>
          <w:highlight w:val="none"/>
        </w:rPr>
      </w:pPr>
      <w:r>
        <w:rPr>
          <w:rFonts w:hint="eastAsia" w:ascii="宋体" w:eastAsia="宋体" w:cs="宋体"/>
          <w:b/>
          <w:bCs/>
          <w:color w:val="auto"/>
          <w:sz w:val="28"/>
          <w:szCs w:val="28"/>
          <w:highlight w:val="none"/>
        </w:rPr>
        <w:t>联合体协议书（联合体投标时提供）</w:t>
      </w:r>
    </w:p>
    <w:p>
      <w:pPr>
        <w:rPr>
          <w:rFonts w:ascii="宋体" w:hAnsi="宋体" w:cs="宋体"/>
          <w:color w:val="auto"/>
          <w:kern w:val="1"/>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（所有成员单位名称）自愿组成联合体，共同参加（项目名称）投标。现就联合体投标事宜订立如下协议。</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1.（某成员单位名称）为牵头人。</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3.联合体将严格按照招标文件的各项要求，递交投标文件，履行合同。如果中标并签订合同，则联合投标各方将共同履行对招标方和采购人所负有的全部义务并就采购合同约定的事项对采购人承担连带责任。</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4.联合体牵头人应在取得联合体各成员同意后，代表联合体签署投标文件，联合体牵头人的所有承诺均认为代表了联合体各成员。</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5.联合体各成员单位内部的职责分工如下： （牵头人名称）承担；（成员一名称）承担。</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6.依据联合体内部分工安排，联合体收益按照</w:t>
      </w:r>
      <w:r>
        <w:rPr>
          <w:rFonts w:hint="eastAsia" w:ascii="宋体" w:hAnsi="宋体" w:cs="宋体"/>
          <w:color w:val="auto"/>
          <w:sz w:val="24"/>
          <w:highlight w:val="none"/>
          <w:u w:val="single"/>
        </w:rPr>
        <w:t xml:space="preserve">（牵头人名称）：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（成员名称）：      </w:t>
      </w:r>
      <w:r>
        <w:rPr>
          <w:rFonts w:hint="eastAsia" w:ascii="宋体" w:hAnsi="宋体" w:cs="宋体"/>
          <w:color w:val="auto"/>
          <w:sz w:val="24"/>
          <w:highlight w:val="none"/>
        </w:rPr>
        <w:t>%分配。投标工作和联合体在中标后工程实施过程中的有关费用按各自承担的工作量分摊。</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7.本协议提交招标方后，联合投标各方不得以任何形式对上述实质内容进行修改或撤销。</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8.本协议书自签署之日起生效，合同履行完毕后自动失效。</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9.本协议书一式份，联合体成员和招标人各执一份。</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牵头人名称：                                  （盖单位章）</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成员一名称：                                  （盖单位章） </w:t>
      </w:r>
    </w:p>
    <w:p>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pPr>
        <w:snapToGrid w:val="0"/>
        <w:spacing w:before="120" w:beforeLines="50" w:after="50" w:line="276" w:lineRule="auto"/>
        <w:ind w:firstLine="720" w:firstLineChars="300"/>
        <w:rPr>
          <w:rFonts w:ascii="宋体" w:hAnsi="宋体" w:cs="宋体"/>
          <w:color w:val="auto"/>
          <w:sz w:val="24"/>
          <w:highlight w:val="none"/>
        </w:rPr>
      </w:pPr>
    </w:p>
    <w:p>
      <w:pPr>
        <w:snapToGrid w:val="0"/>
        <w:spacing w:before="120" w:beforeLines="50" w:after="50" w:line="276" w:lineRule="auto"/>
        <w:ind w:firstLine="720" w:firstLineChars="300"/>
        <w:rPr>
          <w:color w:val="auto"/>
          <w:highlight w:val="none"/>
        </w:rPr>
      </w:pPr>
      <w:bookmarkStart w:id="6" w:name="_Toc533947637"/>
      <w:r>
        <w:rPr>
          <w:rFonts w:hint="eastAsia" w:ascii="宋体" w:hAnsi="宋体" w:cs="宋体"/>
          <w:color w:val="auto"/>
          <w:sz w:val="24"/>
          <w:highlight w:val="none"/>
        </w:rPr>
        <w:t>年    月    日</w:t>
      </w:r>
      <w:bookmarkEnd w:id="6"/>
    </w:p>
    <w:p>
      <w:pPr>
        <w:pStyle w:val="4"/>
        <w:keepNext w:val="0"/>
        <w:keepLines w:val="0"/>
        <w:pageBreakBefore/>
        <w:spacing w:line="276" w:lineRule="auto"/>
        <w:rPr>
          <w:rFonts w:ascii="宋体" w:hAnsi="宋体" w:eastAsia="宋体" w:cs="宋体"/>
          <w:b w:val="0"/>
          <w:color w:val="auto"/>
          <w:sz w:val="28"/>
          <w:szCs w:val="28"/>
          <w:highlight w:val="none"/>
        </w:rPr>
      </w:pPr>
      <w:bookmarkStart w:id="7" w:name="_Toc15059"/>
      <w:r>
        <w:rPr>
          <w:rFonts w:hint="eastAsia" w:ascii="宋体" w:hAnsi="宋体" w:eastAsia="宋体" w:cs="宋体"/>
          <w:bCs w:val="0"/>
          <w:color w:val="auto"/>
          <w:sz w:val="24"/>
          <w:szCs w:val="24"/>
          <w:highlight w:val="none"/>
        </w:rPr>
        <w:t xml:space="preserve"> 分包意向协议</w:t>
      </w:r>
      <w:bookmarkEnd w:id="7"/>
      <w:r>
        <w:rPr>
          <w:rFonts w:hint="eastAsia" w:ascii="宋体" w:hAnsi="宋体" w:eastAsia="宋体" w:cs="宋体"/>
          <w:bCs w:val="0"/>
          <w:color w:val="auto"/>
          <w:sz w:val="24"/>
          <w:szCs w:val="24"/>
          <w:highlight w:val="none"/>
        </w:rPr>
        <w:t>：</w:t>
      </w:r>
    </w:p>
    <w:p>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360" w:lineRule="auto"/>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360" w:lineRule="auto"/>
        <w:rPr>
          <w:rFonts w:ascii="宋体" w:hAnsi="宋体" w:cs="宋体"/>
          <w:color w:val="auto"/>
          <w:kern w:val="0"/>
          <w:sz w:val="24"/>
          <w:highlight w:val="none"/>
          <w:lang w:val="zh-CN"/>
        </w:rPr>
      </w:pP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分包合同合同金额达到 % 。                                                </w:t>
      </w:r>
    </w:p>
    <w:p>
      <w:pPr>
        <w:snapToGrid w:val="0"/>
        <w:spacing w:line="360" w:lineRule="auto"/>
        <w:ind w:firstLine="5760" w:firstLineChars="2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p>
    <w:p>
      <w:pPr>
        <w:snapToGrid w:val="0"/>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技术方案（格式自拟）</w:t>
      </w:r>
    </w:p>
    <w:p>
      <w:pPr>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至少包括技术方案、服务方案、质量保障措施、合理化建议等内容</w:t>
      </w:r>
    </w:p>
    <w:p>
      <w:pPr>
        <w:pStyle w:val="8"/>
        <w:ind w:firstLine="466"/>
        <w:rPr>
          <w:rFonts w:hAnsi="宋体" w:cs="宋体"/>
          <w:b/>
          <w:color w:val="auto"/>
          <w:sz w:val="24"/>
          <w:highlight w:val="none"/>
        </w:rPr>
      </w:pPr>
    </w:p>
    <w:p>
      <w:pPr>
        <w:pStyle w:val="8"/>
        <w:ind w:firstLine="464"/>
        <w:rPr>
          <w:rFonts w:hAnsi="宋体" w:cs="宋体"/>
          <w:color w:val="auto"/>
          <w:sz w:val="24"/>
          <w:szCs w:val="24"/>
          <w:highlight w:val="none"/>
        </w:rPr>
      </w:pPr>
    </w:p>
    <w:p>
      <w:pPr>
        <w:pStyle w:val="8"/>
        <w:ind w:firstLine="464"/>
        <w:rPr>
          <w:rFonts w:hAnsi="宋体" w:cs="宋体"/>
          <w:color w:val="auto"/>
          <w:sz w:val="24"/>
          <w:szCs w:val="24"/>
          <w:highlight w:val="none"/>
        </w:rPr>
      </w:pPr>
    </w:p>
    <w:p>
      <w:pPr>
        <w:pStyle w:val="8"/>
        <w:ind w:firstLine="464"/>
        <w:rPr>
          <w:rFonts w:hAnsi="宋体" w:cs="宋体"/>
          <w:color w:val="auto"/>
          <w:sz w:val="24"/>
          <w:szCs w:val="24"/>
          <w:highlight w:val="none"/>
        </w:rPr>
      </w:pPr>
    </w:p>
    <w:p>
      <w:pPr>
        <w:pStyle w:val="8"/>
        <w:ind w:firstLine="464"/>
        <w:rPr>
          <w:rFonts w:hAnsi="宋体" w:cs="宋体"/>
          <w:color w:val="auto"/>
          <w:sz w:val="24"/>
          <w:szCs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466"/>
        <w:rPr>
          <w:rFonts w:hAnsi="宋体" w:cs="宋体"/>
          <w:b/>
          <w:color w:val="auto"/>
          <w:sz w:val="24"/>
          <w:highlight w:val="none"/>
        </w:rPr>
      </w:pPr>
    </w:p>
    <w:p>
      <w:pPr>
        <w:pStyle w:val="8"/>
        <w:ind w:firstLine="0" w:firstLineChars="0"/>
        <w:rPr>
          <w:rFonts w:hAnsi="宋体" w:cs="宋体"/>
          <w:b/>
          <w:color w:val="auto"/>
          <w:sz w:val="24"/>
          <w:highlight w:val="none"/>
        </w:rPr>
      </w:pPr>
    </w:p>
    <w:p>
      <w:pPr>
        <w:pStyle w:val="8"/>
        <w:ind w:firstLine="0" w:firstLineChars="0"/>
        <w:rPr>
          <w:rFonts w:hAnsi="宋体" w:cs="宋体"/>
          <w:b/>
          <w:color w:val="auto"/>
          <w:sz w:val="24"/>
          <w:highlight w:val="none"/>
        </w:rPr>
      </w:pPr>
    </w:p>
    <w:p>
      <w:pPr>
        <w:snapToGrid w:val="0"/>
        <w:spacing w:after="120" w:afterLines="50" w:line="420" w:lineRule="exact"/>
        <w:jc w:val="left"/>
        <w:rPr>
          <w:rFonts w:ascii="宋体" w:hAnsi="宋体" w:cs="宋体"/>
          <w:b/>
          <w:color w:val="auto"/>
          <w:sz w:val="24"/>
          <w:highlight w:val="none"/>
        </w:rPr>
      </w:pPr>
      <w:r>
        <w:rPr>
          <w:rFonts w:hint="eastAsia" w:ascii="宋体" w:hAnsi="宋体" w:cs="宋体"/>
          <w:b/>
          <w:color w:val="auto"/>
          <w:sz w:val="24"/>
          <w:highlight w:val="none"/>
        </w:rPr>
        <w:t>6.报价文件目录</w:t>
      </w:r>
    </w:p>
    <w:p>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（1）投标函（格式见附件）；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（2）开标一览表（格式见附件）；</w:t>
      </w:r>
    </w:p>
    <w:p>
      <w:pPr>
        <w:pStyle w:val="16"/>
        <w:snapToGrid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投标人针对报价需要说明的其他文件和说明（不允许含报价）。</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pStyle w:val="31"/>
        <w:ind w:firstLine="466"/>
        <w:rPr>
          <w:rFonts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pStyle w:val="8"/>
        <w:ind w:firstLine="344"/>
        <w:rPr>
          <w:rFonts w:hAnsi="宋体" w:cs="宋体"/>
          <w:color w:val="auto"/>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rPr>
        <w:t>投标函格式：</w:t>
      </w:r>
    </w:p>
    <w:p>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24"/>
          <w:highlight w:val="none"/>
        </w:rPr>
        <w:t>投 标 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kern w:val="0"/>
          <w:sz w:val="24"/>
          <w:highlight w:val="none"/>
          <w:u w:val="single"/>
        </w:rPr>
        <w:t>东阳耀辉工程咨询有限公司</w:t>
      </w:r>
    </w:p>
    <w:p>
      <w:pPr>
        <w:snapToGrid w:val="0"/>
        <w:spacing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lang w:eastAsia="zh-CN"/>
        </w:rPr>
        <w:t>东阳市2023年度新建房屋白蚁防治服务采购项目</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），签字代表______（全名）经正式授权并代表投标人（投标人名称）提交资格审查文件、资信商务技术文件、报价文件。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______天。</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地址：邮编：__________   电话：____________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传真：______________投标人代表姓名 ___________  职务：____________</w:t>
      </w:r>
    </w:p>
    <w:p>
      <w:pPr>
        <w:snapToGrid w:val="0"/>
        <w:spacing w:line="360" w:lineRule="auto"/>
        <w:jc w:val="left"/>
        <w:rPr>
          <w:rFonts w:hint="eastAsia" w:ascii="宋体" w:hAnsi="宋体"/>
          <w:color w:val="auto"/>
          <w:spacing w:val="20"/>
          <w:sz w:val="24"/>
          <w:highlight w:val="none"/>
        </w:rPr>
      </w:pPr>
    </w:p>
    <w:p>
      <w:pPr>
        <w:snapToGrid w:val="0"/>
        <w:spacing w:line="360" w:lineRule="auto"/>
        <w:jc w:val="left"/>
        <w:rPr>
          <w:rFonts w:hint="eastAsia" w:ascii="宋体" w:hAnsi="宋体"/>
          <w:color w:val="auto"/>
          <w:spacing w:val="20"/>
          <w:sz w:val="24"/>
          <w:highlight w:val="none"/>
        </w:rPr>
      </w:pPr>
    </w:p>
    <w:p>
      <w:pPr>
        <w:snapToGrid w:val="0"/>
        <w:spacing w:line="360" w:lineRule="auto"/>
        <w:jc w:val="left"/>
        <w:rPr>
          <w:rFonts w:hint="eastAsia" w:ascii="宋体" w:hAnsi="宋体"/>
          <w:color w:val="auto"/>
          <w:spacing w:val="20"/>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line="360" w:lineRule="auto"/>
        <w:rPr>
          <w:rFonts w:ascii="宋体" w:hAnsi="宋体" w:cs="宋体"/>
          <w:color w:val="auto"/>
          <w:sz w:val="30"/>
          <w:szCs w:val="20"/>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30"/>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30"/>
          <w:szCs w:val="20"/>
          <w:highlight w:val="none"/>
        </w:rPr>
      </w:pPr>
      <w:r>
        <w:rPr>
          <w:rFonts w:hint="eastAsia" w:ascii="宋体" w:hAnsi="宋体" w:cs="宋体"/>
          <w:b/>
          <w:color w:val="auto"/>
          <w:sz w:val="30"/>
          <w:highlight w:val="none"/>
        </w:rPr>
        <w:t>开标一览表</w:t>
      </w:r>
    </w:p>
    <w:p>
      <w:pPr>
        <w:snapToGrid w:val="0"/>
        <w:spacing w:before="50" w:after="50" w:line="340" w:lineRule="exact"/>
        <w:jc w:val="left"/>
        <w:rPr>
          <w:rFonts w:hint="eastAsia" w:ascii="宋体" w:hAnsi="宋体" w:cs="宋体"/>
          <w:color w:val="auto"/>
          <w:sz w:val="24"/>
          <w:highlight w:val="none"/>
        </w:rPr>
      </w:pPr>
      <w:r>
        <w:rPr>
          <w:rFonts w:hint="eastAsia" w:ascii="宋体" w:hAnsi="宋体" w:cs="宋体"/>
          <w:color w:val="auto"/>
          <w:sz w:val="24"/>
          <w:highlight w:val="none"/>
        </w:rPr>
        <w:t>招标项目名称：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招标编号：</w:t>
      </w:r>
    </w:p>
    <w:tbl>
      <w:tblPr>
        <w:tblStyle w:val="25"/>
        <w:tblW w:w="9472"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137"/>
        <w:gridCol w:w="2185"/>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43"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序号</w:t>
            </w:r>
          </w:p>
        </w:tc>
        <w:tc>
          <w:tcPr>
            <w:tcW w:w="313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采购内容</w:t>
            </w:r>
          </w:p>
        </w:tc>
        <w:tc>
          <w:tcPr>
            <w:tcW w:w="2185"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基准价（单价）</w:t>
            </w:r>
          </w:p>
        </w:tc>
        <w:tc>
          <w:tcPr>
            <w:tcW w:w="310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eastAsia="zh-CN"/>
              </w:rPr>
              <w:t>投标报价（百分率%）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13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蚁情现场调查</w:t>
            </w:r>
          </w:p>
        </w:tc>
        <w:tc>
          <w:tcPr>
            <w:tcW w:w="2185" w:type="dxa"/>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7.13元/100㎡</w:t>
            </w:r>
          </w:p>
        </w:tc>
        <w:tc>
          <w:tcPr>
            <w:tcW w:w="3107" w:type="dxa"/>
            <w:vMerge w:val="restart"/>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43"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w:t>
            </w:r>
          </w:p>
        </w:tc>
        <w:tc>
          <w:tcPr>
            <w:tcW w:w="313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地下型监测装置安装</w:t>
            </w:r>
          </w:p>
        </w:tc>
        <w:tc>
          <w:tcPr>
            <w:tcW w:w="2185" w:type="dxa"/>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47.16元/套</w:t>
            </w:r>
          </w:p>
        </w:tc>
        <w:tc>
          <w:tcPr>
            <w:tcW w:w="3107" w:type="dxa"/>
            <w:vMerge w:val="continue"/>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p>
        </w:tc>
        <w:tc>
          <w:tcPr>
            <w:tcW w:w="3137" w:type="dxa"/>
            <w:vAlign w:val="center"/>
          </w:tcPr>
          <w:p>
            <w:pPr>
              <w:widowControl/>
              <w:overflowPunct w:val="0"/>
              <w:autoSpaceDE w:val="0"/>
              <w:autoSpaceDN w:val="0"/>
              <w:adjustRightInd w:val="0"/>
              <w:spacing w:line="460" w:lineRule="exact"/>
              <w:jc w:val="center"/>
              <w:textAlignment w:val="baseline"/>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监测装置检查维护</w:t>
            </w:r>
          </w:p>
        </w:tc>
        <w:tc>
          <w:tcPr>
            <w:tcW w:w="2185" w:type="dxa"/>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13.42元/套*次</w:t>
            </w:r>
          </w:p>
        </w:tc>
        <w:tc>
          <w:tcPr>
            <w:tcW w:w="3107" w:type="dxa"/>
            <w:vMerge w:val="continue"/>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p>
        </w:tc>
        <w:tc>
          <w:tcPr>
            <w:tcW w:w="3137" w:type="dxa"/>
            <w:vAlign w:val="center"/>
          </w:tcPr>
          <w:p>
            <w:pPr>
              <w:spacing w:line="440" w:lineRule="exact"/>
              <w:jc w:val="center"/>
              <w:rPr>
                <w:rFonts w:hint="eastAsia" w:ascii="Times New Roman" w:hAnsi="宋体" w:eastAsia="宋体" w:cs="宋体"/>
                <w:color w:val="auto"/>
                <w:spacing w:val="-4"/>
                <w:kern w:val="2"/>
                <w:sz w:val="24"/>
                <w:szCs w:val="24"/>
                <w:highlight w:val="none"/>
                <w:lang w:val="en-US" w:eastAsia="zh-CN" w:bidi="ar-SA"/>
              </w:rPr>
            </w:pPr>
            <w:r>
              <w:rPr>
                <w:rFonts w:hint="eastAsia" w:hAnsi="宋体" w:cs="宋体"/>
                <w:color w:val="auto"/>
                <w:spacing w:val="-4"/>
                <w:sz w:val="24"/>
                <w:szCs w:val="24"/>
                <w:highlight w:val="none"/>
                <w:lang w:val="en-US" w:eastAsia="zh-CN"/>
              </w:rPr>
              <w:t>药物屏障复查回访</w:t>
            </w:r>
          </w:p>
        </w:tc>
        <w:tc>
          <w:tcPr>
            <w:tcW w:w="2185" w:type="dxa"/>
            <w:vAlign w:val="center"/>
          </w:tcPr>
          <w:p>
            <w:pPr>
              <w:snapToGrid w:val="0"/>
              <w:spacing w:line="440" w:lineRule="exact"/>
              <w:jc w:val="center"/>
              <w:rPr>
                <w:rFonts w:hint="eastAsia" w:ascii="Times New Roman" w:hAnsi="宋体" w:eastAsia="宋体" w:cs="宋体"/>
                <w:spacing w:val="-4"/>
                <w:kern w:val="2"/>
                <w:sz w:val="24"/>
                <w:szCs w:val="24"/>
                <w:highlight w:val="none"/>
                <w:lang w:val="en-US" w:eastAsia="zh-CN" w:bidi="ar-SA"/>
              </w:rPr>
            </w:pPr>
            <w:r>
              <w:rPr>
                <w:rFonts w:hint="eastAsia" w:hAnsi="宋体" w:cs="宋体"/>
                <w:spacing w:val="-4"/>
                <w:sz w:val="24"/>
                <w:szCs w:val="24"/>
                <w:highlight w:val="none"/>
                <w:lang w:val="en-US" w:eastAsia="zh-CN"/>
              </w:rPr>
              <w:t>7.13元/100㎡</w:t>
            </w:r>
            <w:r>
              <w:rPr>
                <w:rFonts w:hint="eastAsia" w:hAnsi="宋体" w:cs="宋体"/>
                <w:spacing w:val="-4"/>
                <w:sz w:val="24"/>
                <w:szCs w:val="24"/>
                <w:highlight w:val="none"/>
              </w:rPr>
              <w:t>*次</w:t>
            </w:r>
          </w:p>
        </w:tc>
        <w:tc>
          <w:tcPr>
            <w:tcW w:w="3107" w:type="dxa"/>
            <w:vMerge w:val="continue"/>
            <w:vAlign w:val="center"/>
          </w:tcPr>
          <w:p>
            <w:pPr>
              <w:widowControl/>
              <w:overflowPunct w:val="0"/>
              <w:autoSpaceDE w:val="0"/>
              <w:autoSpaceDN w:val="0"/>
              <w:adjustRightInd w:val="0"/>
              <w:spacing w:line="460" w:lineRule="exact"/>
              <w:jc w:val="center"/>
              <w:textAlignment w:val="baseline"/>
              <w:rPr>
                <w:rFonts w:hint="default" w:ascii="宋体" w:hAnsi="宋体" w:eastAsia="宋体" w:cs="宋体"/>
                <w:bCs/>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43" w:type="dxa"/>
            <w:vAlign w:val="center"/>
          </w:tcPr>
          <w:p>
            <w:pPr>
              <w:snapToGrid w:val="0"/>
              <w:spacing w:before="50" w:after="50" w:line="34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429" w:type="dxa"/>
            <w:gridSpan w:val="3"/>
            <w:vAlign w:val="center"/>
          </w:tcPr>
          <w:p>
            <w:pPr>
              <w:snapToGrid w:val="0"/>
              <w:spacing w:before="50" w:after="50" w:line="340" w:lineRule="exact"/>
              <w:jc w:val="left"/>
              <w:rPr>
                <w:rFonts w:hint="eastAsia" w:ascii="宋体" w:hAnsi="宋体" w:cs="宋体"/>
                <w:bCs/>
                <w:color w:val="auto"/>
                <w:sz w:val="24"/>
                <w:highlight w:val="none"/>
              </w:rPr>
            </w:pPr>
            <w:r>
              <w:rPr>
                <w:rFonts w:hint="eastAsia" w:ascii="宋体" w:hAnsi="宋体" w:eastAsia="宋体" w:cs="宋体"/>
                <w:color w:val="auto"/>
                <w:sz w:val="24"/>
                <w:highlight w:val="none"/>
              </w:rPr>
              <w:t>投标报价大写（人民币）：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472" w:type="dxa"/>
            <w:gridSpan w:val="4"/>
            <w:vAlign w:val="center"/>
          </w:tcPr>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注：</w:t>
            </w:r>
            <w:r>
              <w:rPr>
                <w:rFonts w:hint="eastAsia" w:hAnsi="宋体" w:cs="宋体"/>
                <w:bCs/>
                <w:color w:val="auto"/>
                <w:sz w:val="24"/>
                <w:highlight w:val="none"/>
                <w:lang w:eastAsia="zh-CN"/>
              </w:rPr>
              <w:t>预算总价为</w:t>
            </w:r>
            <w:r>
              <w:rPr>
                <w:rFonts w:hint="eastAsia" w:hAnsi="宋体" w:cs="宋体"/>
                <w:bCs/>
                <w:color w:val="auto"/>
                <w:sz w:val="24"/>
                <w:highlight w:val="none"/>
                <w:lang w:val="en-US" w:eastAsia="zh-CN"/>
              </w:rPr>
              <w:t>149万元，序号5报价按149万元</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highlight w:val="none"/>
              </w:rPr>
              <w:t>百分率</w:t>
            </w:r>
            <w:r>
              <w:rPr>
                <w:rFonts w:hint="eastAsia" w:hAnsi="宋体" w:cs="宋体"/>
                <w:color w:val="auto"/>
                <w:sz w:val="24"/>
                <w:highlight w:val="none"/>
                <w:lang w:eastAsia="zh-CN"/>
              </w:rPr>
              <w:t>填写。</w:t>
            </w:r>
            <w:r>
              <w:rPr>
                <w:rFonts w:hint="eastAsia" w:ascii="宋体" w:hAnsi="宋体" w:cs="宋体"/>
                <w:bCs/>
                <w:color w:val="auto"/>
                <w:sz w:val="24"/>
                <w:highlight w:val="none"/>
              </w:rPr>
              <w:t>投标时投标报价不得超过预算总价</w:t>
            </w:r>
            <w:r>
              <w:rPr>
                <w:rFonts w:hint="eastAsia" w:hAnsi="宋体" w:cs="宋体"/>
                <w:bCs/>
                <w:color w:val="auto"/>
                <w:sz w:val="24"/>
                <w:highlight w:val="none"/>
                <w:lang w:eastAsia="zh-CN"/>
              </w:rPr>
              <w:t>及单价</w:t>
            </w:r>
            <w:r>
              <w:rPr>
                <w:rFonts w:hint="eastAsia" w:ascii="宋体" w:hAnsi="宋体" w:cs="宋体"/>
                <w:bCs/>
                <w:color w:val="auto"/>
                <w:sz w:val="24"/>
                <w:highlight w:val="none"/>
              </w:rPr>
              <w:t>，否则按废标处理</w:t>
            </w:r>
            <w:r>
              <w:rPr>
                <w:rFonts w:hint="eastAsia" w:ascii="宋体" w:hAnsi="宋体" w:cs="宋体"/>
                <w:bCs/>
                <w:color w:val="auto"/>
                <w:sz w:val="24"/>
                <w:highlight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464"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本次招标项目的报价内容为</w:t>
            </w:r>
            <w:r>
              <w:rPr>
                <w:rFonts w:hint="eastAsia" w:ascii="宋体" w:hAnsi="宋体" w:eastAsia="宋体" w:cs="宋体"/>
                <w:color w:val="auto"/>
                <w:sz w:val="24"/>
                <w:highlight w:val="none"/>
              </w:rPr>
              <w:t>百分率</w:t>
            </w:r>
            <w:r>
              <w:rPr>
                <w:rFonts w:hint="eastAsia" w:ascii="宋体" w:hAnsi="宋体" w:eastAsia="宋体" w:cs="宋体"/>
                <w:b w:val="0"/>
                <w:bCs w:val="0"/>
                <w:color w:val="auto"/>
                <w:kern w:val="2"/>
                <w:sz w:val="24"/>
                <w:szCs w:val="24"/>
                <w:highlight w:val="none"/>
                <w:lang w:val="en-US" w:eastAsia="zh-CN" w:bidi="ar-SA"/>
              </w:rPr>
              <w:t>，即投标人在招标文件工作内容及收费标准（基准价）中规定的基准价基础上，结合自身企业经营情况填报的折扣幅度。折扣率以百分比（%）进行表述，折扣率百分比数值越小，则报价越低。</w:t>
            </w:r>
          </w:p>
          <w:p>
            <w:pPr>
              <w:snapToGrid w:val="0"/>
              <w:spacing w:before="50" w:after="50" w:line="3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结算时根据中标人完成各项目的完工数量及中标单价结算。中标单价=收费基准价×折扣率</w:t>
            </w:r>
          </w:p>
        </w:tc>
      </w:tr>
    </w:tbl>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1、投标报价（百分率）必须填写，否则其投标作无效标处理。报价一经涂改，应在涂改处加盖单位公章或者由法定代表人或授权委托人签字或盖章，否则其投标作无效标处理。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包括应包括本项目有关的全部费用，报价包括因领取基础资料、现场踏勘等需要产生的食、宿、交通等费用，包括人员费用、器械费用、药物费用、监测控制装置费用、合理利润、税金、政策性文件规定及合同包含的所有风险、责任等各项应有费用。投标报价为投标方所能承受的最低、最终一次性报价，如有漏项，视同已包含在其它项目中，合同价不作调整。</w:t>
      </w:r>
    </w:p>
    <w:p>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3、本表格式不允许修改，表格在格式不改的情况下可以作相应的增减，否则作无效标处理。</w:t>
      </w:r>
    </w:p>
    <w:p>
      <w:pPr>
        <w:spacing w:line="440" w:lineRule="exact"/>
        <w:ind w:firstLine="480" w:firstLineChars="200"/>
        <w:rPr>
          <w:rFonts w:hint="eastAsia" w:ascii="宋体" w:hAnsi="宋体" w:eastAsia="宋体" w:cs="宋体"/>
          <w:color w:val="auto"/>
          <w:sz w:val="24"/>
          <w:highlight w:val="none"/>
        </w:rPr>
      </w:pPr>
    </w:p>
    <w:p>
      <w:pPr>
        <w:snapToGrid w:val="0"/>
        <w:spacing w:before="50" w:after="50" w:line="340" w:lineRule="exact"/>
        <w:ind w:left="-3" w:leftChars="-72" w:right="-817" w:rightChars="-389" w:hanging="148" w:hangingChars="62"/>
        <w:rPr>
          <w:rFonts w:ascii="宋体" w:hAnsi="宋体" w:cs="宋体"/>
          <w:color w:val="auto"/>
          <w:sz w:val="24"/>
          <w:highlight w:val="none"/>
        </w:rPr>
      </w:pPr>
    </w:p>
    <w:p>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pPr>
        <w:snapToGrid w:val="0"/>
        <w:spacing w:before="50" w:after="50" w:line="340" w:lineRule="exact"/>
        <w:ind w:left="-21" w:leftChars="-72" w:right="-817" w:rightChars="-389" w:hanging="130" w:hangingChars="62"/>
        <w:rPr>
          <w:rFonts w:ascii="宋体" w:hAnsi="宋体" w:cs="宋体"/>
          <w:color w:val="auto"/>
          <w:highlight w:val="none"/>
        </w:rPr>
      </w:pPr>
    </w:p>
    <w:p>
      <w:pPr>
        <w:tabs>
          <w:tab w:val="left" w:pos="420"/>
        </w:tabs>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rPr>
        <w:br w:type="page"/>
      </w:r>
      <w:r>
        <w:rPr>
          <w:rFonts w:hint="eastAsia" w:ascii="宋体" w:hAnsi="宋体" w:cs="宋体"/>
          <w:b/>
          <w:color w:val="auto"/>
          <w:sz w:val="36"/>
          <w:highlight w:val="none"/>
        </w:rPr>
        <w:t>中小企业声明函（服务）</w:t>
      </w:r>
    </w:p>
    <w:p>
      <w:pPr>
        <w:pStyle w:val="8"/>
        <w:ind w:firstLine="344"/>
        <w:rPr>
          <w:color w:val="auto"/>
          <w:highlight w:val="none"/>
        </w:rPr>
      </w:pPr>
    </w:p>
    <w:p>
      <w:pPr>
        <w:rPr>
          <w:color w:val="auto"/>
          <w:highlight w:val="none"/>
        </w:rPr>
      </w:pP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（标的名称），属于（采购文件中明确的所属行业）行业；承接企业为 （企业名称），从业人员_____人，营业收入为_____万元，资产总额为_____万元，属于（中型企业、小型企业、微型企业）；</w:t>
      </w:r>
    </w:p>
    <w:p>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color w:val="auto"/>
          <w:kern w:val="0"/>
          <w:sz w:val="24"/>
          <w:highlight w:val="none"/>
        </w:rPr>
      </w:pPr>
    </w:p>
    <w:p>
      <w:pPr>
        <w:tabs>
          <w:tab w:val="left" w:pos="420"/>
        </w:tabs>
        <w:spacing w:line="360" w:lineRule="auto"/>
        <w:ind w:firstLine="480" w:firstLineChars="200"/>
        <w:jc w:val="right"/>
        <w:rPr>
          <w:rFonts w:ascii="宋体" w:hAnsi="宋体" w:cs="Arial"/>
          <w:bCs/>
          <w:color w:val="auto"/>
          <w:kern w:val="0"/>
          <w:sz w:val="24"/>
          <w:highlight w:val="none"/>
        </w:rPr>
      </w:pPr>
      <w:r>
        <w:rPr>
          <w:rFonts w:hint="eastAsia" w:ascii="宋体" w:hAnsi="宋体" w:cs="Arial"/>
          <w:bCs/>
          <w:color w:val="auto"/>
          <w:kern w:val="0"/>
          <w:sz w:val="24"/>
          <w:highlight w:val="none"/>
        </w:rPr>
        <w:t>企业名称（盖章）：</w:t>
      </w:r>
    </w:p>
    <w:p>
      <w:pPr>
        <w:tabs>
          <w:tab w:val="left" w:pos="420"/>
        </w:tabs>
        <w:spacing w:before="100" w:beforeAutospacing="1" w:after="100" w:afterAutospacing="1" w:line="360" w:lineRule="auto"/>
        <w:ind w:firstLine="480" w:firstLineChars="200"/>
        <w:jc w:val="center"/>
        <w:rPr>
          <w:rFonts w:ascii="宋体" w:hAnsi="宋体" w:cs="Arial"/>
          <w:bCs/>
          <w:color w:val="auto"/>
          <w:kern w:val="0"/>
          <w:sz w:val="24"/>
          <w:highlight w:val="none"/>
        </w:rPr>
      </w:pPr>
      <w:r>
        <w:rPr>
          <w:rFonts w:hint="eastAsia" w:ascii="宋体" w:hAnsi="宋体" w:cs="Arial"/>
          <w:bCs/>
          <w:color w:val="auto"/>
          <w:kern w:val="0"/>
          <w:sz w:val="24"/>
          <w:highlight w:val="none"/>
        </w:rPr>
        <w:t xml:space="preserve">                                                   日 期：</w:t>
      </w:r>
    </w:p>
    <w:p>
      <w:pPr>
        <w:tabs>
          <w:tab w:val="left" w:pos="420"/>
        </w:tabs>
        <w:spacing w:before="100" w:beforeAutospacing="1" w:after="100" w:afterAutospacing="1"/>
        <w:rPr>
          <w:rFonts w:ascii="宋体" w:hAnsi="宋体" w:cs="Arial"/>
          <w:b/>
          <w:bCs/>
          <w:color w:val="auto"/>
          <w:kern w:val="0"/>
          <w:sz w:val="24"/>
          <w:highlight w:val="none"/>
        </w:rPr>
      </w:pPr>
      <w:r>
        <w:rPr>
          <w:rFonts w:hint="eastAsia" w:ascii="宋体" w:hAnsi="宋体" w:cs="Arial"/>
          <w:b/>
          <w:bCs/>
          <w:color w:val="auto"/>
          <w:kern w:val="0"/>
          <w:sz w:val="24"/>
          <w:highlight w:val="none"/>
        </w:rPr>
        <w:t>注：</w:t>
      </w:r>
    </w:p>
    <w:p>
      <w:pPr>
        <w:tabs>
          <w:tab w:val="left" w:pos="420"/>
        </w:tabs>
        <w:spacing w:before="100" w:beforeAutospacing="1" w:after="100" w:afterAutospacing="1"/>
        <w:rPr>
          <w:rFonts w:ascii="宋体" w:hAnsi="宋体"/>
          <w:b/>
          <w:color w:val="auto"/>
          <w:highlight w:val="none"/>
        </w:rPr>
      </w:pPr>
      <w:r>
        <w:rPr>
          <w:rFonts w:hint="eastAsia" w:ascii="宋体" w:hAnsi="宋体" w:cs="Arial"/>
          <w:b/>
          <w:bCs/>
          <w:color w:val="auto"/>
          <w:kern w:val="0"/>
          <w:sz w:val="24"/>
          <w:highlight w:val="none"/>
        </w:rPr>
        <w:t>1、</w:t>
      </w:r>
      <w:r>
        <w:rPr>
          <w:rFonts w:hint="eastAsia" w:ascii="宋体" w:hAnsi="宋体"/>
          <w:b/>
          <w:color w:val="auto"/>
          <w:highlight w:val="none"/>
        </w:rPr>
        <w:t>如承接单位为</w:t>
      </w:r>
      <w:r>
        <w:rPr>
          <w:rFonts w:hint="eastAsia" w:ascii="宋体" w:hAnsi="宋体"/>
          <w:b/>
          <w:color w:val="auto"/>
          <w:highlight w:val="none"/>
          <w:lang w:eastAsia="zh-CN"/>
        </w:rPr>
        <w:t>中</w:t>
      </w:r>
      <w:r>
        <w:rPr>
          <w:rFonts w:hint="eastAsia" w:ascii="宋体" w:hAnsi="宋体"/>
          <w:b/>
          <w:color w:val="auto"/>
          <w:highlight w:val="none"/>
        </w:rPr>
        <w:t>小微企业，则需提供中小企业声明函。</w:t>
      </w:r>
    </w:p>
    <w:p>
      <w:pPr>
        <w:rPr>
          <w:rFonts w:ascii="宋体"/>
          <w:b/>
          <w:color w:val="auto"/>
          <w:sz w:val="24"/>
          <w:highlight w:val="none"/>
        </w:rPr>
      </w:pPr>
      <w:r>
        <w:rPr>
          <w:rFonts w:hint="eastAsia" w:ascii="宋体" w:hAnsi="宋体"/>
          <w:b/>
          <w:color w:val="auto"/>
          <w:highlight w:val="none"/>
        </w:rPr>
        <w:t>2、如中标人声明为小微企业，本声明函将随中标结果同时公告，接受社会监督。</w:t>
      </w:r>
    </w:p>
    <w:p>
      <w:pPr>
        <w:pStyle w:val="4"/>
        <w:rPr>
          <w:color w:val="auto"/>
          <w:highlight w:val="none"/>
        </w:rPr>
      </w:pPr>
    </w:p>
    <w:p>
      <w:pPr>
        <w:pStyle w:val="11"/>
        <w:rPr>
          <w:rFonts w:ascii="宋体" w:hAnsi="宋体" w:cs="宋体"/>
          <w:b/>
          <w:bCs/>
          <w:color w:val="auto"/>
          <w:sz w:val="24"/>
          <w:highlight w:val="none"/>
        </w:rPr>
      </w:pPr>
    </w:p>
    <w:p>
      <w:pPr>
        <w:spacing w:after="120"/>
        <w:ind w:right="960"/>
        <w:jc w:val="center"/>
        <w:rPr>
          <w:rFonts w:ascii="宋体" w:hAnsi="宋体" w:cs="宋体"/>
          <w:b/>
          <w:color w:val="auto"/>
          <w:sz w:val="36"/>
          <w:highlight w:val="none"/>
        </w:rPr>
      </w:pPr>
    </w:p>
    <w:p>
      <w:pPr>
        <w:pStyle w:val="8"/>
        <w:ind w:firstLine="707"/>
        <w:rPr>
          <w:rFonts w:hAnsi="宋体" w:cs="宋体"/>
          <w:b/>
          <w:color w:val="auto"/>
          <w:sz w:val="36"/>
          <w:highlight w:val="none"/>
        </w:rPr>
      </w:pPr>
    </w:p>
    <w:p>
      <w:pPr>
        <w:rPr>
          <w:rFonts w:ascii="宋体" w:hAnsi="宋体" w:cs="宋体"/>
          <w:b/>
          <w:color w:val="auto"/>
          <w:sz w:val="36"/>
          <w:highlight w:val="none"/>
        </w:rPr>
      </w:pPr>
    </w:p>
    <w:p>
      <w:pPr>
        <w:pStyle w:val="8"/>
        <w:ind w:firstLine="344"/>
        <w:rPr>
          <w:color w:val="auto"/>
          <w:highlight w:val="none"/>
        </w:rPr>
      </w:pPr>
    </w:p>
    <w:p>
      <w:pPr>
        <w:spacing w:after="120"/>
        <w:ind w:right="960"/>
        <w:rPr>
          <w:rFonts w:ascii="宋体" w:hAnsi="宋体" w:cs="宋体"/>
          <w:b/>
          <w:color w:val="auto"/>
          <w:sz w:val="36"/>
          <w:highlight w:val="none"/>
        </w:rPr>
      </w:pPr>
    </w:p>
    <w:p>
      <w:pPr>
        <w:spacing w:after="120"/>
        <w:ind w:right="960"/>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p>
    <w:p>
      <w:pPr>
        <w:spacing w:after="120"/>
        <w:ind w:right="960"/>
        <w:jc w:val="center"/>
        <w:rPr>
          <w:rFonts w:ascii="宋体" w:hAnsi="宋体" w:cs="宋体"/>
          <w:b/>
          <w:color w:val="auto"/>
          <w:sz w:val="36"/>
          <w:highlight w:val="none"/>
        </w:rPr>
      </w:pPr>
      <w:r>
        <w:rPr>
          <w:rFonts w:hint="eastAsia" w:ascii="宋体" w:hAnsi="宋体" w:cs="宋体"/>
          <w:b/>
          <w:color w:val="auto"/>
          <w:sz w:val="36"/>
          <w:highlight w:val="none"/>
        </w:rPr>
        <w:t>残疾人福利性单位声明函</w:t>
      </w:r>
    </w:p>
    <w:p>
      <w:pPr>
        <w:widowControl/>
        <w:snapToGrid w:val="0"/>
        <w:spacing w:line="300" w:lineRule="auto"/>
        <w:ind w:firstLine="2409" w:firstLineChars="1000"/>
        <w:rPr>
          <w:rFonts w:ascii="宋体" w:hAnsi="宋体" w:cs="宋体"/>
          <w:b/>
          <w:color w:val="auto"/>
          <w:sz w:val="36"/>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非残疾人福利性单位不用提供</w:t>
      </w:r>
      <w:r>
        <w:rPr>
          <w:rFonts w:hint="eastAsia" w:ascii="宋体" w:hAnsi="宋体" w:cs="宋体"/>
          <w:b/>
          <w:color w:val="auto"/>
          <w:sz w:val="24"/>
          <w:highlight w:val="none"/>
        </w:rPr>
        <w:t>】</w:t>
      </w:r>
    </w:p>
    <w:p>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right="6"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after="120"/>
        <w:ind w:right="960"/>
        <w:jc w:val="left"/>
        <w:rPr>
          <w:rFonts w:ascii="宋体" w:hAnsi="宋体" w:cs="宋体"/>
          <w:color w:val="auto"/>
          <w:sz w:val="28"/>
          <w:szCs w:val="28"/>
          <w:highlight w:val="none"/>
        </w:rPr>
      </w:pPr>
    </w:p>
    <w:p>
      <w:pPr>
        <w:spacing w:after="120"/>
        <w:ind w:right="960" w:firstLine="3600" w:firstLineChars="1500"/>
        <w:jc w:val="left"/>
        <w:rPr>
          <w:rFonts w:ascii="宋体" w:hAnsi="宋体" w:cs="宋体"/>
          <w:color w:val="auto"/>
          <w:sz w:val="24"/>
          <w:highlight w:val="none"/>
        </w:rPr>
      </w:pPr>
      <w:r>
        <w:rPr>
          <w:rFonts w:hint="eastAsia" w:ascii="宋体" w:hAnsi="宋体" w:cs="宋体"/>
          <w:color w:val="auto"/>
          <w:sz w:val="24"/>
          <w:highlight w:val="none"/>
        </w:rPr>
        <w:t>单位名称（盖章）:</w:t>
      </w:r>
    </w:p>
    <w:p>
      <w:pPr>
        <w:widowControl/>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日  期：</w:t>
      </w:r>
    </w:p>
    <w:p>
      <w:pPr>
        <w:ind w:hanging="28"/>
        <w:rPr>
          <w:rFonts w:ascii="宋体" w:hAnsi="宋体" w:cs="宋体"/>
          <w:b/>
          <w:color w:val="auto"/>
          <w:sz w:val="24"/>
          <w:highlight w:val="none"/>
        </w:rPr>
      </w:pPr>
    </w:p>
    <w:p>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残疾人福利性单位视同小型、微型企业，享受价格扣除。</w:t>
      </w:r>
    </w:p>
    <w:p>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残疾人福利性单位属于小型、微型企业的，不重复享受政策。</w:t>
      </w:r>
    </w:p>
    <w:p>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如中标人声明为残疾人福利性单位，本声明函将随中标结果同时公告，接受社会监督。</w:t>
      </w:r>
    </w:p>
    <w:p>
      <w:pPr>
        <w:numPr>
          <w:ilvl w:val="0"/>
          <w:numId w:val="4"/>
        </w:numPr>
        <w:tabs>
          <w:tab w:val="left" w:pos="420"/>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cs="宋体"/>
          <w:b/>
          <w:color w:val="auto"/>
          <w:szCs w:val="21"/>
          <w:highlight w:val="none"/>
        </w:rPr>
        <w:t>后附残疾人福利性单位残疾人聘用情况表</w:t>
      </w:r>
    </w:p>
    <w:p>
      <w:pPr>
        <w:snapToGrid w:val="0"/>
        <w:spacing w:before="120" w:beforeLines="50" w:after="50"/>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残疾人福利性单位残疾人聘用情况表（格式可扩展）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752"/>
        <w:gridCol w:w="258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残疾人证号</w:t>
            </w: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24"/>
                <w:highlight w:val="non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752"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c>
          <w:tcPr>
            <w:tcW w:w="2247" w:type="dxa"/>
            <w:tcBorders>
              <w:top w:val="single" w:color="auto" w:sz="4" w:space="0"/>
              <w:left w:val="single" w:color="auto" w:sz="4" w:space="0"/>
              <w:bottom w:val="single" w:color="auto" w:sz="4" w:space="0"/>
              <w:right w:val="single" w:color="auto" w:sz="4" w:space="0"/>
            </w:tcBorders>
          </w:tcPr>
          <w:p>
            <w:pPr>
              <w:snapToGrid w:val="0"/>
              <w:spacing w:before="120" w:beforeLines="50" w:after="50"/>
              <w:jc w:val="center"/>
              <w:rPr>
                <w:rFonts w:ascii="宋体" w:hAnsi="宋体" w:cs="宋体"/>
                <w:b/>
                <w:color w:val="auto"/>
                <w:sz w:val="24"/>
                <w:highlight w:val="none"/>
              </w:rPr>
            </w:pPr>
          </w:p>
        </w:tc>
      </w:tr>
    </w:tbl>
    <w:p>
      <w:pPr>
        <w:widowControl/>
        <w:jc w:val="left"/>
        <w:rPr>
          <w:rFonts w:ascii="宋体" w:hAnsi="宋体" w:cs="宋体"/>
          <w:color w:val="auto"/>
          <w:highlight w:val="none"/>
        </w:rPr>
      </w:pPr>
      <w:r>
        <w:rPr>
          <w:rFonts w:hint="eastAsia" w:ascii="宋体" w:hAnsi="宋体" w:cs="宋体"/>
          <w:b/>
          <w:color w:val="auto"/>
          <w:sz w:val="24"/>
          <w:highlight w:val="none"/>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pPr>
        <w:ind w:hanging="28"/>
        <w:rPr>
          <w:rFonts w:ascii="宋体" w:hAnsi="宋体" w:cs="宋体"/>
          <w:b/>
          <w:color w:val="auto"/>
          <w:sz w:val="24"/>
          <w:highlight w:val="none"/>
        </w:rPr>
      </w:pPr>
    </w:p>
    <w:p>
      <w:pPr>
        <w:pStyle w:val="4"/>
        <w:rPr>
          <w:rFonts w:ascii="宋体" w:hAnsi="宋体" w:eastAsia="宋体" w:cs="宋体"/>
          <w:color w:val="auto"/>
          <w:highlight w:val="none"/>
        </w:rPr>
      </w:pPr>
    </w:p>
    <w:p>
      <w:pPr>
        <w:rPr>
          <w:rFonts w:ascii="宋体" w:hAnsi="宋体" w:cs="宋体"/>
          <w:color w:val="auto"/>
          <w:highlight w:val="none"/>
        </w:rPr>
      </w:pPr>
    </w:p>
    <w:p>
      <w:pPr>
        <w:pStyle w:val="8"/>
        <w:ind w:firstLine="344"/>
        <w:rPr>
          <w:rFonts w:hAnsi="宋体" w:cs="宋体"/>
          <w:color w:val="auto"/>
          <w:highlight w:val="none"/>
        </w:rPr>
      </w:pPr>
    </w:p>
    <w:p>
      <w:pPr>
        <w:rPr>
          <w:rFonts w:ascii="宋体" w:hAnsi="宋体" w:cs="宋体"/>
          <w:color w:val="auto"/>
          <w:highlight w:val="none"/>
        </w:rPr>
      </w:pPr>
    </w:p>
    <w:p>
      <w:pPr>
        <w:spacing w:line="30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pPr>
        <w:adjustRightInd w:val="0"/>
        <w:snapToGri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非监狱企业不用提供</w:t>
      </w:r>
      <w:r>
        <w:rPr>
          <w:rFonts w:hint="eastAsia" w:ascii="宋体" w:hAnsi="宋体" w:cs="宋体"/>
          <w:b/>
          <w:color w:val="auto"/>
          <w:sz w:val="24"/>
          <w:highlight w:val="none"/>
        </w:rPr>
        <w:t>】</w:t>
      </w:r>
    </w:p>
    <w:p>
      <w:pPr>
        <w:widowControl/>
        <w:adjustRightInd w:val="0"/>
        <w:snapToGrid w:val="0"/>
        <w:spacing w:line="300" w:lineRule="auto"/>
        <w:ind w:firstLine="480" w:firstLineChars="200"/>
        <w:rPr>
          <w:rFonts w:ascii="宋体" w:hAnsi="宋体" w:cs="宋体"/>
          <w:color w:val="auto"/>
          <w:sz w:val="24"/>
          <w:highlight w:val="none"/>
        </w:rPr>
      </w:pP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w:t>
      </w:r>
      <w:r>
        <w:rPr>
          <w:rFonts w:hint="eastAsia" w:ascii="宋体" w:hAnsi="宋体" w:cs="宋体"/>
          <w:color w:val="auto"/>
          <w:sz w:val="24"/>
          <w:highlight w:val="none"/>
          <w:u w:val="single"/>
        </w:rPr>
        <w:t>监狱企业</w:t>
      </w:r>
      <w:r>
        <w:rPr>
          <w:rFonts w:hint="eastAsia" w:ascii="宋体" w:hAnsi="宋体" w:cs="宋体"/>
          <w:color w:val="auto"/>
          <w:sz w:val="24"/>
          <w:highlight w:val="none"/>
        </w:rPr>
        <w:t>。</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根据上述标准，我企业属于</w:t>
      </w:r>
      <w:r>
        <w:rPr>
          <w:rFonts w:hint="eastAsia" w:ascii="宋体" w:hAnsi="宋体" w:cs="宋体"/>
          <w:color w:val="auto"/>
          <w:sz w:val="24"/>
          <w:highlight w:val="none"/>
          <w:u w:val="single"/>
        </w:rPr>
        <w:t>监狱企业</w:t>
      </w:r>
      <w:r>
        <w:rPr>
          <w:rFonts w:hint="eastAsia" w:ascii="宋体" w:hAnsi="宋体" w:cs="宋体"/>
          <w:color w:val="auto"/>
          <w:sz w:val="24"/>
          <w:highlight w:val="none"/>
        </w:rPr>
        <w:t>的理由为： 。</w:t>
      </w:r>
    </w:p>
    <w:p>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本企业为参加（项目名称：）（项目编号：）采购活动提供本企业</w:t>
      </w:r>
      <w:r>
        <w:rPr>
          <w:rFonts w:hint="eastAsia" w:ascii="宋体" w:hAnsi="宋体" w:cs="宋体"/>
          <w:color w:val="auto"/>
          <w:sz w:val="24"/>
          <w:highlight w:val="none"/>
          <w:u w:val="single"/>
        </w:rPr>
        <w:t>的服务</w:t>
      </w:r>
      <w:r>
        <w:rPr>
          <w:rFonts w:hint="eastAsia" w:ascii="宋体" w:hAnsi="宋体" w:cs="宋体"/>
          <w:color w:val="auto"/>
          <w:sz w:val="24"/>
          <w:highlight w:val="none"/>
        </w:rPr>
        <w:t>。</w:t>
      </w:r>
    </w:p>
    <w:p>
      <w:pPr>
        <w:widowControl/>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u w:val="single"/>
        </w:rPr>
        <w:t>本企业对上述声明的真实性负责。如有虚假，将依法承担相应责任</w:t>
      </w:r>
      <w:r>
        <w:rPr>
          <w:rFonts w:hint="eastAsia" w:ascii="宋体" w:hAnsi="宋体" w:cs="宋体"/>
          <w:color w:val="auto"/>
          <w:sz w:val="24"/>
          <w:highlight w:val="none"/>
        </w:rPr>
        <w:t>。</w:t>
      </w:r>
    </w:p>
    <w:p>
      <w:pPr>
        <w:adjustRightInd w:val="0"/>
        <w:snapToGrid w:val="0"/>
        <w:spacing w:line="360" w:lineRule="auto"/>
        <w:ind w:firstLine="480" w:firstLineChars="200"/>
        <w:jc w:val="center"/>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供应商名称（盖章）：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pPr>
        <w:widowControl/>
        <w:snapToGrid w:val="0"/>
        <w:spacing w:line="360" w:lineRule="auto"/>
        <w:ind w:firstLine="480" w:firstLineChars="200"/>
        <w:rPr>
          <w:rFonts w:ascii="宋体" w:hAnsi="宋体" w:cs="宋体"/>
          <w:color w:val="auto"/>
          <w:sz w:val="24"/>
          <w:highlight w:val="none"/>
        </w:rPr>
      </w:pPr>
    </w:p>
    <w:p>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5"/>
        <w:adjustRightInd w:val="0"/>
        <w:snapToGrid w:val="0"/>
        <w:spacing w:beforeLines="0" w:afterLines="0" w:line="300" w:lineRule="auto"/>
        <w:ind w:firstLine="480" w:firstLineChars="200"/>
        <w:rPr>
          <w:rFonts w:hAnsi="宋体" w:cs="宋体"/>
          <w:color w:val="auto"/>
          <w:highlight w:val="none"/>
        </w:rPr>
      </w:pPr>
    </w:p>
    <w:p>
      <w:pPr>
        <w:ind w:hanging="28"/>
        <w:rPr>
          <w:rFonts w:ascii="宋体" w:hAnsi="宋体" w:cs="宋体"/>
          <w:b/>
          <w:color w:val="auto"/>
          <w:sz w:val="2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rPr>
          <w:rFonts w:ascii="宋体" w:hAnsi="宋体" w:cs="宋体"/>
          <w:color w:val="auto"/>
          <w:sz w:val="44"/>
          <w:szCs w:val="44"/>
          <w:highlight w:val="none"/>
        </w:rPr>
      </w:pPr>
    </w:p>
    <w:p>
      <w:pPr>
        <w:spacing w:after="120"/>
        <w:rPr>
          <w:rFonts w:ascii="宋体" w:hAnsi="宋体" w:cs="宋体"/>
          <w:b/>
          <w:color w:val="auto"/>
          <w:sz w:val="36"/>
          <w:szCs w:val="36"/>
          <w:highlight w:val="none"/>
        </w:rPr>
      </w:pPr>
    </w:p>
    <w:p>
      <w:pPr>
        <w:pStyle w:val="8"/>
        <w:ind w:firstLine="707"/>
        <w:rPr>
          <w:rFonts w:hAnsi="宋体" w:cs="宋体"/>
          <w:b/>
          <w:color w:val="auto"/>
          <w:sz w:val="36"/>
          <w:szCs w:val="36"/>
          <w:highlight w:val="none"/>
        </w:rPr>
      </w:pPr>
    </w:p>
    <w:p>
      <w:pPr>
        <w:spacing w:after="120"/>
        <w:rPr>
          <w:rFonts w:ascii="宋体" w:hAnsi="宋体" w:cs="宋体"/>
          <w:b/>
          <w:color w:val="auto"/>
          <w:sz w:val="36"/>
          <w:szCs w:val="36"/>
          <w:highlight w:val="none"/>
        </w:rPr>
      </w:pPr>
    </w:p>
    <w:p>
      <w:pPr>
        <w:spacing w:after="120"/>
        <w:jc w:val="center"/>
        <w:rPr>
          <w:rFonts w:ascii="宋体" w:hAnsi="宋体" w:cs="宋体"/>
          <w:b/>
          <w:color w:val="auto"/>
          <w:sz w:val="36"/>
          <w:szCs w:val="36"/>
          <w:highlight w:val="none"/>
        </w:rPr>
      </w:pPr>
      <w:r>
        <w:rPr>
          <w:rFonts w:hint="eastAsia" w:ascii="宋体" w:hAnsi="宋体" w:cs="宋体"/>
          <w:b/>
          <w:color w:val="auto"/>
          <w:sz w:val="36"/>
          <w:szCs w:val="36"/>
          <w:highlight w:val="none"/>
        </w:rPr>
        <w:t>东阳市采购项目验收方案</w:t>
      </w:r>
    </w:p>
    <w:p>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根据《政府采购法》及东阳市政府采购办东财预〔2009〕98号《关于加强政府采购管理工作的补充规定》等有关文件规定，为做好采购项目的验收管理工作，特制定本项目验收方案，具体如下。</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1、招标编号：</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pPr>
        <w:spacing w:after="120"/>
        <w:rPr>
          <w:rFonts w:ascii="宋体" w:hAnsi="宋体" w:cs="宋体"/>
          <w:b/>
          <w:color w:val="auto"/>
          <w:sz w:val="24"/>
          <w:highlight w:val="none"/>
        </w:rPr>
      </w:pPr>
    </w:p>
    <w:p>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1、本次验收由组织。</w:t>
      </w:r>
    </w:p>
    <w:p>
      <w:pPr>
        <w:spacing w:after="120"/>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pPr>
        <w:spacing w:after="120"/>
        <w:rPr>
          <w:rFonts w:ascii="宋体" w:hAnsi="宋体" w:cs="宋体"/>
          <w:b/>
          <w:color w:val="auto"/>
          <w:sz w:val="24"/>
          <w:highlight w:val="none"/>
        </w:rPr>
      </w:pPr>
    </w:p>
    <w:p>
      <w:pPr>
        <w:spacing w:after="120"/>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pPr>
        <w:spacing w:after="120"/>
        <w:rPr>
          <w:rFonts w:ascii="宋体" w:hAnsi="宋体" w:cs="宋体"/>
          <w:b/>
          <w:color w:val="auto"/>
          <w:sz w:val="24"/>
          <w:highlight w:val="none"/>
        </w:rPr>
      </w:pP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pPr>
        <w:spacing w:after="120"/>
        <w:rPr>
          <w:rFonts w:ascii="宋体" w:hAnsi="宋体" w:cs="宋体"/>
          <w:b/>
          <w:color w:val="auto"/>
          <w:sz w:val="24"/>
          <w:highlight w:val="none"/>
        </w:rPr>
      </w:pPr>
    </w:p>
    <w:p>
      <w:pPr>
        <w:spacing w:after="120"/>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pPr>
        <w:spacing w:after="120"/>
        <w:ind w:left="479" w:leftChars="228" w:firstLine="470" w:firstLineChars="195"/>
        <w:rPr>
          <w:rFonts w:ascii="宋体" w:hAnsi="宋体" w:cs="宋体"/>
          <w:b/>
          <w:color w:val="auto"/>
          <w:sz w:val="24"/>
          <w:highlight w:val="none"/>
        </w:rPr>
      </w:pPr>
    </w:p>
    <w:p>
      <w:pPr>
        <w:spacing w:after="120"/>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pPr>
        <w:wordWrap w:val="0"/>
        <w:spacing w:after="120"/>
        <w:ind w:right="960" w:firstLine="548" w:firstLineChars="196"/>
        <w:jc w:val="right"/>
        <w:rPr>
          <w:rFonts w:ascii="宋体" w:hAnsi="宋体" w:cs="宋体"/>
          <w:color w:val="auto"/>
          <w:sz w:val="28"/>
          <w:highlight w:val="none"/>
        </w:rPr>
      </w:pPr>
      <w:r>
        <w:rPr>
          <w:rFonts w:hint="eastAsia" w:ascii="宋体" w:hAnsi="宋体" w:cs="宋体"/>
          <w:color w:val="auto"/>
          <w:sz w:val="28"/>
          <w:highlight w:val="none"/>
        </w:rPr>
        <w:t>年  月  日</w:t>
      </w: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b/>
          <w:color w:val="auto"/>
          <w:sz w:val="44"/>
          <w:highlight w:val="none"/>
        </w:rPr>
      </w:pPr>
    </w:p>
    <w:p>
      <w:pPr>
        <w:rPr>
          <w:rFonts w:ascii="宋体" w:hAnsi="宋体" w:cs="宋体"/>
          <w:color w:val="auto"/>
          <w:sz w:val="44"/>
          <w:szCs w:val="44"/>
          <w:highlight w:val="none"/>
        </w:rPr>
      </w:pPr>
    </w:p>
    <w:p>
      <w:pPr>
        <w:pStyle w:val="8"/>
        <w:ind w:firstLine="864"/>
        <w:rPr>
          <w:rFonts w:hAnsi="宋体" w:cs="宋体"/>
          <w:color w:val="auto"/>
          <w:sz w:val="44"/>
          <w:szCs w:val="44"/>
          <w:highlight w:val="none"/>
        </w:rPr>
      </w:pPr>
    </w:p>
    <w:p>
      <w:pPr>
        <w:pStyle w:val="8"/>
        <w:ind w:firstLine="864"/>
        <w:rPr>
          <w:rFonts w:hAnsi="宋体" w:cs="宋体"/>
          <w:color w:val="auto"/>
          <w:sz w:val="44"/>
          <w:szCs w:val="44"/>
          <w:highlight w:val="none"/>
        </w:rPr>
      </w:pPr>
    </w:p>
    <w:p>
      <w:pPr>
        <w:pStyle w:val="8"/>
        <w:ind w:firstLine="864"/>
        <w:rPr>
          <w:rFonts w:hAnsi="宋体" w:cs="宋体"/>
          <w:color w:val="auto"/>
          <w:sz w:val="44"/>
          <w:szCs w:val="44"/>
          <w:highlight w:val="none"/>
        </w:rPr>
      </w:pPr>
    </w:p>
    <w:p>
      <w:pPr>
        <w:pStyle w:val="8"/>
        <w:ind w:firstLine="864"/>
        <w:rPr>
          <w:rFonts w:hAnsi="宋体" w:cs="宋体"/>
          <w:color w:val="auto"/>
          <w:sz w:val="44"/>
          <w:szCs w:val="44"/>
          <w:highlight w:val="none"/>
        </w:rPr>
      </w:pPr>
    </w:p>
    <w:p>
      <w:pPr>
        <w:pStyle w:val="8"/>
        <w:ind w:firstLine="864"/>
        <w:rPr>
          <w:rFonts w:hAnsi="宋体" w:cs="宋体"/>
          <w:color w:val="auto"/>
          <w:sz w:val="44"/>
          <w:szCs w:val="44"/>
          <w:highlight w:val="none"/>
        </w:rPr>
      </w:pPr>
    </w:p>
    <w:p>
      <w:pPr>
        <w:pStyle w:val="8"/>
        <w:ind w:firstLine="0" w:firstLineChars="0"/>
        <w:rPr>
          <w:rFonts w:hAnsi="宋体" w:cs="宋体"/>
          <w:color w:val="auto"/>
          <w:sz w:val="44"/>
          <w:szCs w:val="44"/>
          <w:highlight w:val="none"/>
        </w:rPr>
      </w:pPr>
    </w:p>
    <w:p>
      <w:pPr>
        <w:pStyle w:val="4"/>
        <w:keepNext w:val="0"/>
        <w:keepLines w:val="0"/>
        <w:pageBreakBefore/>
        <w:spacing w:line="360" w:lineRule="auto"/>
        <w:rPr>
          <w:rFonts w:ascii="宋体" w:hAnsi="宋体" w:eastAsia="宋体" w:cs="宋体"/>
          <w:bCs w:val="0"/>
          <w:color w:val="auto"/>
          <w:highlight w:val="none"/>
        </w:rPr>
      </w:pPr>
      <w:r>
        <w:rPr>
          <w:rFonts w:hint="eastAsia" w:ascii="宋体" w:hAnsi="宋体" w:eastAsia="宋体" w:cs="宋体"/>
          <w:bCs w:val="0"/>
          <w:color w:val="auto"/>
          <w:sz w:val="24"/>
          <w:szCs w:val="24"/>
          <w:highlight w:val="none"/>
        </w:rPr>
        <w:t>政府采购活动现场确认声明书</w:t>
      </w:r>
    </w:p>
    <w:p>
      <w:pPr>
        <w:pStyle w:val="38"/>
        <w:widowControl w:val="0"/>
        <w:snapToGrid w:val="0"/>
        <w:spacing w:line="500" w:lineRule="exact"/>
        <w:ind w:firstLine="2811" w:firstLineChars="1000"/>
        <w:jc w:val="both"/>
        <w:rPr>
          <w:rFonts w:hAnsi="宋体" w:eastAsia="宋体"/>
          <w:b/>
          <w:color w:val="auto"/>
          <w:sz w:val="28"/>
          <w:szCs w:val="28"/>
          <w:highlight w:val="none"/>
        </w:rPr>
      </w:pPr>
      <w:r>
        <w:rPr>
          <w:rFonts w:hint="eastAsia" w:hAnsi="宋体" w:eastAsia="宋体"/>
          <w:b/>
          <w:color w:val="auto"/>
          <w:sz w:val="28"/>
          <w:szCs w:val="28"/>
          <w:highlight w:val="none"/>
        </w:rPr>
        <w:t>政府采购活动现场确认声明书</w:t>
      </w:r>
    </w:p>
    <w:p>
      <w:pPr>
        <w:pStyle w:val="38"/>
        <w:widowControl w:val="0"/>
        <w:snapToGrid w:val="0"/>
        <w:spacing w:line="440" w:lineRule="exact"/>
        <w:jc w:val="both"/>
        <w:rPr>
          <w:rFonts w:hAnsi="宋体" w:eastAsia="宋体"/>
          <w:bCs/>
          <w:color w:val="auto"/>
          <w:szCs w:val="24"/>
          <w:highlight w:val="none"/>
        </w:rPr>
      </w:pPr>
      <w:r>
        <w:rPr>
          <w:rFonts w:hint="eastAsia" w:hAnsi="宋体" w:eastAsia="宋体"/>
          <w:color w:val="auto"/>
          <w:szCs w:val="24"/>
          <w:highlight w:val="none"/>
        </w:rPr>
        <w:t xml:space="preserve"> 东阳耀辉工程咨询有限公司：</w:t>
      </w:r>
    </w:p>
    <w:p>
      <w:pPr>
        <w:pStyle w:val="38"/>
        <w:widowControl w:val="0"/>
        <w:snapToGrid w:val="0"/>
        <w:spacing w:line="440" w:lineRule="exact"/>
        <w:ind w:firstLine="504"/>
        <w:jc w:val="both"/>
        <w:rPr>
          <w:rFonts w:hAnsi="宋体" w:eastAsia="宋体"/>
          <w:color w:val="auto"/>
          <w:spacing w:val="6"/>
          <w:szCs w:val="24"/>
          <w:highlight w:val="none"/>
        </w:rPr>
      </w:pPr>
      <w:r>
        <w:rPr>
          <w:rFonts w:hint="eastAsia" w:hAnsi="宋体" w:eastAsia="宋体"/>
          <w:color w:val="auto"/>
          <w:spacing w:val="6"/>
          <w:szCs w:val="24"/>
          <w:highlight w:val="none"/>
        </w:rPr>
        <w:t>本人（授权代表姓名），经由（单位）</w:t>
      </w:r>
    </w:p>
    <w:p>
      <w:pPr>
        <w:pStyle w:val="38"/>
        <w:widowControl w:val="0"/>
        <w:snapToGrid w:val="0"/>
        <w:spacing w:line="440" w:lineRule="exact"/>
        <w:ind w:firstLine="504"/>
        <w:jc w:val="both"/>
        <w:rPr>
          <w:rFonts w:hAnsi="宋体" w:eastAsia="宋体"/>
          <w:color w:val="auto"/>
          <w:spacing w:val="6"/>
          <w:szCs w:val="24"/>
          <w:highlight w:val="none"/>
        </w:rPr>
      </w:pPr>
      <w:r>
        <w:rPr>
          <w:rFonts w:hint="eastAsia" w:hAnsi="宋体" w:eastAsia="宋体"/>
          <w:color w:val="auto"/>
          <w:spacing w:val="6"/>
          <w:szCs w:val="24"/>
          <w:highlight w:val="none"/>
        </w:rPr>
        <w:t>（法定代表人姓名）合法授权参加（编号：</w:t>
      </w:r>
      <w:r>
        <w:rPr>
          <w:rFonts w:hint="eastAsia" w:hAnsi="宋体" w:eastAsia="宋体"/>
          <w:color w:val="auto"/>
          <w:spacing w:val="6"/>
          <w:szCs w:val="24"/>
          <w:highlight w:val="none"/>
          <w:u w:val="single"/>
        </w:rPr>
        <w:t>）</w:t>
      </w:r>
      <w:r>
        <w:rPr>
          <w:rFonts w:hint="eastAsia" w:hAnsi="宋体" w:eastAsia="宋体"/>
          <w:color w:val="auto"/>
          <w:spacing w:val="6"/>
          <w:szCs w:val="24"/>
          <w:highlight w:val="none"/>
        </w:rPr>
        <w:t xml:space="preserve">政府采购活动，经与本单位法人代表（负责人）联系确认，现就有关公平竞争事项郑重声明如下： </w:t>
      </w:r>
    </w:p>
    <w:p>
      <w:pPr>
        <w:pStyle w:val="39"/>
        <w:numPr>
          <w:ilvl w:val="0"/>
          <w:numId w:val="5"/>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本单位与采购人之间 □不存在利害关系 □存在下列利害关系：</w:t>
      </w:r>
    </w:p>
    <w:p>
      <w:pPr>
        <w:pStyle w:val="39"/>
        <w:snapToGrid w:val="0"/>
        <w:spacing w:line="440" w:lineRule="exact"/>
        <w:rPr>
          <w:rFonts w:ascii="宋体" w:hAnsi="宋体" w:eastAsia="宋体"/>
          <w:color w:val="auto"/>
          <w:szCs w:val="24"/>
          <w:highlight w:val="none"/>
        </w:rPr>
      </w:pPr>
      <w:r>
        <w:rPr>
          <w:rFonts w:hint="eastAsia" w:ascii="宋体" w:hAnsi="宋体" w:eastAsia="宋体"/>
          <w:color w:val="auto"/>
          <w:szCs w:val="24"/>
          <w:highlight w:val="none"/>
        </w:rPr>
        <w:t xml:space="preserve">  A.投资关系    B.行政隶属关系    C.业务指导关系</w:t>
      </w:r>
    </w:p>
    <w:p>
      <w:pPr>
        <w:pStyle w:val="39"/>
        <w:snapToGrid w:val="0"/>
        <w:spacing w:line="440" w:lineRule="exact"/>
        <w:rPr>
          <w:rFonts w:ascii="宋体" w:hAnsi="宋体" w:eastAsia="宋体"/>
          <w:color w:val="auto"/>
          <w:szCs w:val="24"/>
          <w:highlight w:val="none"/>
        </w:rPr>
      </w:pPr>
      <w:r>
        <w:rPr>
          <w:rFonts w:hint="eastAsia" w:ascii="宋体" w:hAnsi="宋体" w:eastAsia="宋体"/>
          <w:color w:val="auto"/>
          <w:szCs w:val="24"/>
          <w:highlight w:val="none"/>
        </w:rPr>
        <w:t xml:space="preserve">  D.其他可能影响采购公正的利害关系（如有，请如实说明） 。</w:t>
      </w:r>
    </w:p>
    <w:p>
      <w:pPr>
        <w:pStyle w:val="39"/>
        <w:numPr>
          <w:ilvl w:val="0"/>
          <w:numId w:val="5"/>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现已清楚知道参加本项目采购活动的其他所有供应商名称，本单位 □与其他所有供应商之间均不存在利害关系 □与 （供应商名称）之间存在下列利害关系：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A.法定代表人或负责人或实际控制人是同一人</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B.法定代表人或负责人或实际控制人是夫妻关系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C.法定代表人或负责人或实际控制人是直系血亲关系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D.法定代表人或负责人或实际控制人存在三代以内旁系血亲关系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E.法定代表人或负责人或实际控制人存在近姻亲关系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F.法定代表人或负责人或实际控制人存在股份控制或实际控制关系</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G.存在共同直接或间接投资设立子公司、联营企业和合营企业情况</w:t>
      </w: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 xml:space="preserve">  H.存在分级代理或代销关系、同一生产制造商关系、管理关系、重要业务（占主营业务收入50%以上）或重要财务往来关系（如融资）等其他实质性控制关系</w:t>
      </w:r>
    </w:p>
    <w:p>
      <w:pPr>
        <w:pStyle w:val="38"/>
        <w:widowControl w:val="0"/>
        <w:snapToGrid w:val="0"/>
        <w:spacing w:line="440" w:lineRule="exact"/>
        <w:jc w:val="both"/>
        <w:rPr>
          <w:rFonts w:hAnsi="宋体" w:eastAsia="宋体"/>
          <w:color w:val="auto"/>
          <w:spacing w:val="6"/>
          <w:szCs w:val="24"/>
          <w:highlight w:val="none"/>
        </w:rPr>
      </w:pPr>
      <w:r>
        <w:rPr>
          <w:rFonts w:hint="eastAsia" w:hAnsi="宋体" w:eastAsia="宋体"/>
          <w:color w:val="auto"/>
          <w:szCs w:val="24"/>
          <w:highlight w:val="none"/>
        </w:rPr>
        <w:t xml:space="preserve">  I.其他利害关系情况。</w:t>
      </w:r>
    </w:p>
    <w:p>
      <w:pPr>
        <w:pStyle w:val="39"/>
        <w:numPr>
          <w:ilvl w:val="0"/>
          <w:numId w:val="6"/>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现已清楚知道并严格遵守政府采购法律法规和现场纪律。</w:t>
      </w:r>
    </w:p>
    <w:p>
      <w:pPr>
        <w:pStyle w:val="39"/>
        <w:numPr>
          <w:ilvl w:val="0"/>
          <w:numId w:val="6"/>
        </w:numPr>
        <w:snapToGrid w:val="0"/>
        <w:spacing w:line="440" w:lineRule="exact"/>
        <w:ind w:firstLine="453" w:firstLineChars="189"/>
        <w:rPr>
          <w:rFonts w:ascii="宋体" w:hAnsi="宋体" w:eastAsia="宋体"/>
          <w:color w:val="auto"/>
          <w:szCs w:val="24"/>
          <w:highlight w:val="none"/>
        </w:rPr>
      </w:pPr>
      <w:r>
        <w:rPr>
          <w:rFonts w:hint="eastAsia" w:ascii="宋体" w:hAnsi="宋体" w:eastAsia="宋体"/>
          <w:color w:val="auto"/>
          <w:szCs w:val="24"/>
          <w:highlight w:val="none"/>
        </w:rPr>
        <w:t>我发现供应商之间存在或可能存在上述第二条第项利害关系。</w:t>
      </w:r>
    </w:p>
    <w:p>
      <w:pPr>
        <w:pStyle w:val="38"/>
        <w:widowControl w:val="0"/>
        <w:snapToGrid w:val="0"/>
        <w:spacing w:line="440" w:lineRule="exact"/>
        <w:jc w:val="both"/>
        <w:rPr>
          <w:rFonts w:hAnsi="宋体" w:eastAsia="宋体"/>
          <w:color w:val="auto"/>
          <w:szCs w:val="24"/>
          <w:highlight w:val="none"/>
        </w:rPr>
      </w:pPr>
    </w:p>
    <w:p>
      <w:pPr>
        <w:pStyle w:val="38"/>
        <w:widowControl w:val="0"/>
        <w:snapToGrid w:val="0"/>
        <w:spacing w:line="440" w:lineRule="exact"/>
        <w:jc w:val="both"/>
        <w:rPr>
          <w:rFonts w:hAnsi="宋体" w:eastAsia="宋体"/>
          <w:color w:val="auto"/>
          <w:szCs w:val="24"/>
          <w:highlight w:val="none"/>
        </w:rPr>
      </w:pPr>
    </w:p>
    <w:p>
      <w:pPr>
        <w:pStyle w:val="38"/>
        <w:widowControl w:val="0"/>
        <w:snapToGrid w:val="0"/>
        <w:spacing w:line="440" w:lineRule="exact"/>
        <w:jc w:val="both"/>
        <w:rPr>
          <w:rFonts w:hAnsi="宋体" w:eastAsia="宋体"/>
          <w:color w:val="auto"/>
          <w:szCs w:val="24"/>
          <w:highlight w:val="none"/>
        </w:rPr>
      </w:pPr>
      <w:r>
        <w:rPr>
          <w:rFonts w:hint="eastAsia" w:hAnsi="宋体" w:eastAsia="宋体"/>
          <w:color w:val="auto"/>
          <w:szCs w:val="24"/>
          <w:highlight w:val="none"/>
        </w:rPr>
        <w:t>（供应商代表签名）：                202</w:t>
      </w:r>
      <w:r>
        <w:rPr>
          <w:rFonts w:hint="eastAsia" w:hAnsi="宋体" w:eastAsia="宋体"/>
          <w:color w:val="auto"/>
          <w:szCs w:val="24"/>
          <w:highlight w:val="none"/>
          <w:lang w:val="en-US" w:eastAsia="zh-CN"/>
        </w:rPr>
        <w:t>3</w:t>
      </w:r>
      <w:r>
        <w:rPr>
          <w:rFonts w:hint="eastAsia" w:hAnsi="宋体" w:eastAsia="宋体"/>
          <w:color w:val="auto"/>
          <w:szCs w:val="24"/>
          <w:highlight w:val="none"/>
        </w:rPr>
        <w:t>年  月   日</w:t>
      </w:r>
    </w:p>
    <w:p>
      <w:pPr>
        <w:pStyle w:val="38"/>
        <w:widowControl w:val="0"/>
        <w:snapToGrid w:val="0"/>
        <w:spacing w:line="440" w:lineRule="exact"/>
        <w:jc w:val="both"/>
        <w:rPr>
          <w:rFonts w:hAnsi="宋体" w:eastAsia="宋体"/>
          <w:color w:val="auto"/>
          <w:szCs w:val="24"/>
          <w:highlight w:val="none"/>
        </w:rPr>
      </w:pPr>
    </w:p>
    <w:p>
      <w:pPr>
        <w:ind w:firstLine="880" w:firstLineChars="200"/>
        <w:rPr>
          <w:rFonts w:ascii="宋体" w:hAnsi="宋体" w:cs="宋体"/>
          <w:color w:val="auto"/>
          <w:sz w:val="44"/>
          <w:szCs w:val="44"/>
          <w:highlight w:val="none"/>
        </w:rPr>
      </w:pPr>
    </w:p>
    <w:p>
      <w:pPr>
        <w:ind w:firstLine="880" w:firstLineChars="200"/>
        <w:rPr>
          <w:rFonts w:ascii="宋体" w:hAnsi="宋体" w:cs="宋体"/>
          <w:color w:val="auto"/>
          <w:sz w:val="44"/>
          <w:szCs w:val="44"/>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代理机构名称：东阳耀辉工程咨询有限公司 </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7"/>
            <w:tcBorders>
              <w:top w:val="single" w:color="auto" w:sz="4" w:space="0"/>
              <w:left w:val="nil"/>
              <w:bottom w:val="single" w:color="auto" w:sz="4" w:space="0"/>
              <w:right w:val="single" w:color="auto" w:sz="4" w:space="0"/>
            </w:tcBorders>
            <w:vAlign w:val="center"/>
          </w:tcPr>
          <w:p>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67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7"/>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7"/>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填表人签字盖章：                    日期</w:t>
      </w:r>
    </w:p>
    <w:p>
      <w:pPr>
        <w:spacing w:before="100" w:beforeAutospacing="1" w:after="120"/>
        <w:ind w:right="-154"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注：此表须盖投标单位公章</w:t>
      </w:r>
    </w:p>
    <w:p>
      <w:pPr>
        <w:spacing w:line="360" w:lineRule="auto"/>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政府采购支持中小企业信用融资相关事项通知</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为支持和促进中小企业发展，进一步发挥政府采购政策功能，现将相关事项通知如下：</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在浙江政府采购网注册入库，并取得东阳市政府采购合同的中小企业供应商。</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请登录浙江省政府采购网“融资贷款”模块，查看信用融资政策文件及各相关银行服务方案。</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三、申请方式和步骤</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（一）采购合同贷</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1、采购单位在政采云完成中标通知书及公告发布后，政采云根据该供应商资信向供应商发送推介合适的融资产品方案(展示多家银行---满足贷款银行条件的银行产品,对供应商进行展示)；</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2、供应商在收到中标通知的同时会收到可申请融资服务邀请，有意向的供应商选择满足条件的银行产品,并补充填写相关资料,向满足条件的融资产品发起申请；</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3、政采云将供应商的申请传递给银行,并将供应商相关信息给银行:供应商信息、订单(合同)信息、融资申请等数据用于贷款审批；</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4、银行进行融资审批并返回审批结果至政采云（审批通过的等待政采云放款通知，订单合同签署生效后通知）,政采云将银行反馈信息同步展示给对应供应商；</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5、采购单位与供应商在线下签订完成合同签署后（将贷款银行的账号协调采购合同中去,贷款账号作为采购合同的收款账户），政采云向银行发送确认指令；</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6、项目履约完成，采购单位完成验收后发起结算，国库完成支付；</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7、银行对其本行借款账户进行资金监控，有入账即可进行本金提前还款操作，银行返回还款信息“提前还款本金、更新还款计划”。</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（二）流水贷流程</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1、政采云通过规则向符合该产品的供应商发出邀约；</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2、供应商授权后向银行发送历史流水数据进行授信；</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3、银行根据风控模型出具最终授信结果并通知政采云；</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4、供应商用款时进行在线提款签约；</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5、银行放款并返回放款结果，流程完成。</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1、供应商需确保政府采购合同的收款银行与融资银行一致。</w:t>
      </w:r>
    </w:p>
    <w:p>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2、请各采购单位积极支持和配合政府采购信用融资工作，在合同备案环节仔细核对收款银行、账号信息等内容，一旦录入将无法修改。</w:t>
      </w:r>
    </w:p>
    <w:p>
      <w:pPr>
        <w:spacing w:line="3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3、为扩大政府采购金融服务面，除政采云网上金融服务合作银行外，东阳市范围内增加浙商银行金华分行东阳支行作为线下合作银行。   </w:t>
      </w:r>
      <w:r>
        <w:rPr>
          <w:rFonts w:hint="eastAsia" w:ascii="宋体" w:hAnsi="宋体" w:cs="宋体"/>
          <w:color w:val="auto"/>
          <w:sz w:val="24"/>
          <w:highlight w:val="none"/>
          <w:lang w:eastAsia="zh-CN"/>
        </w:rPr>
        <w:t>浙商银行金华东阳支行联系人：许燕  联系电话：13967983441  0579-86222992</w:t>
      </w:r>
    </w:p>
    <w:p>
      <w:pPr>
        <w:pStyle w:val="6"/>
        <w:ind w:firstLine="0"/>
        <w:rPr>
          <w:color w:val="auto"/>
          <w:highlight w:val="none"/>
        </w:rPr>
      </w:pPr>
    </w:p>
    <w:p>
      <w:pPr>
        <w:snapToGrid w:val="0"/>
        <w:spacing w:before="50" w:after="50"/>
        <w:ind w:right="-817" w:rightChars="-389"/>
        <w:rPr>
          <w:rFonts w:ascii="宋体" w:hAnsi="宋体" w:cs="宋体"/>
          <w:b/>
          <w:color w:val="auto"/>
          <w:sz w:val="28"/>
          <w:szCs w:val="28"/>
          <w:highlight w:val="none"/>
        </w:rPr>
      </w:pPr>
      <w:r>
        <w:rPr>
          <w:rFonts w:hint="eastAsia" w:ascii="宋体" w:hAnsi="宋体" w:cs="宋体"/>
          <w:b/>
          <w:color w:val="auto"/>
          <w:sz w:val="28"/>
          <w:szCs w:val="28"/>
          <w:highlight w:val="none"/>
        </w:rPr>
        <w:t>质疑函范本</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质疑函范本</w:t>
      </w:r>
    </w:p>
    <w:p>
      <w:pPr>
        <w:adjustRightInd w:val="0"/>
        <w:snapToGrid w:val="0"/>
        <w:spacing w:before="240" w:beforeLines="100"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一、质疑供应商基本信息</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地址：邮编：</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联系人：联系电话：</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联系电话：</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地址： 邮编：</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质疑项目的编号：包号：</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p>
    <w:p>
      <w:pPr>
        <w:adjustRightInd w:val="0"/>
        <w:snapToGrid w:val="0"/>
        <w:spacing w:line="320" w:lineRule="exact"/>
        <w:rPr>
          <w:rFonts w:ascii="宋体" w:hAnsi="宋体" w:cs="宋体"/>
          <w:color w:val="auto"/>
          <w:sz w:val="28"/>
          <w:szCs w:val="28"/>
          <w:highlight w:val="none"/>
        </w:rPr>
      </w:pP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p>
    <w:p>
      <w:pPr>
        <w:adjustRightInd w:val="0"/>
        <w:snapToGrid w:val="0"/>
        <w:spacing w:line="320" w:lineRule="exact"/>
        <w:rPr>
          <w:rFonts w:ascii="宋体" w:hAnsi="宋体" w:cs="宋体"/>
          <w:color w:val="auto"/>
          <w:sz w:val="28"/>
          <w:szCs w:val="28"/>
          <w:highlight w:val="none"/>
          <w:u w:val="dotted"/>
        </w:rPr>
      </w:pP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pPr>
        <w:adjustRightInd w:val="0"/>
        <w:snapToGrid w:val="0"/>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w:t>
      </w:r>
    </w:p>
    <w:p>
      <w:pPr>
        <w:adjustRightInd w:val="0"/>
        <w:snapToGrid w:val="0"/>
        <w:spacing w:line="320" w:lineRule="exact"/>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pPr>
        <w:adjustRightInd w:val="0"/>
        <w:snapToGrid w:val="0"/>
        <w:spacing w:line="32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p>
    <w:p>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adjustRightInd w:val="0"/>
        <w:snapToGrid w:val="0"/>
        <w:spacing w:line="320" w:lineRule="exact"/>
        <w:rPr>
          <w:rFonts w:ascii="宋体" w:hAnsi="宋体" w:cs="宋体"/>
          <w:color w:val="auto"/>
          <w:sz w:val="28"/>
          <w:szCs w:val="28"/>
          <w:highlight w:val="none"/>
        </w:rPr>
      </w:pPr>
    </w:p>
    <w:p>
      <w:pPr>
        <w:spacing w:line="320" w:lineRule="exact"/>
        <w:rPr>
          <w:rFonts w:ascii="宋体" w:hAnsi="宋体" w:cs="宋体"/>
          <w:b/>
          <w:color w:val="auto"/>
          <w:sz w:val="28"/>
          <w:szCs w:val="28"/>
          <w:highlight w:val="none"/>
        </w:rPr>
      </w:pPr>
    </w:p>
    <w:p>
      <w:pPr>
        <w:spacing w:line="320" w:lineRule="exact"/>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pPr>
        <w:widowControl/>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p>
    <w:p>
      <w:pPr>
        <w:snapToGrid w:val="0"/>
        <w:spacing w:before="50" w:after="50"/>
        <w:ind w:right="-817" w:rightChars="-389"/>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投诉书范本</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tabs>
          <w:tab w:val="left" w:pos="6510"/>
        </w:tabs>
        <w:spacing w:line="38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p>
    <w:p>
      <w:pPr>
        <w:tabs>
          <w:tab w:val="left" w:pos="6510"/>
        </w:tabs>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授权代表：联系电话</w:t>
      </w:r>
      <w:r>
        <w:rPr>
          <w:rFonts w:hint="eastAsia" w:ascii="宋体" w:hAnsi="宋体" w:cs="宋体"/>
          <w:color w:val="auto"/>
          <w:sz w:val="28"/>
          <w:szCs w:val="28"/>
          <w:highlight w:val="none"/>
          <w:u w:val="dotted"/>
        </w:rPr>
        <w:t xml:space="preserve">：                  </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联系人：联系电话：</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被投诉人2</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地     址：邮编：</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联系人：联系电话：</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采购项目编号：包号：</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采购人名称：</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pPr>
        <w:spacing w:line="380" w:lineRule="exact"/>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投诉人于年月日,向提出质疑，质疑事项为：</w:t>
      </w:r>
    </w:p>
    <w:p>
      <w:pPr>
        <w:spacing w:line="380" w:lineRule="exact"/>
        <w:rPr>
          <w:rFonts w:ascii="宋体" w:hAnsi="宋体" w:cs="宋体"/>
          <w:color w:val="auto"/>
          <w:sz w:val="28"/>
          <w:szCs w:val="28"/>
          <w:highlight w:val="none"/>
          <w:u w:val="dotted"/>
        </w:rPr>
      </w:pPr>
    </w:p>
    <w:p>
      <w:pPr>
        <w:spacing w:line="380" w:lineRule="exact"/>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于年月日,就质疑事项作出了答复/没有在法定期限内作出答复。</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事实依据：</w:t>
      </w:r>
    </w:p>
    <w:p>
      <w:pPr>
        <w:spacing w:line="380" w:lineRule="exact"/>
        <w:rPr>
          <w:rFonts w:ascii="宋体" w:hAnsi="宋体" w:cs="宋体"/>
          <w:color w:val="auto"/>
          <w:sz w:val="28"/>
          <w:szCs w:val="28"/>
          <w:highlight w:val="none"/>
          <w:u w:val="dotted"/>
        </w:rPr>
      </w:pPr>
    </w:p>
    <w:p>
      <w:pPr>
        <w:spacing w:line="380" w:lineRule="exact"/>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p>
    <w:p>
      <w:pPr>
        <w:spacing w:line="380" w:lineRule="exact"/>
        <w:rPr>
          <w:rFonts w:ascii="宋体" w:hAnsi="宋体" w:cs="宋体"/>
          <w:color w:val="auto"/>
          <w:sz w:val="28"/>
          <w:szCs w:val="28"/>
          <w:highlight w:val="none"/>
          <w:u w:val="dotted"/>
        </w:rPr>
      </w:pP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投诉事项2</w:t>
      </w:r>
    </w:p>
    <w:p>
      <w:pPr>
        <w:spacing w:line="380" w:lineRule="exact"/>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请求：</w:t>
      </w:r>
    </w:p>
    <w:p>
      <w:pPr>
        <w:spacing w:line="380" w:lineRule="exact"/>
        <w:rPr>
          <w:rFonts w:ascii="宋体" w:hAnsi="宋体" w:cs="宋体"/>
          <w:color w:val="auto"/>
          <w:sz w:val="28"/>
          <w:szCs w:val="28"/>
          <w:highlight w:val="none"/>
          <w:u w:val="single"/>
        </w:rPr>
      </w:pP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pPr>
        <w:spacing w:line="38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spacing w:line="380" w:lineRule="exact"/>
        <w:rPr>
          <w:rFonts w:ascii="宋体" w:hAnsi="宋体" w:cs="宋体"/>
          <w:b/>
          <w:color w:val="auto"/>
          <w:sz w:val="28"/>
          <w:szCs w:val="28"/>
          <w:highlight w:val="none"/>
        </w:rPr>
      </w:pPr>
    </w:p>
    <w:p>
      <w:pPr>
        <w:spacing w:line="380" w:lineRule="exact"/>
        <w:rPr>
          <w:rFonts w:ascii="宋体" w:hAnsi="宋体" w:cs="宋体"/>
          <w:b/>
          <w:color w:val="auto"/>
          <w:sz w:val="28"/>
          <w:szCs w:val="28"/>
          <w:highlight w:val="none"/>
        </w:rPr>
      </w:pPr>
      <w:r>
        <w:rPr>
          <w:rFonts w:hint="eastAsia" w:ascii="宋体" w:hAnsi="宋体" w:cs="宋体"/>
          <w:b/>
          <w:color w:val="auto"/>
          <w:sz w:val="28"/>
          <w:szCs w:val="28"/>
          <w:highlight w:val="none"/>
        </w:rPr>
        <w:t>投诉书制作说明：</w:t>
      </w:r>
    </w:p>
    <w:p>
      <w:pPr>
        <w:widowControl/>
        <w:spacing w:line="38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1.投诉人提起投诉时，应当提交投诉书和必要的证明材料，并按照被投诉人和与投诉事项有关的供应商数量提供投诉书副本。</w:t>
      </w:r>
    </w:p>
    <w:p>
      <w:pPr>
        <w:widowControl/>
        <w:spacing w:line="38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sz w:val="28"/>
          <w:szCs w:val="28"/>
          <w:highlight w:val="none"/>
        </w:rPr>
        <w:t>2.投诉人若委托代理人进行投诉的，投诉书应按照要求列明“授权代表”的有关内容，并在附件中提交由</w:t>
      </w:r>
      <w:r>
        <w:rPr>
          <w:rFonts w:hint="eastAsia" w:ascii="宋体" w:hAnsi="宋体" w:cs="宋体"/>
          <w:color w:val="auto"/>
          <w:kern w:val="0"/>
          <w:sz w:val="28"/>
          <w:szCs w:val="28"/>
          <w:highlight w:val="none"/>
        </w:rPr>
        <w:t>投诉人签署的授权委托书。授权委托书应当载明代理人的姓名或者名称、代理事项、具体权限、期限和相关事项。</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3.投诉人若对项目的某一分包进行投诉，投诉书应列明具体分包号。</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4.投诉书应简要列明质疑事项，质疑函、质疑答复等作为附件材料提供。</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5.投诉书的投诉事项应具体、明确，并有必要的事实依据和法律依据。</w:t>
      </w:r>
    </w:p>
    <w:p>
      <w:pPr>
        <w:widowControl/>
        <w:spacing w:line="3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6.投诉书的投诉请求应与投诉事项相关。</w:t>
      </w:r>
    </w:p>
    <w:p>
      <w:pPr>
        <w:widowControl/>
        <w:spacing w:line="38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p>
      <w:pPr>
        <w:jc w:val="left"/>
        <w:rPr>
          <w:rFonts w:ascii="宋体" w:hAnsi="宋体" w:cs="宋体"/>
          <w:b/>
          <w:color w:val="auto"/>
          <w:sz w:val="28"/>
          <w:szCs w:val="28"/>
          <w:highlight w:val="none"/>
        </w:rPr>
      </w:pPr>
    </w:p>
    <w:p>
      <w:pPr>
        <w:pStyle w:val="8"/>
        <w:ind w:firstLine="544"/>
        <w:rPr>
          <w:rFonts w:hAnsi="宋体" w:cs="宋体"/>
          <w:color w:val="auto"/>
          <w:sz w:val="28"/>
          <w:szCs w:val="28"/>
          <w:highlight w:val="none"/>
        </w:rPr>
      </w:pPr>
    </w:p>
    <w:p>
      <w:pPr>
        <w:pStyle w:val="8"/>
        <w:ind w:firstLine="344"/>
        <w:rPr>
          <w:color w:val="auto"/>
          <w:highlight w:val="none"/>
        </w:rPr>
      </w:pPr>
    </w:p>
    <w:p>
      <w:pPr>
        <w:pStyle w:val="6"/>
        <w:rPr>
          <w:color w:val="auto"/>
          <w:highlight w:val="none"/>
        </w:rPr>
      </w:pPr>
    </w:p>
    <w:sectPr>
      <w:headerReference r:id="rId9" w:type="first"/>
      <w:footerReference r:id="rId12" w:type="first"/>
      <w:headerReference r:id="rId8" w:type="default"/>
      <w:footerReference r:id="rId10" w:type="default"/>
      <w:footerReference r:id="rId11" w:type="even"/>
      <w:pgSz w:w="11906" w:h="16838"/>
      <w:pgMar w:top="1440" w:right="1080" w:bottom="1276" w:left="108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v:path/>
          <v:fill on="f" focussize="0,0"/>
          <v:stroke on="f" weight="1.25pt"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2"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867VYpMBAAAqAwAADgAAAAAAAAAA&#10;AAAAAAAuAgAAZHJzL2Uyb0RvYy54bWxQSwECLQAUAAYACAAAACEAqooLHNgAAAAFAQAADwAAAAAA&#10;AAAAAAAAAADtAwAAZHJzL2Rvd25yZXYueG1sUEsFBgAAAAAEAAQA8wAAAPIEAAAAAA==&#10;">
          <v:path/>
          <v:fill on="f" focussize="0,0"/>
          <v:stroke on="f" weight="1.25pt"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0ugwJlQEAACoDAAAOAAAAAAAA&#10;AAAAAAAAAC4CAABkcnMvZTJvRG9jLnhtbFBLAQItABQABgAIAAAAIQCqigsc2AAAAAUBAAAPAAAA&#10;AAAAAAAAAAAAAO8DAABkcnMvZG93bnJldi54bWxQSwUGAAAAAAQABADzAAAA9AQAAAAA&#10;">
          <v:path/>
          <v:fill on="f" focussize="0,0"/>
          <v:stroke on="f" weight="1.25pt"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3</w:t>
    </w:r>
    <w:r>
      <w:fldChar w:fldCharType="end"/>
    </w:r>
  </w:p>
  <w:p>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pPr>
    <w:r>
      <w:pict>
        <v:shape id="文本框 3"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">
          <v:path/>
          <v:fill on="f" focussize="0,0"/>
          <v:stroke on="f" weight="1.25pt"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u w:val="single"/>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F05D8"/>
    <w:multiLevelType w:val="multilevel"/>
    <w:tmpl w:val="D3EF05D8"/>
    <w:lvl w:ilvl="0" w:tentative="0">
      <w:start w:val="1"/>
      <w:numFmt w:val="decimal"/>
      <w:lvlText w:val="%1."/>
      <w:lvlJc w:val="left"/>
      <w:pPr>
        <w:tabs>
          <w:tab w:val="left" w:pos="1244"/>
        </w:tabs>
        <w:ind w:left="1244" w:hanging="420"/>
      </w:p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
    <w:nsid w:val="2CF939AA"/>
    <w:multiLevelType w:val="singleLevel"/>
    <w:tmpl w:val="2CF939AA"/>
    <w:lvl w:ilvl="0" w:tentative="0">
      <w:start w:val="10"/>
      <w:numFmt w:val="decimal"/>
      <w:suff w:val="nothing"/>
      <w:lvlText w:val="%1、"/>
      <w:lvlJc w:val="left"/>
    </w:lvl>
  </w:abstractNum>
  <w:abstractNum w:abstractNumId="2">
    <w:nsid w:val="482E2A1A"/>
    <w:multiLevelType w:val="singleLevel"/>
    <w:tmpl w:val="482E2A1A"/>
    <w:lvl w:ilvl="0" w:tentative="0">
      <w:start w:val="6"/>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6ECF507"/>
    <w:multiLevelType w:val="singleLevel"/>
    <w:tmpl w:val="56ECF507"/>
    <w:lvl w:ilvl="0" w:tentative="0">
      <w:start w:val="1"/>
      <w:numFmt w:val="decimal"/>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1140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xMmVmYWJmMTU5ZTM1YjA3OGNlY2UyNDZhZTE1MmEifQ=="/>
  </w:docVars>
  <w:rsids>
    <w:rsidRoot w:val="00AD4A20"/>
    <w:rsid w:val="000C4A09"/>
    <w:rsid w:val="0029032D"/>
    <w:rsid w:val="00332B63"/>
    <w:rsid w:val="0033501E"/>
    <w:rsid w:val="003A7FFD"/>
    <w:rsid w:val="003C1069"/>
    <w:rsid w:val="003D6088"/>
    <w:rsid w:val="003F0C32"/>
    <w:rsid w:val="003F6618"/>
    <w:rsid w:val="003F67ED"/>
    <w:rsid w:val="00427A6A"/>
    <w:rsid w:val="0045147A"/>
    <w:rsid w:val="004C547F"/>
    <w:rsid w:val="00506A2F"/>
    <w:rsid w:val="00551C43"/>
    <w:rsid w:val="005712D8"/>
    <w:rsid w:val="005C1DB7"/>
    <w:rsid w:val="005F1D5D"/>
    <w:rsid w:val="00616A1D"/>
    <w:rsid w:val="006A4ACD"/>
    <w:rsid w:val="007A73FA"/>
    <w:rsid w:val="007D3AFB"/>
    <w:rsid w:val="00802BCC"/>
    <w:rsid w:val="00806420"/>
    <w:rsid w:val="00841D47"/>
    <w:rsid w:val="0087035D"/>
    <w:rsid w:val="00887DAB"/>
    <w:rsid w:val="008F34F1"/>
    <w:rsid w:val="00925F55"/>
    <w:rsid w:val="009302AD"/>
    <w:rsid w:val="00997E0B"/>
    <w:rsid w:val="00A0073E"/>
    <w:rsid w:val="00A17A7A"/>
    <w:rsid w:val="00AD4A20"/>
    <w:rsid w:val="00AE3A59"/>
    <w:rsid w:val="00BA7D80"/>
    <w:rsid w:val="00BB3C10"/>
    <w:rsid w:val="00C417C9"/>
    <w:rsid w:val="00CA69B2"/>
    <w:rsid w:val="00D3523F"/>
    <w:rsid w:val="00D91A7C"/>
    <w:rsid w:val="00DC6493"/>
    <w:rsid w:val="00ED3725"/>
    <w:rsid w:val="00EE0125"/>
    <w:rsid w:val="00EF3609"/>
    <w:rsid w:val="00F134E0"/>
    <w:rsid w:val="00F54016"/>
    <w:rsid w:val="00FC78EE"/>
    <w:rsid w:val="010525D0"/>
    <w:rsid w:val="019B6D8B"/>
    <w:rsid w:val="01E356AA"/>
    <w:rsid w:val="01F84779"/>
    <w:rsid w:val="02700360"/>
    <w:rsid w:val="027E0CEF"/>
    <w:rsid w:val="03032B7A"/>
    <w:rsid w:val="030E1788"/>
    <w:rsid w:val="031511C4"/>
    <w:rsid w:val="03916DD0"/>
    <w:rsid w:val="03DB141E"/>
    <w:rsid w:val="03FA3F76"/>
    <w:rsid w:val="042C0F82"/>
    <w:rsid w:val="04600F0D"/>
    <w:rsid w:val="04732647"/>
    <w:rsid w:val="048935D8"/>
    <w:rsid w:val="04E24D03"/>
    <w:rsid w:val="05C100B2"/>
    <w:rsid w:val="05CC2E62"/>
    <w:rsid w:val="05FD48BE"/>
    <w:rsid w:val="060776D3"/>
    <w:rsid w:val="064C7E1C"/>
    <w:rsid w:val="069845E6"/>
    <w:rsid w:val="0716125B"/>
    <w:rsid w:val="07C35693"/>
    <w:rsid w:val="08017F69"/>
    <w:rsid w:val="083E6C17"/>
    <w:rsid w:val="08517143"/>
    <w:rsid w:val="08DF1EE9"/>
    <w:rsid w:val="09092403"/>
    <w:rsid w:val="09205EC7"/>
    <w:rsid w:val="09516F98"/>
    <w:rsid w:val="097C0E7B"/>
    <w:rsid w:val="09B6176E"/>
    <w:rsid w:val="09EA6F7F"/>
    <w:rsid w:val="0A59408D"/>
    <w:rsid w:val="0A7A12CA"/>
    <w:rsid w:val="0AC36256"/>
    <w:rsid w:val="0B477944"/>
    <w:rsid w:val="0B7A4FB2"/>
    <w:rsid w:val="0BE04F3A"/>
    <w:rsid w:val="0BF25F1E"/>
    <w:rsid w:val="0C257E8A"/>
    <w:rsid w:val="0C497085"/>
    <w:rsid w:val="0D51466C"/>
    <w:rsid w:val="0D810FC2"/>
    <w:rsid w:val="0DCD5C58"/>
    <w:rsid w:val="0E2C6F15"/>
    <w:rsid w:val="0E5C7CD8"/>
    <w:rsid w:val="0EC51CF1"/>
    <w:rsid w:val="0ED5460A"/>
    <w:rsid w:val="0F444FA8"/>
    <w:rsid w:val="101E076F"/>
    <w:rsid w:val="10250800"/>
    <w:rsid w:val="110F33C7"/>
    <w:rsid w:val="11867E5D"/>
    <w:rsid w:val="11AB2B90"/>
    <w:rsid w:val="12146661"/>
    <w:rsid w:val="12335555"/>
    <w:rsid w:val="12EC6328"/>
    <w:rsid w:val="13487972"/>
    <w:rsid w:val="134933C7"/>
    <w:rsid w:val="135E2352"/>
    <w:rsid w:val="13607206"/>
    <w:rsid w:val="13D365BB"/>
    <w:rsid w:val="140C5755"/>
    <w:rsid w:val="14184F5A"/>
    <w:rsid w:val="14300689"/>
    <w:rsid w:val="14495172"/>
    <w:rsid w:val="14644356"/>
    <w:rsid w:val="14AF517F"/>
    <w:rsid w:val="14B56BB9"/>
    <w:rsid w:val="15846D77"/>
    <w:rsid w:val="158B1599"/>
    <w:rsid w:val="15CD4529"/>
    <w:rsid w:val="15FB61F2"/>
    <w:rsid w:val="16154FCB"/>
    <w:rsid w:val="1687051F"/>
    <w:rsid w:val="17076648"/>
    <w:rsid w:val="17141584"/>
    <w:rsid w:val="17C95EF6"/>
    <w:rsid w:val="18060934"/>
    <w:rsid w:val="183C2926"/>
    <w:rsid w:val="18911DA2"/>
    <w:rsid w:val="19403C9B"/>
    <w:rsid w:val="198213D7"/>
    <w:rsid w:val="19EA4D01"/>
    <w:rsid w:val="1A396A4E"/>
    <w:rsid w:val="1B311218"/>
    <w:rsid w:val="1B4B51B0"/>
    <w:rsid w:val="1BD6342B"/>
    <w:rsid w:val="1BFE56F4"/>
    <w:rsid w:val="1C026332"/>
    <w:rsid w:val="1C080649"/>
    <w:rsid w:val="1C3D5FE4"/>
    <w:rsid w:val="1CF6794B"/>
    <w:rsid w:val="1D3679E0"/>
    <w:rsid w:val="1D6C612A"/>
    <w:rsid w:val="1D75047C"/>
    <w:rsid w:val="1DA80110"/>
    <w:rsid w:val="1DE03535"/>
    <w:rsid w:val="1EDD24CE"/>
    <w:rsid w:val="1F301408"/>
    <w:rsid w:val="1F7C373E"/>
    <w:rsid w:val="1FFA0AFD"/>
    <w:rsid w:val="20831A0C"/>
    <w:rsid w:val="20912804"/>
    <w:rsid w:val="20BF581D"/>
    <w:rsid w:val="214A44F4"/>
    <w:rsid w:val="217B3CC2"/>
    <w:rsid w:val="219E6AFD"/>
    <w:rsid w:val="21AE2A52"/>
    <w:rsid w:val="21B96836"/>
    <w:rsid w:val="22316F25"/>
    <w:rsid w:val="22332E51"/>
    <w:rsid w:val="223F017A"/>
    <w:rsid w:val="227C4396"/>
    <w:rsid w:val="22AA4354"/>
    <w:rsid w:val="23132B49"/>
    <w:rsid w:val="23651827"/>
    <w:rsid w:val="23BF0FAD"/>
    <w:rsid w:val="23C75E58"/>
    <w:rsid w:val="241C214F"/>
    <w:rsid w:val="242F47ED"/>
    <w:rsid w:val="248F6252"/>
    <w:rsid w:val="24AB66C6"/>
    <w:rsid w:val="24F74539"/>
    <w:rsid w:val="258B383C"/>
    <w:rsid w:val="25AF6016"/>
    <w:rsid w:val="263D4DA0"/>
    <w:rsid w:val="265F53DE"/>
    <w:rsid w:val="269E37F0"/>
    <w:rsid w:val="26FD18BE"/>
    <w:rsid w:val="271A1136"/>
    <w:rsid w:val="273677D8"/>
    <w:rsid w:val="27405CED"/>
    <w:rsid w:val="274F678B"/>
    <w:rsid w:val="2750198D"/>
    <w:rsid w:val="275130DD"/>
    <w:rsid w:val="27661DCE"/>
    <w:rsid w:val="276E3A7D"/>
    <w:rsid w:val="2778477A"/>
    <w:rsid w:val="277A4A7E"/>
    <w:rsid w:val="28264779"/>
    <w:rsid w:val="28831186"/>
    <w:rsid w:val="2A646C7F"/>
    <w:rsid w:val="2A8343FF"/>
    <w:rsid w:val="2A8E7E79"/>
    <w:rsid w:val="2AB97A5B"/>
    <w:rsid w:val="2AE7592A"/>
    <w:rsid w:val="2AE97BF9"/>
    <w:rsid w:val="2B1F0321"/>
    <w:rsid w:val="2B642686"/>
    <w:rsid w:val="2B756437"/>
    <w:rsid w:val="2BED5FB9"/>
    <w:rsid w:val="2C114D76"/>
    <w:rsid w:val="2C270936"/>
    <w:rsid w:val="2C8C3FE4"/>
    <w:rsid w:val="2CF44F3A"/>
    <w:rsid w:val="2D0A71DE"/>
    <w:rsid w:val="2D141AD4"/>
    <w:rsid w:val="2D8111E2"/>
    <w:rsid w:val="2DFA2D34"/>
    <w:rsid w:val="2DFE269A"/>
    <w:rsid w:val="2E3D7FF8"/>
    <w:rsid w:val="2E4B21AA"/>
    <w:rsid w:val="2E561F69"/>
    <w:rsid w:val="2E581DFF"/>
    <w:rsid w:val="2E765758"/>
    <w:rsid w:val="2EDD1304"/>
    <w:rsid w:val="2EFD118D"/>
    <w:rsid w:val="2F4A44E3"/>
    <w:rsid w:val="2FAC12B5"/>
    <w:rsid w:val="2FE30285"/>
    <w:rsid w:val="30087DB9"/>
    <w:rsid w:val="30241CE1"/>
    <w:rsid w:val="303F2F96"/>
    <w:rsid w:val="304D175C"/>
    <w:rsid w:val="30890978"/>
    <w:rsid w:val="30A368D3"/>
    <w:rsid w:val="311A3303"/>
    <w:rsid w:val="317A00B8"/>
    <w:rsid w:val="319C7755"/>
    <w:rsid w:val="31D32994"/>
    <w:rsid w:val="31F04A12"/>
    <w:rsid w:val="339B1EE2"/>
    <w:rsid w:val="33B318A1"/>
    <w:rsid w:val="33DC08A6"/>
    <w:rsid w:val="340D366E"/>
    <w:rsid w:val="34332FC6"/>
    <w:rsid w:val="346A5636"/>
    <w:rsid w:val="34763909"/>
    <w:rsid w:val="348214A9"/>
    <w:rsid w:val="34F31669"/>
    <w:rsid w:val="350E58F0"/>
    <w:rsid w:val="35523A2F"/>
    <w:rsid w:val="3590384B"/>
    <w:rsid w:val="3634348A"/>
    <w:rsid w:val="368F480F"/>
    <w:rsid w:val="36CA1CC0"/>
    <w:rsid w:val="36CD5B2A"/>
    <w:rsid w:val="37516216"/>
    <w:rsid w:val="375409A2"/>
    <w:rsid w:val="37611CB8"/>
    <w:rsid w:val="37A367C3"/>
    <w:rsid w:val="37E63A0B"/>
    <w:rsid w:val="37F6496C"/>
    <w:rsid w:val="37FD7805"/>
    <w:rsid w:val="38065E5D"/>
    <w:rsid w:val="38184F51"/>
    <w:rsid w:val="382A157F"/>
    <w:rsid w:val="382F7F59"/>
    <w:rsid w:val="3838397B"/>
    <w:rsid w:val="395D6E46"/>
    <w:rsid w:val="396A2B55"/>
    <w:rsid w:val="3A4875D7"/>
    <w:rsid w:val="3A4B11DD"/>
    <w:rsid w:val="3A4E46A8"/>
    <w:rsid w:val="3A725D00"/>
    <w:rsid w:val="3A872C19"/>
    <w:rsid w:val="3A8A5B01"/>
    <w:rsid w:val="3AE63B58"/>
    <w:rsid w:val="3B857F39"/>
    <w:rsid w:val="3C1063F2"/>
    <w:rsid w:val="3C17152E"/>
    <w:rsid w:val="3C5F777A"/>
    <w:rsid w:val="3C8D6797"/>
    <w:rsid w:val="3CE67422"/>
    <w:rsid w:val="3CE974E1"/>
    <w:rsid w:val="3D1D0AEF"/>
    <w:rsid w:val="3D960B78"/>
    <w:rsid w:val="3DCC6ADF"/>
    <w:rsid w:val="3E045DA4"/>
    <w:rsid w:val="3E8D647F"/>
    <w:rsid w:val="3E9055C8"/>
    <w:rsid w:val="3EC87970"/>
    <w:rsid w:val="3EEC6E47"/>
    <w:rsid w:val="3EF15665"/>
    <w:rsid w:val="3FA63159"/>
    <w:rsid w:val="4027133C"/>
    <w:rsid w:val="40791582"/>
    <w:rsid w:val="40E60A77"/>
    <w:rsid w:val="412546ED"/>
    <w:rsid w:val="413900AD"/>
    <w:rsid w:val="415C577B"/>
    <w:rsid w:val="416401CE"/>
    <w:rsid w:val="41FA1DC3"/>
    <w:rsid w:val="422C5FC8"/>
    <w:rsid w:val="4242142F"/>
    <w:rsid w:val="42580FE6"/>
    <w:rsid w:val="426C1EA8"/>
    <w:rsid w:val="42752198"/>
    <w:rsid w:val="42892443"/>
    <w:rsid w:val="431C567C"/>
    <w:rsid w:val="432A6C49"/>
    <w:rsid w:val="43505326"/>
    <w:rsid w:val="43921709"/>
    <w:rsid w:val="4453331F"/>
    <w:rsid w:val="44B86AD4"/>
    <w:rsid w:val="450B53CB"/>
    <w:rsid w:val="451A5BF4"/>
    <w:rsid w:val="453749EF"/>
    <w:rsid w:val="4549008C"/>
    <w:rsid w:val="45950705"/>
    <w:rsid w:val="45A36974"/>
    <w:rsid w:val="45EC1C63"/>
    <w:rsid w:val="45FB6FA0"/>
    <w:rsid w:val="463F05A3"/>
    <w:rsid w:val="46B33EB8"/>
    <w:rsid w:val="47121270"/>
    <w:rsid w:val="471F71C7"/>
    <w:rsid w:val="47272B68"/>
    <w:rsid w:val="47783926"/>
    <w:rsid w:val="47B01CE2"/>
    <w:rsid w:val="47FE1787"/>
    <w:rsid w:val="48C50FA4"/>
    <w:rsid w:val="49356D39"/>
    <w:rsid w:val="493A5478"/>
    <w:rsid w:val="49757894"/>
    <w:rsid w:val="49A613D1"/>
    <w:rsid w:val="49D942C7"/>
    <w:rsid w:val="4A0D080F"/>
    <w:rsid w:val="4A355F6D"/>
    <w:rsid w:val="4A680ECE"/>
    <w:rsid w:val="4A716D7A"/>
    <w:rsid w:val="4AA46683"/>
    <w:rsid w:val="4B667DDC"/>
    <w:rsid w:val="4C00409E"/>
    <w:rsid w:val="4C027856"/>
    <w:rsid w:val="4C0569BE"/>
    <w:rsid w:val="4C515898"/>
    <w:rsid w:val="4D283B3A"/>
    <w:rsid w:val="4D2E66D8"/>
    <w:rsid w:val="4D7D0540"/>
    <w:rsid w:val="4D827C24"/>
    <w:rsid w:val="4D990E39"/>
    <w:rsid w:val="4E224547"/>
    <w:rsid w:val="4E8830AE"/>
    <w:rsid w:val="4EDB0250"/>
    <w:rsid w:val="4F3E275B"/>
    <w:rsid w:val="4F8143C9"/>
    <w:rsid w:val="4FF73E0F"/>
    <w:rsid w:val="50483BED"/>
    <w:rsid w:val="51182EF0"/>
    <w:rsid w:val="515E1DC1"/>
    <w:rsid w:val="516B1EB5"/>
    <w:rsid w:val="517843C5"/>
    <w:rsid w:val="51804470"/>
    <w:rsid w:val="518D70DF"/>
    <w:rsid w:val="51A3231D"/>
    <w:rsid w:val="51C329D0"/>
    <w:rsid w:val="51D027F3"/>
    <w:rsid w:val="52A7651D"/>
    <w:rsid w:val="52C91D86"/>
    <w:rsid w:val="52D77EFC"/>
    <w:rsid w:val="52DD0CCB"/>
    <w:rsid w:val="52EE7713"/>
    <w:rsid w:val="532C712A"/>
    <w:rsid w:val="537A2677"/>
    <w:rsid w:val="5449333E"/>
    <w:rsid w:val="54997F1A"/>
    <w:rsid w:val="559C03CB"/>
    <w:rsid w:val="55CE63D3"/>
    <w:rsid w:val="56552F27"/>
    <w:rsid w:val="568630E0"/>
    <w:rsid w:val="56CA060B"/>
    <w:rsid w:val="56EB5639"/>
    <w:rsid w:val="5708500E"/>
    <w:rsid w:val="57870900"/>
    <w:rsid w:val="57A2007B"/>
    <w:rsid w:val="57D112A0"/>
    <w:rsid w:val="57D440A7"/>
    <w:rsid w:val="57EF5C5B"/>
    <w:rsid w:val="58490B56"/>
    <w:rsid w:val="58603ED0"/>
    <w:rsid w:val="58BC103B"/>
    <w:rsid w:val="592A2449"/>
    <w:rsid w:val="594D6137"/>
    <w:rsid w:val="59C12C44"/>
    <w:rsid w:val="5A3640E2"/>
    <w:rsid w:val="5AE34FA5"/>
    <w:rsid w:val="5B156FBD"/>
    <w:rsid w:val="5B2267D9"/>
    <w:rsid w:val="5B9333DB"/>
    <w:rsid w:val="5BBE331C"/>
    <w:rsid w:val="5BD17243"/>
    <w:rsid w:val="5C050F4B"/>
    <w:rsid w:val="5CCB5D4A"/>
    <w:rsid w:val="5CD534DB"/>
    <w:rsid w:val="5D060FB5"/>
    <w:rsid w:val="5D663C84"/>
    <w:rsid w:val="5DC019A6"/>
    <w:rsid w:val="5E04292F"/>
    <w:rsid w:val="5E215748"/>
    <w:rsid w:val="5E64502A"/>
    <w:rsid w:val="5EBF08B8"/>
    <w:rsid w:val="5EDD4A44"/>
    <w:rsid w:val="5EFA4034"/>
    <w:rsid w:val="5F0A0E0B"/>
    <w:rsid w:val="5F49002B"/>
    <w:rsid w:val="5F5E109E"/>
    <w:rsid w:val="5F826D54"/>
    <w:rsid w:val="5FDB76BB"/>
    <w:rsid w:val="600B0107"/>
    <w:rsid w:val="60242559"/>
    <w:rsid w:val="605E3790"/>
    <w:rsid w:val="6237471A"/>
    <w:rsid w:val="6249419E"/>
    <w:rsid w:val="624F2F20"/>
    <w:rsid w:val="627A3207"/>
    <w:rsid w:val="62DD2053"/>
    <w:rsid w:val="62DD6037"/>
    <w:rsid w:val="634520A2"/>
    <w:rsid w:val="638F3720"/>
    <w:rsid w:val="63D00091"/>
    <w:rsid w:val="63FF1C7A"/>
    <w:rsid w:val="644A28BF"/>
    <w:rsid w:val="647747B7"/>
    <w:rsid w:val="66401736"/>
    <w:rsid w:val="66564551"/>
    <w:rsid w:val="6672542F"/>
    <w:rsid w:val="667A3E60"/>
    <w:rsid w:val="66D71736"/>
    <w:rsid w:val="67DC234C"/>
    <w:rsid w:val="68211CB0"/>
    <w:rsid w:val="688D6550"/>
    <w:rsid w:val="68A71E97"/>
    <w:rsid w:val="68E57FB7"/>
    <w:rsid w:val="69640752"/>
    <w:rsid w:val="69754B58"/>
    <w:rsid w:val="699D27C3"/>
    <w:rsid w:val="69AF1068"/>
    <w:rsid w:val="69AF50D8"/>
    <w:rsid w:val="69BE5210"/>
    <w:rsid w:val="6A3A7FD0"/>
    <w:rsid w:val="6A6B47A3"/>
    <w:rsid w:val="6A8715FD"/>
    <w:rsid w:val="6AA75244"/>
    <w:rsid w:val="6B1A35C7"/>
    <w:rsid w:val="6B9E0A74"/>
    <w:rsid w:val="6BAC51E5"/>
    <w:rsid w:val="6BB63E9E"/>
    <w:rsid w:val="6BD4393C"/>
    <w:rsid w:val="6C283C40"/>
    <w:rsid w:val="6C8A38DA"/>
    <w:rsid w:val="6CC13AC1"/>
    <w:rsid w:val="6DBD639D"/>
    <w:rsid w:val="6E2B712E"/>
    <w:rsid w:val="6EAA3DB3"/>
    <w:rsid w:val="6EAD3051"/>
    <w:rsid w:val="6ECB1B80"/>
    <w:rsid w:val="6F0A40EE"/>
    <w:rsid w:val="6F1F2E2D"/>
    <w:rsid w:val="6FA7614A"/>
    <w:rsid w:val="70125AFF"/>
    <w:rsid w:val="71366B91"/>
    <w:rsid w:val="7195364F"/>
    <w:rsid w:val="71B1675B"/>
    <w:rsid w:val="726D05CC"/>
    <w:rsid w:val="72CB4D05"/>
    <w:rsid w:val="72D137AD"/>
    <w:rsid w:val="730D7EC7"/>
    <w:rsid w:val="730F0F45"/>
    <w:rsid w:val="73225512"/>
    <w:rsid w:val="734D6DCE"/>
    <w:rsid w:val="73A30837"/>
    <w:rsid w:val="73F1658D"/>
    <w:rsid w:val="73FC458A"/>
    <w:rsid w:val="748F37D4"/>
    <w:rsid w:val="749E1661"/>
    <w:rsid w:val="74A91B05"/>
    <w:rsid w:val="74AB1B77"/>
    <w:rsid w:val="751A43B7"/>
    <w:rsid w:val="759025D7"/>
    <w:rsid w:val="75BB246A"/>
    <w:rsid w:val="75DC637B"/>
    <w:rsid w:val="75DF5F11"/>
    <w:rsid w:val="761C112D"/>
    <w:rsid w:val="769503F0"/>
    <w:rsid w:val="76FB4FCD"/>
    <w:rsid w:val="7709223F"/>
    <w:rsid w:val="779546A4"/>
    <w:rsid w:val="77D47489"/>
    <w:rsid w:val="77E85551"/>
    <w:rsid w:val="787212BF"/>
    <w:rsid w:val="789D17CE"/>
    <w:rsid w:val="78AA2807"/>
    <w:rsid w:val="78F41CD4"/>
    <w:rsid w:val="78FB73F4"/>
    <w:rsid w:val="79000696"/>
    <w:rsid w:val="79234DFF"/>
    <w:rsid w:val="7969171C"/>
    <w:rsid w:val="799A0ACD"/>
    <w:rsid w:val="79B94BC0"/>
    <w:rsid w:val="79B97F31"/>
    <w:rsid w:val="7A061458"/>
    <w:rsid w:val="7A6864F9"/>
    <w:rsid w:val="7A9F497D"/>
    <w:rsid w:val="7AC24458"/>
    <w:rsid w:val="7AE9204D"/>
    <w:rsid w:val="7B736775"/>
    <w:rsid w:val="7BB84DE0"/>
    <w:rsid w:val="7BE11DDC"/>
    <w:rsid w:val="7C922486"/>
    <w:rsid w:val="7CD05934"/>
    <w:rsid w:val="7D1A7956"/>
    <w:rsid w:val="7D9341B1"/>
    <w:rsid w:val="7DCD73FA"/>
    <w:rsid w:val="7DFA57CB"/>
    <w:rsid w:val="7DFC2925"/>
    <w:rsid w:val="7E1E0015"/>
    <w:rsid w:val="7EC1784E"/>
    <w:rsid w:val="7F04385E"/>
    <w:rsid w:val="7F0E2CCF"/>
    <w:rsid w:val="7F3660BC"/>
    <w:rsid w:val="7F497F59"/>
    <w:rsid w:val="7F8D3BD6"/>
    <w:rsid w:val="7FB779A9"/>
    <w:rsid w:val="7FD36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312" w:lineRule="auto"/>
      <w:outlineLvl w:val="2"/>
    </w:pPr>
    <w:rPr>
      <w:rFonts w:ascii="Calibri" w:hAnsi="Calibri"/>
      <w:b/>
      <w:bCs/>
      <w:sz w:val="30"/>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style>
  <w:style w:type="paragraph" w:styleId="6">
    <w:name w:val="Normal Indent"/>
    <w:basedOn w:val="1"/>
    <w:next w:val="7"/>
    <w:qFormat/>
    <w:uiPriority w:val="0"/>
    <w:pPr>
      <w:ind w:firstLine="420"/>
    </w:pPr>
    <w:rPr>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Body Text First Indent 2"/>
    <w:basedOn w:val="7"/>
    <w:next w:val="9"/>
    <w:qFormat/>
    <w:uiPriority w:val="0"/>
    <w:pPr>
      <w:ind w:firstLine="420" w:firstLineChars="200"/>
    </w:pPr>
  </w:style>
  <w:style w:type="paragraph" w:customStyle="1" w:styleId="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Body Text"/>
    <w:basedOn w:val="1"/>
    <w:next w:val="12"/>
    <w:qFormat/>
    <w:uiPriority w:val="0"/>
    <w:pPr>
      <w:spacing w:after="120"/>
    </w:pPr>
    <w:rPr>
      <w:sz w:val="28"/>
    </w:rPr>
  </w:style>
  <w:style w:type="paragraph" w:styleId="12">
    <w:name w:val="Body Text First Indent"/>
    <w:basedOn w:val="11"/>
    <w:next w:val="13"/>
    <w:qFormat/>
    <w:uiPriority w:val="0"/>
    <w:pPr>
      <w:tabs>
        <w:tab w:val="left" w:pos="208"/>
      </w:tabs>
      <w:ind w:firstLine="420"/>
    </w:pPr>
    <w:rPr>
      <w:rFonts w:ascii="Calibri" w:hAnsi="Calibri"/>
      <w:sz w:val="24"/>
      <w:lang w:val="zh-CN"/>
    </w:rPr>
  </w:style>
  <w:style w:type="paragraph" w:styleId="13">
    <w:name w:val="toc 6"/>
    <w:basedOn w:val="1"/>
    <w:next w:val="1"/>
    <w:qFormat/>
    <w:uiPriority w:val="99"/>
    <w:pPr>
      <w:ind w:left="2100" w:leftChars="1000"/>
    </w:pPr>
  </w:style>
  <w:style w:type="paragraph" w:styleId="14">
    <w:name w:val="List 2"/>
    <w:basedOn w:val="1"/>
    <w:qFormat/>
    <w:uiPriority w:val="0"/>
    <w:pPr>
      <w:ind w:left="100" w:leftChars="200" w:hanging="200" w:hangingChars="200"/>
    </w:pPr>
    <w:rPr>
      <w:sz w:val="28"/>
    </w:rPr>
  </w:style>
  <w:style w:type="paragraph" w:styleId="15">
    <w:name w:val="Plain Text"/>
    <w:basedOn w:val="1"/>
    <w:next w:val="1"/>
    <w:qFormat/>
    <w:uiPriority w:val="0"/>
    <w:pPr>
      <w:spacing w:beforeLines="50" w:afterLines="50" w:line="400" w:lineRule="exact"/>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qFormat/>
    <w:uiPriority w:val="0"/>
    <w:pPr>
      <w:snapToGrid w:val="0"/>
      <w:ind w:firstLine="542" w:firstLineChars="225"/>
    </w:pPr>
    <w:rPr>
      <w:rFonts w:ascii="仿宋_GB2312" w:hAnsi="宋体" w:cs="Arial"/>
      <w:b/>
      <w:bCs/>
      <w:color w:val="000000"/>
      <w:sz w:val="24"/>
    </w:rPr>
  </w:style>
  <w:style w:type="paragraph" w:styleId="18">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sz w:val="28"/>
    </w:r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2">
    <w:name w:val="toc 2"/>
    <w:basedOn w:val="1"/>
    <w:next w:val="1"/>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0"/>
    <w:rPr>
      <w:color w:val="0000FF"/>
      <w:szCs w:val="20"/>
      <w:u w:val="single"/>
    </w:rPr>
  </w:style>
  <w:style w:type="paragraph" w:customStyle="1" w:styleId="29">
    <w:name w:val="样式 标题 1 + 四号 加粗"/>
    <w:basedOn w:val="3"/>
    <w:qFormat/>
    <w:uiPriority w:val="0"/>
    <w:rPr>
      <w:rFonts w:eastAsia="黑体"/>
    </w:rPr>
  </w:style>
  <w:style w:type="paragraph" w:customStyle="1" w:styleId="3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1">
    <w:name w:val="BodyText1I2"/>
    <w:basedOn w:val="32"/>
    <w:qFormat/>
    <w:uiPriority w:val="0"/>
    <w:pPr>
      <w:ind w:firstLine="420" w:firstLineChars="200"/>
    </w:pPr>
  </w:style>
  <w:style w:type="paragraph" w:customStyle="1" w:styleId="32">
    <w:name w:val="BodyTextIndent"/>
    <w:basedOn w:val="1"/>
    <w:next w:val="33"/>
    <w:qFormat/>
    <w:uiPriority w:val="0"/>
    <w:pPr>
      <w:spacing w:line="200" w:lineRule="exact"/>
      <w:ind w:firstLine="301"/>
      <w:textAlignment w:val="baseline"/>
    </w:pPr>
    <w:rPr>
      <w:rFonts w:ascii="宋体" w:hAnsi="Courier New"/>
      <w:spacing w:val="-4"/>
      <w:sz w:val="18"/>
      <w:szCs w:val="20"/>
    </w:rPr>
  </w:style>
  <w:style w:type="paragraph" w:customStyle="1" w:styleId="33">
    <w:name w:val="NormalIndent"/>
    <w:basedOn w:val="1"/>
    <w:next w:val="32"/>
    <w:qFormat/>
    <w:uiPriority w:val="0"/>
    <w:pPr>
      <w:ind w:firstLine="420"/>
      <w:textAlignment w:val="baseline"/>
    </w:pPr>
    <w:rPr>
      <w:szCs w:val="20"/>
    </w:rPr>
  </w:style>
  <w:style w:type="paragraph" w:customStyle="1" w:styleId="34">
    <w:name w:val="章正文"/>
    <w:basedOn w:val="1"/>
    <w:qFormat/>
    <w:uiPriority w:val="99"/>
    <w:pPr>
      <w:spacing w:beforeLines="50" w:after="120" w:line="300" w:lineRule="auto"/>
      <w:ind w:firstLine="480"/>
    </w:pPr>
    <w:rPr>
      <w:rFonts w:ascii="Helvetica" w:hAnsi="Helvetica"/>
      <w:kern w:val="0"/>
      <w:sz w:val="24"/>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
    <w:name w:val="无"/>
    <w:qFormat/>
    <w:uiPriority w:val="99"/>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customStyle="1" w:styleId="38">
    <w:name w:val="纯文本1"/>
    <w:basedOn w:val="39"/>
    <w:qFormat/>
    <w:uiPriority w:val="99"/>
    <w:pPr>
      <w:widowControl/>
      <w:jc w:val="left"/>
    </w:pPr>
    <w:rPr>
      <w:rFonts w:ascii="宋体" w:hAnsi="Courier New"/>
    </w:rPr>
  </w:style>
  <w:style w:type="paragraph" w:customStyle="1" w:styleId="39">
    <w:name w:val="正文1"/>
    <w:basedOn w:val="1"/>
    <w:qFormat/>
    <w:uiPriority w:val="0"/>
    <w:pPr>
      <w:spacing w:line="360" w:lineRule="auto"/>
      <w:ind w:firstLine="480" w:firstLineChars="200"/>
    </w:pPr>
    <w:rPr>
      <w:rFonts w:ascii="等线" w:hAnsi="等线" w:eastAsia="等线" w:cs="宋体"/>
      <w:sz w:val="24"/>
      <w:szCs w:val="22"/>
    </w:rPr>
  </w:style>
  <w:style w:type="paragraph" w:styleId="40">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41">
    <w:name w:val="列出段落1"/>
    <w:basedOn w:val="1"/>
    <w:qFormat/>
    <w:uiPriority w:val="34"/>
    <w:pPr>
      <w:ind w:firstLine="420" w:firstLineChars="200"/>
    </w:pPr>
    <w:rPr>
      <w:rFonts w:ascii="Calibri" w:hAnsi="Calibri"/>
      <w:szCs w:val="22"/>
    </w:rPr>
  </w:style>
  <w:style w:type="paragraph" w:customStyle="1" w:styleId="42">
    <w:name w:val="样式 标题 31.1.1标题 333rd levelBOD 0Bold HeadCTH3H31Heading ...1"/>
    <w:basedOn w:val="5"/>
    <w:qFormat/>
    <w:uiPriority w:val="0"/>
    <w:pPr>
      <w:spacing w:before="0" w:after="0"/>
    </w:pPr>
    <w:rPr>
      <w:rFonts w:hAnsi="宋体" w:cs="宋体"/>
      <w:sz w:val="24"/>
    </w:rPr>
  </w:style>
  <w:style w:type="paragraph" w:styleId="43">
    <w:name w:val="List Paragraph"/>
    <w:basedOn w:val="1"/>
    <w:qFormat/>
    <w:uiPriority w:val="34"/>
    <w:pPr>
      <w:ind w:firstLine="420" w:firstLineChars="200"/>
    </w:pPr>
    <w:rPr>
      <w:rFonts w:ascii="Calibri" w:hAnsi="Calibri"/>
    </w:rPr>
  </w:style>
  <w:style w:type="paragraph" w:customStyle="1" w:styleId="44">
    <w:name w:val="列表段落1"/>
    <w:basedOn w:val="1"/>
    <w:qFormat/>
    <w:uiPriority w:val="0"/>
    <w:pPr>
      <w:ind w:firstLine="420" w:firstLineChars="200"/>
    </w:pPr>
  </w:style>
  <w:style w:type="paragraph" w:customStyle="1" w:styleId="45">
    <w:name w:val="表格内容"/>
    <w:basedOn w:val="1"/>
    <w:qFormat/>
    <w:uiPriority w:val="0"/>
    <w:pPr>
      <w:jc w:val="center"/>
    </w:pPr>
    <w:rPr>
      <w:sz w:val="24"/>
    </w:rPr>
  </w:style>
  <w:style w:type="paragraph" w:customStyle="1" w:styleId="46">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页眉 字符"/>
    <w:basedOn w:val="27"/>
    <w:link w:val="19"/>
    <w:qFormat/>
    <w:uiPriority w:val="0"/>
    <w:rPr>
      <w:kern w:val="2"/>
      <w:sz w:val="18"/>
      <w:szCs w:val="18"/>
    </w:rPr>
  </w:style>
  <w:style w:type="paragraph" w:customStyle="1" w:styleId="48">
    <w:name w:val="A_正文_两端"/>
    <w:basedOn w:val="1"/>
    <w:unhideWhenUsed/>
    <w:qFormat/>
    <w:uiPriority w:val="0"/>
    <w:pPr>
      <w:spacing w:line="360" w:lineRule="auto"/>
      <w:ind w:firstLine="200" w:firstLineChars="200"/>
    </w:pPr>
    <w:rPr>
      <w:rFonts w:ascii="Times New Roman" w:hAnsi="Times New Roman" w:eastAsia="仿宋"/>
    </w:rPr>
  </w:style>
  <w:style w:type="paragraph" w:customStyle="1" w:styleId="49">
    <w:name w:val="[Normal]"/>
    <w:qFormat/>
    <w:uiPriority w:val="0"/>
    <w:rPr>
      <w:rFonts w:ascii="宋体" w:hAnsi="宋体" w:eastAsia="宋体" w:cs="Times New Roman"/>
      <w:sz w:val="24"/>
      <w:szCs w:val="22"/>
      <w:lang w:val="zh-CN" w:eastAsia="zh-CN" w:bidi="ar-SA"/>
    </w:rPr>
  </w:style>
  <w:style w:type="character" w:customStyle="1" w:styleId="50">
    <w:name w:val="标题 1 Char"/>
    <w:qFormat/>
    <w:uiPriority w:val="0"/>
    <w:rPr>
      <w:rFonts w:ascii="Times New Roman" w:hAnsi="Times New Roman" w:eastAsia="宋体"/>
      <w:b/>
      <w:bCs/>
      <w:kern w:val="44"/>
      <w:sz w:val="44"/>
      <w:szCs w:val="44"/>
      <w:lang w:val="en-US" w:eastAsia="zh-CN" w:bidi="ar-SA"/>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p0"/>
    <w:basedOn w:val="1"/>
    <w:qFormat/>
    <w:uiPriority w:val="0"/>
    <w:pPr>
      <w:widowControl/>
      <w:adjustRightInd/>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40475</Words>
  <Characters>43060</Characters>
  <Lines>284</Lines>
  <Paragraphs>80</Paragraphs>
  <TotalTime>27</TotalTime>
  <ScaleCrop>false</ScaleCrop>
  <LinksUpToDate>false</LinksUpToDate>
  <CharactersWithSpaces>44935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2021-08-16T02:07:00Z</dcterms:created>
  <dc:creator>许文辉</dc:creator>
  <cp:lastModifiedBy>虎鹿镇</cp:lastModifiedBy>
  <cp:lastPrinted>2023-05-22T08:27:00Z</cp:lastPrinted>
  <dcterms:modified xsi:type="dcterms:W3CDTF">2023-05-24T07:45:11Z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EDA4696BB28940979456E5F71998E20E</vt:lpwstr>
  </property>
</Properties>
</file>