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100"/>
          <w:sz w:val="80"/>
          <w:szCs w:val="80"/>
        </w:rPr>
      </w:pPr>
      <w:bookmarkStart w:id="0" w:name="_Toc35393791"/>
      <w:bookmarkStart w:id="1" w:name="_Toc28359003"/>
      <w:bookmarkStart w:id="2" w:name="_Toc28359080"/>
      <w:bookmarkStart w:id="3" w:name="_Toc35393622"/>
      <w:r>
        <w:rPr>
          <w:rFonts w:hint="eastAsia" w:asciiTheme="minorAscii" w:hAnsiTheme="minorAscii"/>
          <w:spacing w:val="0"/>
          <w:sz w:val="52"/>
          <w:szCs w:val="52"/>
          <w:lang w:eastAsia="zh-CN"/>
        </w:rPr>
        <w:t>阳新县2023年有害生物防治项目</w:t>
      </w:r>
    </w:p>
    <w:p>
      <w:pPr>
        <w:pStyle w:val="2"/>
      </w:pPr>
    </w:p>
    <w:p>
      <w:pPr>
        <w:pStyle w:val="2"/>
      </w:pPr>
    </w:p>
    <w:p/>
    <w:p>
      <w:pPr>
        <w:pStyle w:val="2"/>
      </w:pPr>
    </w:p>
    <w:p/>
    <w:p>
      <w:pPr>
        <w:pStyle w:val="2"/>
      </w:pPr>
    </w:p>
    <w:p>
      <w:pPr>
        <w:pStyle w:val="2"/>
      </w:pPr>
    </w:p>
    <w:p/>
    <w:p>
      <w:pPr>
        <w:pStyle w:val="2"/>
      </w:pPr>
    </w:p>
    <w:p>
      <w:pPr>
        <w:jc w:val="center"/>
        <w:rPr>
          <w:spacing w:val="100"/>
          <w:sz w:val="80"/>
          <w:szCs w:val="80"/>
        </w:rPr>
      </w:pPr>
      <w:r>
        <w:rPr>
          <w:rFonts w:hint="eastAsia"/>
          <w:spacing w:val="100"/>
          <w:sz w:val="80"/>
          <w:szCs w:val="80"/>
        </w:rPr>
        <w:t>采购需求公示</w:t>
      </w:r>
    </w:p>
    <w:p/>
    <w:p/>
    <w:p/>
    <w:p/>
    <w:p/>
    <w:p/>
    <w:p/>
    <w:p/>
    <w:p/>
    <w:p>
      <w:pPr>
        <w:spacing w:line="360" w:lineRule="auto"/>
        <w:rPr>
          <w:rFonts w:hint="eastAsia" w:asciiTheme="minorEastAsia" w:hAnsiTheme="minorEastAsia"/>
          <w:sz w:val="36"/>
          <w:szCs w:val="36"/>
          <w:lang w:eastAsia="zh-CN"/>
        </w:rPr>
      </w:pPr>
      <w:r>
        <w:rPr>
          <w:rFonts w:hint="eastAsia" w:asciiTheme="minorEastAsia" w:hAnsiTheme="minorEastAsia"/>
          <w:sz w:val="36"/>
          <w:szCs w:val="36"/>
        </w:rPr>
        <w:t>项目名称：</w:t>
      </w:r>
      <w:r>
        <w:rPr>
          <w:rFonts w:hint="eastAsia" w:asciiTheme="minorEastAsia" w:hAnsiTheme="minorEastAsia"/>
          <w:sz w:val="36"/>
          <w:szCs w:val="36"/>
          <w:lang w:eastAsia="zh-CN"/>
        </w:rPr>
        <w:t xml:space="preserve"> 阳新县2023年有害生物防治项目</w:t>
      </w:r>
    </w:p>
    <w:p>
      <w:pPr>
        <w:spacing w:line="360" w:lineRule="auto"/>
        <w:rPr>
          <w:rFonts w:hint="eastAsia" w:asciiTheme="minorEastAsia" w:hAnsiTheme="minorEastAsia"/>
          <w:sz w:val="36"/>
          <w:szCs w:val="36"/>
          <w:lang w:eastAsia="zh-CN"/>
        </w:rPr>
      </w:pPr>
      <w:r>
        <w:rPr>
          <w:rFonts w:hint="eastAsia" w:asciiTheme="minorEastAsia" w:hAnsiTheme="minorEastAsia"/>
          <w:sz w:val="36"/>
          <w:szCs w:val="36"/>
        </w:rPr>
        <w:t>招标单位：</w:t>
      </w:r>
      <w:r>
        <w:rPr>
          <w:rFonts w:hint="eastAsia" w:asciiTheme="minorEastAsia" w:hAnsiTheme="minorEastAsia"/>
          <w:sz w:val="36"/>
          <w:szCs w:val="36"/>
          <w:lang w:eastAsia="zh-CN"/>
        </w:rPr>
        <w:t>阳新县自然资源和规划局</w:t>
      </w:r>
    </w:p>
    <w:p>
      <w:pPr>
        <w:spacing w:line="360" w:lineRule="auto"/>
        <w:rPr>
          <w:rFonts w:hint="eastAsia" w:asciiTheme="minorEastAsia" w:hAnsiTheme="minorEastAsia"/>
          <w:sz w:val="36"/>
          <w:szCs w:val="36"/>
          <w:lang w:eastAsia="zh-CN"/>
        </w:rPr>
      </w:pPr>
      <w:r>
        <w:rPr>
          <w:rFonts w:hint="eastAsia" w:asciiTheme="minorEastAsia" w:hAnsiTheme="minorEastAsia"/>
          <w:sz w:val="36"/>
          <w:szCs w:val="36"/>
        </w:rPr>
        <w:t>代理机构：</w:t>
      </w:r>
      <w:r>
        <w:rPr>
          <w:rFonts w:hint="eastAsia" w:asciiTheme="minorEastAsia" w:hAnsiTheme="minorEastAsia"/>
          <w:sz w:val="36"/>
          <w:szCs w:val="36"/>
          <w:lang w:eastAsia="zh-CN"/>
        </w:rPr>
        <w:t>中禹鑫工程项目管理有限公司</w:t>
      </w:r>
    </w:p>
    <w:p>
      <w:pPr>
        <w:spacing w:line="360" w:lineRule="auto"/>
        <w:rPr>
          <w:rFonts w:asciiTheme="minorEastAsia" w:hAnsiTheme="minorEastAsia"/>
          <w:sz w:val="36"/>
          <w:szCs w:val="36"/>
        </w:rPr>
      </w:pPr>
      <w:r>
        <w:rPr>
          <w:rFonts w:hint="eastAsia" w:asciiTheme="minorEastAsia" w:hAnsiTheme="minorEastAsia"/>
          <w:sz w:val="36"/>
          <w:szCs w:val="36"/>
        </w:rPr>
        <w:t>编制时间：202</w:t>
      </w:r>
      <w:r>
        <w:rPr>
          <w:rFonts w:hint="eastAsia" w:asciiTheme="minorEastAsia" w:hAnsiTheme="minorEastAsia"/>
          <w:sz w:val="36"/>
          <w:szCs w:val="36"/>
          <w:lang w:val="en-US" w:eastAsia="zh-CN"/>
        </w:rPr>
        <w:t>3</w:t>
      </w:r>
      <w:r>
        <w:rPr>
          <w:rFonts w:hint="eastAsia" w:asciiTheme="minorEastAsia" w:hAnsiTheme="minorEastAsia"/>
          <w:sz w:val="36"/>
          <w:szCs w:val="36"/>
        </w:rPr>
        <w:t>年</w:t>
      </w:r>
      <w:r>
        <w:rPr>
          <w:rFonts w:hint="eastAsia" w:asciiTheme="minorEastAsia" w:hAnsiTheme="minorEastAsia"/>
          <w:sz w:val="36"/>
          <w:szCs w:val="36"/>
          <w:lang w:val="en-US" w:eastAsia="zh-CN"/>
        </w:rPr>
        <w:t>5</w:t>
      </w:r>
      <w:r>
        <w:rPr>
          <w:rFonts w:hint="eastAsia" w:asciiTheme="minorEastAsia" w:hAnsiTheme="minorEastAsia"/>
          <w:sz w:val="36"/>
          <w:szCs w:val="36"/>
        </w:rPr>
        <w:t>月</w:t>
      </w:r>
    </w:p>
    <w:p>
      <w:pPr>
        <w:spacing w:line="360" w:lineRule="auto"/>
        <w:rPr>
          <w:rFonts w:asciiTheme="minorEastAsia" w:hAnsiTheme="minorEastAsia"/>
          <w:sz w:val="40"/>
          <w:szCs w:val="40"/>
        </w:rPr>
      </w:pPr>
    </w:p>
    <w:p>
      <w:pPr>
        <w:pStyle w:val="2"/>
        <w:rPr>
          <w:rFonts w:asciiTheme="minorEastAsia" w:hAnsiTheme="minorEastAsia"/>
          <w:sz w:val="40"/>
          <w:szCs w:val="40"/>
        </w:rPr>
      </w:pPr>
    </w:p>
    <w:p/>
    <w:p>
      <w:pPr>
        <w:autoSpaceDE w:val="0"/>
        <w:autoSpaceDN w:val="0"/>
        <w:adjustRightInd w:val="0"/>
        <w:spacing w:line="300" w:lineRule="auto"/>
        <w:outlineLvl w:val="0"/>
        <w:rPr>
          <w:rFonts w:ascii="宋体" w:hAnsi="宋体" w:cs="宋体"/>
          <w:b/>
          <w:bCs/>
          <w:color w:val="000000"/>
          <w:szCs w:val="21"/>
        </w:rPr>
      </w:pPr>
    </w:p>
    <w:p>
      <w:pPr>
        <w:autoSpaceDE w:val="0"/>
        <w:autoSpaceDN w:val="0"/>
        <w:adjustRightInd w:val="0"/>
        <w:spacing w:line="300" w:lineRule="auto"/>
        <w:outlineLvl w:val="0"/>
        <w:rPr>
          <w:rFonts w:ascii="宋体" w:hAnsi="宋体" w:cs="宋体"/>
          <w:b/>
          <w:bCs/>
          <w:color w:val="000000"/>
          <w:szCs w:val="21"/>
        </w:rPr>
      </w:pPr>
    </w:p>
    <w:p>
      <w:pPr>
        <w:rPr>
          <w:rFonts w:hint="eastAsia" w:ascii="宋体" w:hAnsi="宋体" w:eastAsia="宋体" w:cs="宋体"/>
          <w:b/>
          <w:bCs/>
          <w:color w:val="auto"/>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bidi w:val="0"/>
        <w:spacing w:line="440" w:lineRule="exact"/>
        <w:jc w:val="both"/>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一包：</w:t>
      </w:r>
      <w:r>
        <w:rPr>
          <w:rFonts w:hint="eastAsia" w:ascii="宋体" w:hAnsi="宋体" w:eastAsia="宋体" w:cs="宋体"/>
          <w:b/>
          <w:bCs/>
          <w:color w:val="auto"/>
          <w:sz w:val="32"/>
          <w:szCs w:val="32"/>
          <w:lang w:eastAsia="zh-CN"/>
        </w:rPr>
        <w:t>阳新县2022年松墨天牛化学防治项目</w:t>
      </w:r>
    </w:p>
    <w:bookmarkEnd w:id="0"/>
    <w:bookmarkEnd w:id="1"/>
    <w:bookmarkEnd w:id="2"/>
    <w:bookmarkEnd w:id="3"/>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sz w:val="36"/>
          <w:szCs w:val="36"/>
          <w:lang w:val="zh-CN" w:eastAsia="zh-CN"/>
        </w:rPr>
      </w:pPr>
      <w:r>
        <w:rPr>
          <w:rFonts w:hint="eastAsia" w:ascii="宋体" w:hAnsi="宋体" w:eastAsia="宋体" w:cs="宋体"/>
          <w:b/>
          <w:bCs/>
          <w:color w:val="auto"/>
          <w:sz w:val="36"/>
          <w:szCs w:val="36"/>
          <w:lang w:val="en-US" w:eastAsia="zh-CN"/>
        </w:rPr>
        <w:t>一</w:t>
      </w:r>
      <w:r>
        <w:rPr>
          <w:rFonts w:hint="eastAsia" w:ascii="宋体" w:hAnsi="宋体" w:eastAsia="宋体" w:cs="宋体"/>
          <w:b/>
          <w:bCs/>
          <w:color w:val="auto"/>
          <w:sz w:val="36"/>
          <w:szCs w:val="36"/>
          <w:lang w:val="zh-CN" w:eastAsia="zh-CN"/>
        </w:rPr>
        <w:t>、服务内容及相关要求</w:t>
      </w:r>
    </w:p>
    <w:p>
      <w:pPr>
        <w:pStyle w:val="6"/>
        <w:keepNext w:val="0"/>
        <w:keepLines w:val="0"/>
        <w:pageBreakBefore w:val="0"/>
        <w:widowControl w:val="0"/>
        <w:kinsoku/>
        <w:wordWrap/>
        <w:overflowPunct/>
        <w:topLinePunct w:val="0"/>
        <w:bidi w:val="0"/>
        <w:spacing w:after="0" w:line="360" w:lineRule="auto"/>
        <w:ind w:firstLine="482" w:firstLineChars="200"/>
        <w:textAlignment w:val="auto"/>
        <w:rPr>
          <w:rFonts w:hint="eastAsia" w:ascii="宋体" w:hAnsi="宋体" w:eastAsia="宋体" w:cs="宋体"/>
          <w:b/>
          <w:bCs/>
          <w:color w:val="auto"/>
          <w:szCs w:val="24"/>
          <w:lang w:val="zh-CN" w:eastAsia="zh-CN"/>
        </w:rPr>
      </w:pPr>
      <w:r>
        <w:rPr>
          <w:rFonts w:hint="eastAsia" w:ascii="宋体" w:hAnsi="宋体" w:eastAsia="宋体" w:cs="宋体"/>
          <w:b/>
          <w:bCs/>
          <w:color w:val="auto"/>
          <w:szCs w:val="24"/>
          <w:lang w:val="zh-CN" w:eastAsia="zh-CN"/>
        </w:rPr>
        <w:t>一、采购内容：</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对阳新县2023年松墨天牛虫口密度大的枫林镇、木港镇等重点松林镇区2.5万亩松林，进行飞机喷洒</w:t>
      </w:r>
      <w:r>
        <w:rPr>
          <w:rFonts w:hint="eastAsia" w:ascii="宋体" w:hAnsi="宋体" w:eastAsia="宋体" w:cs="宋体"/>
          <w:color w:val="auto"/>
          <w:szCs w:val="24"/>
          <w:lang w:eastAsia="zh-CN"/>
        </w:rPr>
        <w:t>8%</w:t>
      </w:r>
      <w:r>
        <w:rPr>
          <w:rFonts w:hint="eastAsia" w:ascii="宋体" w:hAnsi="宋体" w:eastAsia="宋体" w:cs="宋体"/>
          <w:color w:val="auto"/>
          <w:szCs w:val="24"/>
          <w:lang w:val="zh-CN" w:eastAsia="zh-CN"/>
        </w:rPr>
        <w:t>氯氰菊酯微囊悬浮剂开防治松墨天牛。共防治两次，两次防治均为同一区域（两次共计防治面积5万亩，喷洒</w:t>
      </w:r>
      <w:r>
        <w:rPr>
          <w:rFonts w:hint="eastAsia" w:ascii="宋体" w:hAnsi="宋体" w:eastAsia="宋体" w:cs="宋体"/>
          <w:color w:val="auto"/>
          <w:szCs w:val="24"/>
          <w:lang w:eastAsia="zh-CN"/>
        </w:rPr>
        <w:t>8%</w:t>
      </w:r>
      <w:r>
        <w:rPr>
          <w:rFonts w:hint="eastAsia" w:ascii="宋体" w:hAnsi="宋体" w:eastAsia="宋体" w:cs="宋体"/>
          <w:color w:val="auto"/>
          <w:szCs w:val="24"/>
          <w:lang w:val="zh-CN" w:eastAsia="zh-CN"/>
        </w:rPr>
        <w:t>氯氰菊酯微囊悬浮剂5吨）。</w:t>
      </w:r>
    </w:p>
    <w:p>
      <w:pPr>
        <w:pStyle w:val="6"/>
        <w:keepNext w:val="0"/>
        <w:keepLines w:val="0"/>
        <w:pageBreakBefore w:val="0"/>
        <w:widowControl w:val="0"/>
        <w:kinsoku/>
        <w:wordWrap/>
        <w:overflowPunct/>
        <w:topLinePunct w:val="0"/>
        <w:bidi w:val="0"/>
        <w:spacing w:after="0" w:line="360" w:lineRule="auto"/>
        <w:ind w:firstLine="482" w:firstLineChars="200"/>
        <w:textAlignment w:val="auto"/>
        <w:rPr>
          <w:rFonts w:hint="eastAsia" w:ascii="宋体" w:hAnsi="宋体" w:eastAsia="宋体" w:cs="宋体"/>
          <w:b/>
          <w:bCs/>
          <w:color w:val="auto"/>
          <w:szCs w:val="24"/>
          <w:lang w:val="zh-CN" w:eastAsia="zh-CN"/>
        </w:rPr>
      </w:pPr>
      <w:r>
        <w:rPr>
          <w:rFonts w:hint="eastAsia" w:ascii="宋体" w:hAnsi="宋体" w:eastAsia="宋体" w:cs="宋体"/>
          <w:b/>
          <w:bCs/>
          <w:color w:val="auto"/>
          <w:szCs w:val="24"/>
          <w:lang w:val="zh-CN" w:eastAsia="zh-CN"/>
        </w:rPr>
        <w:t>二、服务要求</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1.相关要求</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1.1防治区域</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对枫林镇、木港镇松林小班实施飞机防治喷药防治松墨天牛工作，防治小班根据虫情和林分现状，以安全第一、效果最佳为原则，选择防治区域内宜采用飞机施药防治的松树片林（包括纯林和混交林）。</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1.2防治面积</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防治面积2.5万亩/次，两次防治面积5万亩。</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1.3</w:t>
      </w:r>
      <w:r>
        <w:rPr>
          <w:rFonts w:hint="eastAsia" w:ascii="宋体" w:hAnsi="宋体" w:eastAsia="宋体" w:cs="宋体"/>
          <w:color w:val="auto"/>
          <w:szCs w:val="24"/>
          <w:lang w:eastAsia="zh-CN"/>
        </w:rPr>
        <w:t>药剂要求：</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喷施农药采用</w:t>
      </w:r>
      <w:bookmarkStart w:id="4" w:name="_Hlk135268047"/>
      <w:r>
        <w:rPr>
          <w:rFonts w:hint="eastAsia" w:ascii="宋体" w:hAnsi="宋体" w:eastAsia="宋体" w:cs="宋体"/>
          <w:color w:val="auto"/>
          <w:szCs w:val="24"/>
          <w:lang w:eastAsia="zh-CN"/>
        </w:rPr>
        <w:t>8%氯氰菊酯微囊悬浮剂</w:t>
      </w:r>
      <w:bookmarkEnd w:id="4"/>
      <w:r>
        <w:rPr>
          <w:rFonts w:hint="eastAsia" w:ascii="宋体" w:hAnsi="宋体" w:eastAsia="宋体" w:cs="宋体"/>
          <w:color w:val="auto"/>
          <w:szCs w:val="24"/>
          <w:lang w:eastAsia="zh-CN"/>
        </w:rPr>
        <w:t>。飞机防治施药量为100ml/亩，稀释3-4倍采用飞机超低容量喷雾将药剂均匀喷洒在地面以上树干、大枝、树梢和其他天牛成虫喜欢出没之处。</w:t>
      </w:r>
    </w:p>
    <w:p>
      <w:pPr>
        <w:keepNext w:val="0"/>
        <w:keepLines w:val="0"/>
        <w:pageBreakBefore w:val="0"/>
        <w:widowControl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kern w:val="2"/>
          <w:sz w:val="24"/>
          <w:szCs w:val="24"/>
          <w:lang w:val="zh-CN" w:eastAsia="zh-CN"/>
        </w:rPr>
        <w:t>★</w:t>
      </w:r>
      <w:r>
        <w:rPr>
          <w:rFonts w:hint="eastAsia" w:ascii="宋体" w:hAnsi="宋体" w:eastAsia="宋体" w:cs="宋体"/>
          <w:b/>
          <w:bCs/>
          <w:color w:val="auto"/>
          <w:sz w:val="24"/>
          <w:szCs w:val="24"/>
          <w:lang w:val="zh-CN" w:eastAsia="zh-CN"/>
        </w:rPr>
        <w:t>供应商拟采用的药剂应为正规合格产品，选用的药剂须符合下列参数指标：</w:t>
      </w:r>
    </w:p>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8%</w:t>
      </w:r>
      <w:r>
        <w:rPr>
          <w:rFonts w:hint="eastAsia" w:ascii="宋体" w:hAnsi="宋体" w:eastAsia="宋体" w:cs="宋体"/>
          <w:b/>
          <w:bCs/>
          <w:color w:val="auto"/>
          <w:sz w:val="24"/>
          <w:szCs w:val="24"/>
          <w:lang w:val="zh-CN" w:eastAsia="zh-CN"/>
        </w:rPr>
        <w:t>氯氰菊酯微囊悬浮剂参数指标</w:t>
      </w:r>
    </w:p>
    <w:tbl>
      <w:tblPr>
        <w:tblStyle w:val="8"/>
        <w:tblW w:w="0" w:type="auto"/>
        <w:jc w:val="center"/>
        <w:tblLayout w:type="fixed"/>
        <w:tblCellMar>
          <w:top w:w="0" w:type="dxa"/>
          <w:left w:w="108" w:type="dxa"/>
          <w:bottom w:w="0" w:type="dxa"/>
          <w:right w:w="108" w:type="dxa"/>
        </w:tblCellMar>
      </w:tblPr>
      <w:tblGrid>
        <w:gridCol w:w="769"/>
        <w:gridCol w:w="4656"/>
        <w:gridCol w:w="2552"/>
      </w:tblGrid>
      <w:tr>
        <w:tblPrEx>
          <w:tblCellMar>
            <w:top w:w="0" w:type="dxa"/>
            <w:left w:w="108" w:type="dxa"/>
            <w:bottom w:w="0" w:type="dxa"/>
            <w:right w:w="108" w:type="dxa"/>
          </w:tblCellMar>
        </w:tblPrEx>
        <w:trPr>
          <w:trHeight w:val="471" w:hRule="atLeast"/>
          <w:jc w:val="center"/>
        </w:trPr>
        <w:tc>
          <w:tcPr>
            <w:tcW w:w="54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项    目</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指    标</w:t>
            </w:r>
          </w:p>
        </w:tc>
      </w:tr>
      <w:tr>
        <w:tblPrEx>
          <w:tblCellMar>
            <w:top w:w="0" w:type="dxa"/>
            <w:left w:w="108" w:type="dxa"/>
            <w:bottom w:w="0" w:type="dxa"/>
            <w:right w:w="108" w:type="dxa"/>
          </w:tblCellMar>
        </w:tblPrEx>
        <w:trPr>
          <w:trHeight w:val="421" w:hRule="atLeast"/>
          <w:jc w:val="center"/>
        </w:trPr>
        <w:tc>
          <w:tcPr>
            <w:tcW w:w="54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氯氰菊酯总质量分数</w:t>
            </w:r>
            <w:r>
              <w:rPr>
                <w:rFonts w:hint="eastAsia" w:ascii="宋体" w:hAnsi="宋体" w:eastAsia="宋体" w:cs="宋体"/>
                <w:b/>
                <w:bCs/>
                <w:color w:val="auto"/>
                <w:sz w:val="24"/>
                <w:szCs w:val="24"/>
                <w:vertAlign w:val="superscript"/>
                <w:lang w:val="zh-CN" w:eastAsia="zh-CN"/>
              </w:rPr>
              <w:t>a</w:t>
            </w:r>
            <w:r>
              <w:rPr>
                <w:rFonts w:hint="eastAsia" w:ascii="宋体" w:hAnsi="宋体" w:eastAsia="宋体" w:cs="宋体"/>
                <w:b/>
                <w:bCs/>
                <w:color w:val="auto"/>
                <w:sz w:val="24"/>
                <w:szCs w:val="24"/>
                <w:lang w:val="zh-CN" w:eastAsia="zh-CN"/>
              </w:rPr>
              <w:t>/%</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8.0±0.8</w:t>
            </w:r>
          </w:p>
        </w:tc>
      </w:tr>
      <w:tr>
        <w:tblPrEx>
          <w:tblCellMar>
            <w:top w:w="0" w:type="dxa"/>
            <w:left w:w="108" w:type="dxa"/>
            <w:bottom w:w="0" w:type="dxa"/>
            <w:right w:w="108" w:type="dxa"/>
          </w:tblCellMar>
        </w:tblPrEx>
        <w:trPr>
          <w:trHeight w:val="334" w:hRule="atLeast"/>
          <w:jc w:val="center"/>
        </w:trPr>
        <w:tc>
          <w:tcPr>
            <w:tcW w:w="54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游离氯氰菊酯质量分数/%</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≤0.5</w:t>
            </w:r>
          </w:p>
        </w:tc>
      </w:tr>
      <w:tr>
        <w:tblPrEx>
          <w:tblCellMar>
            <w:top w:w="0" w:type="dxa"/>
            <w:left w:w="108" w:type="dxa"/>
            <w:bottom w:w="0" w:type="dxa"/>
            <w:right w:w="108" w:type="dxa"/>
          </w:tblCellMar>
        </w:tblPrEx>
        <w:trPr>
          <w:trHeight w:val="334" w:hRule="atLeast"/>
          <w:jc w:val="center"/>
        </w:trPr>
        <w:tc>
          <w:tcPr>
            <w:tcW w:w="54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pH值范围</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4.0～7.0</w:t>
            </w:r>
          </w:p>
        </w:tc>
      </w:tr>
      <w:tr>
        <w:tblPrEx>
          <w:tblCellMar>
            <w:top w:w="0" w:type="dxa"/>
            <w:left w:w="108" w:type="dxa"/>
            <w:bottom w:w="0" w:type="dxa"/>
            <w:right w:w="108" w:type="dxa"/>
          </w:tblCellMar>
        </w:tblPrEx>
        <w:trPr>
          <w:trHeight w:val="334" w:hRule="atLeast"/>
          <w:jc w:val="center"/>
        </w:trPr>
        <w:tc>
          <w:tcPr>
            <w:tcW w:w="54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 xml:space="preserve">悬浮率/% </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≥80</w:t>
            </w:r>
          </w:p>
        </w:tc>
      </w:tr>
      <w:tr>
        <w:tblPrEx>
          <w:tblCellMar>
            <w:top w:w="0" w:type="dxa"/>
            <w:left w:w="108" w:type="dxa"/>
            <w:bottom w:w="0" w:type="dxa"/>
            <w:right w:w="108" w:type="dxa"/>
          </w:tblCellMar>
        </w:tblPrEx>
        <w:trPr>
          <w:trHeight w:val="334" w:hRule="atLeast"/>
          <w:jc w:val="center"/>
        </w:trPr>
        <w:tc>
          <w:tcPr>
            <w:tcW w:w="76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倾倒性/%</w:t>
            </w:r>
          </w:p>
        </w:tc>
        <w:tc>
          <w:tcPr>
            <w:tcW w:w="46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 xml:space="preserve">倾倒后残余物 </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≤4.0</w:t>
            </w:r>
          </w:p>
        </w:tc>
      </w:tr>
      <w:tr>
        <w:tblPrEx>
          <w:tblCellMar>
            <w:top w:w="0" w:type="dxa"/>
            <w:left w:w="108" w:type="dxa"/>
            <w:bottom w:w="0" w:type="dxa"/>
            <w:right w:w="108" w:type="dxa"/>
          </w:tblCellMar>
        </w:tblPrEx>
        <w:trPr>
          <w:trHeight w:val="334" w:hRule="atLeast"/>
          <w:jc w:val="center"/>
        </w:trPr>
        <w:tc>
          <w:tcPr>
            <w:tcW w:w="76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lang w:val="zh-CN" w:eastAsia="zh-CN"/>
              </w:rPr>
            </w:pPr>
          </w:p>
        </w:tc>
        <w:tc>
          <w:tcPr>
            <w:tcW w:w="46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 xml:space="preserve">洗涤后残余物 </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≤0.4</w:t>
            </w:r>
          </w:p>
        </w:tc>
      </w:tr>
      <w:tr>
        <w:tblPrEx>
          <w:tblCellMar>
            <w:top w:w="0" w:type="dxa"/>
            <w:left w:w="108" w:type="dxa"/>
            <w:bottom w:w="0" w:type="dxa"/>
            <w:right w:w="108" w:type="dxa"/>
          </w:tblCellMar>
        </w:tblPrEx>
        <w:trPr>
          <w:trHeight w:val="334" w:hRule="atLeast"/>
          <w:jc w:val="center"/>
        </w:trPr>
        <w:tc>
          <w:tcPr>
            <w:tcW w:w="54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湿筛试验(通过45μm试验筛)/%</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≥98</w:t>
            </w:r>
          </w:p>
        </w:tc>
      </w:tr>
      <w:tr>
        <w:tblPrEx>
          <w:tblCellMar>
            <w:top w:w="0" w:type="dxa"/>
            <w:left w:w="108" w:type="dxa"/>
            <w:bottom w:w="0" w:type="dxa"/>
            <w:right w:w="108" w:type="dxa"/>
          </w:tblCellMar>
        </w:tblPrEx>
        <w:trPr>
          <w:trHeight w:val="334" w:hRule="atLeast"/>
          <w:jc w:val="center"/>
        </w:trPr>
        <w:tc>
          <w:tcPr>
            <w:tcW w:w="54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 xml:space="preserve">自发分散性/% </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≥95</w:t>
            </w:r>
          </w:p>
        </w:tc>
      </w:tr>
      <w:tr>
        <w:tblPrEx>
          <w:tblCellMar>
            <w:top w:w="0" w:type="dxa"/>
            <w:left w:w="108" w:type="dxa"/>
            <w:bottom w:w="0" w:type="dxa"/>
            <w:right w:w="108" w:type="dxa"/>
          </w:tblCellMar>
        </w:tblPrEx>
        <w:trPr>
          <w:trHeight w:val="343" w:hRule="atLeast"/>
          <w:jc w:val="center"/>
        </w:trPr>
        <w:tc>
          <w:tcPr>
            <w:tcW w:w="54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zh-CN" w:eastAsia="zh-CN"/>
              </w:rPr>
              <w:t>持久起泡性</w:t>
            </w:r>
            <w:r>
              <w:rPr>
                <w:rFonts w:hint="eastAsia" w:ascii="宋体" w:hAnsi="宋体" w:eastAsia="宋体" w:cs="宋体"/>
                <w:b/>
                <w:bCs/>
                <w:color w:val="auto"/>
                <w:sz w:val="24"/>
                <w:szCs w:val="24"/>
                <w:lang w:eastAsia="zh-CN"/>
              </w:rPr>
              <w:t>(1 min</w:t>
            </w:r>
            <w:r>
              <w:rPr>
                <w:rFonts w:hint="eastAsia" w:ascii="宋体" w:hAnsi="宋体" w:eastAsia="宋体" w:cs="宋体"/>
                <w:b/>
                <w:bCs/>
                <w:color w:val="auto"/>
                <w:sz w:val="24"/>
                <w:szCs w:val="24"/>
                <w:lang w:val="zh-CN" w:eastAsia="zh-CN"/>
              </w:rPr>
              <w:t>后</w:t>
            </w:r>
            <w:r>
              <w:rPr>
                <w:rFonts w:hint="eastAsia" w:ascii="宋体" w:hAnsi="宋体" w:eastAsia="宋体" w:cs="宋体"/>
                <w:b/>
                <w:bCs/>
                <w:color w:val="auto"/>
                <w:sz w:val="24"/>
                <w:szCs w:val="24"/>
                <w:lang w:eastAsia="zh-CN"/>
              </w:rPr>
              <w:t>)/ml</w:t>
            </w:r>
          </w:p>
        </w:tc>
        <w:tc>
          <w:tcPr>
            <w:tcW w:w="2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≤15</w:t>
            </w:r>
          </w:p>
        </w:tc>
      </w:tr>
    </w:tbl>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kern w:val="2"/>
          <w:sz w:val="24"/>
          <w:szCs w:val="24"/>
          <w:lang w:val="zh-CN" w:eastAsia="zh-CN"/>
        </w:rPr>
        <w:t>★</w:t>
      </w:r>
      <w:r>
        <w:rPr>
          <w:rFonts w:hint="eastAsia" w:ascii="宋体" w:hAnsi="宋体" w:eastAsia="宋体" w:cs="宋体"/>
          <w:b/>
          <w:bCs/>
          <w:color w:val="auto"/>
          <w:sz w:val="24"/>
          <w:szCs w:val="24"/>
          <w:lang w:eastAsia="zh-CN"/>
        </w:rPr>
        <w:t>供应商须</w:t>
      </w:r>
      <w:r>
        <w:rPr>
          <w:rFonts w:hint="eastAsia" w:ascii="宋体" w:hAnsi="宋体" w:eastAsia="宋体" w:cs="宋体"/>
          <w:b/>
          <w:bCs/>
          <w:color w:val="auto"/>
          <w:sz w:val="24"/>
          <w:szCs w:val="24"/>
          <w:lang w:val="zh-CN" w:eastAsia="zh-CN"/>
        </w:rPr>
        <w:t>提供农药三证</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zh-CN" w:eastAsia="zh-CN"/>
        </w:rPr>
        <w:t>农药登记证、农药生产许可证或生产批准证、农药标准证</w:t>
      </w:r>
      <w:r>
        <w:rPr>
          <w:rFonts w:hint="eastAsia" w:ascii="宋体" w:hAnsi="宋体" w:eastAsia="宋体" w:cs="宋体"/>
          <w:b/>
          <w:bCs/>
          <w:color w:val="auto"/>
          <w:sz w:val="24"/>
          <w:szCs w:val="24"/>
          <w:lang w:eastAsia="zh-CN"/>
        </w:rPr>
        <w:t xml:space="preserve">) </w:t>
      </w:r>
      <w:r>
        <w:rPr>
          <w:rFonts w:hint="eastAsia" w:ascii="宋体" w:hAnsi="宋体" w:eastAsia="宋体" w:cs="宋体"/>
          <w:b/>
          <w:bCs/>
          <w:color w:val="auto"/>
          <w:sz w:val="24"/>
          <w:szCs w:val="24"/>
          <w:lang w:val="zh-CN" w:eastAsia="zh-CN"/>
        </w:rPr>
        <w:t>复印件并加盖制造商公章、制造商</w:t>
      </w:r>
      <w:r>
        <w:rPr>
          <w:rFonts w:hint="eastAsia" w:ascii="宋体" w:hAnsi="宋体" w:eastAsia="宋体" w:cs="宋体"/>
          <w:b/>
          <w:bCs/>
          <w:color w:val="auto"/>
          <w:sz w:val="24"/>
          <w:szCs w:val="24"/>
          <w:lang w:eastAsia="zh-CN"/>
        </w:rPr>
        <w:t>需</w:t>
      </w:r>
      <w:r>
        <w:rPr>
          <w:rFonts w:hint="eastAsia" w:ascii="宋体" w:hAnsi="宋体" w:eastAsia="宋体" w:cs="宋体"/>
          <w:b/>
          <w:bCs/>
          <w:color w:val="auto"/>
          <w:sz w:val="24"/>
          <w:szCs w:val="24"/>
          <w:lang w:val="zh-CN" w:eastAsia="zh-CN"/>
        </w:rPr>
        <w:t>出具针对本项目的</w:t>
      </w:r>
      <w:r>
        <w:rPr>
          <w:rFonts w:hint="eastAsia" w:ascii="宋体" w:hAnsi="宋体" w:eastAsia="宋体" w:cs="宋体"/>
          <w:b/>
          <w:bCs/>
          <w:color w:val="auto"/>
          <w:sz w:val="24"/>
          <w:szCs w:val="24"/>
          <w:lang w:eastAsia="zh-CN"/>
        </w:rPr>
        <w:t>药剂使用授权书并</w:t>
      </w:r>
      <w:r>
        <w:rPr>
          <w:rFonts w:hint="eastAsia" w:ascii="宋体" w:hAnsi="宋体" w:eastAsia="宋体" w:cs="宋体"/>
          <w:b/>
          <w:bCs/>
          <w:color w:val="auto"/>
          <w:sz w:val="24"/>
          <w:szCs w:val="24"/>
          <w:lang w:val="zh-CN" w:eastAsia="zh-CN"/>
        </w:rPr>
        <w:t>加盖制造商公章、国家认定资格检验机构出具的药剂检测报告（</w:t>
      </w:r>
      <w:r>
        <w:rPr>
          <w:rFonts w:hint="eastAsia" w:ascii="宋体" w:hAnsi="宋体" w:eastAsia="宋体" w:cs="宋体"/>
          <w:b/>
          <w:bCs/>
          <w:color w:val="auto"/>
          <w:sz w:val="24"/>
          <w:szCs w:val="24"/>
          <w:lang w:eastAsia="zh-CN"/>
        </w:rPr>
        <w:t>报告出具时间在</w:t>
      </w:r>
      <w:r>
        <w:rPr>
          <w:rFonts w:hint="eastAsia" w:ascii="宋体" w:hAnsi="宋体" w:eastAsia="宋体" w:cs="宋体"/>
          <w:b/>
          <w:bCs/>
          <w:color w:val="auto"/>
          <w:sz w:val="24"/>
          <w:szCs w:val="24"/>
          <w:lang w:val="zh-CN" w:eastAsia="zh-CN"/>
        </w:rPr>
        <w:t>2023年1月1日以后（含2023年1月1日）</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lang w:val="zh-CN" w:eastAsia="zh-CN"/>
        </w:rPr>
        <w:t>复印件</w:t>
      </w:r>
      <w:r>
        <w:rPr>
          <w:rFonts w:hint="eastAsia" w:ascii="宋体" w:hAnsi="宋体" w:eastAsia="宋体" w:cs="宋体"/>
          <w:b/>
          <w:bCs/>
          <w:color w:val="auto"/>
          <w:sz w:val="24"/>
          <w:szCs w:val="24"/>
          <w:lang w:eastAsia="zh-CN"/>
        </w:rPr>
        <w:t>并</w:t>
      </w:r>
      <w:r>
        <w:rPr>
          <w:rFonts w:hint="eastAsia" w:ascii="宋体" w:hAnsi="宋体" w:eastAsia="宋体" w:cs="宋体"/>
          <w:b/>
          <w:bCs/>
          <w:color w:val="auto"/>
          <w:sz w:val="24"/>
          <w:szCs w:val="24"/>
          <w:lang w:val="zh-CN" w:eastAsia="zh-CN"/>
        </w:rPr>
        <w:t>加盖制造商公章进行佐证，未提供或不符合作无效响应处理。</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带“★”条款为实质性条款，投标人必须按照招标文件的要求做出实质性响应，否者视为无效投标。</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1.4防治时间</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依据虫情预报结合我县气候特点，预计第一期飞机施药作业时间在 6 月中旬，第二期作业时间在 7月中旬（中标方在防治作业前7天开展虫情调查）。</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2.防治区前期准备和工作流程</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2.1绘制防治作业图</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中标方要将进行防治的区域的松林小班进行调查，绘制防治作业图，确定飞防面积，提交防治区域小班图（2000国家大地坐标系，SHP格式），制定飞机防治航线。</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2.2确定避让区域</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中标方要彻查防治区域内的养殖区、养蜂区等一切可能产生次生灾害的区域，做好避让，确保安全。特殊养殖或种植区，以明白纸的形式送达当事人，并签订合理避让、避害协议。</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2.3飞机起降点确定</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根据林木资源的分布情况、飞防作业区地形地貌特点、机型等，与中标人一起确立飞机起降场。初步提供选择地点为阳新县枫林镇火车站广场。最终起降地点由中标人实地勘察后确定。</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2.4防治具体时间确定</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根据虫情监测数据、气象状况、需避让区域生物发育状况，确定具体防治时间。</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（1）虫情监测数据要求。松墨天牛成虫羽化始盛期为飞机施药最佳作业时间。松墨天牛成虫羽化始盛期可根据测报数据确定。</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（2）气象条件要求。一般风速不超过 4m/s。选择晴天、无雨雾，作业后 12小时无降雨。最适喷洒温度 10℃-30℃，相对湿度 30%-90%，能见度大于 2-3km.防治前了解和掌握防治作业区局部小气候和气流情况，通过气象局获取周天气预报。</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（3）发布防治时间公告。防治具体时间段确定后，应向群众及相邻发布防治公告。</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2.5防治作业工作流程</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（1）飞行申请。签订合同后，中标人向空域和航空主管部门提出飞行申请。</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（2）试航。根据飞防航线，进行空中视察，熟识作业区地形地势。</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（3）机种、载药量、作业面积。使用轻便直升机载药作业；载药量最少800公斤每架次；每架次作业2000亩以上。</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（4）装药。按照作业设计要求装载药液，由专业人员根据农药性质、飞机性能、每架次用药量、每架次作业面积、气温、风速等情况，添加沉降剂、用 3 层 100 目尼龙纱布过滤后装机，严格防止杂物混入。</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（5）定位与导航。采用 GPS（全球定位系统）定位与导航。</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（6）作业。按规定要求进行作业。</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（7）起降场次记录。第三方监理公司安排专人到飞机起降点记录飞行架次、每架次药物装载量、施药时间、施药区域等。</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（8）人工地面防治。对零星漏飞的小班，采用背负式喷雾器（喷雾垂直射程≥18米），人工地面喷洒8%氯氰菊酯微囊悬浮剂进行防治。</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3.防治效果检查验收</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第三方监理公司负责防治效果监测和飞机喷药后进行检查验收工作。</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3.1效果检查用标准地确定</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（1）飞机喷洒药液密度检查。防治前，在作业区的松林小班内随机设置5块标准地，每块标准地内选择 10株树作为标准株，在标准株树冠布设水敏纸。</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（2）诱捕器检查。防治前，在防治区域布设5块标准地，每标准地放置3个诱捕器对松墨天牛进行放置效果诱捕检查。在未防治区松林小班布设5块标准地，每块标准地放置3个诱捕器进行检验。</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3.2喷洒药液后效果确认</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（1）飞防喷洒药液密度检查。飞机喷药后，收集铺在树冠下的水敏纸，用10</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lang w:val="zh-CN" w:eastAsia="zh-CN"/>
        </w:rPr>
        <w:t>4或10</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lang w:val="zh-CN" w:eastAsia="zh-CN"/>
        </w:rPr>
        <w:t>3的放大镜，每个样片观测水敏纸的雾滴数，计算平均每平方厘米药液点数。平均每平方厘米不少于15滴为合格。</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（2）诱集天牛成虫检查。喷药 24小时后，在防治区域内布设的5个样地15个诱捕器，每7天1次收集记录诱集到的松墨天牛成虫，1个月后，统计诱集到的天牛数量，计算天牛成虫虫口减退率。</w:t>
      </w:r>
    </w:p>
    <w:p>
      <w:pPr>
        <w:pStyle w:val="6"/>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（3）以上2项检查的结果综合评定防治效果。</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lang w:val="zh-CN"/>
        </w:rPr>
        <w:t>其他要求</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4.1</w:t>
      </w:r>
      <w:r>
        <w:rPr>
          <w:rFonts w:hint="eastAsia" w:ascii="宋体" w:hAnsi="宋体" w:eastAsia="宋体" w:cs="宋体"/>
          <w:bCs/>
          <w:color w:val="auto"/>
          <w:sz w:val="24"/>
          <w:lang w:val="zh-CN"/>
        </w:rPr>
        <w:t>服务期间因出现其它变更情况而产生的费用，招标人不予支付。</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4.2</w:t>
      </w:r>
      <w:r>
        <w:rPr>
          <w:rFonts w:hint="eastAsia" w:ascii="宋体" w:hAnsi="宋体" w:eastAsia="宋体" w:cs="宋体"/>
          <w:bCs/>
          <w:color w:val="auto"/>
          <w:sz w:val="24"/>
          <w:lang w:val="zh-CN"/>
        </w:rPr>
        <w:t>中标人不得提供虚假业绩、荣誉、认证、授权等资料，如出现上述情形，招</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标人向监督部门提出申请并经批准后，可取消其中标资格，并与其立即解除合同，由此引起的经济损失全部由中标人承担，招标人有保留追究投标人相关法律责任的权力。</w:t>
      </w:r>
    </w:p>
    <w:p>
      <w:pPr>
        <w:keepNext w:val="0"/>
        <w:keepLines w:val="0"/>
        <w:pageBreakBefore w:val="0"/>
        <w:widowControl w:val="0"/>
        <w:kinsoku/>
        <w:wordWrap/>
        <w:overflowPunct/>
        <w:topLinePunct w:val="0"/>
        <w:bidi w:val="0"/>
        <w:adjustRightInd w:val="0"/>
        <w:snapToGrid w:val="0"/>
        <w:spacing w:line="360" w:lineRule="auto"/>
        <w:ind w:left="257" w:hanging="258" w:hangingChars="107"/>
        <w:textAlignment w:val="auto"/>
        <w:rPr>
          <w:rFonts w:hint="eastAsia" w:ascii="宋体" w:hAnsi="宋体" w:eastAsia="宋体" w:cs="宋体"/>
          <w:b/>
          <w:bCs w:val="0"/>
          <w:color w:val="auto"/>
          <w:sz w:val="24"/>
          <w:lang w:val="zh-CN"/>
        </w:rPr>
      </w:pPr>
      <w:r>
        <w:rPr>
          <w:rFonts w:hint="eastAsia" w:ascii="宋体" w:hAnsi="宋体" w:eastAsia="宋体" w:cs="宋体"/>
          <w:b/>
          <w:bCs w:val="0"/>
          <w:color w:val="auto"/>
          <w:sz w:val="24"/>
          <w:lang w:val="en-US" w:eastAsia="zh-CN"/>
        </w:rPr>
        <w:t>4.3</w:t>
      </w:r>
      <w:r>
        <w:rPr>
          <w:rFonts w:hint="eastAsia" w:ascii="宋体" w:hAnsi="宋体" w:eastAsia="宋体" w:cs="宋体"/>
          <w:b/>
          <w:bCs w:val="0"/>
          <w:color w:val="auto"/>
          <w:sz w:val="24"/>
          <w:lang w:val="zh-CN"/>
        </w:rPr>
        <w:t>服务成果验收</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服务期限</w:t>
      </w:r>
      <w:r>
        <w:rPr>
          <w:rFonts w:hint="eastAsia" w:cs="宋体"/>
          <w:bCs/>
          <w:color w:val="auto"/>
          <w:sz w:val="24"/>
          <w:lang w:val="en-US" w:eastAsia="zh-CN"/>
        </w:rPr>
        <w:t>90日历天</w:t>
      </w:r>
      <w:r>
        <w:rPr>
          <w:rFonts w:hint="eastAsia" w:ascii="宋体" w:hAnsi="宋体" w:eastAsia="宋体" w:cs="宋体"/>
          <w:bCs/>
          <w:color w:val="auto"/>
          <w:sz w:val="24"/>
          <w:lang w:val="en-US" w:eastAsia="zh-CN"/>
        </w:rPr>
        <w:t>，</w:t>
      </w:r>
      <w:r>
        <w:rPr>
          <w:rFonts w:hint="eastAsia" w:ascii="宋体" w:hAnsi="宋体" w:eastAsia="宋体" w:cs="宋体"/>
          <w:bCs/>
          <w:color w:val="auto"/>
          <w:sz w:val="24"/>
          <w:lang w:val="zh-CN"/>
        </w:rPr>
        <w:t>服务期满或完成服务成果后，招标人应对服务的成果进行详细而全面的检验。招标人有权限根据检验结果,如发现不合格要求中标人立即采取有效的弥补措施并且招标人保留提出索赔的权利和追究其法律责任的权利。检验合格后，由招标人或者委托的机构进行验收，作为付款凭据之一。</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4.4</w:t>
      </w:r>
      <w:r>
        <w:rPr>
          <w:rFonts w:hint="eastAsia" w:ascii="宋体" w:hAnsi="宋体" w:eastAsia="宋体" w:cs="宋体"/>
          <w:bCs/>
          <w:color w:val="auto"/>
          <w:sz w:val="24"/>
          <w:lang w:val="zh-CN"/>
        </w:rPr>
        <w:t>质量保证期</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lang w:val="zh-CN"/>
        </w:rPr>
      </w:pPr>
      <w:r>
        <w:rPr>
          <w:rFonts w:hint="eastAsia" w:ascii="宋体" w:hAnsi="宋体" w:eastAsia="宋体" w:cs="宋体"/>
          <w:bCs/>
          <w:color w:val="auto"/>
          <w:sz w:val="24"/>
          <w:highlight w:val="yellow"/>
          <w:lang w:val="zh-CN"/>
        </w:rPr>
        <w:t>自验收合格之日起不低于1个月</w:t>
      </w:r>
      <w:r>
        <w:rPr>
          <w:rFonts w:hint="eastAsia" w:ascii="宋体" w:hAnsi="宋体" w:eastAsia="宋体" w:cs="宋体"/>
          <w:bCs/>
          <w:color w:val="auto"/>
          <w:sz w:val="24"/>
          <w:lang w:val="zh-CN"/>
        </w:rPr>
        <w:t>，国家主管部门或者行业标准对服务本身</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有更高要求的，从其规定并在合同中约定，中标人亦可提报更长的质保期。</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质量保证期内，如果证实服务成果是有缺陷的，包括潜在的缺陷或者使用不符合</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要求等，中标人应立即采取补救方案，保证达到合同规定的服务要求。如果中标</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人在收到通知后3天内未能弥补缺陷，招标人可自行采取必要的补救措施，但风</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险和费用由中标人承担，招标人同时保留通过法律途径进行索赔的权利。</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5、服务保障</w:t>
      </w:r>
    </w:p>
    <w:p>
      <w:pPr>
        <w:keepNext w:val="0"/>
        <w:keepLines w:val="0"/>
        <w:pageBreakBefore w:val="0"/>
        <w:widowControl w:val="0"/>
        <w:kinsoku/>
        <w:wordWrap/>
        <w:overflowPunct/>
        <w:topLinePunct w:val="0"/>
        <w:bidi w:val="0"/>
        <w:adjustRightInd w:val="0"/>
        <w:snapToGrid w:val="0"/>
        <w:spacing w:line="360" w:lineRule="auto"/>
        <w:ind w:left="257" w:hanging="256" w:hangingChars="107"/>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中标人应提供及时周到的技术服务，应保证在服务期内每月至少一次上门回访。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
          <w:bCs/>
          <w:color w:val="auto"/>
          <w:sz w:val="24"/>
          <w:szCs w:val="24"/>
          <w:lang w:val="zh-CN" w:eastAsia="zh-CN"/>
        </w:rPr>
        <w:instrText xml:space="preserve">ADDIN CNKISM.UserStyle</w:instrText>
      </w:r>
      <w:r>
        <w:rPr>
          <w:rFonts w:hint="eastAsia" w:ascii="宋体" w:hAnsi="宋体" w:eastAsia="宋体" w:cs="宋体"/>
          <w:b/>
          <w:bCs/>
          <w:color w:val="auto"/>
          <w:sz w:val="24"/>
          <w:szCs w:val="24"/>
          <w:lang w:val="zh-CN" w:eastAsia="zh-CN"/>
        </w:rPr>
        <w:fldChar w:fldCharType="end"/>
      </w:r>
      <w:r>
        <w:rPr>
          <w:rFonts w:hint="eastAsia" w:ascii="宋体" w:hAnsi="宋体" w:eastAsia="宋体" w:cs="宋体"/>
          <w:b/>
          <w:bCs/>
          <w:color w:val="auto"/>
          <w:sz w:val="24"/>
          <w:szCs w:val="24"/>
          <w:lang w:val="zh-CN" w:eastAsia="zh-CN"/>
        </w:rPr>
        <w:t>三、付款方式</w:t>
      </w:r>
    </w:p>
    <w:p>
      <w:pPr>
        <w:pStyle w:val="6"/>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Cs w:val="24"/>
          <w:lang w:val="zh-CN" w:eastAsia="zh-CN"/>
        </w:rPr>
      </w:pPr>
      <w:r>
        <w:rPr>
          <w:rFonts w:hint="eastAsia" w:ascii="宋体" w:hAnsi="宋体" w:eastAsia="宋体" w:cs="宋体"/>
          <w:color w:val="auto"/>
          <w:szCs w:val="24"/>
          <w:lang w:val="zh-CN" w:eastAsia="zh-CN"/>
        </w:rPr>
        <w:t>在第一次化学防治结束后，并经第三方监理公司出具的验收报告，评定为合格后，甲方支付合同总金额的70%；在第2次化学防治结束后，并经第三方监理公司出具的验收报告评定为合格，并通过省、市专家组对整体防治效果的评估合格后，甲方再支付合同总金额剩余的30%。</w:t>
      </w:r>
    </w:p>
    <w:p>
      <w:pPr>
        <w:pStyle w:val="6"/>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Cs w:val="24"/>
          <w:lang w:val="zh-CN" w:eastAsia="zh-CN"/>
        </w:rPr>
      </w:pPr>
    </w:p>
    <w:p>
      <w:pPr>
        <w:pStyle w:val="3"/>
        <w:spacing w:line="360" w:lineRule="auto"/>
        <w:ind w:firstLine="602" w:firstLineChars="20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二包：阳新县2023年松材线虫病秋季疫情普查</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eastAsia="宋体"/>
          <w:sz w:val="24"/>
          <w:szCs w:val="24"/>
          <w:lang w:val="en-US" w:eastAsia="zh-CN"/>
        </w:rPr>
        <w:t>一、</w:t>
      </w:r>
      <w:r>
        <w:rPr>
          <w:rFonts w:hint="eastAsia"/>
          <w:sz w:val="24"/>
          <w:szCs w:val="24"/>
        </w:rPr>
        <w:t>采购需求：为了做好阳新县202</w:t>
      </w:r>
      <w:r>
        <w:rPr>
          <w:sz w:val="24"/>
          <w:szCs w:val="24"/>
        </w:rPr>
        <w:t>3</w:t>
      </w:r>
      <w:r>
        <w:rPr>
          <w:rFonts w:hint="eastAsia"/>
          <w:sz w:val="24"/>
          <w:szCs w:val="24"/>
        </w:rPr>
        <w:t>年松材线虫病普查工作，按国家、省、市相关规定和文件要求，对全县32.9万亩松林采取“空、地”相结合的方式，利用无人机和人工地面调查方式开展普查工作，查清全县病死松木数量、分布区域、发生范围。</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（一）普查范围</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按照“监测全覆盖，普查无盲区”要求，全面调查辖区内所有松林，重点调查非疫情乡镇、疫情乡镇毗邻区、电力、通讯施工场所、公路沿线、风景区、木制品生产和使用企业、工程建设施工区附近。</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（二）普查内容</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查清疫情分布范围、发生面积（以小班面积为准，孤立松林以实际面积统计）、病死树数量，并根据调查结果绘制松材线虫病发生分布图。</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（三）普查方式</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推行空地相结合方式开展，借助无人机等航空遥感技术和人工地面核查相结合的方式，将病枯死松树定位到山头地块、到小班。</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1.无人机监测调查。对阳新县松材线虫病疫点镇区和国有林场高速、国道、省道、铁路等交通要路沿线两侧（左右延伸500米）的松林，利用无人机开展普查工作，拍摄正射影像图并对正射影像图内的松林小班进行判读和解译，提取每株标点的坐标，落实松林小班；判读解译的数据导入到PDA调查仪器上进行现场核查印证，校正正射影像图内的标点是否为松树，核实松树枯死木的数量，生成最终的无人机监测调查数据。</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2.人工地面调查</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1）踏查。非疫点镇区，根据各镇区松林分布特点和道路情况，设计可观察全部松林的踏查路线，对辖区内的所有松林开展全面踏查。踏查采取目测或者使用望远镜等方法观测，沿踏查路线调查是否有无枯死松树，或者是否出现针叶褪色、黄化、枯萎以及呈红褐色等松针变色症状的松树。一旦发现松树枯死、松针变色等异常情况，需在PDA调查仪上标出枯死松木位置，并按有关要求进行取样鉴定，确认是否感染松材线虫病（对取样镜检结果为“松材线虫”、“拟松材线虫”，或“疑似”松材线虫的，需进入小班内开展详查）。</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2）详查。鉴定确认有疫情发生，即“松材线虫”、“拟松材线虫”，或“疑似”松材线虫的非疫点镇区，必须立即开展疫情详查，以林业小班为单位，利用PDA调查仪详细采集小班内死亡松树的数量，弄清小班所处的镇区、村、小班号、小班面积等调查因子，并采集每株松树枯死木的坐标。</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（四）采样鉴定</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各地在普查中，疫点乡镇、小班死树不再取样鉴定，非疫点乡镇、小班不能确定死因的松树要按照技术规程进行采样鉴定。采样数量以小班为单位，死亡松树数量小于100株的，先取样10株进行检测，如检测到松材线虫，可不再取样；如没有检测到松材线虫，应当继续取样检测，直至死亡松树全部取样检测为止；死亡松树数量大于100株的，如取样100株仍未检测到松材线虫，对超出部分按5%的比例进行抽样检测。重点预防区可视情况增加取样数量。</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highlight w:val="none"/>
        </w:rPr>
      </w:pPr>
      <w:r>
        <w:rPr>
          <w:rFonts w:hint="eastAsia"/>
          <w:sz w:val="24"/>
          <w:szCs w:val="24"/>
        </w:rPr>
        <w:t>疫情发生区新发疫点和非疫情发生区的死树由县级森防机构初检，市级森防站复检，省级林业有害生物鉴定中心鉴定确认，送样时附送县（市）森防机构初检、复检样本的特征照、工作照和采样镜检表。松材线虫病疫情的认定由省站负</w:t>
      </w:r>
      <w:r>
        <w:rPr>
          <w:rFonts w:hint="eastAsia"/>
          <w:sz w:val="24"/>
          <w:szCs w:val="24"/>
          <w:highlight w:val="none"/>
        </w:rPr>
        <w:t>责。</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highlight w:val="none"/>
        </w:rPr>
      </w:pPr>
      <w:r>
        <w:rPr>
          <w:rFonts w:hint="eastAsia"/>
          <w:sz w:val="24"/>
          <w:szCs w:val="24"/>
          <w:highlight w:val="none"/>
        </w:rPr>
        <w:t>（五）、普查时间</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highlight w:val="none"/>
        </w:rPr>
      </w:pPr>
      <w:r>
        <w:rPr>
          <w:rFonts w:hint="eastAsia"/>
          <w:sz w:val="24"/>
          <w:szCs w:val="24"/>
          <w:highlight w:val="none"/>
        </w:rPr>
        <w:t>普查时间：</w:t>
      </w:r>
      <w:r>
        <w:rPr>
          <w:sz w:val="24"/>
          <w:szCs w:val="24"/>
          <w:highlight w:val="none"/>
        </w:rPr>
        <w:t>9</w:t>
      </w:r>
      <w:r>
        <w:rPr>
          <w:rFonts w:hint="eastAsia"/>
          <w:sz w:val="24"/>
          <w:szCs w:val="24"/>
          <w:highlight w:val="none"/>
        </w:rPr>
        <w:t>月</w:t>
      </w:r>
      <w:r>
        <w:rPr>
          <w:sz w:val="24"/>
          <w:szCs w:val="24"/>
          <w:highlight w:val="none"/>
        </w:rPr>
        <w:t>10</w:t>
      </w:r>
      <w:r>
        <w:rPr>
          <w:rFonts w:hint="eastAsia"/>
          <w:sz w:val="24"/>
          <w:szCs w:val="24"/>
          <w:highlight w:val="none"/>
        </w:rPr>
        <w:t>日-11月10日</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（六）、普查成果要求</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根据无人机监测、人工地面调查结果，编制普查报告和提交普查成果（纸质版2份和电子版），成果主要包含以下内容：</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1.阳新县202</w:t>
      </w:r>
      <w:r>
        <w:rPr>
          <w:sz w:val="24"/>
          <w:szCs w:val="24"/>
        </w:rPr>
        <w:t>3</w:t>
      </w:r>
      <w:r>
        <w:rPr>
          <w:rFonts w:hint="eastAsia"/>
          <w:sz w:val="24"/>
          <w:szCs w:val="24"/>
        </w:rPr>
        <w:t>年度死亡松树分布情况示意图；</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2.阳新县202</w:t>
      </w:r>
      <w:r>
        <w:rPr>
          <w:sz w:val="24"/>
          <w:szCs w:val="24"/>
        </w:rPr>
        <w:t>3</w:t>
      </w:r>
      <w:r>
        <w:rPr>
          <w:rFonts w:hint="eastAsia"/>
          <w:sz w:val="24"/>
          <w:szCs w:val="24"/>
        </w:rPr>
        <w:t>年度秋季松材线虫病疫情发生分布示意图；</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3.阳新县202</w:t>
      </w:r>
      <w:r>
        <w:rPr>
          <w:sz w:val="24"/>
          <w:szCs w:val="24"/>
        </w:rPr>
        <w:t>3</w:t>
      </w:r>
      <w:r>
        <w:rPr>
          <w:rFonts w:hint="eastAsia"/>
          <w:sz w:val="24"/>
          <w:szCs w:val="24"/>
        </w:rPr>
        <w:t>年度其它原因死亡松树分布情况示意图；</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4.阳新县202</w:t>
      </w:r>
      <w:r>
        <w:rPr>
          <w:sz w:val="24"/>
          <w:szCs w:val="24"/>
        </w:rPr>
        <w:t>3</w:t>
      </w:r>
      <w:r>
        <w:rPr>
          <w:rFonts w:hint="eastAsia"/>
          <w:sz w:val="24"/>
          <w:szCs w:val="24"/>
        </w:rPr>
        <w:t>年度秋季松材线虫病疫情小班分布图（以村为单位出图，写真纸彩色打印，比例尺1:10000，装订入秋普成果文本）；</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5.无人机航拍正射影像图（无需打印，提交电子版）；</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6.阳新县202</w:t>
      </w:r>
      <w:r>
        <w:rPr>
          <w:sz w:val="24"/>
          <w:szCs w:val="24"/>
        </w:rPr>
        <w:t>3</w:t>
      </w:r>
      <w:r>
        <w:rPr>
          <w:rFonts w:hint="eastAsia"/>
          <w:sz w:val="24"/>
          <w:szCs w:val="24"/>
        </w:rPr>
        <w:t>年松材线虫病普查统计表（见附表1）</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7.阳新县202</w:t>
      </w:r>
      <w:r>
        <w:rPr>
          <w:sz w:val="24"/>
          <w:szCs w:val="24"/>
        </w:rPr>
        <w:t>3</w:t>
      </w:r>
      <w:r>
        <w:rPr>
          <w:rFonts w:hint="eastAsia"/>
          <w:sz w:val="24"/>
          <w:szCs w:val="24"/>
        </w:rPr>
        <w:t>年松材线虫病发生情况汇总统计表（见附表2）</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8.阳新县202</w:t>
      </w:r>
      <w:r>
        <w:rPr>
          <w:sz w:val="24"/>
          <w:szCs w:val="24"/>
        </w:rPr>
        <w:t>3</w:t>
      </w:r>
      <w:r>
        <w:rPr>
          <w:rFonts w:hint="eastAsia"/>
          <w:sz w:val="24"/>
          <w:szCs w:val="24"/>
        </w:rPr>
        <w:t>年松材线虫病疫情发生情况（到小班）统计表（见附表3）</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9.阳新县202</w:t>
      </w:r>
      <w:r>
        <w:rPr>
          <w:sz w:val="24"/>
          <w:szCs w:val="24"/>
        </w:rPr>
        <w:t>3</w:t>
      </w:r>
      <w:r>
        <w:rPr>
          <w:rFonts w:hint="eastAsia"/>
          <w:sz w:val="24"/>
          <w:szCs w:val="24"/>
        </w:rPr>
        <w:t>年松树死亡情况统计表（见附表4）</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（七）项目的验收</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1、无人机监测调查：根据乙方（成交供应商）无人机航拍的正射影像图及判断解译的枯死松树坐标点，随机抽取总小班数量的5%进行质量验收核查，验收核查内容：枯死木位置精度、识别精度、遗漏率。小班内枯死木位置绝对定位误差≤10m的株数达95%；正射影像图变色立木（枯死松木）识别精度≥85%、枯死木漏判率≤3%。</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2、人工地面调查：根据乙方（成交供应商）人工地面调查小班数据，随机抽取总小班数量的5%进行质量验收核查，验收核查内容：枯死木位置精度、枯死松木辨别精度、漏查率。小班内枯死木位置绝对定位误差≤10m的株数达95%；枯死松木辨别精度≥95%、枯死木漏查率≤3%。</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（八）相关要求</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1.高度重视疫情普查工作。要进一步提高认识，高度重视松材线虫病疫情监测普查，按照普查工作要求，结合当地实际，制定秋季普查工作方案，组织开展无人机等遥感技术和相关应用软件的技术培训，按照相关技术规程，确保普查到乡镇、小班，保障普查结果的准确性。</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2.高质量完成普查工作任务。要把控好普查时间，先对非疫点进行排查，再重点对疫点进行普查。疫点普查以湖北省第五次森林普查成果数据为依据，尽量使用无人机等遥感技术（技术要求参照《松材线虫病防治技术方案（2022年版》）调查和人工地面核查相结合的方式进行调查，将病死树定位到松林小班，并将数据录入“全国松材线虫病精细化管理平台”。</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3.建立和完善普查档案。各地要将无人机遥感、人工地面踏查的原始数据、图片、地理信息等及时分类、整理，建立普查电子档案。普查结束后，提交到小班原始数据，确保数据可溯可查以及真实、准确。</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4.按时材料报送。按要求认真填报相关数据表格、疫情小班shp格式数据（附件1-4，其中附件3是一县一表，市州不汇总，只上报电子表）以市（州）为单位，正式文件于10月30日前将材料上报至林业局。</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5.保障工作安全。各地要严格遵守当地新冠肺炎疫情防控要求，在开展普查工作的同时，做好防范新冠肺炎疫情的各项保护工作，佩戴口罩，保障普查工作安全。</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r>
        <w:rPr>
          <w:rFonts w:hint="eastAsia"/>
          <w:sz w:val="24"/>
          <w:szCs w:val="24"/>
        </w:rPr>
        <w:t>（九）其他要求</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highlight w:val="none"/>
        </w:rPr>
      </w:pPr>
      <w:r>
        <w:rPr>
          <w:rFonts w:hint="eastAsia"/>
          <w:sz w:val="24"/>
          <w:szCs w:val="24"/>
        </w:rPr>
        <w:t>1、付款方式：乙方（成交供应商）在规定时间内完成所有普查内容，并提交普查文本和成果后，通过第三方验收后一次性支付合同金额的100%。具体以</w:t>
      </w:r>
      <w:r>
        <w:rPr>
          <w:rFonts w:hint="eastAsia"/>
          <w:sz w:val="24"/>
          <w:szCs w:val="24"/>
          <w:highlight w:val="none"/>
        </w:rPr>
        <w:t>合同签订为准。</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rFonts w:hint="eastAsia"/>
          <w:sz w:val="24"/>
          <w:szCs w:val="24"/>
          <w:highlight w:val="none"/>
        </w:rPr>
      </w:pPr>
      <w:r>
        <w:rPr>
          <w:rFonts w:hint="eastAsia"/>
          <w:sz w:val="24"/>
          <w:szCs w:val="24"/>
          <w:highlight w:val="none"/>
        </w:rPr>
        <w:t>2、交付地点：阳新县自然资源和规划局</w:t>
      </w:r>
    </w:p>
    <w:p>
      <w:pPr>
        <w:ind w:firstLine="480" w:firstLineChars="200"/>
        <w:rPr>
          <w:rFonts w:hint="default" w:eastAsia="宋体"/>
          <w:lang w:val="en-US" w:eastAsia="zh-CN"/>
        </w:rPr>
      </w:pPr>
      <w:r>
        <w:rPr>
          <w:rFonts w:hint="eastAsia" w:eastAsia="宋体"/>
          <w:sz w:val="24"/>
          <w:szCs w:val="24"/>
          <w:highlight w:val="none"/>
          <w:lang w:val="en-US" w:eastAsia="zh-CN"/>
        </w:rPr>
        <w:t>3、质保期：半年</w:t>
      </w:r>
    </w:p>
    <w:p>
      <w:pPr>
        <w:spacing w:line="360" w:lineRule="auto"/>
        <w:ind w:firstLine="480" w:firstLineChars="200"/>
        <w:rPr>
          <w:b w:val="0"/>
          <w:bCs w:val="0"/>
          <w:sz w:val="24"/>
          <w:szCs w:val="24"/>
          <w:highlight w:val="none"/>
          <w:lang w:bidi="ar"/>
        </w:rPr>
      </w:pPr>
      <w:r>
        <w:rPr>
          <w:rFonts w:hint="eastAsia" w:eastAsia="宋体"/>
          <w:b w:val="0"/>
          <w:bCs w:val="0"/>
          <w:sz w:val="24"/>
          <w:szCs w:val="24"/>
          <w:highlight w:val="none"/>
          <w:lang w:val="en-US" w:eastAsia="zh-CN" w:bidi="ar"/>
        </w:rPr>
        <w:t>4</w:t>
      </w:r>
      <w:r>
        <w:rPr>
          <w:rFonts w:hint="eastAsia"/>
          <w:b w:val="0"/>
          <w:bCs w:val="0"/>
          <w:sz w:val="24"/>
          <w:szCs w:val="24"/>
          <w:highlight w:val="none"/>
          <w:lang w:bidi="ar"/>
        </w:rPr>
        <w:t>、服务期限：</w:t>
      </w:r>
      <w:r>
        <w:rPr>
          <w:rFonts w:hint="eastAsia" w:eastAsia="宋体"/>
          <w:b w:val="0"/>
          <w:bCs w:val="0"/>
          <w:sz w:val="24"/>
          <w:szCs w:val="24"/>
          <w:highlight w:val="none"/>
          <w:lang w:val="en-US" w:eastAsia="zh-CN" w:bidi="ar"/>
        </w:rPr>
        <w:t>90</w:t>
      </w:r>
      <w:r>
        <w:rPr>
          <w:rFonts w:hint="eastAsia"/>
          <w:b w:val="0"/>
          <w:bCs w:val="0"/>
          <w:sz w:val="24"/>
          <w:szCs w:val="24"/>
          <w:highlight w:val="none"/>
          <w:lang w:bidi="ar"/>
        </w:rPr>
        <w:t>日历天</w:t>
      </w:r>
    </w:p>
    <w:p>
      <w:pPr>
        <w:spacing w:line="360" w:lineRule="auto"/>
        <w:ind w:firstLine="480" w:firstLineChars="200"/>
        <w:rPr>
          <w:b w:val="0"/>
          <w:bCs w:val="0"/>
          <w:sz w:val="24"/>
          <w:szCs w:val="24"/>
          <w:lang w:bidi="ar"/>
        </w:rPr>
      </w:pPr>
      <w:r>
        <w:rPr>
          <w:rFonts w:hint="eastAsia" w:eastAsia="宋体"/>
          <w:b w:val="0"/>
          <w:bCs w:val="0"/>
          <w:sz w:val="24"/>
          <w:szCs w:val="24"/>
          <w:lang w:val="en-US" w:eastAsia="zh-CN" w:bidi="ar"/>
        </w:rPr>
        <w:t>5</w:t>
      </w:r>
      <w:r>
        <w:rPr>
          <w:rFonts w:hint="eastAsia"/>
          <w:b w:val="0"/>
          <w:bCs w:val="0"/>
          <w:sz w:val="24"/>
          <w:szCs w:val="24"/>
          <w:lang w:bidi="ar"/>
        </w:rPr>
        <w:t>、质量要求：合格。</w:t>
      </w:r>
    </w:p>
    <w:p>
      <w:pPr>
        <w:pStyle w:val="6"/>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default" w:ascii="宋体" w:hAnsi="宋体" w:eastAsia="宋体" w:cs="宋体"/>
          <w:color w:val="auto"/>
          <w:szCs w:val="24"/>
          <w:lang w:val="en-US" w:eastAsia="zh-CN"/>
        </w:rPr>
      </w:pP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sz w:val="24"/>
          <w:szCs w:val="24"/>
        </w:rPr>
      </w:pP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rFonts w:ascii="宋体" w:hAnsi="宋体" w:cs="宋体"/>
          <w:sz w:val="24"/>
          <w:szCs w:val="24"/>
        </w:rPr>
      </w:pPr>
      <w:r>
        <w:rPr>
          <w:rFonts w:hint="eastAsia" w:ascii="宋体" w:hAnsi="宋体" w:cs="宋体"/>
          <w:sz w:val="24"/>
          <w:szCs w:val="24"/>
        </w:rPr>
        <w:t>附件：1.松材线虫病普查统计表</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rFonts w:ascii="宋体" w:hAnsi="宋体" w:cs="宋体"/>
          <w:sz w:val="24"/>
          <w:szCs w:val="24"/>
        </w:rPr>
      </w:pPr>
      <w:r>
        <w:rPr>
          <w:rFonts w:hint="eastAsia" w:ascii="宋体" w:hAnsi="宋体" w:cs="宋体"/>
          <w:sz w:val="24"/>
          <w:szCs w:val="24"/>
        </w:rPr>
        <w:t xml:space="preserve">      2.松材线虫病发生情况汇总统计表</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rFonts w:ascii="宋体" w:hAnsi="宋体" w:cs="宋体"/>
          <w:sz w:val="24"/>
          <w:szCs w:val="24"/>
        </w:rPr>
      </w:pPr>
      <w:r>
        <w:rPr>
          <w:rFonts w:hint="eastAsia" w:ascii="宋体" w:hAnsi="宋体" w:cs="宋体"/>
          <w:sz w:val="24"/>
          <w:szCs w:val="24"/>
        </w:rPr>
        <w:t xml:space="preserve">      3.疫区松材线虫病疫情小班情况统计表和shp格式数据（统计表一县一表，市州不汇总，只报电子表）</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rPr>
          <w:rFonts w:ascii="宋体" w:hAnsi="宋体" w:cs="宋体"/>
          <w:sz w:val="24"/>
          <w:szCs w:val="24"/>
        </w:rPr>
      </w:pPr>
      <w:r>
        <w:rPr>
          <w:rFonts w:hint="eastAsia" w:ascii="宋体" w:hAnsi="宋体" w:cs="宋体"/>
          <w:sz w:val="24"/>
          <w:szCs w:val="24"/>
        </w:rPr>
        <w:t xml:space="preserve">      4.拟拔除疫区、疫点统计表。</w:t>
      </w:r>
    </w:p>
    <w:p>
      <w:pPr>
        <w:rPr>
          <w:rFonts w:hint="eastAsia" w:ascii="宋体" w:hAnsi="宋体" w:cs="宋体"/>
          <w:sz w:val="24"/>
          <w:szCs w:val="24"/>
        </w:rPr>
      </w:pPr>
      <w:r>
        <w:rPr>
          <w:rFonts w:hint="eastAsia" w:ascii="宋体" w:hAnsi="宋体" w:cs="宋体"/>
          <w:sz w:val="24"/>
          <w:szCs w:val="24"/>
        </w:rPr>
        <w:br w:type="page"/>
      </w:r>
    </w:p>
    <w:p>
      <w:pPr>
        <w:keepNext w:val="0"/>
        <w:keepLines w:val="0"/>
        <w:pageBreakBefore w:val="0"/>
        <w:kinsoku/>
        <w:wordWrap/>
        <w:overflowPunct/>
        <w:topLinePunct w:val="0"/>
        <w:autoSpaceDE/>
        <w:autoSpaceDN/>
        <w:bidi w:val="0"/>
        <w:adjustRightInd/>
        <w:snapToGrid/>
        <w:rPr>
          <w:rFonts w:ascii="宋体" w:hAnsi="宋体" w:cs="宋体"/>
          <w:sz w:val="24"/>
          <w:szCs w:val="24"/>
        </w:rPr>
      </w:pPr>
      <w:r>
        <w:rPr>
          <w:rFonts w:hint="eastAsia" w:ascii="宋体" w:hAnsi="宋体" w:cs="宋体"/>
          <w:sz w:val="24"/>
          <w:szCs w:val="24"/>
        </w:rPr>
        <w:t>附件1</w:t>
      </w:r>
    </w:p>
    <w:p>
      <w:pPr>
        <w:keepNext w:val="0"/>
        <w:keepLines w:val="0"/>
        <w:pageBreakBefore w:val="0"/>
        <w:kinsoku/>
        <w:wordWrap/>
        <w:overflowPunct/>
        <w:topLinePunct w:val="0"/>
        <w:autoSpaceDE/>
        <w:autoSpaceDN/>
        <w:bidi w:val="0"/>
        <w:adjustRightInd/>
        <w:snapToGrid/>
        <w:jc w:val="center"/>
        <w:rPr>
          <w:rFonts w:ascii="宋体" w:hAnsi="宋体" w:cs="宋体"/>
          <w:sz w:val="24"/>
          <w:szCs w:val="24"/>
        </w:rPr>
      </w:pPr>
      <w:r>
        <w:rPr>
          <w:rFonts w:hint="eastAsia" w:ascii="宋体" w:hAnsi="宋体" w:cs="宋体"/>
          <w:sz w:val="24"/>
          <w:szCs w:val="24"/>
        </w:rPr>
        <w:t>松材线虫病普查统计表(全部松林调查）</w:t>
      </w:r>
    </w:p>
    <w:tbl>
      <w:tblPr>
        <w:tblStyle w:val="8"/>
        <w:tblW w:w="8426" w:type="dxa"/>
        <w:jc w:val="center"/>
        <w:tblLayout w:type="fixed"/>
        <w:tblCellMar>
          <w:top w:w="0" w:type="dxa"/>
          <w:left w:w="108" w:type="dxa"/>
          <w:bottom w:w="0" w:type="dxa"/>
          <w:right w:w="108" w:type="dxa"/>
        </w:tblCellMar>
      </w:tblPr>
      <w:tblGrid>
        <w:gridCol w:w="1413"/>
        <w:gridCol w:w="1325"/>
        <w:gridCol w:w="1299"/>
        <w:gridCol w:w="1438"/>
        <w:gridCol w:w="1476"/>
        <w:gridCol w:w="1475"/>
      </w:tblGrid>
      <w:tr>
        <w:tblPrEx>
          <w:tblCellMar>
            <w:top w:w="0" w:type="dxa"/>
            <w:left w:w="108" w:type="dxa"/>
            <w:bottom w:w="0" w:type="dxa"/>
            <w:right w:w="108" w:type="dxa"/>
          </w:tblCellMar>
        </w:tblPrEx>
        <w:trPr>
          <w:trHeight w:val="1620"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县级行政区名称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松林面积</w:t>
            </w:r>
          </w:p>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（万亩）</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调查面积</w:t>
            </w:r>
          </w:p>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（万亩）</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死亡松树数量（株）</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取样株树</w:t>
            </w:r>
          </w:p>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（株）</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是否检测出松材线虫</w:t>
            </w: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bl>
    <w:p>
      <w:pPr>
        <w:rPr>
          <w:rFonts w:ascii="宋体" w:hAnsi="宋体" w:cs="宋体"/>
          <w:sz w:val="24"/>
          <w:szCs w:val="24"/>
        </w:rPr>
      </w:pPr>
      <w:r>
        <w:rPr>
          <w:rFonts w:hint="eastAsia" w:ascii="宋体" w:hAnsi="宋体" w:cs="宋体"/>
          <w:sz w:val="24"/>
          <w:szCs w:val="24"/>
        </w:rPr>
        <w:t xml:space="preserve">填表人：                  审核人：               </w:t>
      </w:r>
    </w:p>
    <w:p>
      <w:pPr>
        <w:rPr>
          <w:rFonts w:ascii="宋体" w:hAnsi="宋体" w:cs="宋体"/>
          <w:sz w:val="24"/>
          <w:szCs w:val="24"/>
        </w:rPr>
      </w:pPr>
      <w:r>
        <w:rPr>
          <w:rFonts w:hint="eastAsia" w:ascii="宋体" w:hAnsi="宋体" w:cs="宋体"/>
          <w:sz w:val="24"/>
          <w:szCs w:val="24"/>
        </w:rPr>
        <w:t>填表说明：1.县、市（区）填报后上报市、州，市、州审核、汇总后上报；</w:t>
      </w:r>
    </w:p>
    <w:p>
      <w:pPr>
        <w:rPr>
          <w:rFonts w:ascii="宋体" w:hAnsi="宋体" w:cs="宋体"/>
          <w:sz w:val="24"/>
          <w:szCs w:val="24"/>
        </w:rPr>
      </w:pPr>
      <w:r>
        <w:rPr>
          <w:rFonts w:hint="eastAsia" w:ascii="宋体" w:hAnsi="宋体" w:cs="宋体"/>
          <w:sz w:val="24"/>
          <w:szCs w:val="24"/>
        </w:rPr>
        <w:t xml:space="preserve">       2.表头内容和单位不得更改，面积单位为“万亩”的，只保留2位小数。</w:t>
      </w:r>
    </w:p>
    <w:p>
      <w:pPr>
        <w:rPr>
          <w:rFonts w:ascii="宋体" w:hAnsi="宋体" w:cs="宋体"/>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rPr>
          <w:rFonts w:ascii="宋体" w:hAnsi="宋体" w:cs="宋体"/>
          <w:sz w:val="24"/>
          <w:szCs w:val="24"/>
        </w:rPr>
      </w:pPr>
      <w:r>
        <w:rPr>
          <w:rFonts w:hint="eastAsia" w:ascii="宋体" w:hAnsi="宋体" w:cs="宋体"/>
          <w:sz w:val="24"/>
          <w:szCs w:val="24"/>
        </w:rPr>
        <w:t>附件2</w:t>
      </w:r>
    </w:p>
    <w:p>
      <w:pPr>
        <w:jc w:val="center"/>
        <w:rPr>
          <w:rFonts w:ascii="宋体" w:hAnsi="宋体" w:cs="宋体"/>
          <w:sz w:val="24"/>
          <w:szCs w:val="24"/>
        </w:rPr>
      </w:pPr>
      <w:r>
        <w:rPr>
          <w:rFonts w:hint="eastAsia" w:ascii="宋体" w:hAnsi="宋体" w:cs="宋体"/>
          <w:sz w:val="24"/>
          <w:szCs w:val="24"/>
        </w:rPr>
        <w:t>松材线虫病发生情况汇总统计表（疫区范围内）</w:t>
      </w:r>
    </w:p>
    <w:tbl>
      <w:tblPr>
        <w:tblStyle w:val="8"/>
        <w:tblW w:w="14075" w:type="dxa"/>
        <w:jc w:val="center"/>
        <w:tblLayout w:type="autofit"/>
        <w:tblCellMar>
          <w:top w:w="0" w:type="dxa"/>
          <w:left w:w="108" w:type="dxa"/>
          <w:bottom w:w="0" w:type="dxa"/>
          <w:right w:w="108" w:type="dxa"/>
        </w:tblCellMar>
      </w:tblPr>
      <w:tblGrid>
        <w:gridCol w:w="1649"/>
        <w:gridCol w:w="1333"/>
        <w:gridCol w:w="1333"/>
        <w:gridCol w:w="1400"/>
        <w:gridCol w:w="1290"/>
        <w:gridCol w:w="1020"/>
        <w:gridCol w:w="990"/>
        <w:gridCol w:w="1830"/>
        <w:gridCol w:w="1080"/>
        <w:gridCol w:w="2150"/>
      </w:tblGrid>
      <w:tr>
        <w:tblPrEx>
          <w:tblCellMar>
            <w:top w:w="0" w:type="dxa"/>
            <w:left w:w="108" w:type="dxa"/>
            <w:bottom w:w="0" w:type="dxa"/>
            <w:right w:w="108" w:type="dxa"/>
          </w:tblCellMar>
        </w:tblPrEx>
        <w:trPr>
          <w:trHeight w:val="660" w:hRule="atLeast"/>
          <w:jc w:val="center"/>
        </w:trPr>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发生疫情县级行政区名称</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松林面积</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（万亩）</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疫情小班数量(个)</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发生面积</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（万亩）</w:t>
            </w:r>
          </w:p>
        </w:tc>
        <w:tc>
          <w:tcPr>
            <w:tcW w:w="5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死亡松树数量（株）</w:t>
            </w: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疫情发生乡镇（街道）</w:t>
            </w:r>
          </w:p>
        </w:tc>
      </w:tr>
      <w:tr>
        <w:tblPrEx>
          <w:tblCellMar>
            <w:top w:w="0" w:type="dxa"/>
            <w:left w:w="108" w:type="dxa"/>
            <w:bottom w:w="0" w:type="dxa"/>
            <w:right w:w="108" w:type="dxa"/>
          </w:tblCellMar>
        </w:tblPrEx>
        <w:trPr>
          <w:trHeight w:val="759"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总数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枯死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濒死</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干旱、风折、雪压、火烧等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数量(个)</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名称(疫情小班数量)</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bl>
    <w:p>
      <w:pPr>
        <w:rPr>
          <w:rFonts w:ascii="宋体" w:hAnsi="宋体" w:cs="宋体"/>
          <w:sz w:val="24"/>
          <w:szCs w:val="24"/>
        </w:rPr>
      </w:pPr>
      <w:r>
        <w:rPr>
          <w:rFonts w:hint="eastAsia" w:ascii="宋体" w:hAnsi="宋体" w:cs="宋体"/>
          <w:sz w:val="24"/>
          <w:szCs w:val="24"/>
        </w:rPr>
        <w:t xml:space="preserve">填表人：                   审核人：     </w:t>
      </w:r>
    </w:p>
    <w:p>
      <w:pPr>
        <w:rPr>
          <w:rFonts w:ascii="宋体" w:hAnsi="宋体" w:cs="宋体"/>
          <w:sz w:val="24"/>
          <w:szCs w:val="24"/>
        </w:rPr>
      </w:pPr>
      <w:r>
        <w:rPr>
          <w:rFonts w:hint="eastAsia" w:ascii="宋体" w:hAnsi="宋体" w:cs="宋体"/>
          <w:sz w:val="24"/>
          <w:szCs w:val="24"/>
        </w:rPr>
        <w:t>填表说明：1.县、市（区）填报后上报市、州，市、州审核、汇总后上报；</w:t>
      </w:r>
    </w:p>
    <w:p>
      <w:pPr>
        <w:rPr>
          <w:rFonts w:ascii="宋体" w:hAnsi="宋体" w:cs="宋体"/>
          <w:sz w:val="24"/>
          <w:szCs w:val="24"/>
        </w:rPr>
      </w:pPr>
      <w:r>
        <w:rPr>
          <w:rFonts w:hint="eastAsia" w:ascii="宋体" w:hAnsi="宋体" w:cs="宋体"/>
          <w:sz w:val="24"/>
          <w:szCs w:val="24"/>
        </w:rPr>
        <w:t xml:space="preserve">    2.表头内容和单位不得更改，面积单位为“万亩”的，只保留2位小数。</w:t>
      </w:r>
    </w:p>
    <w:p>
      <w:pPr>
        <w:rPr>
          <w:rFonts w:ascii="宋体" w:hAnsi="宋体" w:cs="宋体"/>
          <w:sz w:val="24"/>
          <w:szCs w:val="24"/>
        </w:rPr>
      </w:pPr>
      <w:r>
        <w:rPr>
          <w:rFonts w:hint="eastAsia" w:ascii="宋体" w:hAnsi="宋体" w:cs="宋体"/>
          <w:sz w:val="24"/>
          <w:szCs w:val="24"/>
        </w:rPr>
        <w:t xml:space="preserve">    3.发生面积按小班统计；</w:t>
      </w:r>
    </w:p>
    <w:p>
      <w:pPr>
        <w:rPr>
          <w:rFonts w:ascii="宋体" w:hAnsi="宋体" w:cs="宋体"/>
          <w:sz w:val="24"/>
          <w:szCs w:val="24"/>
        </w:rPr>
      </w:pPr>
      <w:r>
        <w:rPr>
          <w:rFonts w:hint="eastAsia" w:ascii="宋体" w:hAnsi="宋体" w:cs="宋体"/>
          <w:sz w:val="24"/>
          <w:szCs w:val="24"/>
        </w:rPr>
        <w:t xml:space="preserve">    4.若为当年新发生，请在县、乡名称后用※注明；</w:t>
      </w:r>
    </w:p>
    <w:p>
      <w:pPr>
        <w:rPr>
          <w:rFonts w:ascii="宋体" w:hAnsi="宋体" w:cs="宋体"/>
          <w:sz w:val="24"/>
          <w:szCs w:val="24"/>
        </w:rPr>
      </w:pPr>
      <w:r>
        <w:rPr>
          <w:rFonts w:hint="eastAsia" w:ascii="宋体" w:hAnsi="宋体" w:cs="宋体"/>
          <w:sz w:val="24"/>
          <w:szCs w:val="24"/>
        </w:rPr>
        <w:t xml:space="preserve">    5.“名称（疫情发生小班数量）”填写格式如“姚家店镇（9个）”。</w:t>
      </w:r>
    </w:p>
    <w:p>
      <w:pPr>
        <w:rPr>
          <w:rFonts w:ascii="宋体" w:hAnsi="宋体" w:cs="宋体"/>
          <w:sz w:val="24"/>
          <w:szCs w:val="24"/>
        </w:rPr>
      </w:pPr>
      <w:r>
        <w:rPr>
          <w:rFonts w:hint="eastAsia" w:ascii="宋体" w:hAnsi="宋体" w:cs="宋体"/>
          <w:sz w:val="24"/>
          <w:szCs w:val="24"/>
        </w:rPr>
        <w:t xml:space="preserve">    6.“死亡松树”指疫情小班内的枯死（含病死）、濒死松树，以及确认由干旱、风折、雪压、火烧等原因致死的松树。</w:t>
      </w:r>
    </w:p>
    <w:p>
      <w:pPr>
        <w:rPr>
          <w:rFonts w:ascii="宋体" w:hAnsi="宋体" w:cs="宋体"/>
          <w:sz w:val="24"/>
          <w:szCs w:val="24"/>
        </w:rPr>
      </w:pPr>
      <w:r>
        <w:rPr>
          <w:rFonts w:hint="eastAsia" w:ascii="宋体" w:hAnsi="宋体" w:cs="宋体"/>
          <w:sz w:val="24"/>
          <w:szCs w:val="24"/>
        </w:rPr>
        <w:br w:type="page"/>
      </w:r>
    </w:p>
    <w:p>
      <w:pPr>
        <w:rPr>
          <w:rFonts w:ascii="宋体" w:hAnsi="宋体" w:cs="宋体"/>
          <w:sz w:val="24"/>
          <w:szCs w:val="24"/>
        </w:rPr>
      </w:pPr>
      <w:r>
        <w:rPr>
          <w:rFonts w:hint="eastAsia" w:ascii="宋体" w:hAnsi="宋体" w:cs="宋体"/>
          <w:sz w:val="24"/>
          <w:szCs w:val="24"/>
        </w:rPr>
        <w:t>附件3</w:t>
      </w:r>
    </w:p>
    <w:p>
      <w:pPr>
        <w:jc w:val="center"/>
        <w:rPr>
          <w:rFonts w:ascii="宋体" w:hAnsi="宋体" w:cs="宋体"/>
          <w:sz w:val="24"/>
          <w:szCs w:val="24"/>
        </w:rPr>
      </w:pPr>
      <w:r>
        <w:rPr>
          <w:rFonts w:hint="eastAsia" w:ascii="宋体" w:hAnsi="宋体" w:cs="宋体"/>
          <w:sz w:val="24"/>
          <w:szCs w:val="24"/>
        </w:rPr>
        <w:t>疫区松材线虫病疫情小班情况统计表</w:t>
      </w:r>
    </w:p>
    <w:tbl>
      <w:tblPr>
        <w:tblStyle w:val="8"/>
        <w:tblW w:w="14160" w:type="dxa"/>
        <w:tblInd w:w="93" w:type="dxa"/>
        <w:tblLayout w:type="autofit"/>
        <w:tblCellMar>
          <w:top w:w="0" w:type="dxa"/>
          <w:left w:w="108" w:type="dxa"/>
          <w:bottom w:w="0" w:type="dxa"/>
          <w:right w:w="108" w:type="dxa"/>
        </w:tblCellMar>
      </w:tblPr>
      <w:tblGrid>
        <w:gridCol w:w="1439"/>
        <w:gridCol w:w="1439"/>
        <w:gridCol w:w="1424"/>
        <w:gridCol w:w="1225"/>
        <w:gridCol w:w="2714"/>
        <w:gridCol w:w="1290"/>
        <w:gridCol w:w="1359"/>
        <w:gridCol w:w="1770"/>
        <w:gridCol w:w="1500"/>
      </w:tblGrid>
      <w:tr>
        <w:tblPrEx>
          <w:tblCellMar>
            <w:top w:w="0" w:type="dxa"/>
            <w:left w:w="108" w:type="dxa"/>
            <w:bottom w:w="0" w:type="dxa"/>
            <w:right w:w="108" w:type="dxa"/>
          </w:tblCellMar>
        </w:tblPrEx>
        <w:trPr>
          <w:trHeight w:val="1341"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市、州</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县、市、区</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疫点（乡镇、街道、林场）名称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发生疫情村名称</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发生疫情小班号（21位小班号，县6+乡镇3+村3+林班4+小班5）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小班发生</w:t>
            </w:r>
          </w:p>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面积</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(亩)</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小班内死树数量(株)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w:t>
            </w:r>
            <w:r>
              <w:rPr>
                <w:rFonts w:ascii="宋体" w:hAnsi="宋体" w:cs="宋体"/>
                <w:color w:val="000000"/>
                <w:kern w:val="0"/>
                <w:sz w:val="24"/>
                <w:szCs w:val="24"/>
                <w:lang w:bidi="ar"/>
              </w:rPr>
              <w:t>2</w:t>
            </w:r>
            <w:r>
              <w:rPr>
                <w:rFonts w:hint="eastAsia" w:ascii="宋体" w:hAnsi="宋体" w:cs="宋体"/>
                <w:color w:val="000000"/>
                <w:kern w:val="0"/>
                <w:sz w:val="24"/>
                <w:szCs w:val="24"/>
                <w:lang w:bidi="ar"/>
              </w:rPr>
              <w:t>年冬至202</w:t>
            </w:r>
            <w:r>
              <w:rPr>
                <w:rFonts w:ascii="宋体" w:hAnsi="宋体" w:cs="宋体"/>
                <w:color w:val="000000"/>
                <w:kern w:val="0"/>
                <w:sz w:val="24"/>
                <w:szCs w:val="24"/>
                <w:lang w:bidi="ar"/>
              </w:rPr>
              <w:t>3</w:t>
            </w:r>
            <w:r>
              <w:rPr>
                <w:rFonts w:hint="eastAsia" w:ascii="宋体" w:hAnsi="宋体" w:cs="宋体"/>
                <w:color w:val="000000"/>
                <w:kern w:val="0"/>
                <w:sz w:val="24"/>
                <w:szCs w:val="24"/>
                <w:lang w:bidi="ar"/>
              </w:rPr>
              <w:t>年春小班内清理死树数量（株）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是否为202</w:t>
            </w:r>
            <w:r>
              <w:rPr>
                <w:rFonts w:ascii="宋体" w:hAnsi="宋体" w:cs="宋体"/>
                <w:color w:val="000000"/>
                <w:kern w:val="0"/>
                <w:sz w:val="24"/>
                <w:szCs w:val="24"/>
                <w:lang w:bidi="ar"/>
              </w:rPr>
              <w:t>3</w:t>
            </w:r>
            <w:r>
              <w:rPr>
                <w:rFonts w:hint="eastAsia" w:ascii="宋体" w:hAnsi="宋体" w:cs="宋体"/>
                <w:color w:val="000000"/>
                <w:kern w:val="0"/>
                <w:sz w:val="24"/>
                <w:szCs w:val="24"/>
                <w:lang w:bidi="ar"/>
              </w:rPr>
              <w:t>年新增疫情小班</w:t>
            </w: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bl>
    <w:p>
      <w:pPr>
        <w:rPr>
          <w:rFonts w:ascii="宋体" w:hAnsi="宋体" w:cs="宋体"/>
          <w:sz w:val="24"/>
          <w:szCs w:val="24"/>
        </w:rPr>
      </w:pPr>
      <w:r>
        <w:rPr>
          <w:rFonts w:hint="eastAsia" w:ascii="宋体" w:hAnsi="宋体" w:cs="宋体"/>
          <w:sz w:val="24"/>
          <w:szCs w:val="24"/>
        </w:rPr>
        <w:t xml:space="preserve">填表人：                  审核人：              </w:t>
      </w:r>
    </w:p>
    <w:p>
      <w:pPr>
        <w:rPr>
          <w:rFonts w:ascii="宋体" w:hAnsi="宋体" w:cs="宋体"/>
          <w:sz w:val="24"/>
          <w:szCs w:val="24"/>
        </w:rPr>
      </w:pPr>
      <w:r>
        <w:rPr>
          <w:rFonts w:hint="eastAsia" w:ascii="宋体" w:hAnsi="宋体" w:cs="宋体"/>
          <w:sz w:val="24"/>
          <w:szCs w:val="24"/>
        </w:rPr>
        <w:t>填表说明：1.此表必须填报至小班，乡镇填报后上报县、市（区）审核、汇总，县市上报市州审核后不汇总，一个县一张表打包提交至省级，此表只提交电子表；</w:t>
      </w:r>
    </w:p>
    <w:p>
      <w:pPr>
        <w:ind w:firstLine="1200" w:firstLineChars="500"/>
        <w:rPr>
          <w:rFonts w:ascii="宋体" w:hAnsi="宋体" w:cs="宋体"/>
          <w:sz w:val="24"/>
          <w:szCs w:val="24"/>
        </w:rPr>
      </w:pPr>
      <w:r>
        <w:rPr>
          <w:rFonts w:hint="eastAsia" w:ascii="宋体" w:hAnsi="宋体" w:cs="宋体"/>
          <w:sz w:val="24"/>
          <w:szCs w:val="24"/>
        </w:rPr>
        <w:t>2.表头内容和单位不得更改，面积单位为“亩”的，不保留小数；</w:t>
      </w:r>
    </w:p>
    <w:p>
      <w:pPr>
        <w:ind w:firstLine="1200" w:firstLineChars="500"/>
        <w:rPr>
          <w:rFonts w:ascii="宋体" w:hAnsi="宋体" w:cs="宋体"/>
          <w:sz w:val="24"/>
          <w:szCs w:val="24"/>
        </w:rPr>
      </w:pPr>
      <w:r>
        <w:rPr>
          <w:rFonts w:hint="eastAsia" w:ascii="宋体" w:hAnsi="宋体" w:cs="宋体"/>
          <w:sz w:val="24"/>
          <w:szCs w:val="24"/>
        </w:rPr>
        <w:t>3.发生疫情小班号要与精细化平台小班号保持一致。</w:t>
      </w:r>
    </w:p>
    <w:p>
      <w:pPr>
        <w:rPr>
          <w:rFonts w:ascii="宋体" w:hAnsi="宋体" w:cs="宋体"/>
          <w:sz w:val="24"/>
          <w:szCs w:val="24"/>
        </w:rPr>
        <w:sectPr>
          <w:pgSz w:w="16838" w:h="11906" w:orient="landscape"/>
          <w:pgMar w:top="1800" w:right="1440" w:bottom="1800" w:left="1440" w:header="851" w:footer="992" w:gutter="0"/>
          <w:cols w:space="425" w:num="1"/>
          <w:docGrid w:type="lines" w:linePitch="312" w:charSpace="0"/>
        </w:sectPr>
      </w:pPr>
    </w:p>
    <w:p>
      <w:pPr>
        <w:rPr>
          <w:rFonts w:ascii="宋体" w:hAnsi="宋体" w:cs="宋体"/>
          <w:sz w:val="24"/>
          <w:szCs w:val="24"/>
        </w:rPr>
      </w:pPr>
      <w:r>
        <w:rPr>
          <w:rFonts w:hint="eastAsia" w:ascii="宋体" w:hAnsi="宋体" w:cs="宋体"/>
          <w:sz w:val="24"/>
          <w:szCs w:val="24"/>
        </w:rPr>
        <w:t>附件4</w:t>
      </w:r>
    </w:p>
    <w:p>
      <w:pPr>
        <w:jc w:val="center"/>
        <w:rPr>
          <w:rFonts w:ascii="宋体" w:hAnsi="宋体" w:cs="宋体"/>
          <w:sz w:val="24"/>
          <w:szCs w:val="24"/>
        </w:rPr>
      </w:pPr>
      <w:r>
        <w:rPr>
          <w:rFonts w:hint="eastAsia" w:ascii="宋体" w:hAnsi="宋体" w:cs="宋体"/>
          <w:sz w:val="24"/>
          <w:szCs w:val="24"/>
        </w:rPr>
        <w:t>拟拔除疫区、疫点统计表</w:t>
      </w:r>
    </w:p>
    <w:tbl>
      <w:tblPr>
        <w:tblStyle w:val="8"/>
        <w:tblW w:w="8323" w:type="dxa"/>
        <w:jc w:val="center"/>
        <w:tblLayout w:type="autofit"/>
        <w:tblCellMar>
          <w:top w:w="0" w:type="dxa"/>
          <w:left w:w="108" w:type="dxa"/>
          <w:bottom w:w="0" w:type="dxa"/>
          <w:right w:w="108" w:type="dxa"/>
        </w:tblCellMar>
      </w:tblPr>
      <w:tblGrid>
        <w:gridCol w:w="1375"/>
        <w:gridCol w:w="1550"/>
        <w:gridCol w:w="1944"/>
        <w:gridCol w:w="2087"/>
        <w:gridCol w:w="1367"/>
      </w:tblGrid>
      <w:tr>
        <w:tblPrEx>
          <w:tblCellMar>
            <w:top w:w="0" w:type="dxa"/>
            <w:left w:w="108" w:type="dxa"/>
            <w:bottom w:w="0" w:type="dxa"/>
            <w:right w:w="108" w:type="dxa"/>
          </w:tblCellMar>
        </w:tblPrEx>
        <w:trPr>
          <w:trHeight w:val="1101"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市、州名称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县、市名称</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能实现拔除的疫区或疫点名称</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能实现无疫情的疫区或疫点名称</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是否有检测结果</w:t>
            </w: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39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24"/>
                <w:szCs w:val="24"/>
              </w:rPr>
            </w:pPr>
          </w:p>
        </w:tc>
      </w:tr>
    </w:tbl>
    <w:p>
      <w:pPr>
        <w:rPr>
          <w:rFonts w:ascii="宋体" w:hAnsi="宋体" w:cs="宋体"/>
          <w:sz w:val="24"/>
          <w:szCs w:val="24"/>
        </w:rPr>
      </w:pPr>
      <w:r>
        <w:rPr>
          <w:rFonts w:hint="eastAsia" w:ascii="宋体" w:hAnsi="宋体" w:cs="宋体"/>
          <w:sz w:val="24"/>
          <w:szCs w:val="24"/>
        </w:rPr>
        <w:t xml:space="preserve">填表人：                  审核人：              </w:t>
      </w:r>
    </w:p>
    <w:p>
      <w:pPr>
        <w:rPr>
          <w:rFonts w:ascii="宋体" w:hAnsi="宋体" w:cs="宋体"/>
          <w:sz w:val="24"/>
          <w:szCs w:val="24"/>
        </w:rPr>
      </w:pPr>
      <w:r>
        <w:rPr>
          <w:rFonts w:hint="eastAsia" w:ascii="宋体" w:hAnsi="宋体" w:cs="宋体"/>
          <w:sz w:val="24"/>
          <w:szCs w:val="24"/>
        </w:rPr>
        <w:t>填表说明：县、市（区）填报后上报市、州，市、州审核、汇总后上报。</w:t>
      </w:r>
    </w:p>
    <w:p>
      <w:pPr>
        <w:rPr>
          <w:rFonts w:hint="default"/>
          <w:sz w:val="24"/>
          <w:szCs w:val="24"/>
          <w:lang w:val="en-US" w:eastAsia="zh-CN"/>
        </w:rPr>
      </w:pPr>
      <w:r>
        <w:rPr>
          <w:rFonts w:hint="default"/>
          <w:sz w:val="24"/>
          <w:szCs w:val="24"/>
          <w:lang w:val="en-US" w:eastAsia="zh-CN"/>
        </w:rPr>
        <w:br w:type="page"/>
      </w:r>
    </w:p>
    <w:p>
      <w:pPr>
        <w:jc w:val="center"/>
        <w:rPr>
          <w:sz w:val="24"/>
        </w:rPr>
      </w:pPr>
      <w:r>
        <w:rPr>
          <w:rFonts w:hint="eastAsia"/>
          <w:sz w:val="24"/>
        </w:rPr>
        <w:t>供应商报名表</w:t>
      </w:r>
    </w:p>
    <w:p>
      <w:pPr>
        <w:rPr>
          <w:sz w:val="24"/>
        </w:rPr>
      </w:pPr>
      <w:r>
        <w:rPr>
          <w:rFonts w:hint="eastAsia"/>
          <w:sz w:val="24"/>
        </w:rPr>
        <w:t>项目编号：</w:t>
      </w:r>
      <w:r>
        <w:rPr>
          <w:rFonts w:hint="eastAsia"/>
          <w:sz w:val="24"/>
          <w:u w:val="single"/>
        </w:rPr>
        <w:t xml:space="preserve">                          </w:t>
      </w:r>
    </w:p>
    <w:p>
      <w:pPr>
        <w:widowControl/>
        <w:spacing w:line="400" w:lineRule="exact"/>
        <w:rPr>
          <w:sz w:val="24"/>
        </w:rPr>
      </w:pPr>
      <w:r>
        <w:rPr>
          <w:rFonts w:hint="eastAsia"/>
          <w:sz w:val="24"/>
        </w:rPr>
        <w:t>项目名称：</w:t>
      </w:r>
      <w:r>
        <w:rPr>
          <w:rFonts w:hint="eastAsia"/>
          <w:sz w:val="24"/>
          <w:u w:val="single"/>
        </w:rPr>
        <w:t xml:space="preserve"> </w:t>
      </w:r>
      <w:r>
        <w:rPr>
          <w:rFonts w:hint="eastAsia"/>
          <w:bCs/>
          <w:sz w:val="24"/>
          <w:u w:val="single"/>
        </w:rPr>
        <w:t xml:space="preserve">                         </w:t>
      </w:r>
      <w:r>
        <w:rPr>
          <w:rFonts w:hint="eastAsia"/>
          <w:sz w:val="24"/>
        </w:rPr>
        <w:t xml:space="preserve"> </w:t>
      </w:r>
    </w:p>
    <w:tbl>
      <w:tblPr>
        <w:tblStyle w:val="8"/>
        <w:tblW w:w="9668"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7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供应商名称（盖章）</w:t>
            </w:r>
          </w:p>
        </w:tc>
        <w:tc>
          <w:tcPr>
            <w:tcW w:w="753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联系人姓名</w:t>
            </w:r>
          </w:p>
        </w:tc>
        <w:tc>
          <w:tcPr>
            <w:tcW w:w="753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联系人电话（办公电话或手机）</w:t>
            </w:r>
          </w:p>
        </w:tc>
        <w:tc>
          <w:tcPr>
            <w:tcW w:w="753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联系人邮箱</w:t>
            </w:r>
          </w:p>
        </w:tc>
        <w:tc>
          <w:tcPr>
            <w:tcW w:w="753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29" w:type="dxa"/>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240" w:lineRule="auto"/>
              <w:jc w:val="both"/>
              <w:rPr>
                <w:rFonts w:ascii="宋体" w:hAnsi="宋体" w:cs="宋体"/>
                <w:kern w:val="0"/>
                <w:sz w:val="22"/>
                <w:szCs w:val="22"/>
              </w:rPr>
            </w:pPr>
            <w:r>
              <w:rPr>
                <w:rFonts w:hint="eastAsia" w:ascii="宋体" w:hAnsi="宋体" w:cs="宋体"/>
                <w:kern w:val="0"/>
                <w:sz w:val="22"/>
                <w:szCs w:val="22"/>
              </w:rPr>
              <w:t>供应商提供的报名资料</w:t>
            </w:r>
          </w:p>
        </w:tc>
        <w:tc>
          <w:tcPr>
            <w:tcW w:w="75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29" w:type="dxa"/>
            <w:vMerge w:val="continue"/>
            <w:tcBorders>
              <w:left w:val="single" w:color="auto" w:sz="4" w:space="0"/>
              <w:right w:val="single" w:color="auto" w:sz="4" w:space="0"/>
            </w:tcBorders>
            <w:noWrap w:val="0"/>
            <w:vAlign w:val="center"/>
          </w:tcPr>
          <w:p>
            <w:pPr>
              <w:widowControl/>
              <w:spacing w:line="240" w:lineRule="auto"/>
              <w:jc w:val="both"/>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2.近三年财务状况报告，依法缴纳税收和社会保障资金的相关材料。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29" w:type="dxa"/>
            <w:vMerge w:val="continue"/>
            <w:tcBorders>
              <w:left w:val="single" w:color="auto" w:sz="4" w:space="0"/>
              <w:right w:val="single" w:color="auto" w:sz="4" w:space="0"/>
            </w:tcBorders>
            <w:noWrap w:val="0"/>
            <w:vAlign w:val="center"/>
          </w:tcPr>
          <w:p>
            <w:pPr>
              <w:widowControl/>
              <w:spacing w:line="240" w:lineRule="auto"/>
              <w:jc w:val="both"/>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29" w:type="dxa"/>
            <w:vMerge w:val="continue"/>
            <w:tcBorders>
              <w:left w:val="single" w:color="auto" w:sz="4" w:space="0"/>
              <w:right w:val="single" w:color="auto" w:sz="4" w:space="0"/>
            </w:tcBorders>
            <w:noWrap w:val="0"/>
            <w:vAlign w:val="center"/>
          </w:tcPr>
          <w:p>
            <w:pPr>
              <w:widowControl/>
              <w:spacing w:line="240" w:lineRule="auto"/>
              <w:jc w:val="both"/>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29" w:type="dxa"/>
            <w:vMerge w:val="continue"/>
            <w:tcBorders>
              <w:left w:val="single" w:color="auto" w:sz="4" w:space="0"/>
              <w:right w:val="single" w:color="auto" w:sz="4" w:space="0"/>
            </w:tcBorders>
            <w:noWrap w:val="0"/>
            <w:vAlign w:val="center"/>
          </w:tcPr>
          <w:p>
            <w:pPr>
              <w:widowControl/>
              <w:spacing w:line="240" w:lineRule="auto"/>
              <w:jc w:val="both"/>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29" w:type="dxa"/>
            <w:vMerge w:val="continue"/>
            <w:tcBorders>
              <w:left w:val="single" w:color="auto" w:sz="4" w:space="0"/>
              <w:right w:val="single" w:color="auto" w:sz="4" w:space="0"/>
            </w:tcBorders>
            <w:noWrap w:val="0"/>
            <w:vAlign w:val="center"/>
          </w:tcPr>
          <w:p>
            <w:pPr>
              <w:widowControl/>
              <w:spacing w:line="240" w:lineRule="auto"/>
              <w:jc w:val="both"/>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6.未被列入失信被执行人、重大税收违法失信主体，未被列入政府采购严重违法失信行为记录名单。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29" w:type="dxa"/>
            <w:vMerge w:val="continue"/>
            <w:tcBorders>
              <w:left w:val="single" w:color="auto" w:sz="4" w:space="0"/>
              <w:right w:val="single" w:color="auto" w:sz="4" w:space="0"/>
            </w:tcBorders>
            <w:noWrap w:val="0"/>
            <w:vAlign w:val="center"/>
          </w:tcPr>
          <w:p>
            <w:pPr>
              <w:widowControl/>
              <w:spacing w:line="240" w:lineRule="auto"/>
              <w:jc w:val="both"/>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7.特定条件：</w:t>
            </w:r>
          </w:p>
          <w:p>
            <w:pPr>
              <w:spacing w:line="440" w:lineRule="exac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一包：（1）供应商必须具备有效的统一社会信用代码营业执照，经营范围必须包含航空喷洒（撒）或防治农林业病虫害；</w:t>
            </w:r>
          </w:p>
          <w:p>
            <w:pPr>
              <w:spacing w:line="440" w:lineRule="exact"/>
              <w:ind w:firstLine="220" w:firstLineChars="1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（2）供应商具有通用航空企业资格,提供经营许可证、商业非运输航空运营人运行合格证；</w:t>
            </w:r>
          </w:p>
          <w:p>
            <w:pPr>
              <w:spacing w:line="440" w:lineRule="exact"/>
              <w:ind w:firstLine="220" w:firstLineChars="1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3）供应商应自有2架(含)及以上载药量≥600公斤的直升机(直升机必须在本单位有效的《运行规范》内,提供《运行规范》关键页证明及直升机适航证、国籍登记证、电台执照复印件，且飞机三证的发给人和所有人名称与供应商名称一致)。</w:t>
            </w:r>
          </w:p>
          <w:p>
            <w:pPr>
              <w:spacing w:line="440" w:lineRule="exact"/>
              <w:ind w:firstLine="220" w:firstLineChars="1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4）供应商须投入不少于2名(含)飞行小时数1000小时(含)以上的飞行员,拟投入本项目的飞行员须具备民用航空商用驾驶员执照,且在本企业《运行规范》内（提供《运行规范》关键页证明、飞行员民用航空商用驾驶员执照、体检合格证、飞行小时数证明、劳动合同以及近半年内任意连续三个月供应商为其缴交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29" w:type="dxa"/>
            <w:tcBorders>
              <w:left w:val="single" w:color="auto" w:sz="4" w:space="0"/>
              <w:right w:val="single" w:color="auto" w:sz="4" w:space="0"/>
            </w:tcBorders>
            <w:noWrap w:val="0"/>
            <w:vAlign w:val="center"/>
          </w:tcPr>
          <w:p>
            <w:pPr>
              <w:widowControl/>
              <w:spacing w:line="240" w:lineRule="auto"/>
              <w:jc w:val="both"/>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w:t>
            </w:r>
            <w:bookmarkStart w:id="5" w:name="_GoBack"/>
            <w:r>
              <w:rPr>
                <w:rFonts w:hint="eastAsia" w:ascii="宋体" w:hAnsi="宋体" w:eastAsia="宋体" w:cs="宋体"/>
                <w:kern w:val="0"/>
                <w:sz w:val="22"/>
                <w:szCs w:val="22"/>
                <w:lang w:val="en-US" w:eastAsia="zh-CN" w:bidi="ar-SA"/>
              </w:rPr>
              <w:t>中小企业声明函</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129" w:type="dxa"/>
            <w:tcBorders>
              <w:left w:val="single" w:color="auto" w:sz="4" w:space="0"/>
              <w:bottom w:val="single" w:color="auto" w:sz="4" w:space="0"/>
              <w:right w:val="single" w:color="auto" w:sz="4" w:space="0"/>
            </w:tcBorders>
            <w:noWrap w:val="0"/>
            <w:vAlign w:val="center"/>
          </w:tcPr>
          <w:p>
            <w:pPr>
              <w:widowControl/>
              <w:spacing w:line="240" w:lineRule="auto"/>
              <w:jc w:val="both"/>
              <w:rPr>
                <w:rFonts w:ascii="宋体" w:hAnsi="宋体" w:cs="宋体"/>
                <w:b/>
                <w:kern w:val="0"/>
                <w:sz w:val="22"/>
                <w:szCs w:val="22"/>
              </w:rPr>
            </w:pPr>
            <w:r>
              <w:rPr>
                <w:rFonts w:hint="eastAsia" w:ascii="宋体" w:hAnsi="宋体" w:cs="宋体"/>
                <w:b/>
                <w:kern w:val="0"/>
                <w:sz w:val="22"/>
                <w:szCs w:val="22"/>
              </w:rPr>
              <w:t>供应商意见</w:t>
            </w:r>
          </w:p>
        </w:tc>
        <w:tc>
          <w:tcPr>
            <w:tcW w:w="75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color w:val="000000"/>
                <w:sz w:val="22"/>
                <w:szCs w:val="22"/>
              </w:rPr>
            </w:pPr>
            <w:r>
              <w:rPr>
                <w:rFonts w:hint="eastAsia"/>
                <w:color w:val="000000"/>
                <w:sz w:val="22"/>
                <w:szCs w:val="22"/>
              </w:rPr>
              <w:t>供应商可对本项目采购需求的公正性、专业性、合理性等提出自己正确的意见、建议等（可另页详细表述）。</w:t>
            </w:r>
          </w:p>
        </w:tc>
      </w:tr>
    </w:tbl>
    <w:p>
      <w:pPr>
        <w:rPr>
          <w:rFonts w:hint="eastAsia" w:ascii="宋体" w:hAnsi="宋体"/>
          <w:b/>
          <w:sz w:val="30"/>
          <w:szCs w:val="30"/>
          <w:lang w:val="zh-CN"/>
        </w:rPr>
      </w:pPr>
      <w:r>
        <w:rPr>
          <w:rFonts w:hint="eastAsia"/>
          <w:sz w:val="24"/>
        </w:rPr>
        <w:br w:type="page"/>
      </w:r>
    </w:p>
    <w:p>
      <w:pPr>
        <w:keepNext w:val="0"/>
        <w:keepLines w:val="0"/>
        <w:pageBreakBefore w:val="0"/>
        <w:kinsoku/>
        <w:wordWrap/>
        <w:overflowPunct/>
        <w:topLinePunct w:val="0"/>
        <w:bidi w:val="0"/>
        <w:adjustRightInd w:val="0"/>
        <w:snapToGrid w:val="0"/>
        <w:spacing w:before="0" w:after="0" w:line="360" w:lineRule="auto"/>
        <w:jc w:val="center"/>
        <w:textAlignment w:val="auto"/>
        <w:rPr>
          <w:rFonts w:ascii="宋体" w:hAnsi="宋体"/>
          <w:b/>
          <w:sz w:val="30"/>
          <w:szCs w:val="30"/>
        </w:rPr>
      </w:pPr>
      <w:r>
        <w:rPr>
          <w:rFonts w:hint="eastAsia" w:ascii="宋体" w:hAnsi="宋体"/>
          <w:b/>
          <w:sz w:val="30"/>
          <w:szCs w:val="30"/>
          <w:lang w:val="zh-CN"/>
        </w:rPr>
        <w:t>中小企业声明函</w:t>
      </w:r>
      <w:r>
        <w:rPr>
          <w:rFonts w:hint="eastAsia" w:ascii="宋体" w:hAnsi="宋体"/>
          <w:b/>
          <w:sz w:val="30"/>
          <w:szCs w:val="30"/>
        </w:rPr>
        <w:t>(工程、服务）</w:t>
      </w:r>
    </w:p>
    <w:p>
      <w:pPr>
        <w:keepNext w:val="0"/>
        <w:keepLines w:val="0"/>
        <w:pageBreakBefore w:val="0"/>
        <w:kinsoku/>
        <w:wordWrap/>
        <w:overflowPunct/>
        <w:topLinePunct w:val="0"/>
        <w:bidi w:val="0"/>
        <w:spacing w:before="0" w:after="0" w:line="360" w:lineRule="auto"/>
        <w:textAlignment w:val="auto"/>
        <w:rPr>
          <w:rFonts w:hint="eastAsia"/>
          <w:b/>
          <w:szCs w:val="28"/>
        </w:rPr>
      </w:pPr>
    </w:p>
    <w:p>
      <w:pPr>
        <w:keepNext w:val="0"/>
        <w:keepLines w:val="0"/>
        <w:pageBreakBefore w:val="0"/>
        <w:kinsoku/>
        <w:wordWrap/>
        <w:overflowPunct/>
        <w:topLinePunct w:val="0"/>
        <w:bidi w:val="0"/>
        <w:spacing w:before="0" w:after="0" w:line="360" w:lineRule="auto"/>
        <w:textAlignment w:val="auto"/>
        <w:rPr>
          <w:b/>
          <w:szCs w:val="28"/>
        </w:rPr>
      </w:pPr>
      <w:r>
        <w:rPr>
          <w:rFonts w:hint="eastAsia"/>
          <w:b/>
          <w:szCs w:val="28"/>
        </w:rPr>
        <w:t>采购人（或采购代理公司）：</w:t>
      </w:r>
    </w:p>
    <w:p>
      <w:pPr>
        <w:keepNext w:val="0"/>
        <w:keepLines w:val="0"/>
        <w:pageBreakBefore w:val="0"/>
        <w:kinsoku/>
        <w:wordWrap/>
        <w:overflowPunct/>
        <w:topLinePunct w:val="0"/>
        <w:bidi w:val="0"/>
        <w:spacing w:before="0" w:after="0" w:line="360" w:lineRule="auto"/>
        <w:ind w:firstLine="475" w:firstLineChars="198"/>
        <w:jc w:val="left"/>
        <w:textAlignment w:val="auto"/>
        <w:rPr>
          <w:rFonts w:hint="eastAsia" w:ascii="宋体" w:hAnsi="宋体"/>
          <w:sz w:val="24"/>
          <w:szCs w:val="21"/>
          <w:lang w:val="zh-CN"/>
        </w:rPr>
      </w:pPr>
      <w:r>
        <w:rPr>
          <w:rFonts w:hint="eastAsia" w:ascii="宋体" w:hAnsi="宋体"/>
          <w:sz w:val="24"/>
          <w:szCs w:val="21"/>
          <w:lang w:val="zh-CN"/>
        </w:rPr>
        <w:t>本公司（联合体）郑重声明，根据《政府采购促进中小企业发展管理办法》（财库﹝2020﹞46 号）的规定，本公司（联合体）</w:t>
      </w:r>
      <w:r>
        <w:rPr>
          <w:rFonts w:hint="eastAsia" w:ascii="宋体" w:hAnsi="宋体"/>
          <w:sz w:val="24"/>
          <w:szCs w:val="21"/>
        </w:rPr>
        <w:t>_________</w:t>
      </w:r>
      <w:r>
        <w:rPr>
          <w:rFonts w:hint="eastAsia" w:ascii="宋体" w:hAnsi="宋体"/>
          <w:sz w:val="24"/>
          <w:szCs w:val="21"/>
          <w:lang w:val="zh-CN"/>
        </w:rPr>
        <w:t>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keepNext w:val="0"/>
        <w:keepLines w:val="0"/>
        <w:pageBreakBefore w:val="0"/>
        <w:kinsoku/>
        <w:wordWrap/>
        <w:overflowPunct/>
        <w:topLinePunct w:val="0"/>
        <w:bidi w:val="0"/>
        <w:spacing w:before="0" w:after="0" w:line="360" w:lineRule="auto"/>
        <w:ind w:firstLine="475" w:firstLineChars="198"/>
        <w:jc w:val="left"/>
        <w:textAlignment w:val="auto"/>
        <w:rPr>
          <w:rFonts w:hint="eastAsia" w:ascii="宋体" w:hAnsi="宋体"/>
          <w:sz w:val="24"/>
          <w:szCs w:val="21"/>
          <w:lang w:val="zh-CN"/>
        </w:rPr>
      </w:pPr>
      <w:r>
        <w:rPr>
          <w:rFonts w:hint="eastAsia" w:ascii="宋体" w:hAnsi="宋体"/>
          <w:sz w:val="24"/>
          <w:szCs w:val="21"/>
          <w:lang w:val="zh-CN"/>
        </w:rPr>
        <w:t>（标的名称）</w:t>
      </w:r>
      <w:r>
        <w:rPr>
          <w:rFonts w:hint="eastAsia" w:ascii="宋体" w:hAnsi="宋体"/>
          <w:sz w:val="24"/>
          <w:szCs w:val="21"/>
        </w:rPr>
        <w:t>____________</w:t>
      </w:r>
      <w:r>
        <w:rPr>
          <w:rFonts w:hint="eastAsia" w:ascii="宋体" w:hAnsi="宋体"/>
          <w:sz w:val="24"/>
          <w:szCs w:val="21"/>
          <w:lang w:val="zh-CN"/>
        </w:rPr>
        <w:t>，属于</w:t>
      </w:r>
      <w:r>
        <w:rPr>
          <w:rFonts w:hint="eastAsia" w:ascii="宋体" w:hAnsi="宋体"/>
          <w:sz w:val="24"/>
          <w:szCs w:val="21"/>
        </w:rPr>
        <w:t>____________</w:t>
      </w:r>
      <w:r>
        <w:rPr>
          <w:rFonts w:hint="eastAsia" w:ascii="宋体" w:hAnsi="宋体"/>
          <w:sz w:val="24"/>
          <w:szCs w:val="21"/>
          <w:lang w:val="zh-CN"/>
        </w:rPr>
        <w:t>（采购文件中明确的所属行业）；</w:t>
      </w:r>
    </w:p>
    <w:p>
      <w:pPr>
        <w:keepNext w:val="0"/>
        <w:keepLines w:val="0"/>
        <w:pageBreakBefore w:val="0"/>
        <w:kinsoku/>
        <w:wordWrap/>
        <w:overflowPunct/>
        <w:topLinePunct w:val="0"/>
        <w:bidi w:val="0"/>
        <w:spacing w:before="0" w:after="0" w:line="360" w:lineRule="auto"/>
        <w:ind w:firstLine="475" w:firstLineChars="198"/>
        <w:jc w:val="left"/>
        <w:textAlignment w:val="auto"/>
        <w:rPr>
          <w:rFonts w:hint="eastAsia" w:ascii="宋体" w:hAnsi="宋体"/>
          <w:sz w:val="24"/>
          <w:szCs w:val="21"/>
          <w:lang w:val="zh-CN"/>
        </w:rPr>
      </w:pPr>
      <w:r>
        <w:rPr>
          <w:rFonts w:hint="eastAsia" w:ascii="宋体" w:hAnsi="宋体"/>
          <w:sz w:val="24"/>
          <w:szCs w:val="21"/>
          <w:lang w:val="zh-CN"/>
        </w:rPr>
        <w:t>承建（承接）企业为（企业名称）</w:t>
      </w:r>
      <w:r>
        <w:rPr>
          <w:rFonts w:hint="eastAsia" w:ascii="宋体" w:hAnsi="宋体"/>
          <w:sz w:val="24"/>
          <w:szCs w:val="21"/>
        </w:rPr>
        <w:t>_______</w:t>
      </w:r>
      <w:r>
        <w:rPr>
          <w:rFonts w:hint="eastAsia" w:ascii="宋体" w:hAnsi="宋体"/>
          <w:sz w:val="24"/>
          <w:szCs w:val="21"/>
          <w:lang w:val="zh-CN"/>
        </w:rPr>
        <w:t>，从业人员</w:t>
      </w:r>
      <w:r>
        <w:rPr>
          <w:rFonts w:hint="eastAsia" w:ascii="宋体" w:hAnsi="宋体"/>
          <w:sz w:val="24"/>
          <w:szCs w:val="21"/>
        </w:rPr>
        <w:t>___</w:t>
      </w:r>
      <w:r>
        <w:rPr>
          <w:rFonts w:hint="eastAsia" w:ascii="宋体" w:hAnsi="宋体"/>
          <w:sz w:val="24"/>
          <w:szCs w:val="21"/>
          <w:lang w:val="zh-CN"/>
        </w:rPr>
        <w:t>人，营业收入为</w:t>
      </w:r>
      <w:r>
        <w:rPr>
          <w:rFonts w:hint="eastAsia" w:ascii="宋体" w:hAnsi="宋体"/>
          <w:sz w:val="24"/>
          <w:szCs w:val="21"/>
        </w:rPr>
        <w:t>_____</w:t>
      </w:r>
      <w:r>
        <w:rPr>
          <w:rFonts w:hint="eastAsia" w:ascii="宋体" w:hAnsi="宋体"/>
          <w:sz w:val="24"/>
          <w:szCs w:val="21"/>
          <w:lang w:val="zh-CN"/>
        </w:rPr>
        <w:t>万元，资产总额为</w:t>
      </w:r>
      <w:r>
        <w:rPr>
          <w:rFonts w:hint="eastAsia" w:ascii="宋体" w:hAnsi="宋体"/>
          <w:sz w:val="24"/>
          <w:szCs w:val="21"/>
        </w:rPr>
        <w:t>________</w:t>
      </w:r>
      <w:r>
        <w:rPr>
          <w:rFonts w:hint="eastAsia" w:ascii="宋体" w:hAnsi="宋体"/>
          <w:sz w:val="24"/>
          <w:szCs w:val="21"/>
          <w:lang w:val="zh-CN"/>
        </w:rPr>
        <w:t>万元，属于</w:t>
      </w:r>
      <w:r>
        <w:rPr>
          <w:rFonts w:hint="eastAsia" w:ascii="宋体" w:hAnsi="宋体"/>
          <w:sz w:val="24"/>
          <w:szCs w:val="21"/>
        </w:rPr>
        <w:t>_____________</w:t>
      </w:r>
      <w:r>
        <w:rPr>
          <w:rFonts w:hint="eastAsia" w:ascii="宋体" w:hAnsi="宋体"/>
          <w:sz w:val="24"/>
          <w:szCs w:val="21"/>
          <w:lang w:val="zh-CN"/>
        </w:rPr>
        <w:t>（中型企业、小型企业、微型企业）；</w:t>
      </w:r>
    </w:p>
    <w:p>
      <w:pPr>
        <w:keepNext w:val="0"/>
        <w:keepLines w:val="0"/>
        <w:pageBreakBefore w:val="0"/>
        <w:kinsoku/>
        <w:wordWrap/>
        <w:overflowPunct/>
        <w:topLinePunct w:val="0"/>
        <w:bidi w:val="0"/>
        <w:spacing w:before="0" w:after="0" w:line="360" w:lineRule="auto"/>
        <w:ind w:firstLine="475" w:firstLineChars="198"/>
        <w:jc w:val="left"/>
        <w:textAlignment w:val="auto"/>
        <w:rPr>
          <w:rFonts w:hint="eastAsia" w:ascii="宋体" w:hAnsi="宋体"/>
          <w:sz w:val="24"/>
          <w:szCs w:val="21"/>
          <w:lang w:val="zh-CN"/>
        </w:rPr>
      </w:pPr>
      <w:r>
        <w:rPr>
          <w:rFonts w:hint="eastAsia" w:ascii="宋体" w:hAnsi="宋体"/>
          <w:sz w:val="24"/>
          <w:szCs w:val="21"/>
          <w:lang w:val="zh-CN"/>
        </w:rPr>
        <w:t>（标的名称）</w:t>
      </w:r>
      <w:r>
        <w:rPr>
          <w:rFonts w:hint="eastAsia" w:ascii="宋体" w:hAnsi="宋体"/>
          <w:sz w:val="24"/>
          <w:szCs w:val="21"/>
        </w:rPr>
        <w:t>____________</w:t>
      </w:r>
      <w:r>
        <w:rPr>
          <w:rFonts w:hint="eastAsia" w:ascii="宋体" w:hAnsi="宋体"/>
          <w:sz w:val="24"/>
          <w:szCs w:val="21"/>
          <w:lang w:val="zh-CN"/>
        </w:rPr>
        <w:t>，属于</w:t>
      </w:r>
      <w:r>
        <w:rPr>
          <w:rFonts w:hint="eastAsia" w:ascii="宋体" w:hAnsi="宋体"/>
          <w:sz w:val="24"/>
          <w:szCs w:val="21"/>
        </w:rPr>
        <w:t>____________</w:t>
      </w:r>
      <w:r>
        <w:rPr>
          <w:rFonts w:hint="eastAsia" w:ascii="宋体" w:hAnsi="宋体"/>
          <w:sz w:val="24"/>
          <w:szCs w:val="21"/>
          <w:lang w:val="zh-CN"/>
        </w:rPr>
        <w:t>（采购文件中明确的所属行业）；</w:t>
      </w:r>
    </w:p>
    <w:p>
      <w:pPr>
        <w:keepNext w:val="0"/>
        <w:keepLines w:val="0"/>
        <w:pageBreakBefore w:val="0"/>
        <w:kinsoku/>
        <w:wordWrap/>
        <w:overflowPunct/>
        <w:topLinePunct w:val="0"/>
        <w:bidi w:val="0"/>
        <w:spacing w:before="0" w:after="0" w:line="360" w:lineRule="auto"/>
        <w:ind w:firstLine="475" w:firstLineChars="198"/>
        <w:jc w:val="left"/>
        <w:textAlignment w:val="auto"/>
        <w:rPr>
          <w:rFonts w:hint="eastAsia" w:ascii="宋体" w:hAnsi="宋体"/>
          <w:sz w:val="24"/>
          <w:szCs w:val="21"/>
          <w:lang w:val="zh-CN"/>
        </w:rPr>
      </w:pPr>
      <w:r>
        <w:rPr>
          <w:rFonts w:hint="eastAsia" w:ascii="宋体" w:hAnsi="宋体"/>
          <w:sz w:val="24"/>
          <w:szCs w:val="21"/>
          <w:lang w:val="zh-CN"/>
        </w:rPr>
        <w:t>承建（承接）企业为（企业名称）</w:t>
      </w:r>
      <w:r>
        <w:rPr>
          <w:rFonts w:hint="eastAsia" w:ascii="宋体" w:hAnsi="宋体"/>
          <w:sz w:val="24"/>
          <w:szCs w:val="21"/>
        </w:rPr>
        <w:t>_______</w:t>
      </w:r>
      <w:r>
        <w:rPr>
          <w:rFonts w:hint="eastAsia" w:ascii="宋体" w:hAnsi="宋体"/>
          <w:sz w:val="24"/>
          <w:szCs w:val="21"/>
          <w:lang w:val="zh-CN"/>
        </w:rPr>
        <w:t>，从业人员</w:t>
      </w:r>
      <w:r>
        <w:rPr>
          <w:rFonts w:hint="eastAsia" w:ascii="宋体" w:hAnsi="宋体"/>
          <w:sz w:val="24"/>
          <w:szCs w:val="21"/>
        </w:rPr>
        <w:t>___</w:t>
      </w:r>
      <w:r>
        <w:rPr>
          <w:rFonts w:hint="eastAsia" w:ascii="宋体" w:hAnsi="宋体"/>
          <w:sz w:val="24"/>
          <w:szCs w:val="21"/>
          <w:lang w:val="zh-CN"/>
        </w:rPr>
        <w:t>人，营业收入为</w:t>
      </w:r>
      <w:r>
        <w:rPr>
          <w:rFonts w:hint="eastAsia" w:ascii="宋体" w:hAnsi="宋体"/>
          <w:sz w:val="24"/>
          <w:szCs w:val="21"/>
        </w:rPr>
        <w:t>_____</w:t>
      </w:r>
      <w:r>
        <w:rPr>
          <w:rFonts w:hint="eastAsia" w:ascii="宋体" w:hAnsi="宋体"/>
          <w:sz w:val="24"/>
          <w:szCs w:val="21"/>
          <w:lang w:val="zh-CN"/>
        </w:rPr>
        <w:t>万元，资产总额为</w:t>
      </w:r>
      <w:r>
        <w:rPr>
          <w:rFonts w:hint="eastAsia" w:ascii="宋体" w:hAnsi="宋体"/>
          <w:sz w:val="24"/>
          <w:szCs w:val="21"/>
        </w:rPr>
        <w:t>________</w:t>
      </w:r>
      <w:r>
        <w:rPr>
          <w:rFonts w:hint="eastAsia" w:ascii="宋体" w:hAnsi="宋体"/>
          <w:sz w:val="24"/>
          <w:szCs w:val="21"/>
          <w:lang w:val="zh-CN"/>
        </w:rPr>
        <w:t>万元，属于</w:t>
      </w:r>
      <w:r>
        <w:rPr>
          <w:rFonts w:hint="eastAsia" w:ascii="宋体" w:hAnsi="宋体"/>
          <w:sz w:val="24"/>
          <w:szCs w:val="21"/>
        </w:rPr>
        <w:t>_____________</w:t>
      </w:r>
      <w:r>
        <w:rPr>
          <w:rFonts w:hint="eastAsia" w:ascii="宋体" w:hAnsi="宋体"/>
          <w:sz w:val="24"/>
          <w:szCs w:val="21"/>
          <w:lang w:val="zh-CN"/>
        </w:rPr>
        <w:t>（中型企业、小型企业、微型企业）；</w:t>
      </w:r>
    </w:p>
    <w:p>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ascii="宋体" w:hAnsi="宋体"/>
          <w:sz w:val="24"/>
        </w:rPr>
      </w:pPr>
      <w:r>
        <w:rPr>
          <w:rFonts w:ascii="宋体" w:hAnsi="宋体"/>
          <w:sz w:val="24"/>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ascii="宋体" w:hAnsi="宋体"/>
          <w:sz w:val="24"/>
        </w:rPr>
      </w:pPr>
      <w:r>
        <w:rPr>
          <w:rFonts w:ascii="宋体" w:hAnsi="宋体"/>
          <w:sz w:val="24"/>
        </w:rPr>
        <w:t>本企业对上述声明内容的真实性负责。如有虚假，将依法承担相应责任。</w:t>
      </w:r>
    </w:p>
    <w:p>
      <w:pPr>
        <w:keepNext w:val="0"/>
        <w:keepLines w:val="0"/>
        <w:pageBreakBefore w:val="0"/>
        <w:kinsoku/>
        <w:wordWrap/>
        <w:overflowPunct/>
        <w:topLinePunct w:val="0"/>
        <w:bidi w:val="0"/>
        <w:adjustRightInd w:val="0"/>
        <w:snapToGrid w:val="0"/>
        <w:spacing w:before="0" w:after="0" w:line="360" w:lineRule="auto"/>
        <w:textAlignment w:val="auto"/>
        <w:rPr>
          <w:rFonts w:ascii="宋体" w:hAnsi="宋体"/>
        </w:rPr>
      </w:pPr>
    </w:p>
    <w:p>
      <w:pPr>
        <w:keepNext w:val="0"/>
        <w:keepLines w:val="0"/>
        <w:pageBreakBefore w:val="0"/>
        <w:kinsoku/>
        <w:wordWrap/>
        <w:overflowPunct/>
        <w:topLinePunct w:val="0"/>
        <w:bidi w:val="0"/>
        <w:spacing w:before="0" w:after="0" w:line="360" w:lineRule="auto"/>
        <w:ind w:firstLine="4560" w:firstLineChars="1900"/>
        <w:jc w:val="left"/>
        <w:textAlignment w:val="auto"/>
        <w:rPr>
          <w:rFonts w:ascii="宋体" w:hAnsi="宋体"/>
          <w:sz w:val="24"/>
          <w:szCs w:val="21"/>
          <w:lang w:val="zh-CN"/>
        </w:rPr>
      </w:pPr>
      <w:r>
        <w:rPr>
          <w:rFonts w:ascii="宋体" w:hAnsi="宋体"/>
          <w:sz w:val="24"/>
          <w:szCs w:val="21"/>
          <w:lang w:val="zh-CN"/>
        </w:rPr>
        <w:t>企业名称（盖章）：</w:t>
      </w:r>
    </w:p>
    <w:p>
      <w:pPr>
        <w:keepNext w:val="0"/>
        <w:keepLines w:val="0"/>
        <w:pageBreakBefore w:val="0"/>
        <w:kinsoku/>
        <w:wordWrap/>
        <w:overflowPunct/>
        <w:topLinePunct w:val="0"/>
        <w:bidi w:val="0"/>
        <w:spacing w:before="0" w:after="0" w:line="360" w:lineRule="auto"/>
        <w:ind w:firstLine="4560" w:firstLineChars="1900"/>
        <w:jc w:val="left"/>
        <w:textAlignment w:val="auto"/>
        <w:rPr>
          <w:rFonts w:ascii="宋体" w:hAnsi="宋体"/>
          <w:sz w:val="24"/>
          <w:szCs w:val="21"/>
          <w:lang w:val="zh-CN"/>
        </w:rPr>
      </w:pPr>
      <w:r>
        <w:rPr>
          <w:rFonts w:ascii="宋体" w:hAnsi="宋体"/>
          <w:sz w:val="24"/>
          <w:szCs w:val="21"/>
          <w:lang w:val="zh-CN"/>
        </w:rPr>
        <w:t>日</w:t>
      </w:r>
      <w:r>
        <w:rPr>
          <w:rFonts w:hint="eastAsia" w:ascii="宋体" w:hAnsi="宋体"/>
          <w:sz w:val="24"/>
          <w:szCs w:val="21"/>
        </w:rPr>
        <w:t xml:space="preserve">   </w:t>
      </w:r>
      <w:r>
        <w:rPr>
          <w:rFonts w:ascii="宋体" w:hAnsi="宋体"/>
          <w:sz w:val="24"/>
          <w:szCs w:val="21"/>
          <w:lang w:val="zh-CN"/>
        </w:rPr>
        <w:t>期：</w:t>
      </w:r>
    </w:p>
    <w:p>
      <w:pPr>
        <w:pStyle w:val="3"/>
        <w:keepNext w:val="0"/>
        <w:keepLines w:val="0"/>
        <w:pageBreakBefore w:val="0"/>
        <w:kinsoku/>
        <w:wordWrap/>
        <w:overflowPunct/>
        <w:topLinePunct w:val="0"/>
        <w:bidi w:val="0"/>
        <w:spacing w:before="0" w:after="0" w:line="360" w:lineRule="auto"/>
        <w:textAlignment w:val="auto"/>
        <w:rPr>
          <w:rFonts w:ascii="宋体" w:hAnsi="宋体" w:cs="宋体"/>
          <w:sz w:val="18"/>
          <w:szCs w:val="18"/>
        </w:rPr>
      </w:pPr>
    </w:p>
    <w:p>
      <w:pPr>
        <w:pStyle w:val="3"/>
        <w:keepNext w:val="0"/>
        <w:keepLines w:val="0"/>
        <w:pageBreakBefore w:val="0"/>
        <w:kinsoku/>
        <w:wordWrap/>
        <w:overflowPunct/>
        <w:topLinePunct w:val="0"/>
        <w:bidi w:val="0"/>
        <w:spacing w:before="0" w:after="0" w:line="360" w:lineRule="auto"/>
        <w:textAlignment w:val="auto"/>
        <w:rPr>
          <w:rFonts w:ascii="宋体" w:hAnsi="宋体" w:cs="宋体"/>
          <w:sz w:val="18"/>
          <w:szCs w:val="18"/>
        </w:rPr>
      </w:pPr>
    </w:p>
    <w:p>
      <w:pPr>
        <w:pStyle w:val="3"/>
        <w:keepNext w:val="0"/>
        <w:keepLines w:val="0"/>
        <w:pageBreakBefore w:val="0"/>
        <w:kinsoku/>
        <w:wordWrap/>
        <w:overflowPunct/>
        <w:topLinePunct w:val="0"/>
        <w:bidi w:val="0"/>
        <w:spacing w:before="0" w:after="0" w:line="360" w:lineRule="auto"/>
        <w:textAlignment w:val="auto"/>
        <w:rPr>
          <w:rFonts w:ascii="宋体" w:hAnsi="宋体" w:cs="宋体"/>
          <w:sz w:val="18"/>
          <w:szCs w:val="18"/>
        </w:rPr>
      </w:pPr>
    </w:p>
    <w:p>
      <w:pPr>
        <w:pStyle w:val="3"/>
        <w:keepNext w:val="0"/>
        <w:keepLines w:val="0"/>
        <w:pageBreakBefore w:val="0"/>
        <w:kinsoku/>
        <w:wordWrap/>
        <w:overflowPunct/>
        <w:topLinePunct w:val="0"/>
        <w:bidi w:val="0"/>
        <w:spacing w:before="0" w:after="0" w:line="360" w:lineRule="auto"/>
        <w:textAlignment w:val="auto"/>
        <w:rPr>
          <w:rFonts w:ascii="宋体" w:hAnsi="宋体" w:cs="宋体"/>
          <w:sz w:val="18"/>
          <w:szCs w:val="18"/>
        </w:rPr>
      </w:pPr>
      <w:r>
        <w:rPr>
          <w:rFonts w:ascii="宋体" w:hAnsi="宋体" w:cs="宋体"/>
          <w:sz w:val="18"/>
          <w:szCs w:val="18"/>
        </w:rPr>
        <w:t>从业人员、营业收入、资产总额填报上一年度数据，无上一年度数据的新成立企业可不填报。</w:t>
      </w:r>
    </w:p>
    <w:p>
      <w:pPr>
        <w:pStyle w:val="3"/>
        <w:spacing w:line="360" w:lineRule="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000000" w:themeColor="text1" w:sz="4" w:space="1"/>
      </w:pBdr>
      <w:tabs>
        <w:tab w:val="clear" w:pos="4153"/>
        <w:tab w:val="clear" w:pos="8306"/>
      </w:tabs>
      <w:ind w:right="-9"/>
      <w:jc w:val="both"/>
      <w:rPr>
        <w:rFonts w:asciiTheme="minorEastAsia" w:hAnsiTheme="minorEastAsia"/>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lZGQwYzAzMmMzN2ZmYzg1YzRkYjAwM2YxY2RlNDAifQ=="/>
  </w:docVars>
  <w:rsids>
    <w:rsidRoot w:val="00124D6F"/>
    <w:rsid w:val="00001620"/>
    <w:rsid w:val="00030332"/>
    <w:rsid w:val="00044834"/>
    <w:rsid w:val="000651E8"/>
    <w:rsid w:val="0009030C"/>
    <w:rsid w:val="000968A1"/>
    <w:rsid w:val="00117DF5"/>
    <w:rsid w:val="00122B47"/>
    <w:rsid w:val="00124D6F"/>
    <w:rsid w:val="00155A0F"/>
    <w:rsid w:val="00190DE2"/>
    <w:rsid w:val="00194FF0"/>
    <w:rsid w:val="00250761"/>
    <w:rsid w:val="002A6F7A"/>
    <w:rsid w:val="00301B50"/>
    <w:rsid w:val="00321336"/>
    <w:rsid w:val="00345FDE"/>
    <w:rsid w:val="0036356A"/>
    <w:rsid w:val="003A3E36"/>
    <w:rsid w:val="003A656C"/>
    <w:rsid w:val="003D4B1F"/>
    <w:rsid w:val="003F3342"/>
    <w:rsid w:val="0041395D"/>
    <w:rsid w:val="00432BF5"/>
    <w:rsid w:val="00432D0F"/>
    <w:rsid w:val="0043518B"/>
    <w:rsid w:val="00452783"/>
    <w:rsid w:val="004C2FF1"/>
    <w:rsid w:val="004F1578"/>
    <w:rsid w:val="00507E2B"/>
    <w:rsid w:val="005123E9"/>
    <w:rsid w:val="005205CC"/>
    <w:rsid w:val="005662BF"/>
    <w:rsid w:val="00580037"/>
    <w:rsid w:val="005A5297"/>
    <w:rsid w:val="0063792E"/>
    <w:rsid w:val="00652BED"/>
    <w:rsid w:val="0066272E"/>
    <w:rsid w:val="00671C53"/>
    <w:rsid w:val="006C4A3F"/>
    <w:rsid w:val="00701D75"/>
    <w:rsid w:val="0074144B"/>
    <w:rsid w:val="007608CA"/>
    <w:rsid w:val="0079370A"/>
    <w:rsid w:val="007B0612"/>
    <w:rsid w:val="007E461F"/>
    <w:rsid w:val="0085150B"/>
    <w:rsid w:val="00862BDA"/>
    <w:rsid w:val="00875839"/>
    <w:rsid w:val="008F252B"/>
    <w:rsid w:val="009353B3"/>
    <w:rsid w:val="00983163"/>
    <w:rsid w:val="0098508C"/>
    <w:rsid w:val="00A325CD"/>
    <w:rsid w:val="00A430B9"/>
    <w:rsid w:val="00A93B2F"/>
    <w:rsid w:val="00A9465C"/>
    <w:rsid w:val="00AA2860"/>
    <w:rsid w:val="00AA2FE8"/>
    <w:rsid w:val="00B00818"/>
    <w:rsid w:val="00B06362"/>
    <w:rsid w:val="00B450EA"/>
    <w:rsid w:val="00B62993"/>
    <w:rsid w:val="00B755E7"/>
    <w:rsid w:val="00B81976"/>
    <w:rsid w:val="00BA62A8"/>
    <w:rsid w:val="00BA6ED1"/>
    <w:rsid w:val="00BE08E6"/>
    <w:rsid w:val="00BF4361"/>
    <w:rsid w:val="00C14BBA"/>
    <w:rsid w:val="00C24121"/>
    <w:rsid w:val="00C72767"/>
    <w:rsid w:val="00C80546"/>
    <w:rsid w:val="00C82A2B"/>
    <w:rsid w:val="00C84374"/>
    <w:rsid w:val="00C9435B"/>
    <w:rsid w:val="00CA7729"/>
    <w:rsid w:val="00CB0F85"/>
    <w:rsid w:val="00CC3980"/>
    <w:rsid w:val="00CD1E04"/>
    <w:rsid w:val="00CF5B3F"/>
    <w:rsid w:val="00D25832"/>
    <w:rsid w:val="00D44FD5"/>
    <w:rsid w:val="00D46BED"/>
    <w:rsid w:val="00D62190"/>
    <w:rsid w:val="00D849F2"/>
    <w:rsid w:val="00D856A3"/>
    <w:rsid w:val="00DA0700"/>
    <w:rsid w:val="00DA452E"/>
    <w:rsid w:val="00DC1C06"/>
    <w:rsid w:val="00DC2BE0"/>
    <w:rsid w:val="00DD7CB4"/>
    <w:rsid w:val="00DF251F"/>
    <w:rsid w:val="00E37FD6"/>
    <w:rsid w:val="00E66AD4"/>
    <w:rsid w:val="00E9049A"/>
    <w:rsid w:val="00EB176B"/>
    <w:rsid w:val="00F6506A"/>
    <w:rsid w:val="00F81C0A"/>
    <w:rsid w:val="00FA42F4"/>
    <w:rsid w:val="00FB3742"/>
    <w:rsid w:val="00FE7437"/>
    <w:rsid w:val="00FF6E1B"/>
    <w:rsid w:val="07E06245"/>
    <w:rsid w:val="0C006EB6"/>
    <w:rsid w:val="11733BE2"/>
    <w:rsid w:val="13286CF2"/>
    <w:rsid w:val="1BD46C1E"/>
    <w:rsid w:val="1E2C7696"/>
    <w:rsid w:val="201711B8"/>
    <w:rsid w:val="22477C4F"/>
    <w:rsid w:val="253736A0"/>
    <w:rsid w:val="2A293624"/>
    <w:rsid w:val="36A51885"/>
    <w:rsid w:val="36AF4EB1"/>
    <w:rsid w:val="380B0C4E"/>
    <w:rsid w:val="38204163"/>
    <w:rsid w:val="38E0021C"/>
    <w:rsid w:val="42E61C5A"/>
    <w:rsid w:val="48210A61"/>
    <w:rsid w:val="48322798"/>
    <w:rsid w:val="493127F7"/>
    <w:rsid w:val="5C1D3C7A"/>
    <w:rsid w:val="5D436243"/>
    <w:rsid w:val="76DD4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8296"/>
      </w:tabs>
      <w:outlineLvl w:val="0"/>
    </w:pPr>
    <w:rPr>
      <w:rFonts w:eastAsia="仿宋_GB2312"/>
      <w:b/>
      <w:sz w:val="24"/>
      <w:szCs w:val="20"/>
    </w:rPr>
  </w:style>
  <w:style w:type="paragraph" w:styleId="3">
    <w:name w:val="Body Text"/>
    <w:basedOn w:val="1"/>
    <w:next w:val="1"/>
    <w:link w:val="11"/>
    <w:semiHidden/>
    <w:unhideWhenUsed/>
    <w:qFormat/>
    <w:uiPriority w:val="99"/>
    <w:pPr>
      <w:spacing w:after="120"/>
    </w:p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unhideWhenUsed/>
    <w:qFormat/>
    <w:uiPriority w:val="99"/>
    <w:pPr>
      <w:spacing w:after="120" w:line="360" w:lineRule="atLeast"/>
      <w:ind w:firstLine="720" w:firstLineChars="300"/>
    </w:pPr>
    <w:rPr>
      <w:sz w:val="24"/>
    </w:rPr>
  </w:style>
  <w:style w:type="paragraph" w:styleId="7">
    <w:name w:val="Normal (Web)"/>
    <w:basedOn w:val="1"/>
    <w:qFormat/>
    <w:uiPriority w:val="0"/>
    <w:pPr>
      <w:spacing w:beforeAutospacing="1" w:afterAutospacing="1"/>
      <w:jc w:val="left"/>
    </w:pPr>
    <w:rPr>
      <w:rFonts w:ascii="Times New Roman" w:hAnsi="Times New Roman" w:eastAsia="宋体" w:cs="Times New Roman"/>
      <w:kern w:val="0"/>
      <w:sz w:val="24"/>
      <w:szCs w:val="20"/>
    </w:r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character" w:customStyle="1" w:styleId="11">
    <w:name w:val="正文文本 字符"/>
    <w:basedOn w:val="9"/>
    <w:link w:val="3"/>
    <w:semiHidden/>
    <w:qFormat/>
    <w:uiPriority w:val="99"/>
    <w:rPr>
      <w:rFonts w:eastAsiaTheme="minorHAnsi"/>
      <w:kern w:val="0"/>
      <w:sz w:val="22"/>
      <w:lang w:eastAsia="en-US"/>
    </w:rPr>
  </w:style>
  <w:style w:type="character" w:customStyle="1" w:styleId="12">
    <w:name w:val="页眉 字符"/>
    <w:basedOn w:val="9"/>
    <w:link w:val="5"/>
    <w:qFormat/>
    <w:uiPriority w:val="99"/>
    <w:rPr>
      <w:rFonts w:eastAsiaTheme="minorHAnsi"/>
      <w:kern w:val="0"/>
      <w:sz w:val="18"/>
      <w:szCs w:val="18"/>
      <w:lang w:eastAsia="en-US"/>
    </w:rPr>
  </w:style>
  <w:style w:type="character" w:customStyle="1" w:styleId="13">
    <w:name w:val="页脚 字符"/>
    <w:basedOn w:val="9"/>
    <w:link w:val="4"/>
    <w:qFormat/>
    <w:uiPriority w:val="99"/>
    <w:rPr>
      <w:rFonts w:eastAsiaTheme="minorHAnsi"/>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7305</Words>
  <Characters>7729</Characters>
  <Lines>24</Lines>
  <Paragraphs>6</Paragraphs>
  <TotalTime>4</TotalTime>
  <ScaleCrop>false</ScaleCrop>
  <LinksUpToDate>false</LinksUpToDate>
  <CharactersWithSpaces>7988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2023-05-18T01:39:00Z</dcterms:created>
  <dc:creator>Administrator</dc:creator>
  <cp:lastModifiedBy>Administrator</cp:lastModifiedBy>
  <cp:lastPrinted>2023-05-18T07:51:00Z</cp:lastPrinted>
  <dcterms:modified xsi:type="dcterms:W3CDTF">2023-05-24T03:35:49Z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0ADCF2C2DB87416FAC431251BCEA1DCF_13</vt:lpwstr>
  </property>
</Properties>
</file>