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olor w:val="auto"/>
          <w:highlight w:val="none"/>
        </w:rPr>
      </w:pPr>
    </w:p>
    <w:p>
      <w:pPr>
        <w:pStyle w:val="2"/>
        <w:rPr>
          <w:rFonts w:ascii="仿宋" w:hAnsi="仿宋" w:eastAsia="仿宋" w:cs="Times New Roman"/>
          <w:color w:val="auto"/>
          <w:highlight w:val="none"/>
        </w:rPr>
      </w:pPr>
    </w:p>
    <w:p>
      <w:pPr>
        <w:pStyle w:val="2"/>
        <w:spacing w:before="120" w:beforeLines="50" w:after="120" w:afterLines="50" w:line="700" w:lineRule="exact"/>
        <w:jc w:val="center"/>
        <w:rPr>
          <w:rFonts w:hint="eastAsia" w:ascii="仿宋" w:hAnsi="仿宋" w:eastAsia="仿宋" w:cs="仿宋"/>
          <w:b/>
          <w:color w:val="auto"/>
          <w:sz w:val="44"/>
          <w:szCs w:val="44"/>
          <w:highlight w:val="none"/>
          <w:lang w:eastAsia="zh-CN"/>
        </w:rPr>
      </w:pPr>
    </w:p>
    <w:p>
      <w:pPr>
        <w:pStyle w:val="2"/>
        <w:spacing w:before="120" w:beforeLines="50" w:after="120" w:afterLines="50" w:line="7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湖州市直属水利工程运行管理所</w:t>
      </w:r>
    </w:p>
    <w:p>
      <w:pPr>
        <w:pStyle w:val="2"/>
        <w:spacing w:before="120" w:beforeLines="50" w:after="120" w:afterLines="50" w:line="7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2023-2024年度白蚁普查及灭治服务项目</w:t>
      </w:r>
    </w:p>
    <w:p>
      <w:pPr>
        <w:pStyle w:val="2"/>
        <w:jc w:val="center"/>
        <w:rPr>
          <w:rFonts w:hint="eastAsia" w:ascii="仿宋" w:hAnsi="仿宋" w:eastAsia="仿宋" w:cs="Times New Roman"/>
          <w:color w:val="auto"/>
          <w:sz w:val="30"/>
          <w:szCs w:val="30"/>
          <w:highlight w:val="none"/>
        </w:rPr>
      </w:pPr>
    </w:p>
    <w:p>
      <w:pPr>
        <w:pStyle w:val="2"/>
        <w:jc w:val="center"/>
        <w:rPr>
          <w:rFonts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rPr>
        <w:t>（财政审批编号:</w:t>
      </w:r>
      <w:r>
        <w:rPr>
          <w:rFonts w:hint="eastAsia" w:ascii="仿宋" w:hAnsi="仿宋" w:eastAsia="仿宋" w:cs="Times New Roman"/>
          <w:color w:val="auto"/>
          <w:sz w:val="30"/>
          <w:szCs w:val="30"/>
          <w:highlight w:val="none"/>
          <w:lang w:eastAsia="zh-CN"/>
        </w:rPr>
        <w:t>湖财采确临</w:t>
      </w:r>
      <w:r>
        <w:rPr>
          <w:rFonts w:hint="eastAsia" w:ascii="仿宋" w:hAnsi="仿宋" w:eastAsia="仿宋" w:cs="Times New Roman"/>
          <w:color w:val="auto"/>
          <w:sz w:val="30"/>
          <w:szCs w:val="30"/>
          <w:highlight w:val="none"/>
          <w:lang w:val="en-US" w:eastAsia="zh-CN"/>
        </w:rPr>
        <w:t>[2023]4212号</w:t>
      </w:r>
      <w:r>
        <w:rPr>
          <w:rFonts w:ascii="仿宋" w:hAnsi="仿宋" w:eastAsia="仿宋" w:cs="Times New Roman"/>
          <w:color w:val="auto"/>
          <w:sz w:val="30"/>
          <w:szCs w:val="30"/>
          <w:highlight w:val="none"/>
        </w:rPr>
        <w:t>）</w:t>
      </w:r>
    </w:p>
    <w:p>
      <w:pPr>
        <w:pStyle w:val="2"/>
        <w:jc w:val="center"/>
        <w:rPr>
          <w:rFonts w:ascii="仿宋" w:hAnsi="仿宋" w:eastAsia="仿宋" w:cs="Times New Roman"/>
          <w:color w:val="auto"/>
          <w:sz w:val="30"/>
          <w:szCs w:val="30"/>
          <w:highlight w:val="none"/>
        </w:rPr>
      </w:pPr>
    </w:p>
    <w:p>
      <w:pPr>
        <w:pStyle w:val="2"/>
        <w:jc w:val="center"/>
        <w:rPr>
          <w:rFonts w:ascii="仿宋" w:hAnsi="仿宋" w:eastAsia="仿宋" w:cs="Times New Roman"/>
          <w:color w:val="auto"/>
          <w:sz w:val="72"/>
          <w:szCs w:val="72"/>
          <w:highlight w:val="none"/>
        </w:rPr>
      </w:pPr>
    </w:p>
    <w:p>
      <w:pPr>
        <w:pStyle w:val="2"/>
        <w:jc w:val="center"/>
        <w:rPr>
          <w:rFonts w:ascii="仿宋" w:hAnsi="仿宋" w:eastAsia="仿宋" w:cs="Times New Roman"/>
          <w:color w:val="auto"/>
          <w:sz w:val="72"/>
          <w:szCs w:val="72"/>
          <w:highlight w:val="none"/>
        </w:rPr>
      </w:pPr>
      <w:r>
        <w:rPr>
          <w:rFonts w:ascii="仿宋" w:hAnsi="仿宋" w:eastAsia="仿宋" w:cs="Times New Roman"/>
          <w:color w:val="auto"/>
          <w:sz w:val="72"/>
          <w:szCs w:val="72"/>
          <w:highlight w:val="none"/>
        </w:rPr>
        <w:t>公开招标文件</w:t>
      </w:r>
    </w:p>
    <w:p>
      <w:pPr>
        <w:pStyle w:val="2"/>
        <w:jc w:val="center"/>
        <w:rPr>
          <w:rFonts w:ascii="仿宋" w:hAnsi="仿宋" w:eastAsia="仿宋" w:cs="Times New Roman"/>
          <w:color w:val="auto"/>
          <w:sz w:val="21"/>
          <w:szCs w:val="21"/>
          <w:highlight w:val="none"/>
        </w:rPr>
      </w:pPr>
      <w:r>
        <w:rPr>
          <w:rFonts w:ascii="仿宋" w:hAnsi="仿宋" w:eastAsia="仿宋" w:cs="Times New Roman"/>
          <w:color w:val="auto"/>
          <w:sz w:val="21"/>
          <w:szCs w:val="21"/>
          <w:highlight w:val="none"/>
        </w:rPr>
        <w:t>（全流程电子）</w:t>
      </w:r>
    </w:p>
    <w:p>
      <w:pPr>
        <w:pStyle w:val="2"/>
        <w:jc w:val="both"/>
        <w:rPr>
          <w:rFonts w:ascii="仿宋" w:hAnsi="仿宋" w:eastAsia="仿宋" w:cs="Times New Roman"/>
          <w:color w:val="auto"/>
          <w:sz w:val="72"/>
          <w:szCs w:val="72"/>
          <w:highlight w:val="none"/>
        </w:rPr>
      </w:pPr>
    </w:p>
    <w:p>
      <w:pPr>
        <w:pStyle w:val="2"/>
        <w:jc w:val="both"/>
        <w:rPr>
          <w:rFonts w:ascii="仿宋" w:hAnsi="仿宋" w:eastAsia="仿宋" w:cs="Times New Roman"/>
          <w:color w:val="auto"/>
          <w:sz w:val="72"/>
          <w:szCs w:val="72"/>
          <w:highlight w:val="none"/>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 w:hAnsi="仿宋" w:eastAsia="仿宋" w:cs="Times New Roman"/>
          <w:color w:val="auto"/>
          <w:sz w:val="30"/>
          <w:szCs w:val="30"/>
          <w:highlight w:val="none"/>
        </w:rPr>
      </w:pPr>
      <w:r>
        <w:rPr>
          <w:rFonts w:ascii="仿宋" w:hAnsi="仿宋" w:eastAsia="仿宋" w:cs="Times New Roman"/>
          <w:color w:val="auto"/>
          <w:sz w:val="30"/>
          <w:szCs w:val="30"/>
          <w:highlight w:val="none"/>
        </w:rPr>
        <w:t>项目编号：</w:t>
      </w:r>
      <w:r>
        <w:rPr>
          <w:rFonts w:hint="eastAsia" w:ascii="仿宋" w:hAnsi="仿宋" w:eastAsia="仿宋" w:cs="Times New Roman"/>
          <w:color w:val="auto"/>
          <w:sz w:val="30"/>
          <w:szCs w:val="30"/>
          <w:highlight w:val="none"/>
          <w:u w:val="single"/>
        </w:rPr>
        <w:t>仁皇招字</w:t>
      </w:r>
      <w:r>
        <w:rPr>
          <w:rFonts w:hint="eastAsia" w:ascii="仿宋" w:hAnsi="仿宋" w:eastAsia="仿宋" w:cs="Times New Roman"/>
          <w:color w:val="auto"/>
          <w:sz w:val="30"/>
          <w:szCs w:val="30"/>
          <w:highlight w:val="none"/>
          <w:u w:val="single"/>
          <w:lang w:val="en-US" w:eastAsia="zh-CN"/>
        </w:rPr>
        <w:t>2023115</w:t>
      </w:r>
      <w:r>
        <w:rPr>
          <w:rFonts w:hint="eastAsia" w:ascii="仿宋" w:hAnsi="仿宋" w:eastAsia="仿宋" w:cs="Times New Roman"/>
          <w:color w:val="auto"/>
          <w:sz w:val="30"/>
          <w:szCs w:val="30"/>
          <w:highlight w:val="none"/>
          <w:u w:val="single"/>
        </w:rPr>
        <w:t xml:space="preserve">号                            </w:t>
      </w:r>
      <w:r>
        <w:rPr>
          <w:rFonts w:hint="eastAsia" w:ascii="仿宋" w:hAnsi="仿宋" w:eastAsia="仿宋" w:cs="Times New Roman"/>
          <w:color w:val="auto"/>
          <w:sz w:val="30"/>
          <w:szCs w:val="30"/>
          <w:highlight w:val="none"/>
          <w:u w:val="single"/>
          <w:lang w:val="en-US" w:eastAsia="zh-CN"/>
        </w:rPr>
        <w:t xml:space="preserve">       </w:t>
      </w:r>
      <w:r>
        <w:rPr>
          <w:rFonts w:hint="eastAsia" w:ascii="仿宋" w:hAnsi="仿宋" w:eastAsia="仿宋" w:cs="Times New Roman"/>
          <w:color w:val="auto"/>
          <w:sz w:val="30"/>
          <w:szCs w:val="30"/>
          <w:highlight w:val="none"/>
          <w:u w:val="single"/>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before="120" w:beforeLines="50" w:after="120" w:afterLines="50" w:line="600" w:lineRule="exact"/>
        <w:jc w:val="both"/>
        <w:textAlignment w:val="auto"/>
        <w:rPr>
          <w:rFonts w:hint="default" w:ascii="仿宋" w:hAnsi="仿宋" w:eastAsia="仿宋" w:cs="Times New Roman"/>
          <w:color w:val="auto"/>
          <w:sz w:val="30"/>
          <w:szCs w:val="30"/>
          <w:highlight w:val="none"/>
          <w:u w:val="single"/>
          <w:lang w:val="en-US" w:eastAsia="zh-CN"/>
        </w:rPr>
      </w:pPr>
      <w:r>
        <w:rPr>
          <w:rFonts w:ascii="仿宋" w:hAnsi="仿宋" w:eastAsia="仿宋" w:cs="Times New Roman"/>
          <w:color w:val="auto"/>
          <w:sz w:val="30"/>
          <w:szCs w:val="30"/>
          <w:highlight w:val="none"/>
        </w:rPr>
        <w:t>项目名称：</w:t>
      </w:r>
      <w:r>
        <w:rPr>
          <w:rFonts w:hint="eastAsia" w:ascii="仿宋" w:hAnsi="仿宋" w:eastAsia="仿宋" w:cs="Times New Roman"/>
          <w:color w:val="auto"/>
          <w:sz w:val="30"/>
          <w:szCs w:val="30"/>
          <w:highlight w:val="none"/>
          <w:u w:val="single"/>
          <w:lang w:eastAsia="zh-CN"/>
        </w:rPr>
        <w:t>2023-2024年度白蚁普查及灭治服务项目</w:t>
      </w:r>
      <w:r>
        <w:rPr>
          <w:rFonts w:hint="eastAsia" w:ascii="仿宋" w:hAnsi="仿宋" w:eastAsia="仿宋" w:cs="Times New Roman"/>
          <w:color w:val="auto"/>
          <w:sz w:val="30"/>
          <w:szCs w:val="30"/>
          <w:highlight w:val="none"/>
          <w:u w:val="single"/>
          <w:lang w:val="en-US" w:eastAsia="zh-CN"/>
        </w:rPr>
        <w:t xml:space="preserve">      </w:t>
      </w:r>
      <w:r>
        <w:rPr>
          <w:rFonts w:hint="eastAsia" w:ascii="仿宋" w:hAnsi="仿宋" w:eastAsia="仿宋" w:cs="Times New Roman"/>
          <w:color w:val="auto"/>
          <w:sz w:val="30"/>
          <w:szCs w:val="30"/>
          <w:highlight w:val="none"/>
          <w:u w:val="single"/>
        </w:rPr>
        <w:t xml:space="preserve">  </w:t>
      </w:r>
      <w:r>
        <w:rPr>
          <w:rFonts w:hint="eastAsia" w:ascii="仿宋" w:hAnsi="仿宋" w:eastAsia="仿宋" w:cs="Times New Roman"/>
          <w:color w:val="auto"/>
          <w:sz w:val="30"/>
          <w:szCs w:val="30"/>
          <w:highlight w:val="none"/>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before="120" w:beforeLines="50" w:after="120" w:afterLines="50" w:line="600" w:lineRule="exact"/>
        <w:jc w:val="both"/>
        <w:textAlignment w:val="auto"/>
        <w:rPr>
          <w:rFonts w:hint="eastAsia" w:ascii="仿宋" w:hAnsi="仿宋" w:eastAsia="仿宋" w:cs="Times New Roman"/>
          <w:color w:val="auto"/>
          <w:sz w:val="30"/>
          <w:szCs w:val="30"/>
          <w:highlight w:val="none"/>
          <w:u w:val="single"/>
          <w:lang w:eastAsia="zh-CN"/>
        </w:rPr>
      </w:pPr>
      <w:r>
        <w:rPr>
          <w:rFonts w:hint="eastAsia" w:ascii="仿宋" w:hAnsi="仿宋" w:eastAsia="仿宋" w:cs="Times New Roman"/>
          <w:color w:val="auto"/>
          <w:sz w:val="30"/>
          <w:szCs w:val="30"/>
          <w:highlight w:val="none"/>
        </w:rPr>
        <w:t xml:space="preserve">采 购 </w:t>
      </w:r>
      <w:r>
        <w:rPr>
          <w:rFonts w:ascii="仿宋" w:hAnsi="仿宋" w:eastAsia="仿宋" w:cs="Times New Roman"/>
          <w:color w:val="auto"/>
          <w:sz w:val="30"/>
          <w:szCs w:val="30"/>
          <w:highlight w:val="none"/>
        </w:rPr>
        <w:t>人：</w:t>
      </w:r>
      <w:r>
        <w:rPr>
          <w:rFonts w:hint="eastAsia" w:ascii="仿宋" w:hAnsi="仿宋" w:eastAsia="仿宋" w:cs="Times New Roman"/>
          <w:color w:val="auto"/>
          <w:sz w:val="30"/>
          <w:szCs w:val="30"/>
          <w:highlight w:val="none"/>
          <w:u w:val="single"/>
          <w:lang w:eastAsia="zh-CN"/>
        </w:rPr>
        <w:t xml:space="preserve">湖州市直属水利工程运行管理所 </w:t>
      </w:r>
      <w:r>
        <w:rPr>
          <w:rFonts w:hint="eastAsia" w:ascii="仿宋" w:hAnsi="仿宋" w:eastAsia="仿宋" w:cs="Times New Roman"/>
          <w:color w:val="auto"/>
          <w:sz w:val="30"/>
          <w:szCs w:val="30"/>
          <w:highlight w:val="none"/>
          <w:u w:val="single"/>
          <w:lang w:val="en-US" w:eastAsia="zh-CN"/>
        </w:rPr>
        <w:t xml:space="preserve">                  </w:t>
      </w:r>
      <w:r>
        <w:rPr>
          <w:rFonts w:hint="eastAsia" w:ascii="仿宋" w:hAnsi="仿宋" w:eastAsia="仿宋" w:cs="Times New Roman"/>
          <w:color w:val="auto"/>
          <w:sz w:val="30"/>
          <w:szCs w:val="30"/>
          <w:highlight w:val="none"/>
          <w:u w:val="single"/>
          <w:lang w:eastAsia="zh-CN"/>
        </w:rPr>
        <w:t xml:space="preserve">（盖章） </w:t>
      </w: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 w:hAnsi="仿宋" w:eastAsia="仿宋" w:cs="Times New Roman"/>
          <w:color w:val="auto"/>
          <w:sz w:val="30"/>
          <w:szCs w:val="30"/>
          <w:highlight w:val="none"/>
          <w:u w:val="single"/>
        </w:rPr>
      </w:pPr>
      <w:r>
        <w:rPr>
          <w:rFonts w:ascii="仿宋" w:hAnsi="仿宋" w:eastAsia="仿宋" w:cs="Times New Roman"/>
          <w:color w:val="auto"/>
          <w:sz w:val="30"/>
          <w:szCs w:val="30"/>
          <w:highlight w:val="none"/>
        </w:rPr>
        <w:t>代理机构：</w:t>
      </w:r>
      <w:r>
        <w:rPr>
          <w:rFonts w:hint="eastAsia" w:ascii="仿宋" w:hAnsi="仿宋" w:eastAsia="仿宋" w:cs="Times New Roman"/>
          <w:color w:val="auto"/>
          <w:sz w:val="30"/>
          <w:szCs w:val="30"/>
          <w:highlight w:val="none"/>
          <w:u w:val="single"/>
        </w:rPr>
        <w:t xml:space="preserve">湖州市仁皇工程咨询有限公司        </w:t>
      </w:r>
      <w:r>
        <w:rPr>
          <w:rFonts w:hint="eastAsia" w:ascii="仿宋" w:hAnsi="仿宋" w:eastAsia="仿宋" w:cs="Times New Roman"/>
          <w:color w:val="auto"/>
          <w:sz w:val="30"/>
          <w:szCs w:val="30"/>
          <w:highlight w:val="none"/>
          <w:u w:val="single"/>
          <w:lang w:val="en-US" w:eastAsia="zh-CN"/>
        </w:rPr>
        <w:t xml:space="preserve">           </w:t>
      </w:r>
      <w:r>
        <w:rPr>
          <w:rFonts w:hint="eastAsia" w:ascii="仿宋" w:hAnsi="仿宋" w:eastAsia="仿宋" w:cs="Times New Roman"/>
          <w:color w:val="auto"/>
          <w:sz w:val="30"/>
          <w:szCs w:val="30"/>
          <w:highlight w:val="none"/>
          <w:u w:val="single"/>
        </w:rPr>
        <w:t xml:space="preserve"> </w:t>
      </w:r>
      <w:r>
        <w:rPr>
          <w:rFonts w:ascii="仿宋" w:hAnsi="仿宋" w:eastAsia="仿宋" w:cs="Times New Roman"/>
          <w:color w:val="auto"/>
          <w:sz w:val="30"/>
          <w:szCs w:val="30"/>
          <w:highlight w:val="none"/>
          <w:u w:val="single"/>
        </w:rPr>
        <w:t>（盖章）</w:t>
      </w:r>
      <w:r>
        <w:rPr>
          <w:rFonts w:hint="eastAsia" w:ascii="仿宋" w:hAnsi="仿宋" w:eastAsia="仿宋" w:cs="Times New Roman"/>
          <w:color w:val="auto"/>
          <w:sz w:val="30"/>
          <w:szCs w:val="30"/>
          <w:highlight w:val="none"/>
          <w:u w:val="single"/>
        </w:rPr>
        <w:t xml:space="preserve"> </w:t>
      </w:r>
      <w:r>
        <w:rPr>
          <w:rFonts w:ascii="仿宋" w:hAnsi="仿宋" w:eastAsia="仿宋" w:cs="Times New Roman"/>
          <w:color w:val="auto"/>
          <w:sz w:val="30"/>
          <w:szCs w:val="30"/>
          <w:highlight w:val="none"/>
          <w:u w:val="single"/>
        </w:rPr>
        <w:t xml:space="preserve"> </w:t>
      </w:r>
    </w:p>
    <w:p>
      <w:pPr>
        <w:pStyle w:val="2"/>
        <w:spacing w:line="360" w:lineRule="auto"/>
        <w:rPr>
          <w:rFonts w:ascii="仿宋" w:hAnsi="仿宋" w:eastAsia="仿宋" w:cs="Times New Roman"/>
          <w:color w:val="auto"/>
          <w:sz w:val="30"/>
          <w:szCs w:val="30"/>
          <w:highlight w:val="none"/>
          <w:u w:val="single"/>
        </w:rPr>
      </w:pPr>
    </w:p>
    <w:p>
      <w:pPr>
        <w:pStyle w:val="2"/>
        <w:spacing w:line="360" w:lineRule="auto"/>
        <w:rPr>
          <w:rFonts w:ascii="仿宋" w:hAnsi="仿宋" w:eastAsia="仿宋" w:cs="Times New Roman"/>
          <w:color w:val="auto"/>
          <w:sz w:val="30"/>
          <w:szCs w:val="30"/>
          <w:highlight w:val="none"/>
          <w:u w:val="single"/>
        </w:rPr>
      </w:pPr>
    </w:p>
    <w:p>
      <w:pPr>
        <w:pStyle w:val="2"/>
        <w:spacing w:line="360" w:lineRule="auto"/>
        <w:rPr>
          <w:rFonts w:ascii="仿宋" w:hAnsi="仿宋" w:eastAsia="仿宋" w:cs="Times New Roman"/>
          <w:color w:val="auto"/>
          <w:sz w:val="30"/>
          <w:szCs w:val="30"/>
          <w:highlight w:val="none"/>
          <w:u w:val="single"/>
        </w:rPr>
      </w:pPr>
    </w:p>
    <w:p>
      <w:pPr>
        <w:pStyle w:val="2"/>
        <w:spacing w:line="360" w:lineRule="auto"/>
        <w:jc w:val="center"/>
        <w:rPr>
          <w:rFonts w:ascii="仿宋" w:hAnsi="仿宋" w:eastAsia="仿宋" w:cs="Times New Roman"/>
          <w:color w:val="auto"/>
          <w:sz w:val="30"/>
          <w:szCs w:val="30"/>
          <w:highlight w:val="none"/>
          <w:u w:val="single"/>
        </w:rPr>
      </w:pPr>
      <w:r>
        <w:rPr>
          <w:rFonts w:hint="eastAsia"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月</w:t>
      </w:r>
    </w:p>
    <w:p>
      <w:pPr>
        <w:pageBreakBefore/>
        <w:tabs>
          <w:tab w:val="left" w:pos="3153"/>
          <w:tab w:val="center" w:pos="4260"/>
        </w:tabs>
        <w:spacing w:before="240" w:beforeLines="100" w:line="288" w:lineRule="auto"/>
        <w:jc w:val="center"/>
        <w:rPr>
          <w:rFonts w:ascii="仿宋" w:hAnsi="仿宋" w:eastAsia="仿宋"/>
          <w:b/>
          <w:color w:val="auto"/>
          <w:sz w:val="36"/>
          <w:szCs w:val="36"/>
          <w:highlight w:val="none"/>
        </w:rPr>
        <w:sectPr>
          <w:headerReference r:id="rId3" w:type="default"/>
          <w:footerReference r:id="rId4" w:type="default"/>
          <w:pgSz w:w="11906" w:h="16838"/>
          <w:pgMar w:top="1134" w:right="1247" w:bottom="1134" w:left="1247" w:header="851" w:footer="851" w:gutter="0"/>
          <w:pgBorders>
            <w:top w:val="none" w:sz="0" w:space="0"/>
            <w:left w:val="none" w:sz="0" w:space="0"/>
            <w:bottom w:val="none" w:sz="0" w:space="0"/>
            <w:right w:val="none" w:sz="0" w:space="0"/>
          </w:pgBorders>
          <w:pgNumType w:fmt="numberInDash"/>
          <w:cols w:space="720" w:num="1"/>
          <w:titlePg/>
          <w:docGrid w:linePitch="312" w:charSpace="0"/>
        </w:sectPr>
      </w:pPr>
    </w:p>
    <w:p>
      <w:pPr>
        <w:pageBreakBefore/>
        <w:tabs>
          <w:tab w:val="left" w:pos="3153"/>
          <w:tab w:val="center" w:pos="4260"/>
        </w:tabs>
        <w:spacing w:before="240" w:beforeLines="100" w:line="288"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目    录</w:t>
      </w:r>
    </w:p>
    <w:p>
      <w:pPr>
        <w:pStyle w:val="3"/>
        <w:rPr>
          <w:rFonts w:ascii="仿宋" w:hAnsi="仿宋" w:eastAsia="仿宋"/>
          <w:color w:val="auto"/>
          <w:highlight w:val="none"/>
        </w:rPr>
      </w:pPr>
    </w:p>
    <w:p>
      <w:pPr>
        <w:pStyle w:val="2"/>
        <w:rPr>
          <w:rFonts w:ascii="仿宋" w:hAnsi="仿宋" w:eastAsia="仿宋"/>
          <w:color w:val="auto"/>
          <w:highlight w:val="none"/>
        </w:rPr>
      </w:pPr>
      <w:bookmarkStart w:id="0" w:name="_Toc130094904"/>
    </w:p>
    <w:p>
      <w:pPr>
        <w:pStyle w:val="2"/>
        <w:tabs>
          <w:tab w:val="left" w:pos="7938"/>
        </w:tabs>
        <w:spacing w:line="600" w:lineRule="exact"/>
        <w:jc w:val="distribute"/>
        <w:rPr>
          <w:rFonts w:hint="eastAsia" w:ascii="仿宋" w:hAnsi="仿宋" w:eastAsia="仿宋" w:cs="Times New Roman"/>
          <w:color w:val="auto"/>
          <w:sz w:val="30"/>
          <w:szCs w:val="30"/>
          <w:highlight w:val="none"/>
          <w:lang w:eastAsia="zh-CN"/>
        </w:rPr>
      </w:pPr>
      <w:r>
        <w:rPr>
          <w:rFonts w:ascii="仿宋" w:hAnsi="仿宋" w:eastAsia="仿宋" w:cs="Times New Roman"/>
          <w:color w:val="auto"/>
          <w:sz w:val="30"/>
          <w:szCs w:val="30"/>
          <w:highlight w:val="none"/>
        </w:rPr>
        <w:t>第一章 公开招标采购公告………………………………………0</w:t>
      </w:r>
      <w:r>
        <w:rPr>
          <w:rFonts w:hint="eastAsia" w:ascii="仿宋" w:hAnsi="仿宋" w:eastAsia="仿宋" w:cs="Times New Roman"/>
          <w:color w:val="auto"/>
          <w:sz w:val="30"/>
          <w:szCs w:val="30"/>
          <w:highlight w:val="none"/>
          <w:lang w:val="en-US" w:eastAsia="zh-CN"/>
        </w:rPr>
        <w:t>1</w:t>
      </w:r>
    </w:p>
    <w:p>
      <w:pPr>
        <w:pStyle w:val="2"/>
        <w:spacing w:line="600" w:lineRule="exact"/>
        <w:jc w:val="distribute"/>
        <w:rPr>
          <w:rFonts w:hint="eastAsia" w:ascii="仿宋" w:hAnsi="仿宋" w:eastAsia="仿宋" w:cs="Times New Roman"/>
          <w:color w:val="auto"/>
          <w:sz w:val="30"/>
          <w:szCs w:val="30"/>
          <w:highlight w:val="none"/>
          <w:lang w:val="en-US" w:eastAsia="zh-CN"/>
        </w:rPr>
      </w:pPr>
      <w:r>
        <w:rPr>
          <w:rFonts w:ascii="仿宋" w:hAnsi="仿宋" w:eastAsia="仿宋" w:cs="Times New Roman"/>
          <w:color w:val="auto"/>
          <w:sz w:val="30"/>
          <w:szCs w:val="30"/>
          <w:highlight w:val="none"/>
        </w:rPr>
        <w:t>第二章 招标需求…………………………………………………</w:t>
      </w:r>
      <w:r>
        <w:rPr>
          <w:rFonts w:hint="eastAsia" w:ascii="仿宋" w:hAnsi="仿宋" w:eastAsia="仿宋" w:cs="Times New Roman"/>
          <w:color w:val="auto"/>
          <w:sz w:val="30"/>
          <w:szCs w:val="30"/>
          <w:highlight w:val="none"/>
        </w:rPr>
        <w:t>0</w:t>
      </w:r>
      <w:r>
        <w:rPr>
          <w:rFonts w:hint="eastAsia" w:ascii="仿宋" w:hAnsi="仿宋" w:eastAsia="仿宋" w:cs="Times New Roman"/>
          <w:color w:val="auto"/>
          <w:sz w:val="30"/>
          <w:szCs w:val="30"/>
          <w:highlight w:val="none"/>
          <w:lang w:val="en-US" w:eastAsia="zh-CN"/>
        </w:rPr>
        <w:t>6</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ascii="仿宋" w:hAnsi="仿宋" w:eastAsia="仿宋" w:cs="Times New Roman"/>
          <w:color w:val="auto"/>
          <w:sz w:val="30"/>
          <w:szCs w:val="30"/>
          <w:highlight w:val="none"/>
        </w:rPr>
        <w:t>第三章 投标人须知……………………………………………</w:t>
      </w:r>
      <w:r>
        <w:rPr>
          <w:rFonts w:hint="eastAsia" w:ascii="仿宋" w:hAnsi="仿宋" w:eastAsia="仿宋" w:cs="Times New Roman"/>
          <w:color w:val="auto"/>
          <w:sz w:val="30"/>
          <w:szCs w:val="30"/>
          <w:highlight w:val="none"/>
          <w:lang w:val="en-US" w:eastAsia="zh-CN"/>
        </w:rPr>
        <w:t>10</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一、总则………………………………………………………</w:t>
      </w:r>
      <w:r>
        <w:rPr>
          <w:rFonts w:hint="eastAsia" w:ascii="仿宋" w:hAnsi="仿宋" w:eastAsia="仿宋" w:cs="Times New Roman"/>
          <w:color w:val="auto"/>
          <w:sz w:val="30"/>
          <w:szCs w:val="30"/>
          <w:highlight w:val="none"/>
          <w:lang w:val="en-US" w:eastAsia="zh-CN"/>
        </w:rPr>
        <w:t>12</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二、招标文件…………………………………………………</w:t>
      </w:r>
      <w:r>
        <w:rPr>
          <w:rFonts w:hint="eastAsia" w:ascii="仿宋" w:hAnsi="仿宋" w:eastAsia="仿宋" w:cs="Times New Roman"/>
          <w:color w:val="auto"/>
          <w:sz w:val="30"/>
          <w:szCs w:val="30"/>
          <w:highlight w:val="none"/>
          <w:lang w:val="en-US" w:eastAsia="zh-CN"/>
        </w:rPr>
        <w:t>14</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三、投标文件的编制…………………………………………</w:t>
      </w:r>
      <w:r>
        <w:rPr>
          <w:rFonts w:hint="eastAsia" w:ascii="仿宋" w:hAnsi="仿宋" w:eastAsia="仿宋" w:cs="Times New Roman"/>
          <w:color w:val="auto"/>
          <w:sz w:val="30"/>
          <w:szCs w:val="30"/>
          <w:highlight w:val="none"/>
          <w:lang w:val="en-US" w:eastAsia="zh-CN"/>
        </w:rPr>
        <w:t>15</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四、开标………………………………………………………</w:t>
      </w:r>
      <w:r>
        <w:rPr>
          <w:rFonts w:hint="eastAsia" w:ascii="仿宋" w:hAnsi="仿宋" w:eastAsia="仿宋" w:cs="Times New Roman"/>
          <w:color w:val="auto"/>
          <w:sz w:val="30"/>
          <w:szCs w:val="30"/>
          <w:highlight w:val="none"/>
          <w:lang w:val="en-US" w:eastAsia="zh-CN"/>
        </w:rPr>
        <w:t>23</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五、评标………………………………………………………</w:t>
      </w:r>
      <w:r>
        <w:rPr>
          <w:rFonts w:hint="eastAsia" w:ascii="仿宋" w:hAnsi="仿宋" w:eastAsia="仿宋" w:cs="Times New Roman"/>
          <w:color w:val="auto"/>
          <w:sz w:val="30"/>
          <w:szCs w:val="30"/>
          <w:highlight w:val="none"/>
          <w:lang w:val="en-US" w:eastAsia="zh-CN"/>
        </w:rPr>
        <w:t>23</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六、定标………………………………………………………</w:t>
      </w:r>
      <w:r>
        <w:rPr>
          <w:rFonts w:hint="eastAsia" w:ascii="仿宋" w:hAnsi="仿宋" w:eastAsia="仿宋" w:cs="Times New Roman"/>
          <w:color w:val="auto"/>
          <w:sz w:val="30"/>
          <w:szCs w:val="30"/>
          <w:highlight w:val="none"/>
          <w:lang w:val="en-US" w:eastAsia="zh-CN"/>
        </w:rPr>
        <w:t>25</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七、合同授予…………………………………………………</w:t>
      </w:r>
      <w:r>
        <w:rPr>
          <w:rFonts w:hint="eastAsia" w:ascii="仿宋" w:hAnsi="仿宋" w:eastAsia="仿宋" w:cs="Times New Roman"/>
          <w:color w:val="auto"/>
          <w:sz w:val="30"/>
          <w:szCs w:val="30"/>
          <w:highlight w:val="none"/>
          <w:lang w:val="en-US" w:eastAsia="zh-CN"/>
        </w:rPr>
        <w:t>25</w:t>
      </w:r>
    </w:p>
    <w:p>
      <w:pPr>
        <w:pStyle w:val="2"/>
        <w:tabs>
          <w:tab w:val="left" w:pos="7938"/>
        </w:tabs>
        <w:spacing w:line="600" w:lineRule="exact"/>
        <w:jc w:val="distribute"/>
        <w:rPr>
          <w:rFonts w:hint="default"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rPr>
        <w:t>八、其他内容…………………………………………………</w:t>
      </w:r>
      <w:r>
        <w:rPr>
          <w:rFonts w:hint="eastAsia" w:ascii="仿宋" w:hAnsi="仿宋" w:eastAsia="仿宋" w:cs="Times New Roman"/>
          <w:color w:val="auto"/>
          <w:sz w:val="30"/>
          <w:szCs w:val="30"/>
          <w:highlight w:val="none"/>
          <w:lang w:val="en-US" w:eastAsia="zh-CN"/>
        </w:rPr>
        <w:t>26</w:t>
      </w:r>
    </w:p>
    <w:p>
      <w:pPr>
        <w:pStyle w:val="2"/>
        <w:spacing w:line="600" w:lineRule="exact"/>
        <w:jc w:val="distribute"/>
        <w:rPr>
          <w:rFonts w:hint="default" w:ascii="仿宋" w:hAnsi="仿宋" w:eastAsia="仿宋" w:cs="Times New Roman"/>
          <w:color w:val="auto"/>
          <w:sz w:val="30"/>
          <w:szCs w:val="30"/>
          <w:highlight w:val="none"/>
          <w:lang w:val="en-US" w:eastAsia="zh-CN"/>
        </w:rPr>
      </w:pPr>
      <w:r>
        <w:rPr>
          <w:rFonts w:ascii="仿宋" w:hAnsi="仿宋" w:eastAsia="仿宋" w:cs="Times New Roman"/>
          <w:color w:val="auto"/>
          <w:sz w:val="30"/>
          <w:szCs w:val="30"/>
          <w:highlight w:val="none"/>
        </w:rPr>
        <w:t>第四章 评标办法及评分标准…………………………………</w:t>
      </w:r>
      <w:r>
        <w:rPr>
          <w:rFonts w:hint="eastAsia" w:ascii="仿宋" w:hAnsi="仿宋" w:eastAsia="仿宋" w:cs="Times New Roman"/>
          <w:color w:val="auto"/>
          <w:sz w:val="30"/>
          <w:szCs w:val="30"/>
          <w:highlight w:val="none"/>
          <w:lang w:val="en-US" w:eastAsia="zh-CN"/>
        </w:rPr>
        <w:t>27</w:t>
      </w:r>
    </w:p>
    <w:p>
      <w:pPr>
        <w:pStyle w:val="2"/>
        <w:spacing w:line="600" w:lineRule="exact"/>
        <w:jc w:val="distribute"/>
        <w:rPr>
          <w:rFonts w:hint="default" w:ascii="仿宋" w:hAnsi="仿宋" w:eastAsia="仿宋" w:cs="Times New Roman"/>
          <w:color w:val="auto"/>
          <w:sz w:val="30"/>
          <w:szCs w:val="30"/>
          <w:highlight w:val="none"/>
          <w:lang w:val="en-US" w:eastAsia="zh-CN"/>
        </w:rPr>
      </w:pPr>
      <w:r>
        <w:rPr>
          <w:rFonts w:ascii="仿宋" w:hAnsi="仿宋" w:eastAsia="仿宋" w:cs="Times New Roman"/>
          <w:color w:val="auto"/>
          <w:sz w:val="30"/>
          <w:szCs w:val="30"/>
          <w:highlight w:val="none"/>
        </w:rPr>
        <w:t>第五章 合同主要条款……………………………………………</w:t>
      </w:r>
      <w:r>
        <w:rPr>
          <w:rFonts w:hint="eastAsia" w:ascii="仿宋" w:hAnsi="仿宋" w:eastAsia="仿宋" w:cs="Times New Roman"/>
          <w:color w:val="auto"/>
          <w:sz w:val="30"/>
          <w:szCs w:val="30"/>
          <w:highlight w:val="none"/>
          <w:lang w:val="en-US" w:eastAsia="zh-CN"/>
        </w:rPr>
        <w:t>30</w:t>
      </w:r>
    </w:p>
    <w:p>
      <w:pPr>
        <w:spacing w:line="600" w:lineRule="exact"/>
        <w:jc w:val="distribute"/>
        <w:rPr>
          <w:rFonts w:hint="default" w:ascii="仿宋" w:hAnsi="仿宋" w:eastAsia="仿宋"/>
          <w:color w:val="auto"/>
          <w:kern w:val="0"/>
          <w:sz w:val="30"/>
          <w:szCs w:val="30"/>
          <w:highlight w:val="none"/>
          <w:lang w:val="en-US" w:eastAsia="zh-CN"/>
        </w:rPr>
      </w:pPr>
      <w:r>
        <w:rPr>
          <w:rFonts w:ascii="仿宋" w:hAnsi="仿宋" w:eastAsia="仿宋"/>
          <w:color w:val="auto"/>
          <w:sz w:val="30"/>
          <w:szCs w:val="30"/>
          <w:highlight w:val="none"/>
        </w:rPr>
        <w:t>第六章 投标格式…………………………………………</w:t>
      </w:r>
      <w:r>
        <w:rPr>
          <w:rFonts w:hint="eastAsia" w:ascii="仿宋" w:hAnsi="仿宋" w:eastAsia="仿宋"/>
          <w:color w:val="auto"/>
          <w:kern w:val="0"/>
          <w:sz w:val="30"/>
          <w:szCs w:val="30"/>
          <w:highlight w:val="none"/>
          <w:lang w:val="en-US" w:eastAsia="zh-CN"/>
        </w:rPr>
        <w:t>34</w:t>
      </w:r>
    </w:p>
    <w:bookmarkEnd w:id="0"/>
    <w:p>
      <w:pPr>
        <w:pStyle w:val="3"/>
        <w:spacing w:line="600" w:lineRule="exact"/>
        <w:rPr>
          <w:rFonts w:ascii="仿宋" w:hAnsi="仿宋" w:eastAsia="仿宋"/>
          <w:color w:val="auto"/>
          <w:sz w:val="32"/>
          <w:highlight w:val="none"/>
        </w:rPr>
      </w:pPr>
      <w:bookmarkStart w:id="1" w:name="_Toc510462676"/>
      <w:bookmarkStart w:id="2" w:name="_Toc11724"/>
    </w:p>
    <w:p>
      <w:pPr>
        <w:rPr>
          <w:color w:val="auto"/>
          <w:highlight w:val="none"/>
        </w:rPr>
        <w:sectPr>
          <w:footerReference r:id="rId6" w:type="first"/>
          <w:footerReference r:id="rId5" w:type="default"/>
          <w:pgSz w:w="11906" w:h="16838"/>
          <w:pgMar w:top="1134" w:right="1247" w:bottom="1134"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pStyle w:val="3"/>
        <w:spacing w:line="560" w:lineRule="exact"/>
        <w:rPr>
          <w:rFonts w:ascii="仿宋" w:hAnsi="仿宋" w:eastAsia="仿宋"/>
          <w:color w:val="auto"/>
          <w:sz w:val="32"/>
          <w:highlight w:val="none"/>
        </w:rPr>
      </w:pPr>
      <w:r>
        <w:rPr>
          <w:rFonts w:hint="eastAsia" w:ascii="仿宋" w:hAnsi="仿宋" w:eastAsia="仿宋"/>
          <w:color w:val="auto"/>
          <w:sz w:val="32"/>
          <w:highlight w:val="none"/>
        </w:rPr>
        <w:t>第一章   公开</w:t>
      </w:r>
      <w:r>
        <w:rPr>
          <w:rFonts w:ascii="仿宋" w:hAnsi="仿宋" w:eastAsia="仿宋"/>
          <w:color w:val="auto"/>
          <w:sz w:val="32"/>
          <w:highlight w:val="none"/>
        </w:rPr>
        <w:t>招标</w:t>
      </w:r>
      <w:r>
        <w:rPr>
          <w:rFonts w:hint="eastAsia" w:ascii="仿宋" w:hAnsi="仿宋" w:eastAsia="仿宋"/>
          <w:color w:val="auto"/>
          <w:sz w:val="32"/>
          <w:highlight w:val="none"/>
        </w:rPr>
        <w:t>采购</w:t>
      </w:r>
      <w:r>
        <w:rPr>
          <w:rFonts w:ascii="仿宋" w:hAnsi="仿宋" w:eastAsia="仿宋"/>
          <w:color w:val="auto"/>
          <w:sz w:val="32"/>
          <w:highlight w:val="none"/>
        </w:rPr>
        <w:t>公告</w:t>
      </w:r>
      <w:bookmarkEnd w:id="1"/>
      <w:bookmarkEnd w:id="2"/>
    </w:p>
    <w:p>
      <w:pPr>
        <w:rPr>
          <w:color w:val="auto"/>
          <w:highlight w:val="none"/>
        </w:rPr>
      </w:pP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根据《中华人民共和国政府采购法》《政府采购货物和服务招标投标管理办法》及相关法律、法规等规定，经湖州市财政局政府采购监管处(财政审批编号：</w:t>
      </w:r>
      <w:r>
        <w:rPr>
          <w:rFonts w:hint="eastAsia" w:ascii="仿宋" w:hAnsi="仿宋" w:eastAsia="仿宋"/>
          <w:color w:val="auto"/>
          <w:sz w:val="24"/>
          <w:highlight w:val="none"/>
          <w:u w:val="single"/>
        </w:rPr>
        <w:t>湖财采确</w:t>
      </w:r>
      <w:r>
        <w:rPr>
          <w:rFonts w:hint="eastAsia" w:ascii="仿宋" w:hAnsi="仿宋" w:eastAsia="仿宋"/>
          <w:color w:val="auto"/>
          <w:sz w:val="24"/>
          <w:highlight w:val="none"/>
          <w:u w:val="single"/>
          <w:lang w:eastAsia="zh-CN"/>
        </w:rPr>
        <w:t>临</w:t>
      </w:r>
      <w:r>
        <w:rPr>
          <w:rFonts w:hint="eastAsia" w:ascii="仿宋" w:hAnsi="仿宋" w:eastAsia="仿宋"/>
          <w:color w:val="auto"/>
          <w:sz w:val="24"/>
          <w:highlight w:val="none"/>
          <w:u w:val="single"/>
          <w:lang w:val="en-US" w:eastAsia="zh-CN"/>
        </w:rPr>
        <w:t>[2023]4212号</w:t>
      </w:r>
      <w:r>
        <w:rPr>
          <w:rFonts w:hint="eastAsia" w:ascii="仿宋" w:hAnsi="仿宋" w:eastAsia="仿宋"/>
          <w:color w:val="auto"/>
          <w:sz w:val="24"/>
          <w:highlight w:val="none"/>
          <w:u w:val="single"/>
        </w:rPr>
        <w:t>)</w:t>
      </w:r>
      <w:r>
        <w:rPr>
          <w:rFonts w:hint="eastAsia" w:ascii="仿宋" w:hAnsi="仿宋" w:eastAsia="仿宋"/>
          <w:color w:val="auto"/>
          <w:sz w:val="24"/>
          <w:highlight w:val="none"/>
        </w:rPr>
        <w:t>批准，</w:t>
      </w:r>
      <w:r>
        <w:rPr>
          <w:rFonts w:hint="eastAsia" w:ascii="仿宋" w:hAnsi="仿宋" w:eastAsia="仿宋"/>
          <w:color w:val="auto"/>
          <w:sz w:val="24"/>
          <w:highlight w:val="none"/>
          <w:u w:val="single"/>
        </w:rPr>
        <w:t>湖州市仁皇工程咨询有限公司</w:t>
      </w:r>
      <w:r>
        <w:rPr>
          <w:rFonts w:hint="eastAsia" w:ascii="仿宋" w:hAnsi="仿宋" w:eastAsia="仿宋"/>
          <w:color w:val="auto"/>
          <w:sz w:val="24"/>
          <w:highlight w:val="none"/>
        </w:rPr>
        <w:t>受</w:t>
      </w:r>
      <w:r>
        <w:rPr>
          <w:rFonts w:hint="eastAsia" w:ascii="仿宋" w:hAnsi="仿宋" w:eastAsia="仿宋"/>
          <w:color w:val="auto"/>
          <w:sz w:val="24"/>
          <w:highlight w:val="none"/>
          <w:u w:val="single"/>
          <w:lang w:eastAsia="zh-CN"/>
        </w:rPr>
        <w:t>湖州市直属水利工程运行管理所</w:t>
      </w:r>
      <w:r>
        <w:rPr>
          <w:rFonts w:hint="eastAsia" w:ascii="仿宋" w:hAnsi="仿宋" w:eastAsia="仿宋"/>
          <w:color w:val="auto"/>
          <w:sz w:val="24"/>
          <w:highlight w:val="none"/>
        </w:rPr>
        <w:t>委托，现就</w:t>
      </w:r>
      <w:r>
        <w:rPr>
          <w:rFonts w:hint="eastAsia" w:ascii="仿宋" w:hAnsi="仿宋" w:eastAsia="仿宋"/>
          <w:color w:val="auto"/>
          <w:sz w:val="24"/>
          <w:highlight w:val="none"/>
          <w:u w:val="single"/>
          <w:lang w:eastAsia="zh-CN"/>
        </w:rPr>
        <w:t>2023-2024年度白蚁普查及灭治服务项目</w:t>
      </w:r>
      <w:r>
        <w:rPr>
          <w:rFonts w:hint="eastAsia" w:ascii="仿宋" w:hAnsi="仿宋" w:eastAsia="仿宋"/>
          <w:color w:val="auto"/>
          <w:sz w:val="24"/>
          <w:highlight w:val="none"/>
        </w:rPr>
        <w:t>进行公开招标采购，欢迎中华人民共和国境内的合格投标人前来参加投标。</w:t>
      </w:r>
    </w:p>
    <w:p>
      <w:pPr>
        <w:spacing w:line="5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一、项目编号：</w:t>
      </w:r>
      <w:r>
        <w:rPr>
          <w:rFonts w:hint="eastAsia" w:ascii="仿宋" w:hAnsi="仿宋" w:eastAsia="仿宋"/>
          <w:color w:val="auto"/>
          <w:sz w:val="24"/>
          <w:highlight w:val="none"/>
        </w:rPr>
        <w:t>仁皇招字</w:t>
      </w:r>
      <w:r>
        <w:rPr>
          <w:rFonts w:hint="eastAsia" w:ascii="仿宋" w:hAnsi="仿宋" w:eastAsia="仿宋"/>
          <w:color w:val="auto"/>
          <w:sz w:val="24"/>
          <w:highlight w:val="none"/>
          <w:lang w:val="en-US" w:eastAsia="zh-CN"/>
        </w:rPr>
        <w:t>2023115</w:t>
      </w:r>
      <w:r>
        <w:rPr>
          <w:rFonts w:hint="eastAsia" w:ascii="仿宋" w:hAnsi="仿宋" w:eastAsia="仿宋"/>
          <w:color w:val="auto"/>
          <w:sz w:val="24"/>
          <w:highlight w:val="none"/>
        </w:rPr>
        <w:t>号</w:t>
      </w:r>
    </w:p>
    <w:p>
      <w:pPr>
        <w:spacing w:line="5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二、采购组织类型：</w:t>
      </w:r>
      <w:r>
        <w:rPr>
          <w:rFonts w:hint="eastAsia" w:ascii="仿宋" w:hAnsi="仿宋" w:eastAsia="仿宋"/>
          <w:color w:val="auto"/>
          <w:sz w:val="24"/>
          <w:highlight w:val="none"/>
        </w:rPr>
        <w:t>分散采购</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委托代理</w:t>
      </w:r>
    </w:p>
    <w:p>
      <w:pPr>
        <w:spacing w:line="5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三、采购方式：</w:t>
      </w:r>
      <w:r>
        <w:rPr>
          <w:rFonts w:hint="eastAsia" w:ascii="仿宋" w:hAnsi="仿宋" w:eastAsia="仿宋"/>
          <w:color w:val="auto"/>
          <w:sz w:val="24"/>
          <w:highlight w:val="none"/>
        </w:rPr>
        <w:t>公开招标</w:t>
      </w:r>
    </w:p>
    <w:p>
      <w:pPr>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b/>
          <w:color w:val="auto"/>
          <w:sz w:val="24"/>
          <w:highlight w:val="none"/>
        </w:rPr>
        <w:t>四、招标项目概况</w:t>
      </w:r>
      <w:r>
        <w:rPr>
          <w:rFonts w:hint="eastAsia" w:ascii="仿宋" w:hAnsi="仿宋" w:eastAsia="仿宋"/>
          <w:color w:val="auto"/>
          <w:sz w:val="24"/>
          <w:highlight w:val="none"/>
        </w:rPr>
        <w:t>（内容、数量、简要技术要求等）:</w:t>
      </w:r>
    </w:p>
    <w:tbl>
      <w:tblPr>
        <w:tblStyle w:val="26"/>
        <w:tblW w:w="8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984"/>
        <w:gridCol w:w="710"/>
        <w:gridCol w:w="710"/>
        <w:gridCol w:w="1868"/>
        <w:gridCol w:w="2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9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984" w:type="dxa"/>
            <w:tcBorders>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710"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710" w:type="dxa"/>
            <w:tcBorders>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1868" w:type="dxa"/>
            <w:tcBorders>
              <w:lef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采购预算</w:t>
            </w:r>
          </w:p>
          <w:p>
            <w:pPr>
              <w:jc w:val="center"/>
              <w:rPr>
                <w:rFonts w:ascii="仿宋" w:hAnsi="仿宋" w:eastAsia="仿宋"/>
                <w:color w:val="auto"/>
                <w:sz w:val="24"/>
                <w:highlight w:val="none"/>
              </w:rPr>
            </w:pPr>
            <w:r>
              <w:rPr>
                <w:rFonts w:hint="eastAsia" w:ascii="仿宋" w:hAnsi="仿宋" w:eastAsia="仿宋"/>
                <w:color w:val="auto"/>
                <w:sz w:val="24"/>
                <w:highlight w:val="none"/>
              </w:rPr>
              <w:t>（人民币）</w:t>
            </w:r>
          </w:p>
        </w:tc>
        <w:tc>
          <w:tcPr>
            <w:tcW w:w="2090"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91"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84" w:type="dxa"/>
            <w:tcBorders>
              <w:right w:val="single" w:color="auto" w:sz="4" w:space="0"/>
            </w:tcBorders>
            <w:vAlign w:val="center"/>
          </w:tcPr>
          <w:p>
            <w:pPr>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2023-2024</w:t>
            </w:r>
            <w:r>
              <w:rPr>
                <w:rFonts w:hint="eastAsia" w:ascii="仿宋" w:hAnsi="仿宋" w:eastAsia="仿宋"/>
                <w:color w:val="auto"/>
                <w:sz w:val="24"/>
                <w:highlight w:val="none"/>
              </w:rPr>
              <w:t>年度</w:t>
            </w:r>
            <w:r>
              <w:rPr>
                <w:rFonts w:hint="eastAsia" w:ascii="仿宋" w:hAnsi="仿宋" w:eastAsia="仿宋"/>
                <w:color w:val="auto"/>
                <w:sz w:val="24"/>
                <w:highlight w:val="none"/>
                <w:lang w:eastAsia="zh-CN"/>
              </w:rPr>
              <w:t>白蚁普查及灭治服务项目</w:t>
            </w:r>
          </w:p>
        </w:tc>
        <w:tc>
          <w:tcPr>
            <w:tcW w:w="710"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710" w:type="dxa"/>
            <w:tcBorders>
              <w:right w:val="single" w:color="auto" w:sz="4" w:space="0"/>
            </w:tcBorders>
            <w:vAlign w:val="center"/>
          </w:tcPr>
          <w:p>
            <w:pPr>
              <w:pStyle w:val="48"/>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w:t>
            </w:r>
          </w:p>
        </w:tc>
        <w:tc>
          <w:tcPr>
            <w:tcW w:w="1868" w:type="dxa"/>
            <w:tcBorders>
              <w:lef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lang w:val="en-US" w:eastAsia="zh-CN"/>
              </w:rPr>
              <w:t>63</w:t>
            </w:r>
            <w:r>
              <w:rPr>
                <w:rFonts w:hint="eastAsia" w:ascii="仿宋" w:hAnsi="仿宋" w:eastAsia="仿宋"/>
                <w:color w:val="auto"/>
                <w:sz w:val="24"/>
                <w:highlight w:val="none"/>
              </w:rPr>
              <w:t>万元</w:t>
            </w:r>
          </w:p>
        </w:tc>
        <w:tc>
          <w:tcPr>
            <w:tcW w:w="2090"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详见第二章</w:t>
            </w:r>
          </w:p>
          <w:p>
            <w:pPr>
              <w:jc w:val="center"/>
              <w:rPr>
                <w:rFonts w:ascii="仿宋" w:hAnsi="仿宋" w:eastAsia="仿宋"/>
                <w:color w:val="auto"/>
                <w:sz w:val="24"/>
                <w:highlight w:val="none"/>
              </w:rPr>
            </w:pPr>
            <w:r>
              <w:rPr>
                <w:rFonts w:hint="eastAsia" w:ascii="仿宋" w:hAnsi="仿宋" w:eastAsia="仿宋"/>
                <w:color w:val="auto"/>
                <w:sz w:val="24"/>
                <w:highlight w:val="none"/>
                <w:lang w:eastAsia="zh-CN"/>
              </w:rPr>
              <w:t>招标</w:t>
            </w:r>
            <w:r>
              <w:rPr>
                <w:rFonts w:hint="eastAsia" w:ascii="仿宋" w:hAnsi="仿宋" w:eastAsia="仿宋"/>
                <w:color w:val="auto"/>
                <w:sz w:val="24"/>
                <w:highlight w:val="none"/>
              </w:rPr>
              <w:t>需求</w:t>
            </w:r>
          </w:p>
        </w:tc>
      </w:tr>
    </w:tbl>
    <w:p>
      <w:pPr>
        <w:spacing w:line="50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、投标人资格要求:</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符合《中华人民共和国政府采购法》第二十二条规定和浙财采监【2013】24号《关于规范政府采购投标人资格设定及资格审查的通知》第六条规定,且未被“信用中国”（www.creditchina.gov.cn）、“中国政府采购网”（www.ccgp.gov.cn）</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2、本项目专门面向中小企业采购, 投标人需符合国家《中小企业划型标准规定》要求。(监狱企业、残疾人福利性单位参加投标，视为小型、微型企业)。</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w:t>
      </w:r>
    </w:p>
    <w:p>
      <w:pPr>
        <w:spacing w:line="5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六、招标文件的获取:</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1、获取招标文件时间：</w:t>
      </w:r>
      <w:r>
        <w:rPr>
          <w:rFonts w:hint="eastAsia" w:ascii="仿宋" w:hAnsi="仿宋" w:eastAsia="仿宋"/>
          <w:color w:val="auto"/>
          <w:sz w:val="24"/>
          <w:highlight w:val="none"/>
          <w:shd w:val="pct10" w:color="auto" w:fill="FFFFFF"/>
        </w:rPr>
        <w:t>202</w:t>
      </w:r>
      <w:r>
        <w:rPr>
          <w:rFonts w:hint="eastAsia" w:ascii="仿宋" w:hAnsi="仿宋" w:eastAsia="仿宋"/>
          <w:color w:val="auto"/>
          <w:sz w:val="24"/>
          <w:highlight w:val="none"/>
          <w:shd w:val="pct10" w:color="auto" w:fill="FFFFFF"/>
          <w:lang w:val="en-US" w:eastAsia="zh-CN"/>
        </w:rPr>
        <w:t>3</w:t>
      </w:r>
      <w:r>
        <w:rPr>
          <w:rFonts w:hint="eastAsia" w:ascii="仿宋" w:hAnsi="仿宋" w:eastAsia="仿宋"/>
          <w:color w:val="auto"/>
          <w:sz w:val="24"/>
          <w:highlight w:val="none"/>
          <w:shd w:val="pct10" w:color="auto" w:fill="FFFFFF"/>
        </w:rPr>
        <w:t>年</w:t>
      </w:r>
      <w:r>
        <w:rPr>
          <w:rFonts w:hint="eastAsia" w:ascii="仿宋" w:hAnsi="仿宋" w:eastAsia="仿宋"/>
          <w:color w:val="auto"/>
          <w:sz w:val="24"/>
          <w:highlight w:val="none"/>
          <w:shd w:val="pct10" w:color="auto" w:fill="FFFFFF"/>
          <w:lang w:val="en-US" w:eastAsia="zh-CN"/>
        </w:rPr>
        <w:t>5</w:t>
      </w:r>
      <w:r>
        <w:rPr>
          <w:rFonts w:hint="eastAsia" w:ascii="仿宋" w:hAnsi="仿宋" w:eastAsia="仿宋"/>
          <w:color w:val="auto"/>
          <w:sz w:val="24"/>
          <w:highlight w:val="none"/>
          <w:shd w:val="pct10" w:color="auto" w:fill="FFFFFF"/>
        </w:rPr>
        <w:t>月</w:t>
      </w:r>
      <w:r>
        <w:rPr>
          <w:rFonts w:hint="eastAsia" w:ascii="仿宋" w:hAnsi="仿宋" w:eastAsia="仿宋"/>
          <w:color w:val="auto"/>
          <w:sz w:val="24"/>
          <w:highlight w:val="none"/>
          <w:shd w:val="pct10" w:color="auto" w:fill="FFFFFF"/>
          <w:lang w:val="en-US" w:eastAsia="zh-CN"/>
        </w:rPr>
        <w:t>9</w:t>
      </w:r>
      <w:r>
        <w:rPr>
          <w:rFonts w:hint="eastAsia" w:ascii="仿宋" w:hAnsi="仿宋" w:eastAsia="仿宋"/>
          <w:color w:val="auto"/>
          <w:sz w:val="24"/>
          <w:highlight w:val="none"/>
          <w:shd w:val="pct10" w:color="auto" w:fill="FFFFFF"/>
        </w:rPr>
        <w:t>日至投标截止时间</w:t>
      </w:r>
      <w:r>
        <w:rPr>
          <w:rFonts w:hint="eastAsia" w:ascii="仿宋" w:hAnsi="仿宋" w:eastAsia="仿宋"/>
          <w:color w:val="auto"/>
          <w:sz w:val="24"/>
          <w:highlight w:val="none"/>
        </w:rPr>
        <w:t>(潜在投标人获取采购文件前应当在电子交易平台上注册账号并登录，截止时间后不再接受潜在投标人获取采购文件)。</w:t>
      </w:r>
    </w:p>
    <w:p>
      <w:pPr>
        <w:spacing w:line="500" w:lineRule="exact"/>
        <w:ind w:firstLine="480" w:firstLineChars="200"/>
        <w:rPr>
          <w:rFonts w:ascii="仿宋" w:hAnsi="仿宋" w:eastAsia="仿宋" w:cs="Arial"/>
          <w:color w:val="auto"/>
          <w:sz w:val="24"/>
          <w:highlight w:val="none"/>
        </w:rPr>
      </w:pPr>
      <w:bookmarkStart w:id="3" w:name="_Toc130094905"/>
      <w:bookmarkStart w:id="4" w:name="_Toc98731748"/>
      <w:bookmarkStart w:id="5" w:name="_Toc8034"/>
      <w:r>
        <w:rPr>
          <w:rFonts w:hint="eastAsia" w:ascii="仿宋" w:hAnsi="仿宋" w:eastAsia="仿宋" w:cs="Arial"/>
          <w:color w:val="auto"/>
          <w:sz w:val="24"/>
          <w:highlight w:val="none"/>
        </w:rPr>
        <w:t>2、本项目招标文件实行网上获取，不</w:t>
      </w:r>
      <w:r>
        <w:rPr>
          <w:rFonts w:hint="eastAsia" w:ascii="仿宋" w:hAnsi="仿宋" w:eastAsia="仿宋" w:cs="Arial"/>
          <w:color w:val="auto"/>
          <w:sz w:val="24"/>
          <w:highlight w:val="none"/>
          <w:lang w:eastAsia="zh-CN"/>
        </w:rPr>
        <w:t>再</w:t>
      </w:r>
      <w:r>
        <w:rPr>
          <w:rFonts w:hint="eastAsia" w:ascii="仿宋" w:hAnsi="仿宋" w:eastAsia="仿宋" w:cs="Arial"/>
          <w:color w:val="auto"/>
          <w:sz w:val="24"/>
          <w:highlight w:val="none"/>
        </w:rPr>
        <w:t>接受投标人现场报名。投标人登录浙江政府采购网（</w:t>
      </w:r>
      <w:r>
        <w:rPr>
          <w:rFonts w:ascii="仿宋" w:hAnsi="仿宋" w:eastAsia="仿宋" w:cs="Arial"/>
          <w:color w:val="auto"/>
          <w:sz w:val="24"/>
          <w:highlight w:val="none"/>
        </w:rPr>
        <w:t>http://zfcg.czt.zj.gov.cn/</w:t>
      </w:r>
      <w:r>
        <w:rPr>
          <w:rFonts w:hint="eastAsia" w:ascii="仿宋" w:hAnsi="仿宋" w:eastAsia="仿宋" w:cs="Arial"/>
          <w:color w:val="auto"/>
          <w:sz w:val="24"/>
          <w:highlight w:val="none"/>
        </w:rPr>
        <w:t>)进入政采云系统“项目采购”模块“获取采购文件”菜单，进行网上获取招标文件。（“政采云”注册账号、密码登录系统后获取采购文件）。</w:t>
      </w:r>
    </w:p>
    <w:p>
      <w:pPr>
        <w:spacing w:line="500" w:lineRule="exact"/>
        <w:ind w:firstLine="480" w:firstLineChars="200"/>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3、免费注册网址：浙江政府采购网（投标人注册页面）:https://middle.zcygov.cn/settle-front/#/registry“政采云”，咨询电话：</w:t>
      </w:r>
      <w:r>
        <w:rPr>
          <w:rFonts w:hint="eastAsia" w:ascii="仿宋" w:hAnsi="仿宋" w:eastAsia="仿宋" w:cs="Arial"/>
          <w:color w:val="auto"/>
          <w:sz w:val="24"/>
          <w:highlight w:val="none"/>
          <w:lang w:val="en-US" w:eastAsia="zh-CN"/>
        </w:rPr>
        <w:t>95763</w:t>
      </w:r>
      <w:r>
        <w:rPr>
          <w:rFonts w:hint="eastAsia" w:ascii="仿宋" w:hAnsi="仿宋" w:eastAsia="仿宋" w:cs="Arial"/>
          <w:color w:val="auto"/>
          <w:sz w:val="24"/>
          <w:highlight w:val="none"/>
        </w:rPr>
        <w:t>。已经注册成功的投标人无需重复注册</w:t>
      </w:r>
      <w:r>
        <w:rPr>
          <w:rFonts w:hint="eastAsia" w:ascii="仿宋" w:hAnsi="仿宋" w:eastAsia="仿宋" w:cs="Arial"/>
          <w:color w:val="auto"/>
          <w:sz w:val="24"/>
          <w:highlight w:val="none"/>
          <w:lang w:eastAsia="zh-CN"/>
        </w:rPr>
        <w:t>。</w:t>
      </w:r>
    </w:p>
    <w:p>
      <w:pPr>
        <w:spacing w:line="5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七、投标文件的递交及相关事宜</w:t>
      </w:r>
    </w:p>
    <w:p>
      <w:pPr>
        <w:spacing w:line="50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1、投标文件递交的截止时间（投标截止时间，下同）为</w:t>
      </w:r>
      <w:r>
        <w:rPr>
          <w:rFonts w:hint="eastAsia" w:ascii="仿宋" w:hAnsi="仿宋" w:eastAsia="仿宋"/>
          <w:color w:val="auto"/>
          <w:sz w:val="24"/>
          <w:highlight w:val="none"/>
          <w:shd w:val="pct10" w:color="auto" w:fill="FFFFFF"/>
        </w:rPr>
        <w:t>202</w:t>
      </w:r>
      <w:r>
        <w:rPr>
          <w:rFonts w:hint="eastAsia" w:ascii="仿宋" w:hAnsi="仿宋" w:eastAsia="仿宋"/>
          <w:color w:val="auto"/>
          <w:sz w:val="24"/>
          <w:highlight w:val="none"/>
          <w:shd w:val="pct10" w:color="auto" w:fill="FFFFFF"/>
          <w:lang w:val="en-US" w:eastAsia="zh-CN"/>
        </w:rPr>
        <w:t>3</w:t>
      </w:r>
      <w:r>
        <w:rPr>
          <w:rFonts w:hint="eastAsia" w:ascii="仿宋" w:hAnsi="仿宋" w:eastAsia="仿宋"/>
          <w:color w:val="auto"/>
          <w:sz w:val="24"/>
          <w:highlight w:val="none"/>
          <w:shd w:val="pct10" w:color="auto" w:fill="FFFFFF"/>
        </w:rPr>
        <w:t>年</w:t>
      </w:r>
      <w:r>
        <w:rPr>
          <w:rFonts w:hint="eastAsia" w:ascii="仿宋" w:hAnsi="仿宋" w:eastAsia="仿宋"/>
          <w:color w:val="auto"/>
          <w:sz w:val="24"/>
          <w:highlight w:val="none"/>
          <w:shd w:val="pct10" w:color="auto" w:fill="FFFFFF"/>
          <w:lang w:val="en-US" w:eastAsia="zh-CN"/>
        </w:rPr>
        <w:t>5</w:t>
      </w:r>
      <w:r>
        <w:rPr>
          <w:rFonts w:hint="eastAsia" w:ascii="仿宋" w:hAnsi="仿宋" w:eastAsia="仿宋"/>
          <w:color w:val="auto"/>
          <w:sz w:val="24"/>
          <w:highlight w:val="none"/>
          <w:shd w:val="pct10" w:color="auto" w:fill="FFFFFF"/>
        </w:rPr>
        <w:t>月</w:t>
      </w:r>
      <w:r>
        <w:rPr>
          <w:rFonts w:hint="eastAsia" w:ascii="仿宋" w:hAnsi="仿宋" w:eastAsia="仿宋"/>
          <w:color w:val="auto"/>
          <w:sz w:val="24"/>
          <w:highlight w:val="none"/>
          <w:shd w:val="pct10" w:color="auto" w:fill="FFFFFF"/>
          <w:lang w:val="en-US" w:eastAsia="zh-CN"/>
        </w:rPr>
        <w:t>30</w:t>
      </w:r>
      <w:r>
        <w:rPr>
          <w:rFonts w:hint="eastAsia" w:ascii="仿宋" w:hAnsi="仿宋" w:eastAsia="仿宋"/>
          <w:color w:val="auto"/>
          <w:sz w:val="24"/>
          <w:highlight w:val="none"/>
          <w:shd w:val="pct10" w:color="auto" w:fill="FFFFFF"/>
        </w:rPr>
        <w:t>日</w:t>
      </w:r>
      <w:r>
        <w:rPr>
          <w:rFonts w:hint="eastAsia" w:ascii="仿宋" w:hAnsi="仿宋" w:eastAsia="仿宋"/>
          <w:color w:val="auto"/>
          <w:sz w:val="24"/>
          <w:highlight w:val="none"/>
          <w:shd w:val="pct10" w:color="auto" w:fill="FFFFFF"/>
          <w:lang w:val="en-US" w:eastAsia="zh-CN"/>
        </w:rPr>
        <w:t>14</w:t>
      </w:r>
      <w:r>
        <w:rPr>
          <w:rFonts w:hint="eastAsia" w:ascii="仿宋" w:hAnsi="仿宋" w:eastAsia="仿宋"/>
          <w:color w:val="auto"/>
          <w:sz w:val="24"/>
          <w:highlight w:val="none"/>
          <w:shd w:val="pct10" w:color="auto" w:fill="FFFFFF"/>
        </w:rPr>
        <w:t>:00时（北京时间）</w:t>
      </w:r>
      <w:r>
        <w:rPr>
          <w:rFonts w:hint="eastAsia" w:ascii="仿宋" w:hAnsi="仿宋" w:eastAsia="仿宋"/>
          <w:color w:val="auto"/>
          <w:sz w:val="24"/>
          <w:highlight w:val="none"/>
        </w:rPr>
        <w:t>。</w:t>
      </w:r>
    </w:p>
    <w:p>
      <w:pPr>
        <w:spacing w:line="5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2、投标文件递交方式：</w:t>
      </w:r>
    </w:p>
    <w:p>
      <w:pPr>
        <w:spacing w:line="5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(1)电子投标文件：按政采云平台项目采购-电子交易操作指南及本招标文件要求递交。投标人应于</w:t>
      </w:r>
      <w:r>
        <w:rPr>
          <w:rFonts w:hint="eastAsia" w:ascii="仿宋" w:hAnsi="仿宋" w:eastAsia="仿宋"/>
          <w:color w:val="auto"/>
          <w:sz w:val="24"/>
          <w:highlight w:val="none"/>
          <w:shd w:val="pct10" w:color="auto" w:fill="FFFFFF"/>
        </w:rPr>
        <w:t>202</w:t>
      </w:r>
      <w:r>
        <w:rPr>
          <w:rFonts w:hint="eastAsia" w:ascii="仿宋" w:hAnsi="仿宋" w:eastAsia="仿宋"/>
          <w:color w:val="auto"/>
          <w:sz w:val="24"/>
          <w:highlight w:val="none"/>
          <w:shd w:val="pct10" w:color="auto" w:fill="FFFFFF"/>
          <w:lang w:val="en-US" w:eastAsia="zh-CN"/>
        </w:rPr>
        <w:t>3</w:t>
      </w:r>
      <w:r>
        <w:rPr>
          <w:rFonts w:hint="eastAsia" w:ascii="仿宋" w:hAnsi="仿宋" w:eastAsia="仿宋"/>
          <w:color w:val="auto"/>
          <w:sz w:val="24"/>
          <w:highlight w:val="none"/>
          <w:shd w:val="pct10" w:color="auto" w:fill="FFFFFF"/>
        </w:rPr>
        <w:t>年</w:t>
      </w:r>
      <w:r>
        <w:rPr>
          <w:rFonts w:hint="eastAsia" w:ascii="仿宋" w:hAnsi="仿宋" w:eastAsia="仿宋"/>
          <w:color w:val="auto"/>
          <w:sz w:val="24"/>
          <w:highlight w:val="none"/>
          <w:shd w:val="pct10" w:color="auto" w:fill="FFFFFF"/>
          <w:lang w:val="en-US" w:eastAsia="zh-CN"/>
        </w:rPr>
        <w:t>5</w:t>
      </w:r>
      <w:r>
        <w:rPr>
          <w:rFonts w:hint="eastAsia" w:ascii="仿宋" w:hAnsi="仿宋" w:eastAsia="仿宋"/>
          <w:color w:val="auto"/>
          <w:sz w:val="24"/>
          <w:highlight w:val="none"/>
          <w:shd w:val="pct10" w:color="auto" w:fill="FFFFFF"/>
        </w:rPr>
        <w:t>月</w:t>
      </w:r>
      <w:r>
        <w:rPr>
          <w:rFonts w:hint="eastAsia" w:ascii="仿宋" w:hAnsi="仿宋" w:eastAsia="仿宋"/>
          <w:color w:val="auto"/>
          <w:sz w:val="24"/>
          <w:highlight w:val="none"/>
          <w:shd w:val="pct10" w:color="auto" w:fill="FFFFFF"/>
          <w:lang w:val="en-US" w:eastAsia="zh-CN"/>
        </w:rPr>
        <w:t>30</w:t>
      </w:r>
      <w:r>
        <w:rPr>
          <w:rFonts w:hint="eastAsia" w:ascii="仿宋" w:hAnsi="仿宋" w:eastAsia="仿宋"/>
          <w:color w:val="auto"/>
          <w:sz w:val="24"/>
          <w:highlight w:val="none"/>
          <w:shd w:val="pct10" w:color="auto" w:fill="FFFFFF"/>
        </w:rPr>
        <w:t>日</w:t>
      </w:r>
      <w:r>
        <w:rPr>
          <w:rFonts w:hint="eastAsia" w:ascii="仿宋" w:hAnsi="仿宋" w:eastAsia="仿宋"/>
          <w:color w:val="auto"/>
          <w:sz w:val="24"/>
          <w:highlight w:val="none"/>
          <w:shd w:val="pct10" w:color="auto" w:fill="FFFFFF"/>
          <w:lang w:val="en-US" w:eastAsia="zh-CN"/>
        </w:rPr>
        <w:t>14</w:t>
      </w:r>
      <w:r>
        <w:rPr>
          <w:rFonts w:hint="eastAsia" w:ascii="仿宋" w:hAnsi="仿宋" w:eastAsia="仿宋"/>
          <w:color w:val="auto"/>
          <w:sz w:val="24"/>
          <w:highlight w:val="none"/>
          <w:shd w:val="pct10" w:color="auto" w:fill="FFFFFF"/>
        </w:rPr>
        <w:t>:00时</w:t>
      </w:r>
      <w:r>
        <w:rPr>
          <w:rFonts w:hint="eastAsia" w:ascii="仿宋" w:hAnsi="仿宋" w:eastAsia="仿宋"/>
          <w:color w:val="auto"/>
          <w:sz w:val="24"/>
          <w:highlight w:val="none"/>
        </w:rPr>
        <w:t>(北京时间）前将加密的电子版投标文件上传到政采云系统中（不准时上传视为不参加）。</w:t>
      </w:r>
    </w:p>
    <w:p>
      <w:pPr>
        <w:spacing w:line="500" w:lineRule="exact"/>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（2)</w:t>
      </w:r>
      <w:r>
        <w:rPr>
          <w:rFonts w:hint="eastAsia" w:ascii="仿宋" w:hAnsi="仿宋" w:eastAsia="仿宋" w:cs="宋体"/>
          <w:color w:val="auto"/>
          <w:kern w:val="0"/>
          <w:sz w:val="24"/>
          <w:highlight w:val="none"/>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color w:val="auto"/>
          <w:kern w:val="0"/>
          <w:sz w:val="24"/>
          <w:highlight w:val="none"/>
        </w:rPr>
        <w:t>递交方式：</w:t>
      </w:r>
      <w:r>
        <w:rPr>
          <w:rFonts w:hint="eastAsia" w:ascii="仿宋" w:hAnsi="仿宋" w:eastAsia="仿宋" w:cs="宋体"/>
          <w:color w:val="auto"/>
          <w:kern w:val="0"/>
          <w:sz w:val="24"/>
          <w:highlight w:val="none"/>
        </w:rPr>
        <w:t>数据电子备份投标文件（U盘）应通过邮寄快递方式送达（原则上邮寄公司统一采用EMS），邮寄地址为：湖州市仁皇工程咨询有限公司[</w:t>
      </w:r>
      <w:r>
        <w:rPr>
          <w:rFonts w:hint="eastAsia" w:ascii="仿宋" w:hAnsi="仿宋" w:eastAsia="仿宋" w:cs="宋体"/>
          <w:color w:val="auto"/>
          <w:sz w:val="24"/>
          <w:highlight w:val="none"/>
        </w:rPr>
        <w:t>湖州市太湖路1155号</w:t>
      </w:r>
      <w:r>
        <w:rPr>
          <w:rFonts w:hint="eastAsia" w:ascii="仿宋" w:hAnsi="仿宋" w:eastAsia="仿宋" w:cs="宋体"/>
          <w:color w:val="auto"/>
          <w:sz w:val="24"/>
          <w:highlight w:val="none"/>
          <w:lang w:val="en-US" w:eastAsia="zh-CN"/>
        </w:rPr>
        <w:t>801B</w:t>
      </w:r>
      <w:r>
        <w:rPr>
          <w:rFonts w:hint="eastAsia" w:ascii="仿宋" w:hAnsi="仿宋" w:eastAsia="仿宋" w:cs="宋体"/>
          <w:color w:val="auto"/>
          <w:sz w:val="24"/>
          <w:highlight w:val="none"/>
        </w:rPr>
        <w:t>室</w:t>
      </w:r>
      <w:r>
        <w:rPr>
          <w:rFonts w:hint="eastAsia" w:ascii="仿宋" w:hAnsi="仿宋" w:eastAsia="仿宋" w:cs="宋体"/>
          <w:color w:val="auto"/>
          <w:kern w:val="0"/>
          <w:sz w:val="24"/>
          <w:highlight w:val="none"/>
        </w:rPr>
        <w:t>]，联系电话：0572-261</w:t>
      </w:r>
      <w:r>
        <w:rPr>
          <w:rFonts w:hint="eastAsia" w:ascii="仿宋" w:hAnsi="仿宋" w:eastAsia="仿宋" w:cs="宋体"/>
          <w:color w:val="auto"/>
          <w:kern w:val="0"/>
          <w:sz w:val="24"/>
          <w:highlight w:val="none"/>
          <w:lang w:val="en-US" w:eastAsia="zh-CN"/>
        </w:rPr>
        <w:t>5598</w:t>
      </w:r>
      <w:r>
        <w:rPr>
          <w:rFonts w:hint="eastAsia" w:ascii="仿宋" w:hAnsi="仿宋" w:eastAsia="仿宋" w:cs="宋体"/>
          <w:color w:val="auto"/>
          <w:kern w:val="0"/>
          <w:sz w:val="24"/>
          <w:highlight w:val="none"/>
        </w:rPr>
        <w:t>。邮寄截止时间：投标人应于202</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年</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29</w:t>
      </w:r>
      <w:r>
        <w:rPr>
          <w:rFonts w:hint="eastAsia" w:ascii="仿宋" w:hAnsi="仿宋" w:eastAsia="仿宋" w:cs="宋体"/>
          <w:color w:val="auto"/>
          <w:kern w:val="0"/>
          <w:sz w:val="24"/>
          <w:highlight w:val="none"/>
        </w:rPr>
        <w:t>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pPr>
        <w:widowControl/>
        <w:spacing w:line="500" w:lineRule="exact"/>
        <w:ind w:left="44" w:leftChars="21" w:right="60"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投标人应权衡利弊考虑是否提供数据电子备份投标文件（U盘），采购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3、CA锁解密时间为开标当日投标截止时间后</w:t>
      </w:r>
      <w:r>
        <w:rPr>
          <w:rFonts w:hint="eastAsia" w:ascii="仿宋" w:hAnsi="仿宋" w:eastAsia="仿宋"/>
          <w:color w:val="auto"/>
          <w:sz w:val="24"/>
          <w:highlight w:val="none"/>
          <w:shd w:val="pct10" w:color="auto" w:fill="FFFFFF"/>
        </w:rPr>
        <w:t>30分钟内</w:t>
      </w:r>
      <w:r>
        <w:rPr>
          <w:rFonts w:hint="eastAsia" w:ascii="仿宋" w:hAnsi="仿宋" w:eastAsia="仿宋"/>
          <w:color w:val="auto"/>
          <w:sz w:val="24"/>
          <w:highlight w:val="none"/>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4、投标人须在线获取CA数字证书（完成CA数字证书办理预计一周左右，建议各投标人自行把握时间）,并登陆“浙江政府采购网”（</w:t>
      </w:r>
      <w:r>
        <w:rPr>
          <w:rFonts w:ascii="仿宋" w:hAnsi="仿宋" w:eastAsia="仿宋"/>
          <w:color w:val="auto"/>
          <w:sz w:val="24"/>
          <w:highlight w:val="none"/>
        </w:rPr>
        <w:t>http://zfcg.czt.zj.gov.cn/</w:t>
      </w:r>
      <w:r>
        <w:rPr>
          <w:rFonts w:hint="eastAsia" w:ascii="仿宋" w:hAnsi="仿宋" w:eastAsia="仿宋"/>
          <w:color w:val="auto"/>
          <w:sz w:val="24"/>
          <w:highlight w:val="none"/>
        </w:rPr>
        <w:t>),进入“下载专区”下载“电子交易客户端”，制作投标文件。</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5、投标人将加密的电子版投标文件于投标截止时间前上传到政采云系统中。</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具体的投标文件加密上传等操作详见政采云平台操作指南。 (https://service.zcygov.cn）。</w:t>
      </w:r>
    </w:p>
    <w:p>
      <w:pPr>
        <w:spacing w:line="5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 xml:space="preserve">八、投标地址：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1、本项目通过“政府采购云平台（www.zcygov.cn）”实行在线投标响应（电子投 </w:t>
      </w:r>
    </w:p>
    <w:p>
      <w:pPr>
        <w:spacing w:line="500" w:lineRule="exact"/>
        <w:rPr>
          <w:rFonts w:ascii="仿宋" w:hAnsi="仿宋" w:eastAsia="仿宋"/>
          <w:color w:val="auto"/>
          <w:sz w:val="24"/>
          <w:highlight w:val="none"/>
        </w:rPr>
      </w:pPr>
      <w:r>
        <w:rPr>
          <w:rFonts w:hint="eastAsia" w:ascii="仿宋" w:hAnsi="仿宋" w:eastAsia="仿宋"/>
          <w:color w:val="auto"/>
          <w:sz w:val="24"/>
          <w:highlight w:val="none"/>
        </w:rPr>
        <w:t xml:space="preserve">标）。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2、投标人应当在投标截止时间前，将“电子加密投标文件”上传递交至“政府采购云平台”实行在线投标响应。投标截止时间以后上传递交的投标文件将被“政府采购云平台”拒收，作未递交投标文件处理。 </w:t>
      </w:r>
    </w:p>
    <w:p>
      <w:pPr>
        <w:spacing w:line="5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九、开标时间：202</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30</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14</w:t>
      </w:r>
      <w:r>
        <w:rPr>
          <w:rFonts w:hint="eastAsia" w:ascii="仿宋" w:hAnsi="仿宋" w:eastAsia="仿宋"/>
          <w:b/>
          <w:color w:val="auto"/>
          <w:sz w:val="24"/>
          <w:highlight w:val="none"/>
        </w:rPr>
        <w:t xml:space="preserve">:00时整 </w:t>
      </w:r>
    </w:p>
    <w:p>
      <w:pPr>
        <w:spacing w:line="5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十、开标地址：</w:t>
      </w:r>
      <w:r>
        <w:rPr>
          <w:rFonts w:hint="eastAsia" w:ascii="仿宋" w:hAnsi="仿宋" w:eastAsia="仿宋"/>
          <w:color w:val="auto"/>
          <w:sz w:val="24"/>
          <w:highlight w:val="none"/>
        </w:rPr>
        <w:t xml:space="preserve">湖州市公共资源交易中心（湖州市仁皇山片区金盖山路66号2号楼二楼开标室，届时详见二楼休息区电子显示屏），投标人应在投标截止时间前登入“政府采购云平台（www.zcygov.cn）”在线参与开标，并完成 CA 锁在线解密投标文件等相关工作。 </w:t>
      </w:r>
    </w:p>
    <w:p>
      <w:pPr>
        <w:spacing w:line="50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十一、其他事项：</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w:t>
      </w:r>
      <w:r>
        <w:rPr>
          <w:rFonts w:hint="eastAsia" w:ascii="仿宋" w:hAnsi="仿宋" w:eastAsia="仿宋"/>
          <w:color w:val="auto"/>
          <w:sz w:val="24"/>
          <w:highlight w:val="none"/>
          <w:lang w:val="en-US" w:eastAsia="zh-CN"/>
        </w:rPr>
        <w:t>95763</w:t>
      </w:r>
      <w:r>
        <w:rPr>
          <w:rFonts w:hint="eastAsia" w:ascii="仿宋" w:hAnsi="仿宋" w:eastAsia="仿宋"/>
          <w:color w:val="auto"/>
          <w:sz w:val="24"/>
          <w:highlight w:val="none"/>
        </w:rPr>
        <w:t xml:space="preserve">。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3、潜在投标人已依法获取其可质疑的招标文件，可以对该文件提出质疑。未按照规定方式依法获取招标文件的，不得对招标文件提起质疑投诉。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4、答疑内容是招标文件的组成部分，并将在网上发布补充（答疑、澄清）文件，潜在投标人应自行关注网站公告，采购人不再一一通知，投标人因自身贻误行为导致投标失效的，责任自负。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5、参与政府采购项目的注册投标人，需登录浙江政府采购云平台 （http</w:t>
      </w:r>
      <w:r>
        <w:rPr>
          <w:rFonts w:hint="eastAsia" w:ascii="仿宋" w:hAnsi="仿宋" w:eastAsia="仿宋"/>
          <w:color w:val="auto"/>
          <w:sz w:val="24"/>
          <w:highlight w:val="none"/>
          <w:lang w:val="en-US" w:eastAsia="zh-CN"/>
        </w:rPr>
        <w:t>s</w:t>
      </w:r>
      <w:r>
        <w:rPr>
          <w:rFonts w:hint="eastAsia" w:ascii="仿宋" w:hAnsi="仿宋" w:eastAsia="仿宋"/>
          <w:color w:val="auto"/>
          <w:sz w:val="24"/>
          <w:highlight w:val="none"/>
        </w:rPr>
        <w:t xml:space="preserve">://www.zcygov.cn）进行网上报名，尚未注册的投标人应当先在浙江政府采购云平台上申请注册，注册终审通过后再进行网上报名。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7、本项目是否专门面向中小企业采购：</w:t>
      </w:r>
      <w:r>
        <w:rPr>
          <w:rFonts w:hint="eastAsia" w:ascii="仿宋" w:hAnsi="仿宋" w:eastAsia="仿宋"/>
          <w:color w:val="auto"/>
          <w:sz w:val="24"/>
          <w:highlight w:val="none"/>
          <w:lang w:eastAsia="zh-CN"/>
        </w:rPr>
        <w:t>是</w:t>
      </w:r>
      <w:r>
        <w:rPr>
          <w:rFonts w:hint="eastAsia" w:ascii="仿宋" w:hAnsi="仿宋" w:eastAsia="仿宋"/>
          <w:color w:val="auto"/>
          <w:sz w:val="24"/>
          <w:highlight w:val="none"/>
        </w:rPr>
        <w:t xml:space="preserve">。 </w:t>
      </w:r>
    </w:p>
    <w:p>
      <w:pPr>
        <w:spacing w:line="5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8、本项目公告发布网站：浙江政府采购网：http</w:t>
      </w:r>
      <w:r>
        <w:rPr>
          <w:rFonts w:hint="eastAsia" w:ascii="仿宋" w:hAnsi="仿宋" w:eastAsia="仿宋"/>
          <w:color w:val="auto"/>
          <w:sz w:val="24"/>
          <w:highlight w:val="none"/>
          <w:lang w:val="en-US" w:eastAsia="zh-CN"/>
        </w:rPr>
        <w:t>s</w:t>
      </w:r>
      <w:r>
        <w:rPr>
          <w:rFonts w:hint="eastAsia" w:ascii="仿宋" w:hAnsi="仿宋" w:eastAsia="仿宋"/>
          <w:color w:val="auto"/>
          <w:sz w:val="24"/>
          <w:highlight w:val="none"/>
        </w:rPr>
        <w:t xml:space="preserve">://zfcg.czt.zj.gov.cn/ 、湖州市公共资源交易信息网：http://ggzyjy.huzhou.gov.cn/ </w:t>
      </w:r>
    </w:p>
    <w:p>
      <w:pPr>
        <w:spacing w:line="5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十</w:t>
      </w:r>
      <w:r>
        <w:rPr>
          <w:rFonts w:hint="eastAsia" w:ascii="仿宋" w:hAnsi="仿宋" w:eastAsia="仿宋"/>
          <w:b/>
          <w:color w:val="auto"/>
          <w:sz w:val="24"/>
          <w:highlight w:val="none"/>
          <w:lang w:val="en-US" w:eastAsia="zh-CN"/>
        </w:rPr>
        <w:t>二</w:t>
      </w:r>
      <w:r>
        <w:rPr>
          <w:rFonts w:hint="eastAsia" w:ascii="仿宋" w:hAnsi="仿宋" w:eastAsia="仿宋"/>
          <w:b/>
          <w:color w:val="auto"/>
          <w:sz w:val="24"/>
          <w:highlight w:val="none"/>
        </w:rPr>
        <w:t>、联系方式：</w:t>
      </w:r>
    </w:p>
    <w:p>
      <w:pPr>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1、采购代理机构名称：湖州市仁皇工程咨询有限公司</w:t>
      </w:r>
    </w:p>
    <w:p>
      <w:pPr>
        <w:spacing w:line="500" w:lineRule="exact"/>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eastAsia="zh-CN"/>
        </w:rPr>
        <w:t>徐欣媛</w:t>
      </w:r>
      <w:r>
        <w:rPr>
          <w:rFonts w:hint="eastAsia" w:ascii="仿宋" w:hAnsi="仿宋" w:eastAsia="仿宋"/>
          <w:color w:val="auto"/>
          <w:sz w:val="24"/>
          <w:highlight w:val="none"/>
        </w:rPr>
        <w:t xml:space="preserve">           联系电话：0572-261</w:t>
      </w:r>
      <w:r>
        <w:rPr>
          <w:rFonts w:hint="eastAsia" w:ascii="仿宋" w:hAnsi="仿宋" w:eastAsia="仿宋"/>
          <w:color w:val="auto"/>
          <w:sz w:val="24"/>
          <w:highlight w:val="none"/>
          <w:lang w:val="en-US" w:eastAsia="zh-CN"/>
        </w:rPr>
        <w:t>5598</w:t>
      </w:r>
    </w:p>
    <w:p>
      <w:pPr>
        <w:spacing w:line="500" w:lineRule="exact"/>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质疑函接收人：</w:t>
      </w:r>
      <w:r>
        <w:rPr>
          <w:rFonts w:hint="eastAsia" w:ascii="仿宋" w:hAnsi="仿宋" w:eastAsia="仿宋"/>
          <w:color w:val="auto"/>
          <w:sz w:val="24"/>
          <w:highlight w:val="none"/>
          <w:lang w:eastAsia="zh-CN"/>
        </w:rPr>
        <w:t>郭婷</w:t>
      </w:r>
      <w:r>
        <w:rPr>
          <w:rFonts w:hint="eastAsia" w:ascii="仿宋" w:hAnsi="仿宋" w:eastAsia="仿宋"/>
          <w:color w:val="auto"/>
          <w:sz w:val="24"/>
          <w:highlight w:val="none"/>
        </w:rPr>
        <w:t xml:space="preserve">       联系电话：0572-261</w:t>
      </w:r>
      <w:r>
        <w:rPr>
          <w:rFonts w:hint="eastAsia" w:ascii="仿宋" w:hAnsi="仿宋" w:eastAsia="仿宋"/>
          <w:color w:val="auto"/>
          <w:sz w:val="24"/>
          <w:highlight w:val="none"/>
          <w:lang w:val="en-US" w:eastAsia="zh-CN"/>
        </w:rPr>
        <w:t>9010</w:t>
      </w:r>
    </w:p>
    <w:p>
      <w:pPr>
        <w:spacing w:line="500" w:lineRule="exact"/>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地址：湖州市太湖路1155号中新商务大厦</w:t>
      </w:r>
      <w:r>
        <w:rPr>
          <w:rFonts w:hint="eastAsia" w:ascii="仿宋" w:hAnsi="仿宋" w:eastAsia="仿宋"/>
          <w:color w:val="auto"/>
          <w:sz w:val="24"/>
          <w:highlight w:val="none"/>
          <w:lang w:val="en-US" w:eastAsia="zh-CN"/>
        </w:rPr>
        <w:t>801B室</w:t>
      </w:r>
    </w:p>
    <w:p>
      <w:pPr>
        <w:snapToGrid w:val="0"/>
        <w:spacing w:line="500" w:lineRule="exact"/>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2、采购人名称：</w:t>
      </w:r>
      <w:r>
        <w:rPr>
          <w:rFonts w:hint="eastAsia" w:ascii="仿宋" w:hAnsi="仿宋" w:eastAsia="仿宋" w:cs="Arial"/>
          <w:color w:val="auto"/>
          <w:sz w:val="24"/>
          <w:highlight w:val="none"/>
          <w:lang w:eastAsia="zh-CN"/>
        </w:rPr>
        <w:t>湖州市直属水利工程运行管理所</w:t>
      </w:r>
      <w:r>
        <w:rPr>
          <w:rFonts w:hint="eastAsia" w:ascii="仿宋" w:hAnsi="仿宋" w:eastAsia="仿宋" w:cs="Arial"/>
          <w:color w:val="auto"/>
          <w:sz w:val="24"/>
          <w:highlight w:val="none"/>
        </w:rPr>
        <w:t xml:space="preserve"> </w:t>
      </w:r>
    </w:p>
    <w:p>
      <w:pPr>
        <w:spacing w:line="460" w:lineRule="exact"/>
        <w:ind w:firstLine="600" w:firstLineChars="250"/>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rPr>
        <w:t>联系人：</w:t>
      </w:r>
      <w:r>
        <w:rPr>
          <w:rFonts w:hint="eastAsia" w:ascii="仿宋" w:hAnsi="仿宋" w:eastAsia="仿宋" w:cs="Arial"/>
          <w:color w:val="auto"/>
          <w:sz w:val="24"/>
          <w:highlight w:val="none"/>
          <w:lang w:eastAsia="zh-CN"/>
        </w:rPr>
        <w:t>钱工</w:t>
      </w:r>
      <w:r>
        <w:rPr>
          <w:rFonts w:hint="eastAsia" w:ascii="仿宋" w:hAnsi="仿宋" w:eastAsia="仿宋" w:cs="Arial"/>
          <w:color w:val="auto"/>
          <w:sz w:val="24"/>
          <w:highlight w:val="none"/>
        </w:rPr>
        <w:t xml:space="preserve">     </w:t>
      </w:r>
      <w:r>
        <w:rPr>
          <w:rFonts w:hint="eastAsia" w:ascii="仿宋" w:hAnsi="仿宋" w:eastAsia="仿宋" w:cs="仿宋"/>
          <w:color w:val="auto"/>
          <w:sz w:val="24"/>
          <w:highlight w:val="none"/>
        </w:rPr>
        <w:t>联系电话：</w:t>
      </w:r>
      <w:r>
        <w:rPr>
          <w:rFonts w:hint="eastAsia" w:ascii="仿宋" w:hAnsi="仿宋" w:eastAsia="仿宋"/>
          <w:color w:val="auto"/>
          <w:sz w:val="24"/>
          <w:highlight w:val="none"/>
          <w:lang w:val="en-US" w:eastAsia="zh-CN"/>
        </w:rPr>
        <w:t>0572-2703975</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李女士</w:t>
      </w:r>
      <w:r>
        <w:rPr>
          <w:rFonts w:hint="eastAsia" w:ascii="仿宋" w:hAnsi="仿宋" w:eastAsia="仿宋" w:cs="仿宋"/>
          <w:color w:val="auto"/>
          <w:sz w:val="24"/>
          <w:highlight w:val="none"/>
        </w:rPr>
        <w:t xml:space="preserve">         联系电话：0572-21500</w:t>
      </w:r>
      <w:r>
        <w:rPr>
          <w:rFonts w:hint="eastAsia" w:ascii="仿宋" w:hAnsi="仿宋" w:eastAsia="仿宋" w:cs="仿宋"/>
          <w:color w:val="auto"/>
          <w:sz w:val="24"/>
          <w:highlight w:val="none"/>
          <w:lang w:val="en-US" w:eastAsia="zh-CN"/>
        </w:rPr>
        <w:t>86</w:t>
      </w:r>
    </w:p>
    <w:p>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地址：湖州市龙王山路518号</w:t>
      </w:r>
    </w:p>
    <w:p>
      <w:pPr>
        <w:snapToGrid w:val="0"/>
        <w:spacing w:line="500" w:lineRule="exact"/>
        <w:ind w:left="359" w:leftChars="171" w:firstLine="480" w:firstLineChars="200"/>
        <w:rPr>
          <w:rFonts w:ascii="仿宋" w:hAnsi="仿宋" w:eastAsia="仿宋" w:cs="Arial"/>
          <w:color w:val="auto"/>
          <w:sz w:val="24"/>
          <w:highlight w:val="none"/>
        </w:rPr>
      </w:pPr>
    </w:p>
    <w:p>
      <w:pPr>
        <w:snapToGrid w:val="0"/>
        <w:spacing w:line="500" w:lineRule="exact"/>
        <w:ind w:firstLine="780" w:firstLineChars="325"/>
        <w:rPr>
          <w:rFonts w:ascii="仿宋" w:hAnsi="仿宋" w:eastAsia="仿宋" w:cs="Arial"/>
          <w:color w:val="auto"/>
          <w:sz w:val="24"/>
          <w:highlight w:val="none"/>
        </w:rPr>
      </w:pPr>
    </w:p>
    <w:p>
      <w:pPr>
        <w:snapToGrid w:val="0"/>
        <w:spacing w:line="500" w:lineRule="exact"/>
        <w:ind w:firstLine="780" w:firstLineChars="325"/>
        <w:jc w:val="right"/>
        <w:rPr>
          <w:rFonts w:ascii="仿宋" w:hAnsi="仿宋" w:eastAsia="仿宋" w:cs="Arial"/>
          <w:color w:val="auto"/>
          <w:sz w:val="24"/>
          <w:highlight w:val="none"/>
        </w:rPr>
      </w:pPr>
    </w:p>
    <w:p>
      <w:pPr>
        <w:snapToGrid w:val="0"/>
        <w:spacing w:line="500" w:lineRule="exact"/>
        <w:ind w:left="238" w:right="480"/>
        <w:jc w:val="right"/>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eastAsia="zh-CN"/>
        </w:rPr>
        <w:t>湖州市直属水利工程运行管理所</w:t>
      </w:r>
    </w:p>
    <w:p>
      <w:pPr>
        <w:snapToGrid w:val="0"/>
        <w:spacing w:line="500" w:lineRule="exact"/>
        <w:ind w:left="238" w:right="480"/>
        <w:jc w:val="right"/>
        <w:rPr>
          <w:rFonts w:ascii="仿宋" w:hAnsi="仿宋" w:eastAsia="仿宋"/>
          <w:bCs/>
          <w:color w:val="auto"/>
          <w:sz w:val="24"/>
          <w:highlight w:val="none"/>
        </w:rPr>
      </w:pPr>
      <w:r>
        <w:rPr>
          <w:rFonts w:hint="eastAsia" w:ascii="仿宋" w:hAnsi="仿宋" w:eastAsia="仿宋"/>
          <w:bCs/>
          <w:color w:val="auto"/>
          <w:sz w:val="24"/>
          <w:highlight w:val="none"/>
        </w:rPr>
        <w:t>湖州市仁皇工程咨询有限公司</w:t>
      </w:r>
    </w:p>
    <w:p>
      <w:pPr>
        <w:wordWrap w:val="0"/>
        <w:snapToGrid w:val="0"/>
        <w:spacing w:line="500" w:lineRule="exact"/>
        <w:ind w:left="238" w:right="480"/>
        <w:jc w:val="right"/>
        <w:rPr>
          <w:rFonts w:ascii="仿宋" w:hAnsi="仿宋" w:eastAsia="仿宋"/>
          <w:bCs/>
          <w:color w:val="auto"/>
          <w:sz w:val="30"/>
          <w:szCs w:val="30"/>
          <w:highlight w:val="none"/>
        </w:rPr>
        <w:sectPr>
          <w:footerReference r:id="rId7" w:type="default"/>
          <w:pgSz w:w="11906" w:h="16838"/>
          <w:pgMar w:top="1134" w:right="1247" w:bottom="1134"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仿宋" w:hAnsi="仿宋" w:eastAsia="仿宋"/>
          <w:bCs/>
          <w:color w:val="auto"/>
          <w:sz w:val="24"/>
          <w:highlight w:val="none"/>
        </w:rPr>
        <w:t>202</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年</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月</w:t>
      </w:r>
      <w:r>
        <w:rPr>
          <w:rFonts w:hint="eastAsia" w:ascii="仿宋" w:hAnsi="仿宋" w:eastAsia="仿宋"/>
          <w:bCs/>
          <w:color w:val="auto"/>
          <w:sz w:val="24"/>
          <w:highlight w:val="none"/>
          <w:lang w:val="en-US" w:eastAsia="zh-CN"/>
        </w:rPr>
        <w:t>9</w:t>
      </w:r>
      <w:r>
        <w:rPr>
          <w:rFonts w:hint="eastAsia" w:ascii="仿宋" w:hAnsi="仿宋" w:eastAsia="仿宋"/>
          <w:bCs/>
          <w:color w:val="auto"/>
          <w:sz w:val="24"/>
          <w:highlight w:val="none"/>
        </w:rPr>
        <w:t>日</w:t>
      </w:r>
    </w:p>
    <w:bookmarkEnd w:id="3"/>
    <w:bookmarkEnd w:id="4"/>
    <w:bookmarkEnd w:id="5"/>
    <w:p>
      <w:pPr>
        <w:pStyle w:val="3"/>
        <w:numPr>
          <w:ilvl w:val="0"/>
          <w:numId w:val="1"/>
        </w:numPr>
        <w:spacing w:line="560" w:lineRule="exact"/>
        <w:rPr>
          <w:rFonts w:ascii="仿宋" w:hAnsi="仿宋" w:eastAsia="仿宋"/>
          <w:color w:val="auto"/>
          <w:sz w:val="32"/>
          <w:highlight w:val="none"/>
        </w:rPr>
      </w:pPr>
      <w:bookmarkStart w:id="6" w:name="_Toc9632"/>
      <w:r>
        <w:rPr>
          <w:rFonts w:hint="eastAsia" w:ascii="仿宋" w:hAnsi="仿宋" w:eastAsia="仿宋"/>
          <w:color w:val="auto"/>
          <w:sz w:val="32"/>
          <w:highlight w:val="none"/>
        </w:rPr>
        <w:t xml:space="preserve"> </w:t>
      </w:r>
      <w:r>
        <w:rPr>
          <w:rFonts w:ascii="仿宋" w:hAnsi="仿宋" w:eastAsia="仿宋"/>
          <w:color w:val="auto"/>
          <w:sz w:val="32"/>
          <w:highlight w:val="none"/>
        </w:rPr>
        <w:t xml:space="preserve">   </w:t>
      </w:r>
      <w:r>
        <w:rPr>
          <w:rFonts w:hint="eastAsia" w:ascii="仿宋" w:hAnsi="仿宋" w:eastAsia="仿宋"/>
          <w:color w:val="auto"/>
          <w:sz w:val="32"/>
          <w:highlight w:val="none"/>
        </w:rPr>
        <w:t>招标需求</w:t>
      </w:r>
    </w:p>
    <w:p>
      <w:pPr>
        <w:spacing w:line="440" w:lineRule="exac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一、项目名称：</w:t>
      </w:r>
      <w:r>
        <w:rPr>
          <w:rFonts w:hint="eastAsia" w:ascii="仿宋" w:hAnsi="仿宋" w:eastAsia="仿宋" w:cs="仿宋"/>
          <w:color w:val="auto"/>
          <w:sz w:val="24"/>
          <w:highlight w:val="none"/>
          <w:lang w:eastAsia="zh-CN"/>
        </w:rPr>
        <w:t>2023-2024</w:t>
      </w:r>
      <w:r>
        <w:rPr>
          <w:rFonts w:hint="eastAsia" w:ascii="仿宋" w:hAnsi="仿宋" w:eastAsia="仿宋" w:cs="仿宋"/>
          <w:color w:val="auto"/>
          <w:sz w:val="24"/>
          <w:highlight w:val="none"/>
        </w:rPr>
        <w:t>年度</w:t>
      </w:r>
      <w:r>
        <w:rPr>
          <w:rFonts w:hint="eastAsia" w:ascii="仿宋" w:hAnsi="仿宋" w:eastAsia="仿宋" w:cs="仿宋"/>
          <w:color w:val="auto"/>
          <w:sz w:val="24"/>
          <w:highlight w:val="none"/>
          <w:lang w:eastAsia="zh-CN"/>
        </w:rPr>
        <w:t>白蚁普查及灭治服务项目</w:t>
      </w:r>
    </w:p>
    <w:p>
      <w:pPr>
        <w:widowControl/>
        <w:spacing w:line="5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二、服务期限：</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三、防治区域及内容</w:t>
      </w:r>
    </w:p>
    <w:p>
      <w:pPr>
        <w:widowControl/>
        <w:spacing w:line="560" w:lineRule="exact"/>
        <w:ind w:firstLine="360" w:firstLineChars="150"/>
        <w:rPr>
          <w:rFonts w:ascii="仿宋_GB2312" w:hAnsi="仿宋" w:eastAsia="仿宋_GB2312" w:cs="仿宋"/>
          <w:color w:val="auto"/>
          <w:kern w:val="0"/>
          <w:sz w:val="30"/>
          <w:szCs w:val="30"/>
          <w:highlight w:val="none"/>
        </w:rPr>
      </w:pPr>
      <w:r>
        <w:rPr>
          <w:rFonts w:hint="eastAsia" w:ascii="仿宋" w:hAnsi="仿宋" w:eastAsia="仿宋" w:cs="仿宋"/>
          <w:color w:val="auto"/>
          <w:sz w:val="24"/>
          <w:highlight w:val="none"/>
        </w:rPr>
        <w:t>1、白蚁防治区域：导流东大堤，长兜港、旄儿港、环城河、大钱港、环湖大堤（湖州市区段）、杭嘉湖北排通道（湖州段）、太嘉河、环湖河道</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共计约305.5公里堤防，35座水闸泵站管理区域，杨家庄防汛仓库的白蚁普查及灭治。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2、工作内容包括：蚁巢处理、喷洒药剂，施药防治；蚁巢处理须抓鲜活蚁王、蚁后，进行施药，土方回填夯实；喷洒药剂须提供不影响水体安全证明。</w:t>
      </w:r>
    </w:p>
    <w:p>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四、工作质量检查考核</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承包人工作职责：供应商在每年7至10月期间对本项目白蚁防治区域全范围拉网式普查过程中，对发现蚁害位置堤防进行现场标记。当年普查完成后，结合历年白蚁普查情况，在当年10月30日前出具一套白蚁普查情况及分析报告，当年11月底前对发现的白蚁进行灭治并提供灭治报告。</w:t>
      </w:r>
    </w:p>
    <w:p>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五、发包人终止合同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1、白蚁防治实施过程中，发现承包人未按规定要求配备人员、场地、机构设备的或查实弄虚作假的，发包人有权利终止合同。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2、对工作检查中存在问题，发包人以书面形式责令限期整改，如果承包人不整改或达不到整改要求的，发包人有权利终止合同。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3、发现使用药剂影响水体安全的，发包人有权利终止合同，并追究相关责任。</w:t>
      </w:r>
    </w:p>
    <w:p>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六、商务要求</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（一）承包人配备要求</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1、机械设备要求：承包人拟投入本项目的白蚁防治专用汽车不少于2辆，配备必要的白蚁防治设备、工具、药物、安全、统一工作服、劳保用品。</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2、专职人员要求：</w:t>
      </w:r>
    </w:p>
    <w:p>
      <w:pPr>
        <w:spacing w:line="560" w:lineRule="exact"/>
        <w:rPr>
          <w:rFonts w:ascii="仿宋" w:hAnsi="仿宋" w:eastAsia="仿宋" w:cs="仿宋"/>
          <w:color w:val="auto"/>
          <w:sz w:val="24"/>
          <w:highlight w:val="none"/>
        </w:rPr>
      </w:pPr>
      <w:r>
        <w:rPr>
          <w:rFonts w:ascii="仿宋" w:hAnsi="仿宋" w:eastAsia="仿宋"/>
          <w:color w:val="auto"/>
          <w:highlight w:val="none"/>
        </w:rPr>
        <w:t>▲</w:t>
      </w:r>
      <w:r>
        <w:rPr>
          <w:rFonts w:hint="eastAsia" w:ascii="仿宋" w:hAnsi="仿宋" w:eastAsia="仿宋" w:cs="仿宋"/>
          <w:color w:val="auto"/>
          <w:sz w:val="24"/>
          <w:highlight w:val="none"/>
        </w:rPr>
        <w:t>2.1项目负责人：1人，具有白蚁防治类或相关专业中级及以上职称（相关专业包括生物，药物检测等，提供职称证书及</w:t>
      </w:r>
      <w:r>
        <w:rPr>
          <w:rFonts w:hint="eastAsia" w:ascii="仿宋" w:hAnsi="仿宋" w:eastAsia="仿宋" w:cs="仿宋"/>
          <w:bCs/>
          <w:color w:val="auto"/>
          <w:sz w:val="24"/>
          <w:highlight w:val="none"/>
        </w:rPr>
        <w:t>供应商为其缴纳的近三个月中任意一个月的社保证明</w:t>
      </w:r>
      <w:r>
        <w:rPr>
          <w:rFonts w:hint="eastAsia" w:ascii="仿宋" w:hAnsi="仿宋" w:eastAsia="仿宋" w:cs="仿宋"/>
          <w:color w:val="auto"/>
          <w:sz w:val="24"/>
          <w:highlight w:val="none"/>
        </w:rPr>
        <w:t>）；</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2.2投入本项目的其他白蚁防治专职人员不少于2个小组，每个小组不少于3人，持有白蚁防治相关资格证书（提供证书及</w:t>
      </w:r>
      <w:r>
        <w:rPr>
          <w:rFonts w:hint="eastAsia" w:ascii="仿宋" w:hAnsi="仿宋" w:eastAsia="仿宋" w:cs="仿宋"/>
          <w:bCs/>
          <w:color w:val="auto"/>
          <w:sz w:val="24"/>
          <w:highlight w:val="none"/>
        </w:rPr>
        <w:t>供应商为其缴纳的近三个月中任意一个月的社保证明</w:t>
      </w:r>
      <w:r>
        <w:rPr>
          <w:rFonts w:hint="eastAsia" w:ascii="仿宋" w:hAnsi="仿宋" w:eastAsia="仿宋" w:cs="仿宋"/>
          <w:color w:val="auto"/>
          <w:sz w:val="24"/>
          <w:highlight w:val="none"/>
        </w:rPr>
        <w:t>）；</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（二）结算：本项目为单价承包项目,根据实际完成工程量，按实结算,最终以决算审计价格为准。</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（三）其它要求：承包人必须在施工时采取安全保障措施，保证安全施工，同时必须给</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所有施工人员购买人身意外保险，费用包含在报价中，不单独计列。施工过程中产生的所有安全事故及责任均由承包人自行承担，业主方不负任何责任。</w:t>
      </w:r>
    </w:p>
    <w:p>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七、工作要求</w:t>
      </w:r>
    </w:p>
    <w:p>
      <w:pPr>
        <w:numPr>
          <w:ilvl w:val="0"/>
          <w:numId w:val="2"/>
        </w:num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除治、消杀范围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白蚁防治方式分别是挖巢灭治白蚁、施药灭治等。土栖白蚁采取挖除蚁巢，活捉蚁王、蚁后的方式</w:t>
      </w:r>
      <w:r>
        <w:rPr>
          <w:rFonts w:hint="eastAsia" w:ascii="仿宋" w:hAnsi="仿宋" w:eastAsia="仿宋" w:cs="仿宋"/>
          <w:color w:val="auto"/>
          <w:sz w:val="24"/>
          <w:highlight w:val="none"/>
          <w:lang w:eastAsia="zh-CN"/>
        </w:rPr>
        <w:t>结合施药</w:t>
      </w:r>
      <w:r>
        <w:rPr>
          <w:rFonts w:hint="eastAsia" w:ascii="仿宋" w:hAnsi="仿宋" w:eastAsia="仿宋" w:cs="仿宋"/>
          <w:color w:val="auto"/>
          <w:sz w:val="24"/>
          <w:highlight w:val="none"/>
        </w:rPr>
        <w:t>进行处理。散白蚁采用施药防治等方式。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开挖蚁巢由承包单位负责回填，必须符合堤防工程有关规范、规程，回填土料回填质量符合水利工程施工规范要求</w:t>
      </w:r>
      <w:r>
        <w:rPr>
          <w:rFonts w:hint="eastAsia" w:ascii="仿宋" w:hAnsi="仿宋" w:eastAsia="仿宋" w:cs="仿宋"/>
          <w:color w:val="auto"/>
          <w:sz w:val="24"/>
          <w:highlight w:val="none"/>
          <w:lang w:eastAsia="zh-CN"/>
        </w:rPr>
        <w:t>，所需费用包含在报价中，不再单独计列</w:t>
      </w:r>
      <w:r>
        <w:rPr>
          <w:rFonts w:hint="eastAsia" w:ascii="仿宋" w:hAnsi="仿宋" w:eastAsia="仿宋" w:cs="仿宋"/>
          <w:color w:val="auto"/>
          <w:sz w:val="24"/>
          <w:highlight w:val="none"/>
        </w:rPr>
        <w:t>。</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现场开挖时，须通知发包人相关人员到场，开挖到的白蚁蚁巢的数量应经发包人、承包单位双方签字确认，开挖的蚁巢不得进行焚烧。</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（2）施工</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a.根据白蚁</w:t>
      </w:r>
      <w:r>
        <w:rPr>
          <w:rFonts w:hint="eastAsia" w:ascii="仿宋" w:hAnsi="仿宋" w:eastAsia="仿宋" w:cs="仿宋"/>
          <w:color w:val="auto"/>
          <w:sz w:val="24"/>
          <w:highlight w:val="none"/>
          <w:lang w:eastAsia="zh-CN"/>
        </w:rPr>
        <w:t>普查实施</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和白蚁灭菌治实施方案开展施工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白蚁普查实施方案</w:t>
      </w:r>
      <w:r>
        <w:rPr>
          <w:rFonts w:hint="eastAsia" w:ascii="仿宋" w:hAnsi="仿宋" w:eastAsia="仿宋"/>
          <w:color w:val="auto"/>
          <w:sz w:val="24"/>
          <w:highlight w:val="none"/>
          <w:lang w:eastAsia="zh-CN"/>
        </w:rPr>
        <w:t>包括</w:t>
      </w:r>
      <w:r>
        <w:rPr>
          <w:rFonts w:hint="eastAsia" w:ascii="仿宋" w:hAnsi="仿宋" w:eastAsia="仿宋"/>
          <w:color w:val="auto"/>
          <w:sz w:val="24"/>
          <w:highlight w:val="none"/>
        </w:rPr>
        <w:t>组织保障措施、</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质量保证措施</w:t>
      </w:r>
      <w:r>
        <w:rPr>
          <w:rFonts w:hint="eastAsia" w:ascii="仿宋" w:hAnsi="仿宋" w:eastAsia="仿宋"/>
          <w:color w:val="auto"/>
          <w:sz w:val="24"/>
          <w:highlight w:val="none"/>
          <w:lang w:eastAsia="zh-CN"/>
        </w:rPr>
        <w:t>，白蚁灭治实施方案包括</w:t>
      </w:r>
      <w:r>
        <w:rPr>
          <w:rFonts w:hint="eastAsia" w:ascii="仿宋" w:hAnsi="仿宋" w:eastAsia="仿宋"/>
          <w:color w:val="auto"/>
          <w:sz w:val="24"/>
          <w:highlight w:val="none"/>
        </w:rPr>
        <w:t>组织保障措施、</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质量保证措施</w:t>
      </w:r>
      <w:r>
        <w:rPr>
          <w:rFonts w:hint="eastAsia" w:ascii="仿宋" w:hAnsi="仿宋" w:eastAsia="仿宋" w:cs="仿宋"/>
          <w:color w:val="auto"/>
          <w:sz w:val="24"/>
          <w:highlight w:val="none"/>
        </w:rPr>
        <w:t>。承包人应按照白蚁</w:t>
      </w:r>
      <w:r>
        <w:rPr>
          <w:rFonts w:hint="eastAsia" w:ascii="仿宋" w:hAnsi="仿宋" w:eastAsia="仿宋" w:cs="仿宋"/>
          <w:color w:val="auto"/>
          <w:sz w:val="24"/>
          <w:highlight w:val="none"/>
          <w:lang w:eastAsia="zh-CN"/>
        </w:rPr>
        <w:t>普查实施</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和白蚁灭菌治实施方案</w:t>
      </w:r>
      <w:r>
        <w:rPr>
          <w:rFonts w:hint="eastAsia" w:ascii="仿宋" w:hAnsi="仿宋" w:eastAsia="仿宋" w:cs="仿宋"/>
          <w:color w:val="auto"/>
          <w:sz w:val="24"/>
          <w:highlight w:val="none"/>
        </w:rPr>
        <w:t>组织施工，不得自行随意改变。</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b.施工开始前，应对施工现场、工地周围的地下棺木、树根、朽木等含纤维素类废旧物进行全面清理。</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c.每日施工完毕，填写《白蚁防治施工记录表》，并由发包人和承包人的工地负责人共同签字，以此作为中间验收的资料。</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d.对施药情况存在争议的，可取样送指定机构检测。</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e.在有工程施工任务的地方，承包人应督促土建工程施工及时清理施工中的木模板和木桩，不得将其残留或回填在土层中，防止白蚁孳生繁殖。</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f.防治过程应严格遵守有关安全生产规定，在药物施工操作过程中，施工人员必须穿戴好防护用具，如专用工作服、安全帽、防毒口罩、防护手套、防护鞋等。</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g.不得在降雨前或降雨过程中喷洒施药。</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h.当皮肤沾有药剂时，应及时用肥皂、冷水清洗。施工操作完毕后，应及时清洗工具和双手、头脸等外露部位，及时更换衣服。</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i.施药结束后，应及时清洗器械，药物容器应集中处理，不得任意丢弃或作他用，剩余药物应运回仓库妥善保管。</w:t>
      </w:r>
    </w:p>
    <w:p>
      <w:pPr>
        <w:spacing w:line="5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j.发生药物中毒时，应立即送医院诊治。</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（3）白蚁监控系统设置</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白蚁防治应对堤防埋设白蚁诱杀管（费用包含在投标报价中，不再另行计列）。</w:t>
      </w:r>
    </w:p>
    <w:p>
      <w:pPr>
        <w:spacing w:line="560" w:lineRule="exact"/>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（4）其他要求</w:t>
      </w:r>
    </w:p>
    <w:p>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出现紧急情况时，承包人必须派人第一时间赶到现场，排除白蚁险情。</w:t>
      </w:r>
    </w:p>
    <w:p>
      <w:pPr>
        <w:spacing w:line="560" w:lineRule="exact"/>
        <w:jc w:val="left"/>
        <w:rPr>
          <w:rFonts w:ascii="仿宋" w:hAnsi="仿宋" w:eastAsia="仿宋"/>
          <w:b/>
          <w:color w:val="auto"/>
          <w:sz w:val="24"/>
          <w:highlight w:val="none"/>
        </w:rPr>
      </w:pPr>
      <w:r>
        <w:rPr>
          <w:rFonts w:hint="eastAsia" w:ascii="仿宋" w:hAnsi="仿宋" w:eastAsia="仿宋"/>
          <w:b/>
          <w:color w:val="auto"/>
          <w:sz w:val="24"/>
          <w:highlight w:val="none"/>
        </w:rPr>
        <w:t>八、付款方式：</w:t>
      </w:r>
    </w:p>
    <w:p>
      <w:pPr>
        <w:spacing w:line="440" w:lineRule="exact"/>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根据《保障中小企业款项支付条例》、省财政厅《关于进一步发挥政府采购政策功能全力推动经济稳进提质的通知》（浙财采监〔2022〕3号）要求，制定如下付款方式：</w:t>
      </w:r>
    </w:p>
    <w:p>
      <w:pPr>
        <w:pStyle w:val="15"/>
        <w:numPr>
          <w:ilvl w:val="0"/>
          <w:numId w:val="3"/>
        </w:num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shd w:val="clear" w:color="auto" w:fill="FFFFFF"/>
        </w:rPr>
        <w:t>预付款：合同生效及具备实施条件后</w:t>
      </w:r>
      <w:r>
        <w:rPr>
          <w:rFonts w:hint="eastAsia" w:ascii="仿宋" w:hAnsi="仿宋" w:eastAsia="仿宋" w:cs="宋体"/>
          <w:color w:val="auto"/>
          <w:kern w:val="0"/>
          <w:sz w:val="24"/>
          <w:szCs w:val="24"/>
          <w:highlight w:val="none"/>
          <w:shd w:val="clear" w:color="auto" w:fill="FFFFFF"/>
          <w:lang w:val="en-US" w:eastAsia="zh-CN"/>
        </w:rPr>
        <w:t>7个工作日</w:t>
      </w:r>
      <w:r>
        <w:rPr>
          <w:rFonts w:hint="eastAsia" w:ascii="仿宋" w:hAnsi="仿宋" w:eastAsia="仿宋" w:cs="宋体"/>
          <w:color w:val="auto"/>
          <w:kern w:val="0"/>
          <w:sz w:val="24"/>
          <w:szCs w:val="24"/>
          <w:highlight w:val="none"/>
          <w:shd w:val="clear" w:color="auto" w:fill="FFFFFF"/>
        </w:rPr>
        <w:t>内支付当年的预付款，为当年年度报价的30%。</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年的7月底前支付当年年度报价的30%为预付款。</w:t>
      </w:r>
    </w:p>
    <w:p>
      <w:pPr>
        <w:pStyle w:val="15"/>
        <w:numPr>
          <w:ilvl w:val="0"/>
          <w:numId w:val="3"/>
        </w:num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付款方式：普查及灭治完成工程量须经采购人及跟踪审价单位确认，方可进行结算。每年普查完成出具普查报告及灭治完成后，按实际完成工作量支付扣除预付款后的年度费用。</w:t>
      </w:r>
    </w:p>
    <w:p>
      <w:pPr>
        <w:pStyle w:val="15"/>
        <w:spacing w:line="560" w:lineRule="exact"/>
        <w:ind w:firstLine="480" w:firstLineChars="200"/>
        <w:rPr>
          <w:rFonts w:ascii="仿宋" w:hAnsi="仿宋" w:eastAsia="仿宋" w:cs="宋体"/>
          <w:color w:val="auto"/>
          <w:kern w:val="0"/>
          <w:sz w:val="24"/>
          <w:szCs w:val="24"/>
          <w:highlight w:val="none"/>
          <w:shd w:val="clear" w:color="auto" w:fill="FFFFFF"/>
        </w:rPr>
      </w:pPr>
      <w:r>
        <w:rPr>
          <w:rFonts w:hint="eastAsia" w:ascii="仿宋" w:hAnsi="仿宋" w:eastAsia="仿宋" w:cs="宋体"/>
          <w:color w:val="auto"/>
          <w:kern w:val="0"/>
          <w:sz w:val="24"/>
          <w:szCs w:val="24"/>
          <w:highlight w:val="none"/>
          <w:shd w:val="clear" w:color="auto" w:fill="FFFFFF"/>
        </w:rPr>
        <w:t>注：若中标供应商明确表示无需预付款或主动要求降低预付款比例的，采购人可不适用前述规定。</w:t>
      </w:r>
    </w:p>
    <w:p>
      <w:pPr>
        <w:spacing w:line="560" w:lineRule="exact"/>
        <w:ind w:firstLine="360" w:firstLineChars="150"/>
        <w:rPr>
          <w:rFonts w:ascii="仿宋" w:hAnsi="仿宋" w:eastAsia="仿宋" w:cs="宋体"/>
          <w:color w:val="auto"/>
          <w:kern w:val="0"/>
          <w:sz w:val="24"/>
          <w:highlight w:val="none"/>
          <w:shd w:val="clear" w:color="auto" w:fill="FFFFFF"/>
        </w:rPr>
      </w:pPr>
      <w:r>
        <w:rPr>
          <w:rFonts w:hint="eastAsia" w:ascii="仿宋" w:hAnsi="仿宋" w:eastAsia="仿宋" w:cs="宋体"/>
          <w:color w:val="auto"/>
          <w:kern w:val="0"/>
          <w:sz w:val="24"/>
          <w:highlight w:val="none"/>
          <w:shd w:val="clear" w:color="auto" w:fill="FFFFFF"/>
        </w:rPr>
        <w:t>税费：本服务执行中相关的一切税费均由中标供应商负担。</w:t>
      </w:r>
    </w:p>
    <w:p>
      <w:pPr>
        <w:pStyle w:val="4"/>
        <w:ind w:left="0" w:leftChars="0" w:firstLine="0" w:firstLineChars="0"/>
        <w:rPr>
          <w:rFonts w:hint="eastAsia" w:ascii="仿宋" w:hAnsi="仿宋" w:eastAsia="仿宋" w:cs="仿宋"/>
          <w:b w:val="0"/>
          <w:bCs w:val="0"/>
          <w:color w:val="auto"/>
          <w:sz w:val="24"/>
          <w:szCs w:val="24"/>
          <w:highlight w:val="none"/>
        </w:rPr>
      </w:pPr>
    </w:p>
    <w:p>
      <w:pPr>
        <w:rPr>
          <w:rFonts w:hint="eastAsia" w:ascii="仿宋" w:hAnsi="仿宋" w:eastAsia="仿宋" w:cs="仿宋"/>
          <w:b w:val="0"/>
          <w:bCs w:val="0"/>
          <w:color w:val="auto"/>
          <w:sz w:val="24"/>
          <w:szCs w:val="24"/>
          <w:highlight w:val="none"/>
        </w:rPr>
      </w:pPr>
    </w:p>
    <w:p>
      <w:pPr>
        <w:pStyle w:val="17"/>
        <w:rPr>
          <w:rFonts w:hint="eastAsia" w:ascii="仿宋" w:hAnsi="仿宋" w:eastAsia="仿宋" w:cs="仿宋"/>
          <w:b w:val="0"/>
          <w:bCs w:val="0"/>
          <w:color w:val="auto"/>
          <w:sz w:val="24"/>
          <w:szCs w:val="24"/>
          <w:highlight w:val="none"/>
        </w:rPr>
      </w:pPr>
    </w:p>
    <w:p>
      <w:pPr>
        <w:pStyle w:val="17"/>
        <w:rPr>
          <w:rFonts w:hint="eastAsia" w:ascii="仿宋" w:hAnsi="仿宋" w:eastAsia="仿宋" w:cs="仿宋"/>
          <w:b w:val="0"/>
          <w:bCs w:val="0"/>
          <w:color w:val="auto"/>
          <w:sz w:val="24"/>
          <w:szCs w:val="24"/>
          <w:highlight w:val="none"/>
        </w:rPr>
      </w:pPr>
    </w:p>
    <w:p>
      <w:pPr>
        <w:pStyle w:val="17"/>
        <w:rPr>
          <w:rFonts w:hint="eastAsia" w:ascii="仿宋" w:hAnsi="仿宋" w:eastAsia="仿宋" w:cs="仿宋"/>
          <w:b w:val="0"/>
          <w:bCs w:val="0"/>
          <w:color w:val="auto"/>
          <w:sz w:val="24"/>
          <w:szCs w:val="24"/>
          <w:highlight w:val="none"/>
        </w:rPr>
      </w:pPr>
    </w:p>
    <w:p>
      <w:pPr>
        <w:pStyle w:val="17"/>
        <w:rPr>
          <w:rFonts w:hint="eastAsia" w:ascii="仿宋" w:hAnsi="仿宋" w:eastAsia="仿宋" w:cs="仿宋"/>
          <w:b w:val="0"/>
          <w:bCs w:val="0"/>
          <w:color w:val="auto"/>
          <w:sz w:val="24"/>
          <w:szCs w:val="24"/>
          <w:highlight w:val="none"/>
        </w:rPr>
      </w:pPr>
    </w:p>
    <w:p>
      <w:pPr>
        <w:pStyle w:val="17"/>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pStyle w:val="17"/>
        <w:rPr>
          <w:rFonts w:hint="eastAsia" w:ascii="仿宋" w:hAnsi="仿宋" w:eastAsia="仿宋" w:cs="仿宋"/>
          <w:b w:val="0"/>
          <w:bCs w:val="0"/>
          <w:color w:val="auto"/>
          <w:sz w:val="24"/>
          <w:szCs w:val="24"/>
          <w:highlight w:val="none"/>
          <w:lang w:val="en-US" w:eastAsia="zh-CN"/>
        </w:rPr>
      </w:pPr>
    </w:p>
    <w:p>
      <w:pPr>
        <w:rPr>
          <w:rFonts w:hint="eastAsia"/>
          <w:color w:val="auto"/>
          <w:highlight w:val="none"/>
        </w:rPr>
      </w:pPr>
    </w:p>
    <w:p>
      <w:pPr>
        <w:pStyle w:val="3"/>
        <w:spacing w:line="560" w:lineRule="exact"/>
        <w:jc w:val="center"/>
        <w:rPr>
          <w:rFonts w:hint="eastAsia" w:ascii="仿宋" w:hAnsi="仿宋" w:eastAsia="仿宋" w:cs="Times New Roman"/>
          <w:color w:val="auto"/>
          <w:sz w:val="32"/>
          <w:highlight w:val="none"/>
        </w:rPr>
      </w:pPr>
      <w:r>
        <w:rPr>
          <w:rFonts w:hint="eastAsia" w:ascii="仿宋" w:hAnsi="仿宋" w:eastAsia="仿宋" w:cs="Times New Roman"/>
          <w:color w:val="auto"/>
          <w:sz w:val="32"/>
          <w:highlight w:val="none"/>
        </w:rPr>
        <w:t>第三章</w:t>
      </w:r>
      <w:bookmarkEnd w:id="6"/>
      <w:r>
        <w:rPr>
          <w:rFonts w:hint="eastAsia" w:ascii="仿宋" w:hAnsi="仿宋" w:eastAsia="仿宋" w:cs="Times New Roman"/>
          <w:color w:val="auto"/>
          <w:sz w:val="32"/>
          <w:highlight w:val="none"/>
        </w:rPr>
        <w:t xml:space="preserve"> 投标人须知</w:t>
      </w:r>
    </w:p>
    <w:p>
      <w:pPr>
        <w:snapToGrid w:val="0"/>
        <w:spacing w:before="120" w:beforeLines="50" w:after="120" w:afterLines="50"/>
        <w:ind w:left="238"/>
        <w:jc w:val="center"/>
        <w:outlineLvl w:val="1"/>
        <w:rPr>
          <w:rFonts w:ascii="仿宋" w:hAnsi="仿宋" w:eastAsia="仿宋"/>
          <w:color w:val="auto"/>
          <w:sz w:val="24"/>
          <w:highlight w:val="none"/>
        </w:rPr>
      </w:pPr>
      <w:bookmarkStart w:id="7" w:name="_Toc130094928"/>
      <w:bookmarkStart w:id="8" w:name="_Toc98731777"/>
      <w:bookmarkStart w:id="9" w:name="_Toc98731756"/>
      <w:bookmarkStart w:id="10" w:name="_Toc130094913"/>
      <w:r>
        <w:rPr>
          <w:rFonts w:hint="eastAsia" w:ascii="仿宋" w:hAnsi="仿宋" w:eastAsia="仿宋"/>
          <w:color w:val="auto"/>
          <w:sz w:val="24"/>
          <w:highlight w:val="none"/>
        </w:rPr>
        <w:t>前附表</w:t>
      </w:r>
    </w:p>
    <w:tbl>
      <w:tblPr>
        <w:tblStyle w:val="26"/>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color w:val="auto"/>
                <w:spacing w:val="-14"/>
                <w:sz w:val="24"/>
                <w:highlight w:val="none"/>
              </w:rPr>
            </w:pPr>
            <w:r>
              <w:rPr>
                <w:rFonts w:hint="eastAsia" w:ascii="仿宋" w:hAnsi="仿宋" w:eastAsia="仿宋"/>
                <w:color w:val="auto"/>
                <w:spacing w:val="-14"/>
                <w:sz w:val="24"/>
                <w:highlight w:val="none"/>
              </w:rPr>
              <w:t>项目名称：</w:t>
            </w:r>
            <w:r>
              <w:rPr>
                <w:rFonts w:hint="eastAsia" w:ascii="仿宋" w:hAnsi="仿宋" w:eastAsia="仿宋"/>
                <w:color w:val="auto"/>
                <w:sz w:val="24"/>
                <w:highlight w:val="none"/>
                <w:u w:val="none"/>
                <w:lang w:eastAsia="zh-CN"/>
              </w:rPr>
              <w:t>2023-2024年度白蚁普查及灭治服务项目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采购内容及数量：详见第二章</w:t>
            </w:r>
            <w:r>
              <w:rPr>
                <w:rFonts w:hint="eastAsia" w:ascii="仿宋" w:hAnsi="仿宋" w:eastAsia="仿宋"/>
                <w:color w:val="auto"/>
                <w:sz w:val="24"/>
                <w:highlight w:val="none"/>
                <w:lang w:eastAsia="zh-CN"/>
              </w:rPr>
              <w:t>招标</w:t>
            </w:r>
            <w:r>
              <w:rPr>
                <w:rFonts w:hint="eastAsia" w:ascii="仿宋" w:hAnsi="仿宋" w:eastAsia="仿宋"/>
                <w:color w:val="auto"/>
                <w:sz w:val="24"/>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color w:val="auto"/>
                <w:sz w:val="24"/>
                <w:highlight w:val="none"/>
              </w:rPr>
            </w:pPr>
            <w:r>
              <w:rPr>
                <w:rFonts w:hint="eastAsia" w:ascii="仿宋" w:hAnsi="仿宋" w:eastAsia="仿宋"/>
                <w:color w:val="auto"/>
                <w:sz w:val="24"/>
                <w:highlight w:val="none"/>
              </w:rPr>
              <w:t>投标报价及费用：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本项目投标应以人民币报价；2、不论投标结果如何，投标人均应自行承担所有与投标有关的全部费用；3、本项目代理服务费</w:t>
            </w:r>
            <w:r>
              <w:rPr>
                <w:rFonts w:hint="eastAsia" w:ascii="仿宋" w:hAnsi="仿宋" w:eastAsia="仿宋"/>
                <w:color w:val="auto"/>
                <w:sz w:val="24"/>
                <w:highlight w:val="none"/>
                <w:u w:val="single"/>
                <w:lang w:val="en-US" w:eastAsia="zh-CN"/>
              </w:rPr>
              <w:t>壹万贰仟元</w:t>
            </w:r>
            <w:r>
              <w:rPr>
                <w:rFonts w:hint="eastAsia" w:ascii="仿宋" w:hAnsi="仿宋" w:eastAsia="仿宋"/>
                <w:color w:val="auto"/>
                <w:sz w:val="24"/>
                <w:highlight w:val="none"/>
              </w:rPr>
              <w:t>由相应中标人支付。在确定中标人后，领取中标通知书前，由中标人全额支付，请各投标人自行考虑计入投标报价中。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预算及</w:t>
            </w:r>
            <w:r>
              <w:rPr>
                <w:rFonts w:hint="eastAsia" w:ascii="仿宋" w:hAnsi="仿宋" w:eastAsia="仿宋"/>
                <w:color w:val="auto"/>
                <w:sz w:val="24"/>
                <w:highlight w:val="none"/>
              </w:rPr>
              <w:t>最高限价：</w:t>
            </w:r>
            <w:r>
              <w:rPr>
                <w:rFonts w:hint="eastAsia" w:ascii="仿宋" w:hAnsi="仿宋" w:eastAsia="仿宋"/>
                <w:color w:val="auto"/>
                <w:sz w:val="24"/>
                <w:highlight w:val="none"/>
                <w:lang w:val="en-US" w:eastAsia="zh-CN"/>
              </w:rPr>
              <w:t>63</w:t>
            </w:r>
            <w:r>
              <w:rPr>
                <w:rFonts w:hint="eastAsia" w:ascii="仿宋" w:hAnsi="仿宋" w:eastAsia="仿宋"/>
                <w:color w:val="auto"/>
                <w:sz w:val="24"/>
                <w:highlight w:val="none"/>
              </w:rPr>
              <w:t>万元。</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超过最高限价的报价</w:t>
            </w:r>
            <w:r>
              <w:rPr>
                <w:rFonts w:hint="eastAsia" w:ascii="仿宋" w:hAnsi="仿宋" w:eastAsia="仿宋"/>
                <w:color w:val="auto"/>
                <w:sz w:val="24"/>
                <w:highlight w:val="none"/>
                <w:lang w:eastAsia="zh-CN"/>
              </w:rPr>
              <w:t>（含单项限价）</w:t>
            </w:r>
            <w:r>
              <w:rPr>
                <w:rFonts w:hint="eastAsia" w:ascii="仿宋" w:hAnsi="仿宋" w:eastAsia="仿宋"/>
                <w:color w:val="auto"/>
                <w:sz w:val="24"/>
                <w:highlight w:val="none"/>
              </w:rPr>
              <w:t>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olor w:val="auto"/>
                <w:sz w:val="24"/>
                <w:highlight w:val="none"/>
              </w:rPr>
            </w:pPr>
            <w:r>
              <w:rPr>
                <w:rFonts w:hint="eastAsia" w:ascii="仿宋" w:hAnsi="仿宋" w:eastAsia="仿宋"/>
                <w:color w:val="auto"/>
                <w:sz w:val="24"/>
                <w:highlight w:val="none"/>
              </w:rPr>
              <w:t>1、投标文件的制作：本项目实行电子招投标。</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2、投标人应按要求提供电子投标文件及数据电子备份投标文件（U盘），具体内容如下：</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（1）电子投标文件：按政采云平台项目采购-电子交易操作指南及本招标文件要求制作、加密并递交，超过上传时间的视为放弃投标资格，作未递交投标文件处理；</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shd w:val="pct10" w:color="auto" w:fill="FFFFFF"/>
              </w:rPr>
            </w:pPr>
            <w:r>
              <w:rPr>
                <w:rFonts w:hint="eastAsia" w:ascii="仿宋" w:hAnsi="仿宋" w:eastAsia="仿宋"/>
                <w:color w:val="auto"/>
                <w:sz w:val="24"/>
                <w:highlight w:val="none"/>
              </w:rPr>
              <w:t>投标截止时间：</w:t>
            </w:r>
            <w:r>
              <w:rPr>
                <w:rFonts w:hint="eastAsia" w:ascii="仿宋" w:hAnsi="仿宋" w:eastAsia="仿宋"/>
                <w:color w:val="auto"/>
                <w:sz w:val="24"/>
                <w:highlight w:val="none"/>
                <w:shd w:val="pct10" w:color="auto" w:fill="FFFFFF"/>
              </w:rPr>
              <w:t>202</w:t>
            </w:r>
            <w:r>
              <w:rPr>
                <w:rFonts w:hint="eastAsia" w:ascii="仿宋" w:hAnsi="仿宋" w:eastAsia="仿宋"/>
                <w:color w:val="auto"/>
                <w:sz w:val="24"/>
                <w:highlight w:val="none"/>
                <w:shd w:val="pct10" w:color="auto" w:fill="FFFFFF"/>
                <w:lang w:val="en-US" w:eastAsia="zh-CN"/>
              </w:rPr>
              <w:t>3</w:t>
            </w:r>
            <w:r>
              <w:rPr>
                <w:rFonts w:hint="eastAsia" w:ascii="仿宋" w:hAnsi="仿宋" w:eastAsia="仿宋"/>
                <w:color w:val="auto"/>
                <w:sz w:val="24"/>
                <w:highlight w:val="none"/>
                <w:shd w:val="pct10" w:color="auto" w:fill="FFFFFF"/>
              </w:rPr>
              <w:t>年</w:t>
            </w:r>
            <w:r>
              <w:rPr>
                <w:rFonts w:hint="eastAsia" w:ascii="仿宋" w:hAnsi="仿宋" w:eastAsia="仿宋"/>
                <w:color w:val="auto"/>
                <w:sz w:val="24"/>
                <w:highlight w:val="none"/>
                <w:shd w:val="pct10" w:color="auto" w:fill="FFFFFF"/>
                <w:lang w:val="en-US" w:eastAsia="zh-CN"/>
              </w:rPr>
              <w:t>5</w:t>
            </w:r>
            <w:r>
              <w:rPr>
                <w:rFonts w:hint="eastAsia" w:ascii="仿宋" w:hAnsi="仿宋" w:eastAsia="仿宋"/>
                <w:color w:val="auto"/>
                <w:sz w:val="24"/>
                <w:highlight w:val="none"/>
                <w:shd w:val="pct10" w:color="auto" w:fill="FFFFFF"/>
              </w:rPr>
              <w:t>月</w:t>
            </w:r>
            <w:r>
              <w:rPr>
                <w:rFonts w:hint="eastAsia" w:ascii="仿宋" w:hAnsi="仿宋" w:eastAsia="仿宋"/>
                <w:color w:val="auto"/>
                <w:sz w:val="24"/>
                <w:highlight w:val="none"/>
                <w:shd w:val="pct10" w:color="auto" w:fill="FFFFFF"/>
                <w:lang w:val="en-US" w:eastAsia="zh-CN"/>
              </w:rPr>
              <w:t>30</w:t>
            </w:r>
            <w:r>
              <w:rPr>
                <w:rFonts w:hint="eastAsia" w:ascii="仿宋" w:hAnsi="仿宋" w:eastAsia="仿宋"/>
                <w:color w:val="auto"/>
                <w:sz w:val="24"/>
                <w:highlight w:val="none"/>
                <w:shd w:val="pct10" w:color="auto" w:fill="FFFFFF"/>
              </w:rPr>
              <w:t>日</w:t>
            </w:r>
            <w:r>
              <w:rPr>
                <w:rFonts w:hint="eastAsia" w:ascii="仿宋" w:hAnsi="仿宋" w:eastAsia="仿宋"/>
                <w:color w:val="auto"/>
                <w:sz w:val="24"/>
                <w:highlight w:val="none"/>
                <w:shd w:val="pct10" w:color="auto" w:fill="FFFFFF"/>
                <w:lang w:val="en-US" w:eastAsia="zh-CN"/>
              </w:rPr>
              <w:t>14</w:t>
            </w:r>
            <w:r>
              <w:rPr>
                <w:rFonts w:hint="eastAsia" w:ascii="仿宋" w:hAnsi="仿宋" w:eastAsia="仿宋"/>
                <w:color w:val="auto"/>
                <w:sz w:val="24"/>
                <w:highlight w:val="none"/>
                <w:shd w:val="pct10" w:color="auto" w:fill="FFFFFF"/>
              </w:rPr>
              <w:t>:00时；</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投标地点：（1）本项目通过“政府采购云平台（www.zcygov.cn）”实行在线投标响应（电子投标）；</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2）投标人应当在投标截止时间前，将生成的“电子加密投标文件”上传递交至“政府采购云平台”实行在线投标响应。投标截止时间以后上传递交的投标文件将被“政府采购云平台”拒收，作未递交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开标时间：</w:t>
            </w:r>
            <w:r>
              <w:rPr>
                <w:rFonts w:hint="eastAsia" w:ascii="仿宋" w:hAnsi="仿宋" w:eastAsia="仿宋"/>
                <w:color w:val="auto"/>
                <w:sz w:val="24"/>
                <w:highlight w:val="none"/>
                <w:shd w:val="pct10" w:color="auto" w:fill="FFFFFF"/>
              </w:rPr>
              <w:t>202</w:t>
            </w:r>
            <w:r>
              <w:rPr>
                <w:rFonts w:hint="eastAsia" w:ascii="仿宋" w:hAnsi="仿宋" w:eastAsia="仿宋"/>
                <w:color w:val="auto"/>
                <w:sz w:val="24"/>
                <w:highlight w:val="none"/>
                <w:shd w:val="pct10" w:color="auto" w:fill="FFFFFF"/>
                <w:lang w:val="en-US" w:eastAsia="zh-CN"/>
              </w:rPr>
              <w:t>3</w:t>
            </w:r>
            <w:r>
              <w:rPr>
                <w:rFonts w:hint="eastAsia" w:ascii="仿宋" w:hAnsi="仿宋" w:eastAsia="仿宋"/>
                <w:color w:val="auto"/>
                <w:sz w:val="24"/>
                <w:highlight w:val="none"/>
                <w:shd w:val="pct10" w:color="auto" w:fill="FFFFFF"/>
              </w:rPr>
              <w:t>年</w:t>
            </w:r>
            <w:r>
              <w:rPr>
                <w:rFonts w:hint="eastAsia" w:ascii="仿宋" w:hAnsi="仿宋" w:eastAsia="仿宋"/>
                <w:color w:val="auto"/>
                <w:sz w:val="24"/>
                <w:highlight w:val="none"/>
                <w:shd w:val="pct10" w:color="auto" w:fill="FFFFFF"/>
                <w:lang w:val="en-US" w:eastAsia="zh-CN"/>
              </w:rPr>
              <w:t>5</w:t>
            </w:r>
            <w:r>
              <w:rPr>
                <w:rFonts w:hint="eastAsia" w:ascii="仿宋" w:hAnsi="仿宋" w:eastAsia="仿宋"/>
                <w:color w:val="auto"/>
                <w:sz w:val="24"/>
                <w:highlight w:val="none"/>
                <w:shd w:val="pct10" w:color="auto" w:fill="FFFFFF"/>
              </w:rPr>
              <w:t>月</w:t>
            </w:r>
            <w:r>
              <w:rPr>
                <w:rFonts w:hint="eastAsia" w:ascii="仿宋" w:hAnsi="仿宋" w:eastAsia="仿宋"/>
                <w:color w:val="auto"/>
                <w:sz w:val="24"/>
                <w:highlight w:val="none"/>
                <w:shd w:val="pct10" w:color="auto" w:fill="FFFFFF"/>
                <w:lang w:val="en-US" w:eastAsia="zh-CN"/>
              </w:rPr>
              <w:t>30</w:t>
            </w:r>
            <w:r>
              <w:rPr>
                <w:rFonts w:hint="eastAsia" w:ascii="仿宋" w:hAnsi="仿宋" w:eastAsia="仿宋"/>
                <w:color w:val="auto"/>
                <w:sz w:val="24"/>
                <w:highlight w:val="none"/>
                <w:shd w:val="pct10" w:color="auto" w:fill="FFFFFF"/>
              </w:rPr>
              <w:t>日</w:t>
            </w:r>
            <w:r>
              <w:rPr>
                <w:rFonts w:hint="eastAsia" w:ascii="仿宋" w:hAnsi="仿宋" w:eastAsia="仿宋"/>
                <w:color w:val="auto"/>
                <w:sz w:val="24"/>
                <w:highlight w:val="none"/>
                <w:shd w:val="pct10" w:color="auto" w:fill="FFFFFF"/>
                <w:lang w:val="en-US" w:eastAsia="zh-CN"/>
              </w:rPr>
              <w:t>14</w:t>
            </w:r>
            <w:r>
              <w:rPr>
                <w:rFonts w:hint="eastAsia" w:ascii="仿宋" w:hAnsi="仿宋" w:eastAsia="仿宋"/>
                <w:color w:val="auto"/>
                <w:sz w:val="24"/>
                <w:highlight w:val="none"/>
                <w:shd w:val="pct10" w:color="auto" w:fill="FFFFFF"/>
              </w:rPr>
              <w:t>:00时；</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地点：</w:t>
            </w:r>
            <w:r>
              <w:rPr>
                <w:rFonts w:hint="eastAsia" w:ascii="仿宋" w:hAnsi="仿宋" w:eastAsia="仿宋" w:cs="宋体"/>
                <w:color w:val="auto"/>
                <w:sz w:val="24"/>
                <w:highlight w:val="none"/>
              </w:rPr>
              <w:t>湖州市公共资源交易中心（湖州市仁皇山片区金盖山路66号2号楼二楼开标室，届时</w:t>
            </w:r>
            <w:r>
              <w:rPr>
                <w:rFonts w:hint="eastAsia" w:ascii="仿宋" w:hAnsi="仿宋" w:eastAsia="仿宋" w:cs="宋体"/>
                <w:color w:val="auto"/>
                <w:kern w:val="0"/>
                <w:sz w:val="24"/>
                <w:highlight w:val="none"/>
              </w:rPr>
              <w:t>详见二楼休息区电子显示屏</w:t>
            </w:r>
            <w:r>
              <w:rPr>
                <w:rFonts w:hint="eastAsia" w:ascii="仿宋" w:hAnsi="仿宋" w:eastAsia="仿宋" w:cs="宋体"/>
                <w:color w:val="auto"/>
                <w:sz w:val="24"/>
                <w:highlight w:val="none"/>
              </w:rPr>
              <w:t>）</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2、数据电子备份投标文件（U 盘）：以 U 盘形式提供的数据电子备份投标文件格式及内容须与政采云平台项目采购-电子交易操作指南中制作、加密并递交的电子投标文件格式及内容一致。递交方式：</w:t>
            </w:r>
          </w:p>
          <w:p>
            <w:pPr>
              <w:snapToGrid w:val="0"/>
              <w:spacing w:line="273"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数据电子备份投标文件（U盘）应通过邮寄快递方式送达（原则上邮寄公司统一采用EMS），邮寄地址为：湖州市仁皇工程咨询有限公司[湖州市太湖路1155号</w:t>
            </w:r>
            <w:r>
              <w:rPr>
                <w:rFonts w:hint="eastAsia" w:ascii="仿宋" w:hAnsi="仿宋" w:eastAsia="仿宋"/>
                <w:color w:val="auto"/>
                <w:sz w:val="24"/>
                <w:highlight w:val="none"/>
                <w:lang w:val="en-US" w:eastAsia="zh-CN"/>
              </w:rPr>
              <w:t>801B</w:t>
            </w:r>
            <w:r>
              <w:rPr>
                <w:rFonts w:hint="eastAsia" w:ascii="仿宋" w:hAnsi="仿宋" w:eastAsia="仿宋"/>
                <w:color w:val="auto"/>
                <w:sz w:val="24"/>
                <w:highlight w:val="none"/>
              </w:rPr>
              <w:t>室]，联系电话：0572-261</w:t>
            </w:r>
            <w:r>
              <w:rPr>
                <w:rFonts w:hint="eastAsia" w:ascii="仿宋" w:hAnsi="仿宋" w:eastAsia="仿宋"/>
                <w:color w:val="auto"/>
                <w:sz w:val="24"/>
                <w:highlight w:val="none"/>
                <w:lang w:val="en-US" w:eastAsia="zh-CN"/>
              </w:rPr>
              <w:t>5598</w:t>
            </w:r>
            <w:r>
              <w:rPr>
                <w:rFonts w:hint="eastAsia" w:ascii="仿宋" w:hAnsi="仿宋" w:eastAsia="仿宋"/>
                <w:color w:val="auto"/>
                <w:sz w:val="24"/>
                <w:highlight w:val="none"/>
              </w:rPr>
              <w:t>。邮寄截止时间：投标人应于202</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29</w:t>
            </w:r>
            <w:r>
              <w:rPr>
                <w:rFonts w:hint="eastAsia" w:ascii="仿宋" w:hAnsi="仿宋" w:eastAsia="仿宋"/>
                <w:color w:val="auto"/>
                <w:sz w:val="24"/>
                <w:highlight w:val="none"/>
              </w:rPr>
              <w:t xml:space="preserve">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olor w:val="auto"/>
                <w:sz w:val="24"/>
                <w:highlight w:val="none"/>
              </w:rPr>
            </w:pPr>
            <w:r>
              <w:rPr>
                <w:rFonts w:hint="eastAsia" w:ascii="仿宋" w:hAnsi="仿宋" w:eastAsia="仿宋"/>
                <w:color w:val="auto"/>
                <w:sz w:val="24"/>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912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中标结果公告：采购人依法确定中标后 2 个工作日内，公告发布网址如下：</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浙江政府采购网：http://zfcg.czt.zj.gov.cn/；</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湖州市公共资源交易信息网：http://ggzyjy.huzhou.gov.cn/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中标通知书：在发布中标结果公告的同时，向中标人发中标通知书。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color w:val="auto"/>
                <w:sz w:val="24"/>
                <w:highlight w:val="none"/>
              </w:rPr>
            </w:pPr>
            <w:r>
              <w:rPr>
                <w:rFonts w:hint="eastAsia" w:ascii="仿宋" w:hAnsi="仿宋" w:eastAsia="仿宋"/>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color w:val="auto"/>
                <w:sz w:val="24"/>
                <w:highlight w:val="none"/>
                <w:lang w:eastAsia="zh-CN"/>
              </w:rPr>
            </w:pPr>
            <w:r>
              <w:rPr>
                <w:rFonts w:hint="eastAsia" w:ascii="仿宋" w:hAnsi="仿宋" w:eastAsia="仿宋" w:cs="Times New Roman"/>
                <w:color w:val="auto"/>
                <w:sz w:val="24"/>
                <w:highlight w:val="none"/>
              </w:rPr>
              <w:t>履约保证金的收取及退还：</w:t>
            </w:r>
            <w:r>
              <w:rPr>
                <w:rFonts w:hint="eastAsia" w:ascii="仿宋" w:hAnsi="仿宋" w:eastAsia="仿宋" w:cs="Times New Roman"/>
                <w:color w:val="auto"/>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解释：本招标文件的解释权属于采购人和招标代理机构。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在确定中标人后，签订合同前，中标人须提供二份完整的纸质投标文件给采购人，纸质投标文件须与电子投标文件格式及内容一致。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color w:val="auto"/>
                <w:sz w:val="24"/>
                <w:highlight w:val="none"/>
              </w:rPr>
            </w:pPr>
            <w:r>
              <w:rPr>
                <w:rFonts w:hint="eastAsia" w:ascii="仿宋" w:hAnsi="仿宋" w:eastAsia="仿宋"/>
                <w:color w:val="auto"/>
                <w:sz w:val="24"/>
                <w:highlight w:val="none"/>
              </w:rPr>
              <w:t>特别说明：政采云公司如对电子化开标及评审程序有调整的，应按调整的程序操作。</w:t>
            </w:r>
          </w:p>
        </w:tc>
      </w:tr>
      <w:bookmarkEnd w:id="7"/>
      <w:bookmarkEnd w:id="8"/>
    </w:tbl>
    <w:p>
      <w:pPr>
        <w:spacing w:line="500" w:lineRule="exact"/>
        <w:outlineLvl w:val="9"/>
        <w:rPr>
          <w:rFonts w:hint="eastAsia" w:ascii="仿宋" w:hAnsi="仿宋" w:eastAsia="仿宋"/>
          <w:b/>
          <w:color w:val="auto"/>
          <w:kern w:val="0"/>
          <w:sz w:val="24"/>
          <w:highlight w:val="none"/>
        </w:rPr>
      </w:pPr>
    </w:p>
    <w:p>
      <w:pPr>
        <w:pStyle w:val="17"/>
        <w:rPr>
          <w:rFonts w:hint="eastAsia"/>
          <w:color w:val="auto"/>
          <w:highlight w:val="none"/>
        </w:rPr>
      </w:pPr>
    </w:p>
    <w:p>
      <w:pPr>
        <w:spacing w:line="500" w:lineRule="exact"/>
        <w:ind w:firstLine="482" w:firstLineChars="200"/>
        <w:outlineLvl w:val="1"/>
        <w:rPr>
          <w:rFonts w:ascii="仿宋" w:hAnsi="仿宋" w:eastAsia="仿宋"/>
          <w:b/>
          <w:color w:val="auto"/>
          <w:kern w:val="0"/>
          <w:sz w:val="24"/>
          <w:highlight w:val="none"/>
        </w:rPr>
      </w:pPr>
      <w:r>
        <w:rPr>
          <w:rFonts w:hint="eastAsia" w:ascii="仿宋" w:hAnsi="仿宋" w:eastAsia="仿宋"/>
          <w:b/>
          <w:color w:val="auto"/>
          <w:kern w:val="0"/>
          <w:sz w:val="24"/>
          <w:highlight w:val="none"/>
        </w:rPr>
        <w:t xml:space="preserve">一、总 则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 xml:space="preserve">（一）适用范围 </w:t>
      </w:r>
    </w:p>
    <w:p>
      <w:pPr>
        <w:spacing w:line="5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本招标文件适用于</w:t>
      </w:r>
      <w:r>
        <w:rPr>
          <w:rFonts w:hint="eastAsia" w:ascii="仿宋" w:hAnsi="仿宋" w:eastAsia="仿宋"/>
          <w:color w:val="auto"/>
          <w:sz w:val="24"/>
          <w:highlight w:val="none"/>
          <w:u w:val="single"/>
          <w:lang w:eastAsia="zh-CN"/>
        </w:rPr>
        <w:t>2023-2024年度白蚁普查及灭治服务项目</w:t>
      </w:r>
      <w:r>
        <w:rPr>
          <w:rFonts w:ascii="仿宋" w:hAnsi="仿宋" w:eastAsia="仿宋"/>
          <w:color w:val="auto"/>
          <w:sz w:val="24"/>
          <w:highlight w:val="none"/>
        </w:rPr>
        <w:t xml:space="preserve">的招标、投标、评标、定标、验收、合同履约、付款等行为（法律、法规另有规定的，从其规定）。 </w:t>
      </w:r>
    </w:p>
    <w:p>
      <w:pPr>
        <w:pStyle w:val="2"/>
        <w:spacing w:line="500" w:lineRule="exact"/>
        <w:ind w:firstLine="480" w:firstLineChars="200"/>
        <w:rPr>
          <w:rFonts w:ascii="仿宋" w:hAnsi="仿宋" w:eastAsia="仿宋"/>
          <w:color w:val="auto"/>
          <w:highlight w:val="none"/>
          <w:shd w:val="pct10" w:color="auto" w:fill="FFFFFF"/>
        </w:rPr>
      </w:pPr>
      <w:r>
        <w:rPr>
          <w:rFonts w:ascii="仿宋" w:hAnsi="仿宋" w:eastAsia="仿宋" w:cs="Times New Roman"/>
          <w:color w:val="auto"/>
          <w:highlight w:val="none"/>
        </w:rPr>
        <w:t>（二）采购预算：</w:t>
      </w:r>
      <w:r>
        <w:rPr>
          <w:rFonts w:hint="eastAsia" w:ascii="仿宋" w:hAnsi="仿宋" w:eastAsia="仿宋" w:cs="Times New Roman"/>
          <w:color w:val="auto"/>
          <w:highlight w:val="none"/>
          <w:lang w:val="en-US" w:eastAsia="zh-CN"/>
        </w:rPr>
        <w:t>63</w:t>
      </w:r>
      <w:r>
        <w:rPr>
          <w:rFonts w:hint="eastAsia" w:ascii="仿宋" w:hAnsi="仿宋" w:eastAsia="仿宋"/>
          <w:color w:val="auto"/>
          <w:highlight w:val="none"/>
        </w:rPr>
        <w:t>万元。</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 xml:space="preserve">（三）定义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 xml:space="preserve">1. </w:t>
      </w:r>
      <w:r>
        <w:rPr>
          <w:rFonts w:hint="eastAsia" w:ascii="仿宋" w:hAnsi="仿宋" w:eastAsia="仿宋" w:cs="Times New Roman"/>
          <w:color w:val="auto"/>
          <w:highlight w:val="none"/>
        </w:rPr>
        <w:t>采购人</w:t>
      </w:r>
      <w:r>
        <w:rPr>
          <w:rFonts w:ascii="仿宋" w:hAnsi="仿宋" w:eastAsia="仿宋" w:cs="Times New Roman"/>
          <w:color w:val="auto"/>
          <w:highlight w:val="none"/>
        </w:rPr>
        <w:t>系指组织本次项目采购的</w:t>
      </w:r>
      <w:r>
        <w:rPr>
          <w:rFonts w:hint="eastAsia" w:ascii="仿宋" w:hAnsi="仿宋" w:eastAsia="仿宋" w:cs="Times New Roman"/>
          <w:b/>
          <w:color w:val="auto"/>
          <w:highlight w:val="none"/>
          <w:u w:val="single"/>
          <w:lang w:eastAsia="zh-CN"/>
        </w:rPr>
        <w:t>湖州市直属水利工程运行管理所</w:t>
      </w:r>
      <w:r>
        <w:rPr>
          <w:rFonts w:ascii="仿宋" w:hAnsi="仿宋" w:eastAsia="仿宋" w:cs="Times New Roman"/>
          <w:color w:val="auto"/>
          <w:highlight w:val="none"/>
        </w:rPr>
        <w:t>；采购代理机构系指</w:t>
      </w:r>
      <w:r>
        <w:rPr>
          <w:rFonts w:hint="eastAsia" w:ascii="仿宋" w:hAnsi="仿宋" w:eastAsia="仿宋" w:cs="Times New Roman"/>
          <w:color w:val="auto"/>
          <w:highlight w:val="none"/>
        </w:rPr>
        <w:t>采购人</w:t>
      </w:r>
      <w:r>
        <w:rPr>
          <w:rFonts w:ascii="仿宋" w:hAnsi="仿宋" w:eastAsia="仿宋" w:cs="Times New Roman"/>
          <w:color w:val="auto"/>
          <w:highlight w:val="none"/>
        </w:rPr>
        <w:t>授权委托代理本项目招标程序的</w:t>
      </w:r>
      <w:r>
        <w:rPr>
          <w:rFonts w:hint="eastAsia" w:ascii="仿宋" w:hAnsi="仿宋" w:eastAsia="仿宋" w:cs="Times New Roman"/>
          <w:b/>
          <w:color w:val="auto"/>
          <w:highlight w:val="none"/>
          <w:u w:val="single"/>
        </w:rPr>
        <w:t>湖州市仁皇工程咨询有限公司</w:t>
      </w:r>
      <w:r>
        <w:rPr>
          <w:rFonts w:ascii="仿宋" w:hAnsi="仿宋" w:eastAsia="仿宋" w:cs="Times New Roman"/>
          <w:color w:val="auto"/>
          <w:highlight w:val="none"/>
        </w:rPr>
        <w:t xml:space="preserve">。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2.“投标人”指向</w:t>
      </w:r>
      <w:r>
        <w:rPr>
          <w:rFonts w:hint="eastAsia" w:ascii="仿宋" w:hAnsi="仿宋" w:eastAsia="仿宋" w:cs="Times New Roman"/>
          <w:color w:val="auto"/>
          <w:highlight w:val="none"/>
        </w:rPr>
        <w:t>采购人</w:t>
      </w:r>
      <w:r>
        <w:rPr>
          <w:rFonts w:ascii="仿宋" w:hAnsi="仿宋" w:eastAsia="仿宋" w:cs="Times New Roman"/>
          <w:color w:val="auto"/>
          <w:highlight w:val="none"/>
        </w:rPr>
        <w:t xml:space="preserve">提交投标文件的单位。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3. “产品”系指供方按招标文件规定，须向</w:t>
      </w:r>
      <w:r>
        <w:rPr>
          <w:rFonts w:hint="eastAsia" w:ascii="仿宋" w:hAnsi="仿宋" w:eastAsia="仿宋" w:cs="Times New Roman"/>
          <w:color w:val="auto"/>
          <w:highlight w:val="none"/>
        </w:rPr>
        <w:t>采购人</w:t>
      </w:r>
      <w:r>
        <w:rPr>
          <w:rFonts w:ascii="仿宋" w:hAnsi="仿宋" w:eastAsia="仿宋" w:cs="Times New Roman"/>
          <w:color w:val="auto"/>
          <w:highlight w:val="none"/>
        </w:rPr>
        <w:t>提供的一切</w:t>
      </w:r>
      <w:r>
        <w:rPr>
          <w:rFonts w:hint="eastAsia" w:ascii="仿宋" w:hAnsi="仿宋" w:eastAsia="仿宋" w:cs="Times New Roman"/>
          <w:color w:val="auto"/>
          <w:highlight w:val="none"/>
        </w:rPr>
        <w:t>产品</w:t>
      </w:r>
      <w:r>
        <w:rPr>
          <w:rFonts w:ascii="仿宋" w:hAnsi="仿宋" w:eastAsia="仿宋" w:cs="Times New Roman"/>
          <w:color w:val="auto"/>
          <w:highlight w:val="none"/>
        </w:rPr>
        <w:t>、保险、税金、备品备件、工具、手册及其它有关技术资料和材料。</w:t>
      </w:r>
    </w:p>
    <w:p>
      <w:pPr>
        <w:pStyle w:val="2"/>
        <w:spacing w:line="500" w:lineRule="exact"/>
        <w:ind w:firstLine="480" w:firstLineChars="200"/>
        <w:rPr>
          <w:rFonts w:ascii="仿宋" w:hAnsi="仿宋" w:eastAsia="仿宋"/>
          <w:color w:val="auto"/>
          <w:szCs w:val="20"/>
          <w:highlight w:val="none"/>
        </w:rPr>
      </w:pPr>
      <w:r>
        <w:rPr>
          <w:rFonts w:ascii="仿宋" w:hAnsi="仿宋" w:eastAsia="仿宋" w:cs="Times New Roman"/>
          <w:color w:val="auto"/>
          <w:highlight w:val="none"/>
        </w:rPr>
        <w:t>4</w:t>
      </w:r>
      <w:r>
        <w:rPr>
          <w:rFonts w:hint="eastAsia" w:ascii="仿宋" w:hAnsi="仿宋" w:eastAsia="仿宋" w:cs="Times New Roman"/>
          <w:color w:val="auto"/>
          <w:highlight w:val="none"/>
        </w:rPr>
        <w:t>.</w:t>
      </w:r>
      <w:r>
        <w:rPr>
          <w:rFonts w:ascii="仿宋" w:hAnsi="仿宋" w:eastAsia="仿宋" w:cs="Times New Roman"/>
          <w:color w:val="auto"/>
          <w:highlight w:val="none"/>
        </w:rPr>
        <w:t>“服务”系指招标文件规定</w:t>
      </w:r>
      <w:r>
        <w:rPr>
          <w:rFonts w:hint="eastAsia" w:ascii="仿宋" w:hAnsi="仿宋" w:eastAsia="仿宋" w:cs="Times New Roman"/>
          <w:color w:val="auto"/>
          <w:highlight w:val="none"/>
        </w:rPr>
        <w:t>投标人</w:t>
      </w:r>
      <w:r>
        <w:rPr>
          <w:rFonts w:ascii="仿宋" w:hAnsi="仿宋" w:eastAsia="仿宋" w:cs="Times New Roman"/>
          <w:color w:val="auto"/>
          <w:highlight w:val="none"/>
        </w:rPr>
        <w:t>须承担的安装、调试、技术协助、校准、</w:t>
      </w:r>
      <w:r>
        <w:rPr>
          <w:rFonts w:ascii="仿宋" w:hAnsi="仿宋" w:eastAsia="仿宋"/>
          <w:color w:val="auto"/>
          <w:highlight w:val="none"/>
        </w:rPr>
        <w:t>培训、技术指导以及其他类似的义务。</w:t>
      </w:r>
    </w:p>
    <w:p>
      <w:pPr>
        <w:pStyle w:val="2"/>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5</w:t>
      </w:r>
      <w:r>
        <w:rPr>
          <w:rFonts w:ascii="仿宋" w:hAnsi="仿宋" w:eastAsia="仿宋" w:cs="Times New Roman"/>
          <w:color w:val="auto"/>
          <w:highlight w:val="none"/>
        </w:rPr>
        <w:t>.“项目”系指投标人按招标文件规定向</w:t>
      </w:r>
      <w:r>
        <w:rPr>
          <w:rFonts w:hint="eastAsia" w:ascii="仿宋" w:hAnsi="仿宋" w:eastAsia="仿宋" w:cs="Times New Roman"/>
          <w:color w:val="auto"/>
          <w:highlight w:val="none"/>
        </w:rPr>
        <w:t>采购人</w:t>
      </w:r>
      <w:r>
        <w:rPr>
          <w:rFonts w:ascii="仿宋" w:hAnsi="仿宋" w:eastAsia="仿宋" w:cs="Times New Roman"/>
          <w:color w:val="auto"/>
          <w:highlight w:val="none"/>
        </w:rPr>
        <w:t xml:space="preserve">提供的服务。 </w:t>
      </w:r>
    </w:p>
    <w:p>
      <w:pPr>
        <w:pStyle w:val="2"/>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w:t>
      </w:r>
      <w:r>
        <w:rPr>
          <w:rFonts w:ascii="仿宋" w:hAnsi="仿宋" w:eastAsia="仿宋" w:cs="Times New Roman"/>
          <w:color w:val="auto"/>
          <w:highlight w:val="none"/>
        </w:rPr>
        <w:t xml:space="preserve">.“书面形式”包括信函、传真、电报等。 </w:t>
      </w:r>
    </w:p>
    <w:p>
      <w:pPr>
        <w:pStyle w:val="2"/>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7</w:t>
      </w:r>
      <w:r>
        <w:rPr>
          <w:rFonts w:ascii="仿宋" w:hAnsi="仿宋" w:eastAsia="仿宋" w:cs="Times New Roman"/>
          <w:color w:val="auto"/>
          <w:highlight w:val="none"/>
        </w:rPr>
        <w:t xml:space="preserve">.“▲”系指实质性要求条款。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 xml:space="preserve">（四）采购方式 </w:t>
      </w:r>
    </w:p>
    <w:p>
      <w:pPr>
        <w:pStyle w:val="2"/>
        <w:spacing w:line="500" w:lineRule="exact"/>
        <w:ind w:firstLine="480" w:firstLineChars="200"/>
        <w:rPr>
          <w:rFonts w:ascii="仿宋" w:hAnsi="仿宋" w:eastAsia="仿宋" w:cs="Times New Roman"/>
          <w:color w:val="auto"/>
          <w:highlight w:val="none"/>
        </w:rPr>
      </w:pPr>
      <w:r>
        <w:rPr>
          <w:rFonts w:ascii="仿宋" w:hAnsi="仿宋" w:eastAsia="仿宋" w:cs="Times New Roman"/>
          <w:color w:val="auto"/>
          <w:highlight w:val="none"/>
        </w:rPr>
        <w:t xml:space="preserve">本次招标采用公开招标方式进行。 </w:t>
      </w:r>
    </w:p>
    <w:p>
      <w:pPr>
        <w:pStyle w:val="2"/>
        <w:spacing w:line="500" w:lineRule="exact"/>
        <w:ind w:firstLine="480" w:firstLineChars="200"/>
        <w:rPr>
          <w:rFonts w:ascii="仿宋" w:hAnsi="仿宋" w:eastAsia="仿宋"/>
          <w:color w:val="auto"/>
          <w:highlight w:val="none"/>
        </w:rPr>
      </w:pPr>
      <w:r>
        <w:rPr>
          <w:rFonts w:ascii="仿宋" w:hAnsi="仿宋" w:eastAsia="仿宋" w:cs="Times New Roman"/>
          <w:color w:val="auto"/>
          <w:highlight w:val="none"/>
        </w:rPr>
        <w:t>（五）</w:t>
      </w:r>
      <w:bookmarkEnd w:id="9"/>
      <w:bookmarkEnd w:id="10"/>
      <w:r>
        <w:rPr>
          <w:rFonts w:hint="eastAsia" w:ascii="仿宋" w:hAnsi="仿宋" w:eastAsia="仿宋"/>
          <w:color w:val="auto"/>
          <w:highlight w:val="none"/>
        </w:rPr>
        <w:t>投标费用</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1. 投标人应自行承担投标过程中的所有相关费用，不论中标与否，采购人在任何情况下不承担有关费用。</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2. 本项目代理服务费由中标人在中标后、领取中标通知书时支付给采购代理机构，该费用请投标人自行考虑计入投标报价中。</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（六）联合体投标</w:t>
      </w:r>
    </w:p>
    <w:p>
      <w:pPr>
        <w:spacing w:line="500" w:lineRule="exact"/>
        <w:ind w:firstLine="482" w:firstLineChars="200"/>
        <w:jc w:val="left"/>
        <w:rPr>
          <w:rFonts w:ascii="仿宋" w:hAnsi="仿宋" w:eastAsia="仿宋"/>
          <w:b/>
          <w:color w:val="auto"/>
          <w:kern w:val="0"/>
          <w:sz w:val="24"/>
          <w:highlight w:val="none"/>
        </w:rPr>
      </w:pPr>
      <w:r>
        <w:rPr>
          <w:rFonts w:hint="eastAsia" w:ascii="仿宋" w:hAnsi="仿宋" w:eastAsia="仿宋"/>
          <w:b/>
          <w:color w:val="auto"/>
          <w:sz w:val="24"/>
          <w:highlight w:val="none"/>
        </w:rPr>
        <w:t>本项目不接受联合体投标</w:t>
      </w:r>
      <w:r>
        <w:rPr>
          <w:rFonts w:hint="eastAsia" w:ascii="仿宋" w:hAnsi="仿宋" w:eastAsia="仿宋"/>
          <w:b/>
          <w:color w:val="auto"/>
          <w:kern w:val="0"/>
          <w:sz w:val="24"/>
          <w:highlight w:val="none"/>
        </w:rPr>
        <w:t>。</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（七）转包与分包</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本项目不允许转包</w:t>
      </w:r>
      <w:r>
        <w:rPr>
          <w:rFonts w:hint="eastAsia" w:ascii="仿宋" w:hAnsi="仿宋" w:eastAsia="仿宋"/>
          <w:color w:val="auto"/>
          <w:kern w:val="0"/>
          <w:sz w:val="24"/>
          <w:highlight w:val="none"/>
          <w:lang w:eastAsia="zh-CN"/>
        </w:rPr>
        <w:t>与分包</w:t>
      </w:r>
      <w:r>
        <w:rPr>
          <w:rFonts w:hint="eastAsia" w:ascii="仿宋" w:hAnsi="仿宋" w:eastAsia="仿宋"/>
          <w:color w:val="auto"/>
          <w:kern w:val="0"/>
          <w:sz w:val="24"/>
          <w:highlight w:val="none"/>
        </w:rPr>
        <w:t>。</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特别说明：</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1.投标人投标所使用的资格、信誉、荣誉、业绩与企业认证必须为本法人所拥有。投标人投标所使用的采购项目实施人员必须为本法人员工。</w:t>
      </w:r>
    </w:p>
    <w:p>
      <w:pPr>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2.投标人应仔细阅读招标文件的所有内容，按照招标文件的要求提交投标文件，并对所提供的全部资料的真实性承担法律责任。</w:t>
      </w:r>
    </w:p>
    <w:p>
      <w:pPr>
        <w:widowControl/>
        <w:spacing w:line="500" w:lineRule="exact"/>
        <w:ind w:firstLine="480" w:firstLineChars="200"/>
        <w:jc w:val="left"/>
        <w:rPr>
          <w:rFonts w:ascii="仿宋" w:hAnsi="仿宋" w:eastAsia="仿宋"/>
          <w:color w:val="auto"/>
          <w:kern w:val="0"/>
          <w:sz w:val="24"/>
          <w:highlight w:val="none"/>
        </w:rPr>
      </w:pPr>
      <w:r>
        <w:rPr>
          <w:rFonts w:hint="eastAsia" w:ascii="仿宋" w:hAnsi="仿宋" w:eastAsia="仿宋"/>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（八）质疑和投诉</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根据《中华人民共和国财政部令第 94 号-政府采购质疑和投诉办法》第二章规定。</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3. 投标人提出质疑应当提交质疑函和必要的证明材料。质疑函应当包括下列内容: </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（1）投标人的姓名或者名称、地址、邮编、联系人及联系电话；</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（2）质疑项目的名称、编号；</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（3）具体、明确的质疑事项和与质疑事项相关的请求；</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（4）事实依据；</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（5）必要的法律依据；</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（6）提出质疑的日期。</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投标人为自然人的，应当由本人签字；投标人为法人或者其他组织的，应当由法定代表人、主要负责人，或者其授权代理人签字或者盖章，并加盖公章。</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4.采购人、采购代理机构不得拒收质疑投标人在法定质疑期内发出的质疑函，应当在收到质疑函后 7 个工作日内作出答复，并以书面形式通知质疑投标人和其他有关投标人。</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 投标人对评审过程、中标或者中标结果提出质疑的，采购人、采购代理机构可以组织原评标委员会、竞争性谈判小组、询价小组或者竞争性磋商小组协助答复质疑。</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6.质疑答复应当包括下列内容：</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（1）质疑投标人的姓名或者名称；</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（2）收到质疑函的日期、质疑项目名称及编号；</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（3）质疑事项、质疑答复的具体内容、事实依据和法律依据；</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（4）告知质疑投标人依法投诉的权利；</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（5）质疑答复人名称；</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（6）答复质疑的日期。</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质疑答复的内容不得涉及商业秘密。</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7.采购人、采购代理机构认为投标人质疑不成立，或者成立但未对中标、中标结果构成影响的，继续开展采购活动；认为投标人质疑成立且影响或者可能影响中标、中标结果的，按照下列情况处理：</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pPr>
        <w:spacing w:line="500" w:lineRule="exact"/>
        <w:ind w:firstLine="482" w:firstLineChars="200"/>
        <w:outlineLvl w:val="1"/>
        <w:rPr>
          <w:rFonts w:ascii="仿宋" w:hAnsi="仿宋" w:eastAsia="仿宋"/>
          <w:color w:val="auto"/>
          <w:kern w:val="0"/>
          <w:sz w:val="24"/>
          <w:highlight w:val="none"/>
        </w:rPr>
      </w:pPr>
      <w:r>
        <w:rPr>
          <w:rFonts w:hint="eastAsia" w:ascii="仿宋" w:hAnsi="仿宋" w:eastAsia="仿宋"/>
          <w:b/>
          <w:color w:val="auto"/>
          <w:kern w:val="0"/>
          <w:sz w:val="24"/>
          <w:highlight w:val="none"/>
        </w:rPr>
        <w:t>二、招标文件</w:t>
      </w:r>
    </w:p>
    <w:p>
      <w:pPr>
        <w:spacing w:line="500" w:lineRule="exact"/>
        <w:ind w:firstLine="482" w:firstLineChars="200"/>
        <w:rPr>
          <w:rFonts w:ascii="仿宋" w:hAnsi="仿宋" w:eastAsia="仿宋"/>
          <w:color w:val="auto"/>
          <w:kern w:val="0"/>
          <w:sz w:val="24"/>
          <w:highlight w:val="none"/>
        </w:rPr>
      </w:pPr>
      <w:r>
        <w:rPr>
          <w:rFonts w:hint="eastAsia" w:ascii="仿宋" w:hAnsi="仿宋" w:eastAsia="仿宋"/>
          <w:b/>
          <w:color w:val="auto"/>
          <w:kern w:val="0"/>
          <w:sz w:val="24"/>
          <w:highlight w:val="none"/>
        </w:rPr>
        <w:t>（一） 招标文件的构成。本招标文件由以下部分组成：</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1.公开招标采购公告</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2.招标需求</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3.投标人须知</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4.评标办法及</w:t>
      </w:r>
      <w:r>
        <w:rPr>
          <w:rFonts w:hint="eastAsia" w:ascii="仿宋" w:hAnsi="仿宋" w:eastAsia="仿宋"/>
          <w:color w:val="auto"/>
          <w:kern w:val="0"/>
          <w:sz w:val="24"/>
          <w:highlight w:val="none"/>
          <w:lang w:eastAsia="zh-CN"/>
        </w:rPr>
        <w:t>评分</w:t>
      </w:r>
      <w:r>
        <w:rPr>
          <w:rFonts w:hint="eastAsia" w:ascii="仿宋" w:hAnsi="仿宋" w:eastAsia="仿宋"/>
          <w:color w:val="auto"/>
          <w:kern w:val="0"/>
          <w:sz w:val="24"/>
          <w:highlight w:val="none"/>
        </w:rPr>
        <w:t>标准</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5.合同主要条款</w:t>
      </w:r>
    </w:p>
    <w:p>
      <w:pPr>
        <w:spacing w:line="500" w:lineRule="exact"/>
        <w:ind w:firstLine="480" w:firstLineChars="200"/>
        <w:rPr>
          <w:rFonts w:hint="eastAsia" w:ascii="仿宋" w:hAnsi="仿宋" w:eastAsia="仿宋"/>
          <w:color w:val="auto"/>
          <w:kern w:val="0"/>
          <w:sz w:val="24"/>
          <w:highlight w:val="none"/>
        </w:rPr>
      </w:pPr>
      <w:r>
        <w:rPr>
          <w:rFonts w:hint="eastAsia" w:ascii="仿宋" w:hAnsi="仿宋" w:eastAsia="仿宋"/>
          <w:color w:val="auto"/>
          <w:kern w:val="0"/>
          <w:sz w:val="24"/>
          <w:highlight w:val="none"/>
        </w:rPr>
        <w:t>6.投标格式</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7.本项目招标文件的澄清、答复、修改、补充的内容</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（二）投标人的风险</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投标人没有按照招标文件要求提供全部资料，或者投标人没有对招标文件在各方面作出实质性响应是投标人的风险，并可能导致其投标被拒绝。</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（三）招标文件的澄清与修改</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2.采购人、采购代理机构必须以书面形式答复投标人要求澄清的问题，并将不包含问题来源的答复书面通知所有购买招标文件的投标人；除书面答复以外的其他澄清方式及澄清内容均无效。</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3.招标文件澄清、答复、修改、补充的内容为招标文件的组成部分。当招标文件与招标文件的答复、澄清、修改、补充通知就同一内容的表述不一致时，以最后发出的书面文件为准。</w:t>
      </w:r>
    </w:p>
    <w:p>
      <w:pPr>
        <w:spacing w:line="50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4.招标文件的澄清、答复、修改或补充都应该通过本采购代理机构以法定形式发布，采购人非通过本采购代理机构，不得擅自澄清、答复、修改或补充招标文件。</w:t>
      </w:r>
    </w:p>
    <w:p>
      <w:pPr>
        <w:spacing w:line="500" w:lineRule="exact"/>
        <w:ind w:firstLine="482" w:firstLineChars="200"/>
        <w:outlineLvl w:val="1"/>
        <w:rPr>
          <w:rFonts w:ascii="仿宋" w:hAnsi="仿宋" w:eastAsia="仿宋"/>
          <w:b/>
          <w:color w:val="auto"/>
          <w:kern w:val="0"/>
          <w:sz w:val="24"/>
          <w:highlight w:val="none"/>
        </w:rPr>
      </w:pPr>
      <w:r>
        <w:rPr>
          <w:rFonts w:hint="eastAsia" w:ascii="仿宋" w:hAnsi="仿宋" w:eastAsia="仿宋"/>
          <w:b/>
          <w:color w:val="auto"/>
          <w:kern w:val="0"/>
          <w:sz w:val="24"/>
          <w:highlight w:val="none"/>
        </w:rPr>
        <w:t>三、投标文件的编制要求</w:t>
      </w:r>
    </w:p>
    <w:p>
      <w:pPr>
        <w:spacing w:line="500" w:lineRule="exact"/>
        <w:ind w:firstLine="482" w:firstLineChars="200"/>
        <w:rPr>
          <w:rFonts w:ascii="仿宋" w:hAnsi="仿宋" w:eastAsia="仿宋"/>
          <w:b/>
          <w:color w:val="auto"/>
          <w:kern w:val="0"/>
          <w:sz w:val="24"/>
          <w:highlight w:val="none"/>
        </w:rPr>
      </w:pPr>
      <w:r>
        <w:rPr>
          <w:rFonts w:hint="eastAsia" w:ascii="仿宋" w:hAnsi="仿宋" w:eastAsia="仿宋"/>
          <w:b/>
          <w:color w:val="auto"/>
          <w:kern w:val="0"/>
          <w:sz w:val="24"/>
          <w:highlight w:val="none"/>
        </w:rPr>
        <w:t>（一）投标文件的组成（如无格式、格式自拟。）</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宋体"/>
          <w:color w:val="auto"/>
          <w:kern w:val="0"/>
          <w:sz w:val="24"/>
          <w:highlight w:val="none"/>
        </w:rPr>
        <w:t>投标文件由《资格文件》</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《技术、商务、资信及其他文件》</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《报价文件》</w:t>
      </w:r>
      <w:r>
        <w:rPr>
          <w:rFonts w:hint="eastAsia" w:ascii="仿宋" w:hAnsi="仿宋" w:eastAsia="仿宋" w:cs="仿宋"/>
          <w:color w:val="auto"/>
          <w:sz w:val="24"/>
          <w:highlight w:val="none"/>
        </w:rPr>
        <w:t>三部分组成。</w:t>
      </w:r>
    </w:p>
    <w:p>
      <w:pPr>
        <w:numPr>
          <w:ilvl w:val="0"/>
          <w:numId w:val="4"/>
        </w:numPr>
        <w:spacing w:line="500" w:lineRule="exact"/>
        <w:ind w:firstLine="482" w:firstLineChars="200"/>
        <w:rPr>
          <w:rFonts w:ascii="仿宋" w:hAnsi="仿宋" w:eastAsia="仿宋" w:cs="宋体"/>
          <w:b/>
          <w:color w:val="auto"/>
          <w:kern w:val="0"/>
          <w:sz w:val="24"/>
          <w:highlight w:val="none"/>
        </w:rPr>
      </w:pPr>
      <w:bookmarkStart w:id="11" w:name="_Hlk69641401"/>
      <w:r>
        <w:rPr>
          <w:rFonts w:hint="eastAsia" w:ascii="仿宋" w:hAnsi="仿宋" w:eastAsia="仿宋" w:cs="宋体"/>
          <w:b/>
          <w:color w:val="auto"/>
          <w:kern w:val="0"/>
          <w:sz w:val="24"/>
          <w:highlight w:val="none"/>
        </w:rPr>
        <w:t>资格文件主要包括下列内容：</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法定代表人有效身份证明书及身份证</w:t>
      </w:r>
      <w:r>
        <w:rPr>
          <w:rFonts w:hint="eastAsia" w:ascii="仿宋" w:hAnsi="仿宋" w:eastAsia="仿宋" w:cs="仿宋"/>
          <w:color w:val="auto"/>
          <w:sz w:val="24"/>
          <w:highlight w:val="none"/>
          <w:lang w:eastAsia="zh-CN"/>
        </w:rPr>
        <w:t>（法定代表人参加投标提供）或</w:t>
      </w:r>
      <w:r>
        <w:rPr>
          <w:rFonts w:hint="eastAsia" w:ascii="仿宋" w:hAnsi="仿宋" w:eastAsia="仿宋" w:cs="仿宋"/>
          <w:color w:val="auto"/>
          <w:sz w:val="24"/>
          <w:highlight w:val="none"/>
        </w:rPr>
        <w:t>法定代表人授权书及</w:t>
      </w:r>
      <w:r>
        <w:rPr>
          <w:rFonts w:hint="eastAsia" w:ascii="仿宋" w:hAnsi="仿宋" w:eastAsia="仿宋" w:cs="仿宋"/>
          <w:color w:val="auto"/>
          <w:sz w:val="24"/>
          <w:highlight w:val="none"/>
          <w:lang w:eastAsia="zh-CN"/>
        </w:rPr>
        <w:t>被</w:t>
      </w:r>
      <w:r>
        <w:rPr>
          <w:rFonts w:hint="eastAsia" w:ascii="仿宋" w:hAnsi="仿宋" w:eastAsia="仿宋" w:cs="仿宋"/>
          <w:color w:val="auto"/>
          <w:sz w:val="24"/>
          <w:highlight w:val="none"/>
        </w:rPr>
        <w:t>授权人身份证</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个月个人社保缴纳证明文件</w:t>
      </w:r>
      <w:r>
        <w:rPr>
          <w:rFonts w:hint="eastAsia" w:ascii="仿宋" w:hAnsi="仿宋" w:eastAsia="仿宋" w:cs="仿宋"/>
          <w:color w:val="auto"/>
          <w:sz w:val="24"/>
          <w:highlight w:val="none"/>
          <w:lang w:eastAsia="zh-CN"/>
        </w:rPr>
        <w:t>（法定代表人授权委托人参加投标提供）</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rPr>
        <w:t>③承诺书</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eastAsia="zh-CN"/>
        </w:rPr>
        <w:t>格式见第六章，</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p>
    <w:p>
      <w:pPr>
        <w:snapToGrid w:val="0"/>
        <w:spacing w:line="560" w:lineRule="exact"/>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信用承诺书</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eastAsia="zh-CN"/>
        </w:rPr>
        <w:t>格式见第六章，</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格式见第六章，</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本项目属于</w:t>
      </w:r>
      <w:r>
        <w:rPr>
          <w:rFonts w:hint="eastAsia" w:ascii="仿宋" w:hAnsi="仿宋" w:eastAsia="仿宋" w:cs="宋体"/>
          <w:color w:val="auto"/>
          <w:kern w:val="0"/>
          <w:sz w:val="24"/>
          <w:highlight w:val="none"/>
        </w:rPr>
        <w:t>其他</w:t>
      </w:r>
      <w:r>
        <w:rPr>
          <w:rFonts w:hint="eastAsia" w:ascii="仿宋" w:hAnsi="仿宋" w:eastAsia="仿宋" w:cs="仿宋"/>
          <w:color w:val="auto"/>
          <w:sz w:val="24"/>
          <w:highlight w:val="none"/>
        </w:rPr>
        <w:t>未列明行业）；</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⑥</w:t>
      </w:r>
      <w:r>
        <w:rPr>
          <w:rFonts w:hint="eastAsia" w:ascii="仿宋" w:hAnsi="仿宋" w:eastAsia="仿宋" w:cs="仿宋"/>
          <w:color w:val="auto"/>
          <w:sz w:val="24"/>
          <w:highlight w:val="none"/>
        </w:rPr>
        <w:t>监狱企业声明函（如有</w:t>
      </w:r>
      <w:r>
        <w:rPr>
          <w:rFonts w:hint="eastAsia" w:ascii="仿宋" w:hAnsi="仿宋" w:eastAsia="仿宋" w:cs="仿宋"/>
          <w:color w:val="auto"/>
          <w:sz w:val="24"/>
          <w:highlight w:val="none"/>
          <w:lang w:eastAsia="zh-CN"/>
        </w:rPr>
        <w:t>，格式见第六章</w:t>
      </w:r>
      <w:r>
        <w:rPr>
          <w:rFonts w:hint="eastAsia" w:ascii="仿宋" w:hAnsi="仿宋" w:eastAsia="仿宋" w:cs="仿宋"/>
          <w:color w:val="auto"/>
          <w:sz w:val="24"/>
          <w:highlight w:val="none"/>
        </w:rPr>
        <w:t>）；</w:t>
      </w:r>
    </w:p>
    <w:p>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⑦</w:t>
      </w:r>
      <w:r>
        <w:rPr>
          <w:rFonts w:hint="eastAsia" w:ascii="仿宋" w:hAnsi="仿宋" w:eastAsia="仿宋" w:cs="仿宋"/>
          <w:color w:val="auto"/>
          <w:sz w:val="24"/>
          <w:highlight w:val="none"/>
        </w:rPr>
        <w:t>残疾人福利性单位声明函（如有</w:t>
      </w:r>
      <w:r>
        <w:rPr>
          <w:rFonts w:hint="eastAsia" w:ascii="仿宋" w:hAnsi="仿宋" w:eastAsia="仿宋" w:cs="仿宋"/>
          <w:color w:val="auto"/>
          <w:sz w:val="24"/>
          <w:highlight w:val="none"/>
          <w:lang w:eastAsia="zh-CN"/>
        </w:rPr>
        <w:t>，格式见第六章</w:t>
      </w:r>
      <w:r>
        <w:rPr>
          <w:rFonts w:hint="eastAsia" w:ascii="仿宋" w:hAnsi="仿宋" w:eastAsia="仿宋" w:cs="仿宋"/>
          <w:color w:val="auto"/>
          <w:sz w:val="24"/>
          <w:highlight w:val="none"/>
        </w:rPr>
        <w:t>）；</w:t>
      </w:r>
    </w:p>
    <w:p>
      <w:pPr>
        <w:spacing w:line="500" w:lineRule="exact"/>
        <w:ind w:firstLine="241" w:firstLineChars="100"/>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rPr>
        <w:t>2. 技术、商务、资信及其他文件主要包括下列内容：</w:t>
      </w:r>
    </w:p>
    <w:p>
      <w:pPr>
        <w:spacing w:line="500" w:lineRule="exact"/>
        <w:ind w:firstLine="240" w:firstLineChars="100"/>
        <w:rPr>
          <w:rFonts w:hint="eastAsia" w:ascii="仿宋" w:hAnsi="仿宋" w:eastAsia="仿宋" w:cs="宋体"/>
          <w:b w:val="0"/>
          <w:bCs/>
          <w:color w:val="auto"/>
          <w:kern w:val="0"/>
          <w:sz w:val="24"/>
          <w:highlight w:val="none"/>
        </w:rPr>
      </w:pPr>
      <w:r>
        <w:rPr>
          <w:rFonts w:hint="eastAsia" w:ascii="仿宋" w:hAnsi="仿宋" w:eastAsia="仿宋" w:cs="宋体"/>
          <w:color w:val="auto"/>
          <w:kern w:val="0"/>
          <w:sz w:val="24"/>
          <w:highlight w:val="none"/>
        </w:rPr>
        <w:t>投标人自评分索引表；</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eastAsia="zh-CN"/>
        </w:rPr>
        <w:t>格式见第六章）</w:t>
      </w:r>
    </w:p>
    <w:p>
      <w:pPr>
        <w:spacing w:line="500" w:lineRule="exact"/>
        <w:ind w:firstLine="241" w:firstLineChars="100"/>
        <w:jc w:val="left"/>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lang w:val="en-US" w:eastAsia="zh-CN"/>
        </w:rPr>
        <w:t>（1</w:t>
      </w:r>
      <w:r>
        <w:rPr>
          <w:rFonts w:hint="eastAsia" w:ascii="仿宋" w:hAnsi="仿宋" w:eastAsia="仿宋" w:cs="宋体"/>
          <w:b/>
          <w:color w:val="auto"/>
          <w:kern w:val="0"/>
          <w:sz w:val="24"/>
          <w:highlight w:val="none"/>
          <w:lang w:eastAsia="zh-CN"/>
        </w:rPr>
        <w:t>）技术部分</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①白蚁普查实施方案；</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②白蚁灭治实施方案；</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③安全生产、文明施工、环境保护及堤防保护措施；</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④配合方案；</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⑤项目实施人员配备表（格式见第六章）；</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⑥供应商需要说明的其他文件和说明。</w:t>
      </w:r>
    </w:p>
    <w:p>
      <w:pPr>
        <w:spacing w:line="500" w:lineRule="exact"/>
        <w:ind w:firstLine="241" w:firstLineChars="100"/>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lang w:eastAsia="zh-CN"/>
        </w:rPr>
        <w:t>（2）商务、资信及其他部分：</w:t>
      </w:r>
    </w:p>
    <w:p>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①商务响应表（格式见第六章）；</w:t>
      </w:r>
    </w:p>
    <w:p>
      <w:pPr>
        <w:snapToGrid w:val="0"/>
        <w:spacing w:line="560" w:lineRule="exact"/>
        <w:ind w:firstLine="470" w:firstLineChars="19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②企业业绩（格式见第六章）；</w:t>
      </w:r>
    </w:p>
    <w:p>
      <w:pPr>
        <w:snapToGrid w:val="0"/>
        <w:spacing w:line="560" w:lineRule="exact"/>
        <w:ind w:firstLine="470" w:firstLineChars="196"/>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③企业认证；</w:t>
      </w:r>
    </w:p>
    <w:p>
      <w:pPr>
        <w:spacing w:line="500" w:lineRule="exact"/>
        <w:ind w:firstLine="240" w:firstLineChars="1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（3）其他招标文件要求提供的或投标人认为需要说明的技术、商务、资信及其他文件内容。</w:t>
      </w:r>
    </w:p>
    <w:p>
      <w:pPr>
        <w:spacing w:line="500" w:lineRule="exact"/>
        <w:ind w:firstLine="241" w:firstLineChars="100"/>
        <w:rPr>
          <w:rFonts w:hint="eastAsia"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rPr>
        <w:t>3.报价文件：</w:t>
      </w:r>
    </w:p>
    <w:p>
      <w:pPr>
        <w:spacing w:line="50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（1）开标一览表</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eastAsia="zh-CN"/>
        </w:rPr>
        <w:t>格式见第六章）</w:t>
      </w:r>
      <w:r>
        <w:rPr>
          <w:rFonts w:hint="eastAsia" w:ascii="仿宋" w:hAnsi="仿宋" w:eastAsia="仿宋" w:cs="宋体"/>
          <w:color w:val="auto"/>
          <w:kern w:val="0"/>
          <w:sz w:val="24"/>
          <w:highlight w:val="none"/>
        </w:rPr>
        <w:t>；</w:t>
      </w:r>
    </w:p>
    <w:p>
      <w:pPr>
        <w:spacing w:line="50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报价明细表</w:t>
      </w:r>
      <w:r>
        <w:rPr>
          <w:rFonts w:hint="eastAsia" w:ascii="仿宋" w:hAnsi="仿宋" w:eastAsia="仿宋" w:cs="宋体"/>
          <w:color w:val="auto"/>
          <w:kern w:val="0"/>
          <w:sz w:val="24"/>
          <w:highlight w:val="none"/>
        </w:rPr>
        <w:t>（</w:t>
      </w:r>
      <w:r>
        <w:rPr>
          <w:rFonts w:hint="eastAsia" w:ascii="仿宋" w:hAnsi="仿宋" w:eastAsia="仿宋" w:cs="仿宋"/>
          <w:b w:val="0"/>
          <w:bCs/>
          <w:color w:val="auto"/>
          <w:sz w:val="24"/>
          <w:highlight w:val="none"/>
          <w:lang w:eastAsia="zh-CN"/>
        </w:rPr>
        <w:t>格式见第六章</w:t>
      </w:r>
      <w:r>
        <w:rPr>
          <w:rFonts w:hint="eastAsia" w:ascii="仿宋" w:hAnsi="仿宋" w:eastAsia="仿宋" w:cs="宋体"/>
          <w:color w:val="auto"/>
          <w:kern w:val="0"/>
          <w:sz w:val="24"/>
          <w:highlight w:val="none"/>
        </w:rPr>
        <w:t>）；</w:t>
      </w:r>
    </w:p>
    <w:p>
      <w:pPr>
        <w:spacing w:line="500" w:lineRule="exact"/>
        <w:ind w:firstLine="240" w:firstLineChars="1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招标代理服务费承诺函（</w:t>
      </w:r>
      <w:r>
        <w:rPr>
          <w:rFonts w:hint="eastAsia" w:ascii="仿宋" w:hAnsi="仿宋" w:eastAsia="仿宋" w:cs="宋体"/>
          <w:color w:val="auto"/>
          <w:kern w:val="0"/>
          <w:sz w:val="24"/>
          <w:highlight w:val="none"/>
          <w:lang w:eastAsia="zh-CN"/>
        </w:rPr>
        <w:t>格式见第六章）</w:t>
      </w:r>
      <w:r>
        <w:rPr>
          <w:rFonts w:hint="eastAsia" w:ascii="仿宋" w:hAnsi="仿宋" w:eastAsia="仿宋" w:cs="宋体"/>
          <w:color w:val="auto"/>
          <w:kern w:val="0"/>
          <w:sz w:val="24"/>
          <w:highlight w:val="none"/>
        </w:rPr>
        <w:t>；</w:t>
      </w:r>
    </w:p>
    <w:p>
      <w:pPr>
        <w:spacing w:line="500" w:lineRule="exact"/>
        <w:ind w:firstLine="240" w:firstLineChars="100"/>
        <w:rPr>
          <w:rFonts w:hint="eastAsia" w:ascii="仿宋" w:hAnsi="仿宋" w:eastAsia="仿宋" w:cs="宋体"/>
          <w:b/>
          <w:bCs/>
          <w:color w:val="auto"/>
          <w:kern w:val="0"/>
          <w:sz w:val="24"/>
          <w:highlight w:val="none"/>
          <w:lang w:eastAsia="zh-CN"/>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）投标人针对报价需要说明的其他文件和说明。</w:t>
      </w:r>
    </w:p>
    <w:bookmarkEnd w:id="11"/>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（二）投标文件的语言及计量</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1.投标文件以及投标人与采购人就有关投标事宜的所有来往函电，均应以中文汉语书写。除签名、盖章、专用名称等特殊情形外，以中文汉语以外的文字表述的投标文件视同未提供。</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2.投标计量单位，招标文件已有明确规定的，使用招标文件规定的计量单位；招标文件没有规定的，应采用中华人民共和国法定计量单位（货币单位：人民币元），否则视同未响应。</w:t>
      </w:r>
    </w:p>
    <w:p>
      <w:pPr>
        <w:spacing w:line="500" w:lineRule="exact"/>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▲（三）投标报价</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1.投标报价应按招标文件中相关附表格式填写。投标报价为本招标项目全部工作内容的报价，所有报价均应使用（人民币元）表示。</w:t>
      </w:r>
    </w:p>
    <w:p>
      <w:pPr>
        <w:snapToGrid w:val="0"/>
        <w:spacing w:line="56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2.投标报价是履行合同的最终价格，</w:t>
      </w:r>
      <w:r>
        <w:rPr>
          <w:rFonts w:hint="eastAsia" w:ascii="仿宋" w:hAnsi="仿宋" w:eastAsia="仿宋" w:cs="仿宋"/>
          <w:color w:val="auto"/>
          <w:sz w:val="24"/>
          <w:highlight w:val="none"/>
        </w:rPr>
        <w:t>指完成项目的各种费用及必要的保险费用和各项税金等所有费用的总和，应为履行合同的最终价格，其市场风险由供应商承担；</w:t>
      </w:r>
      <w:r>
        <w:rPr>
          <w:rFonts w:hint="eastAsia" w:ascii="仿宋" w:hAnsi="仿宋" w:eastAsia="仿宋" w:cs="宋体"/>
          <w:color w:val="auto"/>
          <w:kern w:val="0"/>
          <w:sz w:val="24"/>
          <w:highlight w:val="none"/>
        </w:rPr>
        <w:t>投标报价为签订合同的依据。因投标人失误的错漏项均视为已包含在总报价中。本项目作业区分散，交通不便，请供应商充分考虑单价，相关费用不再另行计列。</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3.投标文件只允许有一个报价，有选择的或有条件的报价将不予接受。</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4.投标人的最终报价由投标人自担全部风险责任，中标后不得以任何理由调整报价或追加任何费用。</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5.投标人所有优惠条件和优惠费用不得降低和影响本采购项目质量。</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6.投标人对招标文件里有关投标报价的全部内容应仔细确认，若有个别异议，应在开标前提出修改意见，否则视同全部确认。</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7.报价如单价与总价不符时，以单价为准；大写与小写不符时以大写为准。</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8.投标人在报价中应充分考虑所有可能发生的费用，否则采购人将视报价总价中已包括所有费用。</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9.投标人对在合同执行中，除上述费用及招标文件规定的由中标人负责的工作范围以外需要采购人协调或提供便利的工作应当在报价文件中说明。</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（四）投标文件的有效期</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▲1.自投标截止日起</w:t>
      </w:r>
      <w:r>
        <w:rPr>
          <w:rFonts w:hint="eastAsia" w:ascii="仿宋" w:hAnsi="仿宋" w:eastAsia="仿宋" w:cs="宋体"/>
          <w:color w:val="auto"/>
          <w:kern w:val="0"/>
          <w:sz w:val="24"/>
          <w:highlight w:val="none"/>
          <w:u w:val="single"/>
        </w:rPr>
        <w:t>60天</w:t>
      </w:r>
      <w:r>
        <w:rPr>
          <w:rFonts w:hint="eastAsia" w:ascii="仿宋" w:hAnsi="仿宋" w:eastAsia="仿宋" w:cs="宋体"/>
          <w:color w:val="auto"/>
          <w:kern w:val="0"/>
          <w:sz w:val="24"/>
          <w:highlight w:val="none"/>
        </w:rPr>
        <w:t>投标文件应保持有效。有效期不足的投标文件将被拒绝。</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2.在特殊情况下，采购人可与投标人协商延长投标书的有效期，这种要求和答复均以书面形式进行。</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3.投标人可拒绝接受延期要求。同意延长有效期的投标人不能修改投标文件。</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（五）投标文件的签署和份数</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1、电子投标文件：</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 xml:space="preserve">2.数据电子备份投标文件（U 盘）：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 xml:space="preserve">3.其他：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3.1 投标文件需按招标文件要求的格式填写并签字盖章。</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3.2 投标文件不应涂改或行间插字和增删, 如有修改，修改处须加盖投标人的公章或由法定代表人或其授权委托人签字或盖章。投标文件因字迹潦草或表达不清所引起的后果由投标人负责。</w:t>
      </w:r>
    </w:p>
    <w:p>
      <w:pPr>
        <w:spacing w:line="500" w:lineRule="exact"/>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（六）投标文件的包装、递交、修改和撤回</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olor w:val="auto"/>
          <w:sz w:val="24"/>
          <w:highlight w:val="none"/>
        </w:rPr>
        <w:t>作未递交投标文件处理</w:t>
      </w:r>
      <w:r>
        <w:rPr>
          <w:rFonts w:hint="eastAsia" w:ascii="仿宋" w:hAnsi="仿宋" w:eastAsia="仿宋" w:cs="宋体"/>
          <w:color w:val="auto"/>
          <w:kern w:val="0"/>
          <w:sz w:val="24"/>
          <w:highlight w:val="none"/>
        </w:rPr>
        <w:t>。</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2.数据电子备份投标文件（U 盘）：以 U 盘形式提供的数据电子备份投标文件格式及内容须与政采云平台项目采购-电子交易操作指南中制作、加密并递交的电子投标文件格式及内容一致。递交方式：</w:t>
      </w:r>
    </w:p>
    <w:p>
      <w:pPr>
        <w:spacing w:line="500" w:lineRule="exact"/>
        <w:ind w:firstLine="283" w:firstLineChars="118"/>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数据电子备份投标文件（U盘）应通过邮寄快递方式送达（原则上邮寄公司统一采用EMS），邮寄地址为：湖州市仁皇工程咨询有限公司[</w:t>
      </w:r>
      <w:r>
        <w:rPr>
          <w:rFonts w:hint="eastAsia" w:ascii="仿宋" w:hAnsi="仿宋" w:eastAsia="仿宋" w:cs="宋体"/>
          <w:color w:val="auto"/>
          <w:sz w:val="24"/>
          <w:highlight w:val="none"/>
        </w:rPr>
        <w:t>湖州市太湖路1155号</w:t>
      </w:r>
      <w:r>
        <w:rPr>
          <w:rFonts w:hint="eastAsia" w:ascii="仿宋" w:hAnsi="仿宋" w:eastAsia="仿宋" w:cs="宋体"/>
          <w:color w:val="auto"/>
          <w:sz w:val="24"/>
          <w:highlight w:val="none"/>
          <w:lang w:val="en-US" w:eastAsia="zh-CN"/>
        </w:rPr>
        <w:t>8</w:t>
      </w:r>
      <w:r>
        <w:rPr>
          <w:rFonts w:hint="eastAsia" w:ascii="仿宋" w:hAnsi="仿宋" w:eastAsia="仿宋" w:cs="宋体"/>
          <w:color w:val="auto"/>
          <w:sz w:val="24"/>
          <w:highlight w:val="none"/>
        </w:rPr>
        <w:t>层</w:t>
      </w:r>
      <w:r>
        <w:rPr>
          <w:rFonts w:hint="eastAsia" w:ascii="仿宋" w:hAnsi="仿宋" w:eastAsia="仿宋" w:cs="宋体"/>
          <w:color w:val="auto"/>
          <w:sz w:val="24"/>
          <w:highlight w:val="none"/>
          <w:lang w:val="en-US" w:eastAsia="zh-CN"/>
        </w:rPr>
        <w:t>801B</w:t>
      </w:r>
      <w:r>
        <w:rPr>
          <w:rFonts w:hint="eastAsia" w:ascii="仿宋" w:hAnsi="仿宋" w:eastAsia="仿宋" w:cs="宋体"/>
          <w:color w:val="auto"/>
          <w:sz w:val="24"/>
          <w:highlight w:val="none"/>
        </w:rPr>
        <w:t>室</w:t>
      </w:r>
      <w:r>
        <w:rPr>
          <w:rFonts w:hint="eastAsia" w:ascii="仿宋" w:hAnsi="仿宋" w:eastAsia="仿宋" w:cs="宋体"/>
          <w:color w:val="auto"/>
          <w:kern w:val="0"/>
          <w:sz w:val="24"/>
          <w:highlight w:val="none"/>
        </w:rPr>
        <w:t>]，联系电话：0572-261</w:t>
      </w:r>
      <w:r>
        <w:rPr>
          <w:rFonts w:hint="eastAsia" w:ascii="仿宋" w:hAnsi="仿宋" w:eastAsia="仿宋" w:cs="宋体"/>
          <w:color w:val="auto"/>
          <w:kern w:val="0"/>
          <w:sz w:val="24"/>
          <w:highlight w:val="none"/>
          <w:lang w:val="en-US" w:eastAsia="zh-CN"/>
        </w:rPr>
        <w:t>5598</w:t>
      </w:r>
      <w:r>
        <w:rPr>
          <w:rFonts w:hint="eastAsia" w:ascii="仿宋" w:hAnsi="仿宋" w:eastAsia="仿宋" w:cs="宋体"/>
          <w:color w:val="auto"/>
          <w:kern w:val="0"/>
          <w:sz w:val="24"/>
          <w:highlight w:val="none"/>
        </w:rPr>
        <w:t>。邮寄截止时间：投标人应于202</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年</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29</w:t>
      </w:r>
      <w:r>
        <w:rPr>
          <w:rFonts w:hint="eastAsia" w:ascii="仿宋" w:hAnsi="仿宋" w:eastAsia="仿宋" w:cs="宋体"/>
          <w:color w:val="auto"/>
          <w:kern w:val="0"/>
          <w:sz w:val="24"/>
          <w:highlight w:val="none"/>
        </w:rPr>
        <w:t xml:space="preserve">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3.整个开标过程中若因投标人问题造成电子投标文件无法正常解密的，均认定为未提交电子投标文件，</w:t>
      </w:r>
      <w:r>
        <w:rPr>
          <w:rFonts w:hint="eastAsia" w:ascii="仿宋" w:hAnsi="仿宋" w:eastAsia="仿宋"/>
          <w:color w:val="auto"/>
          <w:sz w:val="24"/>
          <w:highlight w:val="none"/>
        </w:rPr>
        <w:t>作未递交投标文件处理</w:t>
      </w:r>
      <w:r>
        <w:rPr>
          <w:rFonts w:hint="eastAsia" w:ascii="仿宋" w:hAnsi="仿宋" w:eastAsia="仿宋" w:cs="宋体"/>
          <w:color w:val="auto"/>
          <w:kern w:val="0"/>
          <w:sz w:val="24"/>
          <w:highlight w:val="none"/>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color w:val="auto"/>
          <w:sz w:val="24"/>
          <w:highlight w:val="none"/>
        </w:rPr>
        <w:t>作未递交投标文件处理</w:t>
      </w:r>
      <w:r>
        <w:rPr>
          <w:rFonts w:hint="eastAsia" w:ascii="仿宋" w:hAnsi="仿宋" w:eastAsia="仿宋" w:cs="宋体"/>
          <w:color w:val="auto"/>
          <w:kern w:val="0"/>
          <w:sz w:val="24"/>
          <w:highlight w:val="none"/>
        </w:rPr>
        <w:t xml:space="preserve">。若正常解密成功，则数据电子备份投标文件（U 盘）不予开启。在下一顺位的投标文件启用时，前一顺位的投标文件自动失效。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（七）投标无效的情形</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1.在评标开始前，</w:t>
      </w:r>
      <w:r>
        <w:rPr>
          <w:rFonts w:hint="eastAsia" w:ascii="仿宋" w:hAnsi="仿宋" w:eastAsia="仿宋" w:cs="宋体"/>
          <w:b/>
          <w:color w:val="auto"/>
          <w:kern w:val="0"/>
          <w:sz w:val="24"/>
          <w:highlight w:val="none"/>
          <w:lang w:eastAsia="zh-CN"/>
        </w:rPr>
        <w:t>采购人</w:t>
      </w:r>
      <w:r>
        <w:rPr>
          <w:rFonts w:hint="eastAsia" w:ascii="仿宋" w:hAnsi="仿宋" w:eastAsia="仿宋" w:cs="宋体"/>
          <w:b/>
          <w:color w:val="auto"/>
          <w:kern w:val="0"/>
          <w:sz w:val="24"/>
          <w:highlight w:val="none"/>
        </w:rPr>
        <w:t>或采购代理机构对投标人的资格进行审查，如发现下列情形之一的，投标文件将被视为无效，不在进行下一步评审：</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（1）未提供有效的营业执照、税务登记证、组织机构代码证或未提供“三证合一”的营业执照或未提供“五证合一”的营业执照</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未提供法定代表人有效身份证明书及身份证</w:t>
      </w:r>
      <w:r>
        <w:rPr>
          <w:rFonts w:hint="eastAsia" w:ascii="仿宋" w:hAnsi="仿宋" w:eastAsia="仿宋" w:cs="宋体"/>
          <w:color w:val="auto"/>
          <w:kern w:val="0"/>
          <w:sz w:val="24"/>
          <w:highlight w:val="none"/>
          <w:lang w:eastAsia="zh-CN"/>
        </w:rPr>
        <w:t>（法定代表人参加投标）</w:t>
      </w:r>
      <w:r>
        <w:rPr>
          <w:rFonts w:hint="eastAsia" w:ascii="仿宋" w:hAnsi="仿宋" w:eastAsia="仿宋" w:cs="宋体"/>
          <w:color w:val="auto"/>
          <w:kern w:val="0"/>
          <w:sz w:val="24"/>
          <w:highlight w:val="none"/>
        </w:rPr>
        <w:t>或未提供法定代表人授权书及被授权人身份证、被授权人近一个月社保的</w:t>
      </w:r>
      <w:r>
        <w:rPr>
          <w:rFonts w:hint="eastAsia" w:ascii="仿宋" w:hAnsi="仿宋" w:eastAsia="仿宋" w:cs="宋体"/>
          <w:color w:val="auto"/>
          <w:kern w:val="0"/>
          <w:sz w:val="24"/>
          <w:highlight w:val="none"/>
          <w:lang w:eastAsia="zh-CN"/>
        </w:rPr>
        <w:t>（法定代表人授权委托人参加投标的）</w:t>
      </w:r>
      <w:r>
        <w:rPr>
          <w:rFonts w:hint="eastAsia" w:ascii="仿宋" w:hAnsi="仿宋" w:eastAsia="仿宋" w:cs="宋体"/>
          <w:color w:val="auto"/>
          <w:kern w:val="0"/>
          <w:sz w:val="24"/>
          <w:highlight w:val="none"/>
        </w:rPr>
        <w:t>；</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）未提供承诺书的；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）未提供信用承诺书的；</w:t>
      </w:r>
    </w:p>
    <w:p>
      <w:pPr>
        <w:pStyle w:val="8"/>
        <w:keepNext w:val="0"/>
        <w:keepLines w:val="0"/>
        <w:pageBreakBefore w:val="0"/>
        <w:tabs>
          <w:tab w:val="left" w:pos="0"/>
          <w:tab w:val="left" w:pos="993"/>
          <w:tab w:val="left" w:pos="1134"/>
        </w:tabs>
        <w:kinsoku/>
        <w:wordWrap/>
        <w:overflowPunct/>
        <w:topLinePunct w:val="0"/>
        <w:autoSpaceDE/>
        <w:autoSpaceDN/>
        <w:bidi w:val="0"/>
        <w:adjustRightInd/>
        <w:snapToGrid w:val="0"/>
        <w:spacing w:line="480" w:lineRule="exact"/>
        <w:ind w:left="0" w:leftChars="0" w:right="0" w:rightChars="0" w:firstLine="480" w:firstLineChars="200"/>
        <w:textAlignment w:val="auto"/>
        <w:outlineLvl w:val="9"/>
        <w:rPr>
          <w:rFonts w:hint="eastAsia"/>
          <w:color w:val="auto"/>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w:t>
      </w:r>
      <w:r>
        <w:rPr>
          <w:rFonts w:hint="eastAsia" w:ascii="仿宋" w:hAnsi="仿宋" w:eastAsia="仿宋" w:cs="仿宋"/>
          <w:color w:val="auto"/>
          <w:kern w:val="2"/>
          <w:sz w:val="24"/>
          <w:szCs w:val="24"/>
          <w:highlight w:val="none"/>
        </w:rPr>
        <w:t>未提供中小企业申明函</w:t>
      </w:r>
      <w:r>
        <w:rPr>
          <w:rFonts w:hint="eastAsia" w:ascii="仿宋" w:hAnsi="仿宋" w:eastAsia="仿宋" w:cs="仿宋"/>
          <w:color w:val="auto"/>
          <w:kern w:val="2"/>
          <w:sz w:val="24"/>
          <w:szCs w:val="24"/>
          <w:highlight w:val="none"/>
          <w:lang w:val="en-US" w:eastAsia="zh-CN"/>
        </w:rPr>
        <w:t>或</w:t>
      </w:r>
      <w:r>
        <w:rPr>
          <w:rFonts w:hint="eastAsia" w:ascii="仿宋" w:hAnsi="仿宋" w:eastAsia="仿宋" w:cs="仿宋"/>
          <w:color w:val="auto"/>
          <w:kern w:val="2"/>
          <w:sz w:val="24"/>
          <w:szCs w:val="24"/>
          <w:highlight w:val="none"/>
        </w:rPr>
        <w:t>监狱企业声明函</w:t>
      </w:r>
      <w:r>
        <w:rPr>
          <w:rFonts w:hint="eastAsia" w:ascii="仿宋" w:hAnsi="仿宋" w:eastAsia="仿宋" w:cs="仿宋"/>
          <w:color w:val="auto"/>
          <w:kern w:val="2"/>
          <w:sz w:val="24"/>
          <w:szCs w:val="24"/>
          <w:highlight w:val="none"/>
          <w:lang w:val="en-US" w:eastAsia="zh-CN"/>
        </w:rPr>
        <w:t>或</w:t>
      </w:r>
      <w:r>
        <w:rPr>
          <w:rFonts w:hint="eastAsia" w:ascii="仿宋" w:hAnsi="仿宋" w:eastAsia="仿宋" w:cs="仿宋"/>
          <w:color w:val="auto"/>
          <w:kern w:val="2"/>
          <w:sz w:val="24"/>
          <w:szCs w:val="24"/>
          <w:highlight w:val="none"/>
        </w:rPr>
        <w:t>残疾人福利性单位声明函</w:t>
      </w:r>
      <w:r>
        <w:rPr>
          <w:rFonts w:hint="eastAsia" w:ascii="仿宋" w:hAnsi="仿宋" w:eastAsia="仿宋" w:cs="仿宋"/>
          <w:color w:val="auto"/>
          <w:kern w:val="2"/>
          <w:sz w:val="24"/>
          <w:szCs w:val="24"/>
          <w:highlight w:val="none"/>
          <w:lang w:eastAsia="zh-CN"/>
        </w:rPr>
        <w:t>；</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lang w:eastAsia="zh-CN"/>
        </w:rPr>
        <w:t>）</w:t>
      </w:r>
      <w:r>
        <w:rPr>
          <w:rFonts w:hint="eastAsia" w:ascii="仿宋" w:hAnsi="仿宋" w:eastAsia="仿宋" w:cs="宋体"/>
          <w:color w:val="auto"/>
          <w:kern w:val="0"/>
          <w:sz w:val="24"/>
          <w:highlight w:val="none"/>
        </w:rPr>
        <w:t>资格证明文件不全的，或者不符合招标文件标明的资格要求的。</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2.在符合性审查和商务评审时，如发现下列情形之一的，投标文件将被视为无效：</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（1）投标文件未按招标文件要求签字或盖章；</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（2）投标文件格式不规范、项目不齐全或者内容虚假的；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（3）投标文件的实质性内容未使用中文表述、意思表述不明确、前后矛盾或者使用计量单位不符合招标文件要求的（经评标委员会认定并允许其当场更正的笔误除外）；</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（4）未实质性响应招标文件要求或者投标文件有采购人不能接受的附加条件的。</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3.在技术评审时，如发现下列情形之一的，投标文件将被视为无效：</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（1）未提供或未如实提供投标货物的技术参数，或者投标文件标明的响应或偏离与事实不符或虚假投标的；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（2）明显不符合招标文件要求的规格型号、质量标准，或者与招标文件中标有“▲”的技术指标、主要功能项目发生实质性偏离的；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（3）投标技术方案不明确，存在一个或一个以上备选（替代）投标方案的；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（4）与其他参加本次投标投标人的投标文件（技术文件）的文字表述内容相同连续 20行以上或者差错相同2处以上的。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4.在报价评审时，如发现下列情形之一的，投标文件将被视为无效：</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（1）未采用“人民币元”报价的或未按照招标文件表明的币种报价的；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（2）报价偏离采购人的采购定价，或者超出采购预算金额，采购人不能支付的；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（3）投标报价具有选择性，或者投标报价未按照招标文件规定的价格进行报价的。</w:t>
      </w:r>
    </w:p>
    <w:p>
      <w:pPr>
        <w:spacing w:line="500" w:lineRule="exact"/>
        <w:ind w:firstLine="480" w:firstLineChars="2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投标报价明显高于其市场报价或报价明显不合理或者低于成本，且在规定时间内不能合理说明原因并提供证明材料的</w:t>
      </w:r>
      <w:r>
        <w:rPr>
          <w:rFonts w:hint="eastAsia" w:ascii="仿宋" w:hAnsi="仿宋" w:eastAsia="仿宋" w:cs="宋体"/>
          <w:color w:val="auto"/>
          <w:kern w:val="0"/>
          <w:sz w:val="24"/>
          <w:highlight w:val="none"/>
          <w:lang w:eastAsia="zh-CN"/>
        </w:rPr>
        <w:t>。</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5.被拒绝的投标文件为无效。</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6.投标人有下列情形之一的，视为投标人串通投标，其投标无效：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（1）不同投标人的投标（响应）文件由同一单位或者个人编制；</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（2）不同投标人委托同一单位或者个人办理投标事宜；</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（3）不同投标人的投标文件或响应文件载明的项目管理成员或者联系人员为同一人；</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（4）不同投标人的投标（响应）文件异常一致或者投标报价呈规律性差异；</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（5）不同投标人的投标（响应）文件相互混装。</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 投标人有下列情形之一的，属于恶意串通，其投标无效：</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（1）投标人直接或者间接从采购人或者采购代理机构处获得其他投标人的相关情况并修改其投标（响应）文件；</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（2）投标人按照采购人或者采购代理机构的授意撤换、修改投标（响应）文件；</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（3）投标人之间协商报价、技术方案等投标（响应）文件的实质性内容；</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（4）属于同一集团、协会、商会等组织成员的投标人按照该组织要求协同参加政府采购活动；</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（5）投标人之间事先约定由某一特定投标人中标、成交；</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（6）投标人之间商定部分投标人放弃参加政府采购活动或者放弃中标、成交；</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（7）投标人与采购人或者采购代理机构之间、投标人相互之间，为谋求特定投标人中标、成交或者排斥其他投标人的其他串通行为。</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8.出现以下情形，导致电子交易平台无法正常进行，或者无法保证电子交易的公平、公正和安全时，中止电子交易活动：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（1）电子交易平台发生故障而无法登录访问的；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（2）电子交易平台应用或数据库出现错误，不能进行正常操作的；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（3）电子交易平台发现严重安全漏洞，有潜在泄密危险的；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（4）病毒发作导致不能进行正常操作的；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（5）其他无法保证电子交易的公平、公正和安全的情况。</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(八）废标的情形</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在采购活动中，出现下列情形之一的，应予废标：</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(1)符合专业条件的投标人或者对招标文件作实质性响应的投标人不足三家的；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(2)出现影响采购公正的违法、违规行为的；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(3)投标人的报价均超过了采购预算</w:t>
      </w:r>
      <w:r>
        <w:rPr>
          <w:rFonts w:hint="eastAsia" w:ascii="仿宋" w:hAnsi="仿宋" w:eastAsia="仿宋" w:cs="宋体"/>
          <w:color w:val="auto"/>
          <w:kern w:val="0"/>
          <w:sz w:val="24"/>
          <w:highlight w:val="none"/>
          <w:lang w:eastAsia="zh-CN"/>
        </w:rPr>
        <w:t>（含单项限价）</w:t>
      </w:r>
      <w:r>
        <w:rPr>
          <w:rFonts w:hint="eastAsia" w:ascii="仿宋" w:hAnsi="仿宋" w:eastAsia="仿宋" w:cs="宋体"/>
          <w:color w:val="auto"/>
          <w:kern w:val="0"/>
          <w:sz w:val="24"/>
          <w:highlight w:val="none"/>
        </w:rPr>
        <w:t>，采购人不能支付的；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(4)因重大变故，采购任务取消的。</w:t>
      </w:r>
    </w:p>
    <w:p>
      <w:pPr>
        <w:spacing w:line="500" w:lineRule="exact"/>
        <w:ind w:firstLine="482" w:firstLineChars="200"/>
        <w:outlineLvl w:val="1"/>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四、开标</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（一）开标准备</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采购代理机构将在规定的时间和地点进行开标，并按照招标文件规定的时间通过“政府采购云平台”组织开标、开启投标文件，所有投标人均应当准时在线参加。</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 xml:space="preserve">（二） 电子招投标开标及评审程序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1.开标由采购人或者采购代理机构主持，邀请投标人在线参加。评标委员会成员不得参加开标活动；</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2.主持人宣布开标会议开始，并按照规定的时间通过政采云系统组织开标，所有投标人应当准时在线参加；</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3.投标截止时间后，投标人应登录政采云平台，在收到电子加密投标文件【开始解密】通知后，通过“项目采购-开标评标”模块对电子投标文件进行在线解密；</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4.在开标结束后（评标开始前），由采购人或采购代理机构进行资格审查。资格审查后在系统上公布资格审查结果；</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5.由评标委员会对资格审查通过的投标人进行技术、商务、资信及其他部分评审，符合性审查及评分结束后，由主持人公布无效投标的投标人名单、投标无效的原因，并在系统上公布其他有效投标的评审结果；</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6.由主持人在系统上公布的投标人名称及在其投标文件中承诺的投标报价、投标内容以及其他有必要宣读的内容；</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7.报价部分符合性审查及评分结束后，由主持人公布无效投标的投标人名单、投标无效的原因，并在系统上公布其他有效投标的评分结果；</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8.最终在政采云系统上公布评审结果；</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9.开标会议结束。</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特别说明：政采云公司如对电子化开标及评审程序有调整的，应按调整的程序操作。</w:t>
      </w:r>
    </w:p>
    <w:p>
      <w:pPr>
        <w:spacing w:line="500" w:lineRule="exact"/>
        <w:ind w:firstLine="482" w:firstLineChars="200"/>
        <w:outlineLvl w:val="1"/>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五、评标</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（一）组建评标委员会</w:t>
      </w:r>
    </w:p>
    <w:p>
      <w:pPr>
        <w:spacing w:line="46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0"/>
          <w:sz w:val="24"/>
          <w:highlight w:val="none"/>
        </w:rPr>
        <w:t>本项目评标委员会由政府采购评审专家4名及采购人代表1名组成。</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（二）评标的方式</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本项目采用不公开方式评标，评标的依据为招标文件和投标文件。</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（三）评标程序</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1.形式审查</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在开标结束后（评标开始前），采购人或代理机构负责对投标人的资格和投标文件的完整性、合法性等进行审查。</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2.实质审查与比较</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（1）评标委员会审查投标文件的实质性内容是否符合招标文件的实质性要求。</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（2）评标委员会将根据投标人的投标文件进行审查、核对,如有疑问,将对投标人进行询标,投标人要向评标委员会澄清有关问题,并最终以书面形式进行答复。投标人未</w:t>
      </w:r>
      <w:r>
        <w:rPr>
          <w:rFonts w:hint="eastAsia" w:ascii="仿宋" w:hAnsi="仿宋" w:eastAsia="仿宋" w:cs="宋体"/>
          <w:color w:val="auto"/>
          <w:kern w:val="0"/>
          <w:sz w:val="24"/>
          <w:highlight w:val="none"/>
          <w:lang w:eastAsia="zh-CN"/>
        </w:rPr>
        <w:t>在</w:t>
      </w:r>
      <w:r>
        <w:rPr>
          <w:rFonts w:hint="eastAsia" w:ascii="仿宋" w:hAnsi="仿宋" w:eastAsia="仿宋" w:cs="宋体"/>
          <w:color w:val="auto"/>
          <w:kern w:val="0"/>
          <w:sz w:val="24"/>
          <w:highlight w:val="none"/>
        </w:rPr>
        <w:t>规定时间内澄清或者拒绝澄清或者澄清的内容改变了投标文件的实质性内容的，评标委员会有权对该投标文件做出不利于投标人的评判。</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（3）评标委员会完成评标后,按评标原则推荐中标候选人同时起草评标报告。</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（4）评标委员会按评标原则通过电子系统向采购人及采购代理机构提交评审报告。</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（四）澄清问题的形式</w:t>
      </w:r>
    </w:p>
    <w:p>
      <w:pPr>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（五）错误修正</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投标文件如果出现计算或表达上的错误，修正错误的原则如下：</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1.投标文件的大写和小写不一致的，以大写为准；</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2.对不同文字文本投标文件的解释发生异议的，以中文文本为准。</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（六）评标原则和评标办法</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2.评标办法。本项目评标办法是</w:t>
      </w:r>
      <w:r>
        <w:rPr>
          <w:rFonts w:hint="eastAsia" w:ascii="仿宋" w:hAnsi="仿宋" w:eastAsia="仿宋" w:cs="宋体"/>
          <w:b/>
          <w:color w:val="auto"/>
          <w:kern w:val="0"/>
          <w:sz w:val="24"/>
          <w:highlight w:val="none"/>
          <w:u w:val="single"/>
        </w:rPr>
        <w:t>综合评分法</w:t>
      </w:r>
      <w:r>
        <w:rPr>
          <w:rFonts w:hint="eastAsia" w:ascii="仿宋" w:hAnsi="仿宋" w:eastAsia="仿宋" w:cs="宋体"/>
          <w:color w:val="auto"/>
          <w:kern w:val="0"/>
          <w:sz w:val="24"/>
          <w:highlight w:val="none"/>
        </w:rPr>
        <w:t>，具体评标内容及评分标准等详见《第四章：评标办法及评分标准》。</w:t>
      </w:r>
    </w:p>
    <w:p>
      <w:pPr>
        <w:spacing w:line="500" w:lineRule="exact"/>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3.评标过程中凡是属于审查、澄清、评审和比较的有关资料以及授标建议，任何人均不得向投标人或其他无关人员透露。</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（七）评标过程的监控</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本项目评标过程实行全程录音、录像监控，由湖州市公共资源交易管理办公室进行现场监督。投标人在评标过程中所进行的试图影响评标结果的不公正活动，可能导致其投标被拒绝。</w:t>
      </w:r>
    </w:p>
    <w:p>
      <w:pPr>
        <w:spacing w:line="500" w:lineRule="exact"/>
        <w:ind w:firstLine="482" w:firstLineChars="200"/>
        <w:outlineLvl w:val="1"/>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六、定标</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（一）确定中标人。本项目由采购人确定中标人。</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1.评标委员会完成评审后，采购代理机构通过电子交易平台向采购人提交评标报告。采购人通过电子交易平台确认中标人。</w:t>
      </w:r>
    </w:p>
    <w:p>
      <w:pPr>
        <w:spacing w:line="500" w:lineRule="exact"/>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2.</w:t>
      </w:r>
      <w:r>
        <w:rPr>
          <w:rFonts w:hint="eastAsia" w:ascii="仿宋" w:hAnsi="仿宋" w:eastAsia="仿宋" w:cs="宋体"/>
          <w:color w:val="auto"/>
          <w:sz w:val="24"/>
          <w:highlight w:val="none"/>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3.采购人在收到评标报告5个工作日内未按评标报告推荐的中标候选人顺序确定中标人，又不能说明合法理由的，视同按评标报告推荐的顺序确定排名第一的中标候选人为中标人。</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4.采购人依法确定中标人后2个工作日内，采购代理机构、采购人向中标人发出中标通知书，并同时在相关网站上发布中标结果公告。</w:t>
      </w:r>
    </w:p>
    <w:p>
      <w:pPr>
        <w:spacing w:line="500" w:lineRule="exact"/>
        <w:ind w:firstLine="482" w:firstLineChars="200"/>
        <w:outlineLvl w:val="1"/>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七、合同授予</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（一）签订合同</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2.中标人拖延、拒签合同的,将被取消中标资格。</w:t>
      </w:r>
    </w:p>
    <w:p>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（二）中标通知书</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1.确定中标人后，采购代理机构将以书面形式发出中标通知书，通知中标的投标人其投标被接受；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2.中标通知书为双方签订合同的依据；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3.中标人应根据中标通知书中规定的时间内，由法定代表人或其授权代理人与采购人签订合同。</w:t>
      </w:r>
    </w:p>
    <w:p>
      <w:pPr>
        <w:spacing w:line="560" w:lineRule="exact"/>
        <w:ind w:firstLine="482" w:firstLineChars="200"/>
        <w:rPr>
          <w:rFonts w:hint="eastAsia" w:ascii="仿宋" w:hAnsi="仿宋" w:eastAsia="仿宋" w:cs="宋体"/>
          <w:b/>
          <w:color w:val="auto"/>
          <w:kern w:val="0"/>
          <w:sz w:val="24"/>
          <w:highlight w:val="none"/>
          <w:lang w:eastAsia="zh-CN"/>
        </w:rPr>
      </w:pPr>
      <w:r>
        <w:rPr>
          <w:rFonts w:hint="eastAsia" w:ascii="仿宋" w:hAnsi="仿宋" w:eastAsia="仿宋" w:cs="宋体"/>
          <w:b/>
          <w:color w:val="auto"/>
          <w:kern w:val="0"/>
          <w:sz w:val="24"/>
          <w:highlight w:val="none"/>
        </w:rPr>
        <w:t>（三）履约保证金：</w:t>
      </w:r>
      <w:r>
        <w:rPr>
          <w:rFonts w:hint="eastAsia" w:ascii="仿宋" w:hAnsi="仿宋" w:eastAsia="仿宋" w:cs="仿宋"/>
          <w:color w:val="auto"/>
          <w:sz w:val="24"/>
          <w:highlight w:val="none"/>
          <w:lang w:eastAsia="zh-CN"/>
        </w:rPr>
        <w:t>无</w:t>
      </w:r>
    </w:p>
    <w:p>
      <w:pPr>
        <w:spacing w:line="500" w:lineRule="exact"/>
        <w:ind w:firstLine="482" w:firstLineChars="200"/>
        <w:outlineLvl w:val="1"/>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 xml:space="preserve">八、其他内容 </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1.投标人在提交投标（响应）文件截止时间后撤回投标（响应）文件的；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2.投标人在投标（响应）文件中提交虚假材料的；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3.除因不可抗力或招标文件认可的情形以外，中标人不与采购人签订合同的；</w:t>
      </w:r>
    </w:p>
    <w:p>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4.投标人与采购人、其他投标人或者采购代理机构恶意串通的；</w:t>
      </w:r>
    </w:p>
    <w:p>
      <w:pPr>
        <w:spacing w:line="500" w:lineRule="exact"/>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.招标文件规定的其他情形。</w:t>
      </w:r>
    </w:p>
    <w:p>
      <w:pPr>
        <w:pStyle w:val="12"/>
        <w:rPr>
          <w:rFonts w:hint="eastAsia" w:ascii="仿宋" w:hAnsi="仿宋" w:eastAsia="仿宋" w:cs="宋体"/>
          <w:color w:val="auto"/>
          <w:kern w:val="0"/>
          <w:sz w:val="24"/>
          <w:highlight w:val="none"/>
        </w:rPr>
      </w:pPr>
    </w:p>
    <w:p>
      <w:pPr>
        <w:pStyle w:val="13"/>
        <w:rPr>
          <w:rFonts w:hint="eastAsia" w:ascii="仿宋" w:hAnsi="仿宋" w:eastAsia="仿宋" w:cs="宋体"/>
          <w:color w:val="auto"/>
          <w:kern w:val="0"/>
          <w:sz w:val="24"/>
          <w:highlight w:val="none"/>
        </w:rPr>
      </w:pPr>
    </w:p>
    <w:p>
      <w:pPr>
        <w:rPr>
          <w:rFonts w:hint="eastAsia" w:ascii="仿宋" w:hAnsi="仿宋" w:eastAsia="仿宋" w:cs="宋体"/>
          <w:color w:val="auto"/>
          <w:kern w:val="0"/>
          <w:sz w:val="24"/>
          <w:highlight w:val="none"/>
        </w:rPr>
      </w:pPr>
    </w:p>
    <w:p>
      <w:pPr>
        <w:pStyle w:val="12"/>
        <w:rPr>
          <w:rFonts w:hint="eastAsia" w:ascii="仿宋" w:hAnsi="仿宋" w:eastAsia="仿宋" w:cs="宋体"/>
          <w:color w:val="auto"/>
          <w:kern w:val="0"/>
          <w:sz w:val="24"/>
          <w:highlight w:val="none"/>
        </w:rPr>
      </w:pPr>
    </w:p>
    <w:p>
      <w:pPr>
        <w:pStyle w:val="13"/>
        <w:rPr>
          <w:rFonts w:hint="eastAsia" w:ascii="仿宋" w:hAnsi="仿宋" w:eastAsia="仿宋" w:cs="宋体"/>
          <w:color w:val="auto"/>
          <w:kern w:val="0"/>
          <w:sz w:val="24"/>
          <w:highlight w:val="none"/>
        </w:rPr>
      </w:pPr>
    </w:p>
    <w:p>
      <w:pPr>
        <w:rPr>
          <w:rFonts w:hint="eastAsia" w:ascii="仿宋" w:hAnsi="仿宋" w:eastAsia="仿宋" w:cs="宋体"/>
          <w:color w:val="auto"/>
          <w:kern w:val="0"/>
          <w:sz w:val="24"/>
          <w:highlight w:val="none"/>
        </w:rPr>
      </w:pPr>
    </w:p>
    <w:p>
      <w:pPr>
        <w:pStyle w:val="12"/>
        <w:rPr>
          <w:color w:val="auto"/>
          <w:highlight w:val="none"/>
        </w:rPr>
      </w:pPr>
    </w:p>
    <w:p>
      <w:pPr>
        <w:pStyle w:val="17"/>
        <w:rPr>
          <w:rFonts w:hint="eastAsia" w:ascii="仿宋" w:hAnsi="仿宋" w:eastAsia="仿宋" w:cs="宋体"/>
          <w:b w:val="0"/>
          <w:bCs/>
          <w:color w:val="auto"/>
          <w:kern w:val="0"/>
          <w:sz w:val="24"/>
          <w:highlight w:val="none"/>
        </w:rPr>
      </w:pPr>
    </w:p>
    <w:p>
      <w:pPr>
        <w:pStyle w:val="17"/>
        <w:rPr>
          <w:rFonts w:hint="eastAsia" w:ascii="仿宋" w:hAnsi="仿宋" w:eastAsia="仿宋" w:cs="宋体"/>
          <w:b w:val="0"/>
          <w:bCs/>
          <w:color w:val="auto"/>
          <w:kern w:val="0"/>
          <w:sz w:val="24"/>
          <w:highlight w:val="none"/>
        </w:rPr>
      </w:pPr>
    </w:p>
    <w:p>
      <w:pPr>
        <w:pStyle w:val="7"/>
        <w:ind w:left="0" w:leftChars="0" w:firstLine="0" w:firstLineChars="0"/>
        <w:rPr>
          <w:color w:val="auto"/>
          <w:highlight w:val="none"/>
        </w:rPr>
      </w:pPr>
    </w:p>
    <w:p>
      <w:pPr>
        <w:rPr>
          <w:color w:val="auto"/>
          <w:highlight w:val="none"/>
        </w:rPr>
      </w:pPr>
    </w:p>
    <w:p>
      <w:pPr>
        <w:pStyle w:val="7"/>
        <w:ind w:firstLine="0" w:firstLineChars="0"/>
        <w:rPr>
          <w:rFonts w:ascii="仿宋" w:hAnsi="仿宋" w:eastAsia="仿宋" w:cs="宋体"/>
          <w:color w:val="auto"/>
          <w:kern w:val="0"/>
          <w:sz w:val="24"/>
          <w:highlight w:val="none"/>
        </w:rPr>
      </w:pPr>
    </w:p>
    <w:p>
      <w:pPr>
        <w:pStyle w:val="3"/>
        <w:spacing w:line="560" w:lineRule="exact"/>
        <w:rPr>
          <w:rFonts w:ascii="仿宋" w:hAnsi="仿宋" w:eastAsia="仿宋"/>
          <w:color w:val="auto"/>
          <w:sz w:val="32"/>
          <w:highlight w:val="none"/>
        </w:rPr>
      </w:pPr>
      <w:r>
        <w:rPr>
          <w:rFonts w:hint="eastAsia" w:ascii="仿宋" w:hAnsi="仿宋" w:eastAsia="仿宋"/>
          <w:color w:val="auto"/>
          <w:sz w:val="32"/>
          <w:highlight w:val="none"/>
        </w:rPr>
        <w:t>第四章 评标办法及评分标准</w:t>
      </w:r>
    </w:p>
    <w:p>
      <w:pPr>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为公正、公平、科学地选择中标人，根据《中华人民共和国政府采购法》、《政府采购货物和服务招标投标管理办法》及相关法律、法规等规定，并结合本项目的实际，制定本办法。</w:t>
      </w:r>
    </w:p>
    <w:p>
      <w:pPr>
        <w:spacing w:line="480" w:lineRule="exact"/>
        <w:ind w:firstLine="480" w:firstLineChars="200"/>
        <w:rPr>
          <w:rFonts w:ascii="仿宋" w:hAnsi="仿宋" w:eastAsia="仿宋"/>
          <w:color w:val="auto"/>
          <w:sz w:val="24"/>
          <w:highlight w:val="none"/>
        </w:rPr>
      </w:pPr>
      <w:r>
        <w:rPr>
          <w:rFonts w:hint="eastAsia" w:ascii="仿宋" w:hAnsi="仿宋" w:eastAsia="仿宋"/>
          <w:color w:val="auto"/>
          <w:kern w:val="0"/>
          <w:sz w:val="24"/>
          <w:highlight w:val="none"/>
        </w:rPr>
        <w:t>本办法适用于</w:t>
      </w:r>
      <w:r>
        <w:rPr>
          <w:rFonts w:hint="eastAsia" w:ascii="仿宋" w:hAnsi="仿宋" w:eastAsia="仿宋"/>
          <w:color w:val="auto"/>
          <w:sz w:val="24"/>
          <w:highlight w:val="none"/>
          <w:u w:val="single"/>
          <w:lang w:eastAsia="zh-CN"/>
        </w:rPr>
        <w:t>2023-2024年度白蚁普查及灭治服务项目</w:t>
      </w:r>
      <w:r>
        <w:rPr>
          <w:rFonts w:hint="eastAsia" w:ascii="仿宋" w:hAnsi="仿宋" w:eastAsia="仿宋"/>
          <w:color w:val="auto"/>
          <w:sz w:val="24"/>
          <w:highlight w:val="none"/>
        </w:rPr>
        <w:t>的评标。</w:t>
      </w:r>
    </w:p>
    <w:p>
      <w:pPr>
        <w:spacing w:line="48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一、总则</w:t>
      </w:r>
    </w:p>
    <w:p>
      <w:pPr>
        <w:spacing w:line="480" w:lineRule="exact"/>
        <w:ind w:firstLine="480" w:firstLineChars="200"/>
        <w:rPr>
          <w:rFonts w:hint="eastAsia" w:ascii="仿宋" w:hAnsi="仿宋" w:eastAsia="仿宋" w:cs="Times New Roman"/>
          <w:color w:val="auto"/>
          <w:kern w:val="0"/>
          <w:sz w:val="24"/>
          <w:highlight w:val="none"/>
        </w:rPr>
      </w:pPr>
      <w:r>
        <w:rPr>
          <w:rFonts w:hint="eastAsia" w:ascii="仿宋" w:hAnsi="仿宋" w:eastAsia="仿宋"/>
          <w:color w:val="auto"/>
          <w:kern w:val="0"/>
          <w:sz w:val="24"/>
          <w:highlight w:val="none"/>
        </w:rPr>
        <w:t>本次评标采用综合评分法，总分为100分，其中价格分</w:t>
      </w:r>
      <w:r>
        <w:rPr>
          <w:rFonts w:hint="eastAsia" w:ascii="仿宋" w:hAnsi="仿宋" w:eastAsia="仿宋"/>
          <w:color w:val="auto"/>
          <w:kern w:val="0"/>
          <w:sz w:val="24"/>
          <w:highlight w:val="none"/>
          <w:lang w:val="en-US" w:eastAsia="zh-CN"/>
        </w:rPr>
        <w:t>1</w:t>
      </w:r>
      <w:r>
        <w:rPr>
          <w:rFonts w:hint="eastAsia" w:ascii="仿宋" w:hAnsi="仿宋" w:eastAsia="仿宋"/>
          <w:color w:val="auto"/>
          <w:kern w:val="0"/>
          <w:sz w:val="24"/>
          <w:highlight w:val="none"/>
        </w:rPr>
        <w:t>0分、技术</w:t>
      </w:r>
      <w:r>
        <w:rPr>
          <w:rFonts w:hint="eastAsia" w:ascii="仿宋" w:hAnsi="仿宋" w:eastAsia="仿宋"/>
          <w:color w:val="auto"/>
          <w:kern w:val="0"/>
          <w:sz w:val="24"/>
          <w:highlight w:val="none"/>
          <w:lang w:eastAsia="zh-CN"/>
        </w:rPr>
        <w:t>分、</w:t>
      </w:r>
      <w:r>
        <w:rPr>
          <w:rFonts w:hint="eastAsia" w:ascii="仿宋" w:hAnsi="仿宋" w:eastAsia="仿宋"/>
          <w:color w:val="auto"/>
          <w:kern w:val="0"/>
          <w:sz w:val="24"/>
          <w:highlight w:val="none"/>
        </w:rPr>
        <w:t>商务资信及其他部分</w:t>
      </w:r>
      <w:r>
        <w:rPr>
          <w:rFonts w:hint="eastAsia" w:ascii="仿宋" w:hAnsi="仿宋" w:eastAsia="仿宋"/>
          <w:color w:val="auto"/>
          <w:kern w:val="0"/>
          <w:sz w:val="24"/>
          <w:highlight w:val="none"/>
          <w:lang w:val="en-US" w:eastAsia="zh-CN"/>
        </w:rPr>
        <w:t>90</w:t>
      </w:r>
      <w:r>
        <w:rPr>
          <w:rFonts w:hint="eastAsia" w:ascii="仿宋" w:hAnsi="仿宋" w:eastAsia="仿宋"/>
          <w:color w:val="auto"/>
          <w:kern w:val="0"/>
          <w:sz w:val="24"/>
          <w:highlight w:val="none"/>
        </w:rPr>
        <w:t>分。合格投标人的评标得分为各项目汇总得分。</w:t>
      </w:r>
      <w:r>
        <w:rPr>
          <w:rFonts w:hint="eastAsia" w:ascii="仿宋" w:hAnsi="仿宋" w:eastAsia="仿宋" w:cs="Times New Roman"/>
          <w:color w:val="auto"/>
          <w:kern w:val="0"/>
          <w:sz w:val="24"/>
          <w:highlight w:val="none"/>
          <w:lang w:eastAsia="zh-CN"/>
        </w:rPr>
        <w:t>评标结果按评审后得分由高到低顺序排列。综合得分相同的，按投标报价由低到高顺序排列。综合</w:t>
      </w:r>
      <w:r>
        <w:rPr>
          <w:rFonts w:hint="eastAsia" w:ascii="仿宋" w:hAnsi="仿宋" w:eastAsia="仿宋" w:cs="Times New Roman"/>
          <w:color w:val="auto"/>
          <w:kern w:val="0"/>
          <w:sz w:val="24"/>
          <w:highlight w:val="none"/>
        </w:rPr>
        <w:t>得分且投标报价相同的</w:t>
      </w:r>
      <w:r>
        <w:rPr>
          <w:rFonts w:hint="default" w:ascii="仿宋" w:hAnsi="仿宋" w:eastAsia="仿宋" w:cs="Times New Roman"/>
          <w:color w:val="auto"/>
          <w:kern w:val="0"/>
          <w:sz w:val="24"/>
          <w:highlight w:val="none"/>
        </w:rPr>
        <w:t>,</w:t>
      </w:r>
      <w:r>
        <w:rPr>
          <w:rFonts w:hint="eastAsia" w:ascii="仿宋" w:hAnsi="仿宋" w:eastAsia="仿宋" w:cs="Times New Roman"/>
          <w:color w:val="auto"/>
          <w:kern w:val="0"/>
          <w:sz w:val="24"/>
          <w:highlight w:val="none"/>
        </w:rPr>
        <w:t>按技术部分得分由高到低顺序排列。技术部分得分仍相同的，由采购人采用随机抽取的方式决定，排名第一的投标人为第一中标候选人,其他投标人中标候选资格依此类推。评分过程中采用四舍五入法，并保留小数2位。</w:t>
      </w:r>
    </w:p>
    <w:p>
      <w:pPr>
        <w:spacing w:line="480" w:lineRule="exact"/>
        <w:ind w:firstLine="480" w:firstLineChars="200"/>
        <w:rPr>
          <w:rFonts w:ascii="仿宋" w:hAnsi="仿宋" w:eastAsia="仿宋"/>
          <w:color w:val="auto"/>
          <w:kern w:val="0"/>
          <w:sz w:val="24"/>
          <w:highlight w:val="none"/>
        </w:rPr>
      </w:pPr>
      <w:r>
        <w:rPr>
          <w:rFonts w:hint="eastAsia" w:ascii="仿宋" w:hAnsi="仿宋" w:eastAsia="仿宋"/>
          <w:color w:val="auto"/>
          <w:kern w:val="0"/>
          <w:sz w:val="24"/>
          <w:highlight w:val="none"/>
        </w:rPr>
        <w:t>各投标人最终得分=价格分</w:t>
      </w:r>
      <w:r>
        <w:rPr>
          <w:rFonts w:hint="eastAsia" w:ascii="仿宋" w:hAnsi="仿宋" w:eastAsia="仿宋"/>
          <w:color w:val="auto"/>
          <w:kern w:val="0"/>
          <w:sz w:val="24"/>
          <w:highlight w:val="none"/>
          <w:lang w:eastAsia="zh-CN"/>
        </w:rPr>
        <w:t>得分</w:t>
      </w:r>
      <w:r>
        <w:rPr>
          <w:rFonts w:hint="eastAsia" w:ascii="仿宋" w:hAnsi="仿宋" w:eastAsia="仿宋"/>
          <w:color w:val="auto"/>
          <w:kern w:val="0"/>
          <w:sz w:val="24"/>
          <w:highlight w:val="none"/>
        </w:rPr>
        <w:t>+技术分、商务资信及其他分得分</w:t>
      </w:r>
    </w:p>
    <w:p>
      <w:pPr>
        <w:numPr>
          <w:ilvl w:val="0"/>
          <w:numId w:val="5"/>
        </w:numPr>
        <w:spacing w:line="480" w:lineRule="exact"/>
        <w:ind w:firstLine="482" w:firstLineChars="200"/>
        <w:rPr>
          <w:rFonts w:hint="eastAsia" w:ascii="仿宋" w:hAnsi="仿宋" w:eastAsia="仿宋"/>
          <w:b/>
          <w:color w:val="auto"/>
          <w:kern w:val="0"/>
          <w:sz w:val="24"/>
          <w:highlight w:val="none"/>
        </w:rPr>
      </w:pPr>
      <w:r>
        <w:rPr>
          <w:rFonts w:hint="eastAsia" w:ascii="仿宋" w:hAnsi="仿宋" w:eastAsia="仿宋"/>
          <w:b/>
          <w:color w:val="auto"/>
          <w:kern w:val="0"/>
          <w:sz w:val="24"/>
          <w:highlight w:val="none"/>
        </w:rPr>
        <w:t>评标内容及标准</w:t>
      </w:r>
    </w:p>
    <w:p>
      <w:pPr>
        <w:numPr>
          <w:ilvl w:val="0"/>
          <w:numId w:val="0"/>
        </w:numPr>
        <w:spacing w:line="480" w:lineRule="exact"/>
        <w:ind w:firstLine="241" w:firstLineChars="100"/>
        <w:rPr>
          <w:rFonts w:hint="eastAsia" w:ascii="仿宋" w:hAnsi="仿宋" w:eastAsia="仿宋"/>
          <w:b/>
          <w:color w:val="auto"/>
          <w:kern w:val="0"/>
          <w:sz w:val="24"/>
          <w:highlight w:val="none"/>
          <w:lang w:eastAsia="zh-CN"/>
        </w:rPr>
      </w:pPr>
      <w:r>
        <w:rPr>
          <w:rFonts w:hint="eastAsia" w:ascii="仿宋" w:hAnsi="仿宋" w:eastAsia="仿宋"/>
          <w:b/>
          <w:color w:val="auto"/>
          <w:kern w:val="0"/>
          <w:sz w:val="24"/>
          <w:highlight w:val="none"/>
        </w:rPr>
        <w:t xml:space="preserve"> （一）价格分</w:t>
      </w:r>
      <w:r>
        <w:rPr>
          <w:rFonts w:hint="eastAsia" w:ascii="仿宋" w:hAnsi="仿宋" w:eastAsia="仿宋"/>
          <w:b/>
          <w:color w:val="auto"/>
          <w:kern w:val="0"/>
          <w:sz w:val="24"/>
          <w:highlight w:val="none"/>
          <w:lang w:val="en-US" w:eastAsia="zh-CN"/>
        </w:rPr>
        <w:t>1</w:t>
      </w:r>
      <w:r>
        <w:rPr>
          <w:rFonts w:hint="eastAsia" w:ascii="仿宋" w:hAnsi="仿宋" w:eastAsia="仿宋"/>
          <w:b/>
          <w:color w:val="auto"/>
          <w:kern w:val="0"/>
          <w:sz w:val="24"/>
          <w:highlight w:val="none"/>
        </w:rPr>
        <w:t>0分</w:t>
      </w:r>
    </w:p>
    <w:p>
      <w:pPr>
        <w:pStyle w:val="8"/>
        <w:tabs>
          <w:tab w:val="left" w:pos="0"/>
          <w:tab w:val="left" w:pos="993"/>
          <w:tab w:val="left" w:pos="1134"/>
        </w:tabs>
        <w:spacing w:before="120" w:beforeLines="50" w:after="120" w:afterLines="50" w:line="480" w:lineRule="exact"/>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价格分采用低价优先法计算，即满足招标文件要求且投标价格</w:t>
      </w:r>
      <w:r>
        <w:rPr>
          <w:rFonts w:hint="eastAsia" w:ascii="仿宋" w:hAnsi="仿宋" w:eastAsia="仿宋" w:cs="仿宋"/>
          <w:bCs/>
          <w:color w:val="auto"/>
          <w:sz w:val="24"/>
          <w:highlight w:val="none"/>
          <w:lang w:eastAsia="zh-CN"/>
        </w:rPr>
        <w:t>（总报价）</w:t>
      </w:r>
      <w:r>
        <w:rPr>
          <w:rFonts w:hint="eastAsia" w:ascii="仿宋" w:hAnsi="仿宋" w:eastAsia="仿宋" w:cs="仿宋"/>
          <w:bCs/>
          <w:color w:val="auto"/>
          <w:sz w:val="24"/>
          <w:highlight w:val="none"/>
        </w:rPr>
        <w:t>最低的投标报价为评标基准价，价格分为满分，其他投标人的价格分按照下列公式计算：</w:t>
      </w:r>
    </w:p>
    <w:p>
      <w:pPr>
        <w:pStyle w:val="12"/>
        <w:spacing w:line="480" w:lineRule="exact"/>
        <w:ind w:firstLine="723" w:firstLineChars="300"/>
        <w:rPr>
          <w:rFonts w:ascii="仿宋" w:hAnsi="仿宋" w:eastAsia="仿宋" w:cs="仿宋"/>
          <w:color w:val="auto"/>
          <w:highlight w:val="none"/>
        </w:rPr>
      </w:pPr>
      <w:r>
        <w:rPr>
          <w:rFonts w:hint="eastAsia" w:ascii="仿宋" w:hAnsi="仿宋" w:eastAsia="仿宋" w:cs="仿宋"/>
          <w:b/>
          <w:color w:val="auto"/>
          <w:sz w:val="24"/>
          <w:highlight w:val="none"/>
          <w:shd w:val="pct10" w:color="auto" w:fill="FFFFFF"/>
        </w:rPr>
        <w:t>价格分=（评标基准价/投标报价）×</w:t>
      </w:r>
      <w:r>
        <w:rPr>
          <w:rFonts w:hint="eastAsia" w:ascii="仿宋" w:hAnsi="仿宋" w:eastAsia="仿宋" w:cs="仿宋"/>
          <w:b/>
          <w:color w:val="auto"/>
          <w:sz w:val="24"/>
          <w:highlight w:val="none"/>
          <w:shd w:val="pct10" w:color="auto" w:fill="FFFFFF"/>
          <w:lang w:val="en-US" w:eastAsia="zh-CN"/>
        </w:rPr>
        <w:t>1</w:t>
      </w:r>
      <w:r>
        <w:rPr>
          <w:rFonts w:hint="eastAsia" w:ascii="仿宋" w:hAnsi="仿宋" w:eastAsia="仿宋" w:cs="仿宋"/>
          <w:b/>
          <w:color w:val="auto"/>
          <w:sz w:val="24"/>
          <w:highlight w:val="none"/>
          <w:shd w:val="pct10" w:color="auto" w:fill="FFFFFF"/>
        </w:rPr>
        <w:t>0%×100</w:t>
      </w:r>
    </w:p>
    <w:p>
      <w:pPr>
        <w:spacing w:line="48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（二）技术分、商务、资信及其他分</w:t>
      </w:r>
      <w:r>
        <w:rPr>
          <w:rFonts w:hint="eastAsia" w:ascii="仿宋" w:hAnsi="仿宋" w:eastAsia="仿宋" w:cs="仿宋"/>
          <w:b/>
          <w:color w:val="auto"/>
          <w:kern w:val="0"/>
          <w:sz w:val="24"/>
          <w:highlight w:val="none"/>
          <w:lang w:val="en-US" w:eastAsia="zh-CN"/>
        </w:rPr>
        <w:t>9</w:t>
      </w:r>
      <w:r>
        <w:rPr>
          <w:rFonts w:hint="eastAsia" w:ascii="仿宋" w:hAnsi="仿宋" w:eastAsia="仿宋" w:cs="仿宋"/>
          <w:b/>
          <w:color w:val="auto"/>
          <w:kern w:val="0"/>
          <w:sz w:val="24"/>
          <w:highlight w:val="none"/>
        </w:rPr>
        <w:t>0分</w:t>
      </w:r>
    </w:p>
    <w:p>
      <w:pPr>
        <w:spacing w:line="480" w:lineRule="exact"/>
        <w:ind w:firstLine="480" w:firstLineChars="200"/>
        <w:rPr>
          <w:rFonts w:ascii="仿宋" w:hAnsi="仿宋" w:eastAsia="仿宋" w:cs="仿宋"/>
          <w:color w:val="auto"/>
          <w:kern w:val="0"/>
          <w:sz w:val="24"/>
          <w:highlight w:val="none"/>
          <w:shd w:val="pct10" w:color="auto" w:fill="FFFFFF"/>
        </w:rPr>
      </w:pPr>
      <w:r>
        <w:rPr>
          <w:rFonts w:hint="eastAsia" w:ascii="仿宋" w:hAnsi="仿宋" w:eastAsia="仿宋" w:cs="仿宋"/>
          <w:color w:val="auto"/>
          <w:kern w:val="0"/>
          <w:sz w:val="24"/>
          <w:highlight w:val="none"/>
          <w:shd w:val="pct10" w:color="auto" w:fill="FFFFFF"/>
        </w:rPr>
        <w:t>本项目设技术分</w:t>
      </w:r>
      <w:r>
        <w:rPr>
          <w:rFonts w:hint="eastAsia" w:ascii="仿宋" w:hAnsi="仿宋" w:eastAsia="仿宋" w:cs="仿宋"/>
          <w:color w:val="auto"/>
          <w:kern w:val="0"/>
          <w:sz w:val="24"/>
          <w:highlight w:val="none"/>
          <w:shd w:val="pct10" w:color="auto" w:fill="FFFFFF"/>
          <w:lang w:val="en-US" w:eastAsia="zh-CN"/>
        </w:rPr>
        <w:t>83</w:t>
      </w:r>
      <w:r>
        <w:rPr>
          <w:rFonts w:hint="eastAsia" w:ascii="仿宋" w:hAnsi="仿宋" w:eastAsia="仿宋" w:cs="仿宋"/>
          <w:color w:val="auto"/>
          <w:kern w:val="0"/>
          <w:sz w:val="24"/>
          <w:highlight w:val="none"/>
          <w:shd w:val="pct10" w:color="auto" w:fill="FFFFFF"/>
        </w:rPr>
        <w:t>分、商务、资信及其他分</w:t>
      </w:r>
      <w:r>
        <w:rPr>
          <w:rFonts w:hint="eastAsia" w:ascii="仿宋" w:hAnsi="仿宋" w:eastAsia="仿宋" w:cs="仿宋"/>
          <w:color w:val="auto"/>
          <w:kern w:val="0"/>
          <w:sz w:val="24"/>
          <w:highlight w:val="none"/>
          <w:shd w:val="pct10" w:color="auto" w:fill="FFFFFF"/>
          <w:lang w:val="en-US" w:eastAsia="zh-CN"/>
        </w:rPr>
        <w:t>7</w:t>
      </w:r>
      <w:r>
        <w:rPr>
          <w:rFonts w:hint="eastAsia" w:ascii="仿宋" w:hAnsi="仿宋" w:eastAsia="仿宋" w:cs="仿宋"/>
          <w:color w:val="auto"/>
          <w:kern w:val="0"/>
          <w:sz w:val="24"/>
          <w:highlight w:val="none"/>
          <w:shd w:val="pct10" w:color="auto" w:fill="FFFFFF"/>
        </w:rPr>
        <w:t>分。</w:t>
      </w:r>
    </w:p>
    <w:p>
      <w:pPr>
        <w:spacing w:line="48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（三）技术分、商务、资信及其他分的计算</w:t>
      </w:r>
    </w:p>
    <w:p>
      <w:pPr>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技术、商务资信及其他按照评标委员会成员的独立评分结果汇总数的算术平均分计算，计算公式为：</w:t>
      </w:r>
    </w:p>
    <w:p>
      <w:pPr>
        <w:spacing w:line="480" w:lineRule="exact"/>
        <w:ind w:firstLine="480" w:firstLineChars="200"/>
        <w:rPr>
          <w:rFonts w:hint="eastAsia" w:ascii="仿宋" w:hAnsi="仿宋" w:eastAsia="仿宋"/>
          <w:b/>
          <w:color w:val="auto"/>
          <w:kern w:val="0"/>
          <w:sz w:val="24"/>
          <w:highlight w:val="none"/>
        </w:rPr>
      </w:pPr>
      <w:r>
        <w:rPr>
          <w:rFonts w:hint="eastAsia" w:ascii="仿宋" w:hAnsi="仿宋" w:eastAsia="仿宋" w:cs="仿宋"/>
          <w:color w:val="auto"/>
          <w:kern w:val="0"/>
          <w:sz w:val="24"/>
          <w:highlight w:val="none"/>
        </w:rPr>
        <w:t>技术分、商务资信及其他分=（评标委员会所有成员评分合计数）/（评标委员会组成人员数）</w:t>
      </w:r>
    </w:p>
    <w:p>
      <w:pPr>
        <w:spacing w:line="460" w:lineRule="exact"/>
        <w:rPr>
          <w:rFonts w:hint="eastAsia" w:ascii="仿宋" w:hAnsi="仿宋" w:eastAsia="仿宋"/>
          <w:b/>
          <w:color w:val="auto"/>
          <w:kern w:val="0"/>
          <w:sz w:val="24"/>
          <w:highlight w:val="none"/>
          <w:lang w:val="en-US" w:eastAsia="zh-CN"/>
        </w:rPr>
      </w:pPr>
      <w:r>
        <w:rPr>
          <w:rFonts w:hint="eastAsia" w:ascii="仿宋" w:hAnsi="仿宋" w:eastAsia="仿宋"/>
          <w:b/>
          <w:color w:val="auto"/>
          <w:kern w:val="0"/>
          <w:sz w:val="24"/>
          <w:highlight w:val="none"/>
        </w:rPr>
        <w:t>附件：评分表格式</w:t>
      </w:r>
    </w:p>
    <w:tbl>
      <w:tblPr>
        <w:tblStyle w:val="26"/>
        <w:tblW w:w="96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678"/>
        <w:gridCol w:w="1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评审内容</w:t>
            </w:r>
          </w:p>
        </w:tc>
        <w:tc>
          <w:tcPr>
            <w:tcW w:w="567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评分标准</w:t>
            </w:r>
          </w:p>
        </w:tc>
        <w:tc>
          <w:tcPr>
            <w:tcW w:w="133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w:t>
            </w:r>
          </w:p>
        </w:tc>
        <w:tc>
          <w:tcPr>
            <w:tcW w:w="7478"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45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技术分</w:t>
            </w:r>
          </w:p>
        </w:tc>
        <w:tc>
          <w:tcPr>
            <w:tcW w:w="133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83</w:t>
            </w:r>
            <w:r>
              <w:rPr>
                <w:rFonts w:hint="eastAsia" w:ascii="仿宋" w:hAnsi="仿宋" w:eastAsia="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28"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800"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白蚁普查</w:t>
            </w:r>
          </w:p>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实施方案</w:t>
            </w:r>
          </w:p>
        </w:tc>
        <w:tc>
          <w:tcPr>
            <w:tcW w:w="5678" w:type="dxa"/>
            <w:tcBorders>
              <w:top w:val="single" w:color="auto" w:sz="4" w:space="0"/>
              <w:left w:val="single" w:color="auto" w:sz="4" w:space="0"/>
              <w:right w:val="single" w:color="auto" w:sz="4" w:space="0"/>
            </w:tcBorders>
            <w:vAlign w:val="center"/>
          </w:tcPr>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根据投标人提供的</w:t>
            </w:r>
            <w:r>
              <w:rPr>
                <w:rFonts w:hint="eastAsia" w:ascii="仿宋" w:hAnsi="仿宋" w:eastAsia="仿宋"/>
                <w:color w:val="auto"/>
                <w:sz w:val="24"/>
                <w:highlight w:val="none"/>
              </w:rPr>
              <w:t>白蚁普查实施方案</w:t>
            </w:r>
            <w:r>
              <w:rPr>
                <w:rFonts w:hint="eastAsia" w:ascii="仿宋" w:hAnsi="仿宋" w:eastAsia="仿宋"/>
                <w:color w:val="auto"/>
                <w:sz w:val="24"/>
                <w:highlight w:val="none"/>
                <w:lang w:eastAsia="zh-CN"/>
              </w:rPr>
              <w:t>进行综合评审：方案包括</w:t>
            </w:r>
            <w:r>
              <w:rPr>
                <w:rFonts w:hint="eastAsia" w:ascii="仿宋" w:hAnsi="仿宋" w:eastAsia="仿宋"/>
                <w:color w:val="auto"/>
                <w:sz w:val="24"/>
                <w:highlight w:val="none"/>
              </w:rPr>
              <w:t>组织保障措施、</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质量保证措施：</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1、组织保障措施（</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包括人员交通设施安排、</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路线时间、</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内容等</w:t>
            </w:r>
            <w:r>
              <w:rPr>
                <w:rFonts w:hint="eastAsia" w:ascii="仿宋" w:hAnsi="仿宋" w:eastAsia="仿宋"/>
                <w:color w:val="auto"/>
                <w:sz w:val="24"/>
                <w:highlight w:val="none"/>
                <w:lang w:eastAsia="zh-CN"/>
              </w:rPr>
              <w:t>。措施合理，符合本项目实际情况的得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措施不得力</w:t>
            </w:r>
            <w:r>
              <w:rPr>
                <w:rFonts w:hint="eastAsia" w:ascii="仿宋" w:hAnsi="仿宋" w:eastAsia="仿宋"/>
                <w:color w:val="auto"/>
                <w:sz w:val="24"/>
                <w:highlight w:val="none"/>
                <w:lang w:eastAsia="zh-CN"/>
              </w:rPr>
              <w:t>、不符合本项目需求的</w:t>
            </w:r>
            <w:r>
              <w:rPr>
                <w:rFonts w:hint="eastAsia" w:ascii="仿宋" w:hAnsi="仿宋" w:eastAsia="仿宋"/>
                <w:color w:val="auto"/>
                <w:sz w:val="24"/>
                <w:highlight w:val="none"/>
              </w:rPr>
              <w:t>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线路时间以及碰到的问题等</w:t>
            </w:r>
            <w:r>
              <w:rPr>
                <w:rFonts w:hint="eastAsia" w:ascii="仿宋" w:hAnsi="仿宋" w:eastAsia="仿宋"/>
                <w:color w:val="auto"/>
                <w:sz w:val="24"/>
                <w:highlight w:val="none"/>
                <w:lang w:eastAsia="zh-CN"/>
              </w:rPr>
              <w:t>。分析合理，符合本项目实际情况的得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分析有缺陷或者描述不符合本项目需求的每项扣0.5分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线路时间以及碰到的问题解决</w:t>
            </w:r>
            <w:r>
              <w:rPr>
                <w:rFonts w:hint="eastAsia" w:ascii="仿宋" w:hAnsi="仿宋" w:eastAsia="仿宋"/>
                <w:color w:val="auto"/>
                <w:sz w:val="24"/>
                <w:highlight w:val="none"/>
                <w:lang w:eastAsia="zh-CN"/>
              </w:rPr>
              <w:t>。解决方案合理，符合本项目实际情况的得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方案存在缺陷每项扣0.5分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4、</w:t>
            </w:r>
            <w:r>
              <w:rPr>
                <w:rFonts w:hint="eastAsia" w:ascii="仿宋" w:hAnsi="仿宋" w:eastAsia="仿宋"/>
                <w:color w:val="auto"/>
                <w:sz w:val="24"/>
                <w:highlight w:val="none"/>
                <w:lang w:eastAsia="zh-CN"/>
              </w:rPr>
              <w:t>普查</w:t>
            </w:r>
            <w:r>
              <w:rPr>
                <w:rFonts w:hint="eastAsia" w:ascii="仿宋" w:hAnsi="仿宋" w:eastAsia="仿宋"/>
                <w:color w:val="auto"/>
                <w:sz w:val="24"/>
                <w:highlight w:val="none"/>
              </w:rPr>
              <w:t>质量保证措施（</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包括携带的检查工具、</w:t>
            </w:r>
            <w:r>
              <w:rPr>
                <w:rFonts w:hint="eastAsia" w:ascii="仿宋" w:hAnsi="仿宋" w:eastAsia="仿宋"/>
                <w:color w:val="auto"/>
                <w:sz w:val="24"/>
                <w:highlight w:val="none"/>
                <w:lang w:eastAsia="zh-CN"/>
              </w:rPr>
              <w:t>质量保证措施、普查情况确认</w:t>
            </w:r>
            <w:r>
              <w:rPr>
                <w:rFonts w:hint="eastAsia" w:ascii="仿宋" w:hAnsi="仿宋" w:eastAsia="仿宋"/>
                <w:color w:val="auto"/>
                <w:sz w:val="24"/>
                <w:highlight w:val="none"/>
              </w:rPr>
              <w:t>等</w:t>
            </w:r>
            <w:r>
              <w:rPr>
                <w:rFonts w:hint="eastAsia" w:ascii="仿宋" w:hAnsi="仿宋" w:eastAsia="仿宋"/>
                <w:color w:val="auto"/>
                <w:sz w:val="24"/>
                <w:highlight w:val="none"/>
                <w:lang w:eastAsia="zh-CN"/>
              </w:rPr>
              <w:t>。措施合理，符合本项目实际情况的得</w:t>
            </w:r>
            <w:r>
              <w:rPr>
                <w:rFonts w:hint="eastAsia" w:ascii="仿宋" w:hAnsi="仿宋" w:eastAsia="仿宋"/>
                <w:color w:val="auto"/>
                <w:sz w:val="24"/>
                <w:highlight w:val="none"/>
                <w:lang w:val="en-US" w:eastAsia="zh-CN"/>
              </w:rPr>
              <w:t>6分，</w:t>
            </w:r>
            <w:r>
              <w:rPr>
                <w:rFonts w:hint="eastAsia" w:ascii="仿宋" w:hAnsi="仿宋" w:eastAsia="仿宋"/>
                <w:color w:val="auto"/>
                <w:sz w:val="24"/>
                <w:highlight w:val="none"/>
              </w:rPr>
              <w:t>措施不得力</w:t>
            </w:r>
            <w:r>
              <w:rPr>
                <w:rFonts w:hint="eastAsia" w:ascii="仿宋" w:hAnsi="仿宋" w:eastAsia="仿宋"/>
                <w:color w:val="auto"/>
                <w:sz w:val="24"/>
                <w:highlight w:val="none"/>
                <w:lang w:eastAsia="zh-CN"/>
              </w:rPr>
              <w:t>、不符合本项目需求的每项</w:t>
            </w:r>
            <w:r>
              <w:rPr>
                <w:rFonts w:hint="eastAsia" w:ascii="仿宋" w:hAnsi="仿宋" w:eastAsia="仿宋"/>
                <w:color w:val="auto"/>
                <w:sz w:val="24"/>
                <w:highlight w:val="none"/>
              </w:rPr>
              <w:t>扣0.5分</w:t>
            </w:r>
            <w:r>
              <w:rPr>
                <w:rFonts w:hint="eastAsia" w:ascii="仿宋" w:hAnsi="仿宋" w:eastAsia="仿宋"/>
                <w:color w:val="auto"/>
                <w:sz w:val="24"/>
                <w:highlight w:val="none"/>
                <w:lang w:eastAsia="zh-CN"/>
              </w:rPr>
              <w:t>，扣完为止。</w:t>
            </w:r>
          </w:p>
          <w:p>
            <w:pPr>
              <w:snapToGrid w:val="0"/>
              <w:spacing w:line="340" w:lineRule="exact"/>
              <w:jc w:val="left"/>
              <w:rPr>
                <w:color w:val="auto"/>
                <w:highlight w:val="none"/>
              </w:rPr>
            </w:pPr>
            <w:r>
              <w:rPr>
                <w:rFonts w:hint="eastAsia" w:ascii="仿宋" w:hAnsi="仿宋" w:eastAsia="仿宋"/>
                <w:color w:val="auto"/>
                <w:sz w:val="24"/>
                <w:highlight w:val="none"/>
              </w:rPr>
              <w:t>以上单项方案不提供的该单项不得分。</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28"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800"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白蚁灭治</w:t>
            </w:r>
          </w:p>
          <w:p>
            <w:pPr>
              <w:spacing w:line="400" w:lineRule="exact"/>
              <w:jc w:val="center"/>
              <w:rPr>
                <w:rFonts w:ascii="仿宋" w:hAnsi="仿宋" w:eastAsia="仿宋"/>
                <w:color w:val="auto"/>
                <w:kern w:val="0"/>
                <w:sz w:val="24"/>
                <w:highlight w:val="none"/>
              </w:rPr>
            </w:pPr>
            <w:r>
              <w:rPr>
                <w:rFonts w:hint="eastAsia" w:ascii="仿宋" w:hAnsi="仿宋" w:eastAsia="仿宋"/>
                <w:color w:val="auto"/>
                <w:sz w:val="24"/>
                <w:highlight w:val="none"/>
              </w:rPr>
              <w:t>实施方案</w:t>
            </w:r>
          </w:p>
        </w:tc>
        <w:tc>
          <w:tcPr>
            <w:tcW w:w="5678" w:type="dxa"/>
            <w:tcBorders>
              <w:top w:val="single" w:color="auto" w:sz="4" w:space="0"/>
              <w:left w:val="single" w:color="auto" w:sz="4" w:space="0"/>
              <w:right w:val="single" w:color="auto" w:sz="4" w:space="0"/>
            </w:tcBorders>
            <w:vAlign w:val="center"/>
          </w:tcPr>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根据投标人提供的</w:t>
            </w:r>
            <w:r>
              <w:rPr>
                <w:rFonts w:hint="eastAsia" w:ascii="仿宋" w:hAnsi="仿宋" w:eastAsia="仿宋"/>
                <w:color w:val="auto"/>
                <w:sz w:val="24"/>
                <w:highlight w:val="none"/>
              </w:rPr>
              <w:t>白蚁</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实施方案进行综合评审</w:t>
            </w:r>
            <w:r>
              <w:rPr>
                <w:rFonts w:hint="eastAsia" w:ascii="仿宋" w:hAnsi="仿宋" w:eastAsia="仿宋"/>
                <w:color w:val="auto"/>
                <w:sz w:val="24"/>
                <w:highlight w:val="none"/>
                <w:lang w:eastAsia="zh-CN"/>
              </w:rPr>
              <w:t>：方案包括</w:t>
            </w:r>
            <w:r>
              <w:rPr>
                <w:rFonts w:hint="eastAsia" w:ascii="仿宋" w:hAnsi="仿宋" w:eastAsia="仿宋"/>
                <w:color w:val="auto"/>
                <w:sz w:val="24"/>
                <w:highlight w:val="none"/>
              </w:rPr>
              <w:t>组织保障措施、</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质量保证措施：</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1、组织保障措施（</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包括人员交通设施安排、</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路线时间、</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内容等</w:t>
            </w:r>
            <w:r>
              <w:rPr>
                <w:rFonts w:hint="eastAsia" w:ascii="仿宋" w:hAnsi="仿宋" w:eastAsia="仿宋"/>
                <w:color w:val="auto"/>
                <w:sz w:val="24"/>
                <w:highlight w:val="none"/>
                <w:lang w:eastAsia="zh-CN"/>
              </w:rPr>
              <w:t>。措施合理，符合本项目实际情况的得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措施不得力</w:t>
            </w:r>
            <w:r>
              <w:rPr>
                <w:rFonts w:hint="eastAsia" w:ascii="仿宋" w:hAnsi="仿宋" w:eastAsia="仿宋"/>
                <w:color w:val="auto"/>
                <w:sz w:val="24"/>
                <w:highlight w:val="none"/>
                <w:lang w:eastAsia="zh-CN"/>
              </w:rPr>
              <w:t>、不符合本项目需求的</w:t>
            </w:r>
            <w:r>
              <w:rPr>
                <w:rFonts w:hint="eastAsia" w:ascii="仿宋" w:hAnsi="仿宋" w:eastAsia="仿宋"/>
                <w:color w:val="auto"/>
                <w:sz w:val="24"/>
                <w:highlight w:val="none"/>
              </w:rPr>
              <w:t>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重点难点分析（</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线路时间以及碰到的问题等</w:t>
            </w:r>
            <w:r>
              <w:rPr>
                <w:rFonts w:hint="eastAsia" w:ascii="仿宋" w:hAnsi="仿宋" w:eastAsia="仿宋"/>
                <w:color w:val="auto"/>
                <w:sz w:val="24"/>
                <w:highlight w:val="none"/>
                <w:lang w:eastAsia="zh-CN"/>
              </w:rPr>
              <w:t>。分析合理，符合本项目实际情况的得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分析有缺陷或者描述不符合本项目需求的每项扣0.5分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重点难点解决方案（</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线路时间以及碰到的问题解决</w:t>
            </w:r>
            <w:r>
              <w:rPr>
                <w:rFonts w:hint="eastAsia" w:ascii="仿宋" w:hAnsi="仿宋" w:eastAsia="仿宋"/>
                <w:color w:val="auto"/>
                <w:sz w:val="24"/>
                <w:highlight w:val="none"/>
                <w:lang w:eastAsia="zh-CN"/>
              </w:rPr>
              <w:t>。解决方案合理，符合本项目实际情况的得</w:t>
            </w:r>
            <w:r>
              <w:rPr>
                <w:rFonts w:hint="eastAsia" w:ascii="仿宋" w:hAnsi="仿宋" w:eastAsia="仿宋"/>
                <w:color w:val="auto"/>
                <w:sz w:val="24"/>
                <w:highlight w:val="none"/>
                <w:lang w:val="en-US" w:eastAsia="zh-CN"/>
              </w:rPr>
              <w:t>8分，</w:t>
            </w:r>
            <w:r>
              <w:rPr>
                <w:rFonts w:hint="eastAsia" w:ascii="仿宋" w:hAnsi="仿宋" w:eastAsia="仿宋"/>
                <w:color w:val="auto"/>
                <w:sz w:val="24"/>
                <w:highlight w:val="none"/>
              </w:rPr>
              <w:t>方案存在缺陷每项扣0.5分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lang w:eastAsia="zh-CN"/>
              </w:rPr>
              <w:t>灭治</w:t>
            </w:r>
            <w:r>
              <w:rPr>
                <w:rFonts w:hint="eastAsia" w:ascii="仿宋" w:hAnsi="仿宋" w:eastAsia="仿宋"/>
                <w:color w:val="auto"/>
                <w:sz w:val="24"/>
                <w:highlight w:val="none"/>
              </w:rPr>
              <w:t>质量保证措施（</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包括携带的检查工具、</w:t>
            </w:r>
            <w:r>
              <w:rPr>
                <w:rFonts w:hint="eastAsia" w:ascii="仿宋" w:hAnsi="仿宋" w:eastAsia="仿宋"/>
                <w:color w:val="auto"/>
                <w:sz w:val="24"/>
                <w:highlight w:val="none"/>
                <w:lang w:eastAsia="zh-CN"/>
              </w:rPr>
              <w:t>质量保证措施、灭治情况确认</w:t>
            </w:r>
            <w:r>
              <w:rPr>
                <w:rFonts w:hint="eastAsia" w:ascii="仿宋" w:hAnsi="仿宋" w:eastAsia="仿宋"/>
                <w:color w:val="auto"/>
                <w:sz w:val="24"/>
                <w:highlight w:val="none"/>
              </w:rPr>
              <w:t>等</w:t>
            </w:r>
            <w:r>
              <w:rPr>
                <w:rFonts w:hint="eastAsia" w:ascii="仿宋" w:hAnsi="仿宋" w:eastAsia="仿宋"/>
                <w:color w:val="auto"/>
                <w:sz w:val="24"/>
                <w:highlight w:val="none"/>
                <w:lang w:eastAsia="zh-CN"/>
              </w:rPr>
              <w:t>。措施合理，符合本项目实际情况的得</w:t>
            </w:r>
            <w:r>
              <w:rPr>
                <w:rFonts w:hint="eastAsia" w:ascii="仿宋" w:hAnsi="仿宋" w:eastAsia="仿宋"/>
                <w:color w:val="auto"/>
                <w:sz w:val="24"/>
                <w:highlight w:val="none"/>
                <w:lang w:val="en-US" w:eastAsia="zh-CN"/>
              </w:rPr>
              <w:t>6分，</w:t>
            </w:r>
            <w:r>
              <w:rPr>
                <w:rFonts w:hint="eastAsia" w:ascii="仿宋" w:hAnsi="仿宋" w:eastAsia="仿宋"/>
                <w:color w:val="auto"/>
                <w:sz w:val="24"/>
                <w:highlight w:val="none"/>
              </w:rPr>
              <w:t>措施不得力</w:t>
            </w:r>
            <w:r>
              <w:rPr>
                <w:rFonts w:hint="eastAsia" w:ascii="仿宋" w:hAnsi="仿宋" w:eastAsia="仿宋"/>
                <w:color w:val="auto"/>
                <w:sz w:val="24"/>
                <w:highlight w:val="none"/>
                <w:lang w:eastAsia="zh-CN"/>
              </w:rPr>
              <w:t>、不符合本项目需求的每项</w:t>
            </w:r>
            <w:r>
              <w:rPr>
                <w:rFonts w:hint="eastAsia" w:ascii="仿宋" w:hAnsi="仿宋" w:eastAsia="仿宋"/>
                <w:color w:val="auto"/>
                <w:sz w:val="24"/>
                <w:highlight w:val="none"/>
              </w:rPr>
              <w:t>扣0.5分</w:t>
            </w:r>
            <w:r>
              <w:rPr>
                <w:rFonts w:hint="eastAsia" w:ascii="仿宋" w:hAnsi="仿宋" w:eastAsia="仿宋"/>
                <w:color w:val="auto"/>
                <w:sz w:val="24"/>
                <w:highlight w:val="none"/>
                <w:lang w:eastAsia="zh-CN"/>
              </w:rPr>
              <w:t>，扣完为止。</w:t>
            </w:r>
          </w:p>
          <w:p>
            <w:pPr>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以上单项方案不提供的该单项不得分。</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s="宋体"/>
                <w:color w:val="auto"/>
                <w:sz w:val="24"/>
                <w:highlight w:val="none"/>
              </w:rPr>
            </w:pPr>
            <w:r>
              <w:rPr>
                <w:rFonts w:hint="eastAsia" w:ascii="仿宋" w:hAnsi="仿宋" w:eastAsia="仿宋" w:cs="宋体"/>
                <w:color w:val="auto"/>
                <w:sz w:val="24"/>
                <w:highlight w:val="none"/>
              </w:rPr>
              <w:t>0-</w:t>
            </w:r>
            <w:r>
              <w:rPr>
                <w:rFonts w:hint="eastAsia" w:ascii="仿宋" w:hAnsi="仿宋" w:eastAsia="仿宋" w:cs="宋体"/>
                <w:color w:val="auto"/>
                <w:sz w:val="24"/>
                <w:highlight w:val="none"/>
                <w:lang w:val="en-US" w:eastAsia="zh-CN"/>
              </w:rPr>
              <w:t>30</w:t>
            </w:r>
            <w:r>
              <w:rPr>
                <w:rFonts w:hint="eastAsia" w:ascii="仿宋" w:hAnsi="仿宋" w:eastAsia="仿宋"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8" w:type="dxa"/>
            <w:tcBorders>
              <w:top w:val="single" w:color="auto" w:sz="4" w:space="0"/>
              <w:left w:val="single" w:color="auto" w:sz="4" w:space="0"/>
              <w:right w:val="single" w:color="auto" w:sz="4" w:space="0"/>
            </w:tcBorders>
            <w:vAlign w:val="center"/>
          </w:tcPr>
          <w:p>
            <w:pPr>
              <w:snapToGrid w:val="0"/>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800" w:type="dxa"/>
            <w:tcBorders>
              <w:top w:val="single" w:color="auto" w:sz="4" w:space="0"/>
              <w:left w:val="single" w:color="auto" w:sz="4" w:space="0"/>
              <w:right w:val="single" w:color="auto" w:sz="4" w:space="0"/>
            </w:tcBorders>
            <w:vAlign w:val="center"/>
          </w:tcPr>
          <w:p>
            <w:pPr>
              <w:snapToGrid w:val="0"/>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安全生产、文明施工、环境保护措施</w:t>
            </w:r>
          </w:p>
        </w:tc>
        <w:tc>
          <w:tcPr>
            <w:tcW w:w="5678" w:type="dxa"/>
            <w:tcBorders>
              <w:top w:val="single" w:color="auto" w:sz="4" w:space="0"/>
              <w:left w:val="single" w:color="auto" w:sz="4" w:space="0"/>
              <w:right w:val="single" w:color="auto" w:sz="4" w:space="0"/>
            </w:tcBorders>
            <w:vAlign w:val="center"/>
          </w:tcPr>
          <w:p>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1、安全生产措施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0-4分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明确的得4分，有欠缺的每项扣1分，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r>
              <w:rPr>
                <w:rFonts w:ascii="仿宋" w:hAnsi="仿宋" w:eastAsia="仿宋"/>
                <w:color w:val="auto"/>
                <w:sz w:val="24"/>
                <w:highlight w:val="none"/>
              </w:rPr>
              <w:t xml:space="preserve"> </w:t>
            </w:r>
          </w:p>
          <w:p>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2、文明施工措施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0-3分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明确的得3分，有欠缺的每项扣1分，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3、环境保护措施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0-3分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明确完善的得3分，有欠缺的每项扣1分，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rPr>
                <w:rFonts w:ascii="仿宋" w:hAnsi="仿宋" w:eastAsia="仿宋"/>
                <w:color w:val="auto"/>
                <w:sz w:val="24"/>
                <w:highlight w:val="none"/>
              </w:rPr>
            </w:pPr>
            <w:r>
              <w:rPr>
                <w:rFonts w:hint="eastAsia" w:ascii="仿宋" w:hAnsi="仿宋" w:eastAsia="仿宋"/>
                <w:color w:val="auto"/>
                <w:sz w:val="24"/>
                <w:highlight w:val="none"/>
              </w:rPr>
              <w:t>以上单项方案不提供的该单项不得分。</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olor w:val="auto"/>
                <w:sz w:val="24"/>
                <w:highlight w:val="none"/>
              </w:rPr>
            </w:pPr>
            <w:r>
              <w:rPr>
                <w:rFonts w:hint="eastAsia" w:ascii="仿宋" w:hAnsi="仿宋" w:eastAsia="仿宋"/>
                <w:color w:val="auto"/>
                <w:sz w:val="24"/>
                <w:highlight w:val="none"/>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8" w:type="dxa"/>
            <w:tcBorders>
              <w:top w:val="single" w:color="auto" w:sz="4" w:space="0"/>
              <w:left w:val="single" w:color="auto" w:sz="4" w:space="0"/>
              <w:right w:val="single" w:color="auto" w:sz="4" w:space="0"/>
            </w:tcBorders>
            <w:vAlign w:val="center"/>
          </w:tcPr>
          <w:p>
            <w:pPr>
              <w:snapToGrid w:val="0"/>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1800" w:type="dxa"/>
            <w:tcBorders>
              <w:top w:val="single" w:color="auto" w:sz="4" w:space="0"/>
              <w:left w:val="single" w:color="auto" w:sz="4" w:space="0"/>
              <w:right w:val="single" w:color="auto" w:sz="4" w:space="0"/>
            </w:tcBorders>
            <w:vAlign w:val="center"/>
          </w:tcPr>
          <w:p>
            <w:pPr>
              <w:snapToGrid w:val="0"/>
              <w:spacing w:line="340" w:lineRule="exact"/>
              <w:jc w:val="center"/>
              <w:rPr>
                <w:rFonts w:ascii="仿宋" w:hAnsi="仿宋" w:eastAsia="仿宋"/>
                <w:color w:val="auto"/>
                <w:sz w:val="24"/>
                <w:highlight w:val="none"/>
              </w:rPr>
            </w:pPr>
            <w:r>
              <w:rPr>
                <w:rFonts w:hint="eastAsia" w:ascii="仿宋" w:hAnsi="仿宋" w:eastAsia="仿宋"/>
                <w:color w:val="auto"/>
                <w:sz w:val="24"/>
                <w:highlight w:val="none"/>
              </w:rPr>
              <w:t>配合方案</w:t>
            </w:r>
          </w:p>
        </w:tc>
        <w:tc>
          <w:tcPr>
            <w:tcW w:w="5678" w:type="dxa"/>
            <w:tcBorders>
              <w:top w:val="single" w:color="auto" w:sz="4" w:space="0"/>
              <w:left w:val="single" w:color="auto" w:sz="4" w:space="0"/>
              <w:right w:val="single" w:color="auto" w:sz="4" w:space="0"/>
            </w:tcBorders>
            <w:vAlign w:val="center"/>
          </w:tcPr>
          <w:p>
            <w:pPr>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与采购单位的配合工作方案</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0-5分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：方案细致周到，可操作性强得</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分。方案存在缺漏项或不符合本项目需求的每项扣1分，</w:t>
            </w:r>
            <w:r>
              <w:rPr>
                <w:rFonts w:hint="eastAsia" w:ascii="仿宋" w:hAnsi="仿宋" w:eastAsia="仿宋"/>
                <w:color w:val="auto"/>
                <w:sz w:val="24"/>
                <w:highlight w:val="none"/>
                <w:lang w:eastAsia="zh-CN"/>
              </w:rPr>
              <w:t>扣完为止</w:t>
            </w:r>
            <w:r>
              <w:rPr>
                <w:rFonts w:hint="eastAsia" w:ascii="仿宋" w:hAnsi="仿宋" w:eastAsia="仿宋"/>
                <w:color w:val="auto"/>
                <w:sz w:val="24"/>
                <w:highlight w:val="none"/>
              </w:rPr>
              <w:t>；</w:t>
            </w:r>
          </w:p>
          <w:p>
            <w:pPr>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以上方案不提供的不得分。</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olor w:val="auto"/>
                <w:sz w:val="24"/>
                <w:highlight w:val="none"/>
              </w:rPr>
            </w:pPr>
            <w:r>
              <w:rPr>
                <w:rFonts w:hint="eastAsia" w:ascii="仿宋" w:hAnsi="仿宋" w:eastAsia="仿宋"/>
                <w:color w:val="auto"/>
                <w:sz w:val="24"/>
                <w:highlight w:val="none"/>
              </w:rPr>
              <w:t>0-</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8"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c>
          <w:tcPr>
            <w:tcW w:w="1800"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项目实施人员</w:t>
            </w:r>
          </w:p>
        </w:tc>
        <w:tc>
          <w:tcPr>
            <w:tcW w:w="5678" w:type="dxa"/>
            <w:tcBorders>
              <w:top w:val="single" w:color="auto" w:sz="4" w:space="0"/>
              <w:left w:val="single" w:color="auto" w:sz="4" w:space="0"/>
              <w:right w:val="single" w:color="auto" w:sz="4" w:space="0"/>
            </w:tcBorders>
            <w:vAlign w:val="center"/>
          </w:tcPr>
          <w:p>
            <w:pPr>
              <w:tabs>
                <w:tab w:val="left" w:pos="0"/>
              </w:tabs>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白蚁防治专职人员（项目负责人除外）中具有白蚁防治类或相关专业中级及以上职称的每个得2分 ，最多得8分。</w:t>
            </w:r>
          </w:p>
          <w:p>
            <w:pPr>
              <w:tabs>
                <w:tab w:val="left" w:pos="0"/>
              </w:tabs>
              <w:spacing w:line="340" w:lineRule="exact"/>
              <w:rPr>
                <w:rFonts w:hint="eastAsia" w:ascii="仿宋" w:hAnsi="仿宋" w:eastAsia="仿宋"/>
                <w:color w:val="auto"/>
                <w:sz w:val="24"/>
                <w:highlight w:val="none"/>
              </w:rPr>
            </w:pPr>
            <w:r>
              <w:rPr>
                <w:rFonts w:hint="eastAsia" w:ascii="仿宋" w:hAnsi="仿宋" w:eastAsia="仿宋" w:cs="仿宋"/>
                <w:color w:val="auto"/>
                <w:sz w:val="24"/>
                <w:highlight w:val="none"/>
              </w:rPr>
              <w:t>注：相关专业包括生物，药物检测等。以上人员须提供相关证书和由供应商为其缴纳的近三个月其中一个月的社保证明，且均要求是原件的扫描件并加盖公章。</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hint="eastAsia" w:ascii="仿宋" w:hAnsi="仿宋" w:eastAsia="仿宋"/>
                <w:color w:val="auto"/>
                <w:sz w:val="24"/>
                <w:highlight w:val="none"/>
              </w:rPr>
            </w:pPr>
            <w:r>
              <w:rPr>
                <w:rFonts w:hint="eastAsia" w:ascii="仿宋" w:hAnsi="仿宋" w:eastAsia="仿宋"/>
                <w:color w:val="auto"/>
                <w:sz w:val="24"/>
                <w:highlight w:val="none"/>
              </w:rPr>
              <w:t>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二</w:t>
            </w:r>
          </w:p>
        </w:tc>
        <w:tc>
          <w:tcPr>
            <w:tcW w:w="7478"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 w:hAnsi="仿宋" w:eastAsia="仿宋"/>
                <w:b/>
                <w:color w:val="auto"/>
                <w:sz w:val="21"/>
                <w:szCs w:val="21"/>
                <w:highlight w:val="none"/>
              </w:rPr>
            </w:pPr>
            <w:r>
              <w:rPr>
                <w:rFonts w:hint="eastAsia" w:ascii="仿宋" w:hAnsi="仿宋" w:eastAsia="仿宋"/>
                <w:b/>
                <w:color w:val="auto"/>
                <w:sz w:val="24"/>
                <w:highlight w:val="none"/>
              </w:rPr>
              <w:t>商务、资信及其他分</w:t>
            </w:r>
          </w:p>
        </w:tc>
        <w:tc>
          <w:tcPr>
            <w:tcW w:w="1338"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jc w:val="center"/>
              <w:rPr>
                <w:rFonts w:ascii="仿宋" w:hAnsi="仿宋" w:eastAsia="仿宋"/>
                <w:b/>
                <w:color w:val="auto"/>
                <w:sz w:val="24"/>
                <w:highlight w:val="none"/>
              </w:rPr>
            </w:pP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5" w:hRule="atLeast"/>
          <w:jc w:val="center"/>
        </w:trPr>
        <w:tc>
          <w:tcPr>
            <w:tcW w:w="828"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6</w:t>
            </w:r>
          </w:p>
        </w:tc>
        <w:tc>
          <w:tcPr>
            <w:tcW w:w="1800"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宋体"/>
                <w:color w:val="auto"/>
                <w:sz w:val="24"/>
                <w:highlight w:val="none"/>
              </w:rPr>
            </w:pPr>
            <w:r>
              <w:rPr>
                <w:rFonts w:hint="eastAsia" w:ascii="仿宋" w:hAnsi="仿宋" w:eastAsia="仿宋"/>
                <w:color w:val="auto"/>
                <w:sz w:val="24"/>
                <w:highlight w:val="none"/>
              </w:rPr>
              <w:t>企业业绩</w:t>
            </w:r>
          </w:p>
        </w:tc>
        <w:tc>
          <w:tcPr>
            <w:tcW w:w="5678" w:type="dxa"/>
            <w:tcBorders>
              <w:top w:val="single" w:color="auto" w:sz="4" w:space="0"/>
              <w:left w:val="single" w:color="auto" w:sz="4" w:space="0"/>
              <w:right w:val="single" w:color="auto" w:sz="4" w:space="0"/>
            </w:tcBorders>
            <w:vAlign w:val="center"/>
          </w:tcPr>
          <w:p>
            <w:pPr>
              <w:tabs>
                <w:tab w:val="left" w:pos="1080"/>
              </w:tabs>
              <w:spacing w:line="400" w:lineRule="exact"/>
              <w:jc w:val="left"/>
              <w:rPr>
                <w:rFonts w:ascii="仿宋" w:hAnsi="仿宋" w:eastAsia="仿宋"/>
                <w:color w:val="auto"/>
                <w:sz w:val="24"/>
                <w:highlight w:val="none"/>
              </w:rPr>
            </w:pP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自20</w:t>
            </w:r>
            <w:r>
              <w:rPr>
                <w:rFonts w:hint="eastAsia" w:ascii="仿宋" w:hAnsi="仿宋" w:eastAsia="仿宋"/>
                <w:color w:val="auto"/>
                <w:sz w:val="24"/>
                <w:highlight w:val="none"/>
                <w:lang w:val="en-US" w:eastAsia="zh-CN"/>
              </w:rPr>
              <w:t>20</w:t>
            </w:r>
            <w:r>
              <w:rPr>
                <w:rFonts w:hint="eastAsia" w:ascii="仿宋" w:hAnsi="仿宋" w:eastAsia="仿宋"/>
                <w:color w:val="auto"/>
                <w:sz w:val="24"/>
                <w:highlight w:val="none"/>
              </w:rPr>
              <w:t>年1月1日以来（以合同签订时间为准）承担过同类项目业绩的，每提供一份得</w:t>
            </w:r>
            <w:r>
              <w:rPr>
                <w:rFonts w:hint="eastAsia" w:ascii="仿宋" w:hAnsi="仿宋" w:eastAsia="仿宋"/>
                <w:color w:val="auto"/>
                <w:sz w:val="24"/>
                <w:highlight w:val="none"/>
                <w:lang w:val="en-US" w:eastAsia="zh-CN"/>
              </w:rPr>
              <w:t>0.5</w:t>
            </w:r>
            <w:r>
              <w:rPr>
                <w:rFonts w:hint="eastAsia" w:ascii="仿宋" w:hAnsi="仿宋" w:eastAsia="仿宋"/>
                <w:color w:val="auto"/>
                <w:sz w:val="24"/>
                <w:highlight w:val="none"/>
              </w:rPr>
              <w:t>分，最多得</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w:t>
            </w:r>
          </w:p>
          <w:p>
            <w:pPr>
              <w:spacing w:line="440" w:lineRule="atLeast"/>
              <w:jc w:val="left"/>
              <w:rPr>
                <w:rFonts w:ascii="仿宋" w:hAnsi="仿宋" w:eastAsia="仿宋" w:cs="宋体"/>
                <w:color w:val="auto"/>
                <w:sz w:val="24"/>
                <w:highlight w:val="none"/>
              </w:rPr>
            </w:pPr>
            <w:r>
              <w:rPr>
                <w:rFonts w:hint="eastAsia" w:ascii="仿宋" w:hAnsi="仿宋" w:eastAsia="仿宋"/>
                <w:color w:val="auto"/>
                <w:sz w:val="24"/>
                <w:highlight w:val="none"/>
              </w:rPr>
              <w:t>注：必须同时提供合同及中标通知书（要求提供原件的扫描件并加盖公章</w:t>
            </w:r>
            <w:r>
              <w:rPr>
                <w:rFonts w:hint="eastAsia" w:ascii="仿宋" w:hAnsi="仿宋" w:eastAsia="仿宋"/>
                <w:color w:val="auto"/>
                <w:sz w:val="24"/>
                <w:highlight w:val="none"/>
                <w:lang w:eastAsia="zh-CN"/>
              </w:rPr>
              <w:t>，否则不得分</w:t>
            </w:r>
            <w:r>
              <w:rPr>
                <w:rFonts w:hint="eastAsia" w:ascii="仿宋" w:hAnsi="仿宋" w:eastAsia="仿宋"/>
                <w:color w:val="auto"/>
                <w:sz w:val="24"/>
                <w:highlight w:val="none"/>
              </w:rPr>
              <w:t>）</w:t>
            </w:r>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olor w:val="auto"/>
                <w:sz w:val="24"/>
                <w:highlight w:val="none"/>
              </w:rPr>
            </w:pPr>
            <w:r>
              <w:rPr>
                <w:rFonts w:hint="eastAsia" w:ascii="仿宋" w:hAnsi="仿宋" w:eastAsia="仿宋"/>
                <w:color w:val="auto"/>
                <w:sz w:val="24"/>
                <w:highlight w:val="none"/>
              </w:rPr>
              <w:t>0-</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28"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1800" w:type="dxa"/>
            <w:tcBorders>
              <w:top w:val="single" w:color="auto" w:sz="4" w:space="0"/>
              <w:left w:val="single" w:color="auto" w:sz="4" w:space="0"/>
              <w:right w:val="single" w:color="auto" w:sz="4" w:space="0"/>
            </w:tcBorders>
            <w:vAlign w:val="center"/>
          </w:tcPr>
          <w:p>
            <w:pPr>
              <w:widowControl/>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企业</w:t>
            </w:r>
            <w:r>
              <w:rPr>
                <w:rFonts w:hint="eastAsia" w:ascii="仿宋" w:hAnsi="仿宋" w:eastAsia="仿宋"/>
                <w:color w:val="auto"/>
                <w:sz w:val="24"/>
                <w:highlight w:val="none"/>
                <w:lang w:val="zh-CN"/>
              </w:rPr>
              <w:t>认证</w:t>
            </w:r>
          </w:p>
        </w:tc>
        <w:tc>
          <w:tcPr>
            <w:tcW w:w="5678" w:type="dxa"/>
            <w:tcBorders>
              <w:top w:val="single" w:color="auto" w:sz="4" w:space="0"/>
              <w:left w:val="single" w:color="auto" w:sz="4" w:space="0"/>
              <w:right w:val="single" w:color="auto" w:sz="4" w:space="0"/>
            </w:tcBorders>
            <w:vAlign w:val="center"/>
          </w:tcPr>
          <w:p>
            <w:pPr>
              <w:widowControl/>
              <w:spacing w:line="380" w:lineRule="exact"/>
              <w:jc w:val="left"/>
              <w:rPr>
                <w:rFonts w:ascii="仿宋" w:hAnsi="仿宋" w:eastAsia="仿宋"/>
                <w:color w:val="auto"/>
                <w:sz w:val="24"/>
                <w:highlight w:val="none"/>
              </w:rPr>
            </w:pPr>
            <w:bookmarkStart w:id="12" w:name="_GoBack"/>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具有质量管理体系认证证书、环境管理体系认证证书、职业健康安全管理体系证书的，每个得</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分，最多得</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分。（提供在有效期内的证书原件的扫描件</w:t>
            </w:r>
            <w:r>
              <w:rPr>
                <w:rFonts w:hint="eastAsia" w:ascii="仿宋" w:hAnsi="仿宋" w:eastAsia="仿宋"/>
                <w:color w:val="auto"/>
                <w:sz w:val="24"/>
                <w:highlight w:val="none"/>
                <w:lang w:eastAsia="zh-CN"/>
              </w:rPr>
              <w:t>和</w:t>
            </w:r>
            <w:r>
              <w:rPr>
                <w:rFonts w:hint="eastAsia" w:ascii="仿宋" w:hAnsi="仿宋" w:eastAsia="仿宋" w:cs="仿宋"/>
                <w:color w:val="auto"/>
                <w:sz w:val="24"/>
                <w:highlight w:val="none"/>
              </w:rPr>
              <w:t>国家认监委官网（www.cnca.gov.cn）查询</w:t>
            </w:r>
            <w:r>
              <w:rPr>
                <w:rFonts w:hint="eastAsia" w:ascii="仿宋" w:hAnsi="仿宋" w:eastAsia="仿宋" w:cs="仿宋"/>
                <w:color w:val="auto"/>
                <w:sz w:val="24"/>
                <w:highlight w:val="none"/>
                <w:lang w:eastAsia="zh-CN"/>
              </w:rPr>
              <w:t>页面网页截图</w:t>
            </w:r>
            <w:r>
              <w:rPr>
                <w:rFonts w:hint="eastAsia" w:ascii="仿宋" w:hAnsi="仿宋" w:eastAsia="仿宋" w:cs="仿宋"/>
                <w:color w:val="auto"/>
                <w:sz w:val="24"/>
                <w:highlight w:val="none"/>
              </w:rPr>
              <w:t>，</w:t>
            </w:r>
            <w:r>
              <w:rPr>
                <w:rFonts w:hint="eastAsia" w:ascii="仿宋" w:hAnsi="仿宋" w:eastAsia="仿宋"/>
                <w:color w:val="auto"/>
                <w:sz w:val="24"/>
                <w:highlight w:val="none"/>
              </w:rPr>
              <w:t>并加盖公章，否则不得分。）</w:t>
            </w:r>
            <w:bookmarkEnd w:id="12"/>
          </w:p>
        </w:tc>
        <w:tc>
          <w:tcPr>
            <w:tcW w:w="1338" w:type="dxa"/>
            <w:tcBorders>
              <w:top w:val="single" w:color="auto" w:sz="4" w:space="0"/>
              <w:left w:val="single" w:color="auto" w:sz="4" w:space="0"/>
              <w:right w:val="single" w:color="auto" w:sz="4" w:space="0"/>
            </w:tcBorders>
            <w:vAlign w:val="center"/>
          </w:tcPr>
          <w:p>
            <w:pPr>
              <w:pStyle w:val="22"/>
              <w:spacing w:line="360" w:lineRule="auto"/>
              <w:ind w:left="0" w:leftChars="0"/>
              <w:jc w:val="center"/>
              <w:rPr>
                <w:rFonts w:ascii="仿宋" w:hAnsi="仿宋" w:eastAsia="仿宋"/>
                <w:color w:val="auto"/>
                <w:sz w:val="24"/>
                <w:highlight w:val="none"/>
              </w:rPr>
            </w:pPr>
            <w:r>
              <w:rPr>
                <w:rFonts w:hint="eastAsia" w:ascii="仿宋" w:hAnsi="仿宋" w:eastAsia="仿宋"/>
                <w:color w:val="auto"/>
                <w:sz w:val="24"/>
                <w:highlight w:val="none"/>
              </w:rPr>
              <w:t>0-</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w:t>
            </w:r>
          </w:p>
        </w:tc>
      </w:tr>
    </w:tbl>
    <w:p>
      <w:pPr>
        <w:jc w:val="center"/>
        <w:outlineLvl w:val="9"/>
        <w:rPr>
          <w:rFonts w:hint="eastAsia" w:ascii="仿宋" w:hAnsi="仿宋" w:eastAsia="仿宋"/>
          <w:b/>
          <w:color w:val="auto"/>
          <w:kern w:val="0"/>
          <w:sz w:val="28"/>
          <w:szCs w:val="28"/>
          <w:highlight w:val="none"/>
        </w:rPr>
      </w:pPr>
    </w:p>
    <w:p>
      <w:pPr>
        <w:jc w:val="center"/>
        <w:outlineLvl w:val="9"/>
        <w:rPr>
          <w:rFonts w:hint="eastAsia" w:ascii="仿宋" w:hAnsi="仿宋" w:eastAsia="仿宋"/>
          <w:b/>
          <w:color w:val="auto"/>
          <w:kern w:val="0"/>
          <w:sz w:val="28"/>
          <w:szCs w:val="28"/>
          <w:highlight w:val="none"/>
        </w:rPr>
      </w:pPr>
    </w:p>
    <w:p>
      <w:pPr>
        <w:pStyle w:val="2"/>
        <w:rPr>
          <w:rFonts w:hint="eastAsia" w:ascii="仿宋" w:hAnsi="仿宋" w:eastAsia="仿宋"/>
          <w:b/>
          <w:color w:val="auto"/>
          <w:kern w:val="0"/>
          <w:sz w:val="28"/>
          <w:szCs w:val="28"/>
          <w:highlight w:val="none"/>
        </w:rPr>
      </w:pPr>
    </w:p>
    <w:p>
      <w:pPr>
        <w:rPr>
          <w:rFonts w:hint="eastAsia"/>
          <w:color w:val="auto"/>
          <w:highlight w:val="none"/>
        </w:rPr>
      </w:pPr>
    </w:p>
    <w:p>
      <w:pPr>
        <w:pStyle w:val="17"/>
        <w:ind w:left="0" w:leftChars="0" w:firstLine="0" w:firstLineChars="0"/>
        <w:rPr>
          <w:rFonts w:hint="eastAsia" w:ascii="仿宋" w:hAnsi="仿宋" w:eastAsia="仿宋"/>
          <w:b/>
          <w:color w:val="auto"/>
          <w:kern w:val="0"/>
          <w:sz w:val="28"/>
          <w:szCs w:val="28"/>
          <w:highlight w:val="none"/>
        </w:rPr>
      </w:pPr>
    </w:p>
    <w:p>
      <w:pPr>
        <w:jc w:val="center"/>
        <w:outlineLvl w:val="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第五章  合同主要条款</w:t>
      </w:r>
    </w:p>
    <w:p>
      <w:pPr>
        <w:pStyle w:val="3"/>
        <w:spacing w:line="500" w:lineRule="exact"/>
        <w:rPr>
          <w:rFonts w:hint="eastAsia" w:ascii="仿宋" w:hAnsi="仿宋" w:eastAsia="仿宋" w:cs="仿宋"/>
          <w:b w:val="0"/>
          <w:snapToGrid w:val="0"/>
          <w:color w:val="auto"/>
          <w:sz w:val="24"/>
          <w:szCs w:val="24"/>
          <w:highlight w:val="none"/>
        </w:rPr>
      </w:pPr>
      <w:r>
        <w:rPr>
          <w:rFonts w:hint="eastAsia" w:ascii="仿宋" w:hAnsi="仿宋" w:eastAsia="仿宋" w:cs="仿宋"/>
          <w:color w:val="auto"/>
          <w:sz w:val="24"/>
          <w:szCs w:val="24"/>
          <w:highlight w:val="none"/>
        </w:rPr>
        <w:t>（仅供参考，以正式合同为准）</w:t>
      </w:r>
    </w:p>
    <w:p>
      <w:pPr>
        <w:spacing w:line="360" w:lineRule="auto"/>
        <w:jc w:val="center"/>
        <w:rPr>
          <w:rFonts w:hint="eastAsia" w:ascii="仿宋" w:hAnsi="仿宋" w:eastAsia="仿宋" w:cs="仿宋"/>
          <w:color w:val="auto"/>
          <w:spacing w:val="0"/>
          <w:sz w:val="24"/>
          <w:highlight w:val="none"/>
        </w:rPr>
      </w:pPr>
      <w:r>
        <w:rPr>
          <w:rFonts w:hint="eastAsia" w:ascii="仿宋" w:hAnsi="仿宋" w:eastAsia="仿宋" w:cs="仿宋"/>
          <w:color w:val="auto"/>
          <w:spacing w:val="0"/>
          <w:sz w:val="24"/>
          <w:highlight w:val="none"/>
        </w:rPr>
        <w:t xml:space="preserve">财政审批编号: </w:t>
      </w:r>
      <w:r>
        <w:rPr>
          <w:rFonts w:hint="eastAsia" w:ascii="仿宋" w:hAnsi="仿宋" w:eastAsia="仿宋" w:cs="仿宋"/>
          <w:color w:val="auto"/>
          <w:spacing w:val="0"/>
          <w:sz w:val="24"/>
          <w:highlight w:val="none"/>
          <w:lang w:eastAsia="zh-CN"/>
        </w:rPr>
        <w:t>湖财采确临</w:t>
      </w:r>
      <w:r>
        <w:rPr>
          <w:rFonts w:hint="eastAsia" w:ascii="仿宋" w:hAnsi="仿宋" w:eastAsia="仿宋" w:cs="仿宋"/>
          <w:color w:val="auto"/>
          <w:spacing w:val="0"/>
          <w:sz w:val="24"/>
          <w:highlight w:val="none"/>
          <w:lang w:val="en-US" w:eastAsia="zh-CN"/>
        </w:rPr>
        <w:t xml:space="preserve">[2023]4212号   </w:t>
      </w:r>
      <w:r>
        <w:rPr>
          <w:rFonts w:hint="eastAsia" w:ascii="仿宋" w:hAnsi="仿宋" w:eastAsia="仿宋" w:cs="仿宋"/>
          <w:color w:val="auto"/>
          <w:spacing w:val="0"/>
          <w:sz w:val="24"/>
          <w:highlight w:val="none"/>
        </w:rPr>
        <w:t>采购文件编号: 仁皇招字</w:t>
      </w:r>
      <w:r>
        <w:rPr>
          <w:rFonts w:hint="eastAsia" w:ascii="仿宋" w:hAnsi="仿宋" w:eastAsia="仿宋" w:cs="仿宋"/>
          <w:color w:val="auto"/>
          <w:spacing w:val="0"/>
          <w:sz w:val="24"/>
          <w:highlight w:val="none"/>
          <w:lang w:val="en-US" w:eastAsia="zh-CN"/>
        </w:rPr>
        <w:t>2023115</w:t>
      </w:r>
      <w:r>
        <w:rPr>
          <w:rFonts w:hint="eastAsia" w:ascii="仿宋" w:hAnsi="仿宋" w:eastAsia="仿宋" w:cs="仿宋"/>
          <w:color w:val="auto"/>
          <w:spacing w:val="0"/>
          <w:sz w:val="24"/>
          <w:highlight w:val="none"/>
        </w:rPr>
        <w:t>号</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甲方（采购人）：</w:t>
      </w:r>
    </w:p>
    <w:p>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甲、乙双方根据湖州市仁皇工程咨询有限公司关于</w:t>
      </w:r>
      <w:r>
        <w:rPr>
          <w:rFonts w:hint="eastAsia" w:ascii="仿宋" w:hAnsi="仿宋" w:eastAsia="仿宋"/>
          <w:color w:val="auto"/>
          <w:sz w:val="24"/>
          <w:highlight w:val="none"/>
          <w:u w:val="single"/>
          <w:lang w:eastAsia="zh-CN"/>
        </w:rPr>
        <w:t>2023-2024年度白蚁普查及灭治服务项目</w:t>
      </w:r>
      <w:r>
        <w:rPr>
          <w:rFonts w:hint="eastAsia" w:ascii="仿宋" w:hAnsi="仿宋" w:eastAsia="仿宋" w:cs="仿宋"/>
          <w:color w:val="auto"/>
          <w:sz w:val="24"/>
          <w:highlight w:val="none"/>
        </w:rPr>
        <w:t>公开招标的结果，签署本合同。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pPr>
        <w:snapToGrid w:val="0"/>
        <w:spacing w:line="400" w:lineRule="exact"/>
        <w:ind w:firstLine="480" w:firstLineChars="200"/>
        <w:jc w:val="left"/>
        <w:rPr>
          <w:rFonts w:hint="eastAsia" w:ascii="仿宋" w:hAnsi="仿宋" w:eastAsia="仿宋" w:cs="仿宋"/>
          <w:b w:val="0"/>
          <w:bCs/>
          <w:i w:val="0"/>
          <w:iCs w:val="0"/>
          <w:caps w:val="0"/>
          <w:color w:val="auto"/>
          <w:spacing w:val="0"/>
          <w:kern w:val="2"/>
          <w:sz w:val="24"/>
          <w:szCs w:val="24"/>
          <w:highlight w:val="none"/>
          <w:lang w:val="en-US" w:eastAsia="zh-CN" w:bidi="ar-SA"/>
        </w:rPr>
      </w:pPr>
      <w:r>
        <w:rPr>
          <w:rFonts w:hint="eastAsia" w:ascii="仿宋" w:hAnsi="仿宋" w:eastAsia="仿宋" w:cs="仿宋"/>
          <w:color w:val="auto"/>
          <w:sz w:val="24"/>
          <w:highlight w:val="none"/>
        </w:rPr>
        <w:t>2.1合同项目：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服务时间：由甲方指定。</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服务地点：由甲方指定。</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4.1、乙方必须按照招标文件和询标过程中承诺的条款以及</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通知书中规定的时间、地点与甲方签订合同；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4.2、所签订的合同内容不得对招标文件和乙方的投标文件作实质性修改；</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提供和交付的服务技术规范应与招标文件规定的技术规范相一致。</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r>
        <w:rPr>
          <w:rFonts w:hint="eastAsia" w:ascii="仿宋" w:hAnsi="仿宋" w:eastAsia="仿宋" w:cs="仿宋"/>
          <w:color w:val="auto"/>
          <w:sz w:val="24"/>
          <w:highlight w:val="none"/>
          <w:lang w:val="en-US" w:eastAsia="zh-CN"/>
        </w:rPr>
        <w:t>根据《保障中小企业款项支付条例》、省财政厅《关于进一步发挥政府采购政策功能全力推动经济稳进提质的通知》（浙财采监【2022】3 号）要求，</w:t>
      </w:r>
      <w:r>
        <w:rPr>
          <w:rFonts w:hint="eastAsia" w:ascii="仿宋" w:hAnsi="仿宋" w:eastAsia="仿宋" w:cs="仿宋"/>
          <w:color w:val="auto"/>
          <w:sz w:val="24"/>
          <w:highlight w:val="none"/>
          <w:lang w:eastAsia="zh-CN"/>
        </w:rPr>
        <w:t>制定如下付款方式</w:t>
      </w:r>
      <w:r>
        <w:rPr>
          <w:rFonts w:hint="eastAsia" w:ascii="仿宋" w:hAnsi="仿宋" w:eastAsia="仿宋" w:cs="仿宋"/>
          <w:color w:val="auto"/>
          <w:sz w:val="24"/>
          <w:highlight w:val="none"/>
        </w:rPr>
        <w:t>：</w:t>
      </w:r>
    </w:p>
    <w:p>
      <w:pPr>
        <w:pStyle w:val="15"/>
        <w:numPr>
          <w:ilvl w:val="0"/>
          <w:numId w:val="6"/>
        </w:num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shd w:val="clear" w:color="auto" w:fill="FFFFFF"/>
        </w:rPr>
        <w:t>预付款：合同生效及具备实施条件后</w:t>
      </w:r>
      <w:r>
        <w:rPr>
          <w:rFonts w:hint="eastAsia" w:ascii="仿宋" w:hAnsi="仿宋" w:eastAsia="仿宋" w:cs="宋体"/>
          <w:color w:val="auto"/>
          <w:kern w:val="0"/>
          <w:sz w:val="24"/>
          <w:szCs w:val="24"/>
          <w:highlight w:val="none"/>
          <w:shd w:val="clear" w:color="auto" w:fill="FFFFFF"/>
          <w:lang w:val="en-US" w:eastAsia="zh-CN"/>
        </w:rPr>
        <w:t>7个工作日</w:t>
      </w:r>
      <w:r>
        <w:rPr>
          <w:rFonts w:hint="eastAsia" w:ascii="仿宋" w:hAnsi="仿宋" w:eastAsia="仿宋" w:cs="宋体"/>
          <w:color w:val="auto"/>
          <w:kern w:val="0"/>
          <w:sz w:val="24"/>
          <w:szCs w:val="24"/>
          <w:highlight w:val="none"/>
          <w:shd w:val="clear" w:color="auto" w:fill="FFFFFF"/>
        </w:rPr>
        <w:t>内支付当年的预付款，为当年年度报价的30%。</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年的7月底前支付当年年度报价的30%为预付款。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2、付款方式：普查及灭治完成工程量须经采购人及跟踪审价单位确认，方可进行结算。每年普查完成出具普查报告及灭治完成后，按实际完成工作量支付扣除预付款后的年度费用。</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采购人应自收到供应商开具的发票后</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内将上述相关款项支付到合同约定的供应商账户。</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8.支付：支付应使用人民币；</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乙方应负责安排采购人相关人员进行操作、维修的培训。具体时间及培训内容在投标时由供应商提出建议；</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10.2服务期：详见招标文件要求。在服务期内，因服务质量所发生的一切费用均由乙方承担；</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 履约保证金：</w:t>
      </w:r>
      <w:r>
        <w:rPr>
          <w:rFonts w:hint="eastAsia" w:ascii="仿宋" w:hAnsi="仿宋" w:eastAsia="仿宋" w:cs="仿宋"/>
          <w:color w:val="auto"/>
          <w:sz w:val="24"/>
          <w:highlight w:val="none"/>
          <w:lang w:eastAsia="zh-CN"/>
        </w:rPr>
        <w:t>无</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11.2乙方应按招标文件规定的服务标准向采购人提供服务。</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在使用过程中发生问题，乙方在接到甲方通知后在小时内到达采购人现场。</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12.违约责任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14.争议解决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15.转让或分包</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16.适用法律</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17、合同生效及其它</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1.合同经双方法定代表人或授权代理人签字并加盖单位公章后生效。</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p>
    <w:p>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4.本合同一式</w:t>
      </w:r>
      <w:r>
        <w:rPr>
          <w:rFonts w:hint="eastAsia" w:ascii="仿宋" w:hAnsi="仿宋" w:eastAsia="仿宋" w:cs="仿宋"/>
          <w:color w:val="auto"/>
          <w:sz w:val="24"/>
          <w:highlight w:val="none"/>
          <w:lang w:eastAsia="zh-CN"/>
        </w:rPr>
        <w:t>肆</w:t>
      </w:r>
      <w:r>
        <w:rPr>
          <w:rFonts w:hint="eastAsia" w:ascii="仿宋" w:hAnsi="仿宋" w:eastAsia="仿宋" w:cs="仿宋"/>
          <w:color w:val="auto"/>
          <w:sz w:val="24"/>
          <w:highlight w:val="none"/>
        </w:rPr>
        <w:t>份，其中甲乙双方各执两份</w:t>
      </w:r>
      <w:r>
        <w:rPr>
          <w:rFonts w:hint="eastAsia" w:ascii="仿宋" w:hAnsi="仿宋" w:eastAsia="仿宋" w:cs="仿宋"/>
          <w:color w:val="auto"/>
          <w:sz w:val="24"/>
          <w:highlight w:val="none"/>
          <w:lang w:eastAsia="zh-CN"/>
        </w:rPr>
        <w:t>。</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pPr>
        <w:spacing w:line="440" w:lineRule="exact"/>
        <w:ind w:firstLine="480" w:firstLineChars="200"/>
        <w:rPr>
          <w:rFonts w:hint="eastAsia" w:ascii="仿宋" w:hAnsi="仿宋" w:eastAsia="仿宋" w:cs="仿宋"/>
          <w:bCs/>
          <w:color w:val="auto"/>
          <w:sz w:val="24"/>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pPr>
        <w:pStyle w:val="25"/>
        <w:tabs>
          <w:tab w:val="left" w:pos="0"/>
          <w:tab w:val="left" w:pos="993"/>
          <w:tab w:val="left" w:pos="1134"/>
        </w:tabs>
        <w:rPr>
          <w:rFonts w:hint="eastAsia" w:ascii="仿宋" w:hAnsi="仿宋" w:eastAsia="仿宋" w:cs="仿宋"/>
          <w:color w:val="auto"/>
          <w:highlight w:val="none"/>
        </w:rPr>
      </w:pP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pPr>
        <w:pageBreakBefore/>
        <w:numPr>
          <w:ilvl w:val="0"/>
          <w:numId w:val="7"/>
        </w:numPr>
        <w:spacing w:line="500" w:lineRule="exact"/>
        <w:ind w:firstLine="281" w:firstLineChars="100"/>
        <w:jc w:val="center"/>
        <w:outlineLvl w:val="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 xml:space="preserve">   投标格式</w:t>
      </w:r>
    </w:p>
    <w:p>
      <w:pPr>
        <w:pStyle w:val="7"/>
        <w:ind w:firstLine="0" w:firstLineChars="0"/>
        <w:rPr>
          <w:color w:val="auto"/>
          <w:highlight w:val="none"/>
        </w:rPr>
      </w:pPr>
    </w:p>
    <w:p>
      <w:pPr>
        <w:pStyle w:val="2"/>
        <w:rPr>
          <w:rFonts w:ascii="仿宋" w:hAnsi="仿宋" w:eastAsia="仿宋" w:cs="Times New Roman"/>
          <w:b/>
          <w:color w:val="auto"/>
          <w:highlight w:val="none"/>
        </w:rPr>
      </w:pPr>
      <w:r>
        <w:rPr>
          <w:rFonts w:ascii="仿宋" w:hAnsi="仿宋" w:eastAsia="仿宋" w:cs="Times New Roman"/>
          <w:color w:val="auto"/>
          <w:highlight w:val="none"/>
        </w:rPr>
        <w:t>封面格式</w:t>
      </w:r>
      <w:r>
        <w:rPr>
          <w:rFonts w:hint="eastAsia" w:ascii="仿宋" w:hAnsi="仿宋" w:eastAsia="仿宋" w:cs="Times New Roman"/>
          <w:b/>
          <w:color w:val="auto"/>
          <w:highlight w:val="none"/>
        </w:rPr>
        <w:t>（中标后提供的纸质版本格式）</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p>
    <w:p>
      <w:pPr>
        <w:pStyle w:val="2"/>
        <w:rPr>
          <w:rFonts w:ascii="仿宋" w:hAnsi="仿宋" w:eastAsia="仿宋" w:cs="Times New Roman"/>
          <w:color w:val="auto"/>
          <w:sz w:val="36"/>
          <w:szCs w:val="36"/>
          <w:highlight w:val="none"/>
        </w:rPr>
      </w:pPr>
    </w:p>
    <w:p>
      <w:pPr>
        <w:pStyle w:val="2"/>
        <w:jc w:val="center"/>
        <w:rPr>
          <w:rFonts w:ascii="仿宋" w:hAnsi="仿宋" w:eastAsia="仿宋" w:cs="Times New Roman"/>
          <w:color w:val="auto"/>
          <w:sz w:val="36"/>
          <w:szCs w:val="36"/>
          <w:highlight w:val="none"/>
        </w:rPr>
      </w:pPr>
      <w:r>
        <w:rPr>
          <w:rFonts w:hint="eastAsia" w:ascii="仿宋" w:hAnsi="仿宋" w:eastAsia="仿宋" w:cs="Times New Roman"/>
          <w:b/>
          <w:color w:val="auto"/>
          <w:sz w:val="36"/>
          <w:szCs w:val="36"/>
          <w:highlight w:val="none"/>
        </w:rPr>
        <w:t>投标文件</w:t>
      </w:r>
    </w:p>
    <w:p>
      <w:pPr>
        <w:pStyle w:val="2"/>
        <w:jc w:val="right"/>
        <w:rPr>
          <w:rFonts w:ascii="仿宋" w:hAnsi="仿宋" w:eastAsia="仿宋" w:cs="Times New Roman"/>
          <w:color w:val="auto"/>
          <w:highlight w:val="none"/>
        </w:rPr>
      </w:pPr>
    </w:p>
    <w:p>
      <w:pPr>
        <w:pStyle w:val="2"/>
        <w:jc w:val="right"/>
        <w:rPr>
          <w:rFonts w:ascii="仿宋" w:hAnsi="仿宋" w:eastAsia="仿宋" w:cs="Times New Roman"/>
          <w:color w:val="auto"/>
          <w:highlight w:val="none"/>
        </w:rPr>
      </w:pPr>
    </w:p>
    <w:p>
      <w:pPr>
        <w:pStyle w:val="2"/>
        <w:jc w:val="center"/>
        <w:rPr>
          <w:rFonts w:ascii="仿宋" w:hAnsi="仿宋" w:eastAsia="仿宋" w:cs="Times New Roman"/>
          <w:b/>
          <w:color w:val="auto"/>
          <w:highlight w:val="none"/>
        </w:rPr>
      </w:pPr>
      <w:r>
        <w:rPr>
          <w:rFonts w:hint="eastAsia" w:ascii="仿宋" w:hAnsi="仿宋" w:eastAsia="仿宋" w:cs="Times New Roman"/>
          <w:b/>
          <w:color w:val="auto"/>
          <w:highlight w:val="none"/>
        </w:rPr>
        <w:t>资格文件/</w:t>
      </w:r>
      <w:r>
        <w:rPr>
          <w:rFonts w:ascii="仿宋" w:hAnsi="仿宋" w:eastAsia="仿宋" w:cs="Times New Roman"/>
          <w:b/>
          <w:color w:val="auto"/>
          <w:highlight w:val="none"/>
        </w:rPr>
        <w:t>技术、商务、资信及其他文件</w:t>
      </w:r>
      <w:r>
        <w:rPr>
          <w:rFonts w:hint="eastAsia" w:ascii="仿宋" w:hAnsi="仿宋" w:eastAsia="仿宋" w:cs="Times New Roman"/>
          <w:b/>
          <w:color w:val="auto"/>
          <w:highlight w:val="none"/>
        </w:rPr>
        <w:t>/报价文件</w:t>
      </w:r>
    </w:p>
    <w:p>
      <w:pPr>
        <w:pStyle w:val="2"/>
        <w:jc w:val="center"/>
        <w:rPr>
          <w:rFonts w:ascii="仿宋" w:hAnsi="仿宋" w:eastAsia="仿宋" w:cs="Times New Roman"/>
          <w:b/>
          <w:color w:val="auto"/>
          <w:highlight w:val="none"/>
        </w:rPr>
      </w:pPr>
    </w:p>
    <w:p>
      <w:pPr>
        <w:pStyle w:val="2"/>
        <w:jc w:val="center"/>
        <w:rPr>
          <w:rFonts w:ascii="仿宋" w:hAnsi="仿宋" w:eastAsia="仿宋" w:cs="Times New Roman"/>
          <w:b/>
          <w:color w:val="auto"/>
          <w:highlight w:val="none"/>
        </w:rPr>
      </w:pPr>
    </w:p>
    <w:p>
      <w:pPr>
        <w:pStyle w:val="2"/>
        <w:jc w:val="center"/>
        <w:rPr>
          <w:rFonts w:ascii="仿宋" w:hAnsi="仿宋" w:eastAsia="仿宋" w:cs="Times New Roman"/>
          <w:b/>
          <w:color w:val="auto"/>
          <w:highlight w:val="none"/>
        </w:rPr>
      </w:pPr>
    </w:p>
    <w:p>
      <w:pPr>
        <w:pStyle w:val="2"/>
        <w:jc w:val="center"/>
        <w:rPr>
          <w:rFonts w:ascii="仿宋" w:hAnsi="仿宋" w:eastAsia="仿宋" w:cs="Times New Roman"/>
          <w:b/>
          <w:color w:val="auto"/>
          <w:highlight w:val="none"/>
        </w:rPr>
      </w:pP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r>
        <w:rPr>
          <w:rFonts w:ascii="仿宋" w:hAnsi="仿宋" w:eastAsia="仿宋" w:cs="Times New Roman"/>
          <w:color w:val="auto"/>
          <w:highlight w:val="none"/>
        </w:rPr>
        <w:t xml:space="preserve">项目名称： </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r>
        <w:rPr>
          <w:rFonts w:ascii="仿宋" w:hAnsi="仿宋" w:eastAsia="仿宋" w:cs="Times New Roman"/>
          <w:color w:val="auto"/>
          <w:highlight w:val="none"/>
        </w:rPr>
        <w:t>项目编号</w:t>
      </w:r>
      <w:r>
        <w:rPr>
          <w:rFonts w:hint="eastAsia" w:ascii="仿宋" w:hAnsi="仿宋" w:eastAsia="仿宋" w:cs="Times New Roman"/>
          <w:color w:val="auto"/>
          <w:highlight w:val="none"/>
        </w:rPr>
        <w:t>：</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r>
        <w:rPr>
          <w:rFonts w:hint="eastAsia" w:ascii="仿宋" w:hAnsi="仿宋" w:eastAsia="仿宋" w:cs="Times New Roman"/>
          <w:color w:val="auto"/>
          <w:highlight w:val="none"/>
        </w:rPr>
        <w:t>投</w:t>
      </w:r>
      <w:r>
        <w:rPr>
          <w:rFonts w:ascii="仿宋" w:hAnsi="仿宋" w:eastAsia="仿宋" w:cs="Times New Roman"/>
          <w:color w:val="auto"/>
          <w:highlight w:val="none"/>
        </w:rPr>
        <w:t>标文件名称：</w:t>
      </w:r>
      <w:r>
        <w:rPr>
          <w:rFonts w:hint="eastAsia" w:ascii="仿宋" w:hAnsi="仿宋" w:eastAsia="仿宋" w:cs="Times New Roman"/>
          <w:color w:val="auto"/>
          <w:highlight w:val="none"/>
        </w:rPr>
        <w:t>资格文件/</w:t>
      </w:r>
      <w:r>
        <w:rPr>
          <w:rFonts w:ascii="仿宋" w:hAnsi="仿宋" w:eastAsia="仿宋" w:cs="Times New Roman"/>
          <w:color w:val="auto"/>
          <w:highlight w:val="none"/>
        </w:rPr>
        <w:t xml:space="preserve">技术、商务、资信及其他文件 </w:t>
      </w:r>
      <w:r>
        <w:rPr>
          <w:rFonts w:hint="eastAsia" w:ascii="仿宋" w:hAnsi="仿宋" w:eastAsia="仿宋" w:cs="Times New Roman"/>
          <w:color w:val="auto"/>
          <w:highlight w:val="none"/>
        </w:rPr>
        <w:t>/报价文件</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r>
        <w:rPr>
          <w:rFonts w:hint="eastAsia" w:ascii="仿宋" w:hAnsi="仿宋" w:eastAsia="仿宋" w:cs="Times New Roman"/>
          <w:color w:val="auto"/>
          <w:highlight w:val="none"/>
          <w:lang w:eastAsia="zh-CN"/>
        </w:rPr>
        <w:t>投标人</w:t>
      </w:r>
      <w:r>
        <w:rPr>
          <w:rFonts w:ascii="仿宋" w:hAnsi="仿宋" w:eastAsia="仿宋" w:cs="Times New Roman"/>
          <w:color w:val="auto"/>
          <w:highlight w:val="none"/>
        </w:rPr>
        <w:t xml:space="preserve">名称： </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r>
        <w:rPr>
          <w:rFonts w:hint="eastAsia" w:ascii="仿宋" w:hAnsi="仿宋" w:eastAsia="仿宋" w:cs="Times New Roman"/>
          <w:color w:val="auto"/>
          <w:highlight w:val="none"/>
          <w:lang w:eastAsia="zh-CN"/>
        </w:rPr>
        <w:t>投标人</w:t>
      </w:r>
      <w:r>
        <w:rPr>
          <w:rFonts w:ascii="仿宋" w:hAnsi="仿宋" w:eastAsia="仿宋" w:cs="Times New Roman"/>
          <w:color w:val="auto"/>
          <w:highlight w:val="none"/>
        </w:rPr>
        <w:t xml:space="preserve">地址： </w:t>
      </w:r>
    </w:p>
    <w:p>
      <w:pPr>
        <w:pStyle w:val="2"/>
        <w:rPr>
          <w:rFonts w:ascii="仿宋" w:hAnsi="仿宋" w:eastAsia="仿宋" w:cs="Times New Roman"/>
          <w:color w:val="auto"/>
          <w:highlight w:val="none"/>
        </w:rPr>
      </w:pPr>
    </w:p>
    <w:p>
      <w:pPr>
        <w:pStyle w:val="2"/>
        <w:rPr>
          <w:rFonts w:ascii="仿宋" w:hAnsi="仿宋" w:eastAsia="仿宋" w:cs="Times New Roman"/>
          <w:color w:val="auto"/>
          <w:highlight w:val="none"/>
        </w:rPr>
      </w:pPr>
    </w:p>
    <w:p>
      <w:pPr>
        <w:wordWrap w:val="0"/>
        <w:ind w:firstLine="480" w:firstLineChars="200"/>
        <w:jc w:val="right"/>
        <w:rPr>
          <w:rFonts w:ascii="仿宋" w:hAnsi="仿宋" w:eastAsia="仿宋"/>
          <w:color w:val="auto"/>
          <w:sz w:val="24"/>
          <w:highlight w:val="none"/>
        </w:rPr>
      </w:pPr>
      <w:r>
        <w:rPr>
          <w:rFonts w:ascii="仿宋" w:hAnsi="仿宋" w:eastAsia="仿宋"/>
          <w:color w:val="auto"/>
          <w:sz w:val="24"/>
          <w:highlight w:val="none"/>
        </w:rPr>
        <w:t>年 月 日</w:t>
      </w:r>
    </w:p>
    <w:p>
      <w:pPr>
        <w:pStyle w:val="2"/>
        <w:pageBreakBefore/>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目   录</w:t>
      </w:r>
    </w:p>
    <w:p>
      <w:pPr>
        <w:pStyle w:val="2"/>
        <w:rPr>
          <w:rFonts w:ascii="仿宋" w:hAnsi="仿宋" w:eastAsia="仿宋"/>
          <w:color w:val="auto"/>
          <w:sz w:val="28"/>
          <w:szCs w:val="28"/>
          <w:highlight w:val="none"/>
        </w:rPr>
      </w:pPr>
    </w:p>
    <w:p>
      <w:pPr>
        <w:snapToGrid w:val="0"/>
        <w:spacing w:before="50" w:after="50" w:line="360" w:lineRule="auto"/>
        <w:rPr>
          <w:rFonts w:ascii="仿宋" w:hAnsi="仿宋" w:eastAsia="仿宋" w:cs="宋体"/>
          <w:color w:val="auto"/>
          <w:sz w:val="24"/>
          <w:szCs w:val="28"/>
          <w:highlight w:val="none"/>
        </w:rPr>
      </w:pPr>
      <w:r>
        <w:rPr>
          <w:rFonts w:ascii="仿宋" w:hAnsi="仿宋" w:eastAsia="仿宋" w:cs="宋体"/>
          <w:color w:val="auto"/>
          <w:sz w:val="24"/>
          <w:szCs w:val="28"/>
          <w:highlight w:val="none"/>
        </w:rPr>
        <w:t>1</w:t>
      </w:r>
      <w:r>
        <w:rPr>
          <w:rFonts w:hint="eastAsia" w:ascii="仿宋" w:hAnsi="仿宋" w:eastAsia="仿宋" w:cs="宋体"/>
          <w:color w:val="auto"/>
          <w:sz w:val="24"/>
          <w:szCs w:val="28"/>
          <w:highlight w:val="none"/>
        </w:rPr>
        <w:t>、资格文件目录（具体参考第三章投标人须知“投标文件的组成”）</w:t>
      </w:r>
    </w:p>
    <w:p>
      <w:pPr>
        <w:snapToGrid w:val="0"/>
        <w:spacing w:before="50" w:after="50" w:line="360" w:lineRule="auto"/>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w:t>
      </w:r>
    </w:p>
    <w:p>
      <w:pPr>
        <w:snapToGrid w:val="0"/>
        <w:spacing w:before="50" w:after="50" w:line="360" w:lineRule="auto"/>
        <w:rPr>
          <w:rFonts w:ascii="仿宋" w:hAnsi="仿宋" w:eastAsia="仿宋" w:cs="宋体"/>
          <w:color w:val="auto"/>
          <w:sz w:val="24"/>
          <w:szCs w:val="28"/>
          <w:highlight w:val="none"/>
        </w:rPr>
      </w:pPr>
    </w:p>
    <w:p>
      <w:pPr>
        <w:snapToGrid w:val="0"/>
        <w:spacing w:before="50" w:after="50" w:line="360" w:lineRule="auto"/>
        <w:rPr>
          <w:rFonts w:ascii="仿宋" w:hAnsi="仿宋" w:eastAsia="仿宋" w:cs="宋体"/>
          <w:color w:val="auto"/>
          <w:szCs w:val="28"/>
          <w:highlight w:val="none"/>
        </w:rPr>
      </w:pPr>
    </w:p>
    <w:p>
      <w:pPr>
        <w:snapToGrid w:val="0"/>
        <w:spacing w:before="50" w:after="50" w:line="360" w:lineRule="auto"/>
        <w:rPr>
          <w:rFonts w:ascii="仿宋" w:hAnsi="仿宋" w:eastAsia="仿宋" w:cs="宋体"/>
          <w:color w:val="auto"/>
          <w:sz w:val="24"/>
          <w:szCs w:val="28"/>
          <w:highlight w:val="none"/>
        </w:rPr>
      </w:pPr>
      <w:r>
        <w:rPr>
          <w:rFonts w:ascii="仿宋" w:hAnsi="仿宋" w:eastAsia="仿宋" w:cs="宋体"/>
          <w:color w:val="auto"/>
          <w:szCs w:val="28"/>
          <w:highlight w:val="none"/>
        </w:rPr>
        <w:t>2</w:t>
      </w:r>
      <w:r>
        <w:rPr>
          <w:rFonts w:hint="eastAsia" w:ascii="仿宋" w:hAnsi="仿宋" w:eastAsia="仿宋" w:cs="宋体"/>
          <w:color w:val="auto"/>
          <w:szCs w:val="28"/>
          <w:highlight w:val="none"/>
        </w:rPr>
        <w:t>、</w:t>
      </w:r>
      <w:r>
        <w:rPr>
          <w:rFonts w:hint="eastAsia" w:ascii="仿宋" w:hAnsi="仿宋" w:eastAsia="仿宋" w:cs="宋体"/>
          <w:color w:val="auto"/>
          <w:sz w:val="24"/>
          <w:szCs w:val="28"/>
          <w:highlight w:val="none"/>
        </w:rPr>
        <w:t>技术、商务、资信及其他文件目录（具体参考第三章投标人须知“投标文件的组成”）</w:t>
      </w:r>
    </w:p>
    <w:p>
      <w:pPr>
        <w:snapToGrid w:val="0"/>
        <w:spacing w:before="50" w:after="50" w:line="360" w:lineRule="auto"/>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w:t>
      </w:r>
    </w:p>
    <w:p>
      <w:pPr>
        <w:snapToGrid w:val="0"/>
        <w:spacing w:before="50" w:after="50" w:line="360" w:lineRule="auto"/>
        <w:rPr>
          <w:rFonts w:ascii="仿宋" w:hAnsi="仿宋" w:eastAsia="仿宋" w:cs="宋体"/>
          <w:color w:val="auto"/>
          <w:szCs w:val="28"/>
          <w:highlight w:val="none"/>
        </w:rPr>
      </w:pPr>
    </w:p>
    <w:p>
      <w:pPr>
        <w:snapToGrid w:val="0"/>
        <w:spacing w:before="50" w:after="50" w:line="360" w:lineRule="auto"/>
        <w:rPr>
          <w:rFonts w:ascii="仿宋" w:hAnsi="仿宋" w:eastAsia="仿宋" w:cs="宋体"/>
          <w:color w:val="auto"/>
          <w:szCs w:val="28"/>
          <w:highlight w:val="none"/>
        </w:rPr>
      </w:pPr>
    </w:p>
    <w:p>
      <w:pPr>
        <w:snapToGrid w:val="0"/>
        <w:spacing w:before="50" w:after="50" w:line="360" w:lineRule="auto"/>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3、报价文件目录（具体参考第三章投标人须知“投标文件的组成”）</w:t>
      </w:r>
    </w:p>
    <w:p>
      <w:pPr>
        <w:snapToGrid w:val="0"/>
        <w:spacing w:before="50" w:after="50" w:line="360" w:lineRule="auto"/>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w:t>
      </w:r>
    </w:p>
    <w:p>
      <w:pPr>
        <w:snapToGrid w:val="0"/>
        <w:spacing w:before="50" w:after="120" w:afterLines="50" w:line="360" w:lineRule="auto"/>
        <w:jc w:val="left"/>
        <w:rPr>
          <w:rFonts w:ascii="仿宋" w:hAnsi="仿宋" w:eastAsia="仿宋" w:cs="宋体"/>
          <w:color w:val="auto"/>
          <w:szCs w:val="28"/>
          <w:highlight w:val="none"/>
        </w:rPr>
      </w:pPr>
    </w:p>
    <w:p>
      <w:pPr>
        <w:snapToGrid w:val="0"/>
        <w:spacing w:before="50" w:after="120" w:afterLines="50" w:line="360" w:lineRule="auto"/>
        <w:jc w:val="left"/>
        <w:rPr>
          <w:rFonts w:ascii="仿宋" w:hAnsi="仿宋" w:eastAsia="仿宋" w:cs="宋体"/>
          <w:color w:val="auto"/>
          <w:szCs w:val="28"/>
          <w:highlight w:val="none"/>
        </w:rPr>
      </w:pPr>
    </w:p>
    <w:p>
      <w:pPr>
        <w:snapToGrid w:val="0"/>
        <w:spacing w:before="50" w:after="120" w:afterLines="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（本章仅提供部分标准通用表格，具体格式内容请参照本投标文件中对投标文件编制要求）</w:t>
      </w: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pStyle w:val="14"/>
        <w:ind w:left="0"/>
        <w:rPr>
          <w:rFonts w:ascii="仿宋" w:hAnsi="仿宋" w:eastAsia="仿宋"/>
          <w:color w:val="auto"/>
          <w:highlight w:val="none"/>
        </w:rPr>
      </w:pPr>
    </w:p>
    <w:p>
      <w:pPr>
        <w:snapToGrid w:val="0"/>
        <w:spacing w:before="120" w:beforeLines="50" w:after="50" w:line="400" w:lineRule="exact"/>
        <w:jc w:val="center"/>
        <w:rPr>
          <w:rFonts w:ascii="仿宋" w:hAnsi="仿宋" w:eastAsia="仿宋" w:cs="宋体"/>
          <w:b/>
          <w:color w:val="auto"/>
          <w:sz w:val="28"/>
          <w:szCs w:val="28"/>
          <w:highlight w:val="none"/>
        </w:rPr>
      </w:pPr>
    </w:p>
    <w:p>
      <w:pPr>
        <w:snapToGrid w:val="0"/>
        <w:spacing w:before="120" w:beforeLines="50" w:after="50" w:line="400" w:lineRule="exact"/>
        <w:jc w:val="center"/>
        <w:outlineLvl w:val="1"/>
        <w:rPr>
          <w:rFonts w:hint="eastAsia" w:ascii="仿宋" w:hAnsi="仿宋" w:eastAsia="仿宋" w:cs="宋体"/>
          <w:b/>
          <w:color w:val="auto"/>
          <w:sz w:val="28"/>
          <w:szCs w:val="28"/>
          <w:highlight w:val="none"/>
          <w:lang w:eastAsia="zh-CN"/>
        </w:rPr>
      </w:pPr>
      <w:r>
        <w:rPr>
          <w:rFonts w:hint="eastAsia" w:ascii="仿宋" w:hAnsi="仿宋" w:eastAsia="仿宋" w:cs="宋体"/>
          <w:b/>
          <w:color w:val="auto"/>
          <w:sz w:val="28"/>
          <w:szCs w:val="28"/>
          <w:highlight w:val="none"/>
        </w:rPr>
        <w:t>1、法定代表人有效身份证明书</w:t>
      </w:r>
    </w:p>
    <w:p>
      <w:pPr>
        <w:pStyle w:val="14"/>
        <w:rPr>
          <w:rFonts w:ascii="仿宋" w:hAnsi="仿宋" w:eastAsia="仿宋" w:cs="宋体"/>
          <w:color w:val="auto"/>
          <w:highlight w:val="none"/>
        </w:rPr>
      </w:pPr>
    </w:p>
    <w:p>
      <w:pPr>
        <w:spacing w:line="500" w:lineRule="exact"/>
        <w:ind w:firstLine="360" w:firstLineChars="1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u w:val="single"/>
        </w:rPr>
        <w:t>（姓名）</w:t>
      </w:r>
      <w:r>
        <w:rPr>
          <w:rFonts w:hint="eastAsia" w:ascii="仿宋" w:hAnsi="仿宋" w:eastAsia="仿宋" w:cs="宋体"/>
          <w:color w:val="auto"/>
          <w:kern w:val="0"/>
          <w:sz w:val="24"/>
          <w:highlight w:val="none"/>
        </w:rPr>
        <w:t>是</w:t>
      </w:r>
      <w:r>
        <w:rPr>
          <w:rFonts w:hint="eastAsia" w:ascii="仿宋" w:hAnsi="仿宋" w:eastAsia="仿宋" w:cs="宋体"/>
          <w:color w:val="auto"/>
          <w:kern w:val="0"/>
          <w:sz w:val="24"/>
          <w:highlight w:val="none"/>
          <w:u w:val="single"/>
        </w:rPr>
        <w:t>（投标人全称）</w:t>
      </w:r>
      <w:r>
        <w:rPr>
          <w:rFonts w:hint="eastAsia" w:ascii="仿宋" w:hAnsi="仿宋" w:eastAsia="仿宋" w:cs="宋体"/>
          <w:color w:val="auto"/>
          <w:kern w:val="0"/>
          <w:sz w:val="24"/>
          <w:highlight w:val="none"/>
        </w:rPr>
        <w:t>的法定代表人，身份证号码为 ______________。</w:t>
      </w: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特此证明。</w:t>
      </w:r>
    </w:p>
    <w:p>
      <w:pPr>
        <w:spacing w:line="500" w:lineRule="exact"/>
        <w:jc w:val="left"/>
        <w:rPr>
          <w:rFonts w:ascii="仿宋" w:hAnsi="仿宋" w:eastAsia="仿宋" w:cs="宋体"/>
          <w:color w:val="auto"/>
          <w:kern w:val="0"/>
          <w:sz w:val="24"/>
          <w:highlight w:val="none"/>
        </w:rPr>
      </w:pPr>
    </w:p>
    <w:p>
      <w:pPr>
        <w:spacing w:line="500" w:lineRule="exact"/>
        <w:jc w:val="left"/>
        <w:rPr>
          <w:rFonts w:ascii="仿宋" w:hAnsi="仿宋" w:eastAsia="仿宋" w:cs="宋体"/>
          <w:color w:val="auto"/>
          <w:kern w:val="0"/>
          <w:sz w:val="24"/>
          <w:highlight w:val="none"/>
        </w:rPr>
      </w:pP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投标人：（盖章）</w:t>
      </w:r>
    </w:p>
    <w:p>
      <w:pPr>
        <w:spacing w:line="500" w:lineRule="exact"/>
        <w:jc w:val="left"/>
        <w:rPr>
          <w:rFonts w:ascii="仿宋" w:hAnsi="仿宋" w:eastAsia="仿宋" w:cs="宋体"/>
          <w:color w:val="auto"/>
          <w:kern w:val="0"/>
          <w:sz w:val="24"/>
          <w:highlight w:val="none"/>
        </w:rPr>
      </w:pP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法定代表人（签名或盖章）：</w:t>
      </w:r>
    </w:p>
    <w:p>
      <w:pPr>
        <w:spacing w:line="500" w:lineRule="exact"/>
        <w:jc w:val="left"/>
        <w:rPr>
          <w:rFonts w:ascii="仿宋" w:hAnsi="仿宋" w:eastAsia="仿宋" w:cs="宋体"/>
          <w:color w:val="auto"/>
          <w:kern w:val="0"/>
          <w:sz w:val="24"/>
          <w:highlight w:val="none"/>
        </w:rPr>
      </w:pP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日期：      年   月   日</w:t>
      </w:r>
    </w:p>
    <w:p>
      <w:pPr>
        <w:spacing w:line="50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pPr>
        <w:spacing w:line="500" w:lineRule="exact"/>
        <w:jc w:val="center"/>
        <w:rPr>
          <w:rFonts w:ascii="仿宋" w:hAnsi="仿宋" w:eastAsia="仿宋" w:cs="宋体"/>
          <w:color w:val="auto"/>
          <w:kern w:val="0"/>
          <w:sz w:val="24"/>
          <w:highlight w:val="none"/>
        </w:rPr>
      </w:pPr>
    </w:p>
    <w:p>
      <w:pPr>
        <w:spacing w:line="500" w:lineRule="exact"/>
        <w:jc w:val="center"/>
        <w:rPr>
          <w:rFonts w:ascii="仿宋" w:hAnsi="仿宋" w:eastAsia="仿宋" w:cs="宋体"/>
          <w:color w:val="auto"/>
          <w:kern w:val="0"/>
          <w:sz w:val="24"/>
          <w:highlight w:val="none"/>
        </w:rPr>
      </w:pPr>
    </w:p>
    <w:p>
      <w:pPr>
        <w:spacing w:line="500" w:lineRule="exact"/>
        <w:jc w:val="center"/>
        <w:rPr>
          <w:rFonts w:ascii="仿宋" w:hAnsi="仿宋" w:eastAsia="仿宋" w:cs="宋体"/>
          <w:color w:val="auto"/>
          <w:kern w:val="0"/>
          <w:sz w:val="24"/>
          <w:highlight w:val="none"/>
        </w:rPr>
      </w:pPr>
    </w:p>
    <w:p>
      <w:pPr>
        <w:spacing w:line="50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有效身份证明复印件粘贴处</w:t>
      </w:r>
    </w:p>
    <w:p>
      <w:pPr>
        <w:spacing w:line="500" w:lineRule="exact"/>
        <w:jc w:val="center"/>
        <w:rPr>
          <w:rFonts w:ascii="仿宋" w:hAnsi="仿宋" w:eastAsia="仿宋" w:cs="宋体"/>
          <w:color w:val="auto"/>
          <w:kern w:val="0"/>
          <w:sz w:val="24"/>
          <w:highlight w:val="none"/>
        </w:rPr>
      </w:pPr>
    </w:p>
    <w:p>
      <w:pPr>
        <w:jc w:val="center"/>
        <w:rPr>
          <w:rFonts w:ascii="仿宋" w:hAnsi="仿宋" w:eastAsia="仿宋" w:cs="宋体"/>
          <w:color w:val="auto"/>
          <w:kern w:val="0"/>
          <w:sz w:val="24"/>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snapToGrid w:val="0"/>
        <w:spacing w:before="120" w:beforeLines="50" w:after="50" w:line="400" w:lineRule="exact"/>
        <w:jc w:val="center"/>
        <w:outlineLvl w:val="1"/>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2、法定代表人授权委托书</w:t>
      </w:r>
    </w:p>
    <w:p>
      <w:pPr>
        <w:snapToGrid w:val="0"/>
        <w:spacing w:before="120" w:beforeLines="50" w:after="50" w:line="400" w:lineRule="exact"/>
        <w:rPr>
          <w:rFonts w:ascii="仿宋" w:hAnsi="仿宋" w:eastAsia="仿宋" w:cs="宋体"/>
          <w:b/>
          <w:bCs/>
          <w:color w:val="auto"/>
          <w:sz w:val="24"/>
          <w:highlight w:val="none"/>
        </w:rPr>
      </w:pPr>
      <w:r>
        <w:rPr>
          <w:rFonts w:hint="eastAsia" w:ascii="仿宋" w:hAnsi="仿宋" w:eastAsia="仿宋" w:cs="宋体"/>
          <w:color w:val="auto"/>
          <w:sz w:val="24"/>
          <w:highlight w:val="none"/>
        </w:rPr>
        <w:t>致</w:t>
      </w:r>
      <w:r>
        <w:rPr>
          <w:rFonts w:hint="eastAsia" w:ascii="仿宋" w:hAnsi="仿宋" w:eastAsia="仿宋" w:cs="宋体"/>
          <w:color w:val="auto"/>
          <w:sz w:val="24"/>
          <w:highlight w:val="none"/>
          <w:u w:val="single"/>
        </w:rPr>
        <w:t xml:space="preserve"> （采购人名称）</w:t>
      </w:r>
      <w:r>
        <w:rPr>
          <w:rFonts w:hint="eastAsia" w:ascii="仿宋" w:hAnsi="仿宋" w:eastAsia="仿宋" w:cs="宋体"/>
          <w:color w:val="auto"/>
          <w:sz w:val="24"/>
          <w:highlight w:val="none"/>
        </w:rPr>
        <w:t>：</w:t>
      </w:r>
    </w:p>
    <w:p>
      <w:pPr>
        <w:snapToGrid w:val="0"/>
        <w:spacing w:before="120" w:beforeLines="50" w:after="50" w:line="46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 xml:space="preserve">我 </w:t>
      </w:r>
      <w:r>
        <w:rPr>
          <w:rFonts w:hint="eastAsia" w:ascii="仿宋" w:hAnsi="仿宋" w:eastAsia="仿宋" w:cs="宋体"/>
          <w:color w:val="auto"/>
          <w:sz w:val="24"/>
          <w:highlight w:val="none"/>
          <w:u w:val="single"/>
        </w:rPr>
        <w:t>（姓名）</w:t>
      </w:r>
      <w:r>
        <w:rPr>
          <w:rFonts w:hint="eastAsia" w:ascii="仿宋" w:hAnsi="仿宋" w:eastAsia="仿宋" w:cs="宋体"/>
          <w:color w:val="auto"/>
          <w:sz w:val="24"/>
          <w:highlight w:val="none"/>
        </w:rPr>
        <w:t>系</w:t>
      </w:r>
      <w:r>
        <w:rPr>
          <w:rFonts w:hint="eastAsia" w:ascii="仿宋" w:hAnsi="仿宋" w:eastAsia="仿宋" w:cs="宋体"/>
          <w:color w:val="auto"/>
          <w:sz w:val="24"/>
          <w:highlight w:val="none"/>
          <w:u w:val="single"/>
        </w:rPr>
        <w:t xml:space="preserve"> （投标人名称）</w:t>
      </w:r>
      <w:r>
        <w:rPr>
          <w:rFonts w:hint="eastAsia" w:ascii="仿宋" w:hAnsi="仿宋" w:eastAsia="仿宋" w:cs="宋体"/>
          <w:color w:val="auto"/>
          <w:sz w:val="24"/>
          <w:highlight w:val="none"/>
        </w:rPr>
        <w:t>的法定代表人，现授权委托本单位</w:t>
      </w:r>
      <w:r>
        <w:rPr>
          <w:rFonts w:hint="eastAsia" w:ascii="仿宋" w:hAnsi="仿宋" w:eastAsia="仿宋" w:cs="宋体"/>
          <w:color w:val="auto"/>
          <w:sz w:val="24"/>
          <w:highlight w:val="none"/>
          <w:u w:val="single"/>
        </w:rPr>
        <w:t xml:space="preserve"> （姓名）</w:t>
      </w:r>
      <w:r>
        <w:rPr>
          <w:rFonts w:hint="eastAsia" w:ascii="仿宋" w:hAnsi="仿宋" w:eastAsia="仿宋" w:cs="宋体"/>
          <w:color w:val="auto"/>
          <w:sz w:val="24"/>
          <w:highlight w:val="none"/>
        </w:rPr>
        <w:t>以我方的名义参加___________________项目的招标活动，并代表我方全权办理针对上述项目的投标、签约等具体事务和签署相关文件。</w:t>
      </w:r>
    </w:p>
    <w:p>
      <w:pPr>
        <w:snapToGrid w:val="0"/>
        <w:spacing w:before="120" w:beforeLines="50" w:after="50"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我方对授权代理人的签名事项负全部责任。</w:t>
      </w:r>
    </w:p>
    <w:p>
      <w:pPr>
        <w:snapToGrid w:val="0"/>
        <w:spacing w:before="120" w:beforeLines="50" w:after="50" w:line="460" w:lineRule="exact"/>
        <w:ind w:firstLine="482"/>
        <w:rPr>
          <w:rFonts w:ascii="仿宋" w:hAnsi="仿宋" w:eastAsia="仿宋" w:cs="宋体"/>
          <w:color w:val="auto"/>
          <w:sz w:val="24"/>
          <w:highlight w:val="none"/>
        </w:rPr>
      </w:pPr>
      <w:r>
        <w:rPr>
          <w:rFonts w:hint="eastAsia" w:ascii="仿宋" w:hAnsi="仿宋" w:eastAsia="仿宋" w:cs="宋体"/>
          <w:color w:val="auto"/>
          <w:sz w:val="24"/>
          <w:highlight w:val="none"/>
        </w:rPr>
        <w:t>在撤销授权的书面通知以前，本授权书一直有效。授权代理人在授权书有效期内签署的所有文件不因授权的撤销而失效。</w:t>
      </w:r>
    </w:p>
    <w:p>
      <w:pPr>
        <w:snapToGrid w:val="0"/>
        <w:spacing w:before="120" w:beforeLines="50" w:after="50" w:line="400" w:lineRule="exact"/>
        <w:ind w:firstLine="480"/>
        <w:rPr>
          <w:rFonts w:ascii="仿宋" w:hAnsi="仿宋" w:eastAsia="仿宋" w:cs="宋体"/>
          <w:color w:val="auto"/>
          <w:sz w:val="24"/>
          <w:highlight w:val="none"/>
        </w:rPr>
      </w:pPr>
      <w:r>
        <w:rPr>
          <w:rFonts w:hint="eastAsia" w:ascii="仿宋" w:hAnsi="仿宋" w:eastAsia="仿宋" w:cs="宋体"/>
          <w:color w:val="auto"/>
          <w:sz w:val="24"/>
          <w:highlight w:val="none"/>
        </w:rPr>
        <w:t>授权代理人无转委托权，特此委托。</w:t>
      </w:r>
    </w:p>
    <w:p>
      <w:pPr>
        <w:snapToGrid w:val="0"/>
        <w:spacing w:before="120" w:beforeLines="50" w:after="50" w:line="400" w:lineRule="exact"/>
        <w:rPr>
          <w:rFonts w:ascii="仿宋" w:hAnsi="仿宋" w:eastAsia="仿宋" w:cs="宋体"/>
          <w:color w:val="auto"/>
          <w:sz w:val="24"/>
          <w:highlight w:val="none"/>
        </w:rPr>
      </w:pPr>
    </w:p>
    <w:p>
      <w:pPr>
        <w:snapToGrid w:val="0"/>
        <w:spacing w:before="120" w:beforeLines="50" w:after="50" w:line="400" w:lineRule="exact"/>
        <w:rPr>
          <w:rFonts w:ascii="仿宋" w:hAnsi="仿宋" w:eastAsia="仿宋" w:cs="宋体"/>
          <w:color w:val="auto"/>
          <w:sz w:val="24"/>
          <w:highlight w:val="none"/>
          <w:u w:val="single"/>
        </w:rPr>
      </w:pPr>
      <w:r>
        <w:rPr>
          <w:rFonts w:hint="eastAsia" w:ascii="仿宋" w:hAnsi="仿宋" w:eastAsia="仿宋" w:cs="宋体"/>
          <w:color w:val="auto"/>
          <w:sz w:val="24"/>
          <w:highlight w:val="none"/>
        </w:rPr>
        <w:t>授权代理人签名：         法定代表人签名：</w:t>
      </w:r>
    </w:p>
    <w:p>
      <w:pPr>
        <w:snapToGrid w:val="0"/>
        <w:spacing w:before="120" w:beforeLines="50" w:after="50" w:line="400" w:lineRule="exact"/>
        <w:rPr>
          <w:rFonts w:ascii="仿宋" w:hAnsi="仿宋" w:eastAsia="仿宋" w:cs="宋体"/>
          <w:color w:val="auto"/>
          <w:sz w:val="24"/>
          <w:highlight w:val="none"/>
          <w:u w:val="single"/>
        </w:rPr>
      </w:pPr>
    </w:p>
    <w:p>
      <w:pPr>
        <w:snapToGrid w:val="0"/>
        <w:spacing w:before="120" w:beforeLines="50" w:after="50" w:line="400" w:lineRule="exact"/>
        <w:rPr>
          <w:rFonts w:ascii="仿宋" w:hAnsi="仿宋" w:eastAsia="仿宋" w:cs="宋体"/>
          <w:color w:val="auto"/>
          <w:sz w:val="24"/>
          <w:highlight w:val="none"/>
          <w:u w:val="single"/>
        </w:rPr>
      </w:pPr>
      <w:r>
        <w:rPr>
          <w:rFonts w:hint="eastAsia" w:ascii="仿宋" w:hAnsi="仿宋" w:eastAsia="仿宋" w:cs="宋体"/>
          <w:color w:val="auto"/>
          <w:sz w:val="24"/>
          <w:highlight w:val="none"/>
        </w:rPr>
        <w:t>职务：                   职务：</w:t>
      </w:r>
    </w:p>
    <w:p>
      <w:pPr>
        <w:snapToGrid w:val="0"/>
        <w:spacing w:before="120" w:beforeLines="50" w:after="50" w:line="400" w:lineRule="exact"/>
        <w:ind w:firstLine="960" w:firstLineChars="400"/>
        <w:rPr>
          <w:rFonts w:ascii="仿宋" w:hAnsi="仿宋" w:eastAsia="仿宋" w:cs="宋体"/>
          <w:color w:val="auto"/>
          <w:sz w:val="24"/>
          <w:highlight w:val="none"/>
        </w:rPr>
      </w:pPr>
    </w:p>
    <w:p>
      <w:pPr>
        <w:snapToGrid w:val="0"/>
        <w:spacing w:before="120" w:beforeLines="50" w:after="50"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授权代理人身份证号码：</w:t>
      </w:r>
    </w:p>
    <w:p>
      <w:pPr>
        <w:snapToGrid w:val="0"/>
        <w:spacing w:before="120" w:beforeLines="50" w:after="50" w:line="400" w:lineRule="exact"/>
        <w:rPr>
          <w:rFonts w:ascii="仿宋" w:hAnsi="仿宋" w:eastAsia="仿宋" w:cs="宋体"/>
          <w:color w:val="auto"/>
          <w:sz w:val="24"/>
          <w:highlight w:val="none"/>
        </w:rPr>
      </w:pPr>
    </w:p>
    <w:p>
      <w:pPr>
        <w:snapToGrid w:val="0"/>
        <w:spacing w:before="120" w:beforeLines="50" w:after="50" w:line="40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投标人公章：</w:t>
      </w:r>
    </w:p>
    <w:p>
      <w:pPr>
        <w:snapToGrid w:val="0"/>
        <w:spacing w:before="120" w:beforeLines="50" w:after="50" w:line="40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授权代理人有效身份证明复印件粘贴处</w:t>
      </w:r>
    </w:p>
    <w:p>
      <w:pPr>
        <w:jc w:val="center"/>
        <w:rPr>
          <w:rFonts w:ascii="仿宋" w:hAnsi="仿宋" w:eastAsia="仿宋" w:cs="宋体"/>
          <w:color w:val="auto"/>
          <w:kern w:val="0"/>
          <w:sz w:val="28"/>
          <w:szCs w:val="28"/>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r>
        <w:rPr>
          <w:rFonts w:hint="eastAsia" w:ascii="仿宋" w:hAnsi="仿宋" w:eastAsia="仿宋" w:cs="仿宋"/>
          <w:color w:val="auto"/>
          <w:sz w:val="24"/>
          <w:highlight w:val="none"/>
          <w:lang w:eastAsia="zh-CN"/>
        </w:rPr>
        <w:t>附：</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个月个人社保缴纳证明文件</w:t>
      </w:r>
    </w:p>
    <w:p>
      <w:pPr>
        <w:pStyle w:val="2"/>
        <w:rPr>
          <w:rFonts w:ascii="仿宋" w:hAnsi="仿宋" w:eastAsia="仿宋"/>
          <w:color w:val="auto"/>
          <w:highlight w:val="none"/>
        </w:rPr>
      </w:pPr>
    </w:p>
    <w:p>
      <w:pPr>
        <w:pStyle w:val="2"/>
        <w:rPr>
          <w:rFonts w:ascii="仿宋" w:hAnsi="仿宋" w:eastAsia="仿宋"/>
          <w:color w:val="auto"/>
          <w:highlight w:val="none"/>
        </w:rPr>
      </w:pPr>
    </w:p>
    <w:p>
      <w:pPr>
        <w:snapToGrid w:val="0"/>
        <w:spacing w:line="560" w:lineRule="exact"/>
        <w:jc w:val="center"/>
        <w:rPr>
          <w:rFonts w:ascii="仿宋" w:hAnsi="仿宋" w:eastAsia="仿宋"/>
          <w:color w:val="auto"/>
          <w:highlight w:val="none"/>
        </w:rPr>
      </w:pPr>
      <w:r>
        <w:rPr>
          <w:rFonts w:hint="eastAsia" w:ascii="仿宋" w:hAnsi="仿宋" w:eastAsia="仿宋" w:cs="宋体"/>
          <w:color w:val="auto"/>
          <w:highlight w:val="none"/>
        </w:rPr>
        <w:br w:type="page"/>
      </w:r>
    </w:p>
    <w:p>
      <w:pPr>
        <w:pStyle w:val="25"/>
        <w:ind w:firstLine="3635" w:firstLineChars="1293"/>
        <w:rPr>
          <w:rFonts w:ascii="仿宋" w:hAnsi="仿宋" w:eastAsia="仿宋" w:cs="宋体"/>
          <w:b/>
          <w:color w:val="auto"/>
          <w:sz w:val="28"/>
          <w:szCs w:val="28"/>
          <w:highlight w:val="none"/>
        </w:rPr>
      </w:pPr>
    </w:p>
    <w:p>
      <w:pPr>
        <w:snapToGrid w:val="0"/>
        <w:spacing w:line="56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承诺书</w:t>
      </w:r>
    </w:p>
    <w:p>
      <w:pPr>
        <w:snapToGrid w:val="0"/>
        <w:spacing w:line="560" w:lineRule="exact"/>
        <w:jc w:val="center"/>
        <w:outlineLvl w:val="9"/>
        <w:rPr>
          <w:rFonts w:hint="eastAsia" w:ascii="仿宋" w:hAnsi="仿宋" w:eastAsia="仿宋" w:cs="仿宋"/>
          <w:b/>
          <w:color w:val="auto"/>
          <w:sz w:val="28"/>
          <w:szCs w:val="28"/>
          <w:highlight w:val="none"/>
        </w:rPr>
      </w:pPr>
    </w:p>
    <w:p>
      <w:pPr>
        <w:tabs>
          <w:tab w:val="left" w:pos="165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pPr>
        <w:tabs>
          <w:tab w:val="left" w:pos="1650"/>
        </w:tabs>
        <w:jc w:val="left"/>
        <w:rPr>
          <w:rFonts w:hint="eastAsia" w:ascii="仿宋" w:hAnsi="仿宋" w:eastAsia="仿宋" w:cs="仿宋"/>
          <w:color w:val="auto"/>
          <w:sz w:val="24"/>
          <w:highlight w:val="none"/>
          <w:u w:val="single"/>
        </w:rPr>
      </w:pPr>
    </w:p>
    <w:p>
      <w:pPr>
        <w:keepNext w:val="0"/>
        <w:keepLines w:val="0"/>
        <w:pageBreakBefore w:val="0"/>
        <w:widowControl w:val="0"/>
        <w:tabs>
          <w:tab w:val="left" w:pos="1650"/>
        </w:tabs>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符合参与政府采购活动的资格条件并且没有税收缴纳、社会保障等方面的失信记录</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eastAsia="zh-CN"/>
        </w:rPr>
        <w:t>在投标时间截止前</w:t>
      </w:r>
      <w:r>
        <w:rPr>
          <w:rFonts w:hint="eastAsia" w:ascii="仿宋" w:hAnsi="仿宋" w:eastAsia="仿宋" w:cs="仿宋"/>
          <w:color w:val="auto"/>
          <w:sz w:val="24"/>
          <w:highlight w:val="none"/>
        </w:rPr>
        <w:t>未被“信用中国”（www.creditchina.gov.cn）、“中国政府采购网”（www.ccgp.gov.cn）</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r>
        <w:rPr>
          <w:rFonts w:hint="eastAsia" w:ascii="仿宋" w:hAnsi="仿宋" w:eastAsia="仿宋" w:cs="仿宋"/>
          <w:color w:val="auto"/>
          <w:sz w:val="24"/>
          <w:highlight w:val="none"/>
          <w:lang w:eastAsia="zh-CN"/>
        </w:rPr>
        <w:t>。</w:t>
      </w:r>
    </w:p>
    <w:p>
      <w:pPr>
        <w:pStyle w:val="10"/>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0"/>
        <w:rPr>
          <w:rFonts w:hint="eastAsia" w:ascii="仿宋" w:hAnsi="仿宋" w:eastAsia="仿宋" w:cs="仿宋"/>
          <w:b/>
          <w:color w:val="auto"/>
          <w:sz w:val="28"/>
          <w:szCs w:val="28"/>
          <w:highlight w:val="none"/>
        </w:rPr>
      </w:pPr>
    </w:p>
    <w:p>
      <w:pPr>
        <w:pStyle w:val="49"/>
        <w:spacing w:before="0" w:beforeAutospacing="0" w:after="0" w:afterAutospacing="0" w:line="560" w:lineRule="exact"/>
        <w:ind w:firstLine="3240" w:firstLineChars="13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2"/>
        <w:rPr>
          <w:rFonts w:hint="eastAsia"/>
          <w:color w:val="auto"/>
          <w:highlight w:val="none"/>
        </w:rPr>
      </w:pPr>
    </w:p>
    <w:p>
      <w:pPr>
        <w:pStyle w:val="25"/>
        <w:ind w:firstLine="2811" w:firstLineChars="1000"/>
        <w:outlineLvl w:val="9"/>
        <w:rPr>
          <w:rFonts w:hint="eastAsia" w:ascii="仿宋" w:hAnsi="仿宋" w:eastAsia="仿宋" w:cs="宋体"/>
          <w:b/>
          <w:color w:val="auto"/>
          <w:sz w:val="28"/>
          <w:szCs w:val="28"/>
          <w:highlight w:val="none"/>
        </w:rPr>
      </w:pPr>
    </w:p>
    <w:p>
      <w:pPr>
        <w:pStyle w:val="25"/>
        <w:ind w:firstLine="2811" w:firstLineChars="1000"/>
        <w:outlineLvl w:val="9"/>
        <w:rPr>
          <w:rFonts w:hint="eastAsia" w:ascii="仿宋" w:hAnsi="仿宋" w:eastAsia="仿宋" w:cs="宋体"/>
          <w:b/>
          <w:color w:val="auto"/>
          <w:sz w:val="28"/>
          <w:szCs w:val="28"/>
          <w:highlight w:val="none"/>
        </w:rPr>
      </w:pPr>
    </w:p>
    <w:p>
      <w:pPr>
        <w:pStyle w:val="25"/>
        <w:ind w:firstLine="2811" w:firstLineChars="1000"/>
        <w:outlineLvl w:val="9"/>
        <w:rPr>
          <w:rFonts w:hint="eastAsia" w:ascii="仿宋" w:hAnsi="仿宋" w:eastAsia="仿宋" w:cs="宋体"/>
          <w:b/>
          <w:color w:val="auto"/>
          <w:sz w:val="28"/>
          <w:szCs w:val="28"/>
          <w:highlight w:val="none"/>
        </w:rPr>
      </w:pPr>
    </w:p>
    <w:p>
      <w:pPr>
        <w:pStyle w:val="25"/>
        <w:ind w:firstLine="2811" w:firstLineChars="1000"/>
        <w:outlineLvl w:val="9"/>
        <w:rPr>
          <w:rFonts w:hint="eastAsia" w:ascii="仿宋" w:hAnsi="仿宋" w:eastAsia="仿宋" w:cs="宋体"/>
          <w:b/>
          <w:color w:val="auto"/>
          <w:sz w:val="28"/>
          <w:szCs w:val="28"/>
          <w:highlight w:val="none"/>
        </w:rPr>
      </w:pPr>
    </w:p>
    <w:p>
      <w:pPr>
        <w:pStyle w:val="25"/>
        <w:ind w:firstLine="2811" w:firstLineChars="1000"/>
        <w:outlineLvl w:val="1"/>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lang w:val="en-US" w:eastAsia="zh-CN"/>
        </w:rPr>
        <w:t>4、</w:t>
      </w:r>
      <w:r>
        <w:rPr>
          <w:rFonts w:hint="eastAsia" w:ascii="仿宋" w:hAnsi="仿宋" w:eastAsia="仿宋" w:cs="宋体"/>
          <w:b/>
          <w:color w:val="auto"/>
          <w:sz w:val="28"/>
          <w:szCs w:val="28"/>
          <w:highlight w:val="none"/>
        </w:rPr>
        <w:t>信用承诺书</w:t>
      </w:r>
    </w:p>
    <w:p>
      <w:pPr>
        <w:pStyle w:val="25"/>
        <w:ind w:firstLine="562"/>
        <w:jc w:val="center"/>
        <w:rPr>
          <w:rFonts w:ascii="仿宋" w:hAnsi="仿宋" w:eastAsia="仿宋" w:cs="宋体"/>
          <w:b/>
          <w:bCs/>
          <w:color w:val="auto"/>
          <w:sz w:val="28"/>
          <w:szCs w:val="28"/>
          <w:highlight w:val="none"/>
        </w:rPr>
      </w:pPr>
    </w:p>
    <w:p>
      <w:pPr>
        <w:tabs>
          <w:tab w:val="left" w:pos="1650"/>
        </w:tabs>
        <w:jc w:val="left"/>
        <w:rPr>
          <w:rFonts w:ascii="仿宋" w:hAnsi="仿宋" w:eastAsia="仿宋" w:cs="宋体"/>
          <w:color w:val="auto"/>
          <w:sz w:val="24"/>
          <w:highlight w:val="none"/>
        </w:rPr>
      </w:pPr>
      <w:r>
        <w:rPr>
          <w:rFonts w:hint="eastAsia" w:ascii="仿宋" w:hAnsi="仿宋" w:eastAsia="仿宋" w:cs="宋体"/>
          <w:color w:val="auto"/>
          <w:sz w:val="24"/>
          <w:highlight w:val="none"/>
          <w:u w:val="single"/>
        </w:rPr>
        <w:t>（投标人）</w:t>
      </w:r>
      <w:r>
        <w:rPr>
          <w:rFonts w:hint="eastAsia" w:ascii="仿宋" w:hAnsi="仿宋" w:eastAsia="仿宋" w:cs="宋体"/>
          <w:color w:val="auto"/>
          <w:sz w:val="24"/>
          <w:highlight w:val="none"/>
        </w:rPr>
        <w:t>现参加</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政府采购活动，郑重承诺如下：</w:t>
      </w:r>
    </w:p>
    <w:p>
      <w:pPr>
        <w:tabs>
          <w:tab w:val="left" w:pos="1650"/>
        </w:tabs>
        <w:spacing w:line="560" w:lineRule="exact"/>
        <w:ind w:firstLine="630"/>
        <w:rPr>
          <w:rFonts w:ascii="仿宋" w:hAnsi="仿宋" w:eastAsia="仿宋" w:cs="宋体"/>
          <w:color w:val="auto"/>
          <w:sz w:val="24"/>
          <w:highlight w:val="none"/>
        </w:rPr>
      </w:pPr>
      <w:r>
        <w:rPr>
          <w:rFonts w:hint="eastAsia" w:ascii="仿宋" w:hAnsi="仿宋" w:eastAsia="仿宋" w:cs="宋体"/>
          <w:color w:val="auto"/>
          <w:sz w:val="24"/>
          <w:highlight w:val="none"/>
        </w:rPr>
        <w:t>对所提供的资料合法性、真实性、准确性和有效性负责；</w:t>
      </w:r>
    </w:p>
    <w:p>
      <w:pPr>
        <w:tabs>
          <w:tab w:val="left" w:pos="1650"/>
        </w:tabs>
        <w:spacing w:line="560" w:lineRule="exact"/>
        <w:ind w:firstLine="630"/>
        <w:rPr>
          <w:rFonts w:ascii="仿宋" w:hAnsi="仿宋" w:eastAsia="仿宋" w:cs="宋体"/>
          <w:color w:val="auto"/>
          <w:sz w:val="24"/>
          <w:highlight w:val="none"/>
        </w:rPr>
      </w:pPr>
      <w:r>
        <w:rPr>
          <w:rFonts w:hint="eastAsia" w:ascii="仿宋" w:hAnsi="仿宋" w:eastAsia="仿宋" w:cs="宋体"/>
          <w:color w:val="auto"/>
          <w:sz w:val="24"/>
          <w:highlight w:val="none"/>
        </w:rPr>
        <w:t>严格按照国家法律、法规和规章，依法开展相关经济活动，全面履行应尽的责任和义务；</w:t>
      </w:r>
    </w:p>
    <w:p>
      <w:pPr>
        <w:tabs>
          <w:tab w:val="left" w:pos="1650"/>
        </w:tabs>
        <w:spacing w:line="560" w:lineRule="exact"/>
        <w:ind w:firstLine="630"/>
        <w:rPr>
          <w:rFonts w:ascii="仿宋" w:hAnsi="仿宋" w:eastAsia="仿宋" w:cs="宋体"/>
          <w:color w:val="auto"/>
          <w:sz w:val="24"/>
          <w:highlight w:val="none"/>
        </w:rPr>
      </w:pPr>
      <w:r>
        <w:rPr>
          <w:rFonts w:hint="eastAsia" w:ascii="仿宋" w:hAnsi="仿宋" w:eastAsia="仿宋" w:cs="宋体"/>
          <w:color w:val="auto"/>
          <w:sz w:val="24"/>
          <w:highlight w:val="none"/>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宋体"/>
          <w:color w:val="auto"/>
          <w:sz w:val="24"/>
          <w:highlight w:val="none"/>
        </w:rPr>
      </w:pPr>
      <w:r>
        <w:rPr>
          <w:rFonts w:hint="eastAsia" w:ascii="仿宋" w:hAnsi="仿宋" w:eastAsia="仿宋" w:cs="宋体"/>
          <w:color w:val="auto"/>
          <w:sz w:val="24"/>
          <w:highlight w:val="none"/>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宋体"/>
          <w:color w:val="auto"/>
          <w:sz w:val="24"/>
          <w:highlight w:val="none"/>
        </w:rPr>
      </w:pPr>
      <w:r>
        <w:rPr>
          <w:rFonts w:hint="eastAsia" w:ascii="仿宋" w:hAnsi="仿宋" w:eastAsia="仿宋" w:cs="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仿宋" w:hAnsi="仿宋" w:eastAsia="仿宋" w:cs="宋体"/>
          <w:color w:val="auto"/>
          <w:sz w:val="24"/>
          <w:highlight w:val="none"/>
          <w:u w:val="single"/>
        </w:rPr>
      </w:pPr>
    </w:p>
    <w:p>
      <w:pPr>
        <w:tabs>
          <w:tab w:val="left" w:pos="1650"/>
        </w:tabs>
        <w:spacing w:line="560" w:lineRule="exact"/>
        <w:rPr>
          <w:rFonts w:ascii="仿宋" w:hAnsi="仿宋" w:eastAsia="仿宋" w:cs="宋体"/>
          <w:color w:val="auto"/>
          <w:sz w:val="24"/>
          <w:highlight w:val="none"/>
          <w:u w:val="single"/>
        </w:rPr>
      </w:pPr>
    </w:p>
    <w:p>
      <w:pPr>
        <w:pStyle w:val="49"/>
        <w:spacing w:before="0" w:beforeAutospacing="0" w:after="0" w:afterAutospacing="0" w:line="560" w:lineRule="exact"/>
        <w:ind w:firstLine="600" w:firstLineChars="250"/>
        <w:rPr>
          <w:rFonts w:ascii="仿宋" w:hAnsi="仿宋" w:eastAsia="仿宋"/>
          <w:color w:val="auto"/>
          <w:spacing w:val="-7"/>
          <w:highlight w:val="none"/>
        </w:rPr>
      </w:pPr>
      <w:r>
        <w:rPr>
          <w:rFonts w:hint="eastAsia" w:ascii="仿宋" w:hAnsi="仿宋" w:eastAsia="仿宋"/>
          <w:color w:val="auto"/>
          <w:kern w:val="2"/>
          <w:highlight w:val="none"/>
        </w:rPr>
        <w:t>统一社会信用代码：</w:t>
      </w:r>
    </w:p>
    <w:p>
      <w:pPr>
        <w:pStyle w:val="49"/>
        <w:spacing w:before="0" w:beforeAutospacing="0" w:after="0" w:afterAutospacing="0" w:line="560" w:lineRule="exact"/>
        <w:rPr>
          <w:rFonts w:ascii="仿宋" w:hAnsi="仿宋" w:eastAsia="仿宋"/>
          <w:color w:val="auto"/>
          <w:highlight w:val="none"/>
        </w:rPr>
      </w:pPr>
    </w:p>
    <w:p>
      <w:pPr>
        <w:pStyle w:val="49"/>
        <w:spacing w:before="0" w:beforeAutospacing="0" w:after="0" w:afterAutospacing="0" w:line="560" w:lineRule="exact"/>
        <w:ind w:firstLine="3240" w:firstLineChars="1350"/>
        <w:rPr>
          <w:rFonts w:ascii="仿宋" w:hAnsi="仿宋" w:eastAsia="仿宋"/>
          <w:color w:val="auto"/>
          <w:kern w:val="2"/>
          <w:highlight w:val="none"/>
        </w:rPr>
      </w:pPr>
      <w:r>
        <w:rPr>
          <w:rFonts w:hint="eastAsia" w:ascii="仿宋" w:hAnsi="仿宋" w:eastAsia="仿宋"/>
          <w:color w:val="auto"/>
          <w:kern w:val="2"/>
          <w:highlight w:val="none"/>
        </w:rPr>
        <w:t>承诺单位/个人（盖章/签名）</w:t>
      </w:r>
    </w:p>
    <w:p>
      <w:pPr>
        <w:spacing w:line="560" w:lineRule="exac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时间：20**年*月*日</w:t>
      </w: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highlight w:val="none"/>
        </w:rPr>
      </w:pPr>
    </w:p>
    <w:p>
      <w:pPr>
        <w:pStyle w:val="14"/>
        <w:rPr>
          <w:rFonts w:ascii="仿宋" w:hAnsi="仿宋" w:eastAsia="仿宋" w:cs="宋体"/>
          <w:color w:val="auto"/>
          <w:sz w:val="24"/>
          <w:highlight w:val="none"/>
        </w:rPr>
      </w:pPr>
      <w:r>
        <w:rPr>
          <w:rFonts w:hint="eastAsia" w:ascii="仿宋" w:hAnsi="仿宋" w:eastAsia="仿宋" w:cs="宋体"/>
          <w:color w:val="auto"/>
          <w:highlight w:val="none"/>
        </w:rPr>
        <w:br w:type="page"/>
      </w:r>
    </w:p>
    <w:p>
      <w:pPr>
        <w:pStyle w:val="2"/>
        <w:spacing w:line="460" w:lineRule="exact"/>
        <w:jc w:val="center"/>
        <w:rPr>
          <w:rFonts w:ascii="仿宋" w:hAnsi="仿宋" w:eastAsia="仿宋"/>
          <w:b/>
          <w:bCs/>
          <w:color w:val="auto"/>
          <w:highlight w:val="none"/>
        </w:rPr>
      </w:pPr>
    </w:p>
    <w:p>
      <w:pPr>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宋体"/>
          <w:b/>
          <w:bCs/>
          <w:color w:val="auto"/>
          <w:sz w:val="28"/>
          <w:szCs w:val="28"/>
          <w:highlight w:val="none"/>
          <w:lang w:val="en-US" w:eastAsia="zh-CN"/>
        </w:rPr>
        <w:t>5、</w:t>
      </w:r>
      <w:r>
        <w:rPr>
          <w:rFonts w:hint="eastAsia" w:ascii="仿宋" w:hAnsi="仿宋" w:eastAsia="仿宋" w:cs="仿宋"/>
          <w:b/>
          <w:bCs/>
          <w:color w:val="auto"/>
          <w:sz w:val="28"/>
          <w:szCs w:val="28"/>
          <w:highlight w:val="none"/>
        </w:rPr>
        <w:t>中小企业声明函（工程、 服务）</w:t>
      </w:r>
    </w:p>
    <w:p>
      <w:pPr>
        <w:spacing w:line="560" w:lineRule="exac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本公司（联合体）郑重声明，根据《政府采购促进中小企业发展管理办法》（财库﹝2020﹞46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采购文件中明确的所属行业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采购文件中明确的所属行业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rPr>
          <w:rFonts w:hint="eastAsia" w:ascii="仿宋" w:hAnsi="仿宋" w:eastAsia="仿宋" w:cs="仿宋"/>
          <w:color w:val="auto"/>
          <w:sz w:val="24"/>
          <w:highlight w:val="none"/>
        </w:rPr>
      </w:pP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napToGrid w:val="0"/>
        <w:spacing w:before="50" w:after="50" w:line="360" w:lineRule="auto"/>
        <w:jc w:val="center"/>
        <w:rPr>
          <w:rFonts w:hint="eastAsia" w:ascii="仿宋" w:hAnsi="仿宋" w:eastAsia="仿宋" w:cs="仿宋"/>
          <w:b/>
          <w:color w:val="auto"/>
          <w:sz w:val="28"/>
          <w:szCs w:val="28"/>
          <w:highlight w:val="none"/>
        </w:rPr>
      </w:pPr>
    </w:p>
    <w:p>
      <w:pPr>
        <w:pStyle w:val="43"/>
        <w:rPr>
          <w:rFonts w:ascii="仿宋" w:hAnsi="仿宋" w:eastAsia="仿宋" w:cs="宋体"/>
          <w:b/>
          <w:color w:val="auto"/>
          <w:sz w:val="28"/>
          <w:szCs w:val="28"/>
          <w:highlight w:val="none"/>
        </w:rPr>
      </w:pPr>
    </w:p>
    <w:p>
      <w:pPr>
        <w:pStyle w:val="43"/>
        <w:rPr>
          <w:rFonts w:ascii="仿宋" w:hAnsi="仿宋" w:eastAsia="仿宋" w:cs="宋体"/>
          <w:b/>
          <w:color w:val="auto"/>
          <w:sz w:val="28"/>
          <w:szCs w:val="28"/>
          <w:highlight w:val="none"/>
        </w:rPr>
      </w:pPr>
    </w:p>
    <w:p>
      <w:pPr>
        <w:pStyle w:val="43"/>
        <w:ind w:left="0" w:leftChars="0" w:firstLine="0" w:firstLineChars="0"/>
        <w:rPr>
          <w:rFonts w:ascii="仿宋" w:hAnsi="仿宋" w:eastAsia="仿宋" w:cs="宋体"/>
          <w:b/>
          <w:color w:val="auto"/>
          <w:sz w:val="28"/>
          <w:szCs w:val="28"/>
          <w:highlight w:val="none"/>
        </w:rPr>
      </w:pPr>
    </w:p>
    <w:p>
      <w:pPr>
        <w:pStyle w:val="43"/>
        <w:rPr>
          <w:rFonts w:ascii="仿宋" w:hAnsi="仿宋" w:eastAsia="仿宋" w:cs="宋体"/>
          <w:b/>
          <w:color w:val="auto"/>
          <w:sz w:val="28"/>
          <w:szCs w:val="28"/>
          <w:highlight w:val="none"/>
        </w:rPr>
      </w:pPr>
    </w:p>
    <w:p>
      <w:pPr>
        <w:snapToGrid w:val="0"/>
        <w:spacing w:before="50" w:after="50" w:line="360" w:lineRule="auto"/>
        <w:jc w:val="center"/>
        <w:outlineLvl w:val="1"/>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lang w:val="en-US" w:eastAsia="zh-CN"/>
        </w:rPr>
        <w:t>6</w:t>
      </w:r>
      <w:r>
        <w:rPr>
          <w:rFonts w:hint="eastAsia" w:ascii="仿宋" w:hAnsi="仿宋" w:eastAsia="仿宋" w:cs="宋体"/>
          <w:b/>
          <w:color w:val="auto"/>
          <w:sz w:val="28"/>
          <w:szCs w:val="28"/>
          <w:highlight w:val="none"/>
        </w:rPr>
        <w:t>、监狱企业声明函（如有）</w:t>
      </w:r>
    </w:p>
    <w:p>
      <w:pPr>
        <w:pStyle w:val="2"/>
        <w:spacing w:line="460" w:lineRule="exact"/>
        <w:jc w:val="center"/>
        <w:rPr>
          <w:rFonts w:ascii="仿宋" w:hAnsi="仿宋" w:eastAsia="仿宋"/>
          <w:color w:val="auto"/>
          <w:highlight w:val="none"/>
        </w:rPr>
      </w:pPr>
      <w:r>
        <w:rPr>
          <w:rFonts w:hint="eastAsia" w:ascii="仿宋" w:hAnsi="仿宋" w:eastAsia="仿宋"/>
          <w:color w:val="auto"/>
          <w:highlight w:val="none"/>
        </w:rPr>
        <w:t>【非监狱企业的不用提供】</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本企业郑重声明，根据《关于政府采购支持监狱企业发展有关问题的通知》(财库[2014]68号）的规定，本企业为监狱企业。 </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根据上述标准，我企业属于监狱企业的理由为: </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本企业为参加</w:t>
      </w:r>
      <w:r>
        <w:rPr>
          <w:rFonts w:hint="eastAsia" w:ascii="仿宋" w:hAnsi="仿宋" w:eastAsia="仿宋"/>
          <w:color w:val="auto"/>
          <w:highlight w:val="none"/>
          <w:u w:val="single"/>
        </w:rPr>
        <w:t>(项目名称: ) (项目编号: )</w:t>
      </w:r>
      <w:r>
        <w:rPr>
          <w:rFonts w:hint="eastAsia" w:ascii="仿宋" w:hAnsi="仿宋" w:eastAsia="仿宋"/>
          <w:color w:val="auto"/>
          <w:highlight w:val="none"/>
        </w:rPr>
        <w:t xml:space="preserve">采购活动提供本企业的产品。 </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本企业对上述声明的真实性负责。如有虚假，将依法承担相应责任。 </w:t>
      </w:r>
    </w:p>
    <w:p>
      <w:pPr>
        <w:pStyle w:val="2"/>
        <w:spacing w:line="460" w:lineRule="exact"/>
        <w:ind w:firstLine="480" w:firstLineChars="200"/>
        <w:rPr>
          <w:rFonts w:ascii="仿宋" w:hAnsi="仿宋" w:eastAsia="仿宋"/>
          <w:color w:val="auto"/>
          <w:highlight w:val="none"/>
        </w:rPr>
      </w:pPr>
    </w:p>
    <w:p>
      <w:pPr>
        <w:pStyle w:val="2"/>
        <w:spacing w:line="460" w:lineRule="exact"/>
        <w:ind w:firstLine="480" w:firstLineChars="200"/>
        <w:rPr>
          <w:rFonts w:ascii="仿宋" w:hAnsi="仿宋" w:eastAsia="仿宋"/>
          <w:color w:val="auto"/>
          <w:highlight w:val="none"/>
        </w:rPr>
      </w:pPr>
    </w:p>
    <w:p>
      <w:pPr>
        <w:pStyle w:val="2"/>
        <w:spacing w:line="460" w:lineRule="exact"/>
        <w:rPr>
          <w:rFonts w:ascii="仿宋" w:hAnsi="仿宋" w:eastAsia="仿宋"/>
          <w:color w:val="auto"/>
          <w:highlight w:val="none"/>
        </w:rPr>
      </w:pPr>
      <w:r>
        <w:rPr>
          <w:rFonts w:hint="eastAsia" w:ascii="仿宋" w:hAnsi="仿宋" w:eastAsia="仿宋"/>
          <w:color w:val="auto"/>
          <w:highlight w:val="none"/>
        </w:rPr>
        <w:t xml:space="preserve">投标人名称(盖章) : </w:t>
      </w:r>
    </w:p>
    <w:p>
      <w:pPr>
        <w:pStyle w:val="2"/>
        <w:spacing w:line="460" w:lineRule="exact"/>
        <w:rPr>
          <w:rFonts w:ascii="仿宋" w:hAnsi="仿宋" w:eastAsia="仿宋"/>
          <w:color w:val="auto"/>
          <w:highlight w:val="none"/>
        </w:rPr>
      </w:pPr>
    </w:p>
    <w:p>
      <w:pPr>
        <w:pStyle w:val="2"/>
        <w:spacing w:line="460" w:lineRule="exact"/>
        <w:rPr>
          <w:rFonts w:ascii="仿宋" w:hAnsi="仿宋" w:eastAsia="仿宋"/>
          <w:color w:val="auto"/>
          <w:highlight w:val="none"/>
        </w:rPr>
      </w:pPr>
      <w:r>
        <w:rPr>
          <w:rFonts w:hint="eastAsia" w:ascii="仿宋" w:hAnsi="仿宋" w:eastAsia="仿宋"/>
          <w:color w:val="auto"/>
          <w:highlight w:val="none"/>
        </w:rPr>
        <w:t xml:space="preserve">日期: 年 月 日 </w:t>
      </w:r>
    </w:p>
    <w:p>
      <w:pPr>
        <w:pStyle w:val="2"/>
        <w:spacing w:line="460" w:lineRule="exact"/>
        <w:rPr>
          <w:rFonts w:ascii="仿宋" w:hAnsi="仿宋" w:eastAsia="仿宋"/>
          <w:color w:val="auto"/>
          <w:highlight w:val="none"/>
        </w:rPr>
      </w:pPr>
    </w:p>
    <w:p>
      <w:pPr>
        <w:snapToGrid w:val="0"/>
        <w:spacing w:before="120"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监狱企业参加政府采购活动时，应当提供由省级以上监狱管理局、戒毒管理局(含新疆生产建设兵团)出具的属于监狱企业的证明文件。</w:t>
      </w:r>
    </w:p>
    <w:p>
      <w:pPr>
        <w:snapToGrid w:val="0"/>
        <w:spacing w:before="120"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14"/>
        <w:rPr>
          <w:rFonts w:ascii="仿宋" w:hAnsi="仿宋" w:eastAsia="仿宋" w:cs="宋体"/>
          <w:color w:val="auto"/>
          <w:sz w:val="24"/>
          <w:highlight w:val="none"/>
        </w:rPr>
      </w:pPr>
    </w:p>
    <w:p>
      <w:pPr>
        <w:pStyle w:val="2"/>
        <w:spacing w:line="460" w:lineRule="exact"/>
        <w:rPr>
          <w:rFonts w:ascii="仿宋" w:hAnsi="仿宋" w:eastAsia="仿宋"/>
          <w:color w:val="auto"/>
          <w:highlight w:val="none"/>
        </w:rPr>
      </w:pPr>
    </w:p>
    <w:p>
      <w:pPr>
        <w:snapToGrid w:val="0"/>
        <w:spacing w:before="50" w:after="50" w:line="360" w:lineRule="auto"/>
        <w:jc w:val="center"/>
        <w:outlineLvl w:val="1"/>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lang w:val="en-US" w:eastAsia="zh-CN"/>
        </w:rPr>
        <w:t>7</w:t>
      </w:r>
      <w:r>
        <w:rPr>
          <w:rFonts w:hint="eastAsia" w:ascii="仿宋" w:hAnsi="仿宋" w:eastAsia="仿宋" w:cs="宋体"/>
          <w:b/>
          <w:color w:val="auto"/>
          <w:sz w:val="28"/>
          <w:szCs w:val="28"/>
          <w:highlight w:val="none"/>
        </w:rPr>
        <w:t>、残疾人福利性单位声明函（如有）</w:t>
      </w:r>
    </w:p>
    <w:p>
      <w:pPr>
        <w:pStyle w:val="2"/>
        <w:spacing w:line="460" w:lineRule="exact"/>
        <w:jc w:val="center"/>
        <w:rPr>
          <w:rFonts w:ascii="仿宋" w:hAnsi="仿宋" w:eastAsia="仿宋"/>
          <w:color w:val="auto"/>
          <w:highlight w:val="none"/>
        </w:rPr>
      </w:pPr>
      <w:r>
        <w:rPr>
          <w:rFonts w:hint="eastAsia" w:ascii="仿宋" w:hAnsi="仿宋" w:eastAsia="仿宋"/>
          <w:color w:val="auto"/>
          <w:highlight w:val="none"/>
        </w:rPr>
        <w:t>【非残疾人福利性单位不用提供】</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highlight w:val="none"/>
          <w:u w:val="single"/>
        </w:rPr>
        <w:t xml:space="preserve"> (采购人名称)</w:t>
      </w:r>
      <w:r>
        <w:rPr>
          <w:rFonts w:hint="eastAsia" w:ascii="仿宋" w:hAnsi="仿宋" w:eastAsia="仿宋"/>
          <w:color w:val="auto"/>
          <w:highlight w:val="none"/>
        </w:rPr>
        <w:t>单位的</w:t>
      </w:r>
      <w:r>
        <w:rPr>
          <w:rFonts w:hint="eastAsia" w:ascii="仿宋" w:hAnsi="仿宋" w:eastAsia="仿宋"/>
          <w:color w:val="auto"/>
          <w:highlight w:val="none"/>
          <w:u w:val="single"/>
        </w:rPr>
        <w:t xml:space="preserve"> (项目名称)</w:t>
      </w:r>
      <w:r>
        <w:rPr>
          <w:rFonts w:hint="eastAsia" w:ascii="仿宋" w:hAnsi="仿宋" w:eastAsia="仿宋"/>
          <w:color w:val="auto"/>
          <w:highlight w:val="none"/>
        </w:rPr>
        <w:t xml:space="preserve">项目采购活动提供本单位制造的货物(由本单位承担工程/提供服务)，成者提供其他残疾人福利性单位制造的货物(不包括使用非残疾人福利性单位往册商标的货物)。 </w:t>
      </w:r>
    </w:p>
    <w:p>
      <w:pPr>
        <w:pStyle w:val="2"/>
        <w:spacing w:line="4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本单位对上述声明的真实性负责，如有虚假，将依法承但相应责任。 </w:t>
      </w:r>
    </w:p>
    <w:p>
      <w:pPr>
        <w:pStyle w:val="2"/>
        <w:spacing w:line="460" w:lineRule="exact"/>
        <w:ind w:firstLine="480" w:firstLineChars="200"/>
        <w:rPr>
          <w:rFonts w:ascii="仿宋" w:hAnsi="仿宋" w:eastAsia="仿宋"/>
          <w:color w:val="auto"/>
          <w:highlight w:val="none"/>
        </w:rPr>
      </w:pPr>
    </w:p>
    <w:p>
      <w:pPr>
        <w:pStyle w:val="2"/>
        <w:spacing w:line="460" w:lineRule="exact"/>
        <w:rPr>
          <w:rFonts w:ascii="仿宋" w:hAnsi="仿宋" w:eastAsia="仿宋"/>
          <w:color w:val="auto"/>
          <w:highlight w:val="none"/>
        </w:rPr>
      </w:pPr>
      <w:r>
        <w:rPr>
          <w:rFonts w:hint="eastAsia" w:ascii="仿宋" w:hAnsi="仿宋" w:eastAsia="仿宋"/>
          <w:color w:val="auto"/>
          <w:highlight w:val="none"/>
        </w:rPr>
        <w:t xml:space="preserve">投标人名称(盖章)： </w:t>
      </w:r>
    </w:p>
    <w:p>
      <w:pPr>
        <w:pStyle w:val="2"/>
        <w:spacing w:line="460" w:lineRule="exact"/>
        <w:rPr>
          <w:rFonts w:ascii="仿宋" w:hAnsi="仿宋" w:eastAsia="仿宋"/>
          <w:color w:val="auto"/>
          <w:highlight w:val="none"/>
        </w:rPr>
      </w:pPr>
    </w:p>
    <w:p>
      <w:pPr>
        <w:snapToGrid w:val="0"/>
        <w:spacing w:before="120" w:beforeLines="50" w:after="50" w:line="460" w:lineRule="exact"/>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日期： 年 月 日</w:t>
      </w: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7"/>
        <w:rPr>
          <w:rFonts w:hint="eastAsia" w:ascii="仿宋" w:hAnsi="仿宋" w:eastAsia="仿宋" w:cs="宋体"/>
          <w:color w:val="auto"/>
          <w:sz w:val="24"/>
          <w:highlight w:val="none"/>
        </w:rPr>
      </w:pPr>
    </w:p>
    <w:p>
      <w:pPr>
        <w:pStyle w:val="17"/>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12"/>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spacing w:line="360" w:lineRule="auto"/>
        <w:jc w:val="center"/>
        <w:outlineLvl w:val="1"/>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8、投标人自评分索引表</w:t>
      </w: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投标人全称（公章）：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评分项目</w:t>
            </w: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投标文件对应资料</w:t>
            </w: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自评分</w:t>
            </w: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对应第四章评分办法及评分标准（报价除外）</w:t>
            </w: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835"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1329" w:type="dxa"/>
            <w:vAlign w:val="center"/>
          </w:tcPr>
          <w:p>
            <w:pPr>
              <w:snapToGrid w:val="0"/>
              <w:spacing w:before="120" w:beforeLines="50" w:after="50" w:line="460" w:lineRule="exact"/>
              <w:jc w:val="center"/>
              <w:rPr>
                <w:rFonts w:ascii="仿宋" w:hAnsi="仿宋" w:eastAsia="仿宋" w:cs="宋体"/>
                <w:color w:val="auto"/>
                <w:sz w:val="24"/>
                <w:highlight w:val="none"/>
              </w:rPr>
            </w:pPr>
          </w:p>
        </w:tc>
        <w:tc>
          <w:tcPr>
            <w:tcW w:w="2181" w:type="dxa"/>
            <w:vAlign w:val="center"/>
          </w:tcPr>
          <w:p>
            <w:pPr>
              <w:snapToGrid w:val="0"/>
              <w:spacing w:before="120" w:beforeLines="50" w:after="50" w:line="460" w:lineRule="exact"/>
              <w:jc w:val="center"/>
              <w:rPr>
                <w:rFonts w:ascii="仿宋" w:hAnsi="仿宋" w:eastAsia="仿宋" w:cs="宋体"/>
                <w:color w:val="auto"/>
                <w:sz w:val="24"/>
                <w:highlight w:val="none"/>
              </w:rPr>
            </w:pPr>
          </w:p>
        </w:tc>
      </w:tr>
    </w:tbl>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法定代表人或其授权代理人签字或盖章：</w:t>
      </w: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color w:val="auto"/>
          <w:highlight w:val="none"/>
        </w:rPr>
      </w:pPr>
      <w:r>
        <w:rPr>
          <w:rFonts w:hint="eastAsia" w:ascii="仿宋" w:hAnsi="仿宋" w:eastAsia="仿宋" w:cs="宋体"/>
          <w:color w:val="auto"/>
          <w:sz w:val="24"/>
          <w:highlight w:val="none"/>
        </w:rPr>
        <w:t>日期： 年 月 日</w:t>
      </w:r>
    </w:p>
    <w:p>
      <w:pPr>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pStyle w:val="43"/>
        <w:ind w:firstLine="420"/>
        <w:rPr>
          <w:color w:val="auto"/>
          <w:highlight w:val="none"/>
        </w:rPr>
      </w:pPr>
    </w:p>
    <w:p>
      <w:pPr>
        <w:numPr>
          <w:ilvl w:val="0"/>
          <w:numId w:val="0"/>
        </w:numPr>
        <w:spacing w:line="360" w:lineRule="auto"/>
        <w:rPr>
          <w:color w:val="auto"/>
          <w:highlight w:val="none"/>
        </w:rPr>
      </w:pPr>
    </w:p>
    <w:p>
      <w:pPr>
        <w:pStyle w:val="7"/>
        <w:ind w:left="0" w:leftChars="0" w:firstLine="0" w:firstLineChars="0"/>
        <w:rPr>
          <w:color w:val="auto"/>
          <w:highlight w:val="none"/>
        </w:rPr>
      </w:pPr>
    </w:p>
    <w:p>
      <w:pPr>
        <w:pStyle w:val="8"/>
        <w:rPr>
          <w:color w:val="auto"/>
          <w:highlight w:val="none"/>
        </w:rPr>
      </w:pPr>
    </w:p>
    <w:p>
      <w:pPr>
        <w:rPr>
          <w:color w:val="auto"/>
          <w:highlight w:val="none"/>
        </w:rPr>
      </w:pPr>
    </w:p>
    <w:p>
      <w:pPr>
        <w:spacing w:line="360" w:lineRule="auto"/>
        <w:jc w:val="center"/>
        <w:outlineLvl w:val="1"/>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9、项目实施人员配备表</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color w:val="auto"/>
                <w:sz w:val="24"/>
                <w:highlight w:val="none"/>
                <w:lang w:val="zh-CN"/>
              </w:rPr>
            </w:pPr>
          </w:p>
        </w:tc>
      </w:tr>
    </w:tbl>
    <w:p>
      <w:pPr>
        <w:spacing w:line="360" w:lineRule="auto"/>
        <w:jc w:val="center"/>
        <w:rPr>
          <w:rFonts w:hint="eastAsia" w:ascii="仿宋" w:hAnsi="仿宋" w:eastAsia="仿宋" w:cs="仿宋"/>
          <w:b/>
          <w:bCs/>
          <w:color w:val="auto"/>
          <w:sz w:val="24"/>
          <w:highlight w:val="none"/>
        </w:rPr>
      </w:pPr>
    </w:p>
    <w:p>
      <w:pPr>
        <w:spacing w:line="360" w:lineRule="auto"/>
        <w:ind w:firstLine="480" w:firstLineChars="200"/>
        <w:rPr>
          <w:rFonts w:hint="eastAsia" w:ascii="仿宋" w:hAnsi="仿宋" w:eastAsia="仿宋" w:cs="仿宋"/>
          <w:bCs/>
          <w:color w:val="auto"/>
          <w:sz w:val="24"/>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2、请附</w:t>
      </w:r>
      <w:r>
        <w:rPr>
          <w:rFonts w:hint="eastAsia" w:ascii="仿宋" w:hAnsi="仿宋" w:eastAsia="仿宋" w:cs="仿宋"/>
          <w:color w:val="auto"/>
          <w:sz w:val="24"/>
          <w:highlight w:val="none"/>
          <w:lang w:val="zh-CN"/>
        </w:rPr>
        <w:t>随表</w:t>
      </w:r>
      <w:r>
        <w:rPr>
          <w:rFonts w:hint="eastAsia" w:ascii="仿宋" w:hAnsi="仿宋" w:eastAsia="仿宋" w:cs="仿宋"/>
          <w:bCs/>
          <w:color w:val="auto"/>
          <w:sz w:val="24"/>
          <w:highlight w:val="none"/>
        </w:rPr>
        <w:t>相应证书、身份证复印件等（加盖公章）。</w:t>
      </w:r>
    </w:p>
    <w:p>
      <w:pPr>
        <w:spacing w:line="360" w:lineRule="auto"/>
        <w:ind w:left="765" w:leftChars="2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3、项目负责人</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eastAsia="zh-CN"/>
        </w:rPr>
        <w:t>投标人的</w:t>
      </w:r>
      <w:r>
        <w:rPr>
          <w:rFonts w:hint="eastAsia" w:ascii="仿宋" w:hAnsi="仿宋" w:eastAsia="仿宋" w:cs="仿宋"/>
          <w:color w:val="auto"/>
          <w:kern w:val="0"/>
          <w:sz w:val="24"/>
          <w:highlight w:val="none"/>
        </w:rPr>
        <w:t>社会保险</w:t>
      </w:r>
      <w:r>
        <w:rPr>
          <w:rFonts w:hint="eastAsia" w:ascii="仿宋" w:hAnsi="仿宋" w:eastAsia="仿宋" w:cs="仿宋"/>
          <w:color w:val="auto"/>
          <w:kern w:val="0"/>
          <w:sz w:val="24"/>
          <w:highlight w:val="none"/>
          <w:lang w:eastAsia="zh-CN"/>
        </w:rPr>
        <w:t>（最近三个月中任意一个月）</w:t>
      </w:r>
      <w:r>
        <w:rPr>
          <w:rFonts w:hint="eastAsia" w:ascii="仿宋" w:hAnsi="仿宋" w:eastAsia="仿宋" w:cs="仿宋"/>
          <w:color w:val="auto"/>
          <w:kern w:val="0"/>
          <w:sz w:val="24"/>
          <w:highlight w:val="none"/>
        </w:rPr>
        <w:t>的证明。</w:t>
      </w: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pStyle w:val="12"/>
        <w:rPr>
          <w:rFonts w:hint="eastAsia"/>
          <w:color w:val="auto"/>
          <w:highlight w:val="none"/>
        </w:rPr>
      </w:pPr>
    </w:p>
    <w:p>
      <w:pPr>
        <w:snapToGrid w:val="0"/>
        <w:spacing w:before="156" w:beforeLines="50" w:after="50"/>
        <w:rPr>
          <w:rFonts w:hint="eastAsia" w:ascii="仿宋" w:hAnsi="仿宋" w:eastAsia="仿宋" w:cs="仿宋"/>
          <w:b/>
          <w:color w:val="auto"/>
          <w:szCs w:val="28"/>
          <w:highlight w:val="none"/>
        </w:rPr>
      </w:pPr>
    </w:p>
    <w:p>
      <w:pPr>
        <w:snapToGrid w:val="0"/>
        <w:spacing w:before="156" w:beforeLines="50" w:after="50"/>
        <w:rPr>
          <w:rFonts w:hint="eastAsia" w:ascii="仿宋" w:hAnsi="仿宋" w:eastAsia="仿宋" w:cs="仿宋"/>
          <w:b/>
          <w:color w:val="auto"/>
          <w:szCs w:val="28"/>
          <w:highlight w:val="none"/>
        </w:rPr>
      </w:pP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（项目团队，除项目负责人以外的配备人员）</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45"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338"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48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690"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76"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034" w:type="pct"/>
            <w:noWrap/>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color w:val="auto"/>
                <w:szCs w:val="28"/>
                <w:highlight w:val="none"/>
              </w:rPr>
            </w:pPr>
          </w:p>
        </w:tc>
        <w:tc>
          <w:tcPr>
            <w:tcW w:w="645" w:type="pct"/>
            <w:noWrap/>
            <w:vAlign w:val="center"/>
          </w:tcPr>
          <w:p>
            <w:pPr>
              <w:spacing w:line="360" w:lineRule="auto"/>
              <w:jc w:val="center"/>
              <w:rPr>
                <w:rFonts w:hint="eastAsia" w:ascii="仿宋" w:hAnsi="仿宋" w:eastAsia="仿宋" w:cs="仿宋"/>
                <w:color w:val="auto"/>
                <w:szCs w:val="28"/>
                <w:highlight w:val="none"/>
              </w:rPr>
            </w:pPr>
          </w:p>
        </w:tc>
        <w:tc>
          <w:tcPr>
            <w:tcW w:w="338" w:type="pct"/>
            <w:noWrap/>
            <w:vAlign w:val="center"/>
          </w:tcPr>
          <w:p>
            <w:pPr>
              <w:spacing w:line="360" w:lineRule="auto"/>
              <w:jc w:val="center"/>
              <w:rPr>
                <w:rFonts w:hint="eastAsia" w:ascii="仿宋" w:hAnsi="仿宋" w:eastAsia="仿宋" w:cs="仿宋"/>
                <w:color w:val="auto"/>
                <w:szCs w:val="28"/>
                <w:highlight w:val="none"/>
              </w:rPr>
            </w:pPr>
          </w:p>
        </w:tc>
        <w:tc>
          <w:tcPr>
            <w:tcW w:w="48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690" w:type="pct"/>
            <w:noWrap/>
            <w:vAlign w:val="center"/>
          </w:tcPr>
          <w:p>
            <w:pPr>
              <w:spacing w:line="360" w:lineRule="auto"/>
              <w:jc w:val="center"/>
              <w:rPr>
                <w:rFonts w:hint="eastAsia" w:ascii="仿宋" w:hAnsi="仿宋" w:eastAsia="仿宋" w:cs="仿宋"/>
                <w:color w:val="auto"/>
                <w:szCs w:val="28"/>
                <w:highlight w:val="none"/>
              </w:rPr>
            </w:pPr>
          </w:p>
        </w:tc>
        <w:tc>
          <w:tcPr>
            <w:tcW w:w="776" w:type="pct"/>
            <w:noWrap/>
            <w:vAlign w:val="center"/>
          </w:tcPr>
          <w:p>
            <w:pPr>
              <w:spacing w:line="360" w:lineRule="auto"/>
              <w:jc w:val="center"/>
              <w:rPr>
                <w:rFonts w:hint="eastAsia" w:ascii="仿宋" w:hAnsi="仿宋" w:eastAsia="仿宋" w:cs="仿宋"/>
                <w:color w:val="auto"/>
                <w:szCs w:val="28"/>
                <w:highlight w:val="none"/>
              </w:rPr>
            </w:pPr>
          </w:p>
        </w:tc>
        <w:tc>
          <w:tcPr>
            <w:tcW w:w="1034" w:type="pct"/>
            <w:noWrap/>
            <w:vAlign w:val="center"/>
          </w:tcPr>
          <w:p>
            <w:pPr>
              <w:spacing w:line="360" w:lineRule="auto"/>
              <w:jc w:val="center"/>
              <w:rPr>
                <w:rFonts w:hint="eastAsia" w:ascii="仿宋" w:hAnsi="仿宋" w:eastAsia="仿宋" w:cs="仿宋"/>
                <w:color w:val="auto"/>
                <w:szCs w:val="28"/>
                <w:highlight w:val="none"/>
              </w:rPr>
            </w:pPr>
          </w:p>
        </w:tc>
      </w:tr>
    </w:tbl>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tabs>
          <w:tab w:val="left" w:pos="3654"/>
        </w:tabs>
        <w:rPr>
          <w:rFonts w:hint="eastAsia" w:ascii="仿宋" w:hAnsi="仿宋" w:eastAsia="仿宋" w:cs="仿宋"/>
          <w:color w:val="auto"/>
          <w:sz w:val="24"/>
          <w:highlight w:val="none"/>
        </w:rPr>
      </w:pPr>
    </w:p>
    <w:p>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rPr>
          <w:rFonts w:hint="eastAsia" w:ascii="仿宋" w:hAnsi="仿宋" w:eastAsia="仿宋" w:cs="仿宋"/>
          <w:bCs/>
          <w:color w:val="auto"/>
          <w:sz w:val="24"/>
          <w:highlight w:val="non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应根据需要准备足够数量的表格来填写；</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2、请附证书、身份证复印件（加盖公章）。</w:t>
      </w:r>
    </w:p>
    <w:p>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Cs/>
          <w:color w:val="auto"/>
          <w:sz w:val="24"/>
          <w:highlight w:val="none"/>
        </w:rPr>
        <w:t>3、项目团队人员</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eastAsia="zh-CN"/>
        </w:rPr>
        <w:t>投标人的</w:t>
      </w:r>
      <w:r>
        <w:rPr>
          <w:rFonts w:hint="eastAsia" w:ascii="仿宋" w:hAnsi="仿宋" w:eastAsia="仿宋" w:cs="仿宋"/>
          <w:color w:val="auto"/>
          <w:kern w:val="0"/>
          <w:sz w:val="24"/>
          <w:highlight w:val="none"/>
        </w:rPr>
        <w:t>社会保险</w:t>
      </w:r>
      <w:r>
        <w:rPr>
          <w:rFonts w:hint="eastAsia" w:ascii="仿宋" w:hAnsi="仿宋" w:eastAsia="仿宋" w:cs="仿宋"/>
          <w:color w:val="auto"/>
          <w:kern w:val="0"/>
          <w:sz w:val="24"/>
          <w:highlight w:val="none"/>
          <w:lang w:eastAsia="zh-CN"/>
        </w:rPr>
        <w:t>（最近三个月中任意一个月）</w:t>
      </w:r>
      <w:r>
        <w:rPr>
          <w:rFonts w:hint="eastAsia" w:ascii="仿宋" w:hAnsi="仿宋" w:eastAsia="仿宋" w:cs="仿宋"/>
          <w:color w:val="auto"/>
          <w:kern w:val="0"/>
          <w:sz w:val="24"/>
          <w:highlight w:val="none"/>
        </w:rPr>
        <w:t>的证明</w:t>
      </w:r>
      <w:r>
        <w:rPr>
          <w:rFonts w:hint="eastAsia" w:ascii="仿宋" w:hAnsi="仿宋" w:eastAsia="仿宋" w:cs="仿宋"/>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center"/>
        <w:outlineLvl w:val="1"/>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10、商务响应表</w:t>
      </w:r>
    </w:p>
    <w:p>
      <w:pPr>
        <w:pStyle w:val="2"/>
        <w:spacing w:line="460" w:lineRule="exact"/>
        <w:rPr>
          <w:rFonts w:ascii="仿宋" w:hAnsi="仿宋" w:eastAsia="仿宋"/>
          <w:color w:val="auto"/>
          <w:highlight w:val="none"/>
        </w:rPr>
      </w:pPr>
      <w:r>
        <w:rPr>
          <w:rFonts w:hint="eastAsia" w:ascii="仿宋" w:hAnsi="仿宋" w:eastAsia="仿宋"/>
          <w:color w:val="auto"/>
          <w:highlight w:val="none"/>
        </w:rPr>
        <w:t xml:space="preserve">投标人全称（加盖公章）： </w:t>
      </w:r>
    </w:p>
    <w:p>
      <w:pPr>
        <w:spacing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pPr>
        <w:pStyle w:val="43"/>
        <w:rPr>
          <w:rFonts w:ascii="仿宋" w:hAnsi="仿宋" w:eastAsia="仿宋" w:cs="宋体"/>
          <w:color w:val="auto"/>
          <w:kern w:val="0"/>
          <w:sz w:val="24"/>
          <w:highlight w:val="none"/>
        </w:rPr>
      </w:pPr>
    </w:p>
    <w:tbl>
      <w:tblPr>
        <w:tblStyle w:val="26"/>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项目</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服务期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.....（自拟）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bl>
    <w:p>
      <w:pPr>
        <w:pStyle w:val="43"/>
        <w:rPr>
          <w:rFonts w:ascii="仿宋" w:hAnsi="仿宋" w:eastAsia="仿宋" w:cs="宋体"/>
          <w:color w:val="auto"/>
          <w:kern w:val="0"/>
          <w:sz w:val="24"/>
          <w:highlight w:val="none"/>
        </w:rPr>
      </w:pPr>
    </w:p>
    <w:p>
      <w:pPr>
        <w:spacing w:line="46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法定代表人或其授权代理人</w:t>
      </w:r>
      <w:r>
        <w:rPr>
          <w:rFonts w:hint="eastAsia" w:ascii="仿宋" w:hAnsi="仿宋" w:eastAsia="仿宋" w:cs="仿宋"/>
          <w:color w:val="auto"/>
          <w:sz w:val="24"/>
          <w:highlight w:val="none"/>
        </w:rPr>
        <w:t>签名或盖章</w:t>
      </w:r>
      <w:r>
        <w:rPr>
          <w:rFonts w:hint="eastAsia" w:ascii="仿宋" w:hAnsi="仿宋" w:eastAsia="仿宋" w:cs="宋体"/>
          <w:color w:val="auto"/>
          <w:kern w:val="0"/>
          <w:sz w:val="24"/>
          <w:highlight w:val="none"/>
        </w:rPr>
        <w:t>：</w:t>
      </w:r>
    </w:p>
    <w:p>
      <w:pPr>
        <w:spacing w:line="460" w:lineRule="exact"/>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日期： 年 月 日</w:t>
      </w:r>
    </w:p>
    <w:p>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br w:type="page"/>
      </w:r>
    </w:p>
    <w:p>
      <w:pPr>
        <w:pStyle w:val="45"/>
        <w:ind w:firstLine="0" w:firstLineChars="0"/>
        <w:jc w:val="both"/>
        <w:rPr>
          <w:rFonts w:ascii="仿宋" w:hAnsi="仿宋" w:eastAsia="仿宋" w:cs="宋体"/>
          <w:color w:val="auto"/>
          <w:sz w:val="24"/>
          <w:highlight w:val="none"/>
        </w:rPr>
      </w:pPr>
    </w:p>
    <w:p>
      <w:pPr>
        <w:pStyle w:val="45"/>
        <w:ind w:firstLine="201"/>
        <w:rPr>
          <w:rFonts w:ascii="仿宋" w:hAnsi="仿宋" w:eastAsia="仿宋" w:cs="宋体"/>
          <w:color w:val="auto"/>
          <w:sz w:val="24"/>
          <w:highlight w:val="none"/>
        </w:rPr>
      </w:pPr>
    </w:p>
    <w:p>
      <w:pPr>
        <w:spacing w:line="360" w:lineRule="auto"/>
        <w:jc w:val="center"/>
        <w:outlineLvl w:val="1"/>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11、企业业绩</w:t>
      </w:r>
    </w:p>
    <w:p>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供应商全称（加盖公章）：</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330"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1632"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使用方</w:t>
            </w:r>
          </w:p>
        </w:tc>
        <w:tc>
          <w:tcPr>
            <w:tcW w:w="1632"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2235"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使用方联系人</w:t>
            </w:r>
          </w:p>
        </w:tc>
        <w:tc>
          <w:tcPr>
            <w:tcW w:w="1632"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color w:val="auto"/>
                <w:sz w:val="24"/>
                <w:highlight w:val="none"/>
              </w:rPr>
            </w:pPr>
          </w:p>
        </w:tc>
        <w:tc>
          <w:tcPr>
            <w:tcW w:w="1330"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c>
          <w:tcPr>
            <w:tcW w:w="2235" w:type="dxa"/>
            <w:vAlign w:val="center"/>
          </w:tcPr>
          <w:p>
            <w:pPr>
              <w:spacing w:line="360" w:lineRule="auto"/>
              <w:jc w:val="center"/>
              <w:rPr>
                <w:rFonts w:ascii="仿宋" w:hAnsi="仿宋" w:eastAsia="仿宋" w:cs="仿宋"/>
                <w:bCs/>
                <w:color w:val="auto"/>
                <w:sz w:val="24"/>
                <w:highlight w:val="none"/>
              </w:rPr>
            </w:pPr>
          </w:p>
        </w:tc>
        <w:tc>
          <w:tcPr>
            <w:tcW w:w="1632" w:type="dxa"/>
            <w:vAlign w:val="center"/>
          </w:tcPr>
          <w:p>
            <w:pPr>
              <w:spacing w:line="360" w:lineRule="auto"/>
              <w:jc w:val="center"/>
              <w:rPr>
                <w:rFonts w:ascii="仿宋" w:hAnsi="仿宋" w:eastAsia="仿宋" w:cs="仿宋"/>
                <w:bCs/>
                <w:color w:val="auto"/>
                <w:sz w:val="24"/>
                <w:highlight w:val="none"/>
              </w:rPr>
            </w:pPr>
          </w:p>
        </w:tc>
      </w:tr>
    </w:tbl>
    <w:p>
      <w:pPr>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此表仅提供了表格形式，供应商应根据需要准备足够数量的表格来填写。</w:t>
      </w:r>
    </w:p>
    <w:p>
      <w:pPr>
        <w:pStyle w:val="8"/>
        <w:numPr>
          <w:ilvl w:val="0"/>
          <w:numId w:val="0"/>
        </w:numPr>
        <w:ind w:leftChars="0"/>
        <w:rPr>
          <w:color w:val="auto"/>
          <w:highlight w:val="none"/>
        </w:rPr>
      </w:pPr>
    </w:p>
    <w:p>
      <w:pPr>
        <w:pStyle w:val="7"/>
        <w:spacing w:line="360" w:lineRule="auto"/>
        <w:ind w:firstLine="0"/>
        <w:jc w:val="center"/>
        <w:rPr>
          <w:rFonts w:ascii="仿宋" w:hAnsi="仿宋" w:eastAsia="仿宋" w:cs="仿宋"/>
          <w:b/>
          <w:bCs/>
          <w:color w:val="auto"/>
          <w:spacing w:val="24"/>
          <w:sz w:val="28"/>
          <w:szCs w:val="28"/>
          <w:highlight w:val="none"/>
        </w:rPr>
      </w:pPr>
    </w:p>
    <w:p>
      <w:pPr>
        <w:snapToGrid w:val="0"/>
        <w:spacing w:before="50" w:after="50"/>
        <w:jc w:val="center"/>
        <w:outlineLvl w:val="9"/>
        <w:rPr>
          <w:rFonts w:hint="eastAsia" w:ascii="仿宋" w:hAnsi="仿宋" w:eastAsia="仿宋" w:cs="宋体"/>
          <w:b/>
          <w:color w:val="auto"/>
          <w:sz w:val="28"/>
          <w:szCs w:val="28"/>
          <w:highlight w:val="none"/>
        </w:rPr>
      </w:pPr>
    </w:p>
    <w:p>
      <w:pPr>
        <w:spacing w:line="360" w:lineRule="auto"/>
        <w:jc w:val="center"/>
        <w:outlineLvl w:val="1"/>
        <w:rPr>
          <w:rFonts w:hint="eastAsia"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12、开标一览表</w:t>
      </w:r>
    </w:p>
    <w:p>
      <w:pPr>
        <w:pStyle w:val="7"/>
        <w:ind w:firstLine="643"/>
        <w:rPr>
          <w:rFonts w:ascii="仿宋" w:hAnsi="仿宋" w:eastAsia="仿宋" w:cs="宋体"/>
          <w:b/>
          <w:bCs/>
          <w:color w:val="auto"/>
          <w:sz w:val="32"/>
          <w:szCs w:val="32"/>
          <w:highlight w:val="none"/>
        </w:rPr>
      </w:pPr>
    </w:p>
    <w:p>
      <w:pPr>
        <w:pStyle w:val="7"/>
        <w:ind w:firstLine="643"/>
        <w:rPr>
          <w:rFonts w:ascii="仿宋" w:hAnsi="仿宋" w:eastAsia="仿宋" w:cs="宋体"/>
          <w:b/>
          <w:bCs/>
          <w:color w:val="auto"/>
          <w:sz w:val="32"/>
          <w:szCs w:val="32"/>
          <w:highlight w:val="none"/>
        </w:rPr>
      </w:pPr>
    </w:p>
    <w:p>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投标人全称（加盖公章）：                                      </w:t>
      </w:r>
    </w:p>
    <w:p>
      <w:pPr>
        <w:snapToGrid w:val="0"/>
        <w:spacing w:before="50" w:after="50" w:line="360" w:lineRule="auto"/>
        <w:jc w:val="left"/>
        <w:rPr>
          <w:rFonts w:hint="default" w:ascii="仿宋" w:hAnsi="仿宋" w:eastAsia="仿宋" w:cs="宋体"/>
          <w:color w:val="auto"/>
          <w:sz w:val="24"/>
          <w:highlight w:val="none"/>
          <w:u w:val="single"/>
          <w:lang w:val="en-US" w:eastAsia="zh-CN"/>
        </w:rPr>
      </w:pPr>
      <w:r>
        <w:rPr>
          <w:rFonts w:hint="eastAsia" w:ascii="仿宋" w:hAnsi="仿宋" w:eastAsia="仿宋" w:cs="宋体"/>
          <w:color w:val="auto"/>
          <w:sz w:val="24"/>
          <w:highlight w:val="none"/>
        </w:rPr>
        <w:t>项目</w:t>
      </w:r>
      <w:r>
        <w:rPr>
          <w:rFonts w:hint="eastAsia" w:ascii="仿宋" w:hAnsi="仿宋" w:eastAsia="仿宋" w:cs="宋体"/>
          <w:color w:val="auto"/>
          <w:sz w:val="24"/>
          <w:highlight w:val="none"/>
          <w:lang w:eastAsia="zh-CN"/>
        </w:rPr>
        <w:t>编号</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 xml:space="preserve">                                       </w:t>
      </w:r>
    </w:p>
    <w:tbl>
      <w:tblPr>
        <w:tblStyle w:val="26"/>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165" w:type="dxa"/>
            <w:noWrap/>
            <w:vAlign w:val="center"/>
          </w:tcPr>
          <w:p>
            <w:pPr>
              <w:spacing w:line="5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374" w:type="dxa"/>
            <w:noWrap/>
            <w:vAlign w:val="center"/>
          </w:tcPr>
          <w:p>
            <w:pPr>
              <w:spacing w:line="5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65" w:type="dxa"/>
            <w:tcBorders>
              <w:top w:val="single" w:color="auto" w:sz="4" w:space="0"/>
              <w:bottom w:val="single" w:color="auto" w:sz="4" w:space="0"/>
            </w:tcBorders>
            <w:noWrap/>
            <w:vAlign w:val="center"/>
          </w:tcPr>
          <w:p>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投标总报价（元）</w:t>
            </w:r>
          </w:p>
        </w:tc>
        <w:tc>
          <w:tcPr>
            <w:tcW w:w="5374" w:type="dxa"/>
            <w:noWrap/>
            <w:vAlign w:val="center"/>
          </w:tcPr>
          <w:p>
            <w:pPr>
              <w:pStyle w:val="17"/>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p>
          <w:p>
            <w:pPr>
              <w:pStyle w:val="17"/>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大写：</w:t>
            </w:r>
          </w:p>
        </w:tc>
      </w:tr>
    </w:tbl>
    <w:p>
      <w:pPr>
        <w:rPr>
          <w:rFonts w:ascii="仿宋" w:hAnsi="仿宋" w:eastAsia="仿宋" w:cs="宋体"/>
          <w:color w:val="auto"/>
          <w:sz w:val="24"/>
          <w:highlight w:val="none"/>
        </w:rPr>
      </w:pPr>
    </w:p>
    <w:p>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▲注：1、报价一经涂改，应在涂改处加盖单位公章或者由法定代表人或授权委托人签字或盖章，否则其</w:t>
      </w:r>
      <w:r>
        <w:rPr>
          <w:rFonts w:hint="eastAsia" w:ascii="仿宋" w:hAnsi="仿宋" w:eastAsia="仿宋" w:cs="仿宋"/>
          <w:b w:val="0"/>
          <w:bCs/>
          <w:color w:val="auto"/>
          <w:highlight w:val="none"/>
          <w:lang w:eastAsia="zh-CN"/>
        </w:rPr>
        <w:t>投标</w:t>
      </w:r>
      <w:r>
        <w:rPr>
          <w:rFonts w:hint="eastAsia" w:ascii="仿宋" w:hAnsi="仿宋" w:eastAsia="仿宋" w:cs="仿宋"/>
          <w:b w:val="0"/>
          <w:bCs/>
          <w:color w:val="auto"/>
          <w:highlight w:val="none"/>
        </w:rPr>
        <w:t>作无效标处理。</w:t>
      </w:r>
    </w:p>
    <w:p>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2、</w:t>
      </w:r>
      <w:r>
        <w:rPr>
          <w:rFonts w:hint="eastAsia" w:ascii="仿宋" w:hAnsi="仿宋" w:eastAsia="仿宋" w:cs="仿宋"/>
          <w:b w:val="0"/>
          <w:bCs/>
          <w:color w:val="auto"/>
          <w:highlight w:val="none"/>
        </w:rPr>
        <w:t>应包含</w:t>
      </w:r>
      <w:r>
        <w:rPr>
          <w:rFonts w:hint="eastAsia" w:ascii="仿宋" w:hAnsi="仿宋" w:eastAsia="仿宋" w:cs="仿宋"/>
          <w:b w:val="0"/>
          <w:bCs/>
          <w:color w:val="auto"/>
          <w:highlight w:val="none"/>
          <w:lang w:eastAsia="zh-CN"/>
        </w:rPr>
        <w:t>项目</w:t>
      </w:r>
      <w:r>
        <w:rPr>
          <w:rFonts w:hint="eastAsia" w:ascii="仿宋" w:hAnsi="仿宋" w:eastAsia="仿宋" w:cs="仿宋"/>
          <w:b w:val="0"/>
          <w:bCs/>
          <w:color w:val="auto"/>
          <w:highlight w:val="none"/>
        </w:rPr>
        <w:t>所发生的费用及供应商认为完成本</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文件规定内容所需发生的其它费用，凡未列入的，将被视为均已包含在</w:t>
      </w:r>
      <w:r>
        <w:rPr>
          <w:rFonts w:hint="eastAsia" w:ascii="仿宋" w:hAnsi="仿宋" w:eastAsia="仿宋" w:cs="仿宋"/>
          <w:b w:val="0"/>
          <w:bCs/>
          <w:color w:val="auto"/>
          <w:highlight w:val="none"/>
          <w:lang w:eastAsia="zh-CN"/>
        </w:rPr>
        <w:t>投标</w:t>
      </w:r>
      <w:r>
        <w:rPr>
          <w:rFonts w:hint="eastAsia" w:ascii="仿宋" w:hAnsi="仿宋" w:eastAsia="仿宋" w:cs="仿宋"/>
          <w:b w:val="0"/>
          <w:bCs/>
          <w:color w:val="auto"/>
          <w:highlight w:val="none"/>
        </w:rPr>
        <w:t>总报价中。只允许有一个报价，任何有选择的或有条件的报价将不予接受</w:t>
      </w:r>
      <w:r>
        <w:rPr>
          <w:rFonts w:hint="eastAsia" w:ascii="仿宋" w:hAnsi="仿宋" w:eastAsia="仿宋" w:cs="仿宋"/>
          <w:b w:val="0"/>
          <w:bCs/>
          <w:color w:val="auto"/>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3、</w:t>
      </w:r>
      <w:r>
        <w:rPr>
          <w:rFonts w:hint="eastAsia" w:ascii="仿宋" w:hAnsi="仿宋" w:eastAsia="仿宋" w:cs="仿宋"/>
          <w:b w:val="0"/>
          <w:bCs/>
          <w:color w:val="auto"/>
          <w:highlight w:val="none"/>
        </w:rPr>
        <w:t>不提供此表格的将视为没有实质性响应</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文件。</w:t>
      </w:r>
    </w:p>
    <w:p>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p>
    <w:p>
      <w:pPr>
        <w:spacing w:line="360" w:lineRule="auto"/>
        <w:ind w:firstLine="210" w:firstLineChars="10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法定代表人或其授权代理人签名或盖章：</w:t>
      </w:r>
    </w:p>
    <w:p>
      <w:pPr>
        <w:rPr>
          <w:rFonts w:ascii="仿宋" w:hAnsi="仿宋" w:eastAsia="仿宋" w:cs="宋体"/>
          <w:color w:val="auto"/>
          <w:sz w:val="24"/>
          <w:highlight w:val="none"/>
        </w:rPr>
      </w:pPr>
    </w:p>
    <w:p>
      <w:pPr>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仿宋"/>
          <w:color w:val="auto"/>
          <w:sz w:val="24"/>
          <w:highlight w:val="none"/>
        </w:rPr>
        <w:t xml:space="preserve">日期： </w:t>
      </w:r>
      <w:r>
        <w:rPr>
          <w:rFonts w:hint="eastAsia" w:ascii="仿宋" w:hAnsi="仿宋" w:eastAsia="仿宋" w:cs="宋体"/>
          <w:color w:val="auto"/>
          <w:sz w:val="24"/>
          <w:highlight w:val="none"/>
        </w:rPr>
        <w:t xml:space="preserve"> 年   月   日</w:t>
      </w:r>
    </w:p>
    <w:p>
      <w:pPr>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br w:type="page"/>
      </w:r>
    </w:p>
    <w:p>
      <w:pPr>
        <w:pStyle w:val="15"/>
        <w:snapToGrid w:val="0"/>
        <w:jc w:val="center"/>
        <w:outlineLvl w:val="1"/>
        <w:rPr>
          <w:rFonts w:hint="eastAsia"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13、</w:t>
      </w:r>
      <w:r>
        <w:rPr>
          <w:rFonts w:hint="eastAsia" w:ascii="仿宋" w:hAnsi="仿宋" w:eastAsia="仿宋"/>
          <w:b/>
          <w:color w:val="auto"/>
          <w:sz w:val="24"/>
          <w:szCs w:val="24"/>
          <w:highlight w:val="none"/>
        </w:rPr>
        <w:t>报价明细表</w:t>
      </w:r>
    </w:p>
    <w:p>
      <w:pPr>
        <w:pStyle w:val="15"/>
        <w:snapToGrid w:val="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项目名称：</w:t>
      </w:r>
    </w:p>
    <w:p>
      <w:pPr>
        <w:pStyle w:val="12"/>
        <w:rPr>
          <w:rFonts w:hint="eastAsia" w:ascii="仿宋" w:hAnsi="仿宋" w:eastAsia="仿宋" w:cs="宋体"/>
          <w:b/>
          <w:bCs/>
          <w:color w:val="auto"/>
          <w:sz w:val="32"/>
          <w:szCs w:val="32"/>
          <w:highlight w:val="none"/>
        </w:rPr>
      </w:pPr>
    </w:p>
    <w:tbl>
      <w:tblPr>
        <w:tblStyle w:val="26"/>
        <w:tblpPr w:leftFromText="180" w:rightFromText="180" w:vertAnchor="page" w:horzAnchor="margin" w:tblpXSpec="center" w:tblpY="2221"/>
        <w:tblW w:w="8330" w:type="dxa"/>
        <w:tblInd w:w="0" w:type="dxa"/>
        <w:tblLayout w:type="fixed"/>
        <w:tblCellMar>
          <w:top w:w="0" w:type="dxa"/>
          <w:left w:w="108" w:type="dxa"/>
          <w:bottom w:w="0" w:type="dxa"/>
          <w:right w:w="108" w:type="dxa"/>
        </w:tblCellMar>
      </w:tblPr>
      <w:tblGrid>
        <w:gridCol w:w="705"/>
        <w:gridCol w:w="1813"/>
        <w:gridCol w:w="425"/>
        <w:gridCol w:w="993"/>
        <w:gridCol w:w="850"/>
        <w:gridCol w:w="851"/>
        <w:gridCol w:w="1048"/>
        <w:gridCol w:w="1645"/>
      </w:tblGrid>
      <w:tr>
        <w:tblPrEx>
          <w:tblCellMar>
            <w:top w:w="0" w:type="dxa"/>
            <w:left w:w="108" w:type="dxa"/>
            <w:bottom w:w="0" w:type="dxa"/>
            <w:right w:w="108" w:type="dxa"/>
          </w:tblCellMar>
        </w:tblPrEx>
        <w:trPr>
          <w:trHeight w:val="406" w:hRule="atLeast"/>
        </w:trPr>
        <w:tc>
          <w:tcPr>
            <w:tcW w:w="705"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2238" w:type="dxa"/>
            <w:gridSpan w:val="2"/>
            <w:tcBorders>
              <w:top w:val="single" w:color="auto" w:sz="8" w:space="0"/>
              <w:left w:val="nil"/>
              <w:bottom w:val="single" w:color="auto" w:sz="8" w:space="0"/>
              <w:right w:val="single" w:color="000000"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w:t>
            </w:r>
          </w:p>
        </w:tc>
        <w:tc>
          <w:tcPr>
            <w:tcW w:w="993" w:type="dxa"/>
            <w:tcBorders>
              <w:top w:val="single" w:color="auto" w:sz="8" w:space="0"/>
              <w:left w:val="nil"/>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单位</w:t>
            </w:r>
          </w:p>
        </w:tc>
        <w:tc>
          <w:tcPr>
            <w:tcW w:w="850" w:type="dxa"/>
            <w:tcBorders>
              <w:top w:val="single" w:color="auto" w:sz="8" w:space="0"/>
              <w:left w:val="nil"/>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数量</w:t>
            </w:r>
          </w:p>
        </w:tc>
        <w:tc>
          <w:tcPr>
            <w:tcW w:w="851" w:type="dxa"/>
            <w:tcBorders>
              <w:top w:val="single" w:color="auto" w:sz="8" w:space="0"/>
              <w:left w:val="nil"/>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单价（元）</w:t>
            </w:r>
          </w:p>
        </w:tc>
        <w:tc>
          <w:tcPr>
            <w:tcW w:w="1048" w:type="dxa"/>
            <w:tcBorders>
              <w:top w:val="single" w:color="auto" w:sz="8" w:space="0"/>
              <w:left w:val="nil"/>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合价（元）</w:t>
            </w:r>
          </w:p>
        </w:tc>
        <w:tc>
          <w:tcPr>
            <w:tcW w:w="1645" w:type="dxa"/>
            <w:tcBorders>
              <w:top w:val="single" w:color="auto" w:sz="8" w:space="0"/>
              <w:left w:val="nil"/>
              <w:bottom w:val="single" w:color="auto" w:sz="8" w:space="0"/>
              <w:right w:val="single" w:color="auto" w:sz="8" w:space="0"/>
            </w:tcBorders>
            <w:shd w:val="clear" w:color="auto" w:fill="auto"/>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tblPrEx>
          <w:tblCellMar>
            <w:top w:w="0" w:type="dxa"/>
            <w:left w:w="108" w:type="dxa"/>
            <w:bottom w:w="0" w:type="dxa"/>
            <w:right w:w="108" w:type="dxa"/>
          </w:tblCellMar>
        </w:tblPrEx>
        <w:trPr>
          <w:trHeight w:val="406" w:hRule="atLeast"/>
        </w:trPr>
        <w:tc>
          <w:tcPr>
            <w:tcW w:w="70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238" w:type="dxa"/>
            <w:gridSpan w:val="2"/>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202</w:t>
            </w:r>
            <w:r>
              <w:rPr>
                <w:rFonts w:hint="eastAsia" w:ascii="仿宋" w:hAnsi="仿宋" w:eastAsia="仿宋" w:cs="仿宋"/>
                <w:color w:val="auto"/>
                <w:kern w:val="0"/>
                <w:sz w:val="20"/>
                <w:szCs w:val="20"/>
                <w:highlight w:val="none"/>
                <w:lang w:val="en-US" w:eastAsia="zh-CN"/>
              </w:rPr>
              <w:t>3</w:t>
            </w:r>
            <w:r>
              <w:rPr>
                <w:rFonts w:hint="eastAsia" w:ascii="仿宋" w:hAnsi="仿宋" w:eastAsia="仿宋" w:cs="仿宋"/>
                <w:color w:val="auto"/>
                <w:kern w:val="0"/>
                <w:sz w:val="20"/>
                <w:szCs w:val="20"/>
                <w:highlight w:val="none"/>
              </w:rPr>
              <w:t>年度白蚁普查</w:t>
            </w:r>
          </w:p>
        </w:tc>
        <w:tc>
          <w:tcPr>
            <w:tcW w:w="99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公里</w:t>
            </w:r>
          </w:p>
        </w:tc>
        <w:tc>
          <w:tcPr>
            <w:tcW w:w="85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305.5</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仿宋"/>
                <w:b/>
                <w:color w:val="auto"/>
                <w:kern w:val="0"/>
                <w:sz w:val="20"/>
                <w:szCs w:val="20"/>
                <w:highlight w:val="none"/>
              </w:rPr>
              <w:t>305.5公里堤防，35座水闸泵站管理区域，杨家庄防汛仓库的白蚁普查，工程量最终按实计量</w:t>
            </w:r>
            <w:r>
              <w:rPr>
                <w:rFonts w:hint="eastAsia" w:ascii="仿宋" w:hAnsi="仿宋" w:eastAsia="仿宋" w:cs="仿宋"/>
                <w:b/>
                <w:color w:val="auto"/>
                <w:kern w:val="0"/>
                <w:sz w:val="20"/>
                <w:szCs w:val="20"/>
                <w:highlight w:val="none"/>
                <w:lang w:eastAsia="zh-CN"/>
              </w:rPr>
              <w:t>，</w:t>
            </w:r>
            <w:r>
              <w:rPr>
                <w:rFonts w:hint="eastAsia" w:ascii="仿宋" w:hAnsi="仿宋" w:eastAsia="仿宋" w:cs="仿宋"/>
                <w:b/>
                <w:color w:val="auto"/>
                <w:kern w:val="0"/>
                <w:sz w:val="20"/>
                <w:szCs w:val="20"/>
                <w:highlight w:val="none"/>
              </w:rPr>
              <w:t>报价不得高于</w:t>
            </w:r>
            <w:r>
              <w:rPr>
                <w:rFonts w:hint="eastAsia" w:ascii="仿宋" w:hAnsi="仿宋" w:eastAsia="仿宋" w:cs="仿宋"/>
                <w:b/>
                <w:color w:val="auto"/>
                <w:kern w:val="0"/>
                <w:sz w:val="20"/>
                <w:szCs w:val="20"/>
                <w:highlight w:val="none"/>
                <w:lang w:val="en-US" w:eastAsia="zh-CN"/>
              </w:rPr>
              <w:t>183300</w:t>
            </w:r>
            <w:r>
              <w:rPr>
                <w:rFonts w:hint="eastAsia" w:ascii="仿宋" w:hAnsi="仿宋" w:eastAsia="仿宋" w:cs="仿宋"/>
                <w:b/>
                <w:color w:val="auto"/>
                <w:kern w:val="0"/>
                <w:sz w:val="20"/>
                <w:szCs w:val="20"/>
                <w:highlight w:val="none"/>
              </w:rPr>
              <w:t>元。</w:t>
            </w:r>
          </w:p>
        </w:tc>
      </w:tr>
      <w:tr>
        <w:tblPrEx>
          <w:tblCellMar>
            <w:top w:w="0" w:type="dxa"/>
            <w:left w:w="108" w:type="dxa"/>
            <w:bottom w:w="0" w:type="dxa"/>
            <w:right w:w="108" w:type="dxa"/>
          </w:tblCellMar>
        </w:tblPrEx>
        <w:trPr>
          <w:trHeight w:val="406" w:hRule="atLeast"/>
        </w:trPr>
        <w:tc>
          <w:tcPr>
            <w:tcW w:w="705"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238" w:type="dxa"/>
            <w:gridSpan w:val="2"/>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w:t>
            </w:r>
            <w:r>
              <w:rPr>
                <w:rFonts w:hint="eastAsia" w:ascii="仿宋" w:hAnsi="仿宋" w:eastAsia="仿宋" w:cs="仿宋"/>
                <w:color w:val="auto"/>
                <w:kern w:val="0"/>
                <w:sz w:val="20"/>
                <w:szCs w:val="20"/>
                <w:highlight w:val="none"/>
                <w:lang w:val="en-US" w:eastAsia="zh-CN"/>
              </w:rPr>
              <w:t>23</w:t>
            </w:r>
            <w:r>
              <w:rPr>
                <w:rFonts w:hint="eastAsia" w:ascii="仿宋" w:hAnsi="仿宋" w:eastAsia="仿宋" w:cs="仿宋"/>
                <w:color w:val="auto"/>
                <w:kern w:val="0"/>
                <w:sz w:val="20"/>
                <w:szCs w:val="20"/>
                <w:highlight w:val="none"/>
              </w:rPr>
              <w:t>年度白蚁灭治</w:t>
            </w:r>
          </w:p>
        </w:tc>
        <w:tc>
          <w:tcPr>
            <w:tcW w:w="99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平方米</w:t>
            </w:r>
          </w:p>
        </w:tc>
        <w:tc>
          <w:tcPr>
            <w:tcW w:w="85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70000</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仿宋"/>
                <w:b/>
                <w:color w:val="auto"/>
                <w:kern w:val="0"/>
                <w:sz w:val="20"/>
                <w:szCs w:val="20"/>
                <w:highlight w:val="none"/>
              </w:rPr>
              <w:t>按实计量</w:t>
            </w:r>
          </w:p>
        </w:tc>
      </w:tr>
      <w:tr>
        <w:tblPrEx>
          <w:tblCellMar>
            <w:top w:w="0" w:type="dxa"/>
            <w:left w:w="108" w:type="dxa"/>
            <w:bottom w:w="0" w:type="dxa"/>
            <w:right w:w="108" w:type="dxa"/>
          </w:tblCellMar>
        </w:tblPrEx>
        <w:trPr>
          <w:trHeight w:val="406" w:hRule="atLeast"/>
        </w:trPr>
        <w:tc>
          <w:tcPr>
            <w:tcW w:w="5637"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年度费用合计：</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b/>
                <w:color w:val="auto"/>
                <w:kern w:val="0"/>
                <w:sz w:val="20"/>
                <w:szCs w:val="20"/>
                <w:highlight w:val="none"/>
              </w:rPr>
            </w:pPr>
          </w:p>
        </w:tc>
      </w:tr>
      <w:tr>
        <w:tblPrEx>
          <w:tblCellMar>
            <w:top w:w="0" w:type="dxa"/>
            <w:left w:w="108" w:type="dxa"/>
            <w:bottom w:w="0" w:type="dxa"/>
            <w:right w:w="108" w:type="dxa"/>
          </w:tblCellMar>
        </w:tblPrEx>
        <w:trPr>
          <w:trHeight w:val="406" w:hRule="atLeast"/>
        </w:trPr>
        <w:tc>
          <w:tcPr>
            <w:tcW w:w="70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2238" w:type="dxa"/>
            <w:gridSpan w:val="2"/>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202</w:t>
            </w:r>
            <w:r>
              <w:rPr>
                <w:rFonts w:hint="eastAsia" w:ascii="仿宋" w:hAnsi="仿宋" w:eastAsia="仿宋" w:cs="仿宋"/>
                <w:color w:val="auto"/>
                <w:kern w:val="0"/>
                <w:sz w:val="20"/>
                <w:szCs w:val="20"/>
                <w:highlight w:val="none"/>
                <w:lang w:val="en-US" w:eastAsia="zh-CN"/>
              </w:rPr>
              <w:t>4</w:t>
            </w:r>
            <w:r>
              <w:rPr>
                <w:rFonts w:hint="eastAsia" w:ascii="仿宋" w:hAnsi="仿宋" w:eastAsia="仿宋" w:cs="仿宋"/>
                <w:color w:val="auto"/>
                <w:kern w:val="0"/>
                <w:sz w:val="20"/>
                <w:szCs w:val="20"/>
                <w:highlight w:val="none"/>
              </w:rPr>
              <w:t>年度白蚁普查</w:t>
            </w:r>
          </w:p>
        </w:tc>
        <w:tc>
          <w:tcPr>
            <w:tcW w:w="99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公里</w:t>
            </w:r>
          </w:p>
        </w:tc>
        <w:tc>
          <w:tcPr>
            <w:tcW w:w="85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305.5</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仿宋"/>
                <w:b/>
                <w:color w:val="auto"/>
                <w:kern w:val="0"/>
                <w:sz w:val="20"/>
                <w:szCs w:val="20"/>
                <w:highlight w:val="none"/>
              </w:rPr>
              <w:t>305.5公里堤防，35座水闸泵站管理区域，杨家庄防汛仓库的白蚁普查，按实计量，报价不得高于183300元。</w:t>
            </w:r>
          </w:p>
        </w:tc>
      </w:tr>
      <w:tr>
        <w:tblPrEx>
          <w:tblCellMar>
            <w:top w:w="0" w:type="dxa"/>
            <w:left w:w="108" w:type="dxa"/>
            <w:bottom w:w="0" w:type="dxa"/>
            <w:right w:w="108" w:type="dxa"/>
          </w:tblCellMar>
        </w:tblPrEx>
        <w:trPr>
          <w:trHeight w:val="406" w:hRule="atLeast"/>
        </w:trPr>
        <w:tc>
          <w:tcPr>
            <w:tcW w:w="705"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2238" w:type="dxa"/>
            <w:gridSpan w:val="2"/>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202</w:t>
            </w:r>
            <w:r>
              <w:rPr>
                <w:rFonts w:hint="eastAsia" w:ascii="仿宋" w:hAnsi="仿宋" w:eastAsia="仿宋" w:cs="仿宋"/>
                <w:color w:val="auto"/>
                <w:kern w:val="0"/>
                <w:sz w:val="20"/>
                <w:szCs w:val="20"/>
                <w:highlight w:val="none"/>
                <w:lang w:val="en-US" w:eastAsia="zh-CN"/>
              </w:rPr>
              <w:t>4</w:t>
            </w:r>
            <w:r>
              <w:rPr>
                <w:rFonts w:hint="eastAsia" w:ascii="仿宋" w:hAnsi="仿宋" w:eastAsia="仿宋" w:cs="仿宋"/>
                <w:color w:val="auto"/>
                <w:kern w:val="0"/>
                <w:sz w:val="20"/>
                <w:szCs w:val="20"/>
                <w:highlight w:val="none"/>
              </w:rPr>
              <w:t>年度白蚁灭治</w:t>
            </w:r>
          </w:p>
        </w:tc>
        <w:tc>
          <w:tcPr>
            <w:tcW w:w="99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平方米</w:t>
            </w:r>
          </w:p>
        </w:tc>
        <w:tc>
          <w:tcPr>
            <w:tcW w:w="85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70000</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仿宋"/>
                <w:b/>
                <w:color w:val="auto"/>
                <w:kern w:val="0"/>
                <w:sz w:val="20"/>
                <w:szCs w:val="20"/>
                <w:highlight w:val="none"/>
              </w:rPr>
              <w:t>按实计量</w:t>
            </w:r>
          </w:p>
        </w:tc>
      </w:tr>
      <w:tr>
        <w:tblPrEx>
          <w:tblCellMar>
            <w:top w:w="0" w:type="dxa"/>
            <w:left w:w="108" w:type="dxa"/>
            <w:bottom w:w="0" w:type="dxa"/>
            <w:right w:w="108" w:type="dxa"/>
          </w:tblCellMar>
        </w:tblPrEx>
        <w:trPr>
          <w:trHeight w:val="406" w:hRule="atLeast"/>
        </w:trPr>
        <w:tc>
          <w:tcPr>
            <w:tcW w:w="5637"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年度费用合计：</w:t>
            </w:r>
          </w:p>
        </w:tc>
        <w:tc>
          <w:tcPr>
            <w:tcW w:w="104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p>
        </w:tc>
        <w:tc>
          <w:tcPr>
            <w:tcW w:w="164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b/>
                <w:color w:val="auto"/>
                <w:kern w:val="0"/>
                <w:sz w:val="20"/>
                <w:szCs w:val="20"/>
                <w:highlight w:val="none"/>
              </w:rPr>
            </w:pPr>
          </w:p>
        </w:tc>
      </w:tr>
      <w:tr>
        <w:tblPrEx>
          <w:tblCellMar>
            <w:top w:w="0" w:type="dxa"/>
            <w:left w:w="108" w:type="dxa"/>
            <w:bottom w:w="0" w:type="dxa"/>
            <w:right w:w="108" w:type="dxa"/>
          </w:tblCellMar>
        </w:tblPrEx>
        <w:trPr>
          <w:trHeight w:val="652" w:hRule="atLeast"/>
        </w:trPr>
        <w:tc>
          <w:tcPr>
            <w:tcW w:w="2518" w:type="dxa"/>
            <w:gridSpan w:val="2"/>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总报价（元）</w:t>
            </w:r>
          </w:p>
        </w:tc>
        <w:tc>
          <w:tcPr>
            <w:tcW w:w="5812" w:type="dxa"/>
            <w:gridSpan w:val="6"/>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小写：</w:t>
            </w:r>
          </w:p>
        </w:tc>
      </w:tr>
      <w:tr>
        <w:tblPrEx>
          <w:tblCellMar>
            <w:top w:w="0" w:type="dxa"/>
            <w:left w:w="108" w:type="dxa"/>
            <w:bottom w:w="0" w:type="dxa"/>
            <w:right w:w="108" w:type="dxa"/>
          </w:tblCellMar>
        </w:tblPrEx>
        <w:trPr>
          <w:trHeight w:val="564" w:hRule="atLeast"/>
        </w:trPr>
        <w:tc>
          <w:tcPr>
            <w:tcW w:w="251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color w:val="auto"/>
                <w:kern w:val="0"/>
                <w:sz w:val="24"/>
                <w:highlight w:val="none"/>
              </w:rPr>
            </w:pPr>
          </w:p>
        </w:tc>
        <w:tc>
          <w:tcPr>
            <w:tcW w:w="5812" w:type="dxa"/>
            <w:gridSpan w:val="6"/>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大写：</w:t>
            </w:r>
          </w:p>
        </w:tc>
      </w:tr>
    </w:tbl>
    <w:p>
      <w:pPr>
        <w:pStyle w:val="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注：此表格上的总报价须与《开标一览表》上的投标总报价一致。</w:t>
      </w:r>
    </w:p>
    <w:p>
      <w:pPr>
        <w:pStyle w:val="15"/>
        <w:rPr>
          <w:rFonts w:ascii="仿宋" w:hAnsi="仿宋" w:eastAsia="仿宋" w:cs="仿宋"/>
          <w:color w:val="auto"/>
          <w:sz w:val="24"/>
          <w:szCs w:val="24"/>
          <w:highlight w:val="none"/>
        </w:rPr>
      </w:pPr>
    </w:p>
    <w:p>
      <w:pPr>
        <w:spacing w:line="360" w:lineRule="auto"/>
        <w:ind w:firstLine="210" w:firstLineChars="100"/>
        <w:rPr>
          <w:rFonts w:hint="eastAsia" w:ascii="仿宋" w:hAnsi="仿宋" w:eastAsia="仿宋" w:cs="仿宋"/>
          <w:b w:val="0"/>
          <w:bCs/>
          <w:color w:val="auto"/>
          <w:kern w:val="2"/>
          <w:sz w:val="21"/>
          <w:szCs w:val="21"/>
          <w:highlight w:val="none"/>
          <w:lang w:val="en-US" w:eastAsia="zh-CN" w:bidi="ar-SA"/>
        </w:rPr>
      </w:pPr>
    </w:p>
    <w:p>
      <w:pPr>
        <w:pStyle w:val="4"/>
        <w:rPr>
          <w:rFonts w:hint="eastAsia" w:ascii="仿宋" w:hAnsi="仿宋" w:eastAsia="仿宋" w:cs="仿宋"/>
          <w:b w:val="0"/>
          <w:bCs/>
          <w:color w:val="auto"/>
          <w:kern w:val="2"/>
          <w:sz w:val="21"/>
          <w:szCs w:val="21"/>
          <w:highlight w:val="none"/>
          <w:lang w:val="en-US" w:eastAsia="zh-CN" w:bidi="ar-SA"/>
        </w:rPr>
      </w:pPr>
    </w:p>
    <w:p>
      <w:pPr>
        <w:rPr>
          <w:rFonts w:hint="eastAsia"/>
          <w:color w:val="auto"/>
          <w:highlight w:val="none"/>
          <w:lang w:val="en-US" w:eastAsia="zh-CN"/>
        </w:rPr>
      </w:pPr>
    </w:p>
    <w:p>
      <w:pPr>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法定代表人或其授权代理人签名或盖章：</w:t>
      </w:r>
    </w:p>
    <w:p>
      <w:pPr>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日期：   年   月   日</w:t>
      </w:r>
    </w:p>
    <w:p>
      <w:pPr>
        <w:pStyle w:val="4"/>
        <w:rPr>
          <w:rFonts w:hint="eastAsia"/>
          <w:color w:val="auto"/>
          <w:highlight w:val="none"/>
        </w:rPr>
      </w:pPr>
    </w:p>
    <w:p>
      <w:pPr>
        <w:pStyle w:val="4"/>
        <w:rPr>
          <w:rFonts w:hint="eastAsia" w:eastAsia="仿宋"/>
          <w:color w:val="auto"/>
          <w:highlight w:val="none"/>
          <w:lang w:eastAsia="zh-CN"/>
        </w:rPr>
      </w:pPr>
    </w:p>
    <w:p>
      <w:pPr>
        <w:pStyle w:val="12"/>
        <w:rPr>
          <w:color w:val="auto"/>
          <w:highlight w:val="none"/>
        </w:rPr>
      </w:pPr>
    </w:p>
    <w:p>
      <w:pPr>
        <w:spacing w:line="360" w:lineRule="auto"/>
        <w:jc w:val="center"/>
        <w:outlineLvl w:val="1"/>
        <w:rPr>
          <w:rFonts w:hint="eastAsia" w:ascii="仿宋" w:hAnsi="仿宋" w:eastAsia="仿宋" w:cs="宋体"/>
          <w:b/>
          <w:bCs/>
          <w:color w:val="auto"/>
          <w:sz w:val="28"/>
          <w:szCs w:val="28"/>
          <w:highlight w:val="none"/>
          <w:lang w:val="en-US" w:eastAsia="zh-CN"/>
        </w:rPr>
      </w:pPr>
    </w:p>
    <w:p>
      <w:pPr>
        <w:pStyle w:val="4"/>
        <w:rPr>
          <w:rFonts w:hint="eastAsia"/>
          <w:color w:val="auto"/>
          <w:highlight w:val="none"/>
          <w:lang w:val="en-US" w:eastAsia="zh-CN"/>
        </w:rPr>
      </w:pPr>
    </w:p>
    <w:p>
      <w:pPr>
        <w:spacing w:line="360" w:lineRule="auto"/>
        <w:jc w:val="center"/>
        <w:outlineLvl w:val="1"/>
        <w:rPr>
          <w:rFonts w:hint="eastAsia" w:ascii="仿宋" w:hAnsi="仿宋" w:eastAsia="仿宋" w:cs="宋体"/>
          <w:b/>
          <w:bCs/>
          <w:color w:val="auto"/>
          <w:sz w:val="28"/>
          <w:szCs w:val="28"/>
          <w:highlight w:val="none"/>
          <w:lang w:val="en-US" w:eastAsia="zh-CN"/>
        </w:rPr>
      </w:pPr>
    </w:p>
    <w:p>
      <w:pPr>
        <w:spacing w:line="360" w:lineRule="auto"/>
        <w:jc w:val="center"/>
        <w:outlineLvl w:val="1"/>
        <w:rPr>
          <w:rFonts w:hint="eastAsia" w:ascii="仿宋" w:hAnsi="仿宋" w:eastAsia="仿宋" w:cs="宋体"/>
          <w:b/>
          <w:bCs/>
          <w:color w:val="auto"/>
          <w:sz w:val="28"/>
          <w:szCs w:val="28"/>
          <w:highlight w:val="none"/>
          <w:lang w:val="en-US" w:eastAsia="zh-CN"/>
        </w:rPr>
      </w:pPr>
    </w:p>
    <w:p>
      <w:pPr>
        <w:spacing w:line="360" w:lineRule="auto"/>
        <w:jc w:val="center"/>
        <w:outlineLvl w:val="1"/>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val="en-US" w:eastAsia="zh-CN"/>
        </w:rPr>
        <w:t>14</w:t>
      </w:r>
      <w:r>
        <w:rPr>
          <w:rFonts w:hint="eastAsia" w:ascii="仿宋" w:hAnsi="仿宋" w:eastAsia="仿宋" w:cs="宋体"/>
          <w:b/>
          <w:bCs/>
          <w:color w:val="auto"/>
          <w:sz w:val="28"/>
          <w:szCs w:val="28"/>
          <w:highlight w:val="none"/>
        </w:rPr>
        <w:t>、招标代理服务费承诺函</w:t>
      </w: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湖州市仁皇工程咨询有限公司：</w:t>
      </w:r>
    </w:p>
    <w:p>
      <w:pPr>
        <w:snapToGrid w:val="0"/>
        <w:spacing w:before="120"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根据招标文件的规定，一旦我公司中标，我公司同意按招标文件规定金额向贵公司交纳中标标项的招标代理服务费，在收到中标通知书后的当天一次性结清。</w:t>
      </w:r>
    </w:p>
    <w:p>
      <w:pPr>
        <w:snapToGrid w:val="0"/>
        <w:spacing w:before="120"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本承诺函自开标之日起至本次采购期满有效。</w:t>
      </w:r>
    </w:p>
    <w:p>
      <w:pPr>
        <w:snapToGrid w:val="0"/>
        <w:spacing w:before="120" w:beforeLines="50" w:after="50" w:line="460" w:lineRule="exact"/>
        <w:ind w:firstLine="480" w:firstLineChars="200"/>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法定代表人或授权代理人签字：</w:t>
      </w: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pPr>
        <w:snapToGrid w:val="0"/>
        <w:spacing w:before="120" w:beforeLines="50" w:after="50" w:line="460" w:lineRule="exact"/>
        <w:jc w:val="left"/>
        <w:rPr>
          <w:rFonts w:ascii="仿宋" w:hAnsi="仿宋" w:eastAsia="仿宋" w:cs="宋体"/>
          <w:color w:val="auto"/>
          <w:sz w:val="24"/>
          <w:highlight w:val="none"/>
        </w:rPr>
      </w:pPr>
    </w:p>
    <w:p>
      <w:pPr>
        <w:snapToGrid w:val="0"/>
        <w:spacing w:before="120" w:beforeLines="50" w:after="50" w:line="460" w:lineRule="exact"/>
        <w:jc w:val="left"/>
        <w:rPr>
          <w:rFonts w:ascii="仿宋" w:hAnsi="仿宋" w:eastAsia="仿宋" w:cs="宋体"/>
          <w:color w:val="auto"/>
          <w:sz w:val="24"/>
          <w:highlight w:val="none"/>
        </w:rPr>
      </w:pPr>
    </w:p>
    <w:p>
      <w:pPr>
        <w:spacing w:line="46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账户名称：湖州市仁皇工程咨询有限公司</w:t>
      </w:r>
    </w:p>
    <w:p>
      <w:pPr>
        <w:spacing w:line="46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开户银行：湖州吴兴农村商业银行股份有限公司爱山支行</w:t>
      </w:r>
    </w:p>
    <w:p>
      <w:pPr>
        <w:spacing w:line="46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银行帐号：201000224835118</w:t>
      </w:r>
    </w:p>
    <w:p>
      <w:pPr>
        <w:spacing w:line="460" w:lineRule="exact"/>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lang w:val="zh-CN"/>
        </w:rPr>
        <w:t>（本项目中标通知书及代理服务费发票事宜请联系</w:t>
      </w:r>
      <w:r>
        <w:rPr>
          <w:rFonts w:hint="eastAsia" w:ascii="仿宋" w:hAnsi="仿宋" w:eastAsia="仿宋" w:cs="宋体"/>
          <w:color w:val="auto"/>
          <w:sz w:val="24"/>
          <w:highlight w:val="none"/>
          <w:lang w:val="en-US" w:eastAsia="zh-CN"/>
        </w:rPr>
        <w:t>0572-2619002</w:t>
      </w:r>
      <w:r>
        <w:rPr>
          <w:rFonts w:hint="eastAsia" w:ascii="仿宋" w:hAnsi="仿宋" w:eastAsia="仿宋" w:cs="宋体"/>
          <w:color w:val="auto"/>
          <w:sz w:val="24"/>
          <w:highlight w:val="none"/>
          <w:lang w:val="zh-CN"/>
        </w:rPr>
        <w:t>）</w:t>
      </w:r>
    </w:p>
    <w:p>
      <w:pPr>
        <w:pStyle w:val="7"/>
        <w:ind w:firstLine="0" w:firstLineChars="0"/>
        <w:rPr>
          <w:rFonts w:ascii="仿宋" w:hAnsi="仿宋" w:eastAsia="仿宋" w:cs="仿宋"/>
          <w:b/>
          <w:bCs/>
          <w:color w:val="auto"/>
          <w:sz w:val="28"/>
          <w:szCs w:val="28"/>
          <w:highlight w:val="none"/>
        </w:rPr>
      </w:pPr>
    </w:p>
    <w:sectPr>
      <w:headerReference r:id="rId8" w:type="default"/>
      <w:footerReference r:id="rId9" w:type="default"/>
      <w:pgSz w:w="11907" w:h="16840"/>
      <w:pgMar w:top="1418" w:right="1701" w:bottom="1134" w:left="1701" w:header="851" w:footer="618"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v:shape>
          </w:pict>
        </mc:Fallback>
      </mc:AlternateContent>
    </w:r>
  </w:p>
  <w:p>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cs="仿宋"/>
        <w:sz w:val="24"/>
      </w:rPr>
    </w:pPr>
    <w:r>
      <w:rPr>
        <w:rFonts w:hint="eastAsia" w:ascii="仿宋" w:hAnsi="仿宋" w:eastAsia="仿宋"/>
        <w:color w:val="auto"/>
        <w:sz w:val="24"/>
        <w:u w:val="none"/>
        <w:lang w:eastAsia="zh-CN"/>
      </w:rPr>
      <w:t>2023-2024年度白蚁普查及灭治服务项目</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ascii="仿宋" w:hAnsi="仿宋" w:eastAsia="仿宋" w:cs="仿宋"/>
        <w:sz w:val="24"/>
        <w:szCs w:val="24"/>
      </w:rPr>
    </w:pPr>
    <w:r>
      <w:rPr>
        <w:rFonts w:hint="eastAsia" w:ascii="仿宋" w:hAnsi="仿宋" w:eastAsia="仿宋"/>
        <w:color w:val="auto"/>
        <w:sz w:val="24"/>
        <w:u w:val="none"/>
        <w:lang w:eastAsia="zh-CN"/>
      </w:rPr>
      <w:t>2023-2024年度白蚁普查及灭治服务项目</w:t>
    </w:r>
    <w:r>
      <w:rPr>
        <w:rFonts w:hint="eastAsia" w:ascii="仿宋" w:hAnsi="仿宋" w:eastAsia="仿宋" w:cs="仿宋"/>
        <w:sz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0677B"/>
    <w:multiLevelType w:val="singleLevel"/>
    <w:tmpl w:val="97B0677B"/>
    <w:lvl w:ilvl="0" w:tentative="0">
      <w:start w:val="1"/>
      <w:numFmt w:val="decimal"/>
      <w:suff w:val="nothing"/>
      <w:lvlText w:val="%1、"/>
      <w:lvlJc w:val="left"/>
    </w:lvl>
  </w:abstractNum>
  <w:abstractNum w:abstractNumId="1">
    <w:nsid w:val="98B77CC4"/>
    <w:multiLevelType w:val="singleLevel"/>
    <w:tmpl w:val="98B77CC4"/>
    <w:lvl w:ilvl="0" w:tentative="0">
      <w:start w:val="1"/>
      <w:numFmt w:val="decimal"/>
      <w:suff w:val="nothing"/>
      <w:lvlText w:val="%1、"/>
      <w:lvlJc w:val="left"/>
    </w:lvl>
  </w:abstractNum>
  <w:abstractNum w:abstractNumId="2">
    <w:nsid w:val="E33ADFF3"/>
    <w:multiLevelType w:val="singleLevel"/>
    <w:tmpl w:val="E33ADFF3"/>
    <w:lvl w:ilvl="0" w:tentative="0">
      <w:start w:val="2"/>
      <w:numFmt w:val="chineseCounting"/>
      <w:suff w:val="nothing"/>
      <w:lvlText w:val="%1、"/>
      <w:lvlJc w:val="left"/>
      <w:rPr>
        <w:rFonts w:hint="eastAsia"/>
      </w:rPr>
    </w:lvl>
  </w:abstractNum>
  <w:abstractNum w:abstractNumId="3">
    <w:nsid w:val="0432147A"/>
    <w:multiLevelType w:val="singleLevel"/>
    <w:tmpl w:val="0432147A"/>
    <w:lvl w:ilvl="0" w:tentative="0">
      <w:start w:val="1"/>
      <w:numFmt w:val="decimal"/>
      <w:lvlText w:val="%1."/>
      <w:lvlJc w:val="left"/>
      <w:pPr>
        <w:tabs>
          <w:tab w:val="left" w:pos="312"/>
        </w:tabs>
      </w:pPr>
    </w:lvl>
  </w:abstractNum>
  <w:abstractNum w:abstractNumId="4">
    <w:nsid w:val="090CCBCA"/>
    <w:multiLevelType w:val="singleLevel"/>
    <w:tmpl w:val="090CCBCA"/>
    <w:lvl w:ilvl="0" w:tentative="0">
      <w:start w:val="1"/>
      <w:numFmt w:val="decimal"/>
      <w:suff w:val="nothing"/>
      <w:lvlText w:val="（%1）"/>
      <w:lvlJc w:val="left"/>
    </w:lvl>
  </w:abstractNum>
  <w:abstractNum w:abstractNumId="5">
    <w:nsid w:val="2A49A594"/>
    <w:multiLevelType w:val="singleLevel"/>
    <w:tmpl w:val="2A49A594"/>
    <w:lvl w:ilvl="0" w:tentative="0">
      <w:start w:val="2"/>
      <w:numFmt w:val="chineseCounting"/>
      <w:suff w:val="space"/>
      <w:lvlText w:val="第%1章"/>
      <w:lvlJc w:val="left"/>
      <w:rPr>
        <w:rFonts w:hint="eastAsia"/>
      </w:rPr>
    </w:lvl>
  </w:abstractNum>
  <w:abstractNum w:abstractNumId="6">
    <w:nsid w:val="3C4A6DDD"/>
    <w:multiLevelType w:val="singleLevel"/>
    <w:tmpl w:val="3C4A6DDD"/>
    <w:lvl w:ilvl="0" w:tentative="0">
      <w:start w:val="6"/>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xYjlhNjhlNWNlYjE4YjcyNDZmN2JlODUzZWYyNjkifQ=="/>
  </w:docVars>
  <w:rsids>
    <w:rsidRoot w:val="00172A27"/>
    <w:rsid w:val="00000229"/>
    <w:rsid w:val="00000FBF"/>
    <w:rsid w:val="00004951"/>
    <w:rsid w:val="000659FA"/>
    <w:rsid w:val="000735CC"/>
    <w:rsid w:val="000E7AD4"/>
    <w:rsid w:val="00122F5B"/>
    <w:rsid w:val="0014313C"/>
    <w:rsid w:val="00192A87"/>
    <w:rsid w:val="001D7C47"/>
    <w:rsid w:val="00222A55"/>
    <w:rsid w:val="002272C6"/>
    <w:rsid w:val="00235646"/>
    <w:rsid w:val="00235ACA"/>
    <w:rsid w:val="002562B8"/>
    <w:rsid w:val="0028456A"/>
    <w:rsid w:val="002A461A"/>
    <w:rsid w:val="002B0FCC"/>
    <w:rsid w:val="0033714F"/>
    <w:rsid w:val="00373D75"/>
    <w:rsid w:val="00382097"/>
    <w:rsid w:val="003A14F7"/>
    <w:rsid w:val="003B3915"/>
    <w:rsid w:val="003B6060"/>
    <w:rsid w:val="004220AD"/>
    <w:rsid w:val="00464E5E"/>
    <w:rsid w:val="004765CC"/>
    <w:rsid w:val="00480D7D"/>
    <w:rsid w:val="004A537F"/>
    <w:rsid w:val="004C6DEA"/>
    <w:rsid w:val="004D23F5"/>
    <w:rsid w:val="0052307F"/>
    <w:rsid w:val="00564429"/>
    <w:rsid w:val="005913F4"/>
    <w:rsid w:val="005C324A"/>
    <w:rsid w:val="005C730F"/>
    <w:rsid w:val="005E7209"/>
    <w:rsid w:val="006449EB"/>
    <w:rsid w:val="006841F3"/>
    <w:rsid w:val="006A0129"/>
    <w:rsid w:val="006D0F8B"/>
    <w:rsid w:val="006F5847"/>
    <w:rsid w:val="00761E37"/>
    <w:rsid w:val="00767EF2"/>
    <w:rsid w:val="00783CFC"/>
    <w:rsid w:val="007C5E75"/>
    <w:rsid w:val="007E7518"/>
    <w:rsid w:val="00810B79"/>
    <w:rsid w:val="00836FBB"/>
    <w:rsid w:val="0087157E"/>
    <w:rsid w:val="00893AFE"/>
    <w:rsid w:val="008947D3"/>
    <w:rsid w:val="0089707C"/>
    <w:rsid w:val="008B4052"/>
    <w:rsid w:val="008C73B1"/>
    <w:rsid w:val="00964527"/>
    <w:rsid w:val="009E6A1F"/>
    <w:rsid w:val="009F2540"/>
    <w:rsid w:val="00A26E3E"/>
    <w:rsid w:val="00A37CDC"/>
    <w:rsid w:val="00A425E2"/>
    <w:rsid w:val="00A65CD7"/>
    <w:rsid w:val="00A81B50"/>
    <w:rsid w:val="00AC79C4"/>
    <w:rsid w:val="00B752DF"/>
    <w:rsid w:val="00B9777D"/>
    <w:rsid w:val="00BB5B85"/>
    <w:rsid w:val="00BC6C4E"/>
    <w:rsid w:val="00C52D39"/>
    <w:rsid w:val="00C933D8"/>
    <w:rsid w:val="00C961C2"/>
    <w:rsid w:val="00CC1CDC"/>
    <w:rsid w:val="00CF5910"/>
    <w:rsid w:val="00D04484"/>
    <w:rsid w:val="00D526BB"/>
    <w:rsid w:val="00D57002"/>
    <w:rsid w:val="00DE06BA"/>
    <w:rsid w:val="00E21290"/>
    <w:rsid w:val="00E22F09"/>
    <w:rsid w:val="00E4207A"/>
    <w:rsid w:val="00E427D5"/>
    <w:rsid w:val="00E91D7E"/>
    <w:rsid w:val="00E93BAE"/>
    <w:rsid w:val="00EA1137"/>
    <w:rsid w:val="00ED0B96"/>
    <w:rsid w:val="00EF38C9"/>
    <w:rsid w:val="00F4713C"/>
    <w:rsid w:val="00F72A54"/>
    <w:rsid w:val="00F80398"/>
    <w:rsid w:val="00F83CA1"/>
    <w:rsid w:val="00FF7C3A"/>
    <w:rsid w:val="012F306B"/>
    <w:rsid w:val="01D32647"/>
    <w:rsid w:val="031C299E"/>
    <w:rsid w:val="03F83C47"/>
    <w:rsid w:val="044103E0"/>
    <w:rsid w:val="05AB5879"/>
    <w:rsid w:val="05E064FC"/>
    <w:rsid w:val="05ED6429"/>
    <w:rsid w:val="063730AA"/>
    <w:rsid w:val="064A2B79"/>
    <w:rsid w:val="06721436"/>
    <w:rsid w:val="06CD62D6"/>
    <w:rsid w:val="07197D7D"/>
    <w:rsid w:val="07333ED0"/>
    <w:rsid w:val="074D6BDB"/>
    <w:rsid w:val="07851F98"/>
    <w:rsid w:val="07897FB9"/>
    <w:rsid w:val="07BA36EE"/>
    <w:rsid w:val="07D26D1A"/>
    <w:rsid w:val="09624060"/>
    <w:rsid w:val="0A22573B"/>
    <w:rsid w:val="0A56794B"/>
    <w:rsid w:val="0A6048F2"/>
    <w:rsid w:val="0AA438A7"/>
    <w:rsid w:val="0ACA19B9"/>
    <w:rsid w:val="0AFE6646"/>
    <w:rsid w:val="0B311A78"/>
    <w:rsid w:val="0B3A3E7E"/>
    <w:rsid w:val="0B827CEF"/>
    <w:rsid w:val="0B9C0089"/>
    <w:rsid w:val="0BB070D3"/>
    <w:rsid w:val="0BC91220"/>
    <w:rsid w:val="0C1E0A6B"/>
    <w:rsid w:val="0C4C2993"/>
    <w:rsid w:val="0C527545"/>
    <w:rsid w:val="0C7C0CC5"/>
    <w:rsid w:val="0CDD772A"/>
    <w:rsid w:val="0DDC0A68"/>
    <w:rsid w:val="0DF07282"/>
    <w:rsid w:val="0E226322"/>
    <w:rsid w:val="0E502E01"/>
    <w:rsid w:val="0E664FCA"/>
    <w:rsid w:val="0E6A493A"/>
    <w:rsid w:val="0E6B12C2"/>
    <w:rsid w:val="0E6D3A3E"/>
    <w:rsid w:val="0E7D21E2"/>
    <w:rsid w:val="0E906A84"/>
    <w:rsid w:val="0EA3533E"/>
    <w:rsid w:val="0EE803DA"/>
    <w:rsid w:val="0F703127"/>
    <w:rsid w:val="0FCA641D"/>
    <w:rsid w:val="100B7154"/>
    <w:rsid w:val="105D4085"/>
    <w:rsid w:val="10B64A9D"/>
    <w:rsid w:val="10BD2A5C"/>
    <w:rsid w:val="10C71E81"/>
    <w:rsid w:val="10C75956"/>
    <w:rsid w:val="10EF5781"/>
    <w:rsid w:val="10FD30F3"/>
    <w:rsid w:val="110A4AF3"/>
    <w:rsid w:val="116515A7"/>
    <w:rsid w:val="11892710"/>
    <w:rsid w:val="11B72F95"/>
    <w:rsid w:val="120A0427"/>
    <w:rsid w:val="12416FB5"/>
    <w:rsid w:val="135201A2"/>
    <w:rsid w:val="13573A7D"/>
    <w:rsid w:val="13814172"/>
    <w:rsid w:val="13B05EBB"/>
    <w:rsid w:val="15871B18"/>
    <w:rsid w:val="15BB7DB5"/>
    <w:rsid w:val="15C777D1"/>
    <w:rsid w:val="15E87BFC"/>
    <w:rsid w:val="15EB43F8"/>
    <w:rsid w:val="163F4508"/>
    <w:rsid w:val="166D3692"/>
    <w:rsid w:val="16AF3382"/>
    <w:rsid w:val="16ED210E"/>
    <w:rsid w:val="17046242"/>
    <w:rsid w:val="17171B0D"/>
    <w:rsid w:val="175E72D4"/>
    <w:rsid w:val="17AD106C"/>
    <w:rsid w:val="17C170D0"/>
    <w:rsid w:val="17CD38DC"/>
    <w:rsid w:val="17F23D81"/>
    <w:rsid w:val="18004D4A"/>
    <w:rsid w:val="18650421"/>
    <w:rsid w:val="18650EDA"/>
    <w:rsid w:val="18B13E7E"/>
    <w:rsid w:val="18B211FF"/>
    <w:rsid w:val="18B65EBD"/>
    <w:rsid w:val="18CD4E91"/>
    <w:rsid w:val="18FD3830"/>
    <w:rsid w:val="19154DA6"/>
    <w:rsid w:val="19D8626C"/>
    <w:rsid w:val="1A0001E9"/>
    <w:rsid w:val="1A396C95"/>
    <w:rsid w:val="1A700E8A"/>
    <w:rsid w:val="1AEA2372"/>
    <w:rsid w:val="1B5540F9"/>
    <w:rsid w:val="1B836494"/>
    <w:rsid w:val="1BA8202B"/>
    <w:rsid w:val="1C551B16"/>
    <w:rsid w:val="1C692CB7"/>
    <w:rsid w:val="1C784846"/>
    <w:rsid w:val="1C93375D"/>
    <w:rsid w:val="1CB26E1C"/>
    <w:rsid w:val="1CF245F9"/>
    <w:rsid w:val="1D562B86"/>
    <w:rsid w:val="1D5A4782"/>
    <w:rsid w:val="1DA22F15"/>
    <w:rsid w:val="1E002C2D"/>
    <w:rsid w:val="1EAA35B4"/>
    <w:rsid w:val="1EE125F3"/>
    <w:rsid w:val="1EE94007"/>
    <w:rsid w:val="1EF00419"/>
    <w:rsid w:val="1F006427"/>
    <w:rsid w:val="1F022A34"/>
    <w:rsid w:val="1F63394D"/>
    <w:rsid w:val="1F727741"/>
    <w:rsid w:val="1FAC43BA"/>
    <w:rsid w:val="211050CA"/>
    <w:rsid w:val="218A55F6"/>
    <w:rsid w:val="21967F75"/>
    <w:rsid w:val="219F348A"/>
    <w:rsid w:val="21B41D29"/>
    <w:rsid w:val="21FE1A98"/>
    <w:rsid w:val="22002F60"/>
    <w:rsid w:val="220608A2"/>
    <w:rsid w:val="22406A0B"/>
    <w:rsid w:val="22F27C5C"/>
    <w:rsid w:val="23085BA0"/>
    <w:rsid w:val="230E2E0D"/>
    <w:rsid w:val="231A1E81"/>
    <w:rsid w:val="23363823"/>
    <w:rsid w:val="238171F7"/>
    <w:rsid w:val="238C26C9"/>
    <w:rsid w:val="23B02382"/>
    <w:rsid w:val="246C492B"/>
    <w:rsid w:val="249939BB"/>
    <w:rsid w:val="24A15727"/>
    <w:rsid w:val="2504781E"/>
    <w:rsid w:val="2624544B"/>
    <w:rsid w:val="262C51A7"/>
    <w:rsid w:val="26400F3E"/>
    <w:rsid w:val="26473197"/>
    <w:rsid w:val="26907CDC"/>
    <w:rsid w:val="27613771"/>
    <w:rsid w:val="27713C34"/>
    <w:rsid w:val="277359EE"/>
    <w:rsid w:val="278B0E4D"/>
    <w:rsid w:val="278E0FA9"/>
    <w:rsid w:val="27F7682E"/>
    <w:rsid w:val="2852663F"/>
    <w:rsid w:val="28760383"/>
    <w:rsid w:val="292D0766"/>
    <w:rsid w:val="293258C8"/>
    <w:rsid w:val="299279FB"/>
    <w:rsid w:val="29E52278"/>
    <w:rsid w:val="29EB1FB2"/>
    <w:rsid w:val="2A043423"/>
    <w:rsid w:val="2A161CA7"/>
    <w:rsid w:val="2A511688"/>
    <w:rsid w:val="2A8F5D9B"/>
    <w:rsid w:val="2AD90B9D"/>
    <w:rsid w:val="2ADE5706"/>
    <w:rsid w:val="2B604BC3"/>
    <w:rsid w:val="2B695877"/>
    <w:rsid w:val="2B9660AF"/>
    <w:rsid w:val="2C846D14"/>
    <w:rsid w:val="2C9236D4"/>
    <w:rsid w:val="2CA469C2"/>
    <w:rsid w:val="2CD51CB3"/>
    <w:rsid w:val="2D340A2A"/>
    <w:rsid w:val="2E1043ED"/>
    <w:rsid w:val="2E756483"/>
    <w:rsid w:val="2EAE59DF"/>
    <w:rsid w:val="2ECA725B"/>
    <w:rsid w:val="2EE74164"/>
    <w:rsid w:val="2EE865DD"/>
    <w:rsid w:val="2F3E43E4"/>
    <w:rsid w:val="2FF4615F"/>
    <w:rsid w:val="2FFE75BA"/>
    <w:rsid w:val="3029089D"/>
    <w:rsid w:val="30F4160A"/>
    <w:rsid w:val="313502F6"/>
    <w:rsid w:val="319F36C6"/>
    <w:rsid w:val="32095637"/>
    <w:rsid w:val="32485A12"/>
    <w:rsid w:val="32A45FDC"/>
    <w:rsid w:val="32E05DA0"/>
    <w:rsid w:val="32FC73D3"/>
    <w:rsid w:val="33200D66"/>
    <w:rsid w:val="34364339"/>
    <w:rsid w:val="346136DE"/>
    <w:rsid w:val="34E63FFE"/>
    <w:rsid w:val="352471F4"/>
    <w:rsid w:val="354D588F"/>
    <w:rsid w:val="35504C05"/>
    <w:rsid w:val="35574C6B"/>
    <w:rsid w:val="35D1037A"/>
    <w:rsid w:val="35E14E98"/>
    <w:rsid w:val="35E96E0B"/>
    <w:rsid w:val="360016DD"/>
    <w:rsid w:val="366731A0"/>
    <w:rsid w:val="36A56CDD"/>
    <w:rsid w:val="36A9137E"/>
    <w:rsid w:val="36AE1B85"/>
    <w:rsid w:val="371B6B5C"/>
    <w:rsid w:val="37633642"/>
    <w:rsid w:val="379B4D3F"/>
    <w:rsid w:val="37C37202"/>
    <w:rsid w:val="37D262F2"/>
    <w:rsid w:val="381867C7"/>
    <w:rsid w:val="38BD1B07"/>
    <w:rsid w:val="38E37765"/>
    <w:rsid w:val="38F8042B"/>
    <w:rsid w:val="39196636"/>
    <w:rsid w:val="395E0C6F"/>
    <w:rsid w:val="398A4307"/>
    <w:rsid w:val="39F162F6"/>
    <w:rsid w:val="3A234284"/>
    <w:rsid w:val="3A2601EF"/>
    <w:rsid w:val="3A2A535A"/>
    <w:rsid w:val="3A397D06"/>
    <w:rsid w:val="3A7228A2"/>
    <w:rsid w:val="3ADB7B15"/>
    <w:rsid w:val="3AE81586"/>
    <w:rsid w:val="3B207F05"/>
    <w:rsid w:val="3B511552"/>
    <w:rsid w:val="3B7C26E1"/>
    <w:rsid w:val="3BD43F26"/>
    <w:rsid w:val="3C5A58BF"/>
    <w:rsid w:val="3C6B1CEF"/>
    <w:rsid w:val="3CAA2F79"/>
    <w:rsid w:val="3CD72CFF"/>
    <w:rsid w:val="3D027CA5"/>
    <w:rsid w:val="3D1170D3"/>
    <w:rsid w:val="3D31194D"/>
    <w:rsid w:val="3D4C6DC5"/>
    <w:rsid w:val="3D6B7786"/>
    <w:rsid w:val="3D6C7996"/>
    <w:rsid w:val="3D947E73"/>
    <w:rsid w:val="3DB74570"/>
    <w:rsid w:val="3E331626"/>
    <w:rsid w:val="3EB94D37"/>
    <w:rsid w:val="3ECA2888"/>
    <w:rsid w:val="3F036C20"/>
    <w:rsid w:val="3F4B4B7A"/>
    <w:rsid w:val="3F80451C"/>
    <w:rsid w:val="402A63A7"/>
    <w:rsid w:val="406C70DF"/>
    <w:rsid w:val="40EF60A6"/>
    <w:rsid w:val="410F1370"/>
    <w:rsid w:val="417D5748"/>
    <w:rsid w:val="41885569"/>
    <w:rsid w:val="41943E13"/>
    <w:rsid w:val="41B97BA0"/>
    <w:rsid w:val="42122D70"/>
    <w:rsid w:val="4225758B"/>
    <w:rsid w:val="428C4F26"/>
    <w:rsid w:val="429F2B81"/>
    <w:rsid w:val="42CC6E31"/>
    <w:rsid w:val="432E1B41"/>
    <w:rsid w:val="434C0446"/>
    <w:rsid w:val="436B6925"/>
    <w:rsid w:val="43726DC1"/>
    <w:rsid w:val="4397499A"/>
    <w:rsid w:val="43CD4BC8"/>
    <w:rsid w:val="43DA7AEA"/>
    <w:rsid w:val="440E7AB1"/>
    <w:rsid w:val="451D3660"/>
    <w:rsid w:val="45937607"/>
    <w:rsid w:val="459529B6"/>
    <w:rsid w:val="45AB1D61"/>
    <w:rsid w:val="462909D5"/>
    <w:rsid w:val="46347CC6"/>
    <w:rsid w:val="464F62DF"/>
    <w:rsid w:val="466044AE"/>
    <w:rsid w:val="469E7353"/>
    <w:rsid w:val="46D61296"/>
    <w:rsid w:val="473E7C71"/>
    <w:rsid w:val="47481C6B"/>
    <w:rsid w:val="474F42FE"/>
    <w:rsid w:val="4768231B"/>
    <w:rsid w:val="47D6179B"/>
    <w:rsid w:val="486B4ED3"/>
    <w:rsid w:val="48B65279"/>
    <w:rsid w:val="499F4BF8"/>
    <w:rsid w:val="49C063AF"/>
    <w:rsid w:val="49C373C9"/>
    <w:rsid w:val="49F736BA"/>
    <w:rsid w:val="4A021624"/>
    <w:rsid w:val="4A334933"/>
    <w:rsid w:val="4A4E1AB6"/>
    <w:rsid w:val="4A721BD8"/>
    <w:rsid w:val="4B1F32A6"/>
    <w:rsid w:val="4B6F343F"/>
    <w:rsid w:val="4BA22AAC"/>
    <w:rsid w:val="4BAD5B49"/>
    <w:rsid w:val="4BEFD3C0"/>
    <w:rsid w:val="4BF34669"/>
    <w:rsid w:val="4C3F37D8"/>
    <w:rsid w:val="4CD26978"/>
    <w:rsid w:val="4CEA562F"/>
    <w:rsid w:val="4D161D3E"/>
    <w:rsid w:val="4D245859"/>
    <w:rsid w:val="4D2B7FF8"/>
    <w:rsid w:val="4DC15E2F"/>
    <w:rsid w:val="4E633731"/>
    <w:rsid w:val="4EE57992"/>
    <w:rsid w:val="4F28523A"/>
    <w:rsid w:val="4F511456"/>
    <w:rsid w:val="4F6E1481"/>
    <w:rsid w:val="4FF0131C"/>
    <w:rsid w:val="50027A67"/>
    <w:rsid w:val="502E184F"/>
    <w:rsid w:val="50727BD1"/>
    <w:rsid w:val="507B58C3"/>
    <w:rsid w:val="50C868C1"/>
    <w:rsid w:val="5112778B"/>
    <w:rsid w:val="511B08E6"/>
    <w:rsid w:val="51231176"/>
    <w:rsid w:val="51995B17"/>
    <w:rsid w:val="51A97D89"/>
    <w:rsid w:val="51B25AF9"/>
    <w:rsid w:val="51CB1BB2"/>
    <w:rsid w:val="52101C59"/>
    <w:rsid w:val="522D3402"/>
    <w:rsid w:val="522F4098"/>
    <w:rsid w:val="52655981"/>
    <w:rsid w:val="53283BC9"/>
    <w:rsid w:val="53473874"/>
    <w:rsid w:val="536A2433"/>
    <w:rsid w:val="540577FE"/>
    <w:rsid w:val="543E6114"/>
    <w:rsid w:val="544B5F47"/>
    <w:rsid w:val="544D741A"/>
    <w:rsid w:val="544F2772"/>
    <w:rsid w:val="545C6DF5"/>
    <w:rsid w:val="545D2BAA"/>
    <w:rsid w:val="56131BCE"/>
    <w:rsid w:val="56456894"/>
    <w:rsid w:val="568A37A6"/>
    <w:rsid w:val="56AE57E8"/>
    <w:rsid w:val="56DD3D29"/>
    <w:rsid w:val="571B14DA"/>
    <w:rsid w:val="57426735"/>
    <w:rsid w:val="5773571B"/>
    <w:rsid w:val="577D1977"/>
    <w:rsid w:val="578E3F71"/>
    <w:rsid w:val="5790441E"/>
    <w:rsid w:val="579E2A14"/>
    <w:rsid w:val="57C03B0A"/>
    <w:rsid w:val="58775531"/>
    <w:rsid w:val="58A5563A"/>
    <w:rsid w:val="58B82682"/>
    <w:rsid w:val="58FF3E91"/>
    <w:rsid w:val="5A3C31FC"/>
    <w:rsid w:val="5A8667D4"/>
    <w:rsid w:val="5A905061"/>
    <w:rsid w:val="5ABCEC26"/>
    <w:rsid w:val="5ADB6ADE"/>
    <w:rsid w:val="5AF64E4A"/>
    <w:rsid w:val="5B9B5748"/>
    <w:rsid w:val="5BDF027E"/>
    <w:rsid w:val="5BF64864"/>
    <w:rsid w:val="5C3449E3"/>
    <w:rsid w:val="5C3839BE"/>
    <w:rsid w:val="5CC8681F"/>
    <w:rsid w:val="5CE00ABD"/>
    <w:rsid w:val="5D0F44CA"/>
    <w:rsid w:val="5D6B1282"/>
    <w:rsid w:val="5D8D68FD"/>
    <w:rsid w:val="5DD6447A"/>
    <w:rsid w:val="5DE2050D"/>
    <w:rsid w:val="5DFA147B"/>
    <w:rsid w:val="5E2029DB"/>
    <w:rsid w:val="5E450E16"/>
    <w:rsid w:val="5EF41AEB"/>
    <w:rsid w:val="5F394D1F"/>
    <w:rsid w:val="5F7F41DA"/>
    <w:rsid w:val="5FBE2CBB"/>
    <w:rsid w:val="5FD83D2A"/>
    <w:rsid w:val="5FF87851"/>
    <w:rsid w:val="602D5532"/>
    <w:rsid w:val="605502B2"/>
    <w:rsid w:val="605D5E06"/>
    <w:rsid w:val="609B3EA5"/>
    <w:rsid w:val="60A73659"/>
    <w:rsid w:val="60CC5A1D"/>
    <w:rsid w:val="61034ABF"/>
    <w:rsid w:val="61736957"/>
    <w:rsid w:val="619C5487"/>
    <w:rsid w:val="61E22958"/>
    <w:rsid w:val="62105D17"/>
    <w:rsid w:val="6223723B"/>
    <w:rsid w:val="631C2D7A"/>
    <w:rsid w:val="63BB0CE1"/>
    <w:rsid w:val="63CF4B37"/>
    <w:rsid w:val="640D6BEF"/>
    <w:rsid w:val="64C72563"/>
    <w:rsid w:val="65131E9C"/>
    <w:rsid w:val="654D295E"/>
    <w:rsid w:val="65A360F9"/>
    <w:rsid w:val="66610962"/>
    <w:rsid w:val="6699008D"/>
    <w:rsid w:val="674523F5"/>
    <w:rsid w:val="67B9535D"/>
    <w:rsid w:val="680C5410"/>
    <w:rsid w:val="682D31E4"/>
    <w:rsid w:val="68507D1C"/>
    <w:rsid w:val="687042A6"/>
    <w:rsid w:val="687636DD"/>
    <w:rsid w:val="687B7E7D"/>
    <w:rsid w:val="69A32D6E"/>
    <w:rsid w:val="69D63673"/>
    <w:rsid w:val="6A060375"/>
    <w:rsid w:val="6A0F417B"/>
    <w:rsid w:val="6A2F58EC"/>
    <w:rsid w:val="6A387EE4"/>
    <w:rsid w:val="6A3A5538"/>
    <w:rsid w:val="6A684A0D"/>
    <w:rsid w:val="6A731E4B"/>
    <w:rsid w:val="6AC23C76"/>
    <w:rsid w:val="6AC36D45"/>
    <w:rsid w:val="6AE52CF7"/>
    <w:rsid w:val="6B777DBE"/>
    <w:rsid w:val="6B7A0307"/>
    <w:rsid w:val="6B7E22E5"/>
    <w:rsid w:val="6B882504"/>
    <w:rsid w:val="6B8E2567"/>
    <w:rsid w:val="6B9E01CB"/>
    <w:rsid w:val="6BAC49A3"/>
    <w:rsid w:val="6BEF69C7"/>
    <w:rsid w:val="6BFC24A6"/>
    <w:rsid w:val="6C1718B1"/>
    <w:rsid w:val="6C286DCE"/>
    <w:rsid w:val="6CD40BF2"/>
    <w:rsid w:val="6CF95D71"/>
    <w:rsid w:val="6D6E4D8F"/>
    <w:rsid w:val="6DBF601E"/>
    <w:rsid w:val="6DD02851"/>
    <w:rsid w:val="6DDA2712"/>
    <w:rsid w:val="6DE4072E"/>
    <w:rsid w:val="6E236AEA"/>
    <w:rsid w:val="6EA111A1"/>
    <w:rsid w:val="6F0E6B0E"/>
    <w:rsid w:val="6F2F193C"/>
    <w:rsid w:val="6FA10B33"/>
    <w:rsid w:val="6FE3553D"/>
    <w:rsid w:val="6FEE5973"/>
    <w:rsid w:val="700128DA"/>
    <w:rsid w:val="700A6775"/>
    <w:rsid w:val="706A5414"/>
    <w:rsid w:val="70DB4C45"/>
    <w:rsid w:val="70E75A48"/>
    <w:rsid w:val="710F3D1D"/>
    <w:rsid w:val="71551BD5"/>
    <w:rsid w:val="71736911"/>
    <w:rsid w:val="71901F68"/>
    <w:rsid w:val="71A46089"/>
    <w:rsid w:val="71BF2C73"/>
    <w:rsid w:val="72AE6F74"/>
    <w:rsid w:val="72B40264"/>
    <w:rsid w:val="72CC3CBC"/>
    <w:rsid w:val="730E1607"/>
    <w:rsid w:val="738617E6"/>
    <w:rsid w:val="74023D27"/>
    <w:rsid w:val="742C72E2"/>
    <w:rsid w:val="7453511A"/>
    <w:rsid w:val="74CD020C"/>
    <w:rsid w:val="75181CDF"/>
    <w:rsid w:val="752051D2"/>
    <w:rsid w:val="752D4B85"/>
    <w:rsid w:val="754A6E68"/>
    <w:rsid w:val="755C017F"/>
    <w:rsid w:val="75630078"/>
    <w:rsid w:val="75716244"/>
    <w:rsid w:val="75AF0950"/>
    <w:rsid w:val="75BA578A"/>
    <w:rsid w:val="75CD62B0"/>
    <w:rsid w:val="75DD29AE"/>
    <w:rsid w:val="760F2C9B"/>
    <w:rsid w:val="76592E3E"/>
    <w:rsid w:val="766F0386"/>
    <w:rsid w:val="76712744"/>
    <w:rsid w:val="76912B5E"/>
    <w:rsid w:val="7696219D"/>
    <w:rsid w:val="76EF02B4"/>
    <w:rsid w:val="770B24EE"/>
    <w:rsid w:val="77293CFB"/>
    <w:rsid w:val="77511A3D"/>
    <w:rsid w:val="779E4134"/>
    <w:rsid w:val="77D114EA"/>
    <w:rsid w:val="780736F1"/>
    <w:rsid w:val="78366F2C"/>
    <w:rsid w:val="7839291C"/>
    <w:rsid w:val="788C134D"/>
    <w:rsid w:val="78B15B43"/>
    <w:rsid w:val="78B35786"/>
    <w:rsid w:val="78C12485"/>
    <w:rsid w:val="78D62E2C"/>
    <w:rsid w:val="790B6A49"/>
    <w:rsid w:val="79256059"/>
    <w:rsid w:val="79CB3CF1"/>
    <w:rsid w:val="79D54A31"/>
    <w:rsid w:val="7A4538B1"/>
    <w:rsid w:val="7A774430"/>
    <w:rsid w:val="7A85130E"/>
    <w:rsid w:val="7ADE536B"/>
    <w:rsid w:val="7BFF2E69"/>
    <w:rsid w:val="7C886BE8"/>
    <w:rsid w:val="7CA05DB7"/>
    <w:rsid w:val="7CAB2DC2"/>
    <w:rsid w:val="7CD6778F"/>
    <w:rsid w:val="7D2B5A93"/>
    <w:rsid w:val="7D5702AA"/>
    <w:rsid w:val="7D762AFB"/>
    <w:rsid w:val="7E144A4A"/>
    <w:rsid w:val="7EA94D6D"/>
    <w:rsid w:val="7EDD2379"/>
    <w:rsid w:val="7EEF5DC2"/>
    <w:rsid w:val="7F36206D"/>
    <w:rsid w:val="7FA6003D"/>
    <w:rsid w:val="7FCA681E"/>
    <w:rsid w:val="7FD2733E"/>
    <w:rsid w:val="9D4B5CFF"/>
    <w:rsid w:val="9FBB6140"/>
    <w:rsid w:val="BA7B23C6"/>
    <w:rsid w:val="BFFFBA9F"/>
    <w:rsid w:val="ECBE60B5"/>
    <w:rsid w:val="FADE19EC"/>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216" w:lineRule="auto"/>
      <w:jc w:val="center"/>
      <w:outlineLvl w:val="0"/>
    </w:pPr>
    <w:rPr>
      <w:rFonts w:ascii="宋体" w:hAnsi="宋体"/>
      <w:b/>
      <w:sz w:val="30"/>
      <w:szCs w:val="20"/>
    </w:rPr>
  </w:style>
  <w:style w:type="paragraph" w:styleId="4">
    <w:name w:val="heading 2"/>
    <w:basedOn w:val="1"/>
    <w:next w:val="1"/>
    <w:qFormat/>
    <w:uiPriority w:val="1"/>
    <w:pPr>
      <w:ind w:left="218"/>
      <w:outlineLvl w:val="1"/>
    </w:pPr>
    <w:rPr>
      <w:rFonts w:ascii="宋体" w:hAnsi="宋体" w:cs="宋体"/>
      <w:b/>
      <w:bCs/>
      <w:sz w:val="24"/>
      <w:lang w:val="zh-CN" w:bidi="zh-CN"/>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next w:val="8"/>
    <w:qFormat/>
    <w:uiPriority w:val="0"/>
    <w:pPr>
      <w:ind w:firstLine="420" w:firstLineChars="200"/>
    </w:pPr>
  </w:style>
  <w:style w:type="paragraph" w:styleId="8">
    <w:name w:val="Body Text Indent"/>
    <w:basedOn w:val="1"/>
    <w:next w:val="7"/>
    <w:qFormat/>
    <w:uiPriority w:val="0"/>
    <w:pPr>
      <w:spacing w:line="360" w:lineRule="auto"/>
      <w:ind w:firstLine="600" w:firstLineChars="200"/>
    </w:pPr>
    <w:rPr>
      <w:rFonts w:ascii="仿宋_GB2312" w:hAnsi="宋体" w:eastAsia="仿宋_GB2312"/>
      <w:sz w:val="30"/>
    </w:rPr>
  </w:style>
  <w:style w:type="paragraph" w:styleId="9">
    <w:name w:val="Document Map"/>
    <w:basedOn w:val="1"/>
    <w:link w:val="59"/>
    <w:qFormat/>
    <w:uiPriority w:val="0"/>
    <w:rPr>
      <w:rFonts w:ascii="宋体"/>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68"/>
    <w:qFormat/>
    <w:uiPriority w:val="0"/>
    <w:pPr>
      <w:jc w:val="left"/>
    </w:pPr>
  </w:style>
  <w:style w:type="paragraph" w:styleId="12">
    <w:name w:val="Body Text"/>
    <w:basedOn w:val="1"/>
    <w:next w:val="13"/>
    <w:qFormat/>
    <w:uiPriority w:val="0"/>
    <w:rPr>
      <w:rFonts w:ascii="宋体" w:hAnsi="宋体"/>
      <w:sz w:val="28"/>
    </w:rPr>
  </w:style>
  <w:style w:type="paragraph" w:styleId="13">
    <w:name w:val="Body Text First Indent"/>
    <w:basedOn w:val="12"/>
    <w:next w:val="1"/>
    <w:qFormat/>
    <w:uiPriority w:val="0"/>
    <w:pPr>
      <w:spacing w:line="312" w:lineRule="auto"/>
      <w:ind w:firstLine="420"/>
    </w:pPr>
  </w:style>
  <w:style w:type="paragraph" w:styleId="14">
    <w:name w:val="Block Text"/>
    <w:basedOn w:val="1"/>
    <w:qFormat/>
    <w:uiPriority w:val="0"/>
    <w:pPr>
      <w:spacing w:line="390" w:lineRule="exact"/>
      <w:ind w:left="735" w:right="-296" w:rightChars="-141"/>
    </w:pPr>
    <w:rPr>
      <w:rFonts w:ascii="宋体"/>
    </w:rPr>
  </w:style>
  <w:style w:type="paragraph" w:styleId="15">
    <w:name w:val="Plain Text"/>
    <w:basedOn w:val="1"/>
    <w:next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afterLines="0" w:line="480" w:lineRule="auto"/>
      <w:ind w:left="420" w:leftChars="200"/>
    </w:pPr>
  </w:style>
  <w:style w:type="paragraph" w:styleId="18">
    <w:name w:val="Balloon Text"/>
    <w:basedOn w:val="1"/>
    <w:link w:val="58"/>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6"/>
    <w:basedOn w:val="1"/>
    <w:next w:val="1"/>
    <w:qFormat/>
    <w:uiPriority w:val="99"/>
    <w:pPr>
      <w:ind w:left="2100" w:leftChars="1000"/>
    </w:pPr>
    <w:rPr>
      <w:rFonts w:ascii="Calibri" w:hAnsi="Calibri"/>
      <w:szCs w:val="22"/>
    </w:rPr>
  </w:style>
  <w:style w:type="paragraph" w:styleId="22">
    <w:name w:val="Body Text Indent 3"/>
    <w:basedOn w:val="1"/>
    <w:qFormat/>
    <w:uiPriority w:val="99"/>
    <w:pPr>
      <w:spacing w:after="120"/>
      <w:ind w:left="420" w:leftChars="200"/>
    </w:pPr>
    <w:rPr>
      <w:sz w:val="16"/>
      <w:szCs w:val="16"/>
    </w:rPr>
  </w:style>
  <w:style w:type="paragraph" w:styleId="23">
    <w:name w:val="Normal (Web)"/>
    <w:basedOn w:val="1"/>
    <w:qFormat/>
    <w:uiPriority w:val="0"/>
    <w:pPr>
      <w:spacing w:beforeAutospacing="1" w:afterAutospacing="1"/>
      <w:jc w:val="left"/>
    </w:pPr>
    <w:rPr>
      <w:rFonts w:cs="Times New Roman"/>
      <w:kern w:val="0"/>
      <w:sz w:val="24"/>
      <w:szCs w:val="24"/>
    </w:rPr>
  </w:style>
  <w:style w:type="paragraph" w:styleId="24">
    <w:name w:val="annotation subject"/>
    <w:basedOn w:val="11"/>
    <w:next w:val="11"/>
    <w:link w:val="69"/>
    <w:qFormat/>
    <w:uiPriority w:val="0"/>
    <w:rPr>
      <w:b/>
      <w:bCs/>
    </w:rPr>
  </w:style>
  <w:style w:type="paragraph" w:styleId="25">
    <w:name w:val="Body Text First Indent 2"/>
    <w:basedOn w:val="8"/>
    <w:next w:val="1"/>
    <w:qFormat/>
    <w:uiPriority w:val="0"/>
    <w:pPr>
      <w:spacing w:after="120" w:line="240" w:lineRule="auto"/>
      <w:ind w:left="420" w:leftChars="200" w:firstLine="420"/>
    </w:pPr>
    <w:rPr>
      <w:rFonts w:ascii="Times New Roman" w:hAnsi="Times New Roman" w:eastAsia="楷体_GB2312"/>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semiHidden/>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首行缩进"/>
    <w:basedOn w:val="1"/>
    <w:qFormat/>
    <w:uiPriority w:val="0"/>
    <w:pPr>
      <w:ind w:firstLine="480" w:firstLineChars="200"/>
    </w:pPr>
    <w:rPr>
      <w:lang w:val="zh-CN"/>
    </w:rPr>
  </w:style>
  <w:style w:type="paragraph" w:customStyle="1" w:styleId="4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5">
    <w:name w:val="BodyText1I"/>
    <w:basedOn w:val="46"/>
    <w:qFormat/>
    <w:uiPriority w:val="0"/>
    <w:pPr>
      <w:tabs>
        <w:tab w:val="left" w:pos="3380"/>
      </w:tabs>
      <w:ind w:firstLine="420" w:firstLineChars="100"/>
    </w:pPr>
    <w:rPr>
      <w:rFonts w:ascii="宋体" w:hAnsi="宋体"/>
      <w:sz w:val="28"/>
      <w:szCs w:val="28"/>
    </w:rPr>
  </w:style>
  <w:style w:type="paragraph" w:customStyle="1" w:styleId="46">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7">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8">
    <w:name w:val="纯文本2"/>
    <w:basedOn w:val="1"/>
    <w:qFormat/>
    <w:uiPriority w:val="0"/>
    <w:pPr>
      <w:adjustRightInd w:val="0"/>
      <w:textAlignment w:val="baseline"/>
    </w:pPr>
    <w:rPr>
      <w:rFonts w:ascii="宋体" w:hAnsi="Courier New" w:eastAsia="楷体_GB2312"/>
      <w:sz w:val="26"/>
      <w:szCs w:val="20"/>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1"/>
    <w:qFormat/>
    <w:uiPriority w:val="99"/>
    <w:rPr>
      <w:rFonts w:ascii="Calibri" w:hAnsi="Calibri" w:eastAsia="宋体" w:cs="Times New Roman"/>
      <w:kern w:val="2"/>
      <w:sz w:val="28"/>
      <w:szCs w:val="22"/>
      <w:lang w:val="en-US" w:eastAsia="zh-CN" w:bidi="ar-SA"/>
    </w:rPr>
  </w:style>
  <w:style w:type="paragraph" w:customStyle="1" w:styleId="52">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3">
    <w:name w:val="font51"/>
    <w:basedOn w:val="28"/>
    <w:qFormat/>
    <w:uiPriority w:val="0"/>
    <w:rPr>
      <w:rFonts w:hint="eastAsia" w:ascii="宋体" w:hAnsi="宋体" w:eastAsia="宋体" w:cs="宋体"/>
      <w:color w:val="000000"/>
      <w:sz w:val="20"/>
      <w:szCs w:val="20"/>
      <w:u w:val="none"/>
    </w:rPr>
  </w:style>
  <w:style w:type="character" w:customStyle="1" w:styleId="54">
    <w:name w:val="font61"/>
    <w:basedOn w:val="28"/>
    <w:qFormat/>
    <w:uiPriority w:val="0"/>
    <w:rPr>
      <w:rFonts w:hint="eastAsia" w:ascii="宋体" w:hAnsi="宋体" w:eastAsia="宋体" w:cs="宋体"/>
      <w:b/>
      <w:color w:val="FF0000"/>
      <w:sz w:val="20"/>
      <w:szCs w:val="20"/>
      <w:u w:val="none"/>
    </w:rPr>
  </w:style>
  <w:style w:type="paragraph" w:styleId="55">
    <w:name w:val="List Paragraph"/>
    <w:basedOn w:val="1"/>
    <w:qFormat/>
    <w:uiPriority w:val="1"/>
    <w:pPr>
      <w:ind w:left="218" w:firstLine="480"/>
    </w:pPr>
    <w:rPr>
      <w:rFonts w:ascii="宋体" w:hAnsi="宋体" w:cs="宋体"/>
      <w:lang w:val="zh-CN" w:bidi="zh-CN"/>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DAS正文"/>
    <w:basedOn w:val="1"/>
    <w:qFormat/>
    <w:uiPriority w:val="0"/>
    <w:pPr>
      <w:ind w:right="181" w:firstLine="480"/>
    </w:pPr>
    <w:rPr>
      <w:rFonts w:ascii="Verdana" w:hAnsi="Verdana"/>
      <w:sz w:val="24"/>
    </w:rPr>
  </w:style>
  <w:style w:type="character" w:customStyle="1" w:styleId="58">
    <w:name w:val="批注框文本 字符"/>
    <w:basedOn w:val="28"/>
    <w:link w:val="18"/>
    <w:qFormat/>
    <w:uiPriority w:val="0"/>
    <w:rPr>
      <w:rFonts w:ascii="Calibri" w:hAnsi="Calibri"/>
      <w:kern w:val="2"/>
      <w:sz w:val="18"/>
      <w:szCs w:val="18"/>
    </w:rPr>
  </w:style>
  <w:style w:type="character" w:customStyle="1" w:styleId="59">
    <w:name w:val="文档结构图 字符"/>
    <w:basedOn w:val="28"/>
    <w:link w:val="9"/>
    <w:qFormat/>
    <w:uiPriority w:val="0"/>
    <w:rPr>
      <w:rFonts w:ascii="宋体" w:hAnsi="Calibri"/>
      <w:kern w:val="2"/>
      <w:sz w:val="18"/>
      <w:szCs w:val="18"/>
    </w:rPr>
  </w:style>
  <w:style w:type="paragraph" w:customStyle="1" w:styleId="60">
    <w:name w:val="标题2"/>
    <w:basedOn w:val="4"/>
    <w:qFormat/>
    <w:uiPriority w:val="0"/>
    <w:pPr>
      <w:adjustRightInd w:val="0"/>
      <w:snapToGrid w:val="0"/>
      <w:spacing w:beforeLines="60" w:afterLines="30" w:line="360" w:lineRule="auto"/>
      <w:ind w:left="8"/>
      <w:jc w:val="left"/>
    </w:pPr>
    <w:rPr>
      <w:rFonts w:eastAsia="黑体"/>
      <w:sz w:val="30"/>
    </w:rPr>
  </w:style>
  <w:style w:type="paragraph" w:customStyle="1" w:styleId="61">
    <w:name w:val="标题3"/>
    <w:basedOn w:val="5"/>
    <w:qFormat/>
    <w:uiPriority w:val="0"/>
    <w:pPr>
      <w:spacing w:beforeLines="50" w:afterLines="20"/>
      <w:ind w:left="8"/>
    </w:pPr>
    <w:rPr>
      <w:sz w:val="28"/>
    </w:rPr>
  </w:style>
  <w:style w:type="paragraph" w:customStyle="1" w:styleId="62">
    <w:name w:val="标题4"/>
    <w:basedOn w:val="6"/>
    <w:qFormat/>
    <w:uiPriority w:val="0"/>
    <w:pPr>
      <w:spacing w:before="0" w:after="0" w:line="360" w:lineRule="auto"/>
      <w:ind w:left="8"/>
    </w:pPr>
  </w:style>
  <w:style w:type="paragraph" w:customStyle="1" w:styleId="63">
    <w:name w:val="表格文字"/>
    <w:basedOn w:val="1"/>
    <w:next w:val="12"/>
    <w:qFormat/>
    <w:uiPriority w:val="0"/>
    <w:pPr>
      <w:adjustRightInd w:val="0"/>
      <w:spacing w:line="420" w:lineRule="atLeast"/>
      <w:jc w:val="left"/>
      <w:textAlignment w:val="baseline"/>
    </w:pPr>
    <w:rPr>
      <w:kern w:val="0"/>
    </w:rPr>
  </w:style>
  <w:style w:type="character" w:customStyle="1" w:styleId="64">
    <w:name w:val="font71"/>
    <w:basedOn w:val="28"/>
    <w:qFormat/>
    <w:uiPriority w:val="0"/>
    <w:rPr>
      <w:rFonts w:hint="default" w:ascii="Times New Roman" w:hAnsi="Times New Roman" w:cs="Times New Roman"/>
      <w:color w:val="000000"/>
      <w:sz w:val="20"/>
      <w:szCs w:val="20"/>
      <w:u w:val="none"/>
    </w:rPr>
  </w:style>
  <w:style w:type="character" w:customStyle="1" w:styleId="65">
    <w:name w:val="font21"/>
    <w:basedOn w:val="28"/>
    <w:qFormat/>
    <w:uiPriority w:val="0"/>
    <w:rPr>
      <w:rFonts w:hint="default" w:ascii="仿宋_GB2312" w:eastAsia="仿宋_GB2312" w:cs="仿宋_GB2312"/>
      <w:color w:val="000000"/>
      <w:sz w:val="20"/>
      <w:szCs w:val="20"/>
      <w:u w:val="none"/>
    </w:rPr>
  </w:style>
  <w:style w:type="character" w:customStyle="1" w:styleId="66">
    <w:name w:val="font41"/>
    <w:basedOn w:val="28"/>
    <w:qFormat/>
    <w:uiPriority w:val="0"/>
    <w:rPr>
      <w:rFonts w:hint="eastAsia" w:ascii="宋体" w:hAnsi="宋体" w:eastAsia="宋体" w:cs="宋体"/>
      <w:color w:val="000000"/>
      <w:sz w:val="20"/>
      <w:szCs w:val="20"/>
      <w:u w:val="none"/>
    </w:rPr>
  </w:style>
  <w:style w:type="paragraph" w:customStyle="1" w:styleId="67">
    <w:name w:val="Table Paragraph"/>
    <w:basedOn w:val="1"/>
    <w:qFormat/>
    <w:uiPriority w:val="1"/>
    <w:rPr>
      <w:rFonts w:ascii="宋体" w:hAnsi="宋体" w:cs="宋体"/>
    </w:rPr>
  </w:style>
  <w:style w:type="character" w:customStyle="1" w:styleId="68">
    <w:name w:val="批注文字 字符"/>
    <w:basedOn w:val="28"/>
    <w:link w:val="11"/>
    <w:qFormat/>
    <w:uiPriority w:val="0"/>
    <w:rPr>
      <w:rFonts w:ascii="Calibri" w:hAnsi="Calibri"/>
      <w:kern w:val="2"/>
      <w:sz w:val="21"/>
      <w:szCs w:val="24"/>
    </w:rPr>
  </w:style>
  <w:style w:type="character" w:customStyle="1" w:styleId="69">
    <w:name w:val="批注主题 字符"/>
    <w:basedOn w:val="68"/>
    <w:link w:val="24"/>
    <w:qFormat/>
    <w:uiPriority w:val="0"/>
    <w:rPr>
      <w:rFonts w:ascii="Calibri" w:hAnsi="Calibri"/>
      <w:b/>
      <w:bCs/>
      <w:kern w:val="2"/>
      <w:sz w:val="21"/>
      <w:szCs w:val="24"/>
    </w:rPr>
  </w:style>
  <w:style w:type="paragraph" w:styleId="70">
    <w:name w:val="No Spacing"/>
    <w:basedOn w:val="1"/>
    <w:qFormat/>
    <w:uiPriority w:val="1"/>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25658</Words>
  <Characters>26976</Characters>
  <Lines>256</Lines>
  <Paragraphs>72</Paragraphs>
  <TotalTime>38</TotalTime>
  <ScaleCrop>false</ScaleCrop>
  <LinksUpToDate>false</LinksUpToDate>
  <CharactersWithSpaces>27907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2021-10-21T06:44:00Z</dcterms:created>
  <dc:creator>Administrator.PC-20160716QTOZ</dc:creator>
  <cp:lastModifiedBy>111</cp:lastModifiedBy>
  <dcterms:modified xsi:type="dcterms:W3CDTF">2023-05-09T01:15:25Z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B3A35DD03C324E79906B24D1B6972209_13</vt:lpwstr>
  </property>
</Properties>
</file>